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B33" w:rsidRPr="00E94620" w:rsidRDefault="00DF2E4A" w:rsidP="002775DB">
      <w:pPr>
        <w:ind w:right="-330"/>
        <w:jc w:val="both"/>
        <w:rPr>
          <w:b/>
          <w:sz w:val="36"/>
          <w:szCs w:val="36"/>
        </w:rPr>
      </w:pPr>
      <w:r w:rsidRPr="00E94620">
        <w:rPr>
          <w:b/>
          <w:sz w:val="36"/>
          <w:szCs w:val="36"/>
        </w:rPr>
        <w:softHyphen/>
      </w:r>
    </w:p>
    <w:p w:rsidR="00123343" w:rsidRPr="00E94620" w:rsidRDefault="00D808BC" w:rsidP="002775DB">
      <w:pPr>
        <w:tabs>
          <w:tab w:val="left" w:pos="278"/>
        </w:tabs>
        <w:ind w:right="-330"/>
        <w:jc w:val="both"/>
        <w:rPr>
          <w:b/>
          <w:sz w:val="36"/>
          <w:szCs w:val="36"/>
        </w:rPr>
      </w:pPr>
      <w:r>
        <w:rPr>
          <w:b/>
          <w:sz w:val="36"/>
          <w:szCs w:val="36"/>
        </w:rPr>
        <w:tab/>
      </w:r>
    </w:p>
    <w:p w:rsidR="0080272B" w:rsidRPr="00E94620" w:rsidRDefault="0080272B" w:rsidP="002775DB">
      <w:pPr>
        <w:ind w:right="-330"/>
        <w:jc w:val="both"/>
        <w:rPr>
          <w:b/>
          <w:sz w:val="36"/>
          <w:szCs w:val="36"/>
        </w:rPr>
      </w:pPr>
    </w:p>
    <w:p w:rsidR="0080272B" w:rsidRDefault="0080272B" w:rsidP="002775DB">
      <w:pPr>
        <w:ind w:right="-330"/>
        <w:jc w:val="both"/>
        <w:rPr>
          <w:b/>
          <w:sz w:val="36"/>
          <w:szCs w:val="36"/>
        </w:rPr>
      </w:pPr>
    </w:p>
    <w:p w:rsidR="00D808BC" w:rsidRDefault="00D808BC" w:rsidP="002775DB">
      <w:pPr>
        <w:ind w:right="-330"/>
        <w:jc w:val="both"/>
        <w:rPr>
          <w:b/>
          <w:sz w:val="36"/>
          <w:szCs w:val="36"/>
        </w:rPr>
      </w:pPr>
    </w:p>
    <w:p w:rsidR="00D808BC" w:rsidRDefault="00D808BC" w:rsidP="002775DB">
      <w:pPr>
        <w:ind w:right="-330"/>
        <w:jc w:val="both"/>
        <w:rPr>
          <w:b/>
          <w:sz w:val="36"/>
          <w:szCs w:val="36"/>
        </w:rPr>
      </w:pPr>
    </w:p>
    <w:p w:rsidR="00D808BC" w:rsidRDefault="00D808BC" w:rsidP="002775DB">
      <w:pPr>
        <w:ind w:right="-330"/>
        <w:jc w:val="both"/>
        <w:rPr>
          <w:b/>
          <w:sz w:val="36"/>
          <w:szCs w:val="36"/>
        </w:rPr>
      </w:pPr>
    </w:p>
    <w:p w:rsidR="00D808BC" w:rsidRDefault="00D808BC" w:rsidP="002775DB">
      <w:pPr>
        <w:tabs>
          <w:tab w:val="left" w:pos="2304"/>
        </w:tabs>
        <w:ind w:right="-330"/>
        <w:jc w:val="both"/>
        <w:rPr>
          <w:b/>
          <w:sz w:val="36"/>
          <w:szCs w:val="36"/>
        </w:rPr>
      </w:pPr>
      <w:r>
        <w:rPr>
          <w:b/>
          <w:sz w:val="36"/>
          <w:szCs w:val="36"/>
        </w:rPr>
        <w:tab/>
      </w:r>
    </w:p>
    <w:p w:rsidR="00D808BC" w:rsidRDefault="00D808BC" w:rsidP="002775DB">
      <w:pPr>
        <w:ind w:right="-330"/>
        <w:jc w:val="both"/>
        <w:rPr>
          <w:b/>
          <w:sz w:val="36"/>
          <w:szCs w:val="36"/>
        </w:rPr>
      </w:pPr>
    </w:p>
    <w:p w:rsidR="00DC0DF8" w:rsidRDefault="00DC0DF8" w:rsidP="002775DB">
      <w:pPr>
        <w:ind w:right="-330"/>
        <w:jc w:val="both"/>
        <w:rPr>
          <w:b/>
          <w:sz w:val="36"/>
          <w:szCs w:val="36"/>
        </w:rPr>
      </w:pPr>
    </w:p>
    <w:p w:rsidR="004754EA" w:rsidRPr="00E94620" w:rsidRDefault="004754EA" w:rsidP="002775DB">
      <w:pPr>
        <w:ind w:right="-330"/>
        <w:jc w:val="both"/>
        <w:rPr>
          <w:b/>
          <w:sz w:val="36"/>
          <w:szCs w:val="36"/>
        </w:rPr>
      </w:pPr>
    </w:p>
    <w:p w:rsidR="0080272B" w:rsidRPr="00E94620" w:rsidRDefault="0080272B" w:rsidP="00DC0DF8">
      <w:pPr>
        <w:ind w:right="-330"/>
        <w:rPr>
          <w:b/>
          <w:sz w:val="36"/>
          <w:szCs w:val="36"/>
        </w:rPr>
      </w:pPr>
      <w:r w:rsidRPr="00E94620">
        <w:rPr>
          <w:b/>
          <w:sz w:val="36"/>
          <w:szCs w:val="36"/>
        </w:rPr>
        <w:t>People with Disability Australia</w:t>
      </w:r>
      <w:r w:rsidR="00C96E80" w:rsidRPr="00E94620">
        <w:rPr>
          <w:b/>
          <w:sz w:val="36"/>
          <w:szCs w:val="36"/>
        </w:rPr>
        <w:t xml:space="preserve"> (PWDA)</w:t>
      </w:r>
    </w:p>
    <w:p w:rsidR="0080272B" w:rsidRDefault="0080272B" w:rsidP="00DC0DF8">
      <w:pPr>
        <w:ind w:right="-330"/>
        <w:rPr>
          <w:b/>
          <w:sz w:val="40"/>
          <w:szCs w:val="40"/>
        </w:rPr>
      </w:pPr>
    </w:p>
    <w:p w:rsidR="00DC0DF8" w:rsidRPr="00E94620" w:rsidRDefault="00DC0DF8" w:rsidP="00DC0DF8">
      <w:pPr>
        <w:ind w:right="-330"/>
        <w:rPr>
          <w:b/>
          <w:sz w:val="40"/>
          <w:szCs w:val="40"/>
        </w:rPr>
      </w:pPr>
    </w:p>
    <w:p w:rsidR="0080272B" w:rsidRPr="00E94620" w:rsidRDefault="00FC0D25" w:rsidP="00DC0DF8">
      <w:pPr>
        <w:pBdr>
          <w:top w:val="single" w:sz="12" w:space="1" w:color="auto"/>
          <w:bottom w:val="single" w:sz="12" w:space="1" w:color="auto"/>
        </w:pBdr>
        <w:spacing w:before="120" w:after="120"/>
        <w:ind w:right="-329"/>
        <w:rPr>
          <w:b/>
          <w:sz w:val="36"/>
          <w:szCs w:val="36"/>
        </w:rPr>
      </w:pPr>
      <w:r>
        <w:rPr>
          <w:b/>
          <w:sz w:val="36"/>
          <w:szCs w:val="36"/>
        </w:rPr>
        <w:t>Consideration of the 4</w:t>
      </w:r>
      <w:r w:rsidRPr="00FC0D25">
        <w:rPr>
          <w:b/>
          <w:sz w:val="36"/>
          <w:szCs w:val="36"/>
          <w:vertAlign w:val="superscript"/>
        </w:rPr>
        <w:t>th</w:t>
      </w:r>
      <w:r>
        <w:rPr>
          <w:b/>
          <w:sz w:val="36"/>
          <w:szCs w:val="36"/>
        </w:rPr>
        <w:t xml:space="preserve"> and 5</w:t>
      </w:r>
      <w:r w:rsidRPr="00FC0D25">
        <w:rPr>
          <w:b/>
          <w:sz w:val="36"/>
          <w:szCs w:val="36"/>
          <w:vertAlign w:val="superscript"/>
        </w:rPr>
        <w:t>th</w:t>
      </w:r>
      <w:r>
        <w:rPr>
          <w:b/>
          <w:sz w:val="36"/>
          <w:szCs w:val="36"/>
        </w:rPr>
        <w:t xml:space="preserve"> Reports of Australia by the Committee to the Convention Against Torture</w:t>
      </w:r>
    </w:p>
    <w:p w:rsidR="00CF348C" w:rsidRDefault="00CF348C" w:rsidP="00DC0DF8">
      <w:pPr>
        <w:ind w:right="-330"/>
        <w:rPr>
          <w:b/>
          <w:sz w:val="36"/>
          <w:szCs w:val="36"/>
        </w:rPr>
      </w:pPr>
    </w:p>
    <w:p w:rsidR="00DC0DF8" w:rsidRDefault="00DC0DF8" w:rsidP="00DC0DF8">
      <w:pPr>
        <w:ind w:right="-330"/>
        <w:rPr>
          <w:b/>
          <w:sz w:val="36"/>
          <w:szCs w:val="36"/>
        </w:rPr>
      </w:pPr>
    </w:p>
    <w:p w:rsidR="0080272B" w:rsidRPr="00E94620" w:rsidRDefault="0080272B" w:rsidP="00DC0DF8">
      <w:pPr>
        <w:ind w:right="-330"/>
        <w:rPr>
          <w:b/>
          <w:sz w:val="36"/>
          <w:szCs w:val="36"/>
        </w:rPr>
      </w:pPr>
      <w:r w:rsidRPr="00E94620">
        <w:rPr>
          <w:b/>
          <w:sz w:val="36"/>
          <w:szCs w:val="36"/>
        </w:rPr>
        <w:t>Submission</w:t>
      </w:r>
    </w:p>
    <w:p w:rsidR="0080272B" w:rsidRPr="00E94620" w:rsidRDefault="00FC0D25" w:rsidP="00DC0DF8">
      <w:pPr>
        <w:ind w:right="-330"/>
        <w:rPr>
          <w:b/>
          <w:sz w:val="40"/>
          <w:szCs w:val="40"/>
        </w:rPr>
      </w:pPr>
      <w:r>
        <w:rPr>
          <w:b/>
          <w:sz w:val="36"/>
          <w:szCs w:val="36"/>
        </w:rPr>
        <w:t>October 2014</w:t>
      </w:r>
    </w:p>
    <w:p w:rsidR="0080272B" w:rsidRPr="00CF348C" w:rsidRDefault="0080272B" w:rsidP="002775DB">
      <w:pPr>
        <w:ind w:right="-330"/>
        <w:jc w:val="both"/>
        <w:rPr>
          <w:b/>
          <w:sz w:val="36"/>
          <w:szCs w:val="36"/>
        </w:rPr>
      </w:pPr>
    </w:p>
    <w:p w:rsidR="00E14B33" w:rsidRPr="00CF348C" w:rsidRDefault="00E14B33" w:rsidP="002775DB">
      <w:pPr>
        <w:ind w:right="-330"/>
        <w:jc w:val="both"/>
        <w:rPr>
          <w:b/>
          <w:sz w:val="36"/>
          <w:szCs w:val="36"/>
        </w:rPr>
      </w:pPr>
    </w:p>
    <w:p w:rsidR="00DC0DF8" w:rsidRDefault="00DC0DF8" w:rsidP="002775DB">
      <w:pPr>
        <w:jc w:val="both"/>
        <w:rPr>
          <w:b/>
        </w:rPr>
      </w:pPr>
    </w:p>
    <w:p w:rsidR="00DC0DF8" w:rsidRDefault="00DC0DF8" w:rsidP="002775DB">
      <w:pPr>
        <w:jc w:val="both"/>
        <w:rPr>
          <w:b/>
        </w:rPr>
      </w:pPr>
    </w:p>
    <w:p w:rsidR="00DC0DF8" w:rsidRDefault="00DC0DF8" w:rsidP="002775DB">
      <w:pPr>
        <w:jc w:val="both"/>
        <w:rPr>
          <w:b/>
        </w:rPr>
      </w:pPr>
    </w:p>
    <w:p w:rsidR="00DC0DF8" w:rsidRDefault="00DC0DF8" w:rsidP="002775DB">
      <w:pPr>
        <w:jc w:val="both"/>
        <w:rPr>
          <w:b/>
        </w:rPr>
      </w:pPr>
    </w:p>
    <w:p w:rsidR="00123343" w:rsidRPr="00FD077E" w:rsidRDefault="00E14B33" w:rsidP="002775DB">
      <w:pPr>
        <w:jc w:val="both"/>
        <w:rPr>
          <w:b/>
        </w:rPr>
      </w:pPr>
      <w:r w:rsidRPr="00FD077E">
        <w:rPr>
          <w:b/>
        </w:rPr>
        <w:t>Contact details:</w:t>
      </w:r>
    </w:p>
    <w:p w:rsidR="00100F5F" w:rsidRDefault="00100F5F" w:rsidP="002775DB">
      <w:pPr>
        <w:tabs>
          <w:tab w:val="left" w:pos="5610"/>
        </w:tabs>
        <w:jc w:val="both"/>
        <w:rPr>
          <w:b/>
        </w:rPr>
      </w:pPr>
    </w:p>
    <w:p w:rsidR="00123343" w:rsidRPr="00FD077E" w:rsidRDefault="00C669E5" w:rsidP="002775DB">
      <w:pPr>
        <w:tabs>
          <w:tab w:val="left" w:pos="5610"/>
        </w:tabs>
        <w:jc w:val="both"/>
        <w:rPr>
          <w:b/>
        </w:rPr>
      </w:pPr>
      <w:r>
        <w:rPr>
          <w:b/>
        </w:rPr>
        <w:t>Ngila Bevan</w:t>
      </w:r>
    </w:p>
    <w:p w:rsidR="00E14B33" w:rsidRPr="00FD077E" w:rsidRDefault="00C669E5" w:rsidP="002775DB">
      <w:pPr>
        <w:jc w:val="both"/>
      </w:pPr>
      <w:r>
        <w:t>Human Rights Advisor</w:t>
      </w:r>
    </w:p>
    <w:p w:rsidR="00E14B33" w:rsidRPr="00FD077E" w:rsidRDefault="00E14B33" w:rsidP="002775DB">
      <w:pPr>
        <w:jc w:val="both"/>
      </w:pPr>
      <w:r w:rsidRPr="00FD077E">
        <w:t xml:space="preserve">People with Disability Australia Incorporated </w:t>
      </w:r>
    </w:p>
    <w:p w:rsidR="00E14B33" w:rsidRPr="00FD077E" w:rsidRDefault="00E14B33" w:rsidP="002775DB">
      <w:pPr>
        <w:jc w:val="both"/>
      </w:pPr>
      <w:r w:rsidRPr="00FD077E">
        <w:t>PO Box 666 Strawberry Hills NSW 2012</w:t>
      </w:r>
    </w:p>
    <w:p w:rsidR="00E14B33" w:rsidRPr="00FD077E" w:rsidRDefault="00E14B33" w:rsidP="002775DB">
      <w:pPr>
        <w:jc w:val="both"/>
      </w:pPr>
      <w:r w:rsidRPr="00FD077E">
        <w:t>Tel: 02 9370 3100</w:t>
      </w:r>
    </w:p>
    <w:p w:rsidR="00E14B33" w:rsidRPr="00FD077E" w:rsidRDefault="00E14B33" w:rsidP="002775DB">
      <w:pPr>
        <w:jc w:val="both"/>
      </w:pPr>
      <w:r w:rsidRPr="00FD077E">
        <w:t>Fax: 02 9318 1372</w:t>
      </w:r>
    </w:p>
    <w:p w:rsidR="00E14B33" w:rsidRDefault="00A71C6E" w:rsidP="002775DB">
      <w:pPr>
        <w:jc w:val="both"/>
      </w:pPr>
      <w:hyperlink r:id="rId8" w:history="1">
        <w:r w:rsidR="00C669E5" w:rsidRPr="00205C5E">
          <w:rPr>
            <w:rStyle w:val="Hyperlink"/>
          </w:rPr>
          <w:t>ngilab@pwd.org.au</w:t>
        </w:r>
      </w:hyperlink>
      <w:r w:rsidR="00C669E5">
        <w:t xml:space="preserve"> </w:t>
      </w:r>
    </w:p>
    <w:p w:rsidR="00E14B33" w:rsidRPr="00951531" w:rsidRDefault="00562765" w:rsidP="00951531">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ind w:hanging="709"/>
        <w:jc w:val="both"/>
        <w:outlineLvl w:val="0"/>
        <w:rPr>
          <w:b/>
          <w:bCs/>
          <w:caps/>
          <w:color w:val="244061"/>
          <w:kern w:val="28"/>
        </w:rPr>
      </w:pPr>
      <w:bookmarkStart w:id="0" w:name="_Toc401341174"/>
      <w:r w:rsidRPr="00562765">
        <w:rPr>
          <w:b/>
          <w:bCs/>
          <w:caps/>
          <w:color w:val="244061"/>
          <w:kern w:val="28"/>
        </w:rPr>
        <w:lastRenderedPageBreak/>
        <w:t>COntents</w:t>
      </w:r>
      <w:bookmarkEnd w:id="0"/>
    </w:p>
    <w:p w:rsidR="00562765" w:rsidRPr="003745B3" w:rsidRDefault="00E14B33" w:rsidP="002775DB">
      <w:pPr>
        <w:pStyle w:val="TOC1"/>
        <w:jc w:val="both"/>
        <w:rPr>
          <w:rFonts w:eastAsiaTheme="minorEastAsia"/>
          <w:noProof/>
          <w:sz w:val="22"/>
          <w:szCs w:val="22"/>
        </w:rPr>
      </w:pPr>
      <w:r w:rsidRPr="003745B3">
        <w:rPr>
          <w:highlight w:val="yellow"/>
        </w:rPr>
        <w:fldChar w:fldCharType="begin"/>
      </w:r>
      <w:r w:rsidRPr="003745B3">
        <w:rPr>
          <w:highlight w:val="yellow"/>
        </w:rPr>
        <w:instrText xml:space="preserve"> TOC \o "1-4" \h \z \u </w:instrText>
      </w:r>
      <w:r w:rsidRPr="003745B3">
        <w:rPr>
          <w:highlight w:val="yellow"/>
        </w:rPr>
        <w:fldChar w:fldCharType="separate"/>
      </w:r>
    </w:p>
    <w:p w:rsidR="00562765" w:rsidRPr="003745B3" w:rsidRDefault="00A71C6E" w:rsidP="00544397">
      <w:pPr>
        <w:pStyle w:val="TOC1"/>
        <w:ind w:left="1135"/>
        <w:jc w:val="both"/>
        <w:rPr>
          <w:rFonts w:eastAsiaTheme="minorEastAsia"/>
          <w:b/>
          <w:noProof/>
          <w:sz w:val="22"/>
          <w:szCs w:val="22"/>
        </w:rPr>
      </w:pPr>
      <w:hyperlink w:anchor="_Toc401341175" w:history="1">
        <w:r w:rsidR="003745B3" w:rsidRPr="003745B3">
          <w:rPr>
            <w:rStyle w:val="Hyperlink"/>
            <w:rFonts w:ascii="Arial" w:hAnsi="Arial"/>
            <w:b/>
            <w:bCs/>
            <w:noProof/>
            <w:color w:val="auto"/>
            <w:kern w:val="28"/>
            <w:lang w:val="x-none"/>
          </w:rPr>
          <w:t>About People With Disability Australia</w:t>
        </w:r>
        <w:r w:rsidR="003745B3" w:rsidRPr="003745B3">
          <w:rPr>
            <w:b/>
            <w:noProof/>
            <w:webHidden/>
          </w:rPr>
          <w:tab/>
        </w:r>
        <w:r w:rsidR="00562765" w:rsidRPr="003745B3">
          <w:rPr>
            <w:b/>
            <w:noProof/>
            <w:webHidden/>
          </w:rPr>
          <w:fldChar w:fldCharType="begin"/>
        </w:r>
        <w:r w:rsidR="00562765" w:rsidRPr="003745B3">
          <w:rPr>
            <w:b/>
            <w:noProof/>
            <w:webHidden/>
          </w:rPr>
          <w:instrText xml:space="preserve"> PAGEREF _Toc401341175 \h </w:instrText>
        </w:r>
        <w:r w:rsidR="00562765" w:rsidRPr="003745B3">
          <w:rPr>
            <w:b/>
            <w:noProof/>
            <w:webHidden/>
          </w:rPr>
        </w:r>
        <w:r w:rsidR="00562765" w:rsidRPr="003745B3">
          <w:rPr>
            <w:b/>
            <w:noProof/>
            <w:webHidden/>
          </w:rPr>
          <w:fldChar w:fldCharType="separate"/>
        </w:r>
        <w:r w:rsidR="00707441">
          <w:rPr>
            <w:b/>
            <w:noProof/>
            <w:webHidden/>
          </w:rPr>
          <w:t>3</w:t>
        </w:r>
        <w:r w:rsidR="00562765" w:rsidRPr="003745B3">
          <w:rPr>
            <w:b/>
            <w:noProof/>
            <w:webHidden/>
          </w:rPr>
          <w:fldChar w:fldCharType="end"/>
        </w:r>
      </w:hyperlink>
    </w:p>
    <w:p w:rsidR="00562765" w:rsidRPr="003745B3" w:rsidRDefault="00A71C6E" w:rsidP="00544397">
      <w:pPr>
        <w:pStyle w:val="TOC1"/>
        <w:ind w:left="1135"/>
        <w:jc w:val="both"/>
        <w:rPr>
          <w:rFonts w:eastAsiaTheme="minorEastAsia"/>
          <w:b/>
          <w:noProof/>
          <w:sz w:val="22"/>
          <w:szCs w:val="22"/>
        </w:rPr>
      </w:pPr>
      <w:hyperlink w:anchor="_Toc401341176" w:history="1">
        <w:r w:rsidR="003745B3" w:rsidRPr="003745B3">
          <w:rPr>
            <w:rStyle w:val="Hyperlink"/>
            <w:rFonts w:ascii="Arial" w:hAnsi="Arial"/>
            <w:b/>
            <w:bCs/>
            <w:noProof/>
            <w:color w:val="auto"/>
            <w:kern w:val="28"/>
            <w:lang w:val="x-none" w:eastAsia="en-US"/>
          </w:rPr>
          <w:t>Background</w:t>
        </w:r>
        <w:r w:rsidR="003745B3" w:rsidRPr="003745B3">
          <w:rPr>
            <w:b/>
            <w:noProof/>
            <w:webHidden/>
          </w:rPr>
          <w:tab/>
        </w:r>
        <w:r w:rsidR="00562765" w:rsidRPr="003745B3">
          <w:rPr>
            <w:b/>
            <w:noProof/>
            <w:webHidden/>
          </w:rPr>
          <w:fldChar w:fldCharType="begin"/>
        </w:r>
        <w:r w:rsidR="00562765" w:rsidRPr="003745B3">
          <w:rPr>
            <w:b/>
            <w:noProof/>
            <w:webHidden/>
          </w:rPr>
          <w:instrText xml:space="preserve"> PAGEREF _Toc401341176 \h </w:instrText>
        </w:r>
        <w:r w:rsidR="00562765" w:rsidRPr="003745B3">
          <w:rPr>
            <w:b/>
            <w:noProof/>
            <w:webHidden/>
          </w:rPr>
        </w:r>
        <w:r w:rsidR="00562765" w:rsidRPr="003745B3">
          <w:rPr>
            <w:b/>
            <w:noProof/>
            <w:webHidden/>
          </w:rPr>
          <w:fldChar w:fldCharType="separate"/>
        </w:r>
        <w:r w:rsidR="00707441">
          <w:rPr>
            <w:b/>
            <w:noProof/>
            <w:webHidden/>
          </w:rPr>
          <w:t>3</w:t>
        </w:r>
        <w:r w:rsidR="00562765" w:rsidRPr="003745B3">
          <w:rPr>
            <w:b/>
            <w:noProof/>
            <w:webHidden/>
          </w:rPr>
          <w:fldChar w:fldCharType="end"/>
        </w:r>
      </w:hyperlink>
    </w:p>
    <w:p w:rsidR="00562765" w:rsidRPr="003745B3" w:rsidRDefault="00A71C6E" w:rsidP="00544397">
      <w:pPr>
        <w:pStyle w:val="TOC1"/>
        <w:ind w:left="1135"/>
        <w:jc w:val="both"/>
        <w:rPr>
          <w:rFonts w:eastAsiaTheme="minorEastAsia"/>
          <w:b/>
          <w:noProof/>
          <w:sz w:val="22"/>
          <w:szCs w:val="22"/>
        </w:rPr>
      </w:pPr>
      <w:hyperlink w:anchor="_Toc401341177" w:history="1">
        <w:r w:rsidR="003745B3" w:rsidRPr="003745B3">
          <w:rPr>
            <w:rStyle w:val="Hyperlink"/>
            <w:rFonts w:ascii="Arial" w:hAnsi="Arial"/>
            <w:b/>
            <w:bCs/>
            <w:noProof/>
            <w:color w:val="auto"/>
            <w:kern w:val="28"/>
            <w:lang w:val="x-none" w:eastAsia="en-US"/>
          </w:rPr>
          <w:t>Introduction</w:t>
        </w:r>
        <w:r w:rsidR="003745B3" w:rsidRPr="003745B3">
          <w:rPr>
            <w:b/>
            <w:noProof/>
            <w:webHidden/>
          </w:rPr>
          <w:tab/>
        </w:r>
        <w:r w:rsidR="00562765" w:rsidRPr="003745B3">
          <w:rPr>
            <w:b/>
            <w:noProof/>
            <w:webHidden/>
          </w:rPr>
          <w:fldChar w:fldCharType="begin"/>
        </w:r>
        <w:r w:rsidR="00562765" w:rsidRPr="003745B3">
          <w:rPr>
            <w:b/>
            <w:noProof/>
            <w:webHidden/>
          </w:rPr>
          <w:instrText xml:space="preserve"> PAGEREF _Toc401341177 \h </w:instrText>
        </w:r>
        <w:r w:rsidR="00562765" w:rsidRPr="003745B3">
          <w:rPr>
            <w:b/>
            <w:noProof/>
            <w:webHidden/>
          </w:rPr>
        </w:r>
        <w:r w:rsidR="00562765" w:rsidRPr="003745B3">
          <w:rPr>
            <w:b/>
            <w:noProof/>
            <w:webHidden/>
          </w:rPr>
          <w:fldChar w:fldCharType="separate"/>
        </w:r>
        <w:r w:rsidR="00707441">
          <w:rPr>
            <w:b/>
            <w:noProof/>
            <w:webHidden/>
          </w:rPr>
          <w:t>4</w:t>
        </w:r>
        <w:r w:rsidR="00562765" w:rsidRPr="003745B3">
          <w:rPr>
            <w:b/>
            <w:noProof/>
            <w:webHidden/>
          </w:rPr>
          <w:fldChar w:fldCharType="end"/>
        </w:r>
      </w:hyperlink>
    </w:p>
    <w:p w:rsidR="00562765" w:rsidRPr="003745B3" w:rsidRDefault="00A71C6E" w:rsidP="00544397">
      <w:pPr>
        <w:pStyle w:val="TOC1"/>
        <w:ind w:left="1135"/>
        <w:jc w:val="both"/>
        <w:rPr>
          <w:rStyle w:val="Hyperlink"/>
          <w:rFonts w:ascii="Arial" w:hAnsi="Arial"/>
          <w:b/>
          <w:noProof/>
          <w:color w:val="auto"/>
        </w:rPr>
      </w:pPr>
      <w:hyperlink w:anchor="_Toc401341178" w:history="1">
        <w:r w:rsidR="003745B3" w:rsidRPr="003745B3">
          <w:rPr>
            <w:rStyle w:val="Hyperlink"/>
            <w:rFonts w:ascii="Arial" w:hAnsi="Arial"/>
            <w:b/>
            <w:bCs/>
            <w:noProof/>
            <w:color w:val="auto"/>
            <w:kern w:val="28"/>
            <w:lang w:val="x-none" w:eastAsia="en-US"/>
          </w:rPr>
          <w:t>Recommendations</w:t>
        </w:r>
        <w:r w:rsidR="003745B3" w:rsidRPr="003745B3">
          <w:rPr>
            <w:b/>
            <w:noProof/>
            <w:webHidden/>
          </w:rPr>
          <w:tab/>
        </w:r>
        <w:r w:rsidR="00562765" w:rsidRPr="003745B3">
          <w:rPr>
            <w:b/>
            <w:noProof/>
            <w:webHidden/>
          </w:rPr>
          <w:fldChar w:fldCharType="begin"/>
        </w:r>
        <w:r w:rsidR="00562765" w:rsidRPr="003745B3">
          <w:rPr>
            <w:b/>
            <w:noProof/>
            <w:webHidden/>
          </w:rPr>
          <w:instrText xml:space="preserve"> PAGEREF _Toc401341178 \h </w:instrText>
        </w:r>
        <w:r w:rsidR="00562765" w:rsidRPr="003745B3">
          <w:rPr>
            <w:b/>
            <w:noProof/>
            <w:webHidden/>
          </w:rPr>
        </w:r>
        <w:r w:rsidR="00562765" w:rsidRPr="003745B3">
          <w:rPr>
            <w:b/>
            <w:noProof/>
            <w:webHidden/>
          </w:rPr>
          <w:fldChar w:fldCharType="separate"/>
        </w:r>
        <w:r w:rsidR="00707441">
          <w:rPr>
            <w:b/>
            <w:noProof/>
            <w:webHidden/>
          </w:rPr>
          <w:t>7</w:t>
        </w:r>
        <w:r w:rsidR="00562765" w:rsidRPr="003745B3">
          <w:rPr>
            <w:b/>
            <w:noProof/>
            <w:webHidden/>
          </w:rPr>
          <w:fldChar w:fldCharType="end"/>
        </w:r>
      </w:hyperlink>
    </w:p>
    <w:p w:rsidR="003745B3" w:rsidRPr="003745B3" w:rsidRDefault="003745B3" w:rsidP="00544397">
      <w:pPr>
        <w:ind w:left="709"/>
        <w:jc w:val="both"/>
        <w:rPr>
          <w:rFonts w:eastAsiaTheme="minorEastAsia"/>
          <w:b/>
          <w:noProof/>
        </w:rPr>
      </w:pPr>
    </w:p>
    <w:p w:rsidR="00562765" w:rsidRPr="003745B3" w:rsidRDefault="00A71C6E" w:rsidP="00544397">
      <w:pPr>
        <w:pStyle w:val="TOC1"/>
        <w:ind w:left="1135"/>
        <w:jc w:val="both"/>
        <w:rPr>
          <w:rStyle w:val="Hyperlink"/>
          <w:rFonts w:ascii="Arial" w:hAnsi="Arial"/>
          <w:b/>
          <w:noProof/>
          <w:color w:val="auto"/>
        </w:rPr>
      </w:pPr>
      <w:hyperlink w:anchor="_Toc401341179" w:history="1">
        <w:r w:rsidR="003745B3" w:rsidRPr="003745B3">
          <w:rPr>
            <w:rStyle w:val="Hyperlink"/>
            <w:rFonts w:ascii="Arial" w:hAnsi="Arial"/>
            <w:b/>
            <w:bCs/>
            <w:noProof/>
            <w:color w:val="auto"/>
            <w:kern w:val="28"/>
            <w:lang w:val="x-none" w:eastAsia="en-US"/>
          </w:rPr>
          <w:t>1.</w:t>
        </w:r>
        <w:r w:rsidR="00707441">
          <w:rPr>
            <w:rFonts w:eastAsiaTheme="minorEastAsia"/>
            <w:b/>
            <w:noProof/>
            <w:sz w:val="22"/>
            <w:szCs w:val="22"/>
          </w:rPr>
          <w:t xml:space="preserve"> </w:t>
        </w:r>
        <w:r w:rsidR="003745B3" w:rsidRPr="003745B3">
          <w:rPr>
            <w:rStyle w:val="Hyperlink"/>
            <w:rFonts w:ascii="Arial" w:hAnsi="Arial"/>
            <w:b/>
            <w:bCs/>
            <w:noProof/>
            <w:color w:val="auto"/>
            <w:kern w:val="28"/>
            <w:lang w:val="x-none" w:eastAsia="en-US"/>
          </w:rPr>
          <w:t>Introduction To Australian Government And Legal System</w:t>
        </w:r>
        <w:r w:rsidR="003745B3" w:rsidRPr="003745B3">
          <w:rPr>
            <w:b/>
            <w:noProof/>
            <w:webHidden/>
          </w:rPr>
          <w:tab/>
        </w:r>
        <w:r w:rsidR="00562765" w:rsidRPr="003745B3">
          <w:rPr>
            <w:b/>
            <w:noProof/>
            <w:webHidden/>
          </w:rPr>
          <w:fldChar w:fldCharType="begin"/>
        </w:r>
        <w:r w:rsidR="00562765" w:rsidRPr="003745B3">
          <w:rPr>
            <w:b/>
            <w:noProof/>
            <w:webHidden/>
          </w:rPr>
          <w:instrText xml:space="preserve"> PAGEREF _Toc401341179 \h </w:instrText>
        </w:r>
        <w:r w:rsidR="00562765" w:rsidRPr="003745B3">
          <w:rPr>
            <w:b/>
            <w:noProof/>
            <w:webHidden/>
          </w:rPr>
        </w:r>
        <w:r w:rsidR="00562765" w:rsidRPr="003745B3">
          <w:rPr>
            <w:b/>
            <w:noProof/>
            <w:webHidden/>
          </w:rPr>
          <w:fldChar w:fldCharType="separate"/>
        </w:r>
        <w:r w:rsidR="00707441">
          <w:rPr>
            <w:b/>
            <w:noProof/>
            <w:webHidden/>
          </w:rPr>
          <w:t>10</w:t>
        </w:r>
        <w:r w:rsidR="00562765" w:rsidRPr="003745B3">
          <w:rPr>
            <w:b/>
            <w:noProof/>
            <w:webHidden/>
          </w:rPr>
          <w:fldChar w:fldCharType="end"/>
        </w:r>
      </w:hyperlink>
    </w:p>
    <w:p w:rsidR="003745B3" w:rsidRPr="003745B3" w:rsidRDefault="003745B3" w:rsidP="00544397">
      <w:pPr>
        <w:ind w:left="709"/>
        <w:jc w:val="both"/>
        <w:rPr>
          <w:rFonts w:eastAsiaTheme="minorEastAsia"/>
          <w:b/>
          <w:noProof/>
        </w:rPr>
      </w:pPr>
    </w:p>
    <w:p w:rsidR="00562765" w:rsidRPr="003745B3" w:rsidRDefault="00A71C6E" w:rsidP="00544397">
      <w:pPr>
        <w:pStyle w:val="TOC1"/>
        <w:ind w:left="1135"/>
        <w:jc w:val="both"/>
        <w:rPr>
          <w:rStyle w:val="Hyperlink"/>
          <w:rFonts w:ascii="Arial" w:hAnsi="Arial"/>
          <w:b/>
          <w:noProof/>
          <w:color w:val="auto"/>
        </w:rPr>
      </w:pPr>
      <w:hyperlink w:anchor="_Toc401341180" w:history="1">
        <w:r w:rsidR="003745B3" w:rsidRPr="003745B3">
          <w:rPr>
            <w:rStyle w:val="Hyperlink"/>
            <w:rFonts w:ascii="Arial" w:hAnsi="Arial"/>
            <w:b/>
            <w:noProof/>
            <w:color w:val="auto"/>
            <w:kern w:val="28"/>
            <w:lang w:val="x-none" w:eastAsia="en-US"/>
          </w:rPr>
          <w:t>2.</w:t>
        </w:r>
        <w:r w:rsidR="00707441">
          <w:rPr>
            <w:rFonts w:eastAsiaTheme="minorEastAsia"/>
            <w:b/>
            <w:noProof/>
            <w:sz w:val="22"/>
            <w:szCs w:val="22"/>
          </w:rPr>
          <w:t xml:space="preserve"> </w:t>
        </w:r>
        <w:r w:rsidR="003745B3" w:rsidRPr="003745B3">
          <w:rPr>
            <w:rStyle w:val="Hyperlink"/>
            <w:rFonts w:ascii="Arial" w:hAnsi="Arial"/>
            <w:b/>
            <w:iCs/>
            <w:noProof/>
            <w:color w:val="auto"/>
            <w:kern w:val="28"/>
            <w:lang w:val="x-none" w:eastAsia="en-US"/>
          </w:rPr>
          <w:t>Legislati</w:t>
        </w:r>
        <w:r w:rsidR="003745B3" w:rsidRPr="003745B3">
          <w:rPr>
            <w:rStyle w:val="Hyperlink"/>
            <w:rFonts w:ascii="Arial" w:hAnsi="Arial"/>
            <w:b/>
            <w:iCs/>
            <w:noProof/>
            <w:color w:val="auto"/>
            <w:kern w:val="28"/>
            <w:lang w:eastAsia="en-US"/>
          </w:rPr>
          <w:t>ve Background</w:t>
        </w:r>
        <w:r w:rsidR="003745B3" w:rsidRPr="003745B3">
          <w:rPr>
            <w:b/>
            <w:noProof/>
            <w:webHidden/>
          </w:rPr>
          <w:tab/>
        </w:r>
        <w:r w:rsidR="00562765" w:rsidRPr="003745B3">
          <w:rPr>
            <w:b/>
            <w:noProof/>
            <w:webHidden/>
          </w:rPr>
          <w:fldChar w:fldCharType="begin"/>
        </w:r>
        <w:r w:rsidR="00562765" w:rsidRPr="003745B3">
          <w:rPr>
            <w:b/>
            <w:noProof/>
            <w:webHidden/>
          </w:rPr>
          <w:instrText xml:space="preserve"> PAGEREF _Toc401341180 \h </w:instrText>
        </w:r>
        <w:r w:rsidR="00562765" w:rsidRPr="003745B3">
          <w:rPr>
            <w:b/>
            <w:noProof/>
            <w:webHidden/>
          </w:rPr>
        </w:r>
        <w:r w:rsidR="00562765" w:rsidRPr="003745B3">
          <w:rPr>
            <w:b/>
            <w:noProof/>
            <w:webHidden/>
          </w:rPr>
          <w:fldChar w:fldCharType="separate"/>
        </w:r>
        <w:r w:rsidR="00707441">
          <w:rPr>
            <w:b/>
            <w:noProof/>
            <w:webHidden/>
          </w:rPr>
          <w:t>12</w:t>
        </w:r>
        <w:r w:rsidR="00562765" w:rsidRPr="003745B3">
          <w:rPr>
            <w:b/>
            <w:noProof/>
            <w:webHidden/>
          </w:rPr>
          <w:fldChar w:fldCharType="end"/>
        </w:r>
      </w:hyperlink>
    </w:p>
    <w:p w:rsidR="003745B3" w:rsidRPr="003745B3" w:rsidRDefault="003745B3" w:rsidP="00544397">
      <w:pPr>
        <w:ind w:left="709"/>
        <w:jc w:val="both"/>
        <w:rPr>
          <w:rFonts w:eastAsiaTheme="minorEastAsia"/>
          <w:noProof/>
        </w:rPr>
      </w:pPr>
    </w:p>
    <w:p w:rsidR="00562765" w:rsidRPr="003745B3" w:rsidRDefault="00A71C6E" w:rsidP="00544397">
      <w:pPr>
        <w:pStyle w:val="TOC1"/>
        <w:ind w:left="1135"/>
        <w:jc w:val="both"/>
        <w:rPr>
          <w:rFonts w:eastAsiaTheme="minorEastAsia"/>
          <w:noProof/>
          <w:sz w:val="22"/>
          <w:szCs w:val="22"/>
        </w:rPr>
      </w:pPr>
      <w:hyperlink w:anchor="_Toc401341181" w:history="1">
        <w:r w:rsidR="003745B3" w:rsidRPr="003745B3">
          <w:rPr>
            <w:rStyle w:val="Hyperlink"/>
            <w:rFonts w:ascii="Arial" w:hAnsi="Arial"/>
            <w:b/>
            <w:iCs/>
            <w:noProof/>
            <w:color w:val="auto"/>
            <w:kern w:val="28"/>
            <w:lang w:val="x-none" w:eastAsia="en-US"/>
          </w:rPr>
          <w:t>3.</w:t>
        </w:r>
        <w:r w:rsidR="00707441">
          <w:rPr>
            <w:rFonts w:eastAsiaTheme="minorEastAsia"/>
            <w:noProof/>
            <w:sz w:val="22"/>
            <w:szCs w:val="22"/>
          </w:rPr>
          <w:t xml:space="preserve"> </w:t>
        </w:r>
        <w:r w:rsidR="003745B3" w:rsidRPr="003745B3">
          <w:rPr>
            <w:rStyle w:val="Hyperlink"/>
            <w:rFonts w:ascii="Arial" w:hAnsi="Arial"/>
            <w:b/>
            <w:iCs/>
            <w:noProof/>
            <w:color w:val="auto"/>
            <w:kern w:val="28"/>
            <w:lang w:val="x-none" w:eastAsia="en-US"/>
          </w:rPr>
          <w:t>Legal Capacity</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_Toc401341181 \h </w:instrText>
        </w:r>
        <w:r w:rsidR="00562765" w:rsidRPr="003745B3">
          <w:rPr>
            <w:noProof/>
            <w:webHidden/>
          </w:rPr>
        </w:r>
        <w:r w:rsidR="00562765" w:rsidRPr="003745B3">
          <w:rPr>
            <w:noProof/>
            <w:webHidden/>
          </w:rPr>
          <w:fldChar w:fldCharType="separate"/>
        </w:r>
        <w:r w:rsidR="00707441">
          <w:rPr>
            <w:noProof/>
            <w:webHidden/>
          </w:rPr>
          <w:t>14</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182" w:history="1">
        <w:r w:rsidR="003745B3" w:rsidRPr="003745B3">
          <w:rPr>
            <w:rStyle w:val="Hyperlink"/>
            <w:rFonts w:ascii="Arial" w:hAnsi="Arial"/>
            <w:bCs/>
            <w:noProof/>
            <w:color w:val="auto"/>
            <w:kern w:val="28"/>
            <w:lang w:eastAsia="en-US"/>
          </w:rPr>
          <w:t xml:space="preserve">3.1 </w:t>
        </w:r>
        <w:r w:rsidR="003745B3" w:rsidRPr="003745B3">
          <w:rPr>
            <w:rStyle w:val="Hyperlink"/>
            <w:rFonts w:ascii="Arial" w:hAnsi="Arial"/>
            <w:bCs/>
            <w:noProof/>
            <w:color w:val="auto"/>
            <w:kern w:val="28"/>
            <w:lang w:val="x-none" w:eastAsia="en-US"/>
          </w:rPr>
          <w:t>Australian Law Reform Commission Inquiry</w:t>
        </w:r>
        <w:r w:rsidR="003745B3" w:rsidRPr="003745B3">
          <w:rPr>
            <w:rStyle w:val="Hyperlink"/>
            <w:rFonts w:ascii="Arial" w:hAnsi="Arial"/>
            <w:bCs/>
            <w:noProof/>
            <w:color w:val="auto"/>
            <w:kern w:val="28"/>
            <w:lang w:eastAsia="en-US"/>
          </w:rPr>
          <w:t>:</w:t>
        </w:r>
        <w:r w:rsidR="003745B3" w:rsidRPr="003745B3">
          <w:rPr>
            <w:rStyle w:val="Hyperlink"/>
            <w:rFonts w:ascii="Arial" w:hAnsi="Arial"/>
            <w:bCs/>
            <w:noProof/>
            <w:color w:val="auto"/>
            <w:kern w:val="28"/>
            <w:lang w:val="x-none" w:eastAsia="en-US"/>
          </w:rPr>
          <w:t xml:space="preserve"> Equality Before The Law</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_Toc401341182 \h </w:instrText>
        </w:r>
        <w:r w:rsidR="00562765" w:rsidRPr="003745B3">
          <w:rPr>
            <w:noProof/>
            <w:webHidden/>
          </w:rPr>
        </w:r>
        <w:r w:rsidR="00562765" w:rsidRPr="003745B3">
          <w:rPr>
            <w:noProof/>
            <w:webHidden/>
          </w:rPr>
          <w:fldChar w:fldCharType="separate"/>
        </w:r>
        <w:r w:rsidR="00707441">
          <w:rPr>
            <w:noProof/>
            <w:webHidden/>
          </w:rPr>
          <w:t>15</w:t>
        </w:r>
        <w:r w:rsidR="00562765" w:rsidRPr="003745B3">
          <w:rPr>
            <w:noProof/>
            <w:webHidden/>
          </w:rPr>
          <w:fldChar w:fldCharType="end"/>
        </w:r>
      </w:hyperlink>
    </w:p>
    <w:p w:rsidR="00562765" w:rsidRDefault="00A71C6E" w:rsidP="00544397">
      <w:pPr>
        <w:pStyle w:val="TOC1"/>
        <w:ind w:left="1135"/>
        <w:jc w:val="both"/>
        <w:rPr>
          <w:rStyle w:val="Hyperlink"/>
          <w:rFonts w:ascii="Arial" w:hAnsi="Arial"/>
          <w:noProof/>
          <w:color w:val="auto"/>
        </w:rPr>
      </w:pPr>
      <w:hyperlink w:anchor="_Toc401341183" w:history="1">
        <w:r w:rsidR="003745B3" w:rsidRPr="003745B3">
          <w:rPr>
            <w:rStyle w:val="Hyperlink"/>
            <w:rFonts w:ascii="Arial" w:hAnsi="Arial"/>
            <w:bCs/>
            <w:noProof/>
            <w:color w:val="auto"/>
            <w:kern w:val="28"/>
            <w:lang w:eastAsia="en-US" w:bidi="en-US"/>
          </w:rPr>
          <w:t xml:space="preserve">3.2 </w:t>
        </w:r>
        <w:r w:rsidR="003745B3" w:rsidRPr="003745B3">
          <w:rPr>
            <w:rStyle w:val="Hyperlink"/>
            <w:rFonts w:ascii="Arial" w:hAnsi="Arial"/>
            <w:bCs/>
            <w:noProof/>
            <w:color w:val="auto"/>
            <w:kern w:val="28"/>
            <w:lang w:val="x-none" w:eastAsia="en-US" w:bidi="en-US"/>
          </w:rPr>
          <w:t xml:space="preserve">Nominee Provisions In The </w:t>
        </w:r>
        <w:r w:rsidR="003745B3" w:rsidRPr="003745B3">
          <w:rPr>
            <w:rStyle w:val="Hyperlink"/>
            <w:rFonts w:ascii="Arial" w:hAnsi="Arial"/>
            <w:noProof/>
            <w:color w:val="auto"/>
            <w:lang w:eastAsia="en-US" w:bidi="en-US"/>
          </w:rPr>
          <w:t>National Disability Insurance Scheme (</w:t>
        </w:r>
        <w:r w:rsidR="003745B3" w:rsidRPr="003745B3">
          <w:rPr>
            <w:rStyle w:val="Hyperlink"/>
            <w:rFonts w:ascii="Arial" w:hAnsi="Arial"/>
            <w:bCs/>
            <w:noProof/>
            <w:color w:val="auto"/>
            <w:kern w:val="28"/>
            <w:lang w:eastAsia="en-US" w:bidi="en-US"/>
          </w:rPr>
          <w:t>Ndis)</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_Toc401341183 \h </w:instrText>
        </w:r>
        <w:r w:rsidR="00562765" w:rsidRPr="003745B3">
          <w:rPr>
            <w:noProof/>
            <w:webHidden/>
          </w:rPr>
        </w:r>
        <w:r w:rsidR="00562765" w:rsidRPr="003745B3">
          <w:rPr>
            <w:noProof/>
            <w:webHidden/>
          </w:rPr>
          <w:fldChar w:fldCharType="separate"/>
        </w:r>
        <w:r w:rsidR="00707441">
          <w:rPr>
            <w:noProof/>
            <w:webHidden/>
          </w:rPr>
          <w:t>16</w:t>
        </w:r>
        <w:r w:rsidR="00562765" w:rsidRPr="003745B3">
          <w:rPr>
            <w:noProof/>
            <w:webHidden/>
          </w:rPr>
          <w:fldChar w:fldCharType="end"/>
        </w:r>
      </w:hyperlink>
    </w:p>
    <w:p w:rsidR="003745B3" w:rsidRPr="003745B3" w:rsidRDefault="003745B3" w:rsidP="00544397">
      <w:pPr>
        <w:ind w:left="709"/>
        <w:jc w:val="both"/>
        <w:rPr>
          <w:rFonts w:eastAsiaTheme="minorEastAsia"/>
          <w:noProof/>
        </w:rPr>
      </w:pPr>
    </w:p>
    <w:p w:rsidR="00562765" w:rsidRPr="003745B3" w:rsidRDefault="00A71C6E" w:rsidP="00544397">
      <w:pPr>
        <w:pStyle w:val="TOC1"/>
        <w:ind w:left="1135"/>
        <w:jc w:val="both"/>
        <w:rPr>
          <w:rFonts w:eastAsiaTheme="minorEastAsia"/>
          <w:noProof/>
          <w:sz w:val="22"/>
          <w:szCs w:val="22"/>
        </w:rPr>
      </w:pPr>
      <w:hyperlink w:anchor="_Toc401341184" w:history="1">
        <w:r w:rsidR="003745B3" w:rsidRPr="003745B3">
          <w:rPr>
            <w:rStyle w:val="Hyperlink"/>
            <w:rFonts w:ascii="Arial" w:hAnsi="Arial"/>
            <w:b/>
            <w:bCs/>
            <w:noProof/>
            <w:color w:val="auto"/>
            <w:kern w:val="28"/>
            <w:lang w:val="x-none" w:eastAsia="en-US"/>
          </w:rPr>
          <w:t>4.</w:t>
        </w:r>
        <w:r w:rsidR="00707441">
          <w:rPr>
            <w:rFonts w:eastAsiaTheme="minorEastAsia"/>
            <w:noProof/>
            <w:sz w:val="22"/>
            <w:szCs w:val="22"/>
          </w:rPr>
          <w:t xml:space="preserve"> </w:t>
        </w:r>
        <w:r w:rsidR="003745B3" w:rsidRPr="003745B3">
          <w:rPr>
            <w:rStyle w:val="Hyperlink"/>
            <w:rFonts w:ascii="Arial" w:hAnsi="Arial"/>
            <w:b/>
            <w:bCs/>
            <w:noProof/>
            <w:color w:val="auto"/>
            <w:kern w:val="28"/>
            <w:lang w:val="x-none" w:eastAsia="en-US"/>
          </w:rPr>
          <w:t>Restrictive Practices</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_Toc401341184 \h </w:instrText>
        </w:r>
        <w:r w:rsidR="00562765" w:rsidRPr="003745B3">
          <w:rPr>
            <w:noProof/>
            <w:webHidden/>
          </w:rPr>
        </w:r>
        <w:r w:rsidR="00562765" w:rsidRPr="003745B3">
          <w:rPr>
            <w:noProof/>
            <w:webHidden/>
          </w:rPr>
          <w:fldChar w:fldCharType="separate"/>
        </w:r>
        <w:r w:rsidR="00707441">
          <w:rPr>
            <w:noProof/>
            <w:webHidden/>
          </w:rPr>
          <w:t>17</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185" w:history="1">
        <w:r w:rsidR="003745B3" w:rsidRPr="003745B3">
          <w:rPr>
            <w:rStyle w:val="Hyperlink"/>
            <w:rFonts w:ascii="Arial" w:hAnsi="Arial"/>
            <w:bCs/>
            <w:noProof/>
            <w:color w:val="auto"/>
            <w:kern w:val="28"/>
            <w:lang w:val="x-none" w:eastAsia="en-US"/>
          </w:rPr>
          <w:t>4.1 Disability Service System</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_Toc401341185 \h </w:instrText>
        </w:r>
        <w:r w:rsidR="00562765" w:rsidRPr="003745B3">
          <w:rPr>
            <w:noProof/>
            <w:webHidden/>
          </w:rPr>
        </w:r>
        <w:r w:rsidR="00562765" w:rsidRPr="003745B3">
          <w:rPr>
            <w:noProof/>
            <w:webHidden/>
          </w:rPr>
          <w:fldChar w:fldCharType="separate"/>
        </w:r>
        <w:r w:rsidR="00707441">
          <w:rPr>
            <w:noProof/>
            <w:webHidden/>
          </w:rPr>
          <w:t>19</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186" w:history="1">
        <w:r w:rsidR="003745B3" w:rsidRPr="003745B3">
          <w:rPr>
            <w:rStyle w:val="Hyperlink"/>
            <w:rFonts w:ascii="Arial" w:hAnsi="Arial"/>
            <w:bCs/>
            <w:noProof/>
            <w:color w:val="auto"/>
            <w:kern w:val="28"/>
            <w:lang w:val="x-none" w:eastAsia="en-US"/>
          </w:rPr>
          <w:t>4.2 Mental Health Service System</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_Toc401341186 \h </w:instrText>
        </w:r>
        <w:r w:rsidR="00562765" w:rsidRPr="003745B3">
          <w:rPr>
            <w:noProof/>
            <w:webHidden/>
          </w:rPr>
        </w:r>
        <w:r w:rsidR="00562765" w:rsidRPr="003745B3">
          <w:rPr>
            <w:noProof/>
            <w:webHidden/>
          </w:rPr>
          <w:fldChar w:fldCharType="separate"/>
        </w:r>
        <w:r w:rsidR="00707441">
          <w:rPr>
            <w:noProof/>
            <w:webHidden/>
          </w:rPr>
          <w:t>20</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187" w:history="1">
        <w:r w:rsidR="003745B3" w:rsidRPr="003745B3">
          <w:rPr>
            <w:rStyle w:val="Hyperlink"/>
            <w:rFonts w:ascii="Arial" w:hAnsi="Arial"/>
            <w:bCs/>
            <w:noProof/>
            <w:color w:val="auto"/>
            <w:kern w:val="28"/>
            <w:lang w:val="x-none" w:eastAsia="en-US"/>
          </w:rPr>
          <w:t>4.3 Schools</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_Toc401341187 \h </w:instrText>
        </w:r>
        <w:r w:rsidR="00562765" w:rsidRPr="003745B3">
          <w:rPr>
            <w:noProof/>
            <w:webHidden/>
          </w:rPr>
        </w:r>
        <w:r w:rsidR="00562765" w:rsidRPr="003745B3">
          <w:rPr>
            <w:noProof/>
            <w:webHidden/>
          </w:rPr>
          <w:fldChar w:fldCharType="separate"/>
        </w:r>
        <w:r w:rsidR="00707441">
          <w:rPr>
            <w:noProof/>
            <w:webHidden/>
          </w:rPr>
          <w:t>21</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188" w:history="1">
        <w:r w:rsidR="003745B3" w:rsidRPr="003745B3">
          <w:rPr>
            <w:rStyle w:val="Hyperlink"/>
            <w:rFonts w:ascii="Arial" w:hAnsi="Arial"/>
            <w:bCs/>
            <w:noProof/>
            <w:color w:val="auto"/>
            <w:kern w:val="28"/>
            <w:lang w:val="x-none" w:eastAsia="en-US"/>
          </w:rPr>
          <w:t>4.4 Prisons</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_Toc401341188 \h </w:instrText>
        </w:r>
        <w:r w:rsidR="00562765" w:rsidRPr="003745B3">
          <w:rPr>
            <w:noProof/>
            <w:webHidden/>
          </w:rPr>
        </w:r>
        <w:r w:rsidR="00562765" w:rsidRPr="003745B3">
          <w:rPr>
            <w:noProof/>
            <w:webHidden/>
          </w:rPr>
          <w:fldChar w:fldCharType="separate"/>
        </w:r>
        <w:r w:rsidR="00707441">
          <w:rPr>
            <w:noProof/>
            <w:webHidden/>
          </w:rPr>
          <w:t>21</w:t>
        </w:r>
        <w:r w:rsidR="00562765" w:rsidRPr="003745B3">
          <w:rPr>
            <w:noProof/>
            <w:webHidden/>
          </w:rPr>
          <w:fldChar w:fldCharType="end"/>
        </w:r>
      </w:hyperlink>
    </w:p>
    <w:p w:rsidR="00562765" w:rsidRDefault="00A71C6E" w:rsidP="00544397">
      <w:pPr>
        <w:pStyle w:val="TOC1"/>
        <w:ind w:left="1135"/>
        <w:jc w:val="both"/>
        <w:rPr>
          <w:rStyle w:val="Hyperlink"/>
          <w:rFonts w:ascii="Arial" w:hAnsi="Arial"/>
          <w:noProof/>
          <w:color w:val="auto"/>
        </w:rPr>
      </w:pPr>
      <w:hyperlink w:anchor="_Toc401341189" w:history="1">
        <w:r w:rsidR="003745B3" w:rsidRPr="003745B3">
          <w:rPr>
            <w:rStyle w:val="Hyperlink"/>
            <w:rFonts w:ascii="Arial" w:hAnsi="Arial"/>
            <w:bCs/>
            <w:noProof/>
            <w:color w:val="auto"/>
            <w:kern w:val="28"/>
            <w:lang w:val="x-none" w:eastAsia="en-US"/>
          </w:rPr>
          <w:t xml:space="preserve">4.5 The National Framework </w:t>
        </w:r>
        <w:r w:rsidR="00CF6829">
          <w:rPr>
            <w:rStyle w:val="Hyperlink"/>
            <w:rFonts w:ascii="Arial" w:hAnsi="Arial"/>
            <w:bCs/>
            <w:noProof/>
            <w:color w:val="auto"/>
            <w:kern w:val="28"/>
            <w:lang w:val="x-none"/>
          </w:rPr>
          <w:t>For Reducing</w:t>
        </w:r>
        <w:r w:rsidR="003745B3" w:rsidRPr="003745B3">
          <w:rPr>
            <w:rStyle w:val="Hyperlink"/>
            <w:rFonts w:ascii="Arial" w:hAnsi="Arial"/>
            <w:bCs/>
            <w:noProof/>
            <w:color w:val="auto"/>
            <w:kern w:val="28"/>
            <w:lang w:val="x-none"/>
          </w:rPr>
          <w:t xml:space="preserve"> Restrictive Practices</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_Toc401341189 \h </w:instrText>
        </w:r>
        <w:r w:rsidR="00562765" w:rsidRPr="003745B3">
          <w:rPr>
            <w:noProof/>
            <w:webHidden/>
          </w:rPr>
        </w:r>
        <w:r w:rsidR="00562765" w:rsidRPr="003745B3">
          <w:rPr>
            <w:noProof/>
            <w:webHidden/>
          </w:rPr>
          <w:fldChar w:fldCharType="separate"/>
        </w:r>
        <w:r w:rsidR="00707441">
          <w:rPr>
            <w:noProof/>
            <w:webHidden/>
          </w:rPr>
          <w:t>23</w:t>
        </w:r>
        <w:r w:rsidR="00562765" w:rsidRPr="003745B3">
          <w:rPr>
            <w:noProof/>
            <w:webHidden/>
          </w:rPr>
          <w:fldChar w:fldCharType="end"/>
        </w:r>
      </w:hyperlink>
    </w:p>
    <w:p w:rsidR="003745B3" w:rsidRPr="003745B3" w:rsidRDefault="003745B3" w:rsidP="00544397">
      <w:pPr>
        <w:ind w:left="709"/>
        <w:jc w:val="both"/>
        <w:rPr>
          <w:rFonts w:eastAsiaTheme="minorEastAsia"/>
          <w:noProof/>
        </w:rPr>
      </w:pPr>
    </w:p>
    <w:p w:rsidR="00562765" w:rsidRPr="003745B3" w:rsidRDefault="00A71C6E" w:rsidP="00544397">
      <w:pPr>
        <w:pStyle w:val="TOC1"/>
        <w:ind w:left="1135"/>
        <w:jc w:val="both"/>
        <w:rPr>
          <w:rFonts w:eastAsiaTheme="minorEastAsia"/>
          <w:noProof/>
          <w:sz w:val="22"/>
          <w:szCs w:val="22"/>
        </w:rPr>
      </w:pPr>
      <w:hyperlink w:anchor="_Toc401341190" w:history="1">
        <w:r w:rsidR="003745B3" w:rsidRPr="003745B3">
          <w:rPr>
            <w:rStyle w:val="Hyperlink"/>
            <w:rFonts w:ascii="Arial" w:hAnsi="Arial"/>
            <w:b/>
            <w:bCs/>
            <w:noProof/>
            <w:color w:val="auto"/>
            <w:kern w:val="28"/>
            <w:lang w:val="x-none" w:eastAsia="en-US"/>
          </w:rPr>
          <w:t>5.</w:t>
        </w:r>
        <w:r w:rsidR="00707441">
          <w:rPr>
            <w:rFonts w:eastAsiaTheme="minorEastAsia"/>
            <w:noProof/>
            <w:sz w:val="22"/>
            <w:szCs w:val="22"/>
          </w:rPr>
          <w:t xml:space="preserve"> </w:t>
        </w:r>
        <w:r w:rsidR="003745B3" w:rsidRPr="003745B3">
          <w:rPr>
            <w:rStyle w:val="Hyperlink"/>
            <w:rFonts w:ascii="Arial" w:hAnsi="Arial"/>
            <w:b/>
            <w:bCs/>
            <w:noProof/>
            <w:color w:val="auto"/>
            <w:kern w:val="28"/>
            <w:lang w:val="x-none" w:eastAsia="en-US"/>
          </w:rPr>
          <w:t>Involuntary Treatment</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_Toc401341190 \h </w:instrText>
        </w:r>
        <w:r w:rsidR="00562765" w:rsidRPr="003745B3">
          <w:rPr>
            <w:noProof/>
            <w:webHidden/>
          </w:rPr>
        </w:r>
        <w:r w:rsidR="00562765" w:rsidRPr="003745B3">
          <w:rPr>
            <w:noProof/>
            <w:webHidden/>
          </w:rPr>
          <w:fldChar w:fldCharType="separate"/>
        </w:r>
        <w:r w:rsidR="00707441">
          <w:rPr>
            <w:noProof/>
            <w:webHidden/>
          </w:rPr>
          <w:t>25</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191" w:history="1">
        <w:r w:rsidR="003745B3" w:rsidRPr="003745B3">
          <w:rPr>
            <w:rStyle w:val="Hyperlink"/>
            <w:rFonts w:ascii="Arial" w:hAnsi="Arial"/>
            <w:bCs/>
            <w:noProof/>
            <w:color w:val="auto"/>
            <w:kern w:val="28"/>
            <w:lang w:val="x-none" w:eastAsia="en-US"/>
          </w:rPr>
          <w:t>5.1 The Interpretive Declaration On C</w:t>
        </w:r>
        <w:r w:rsidR="00A85B37">
          <w:rPr>
            <w:rStyle w:val="Hyperlink"/>
            <w:rFonts w:ascii="Arial" w:hAnsi="Arial"/>
            <w:bCs/>
            <w:noProof/>
            <w:color w:val="auto"/>
            <w:kern w:val="28"/>
            <w:lang w:eastAsia="en-US"/>
          </w:rPr>
          <w:t>RPD</w:t>
        </w:r>
        <w:r w:rsidR="003745B3" w:rsidRPr="003745B3">
          <w:rPr>
            <w:rStyle w:val="Hyperlink"/>
            <w:rFonts w:ascii="Arial" w:hAnsi="Arial"/>
            <w:bCs/>
            <w:noProof/>
            <w:color w:val="auto"/>
            <w:kern w:val="28"/>
            <w:lang w:val="x-none" w:eastAsia="en-US"/>
          </w:rPr>
          <w:t xml:space="preserve"> Article 17</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_Toc401341191 \h </w:instrText>
        </w:r>
        <w:r w:rsidR="00562765" w:rsidRPr="003745B3">
          <w:rPr>
            <w:noProof/>
            <w:webHidden/>
          </w:rPr>
        </w:r>
        <w:r w:rsidR="00562765" w:rsidRPr="003745B3">
          <w:rPr>
            <w:noProof/>
            <w:webHidden/>
          </w:rPr>
          <w:fldChar w:fldCharType="separate"/>
        </w:r>
        <w:r w:rsidR="00707441">
          <w:rPr>
            <w:noProof/>
            <w:webHidden/>
          </w:rPr>
          <w:t>29</w:t>
        </w:r>
        <w:r w:rsidR="00562765" w:rsidRPr="003745B3">
          <w:rPr>
            <w:noProof/>
            <w:webHidden/>
          </w:rPr>
          <w:fldChar w:fldCharType="end"/>
        </w:r>
      </w:hyperlink>
    </w:p>
    <w:p w:rsidR="00562765" w:rsidRDefault="00A71C6E" w:rsidP="00544397">
      <w:pPr>
        <w:pStyle w:val="TOC1"/>
        <w:ind w:left="1135"/>
        <w:jc w:val="both"/>
        <w:rPr>
          <w:rStyle w:val="Hyperlink"/>
          <w:rFonts w:ascii="Arial" w:hAnsi="Arial"/>
          <w:noProof/>
          <w:color w:val="auto"/>
        </w:rPr>
      </w:pPr>
      <w:hyperlink w:anchor="_Toc401341192" w:history="1">
        <w:r w:rsidR="003745B3" w:rsidRPr="003745B3">
          <w:rPr>
            <w:rStyle w:val="Hyperlink"/>
            <w:rFonts w:ascii="Arial" w:hAnsi="Arial"/>
            <w:bCs/>
            <w:noProof/>
            <w:color w:val="auto"/>
            <w:kern w:val="28"/>
            <w:lang w:eastAsia="en-US"/>
          </w:rPr>
          <w:t xml:space="preserve">5.2 </w:t>
        </w:r>
        <w:r w:rsidR="003745B3" w:rsidRPr="003745B3">
          <w:rPr>
            <w:rStyle w:val="Hyperlink"/>
            <w:rFonts w:ascii="Arial" w:hAnsi="Arial"/>
            <w:bCs/>
            <w:noProof/>
            <w:color w:val="auto"/>
            <w:kern w:val="28"/>
            <w:lang w:val="x-none" w:eastAsia="en-US"/>
          </w:rPr>
          <w:t>Medical Or Scientific Experimentation Without Informed Consent</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_Toc401341192 \h </w:instrText>
        </w:r>
        <w:r w:rsidR="00562765" w:rsidRPr="003745B3">
          <w:rPr>
            <w:noProof/>
            <w:webHidden/>
          </w:rPr>
        </w:r>
        <w:r w:rsidR="00562765" w:rsidRPr="003745B3">
          <w:rPr>
            <w:noProof/>
            <w:webHidden/>
          </w:rPr>
          <w:fldChar w:fldCharType="separate"/>
        </w:r>
        <w:r w:rsidR="00707441">
          <w:rPr>
            <w:noProof/>
            <w:webHidden/>
          </w:rPr>
          <w:t>30</w:t>
        </w:r>
        <w:r w:rsidR="00562765" w:rsidRPr="003745B3">
          <w:rPr>
            <w:noProof/>
            <w:webHidden/>
          </w:rPr>
          <w:fldChar w:fldCharType="end"/>
        </w:r>
      </w:hyperlink>
    </w:p>
    <w:p w:rsidR="003745B3" w:rsidRPr="003745B3" w:rsidRDefault="003745B3" w:rsidP="00544397">
      <w:pPr>
        <w:ind w:left="709"/>
        <w:jc w:val="both"/>
        <w:rPr>
          <w:rFonts w:eastAsiaTheme="minorEastAsia"/>
          <w:noProof/>
        </w:rPr>
      </w:pPr>
    </w:p>
    <w:p w:rsidR="00562765" w:rsidRPr="003745B3" w:rsidRDefault="00A71C6E" w:rsidP="00544397">
      <w:pPr>
        <w:pStyle w:val="TOC1"/>
        <w:ind w:left="1135"/>
        <w:jc w:val="both"/>
        <w:rPr>
          <w:rFonts w:eastAsiaTheme="minorEastAsia"/>
          <w:noProof/>
          <w:sz w:val="22"/>
          <w:szCs w:val="22"/>
        </w:rPr>
      </w:pPr>
      <w:hyperlink w:anchor="_Toc401341193" w:history="1">
        <w:r w:rsidR="003745B3" w:rsidRPr="003745B3">
          <w:rPr>
            <w:rStyle w:val="Hyperlink"/>
            <w:rFonts w:ascii="Arial" w:hAnsi="Arial"/>
            <w:b/>
            <w:bCs/>
            <w:noProof/>
            <w:color w:val="auto"/>
            <w:kern w:val="28"/>
            <w:lang w:val="x-none" w:eastAsia="en-US"/>
          </w:rPr>
          <w:t>6.</w:t>
        </w:r>
        <w:r w:rsidR="00707441">
          <w:rPr>
            <w:rFonts w:eastAsiaTheme="minorEastAsia"/>
            <w:noProof/>
            <w:sz w:val="22"/>
            <w:szCs w:val="22"/>
          </w:rPr>
          <w:t xml:space="preserve"> </w:t>
        </w:r>
        <w:r w:rsidR="003745B3" w:rsidRPr="003745B3">
          <w:rPr>
            <w:rStyle w:val="Hyperlink"/>
            <w:rFonts w:ascii="Arial" w:hAnsi="Arial"/>
            <w:b/>
            <w:bCs/>
            <w:noProof/>
            <w:color w:val="auto"/>
            <w:kern w:val="28"/>
            <w:lang w:val="x-none" w:eastAsia="en-US"/>
          </w:rPr>
          <w:t>Sterilisation</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_Toc401341193 \h </w:instrText>
        </w:r>
        <w:r w:rsidR="00562765" w:rsidRPr="003745B3">
          <w:rPr>
            <w:noProof/>
            <w:webHidden/>
          </w:rPr>
        </w:r>
        <w:r w:rsidR="00562765" w:rsidRPr="003745B3">
          <w:rPr>
            <w:noProof/>
            <w:webHidden/>
          </w:rPr>
          <w:fldChar w:fldCharType="separate"/>
        </w:r>
        <w:r w:rsidR="00707441">
          <w:rPr>
            <w:noProof/>
            <w:webHidden/>
          </w:rPr>
          <w:t>31</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194" w:history="1">
        <w:r w:rsidR="003745B3" w:rsidRPr="003745B3">
          <w:rPr>
            <w:rStyle w:val="Hyperlink"/>
            <w:rFonts w:ascii="Arial" w:hAnsi="Arial"/>
            <w:bCs/>
            <w:noProof/>
            <w:color w:val="auto"/>
            <w:kern w:val="28"/>
            <w:lang w:eastAsia="en-US"/>
          </w:rPr>
          <w:t xml:space="preserve">6.1 </w:t>
        </w:r>
        <w:r w:rsidR="003745B3" w:rsidRPr="003745B3">
          <w:rPr>
            <w:rStyle w:val="Hyperlink"/>
            <w:rFonts w:ascii="Arial" w:hAnsi="Arial"/>
            <w:bCs/>
            <w:noProof/>
            <w:color w:val="auto"/>
            <w:kern w:val="28"/>
            <w:lang w:val="x-none" w:eastAsia="en-US"/>
          </w:rPr>
          <w:t xml:space="preserve">Senate Inquiry Into Involuntary Sterilisation </w:t>
        </w:r>
        <w:r w:rsidR="003745B3" w:rsidRPr="003745B3">
          <w:rPr>
            <w:rStyle w:val="Hyperlink"/>
            <w:rFonts w:ascii="Arial" w:hAnsi="Arial"/>
            <w:bCs/>
            <w:noProof/>
            <w:color w:val="auto"/>
            <w:kern w:val="28"/>
            <w:lang w:eastAsia="en-US"/>
          </w:rPr>
          <w:t>Of People With Disability</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_Toc401341194 \h </w:instrText>
        </w:r>
        <w:r w:rsidR="00562765" w:rsidRPr="003745B3">
          <w:rPr>
            <w:noProof/>
            <w:webHidden/>
          </w:rPr>
        </w:r>
        <w:r w:rsidR="00562765" w:rsidRPr="003745B3">
          <w:rPr>
            <w:noProof/>
            <w:webHidden/>
          </w:rPr>
          <w:fldChar w:fldCharType="separate"/>
        </w:r>
        <w:r w:rsidR="00707441">
          <w:rPr>
            <w:noProof/>
            <w:webHidden/>
          </w:rPr>
          <w:t>33</w:t>
        </w:r>
        <w:r w:rsidR="00562765" w:rsidRPr="003745B3">
          <w:rPr>
            <w:noProof/>
            <w:webHidden/>
          </w:rPr>
          <w:fldChar w:fldCharType="end"/>
        </w:r>
      </w:hyperlink>
    </w:p>
    <w:p w:rsidR="00562765" w:rsidRDefault="00A71C6E" w:rsidP="00544397">
      <w:pPr>
        <w:pStyle w:val="TOC1"/>
        <w:ind w:left="1135"/>
        <w:jc w:val="both"/>
        <w:rPr>
          <w:rStyle w:val="Hyperlink"/>
          <w:rFonts w:ascii="Arial" w:hAnsi="Arial"/>
          <w:noProof/>
          <w:color w:val="auto"/>
        </w:rPr>
      </w:pPr>
      <w:hyperlink w:anchor="_Toc401341195" w:history="1">
        <w:r w:rsidR="003745B3" w:rsidRPr="003745B3">
          <w:rPr>
            <w:rStyle w:val="Hyperlink"/>
            <w:rFonts w:ascii="Arial" w:hAnsi="Arial"/>
            <w:bCs/>
            <w:noProof/>
            <w:color w:val="auto"/>
            <w:kern w:val="28"/>
            <w:lang w:val="x-none" w:eastAsia="en-US"/>
          </w:rPr>
          <w:t xml:space="preserve">6.2 Involuntary Treatment </w:t>
        </w:r>
        <w:r w:rsidR="003745B3" w:rsidRPr="003745B3">
          <w:rPr>
            <w:rStyle w:val="Hyperlink"/>
            <w:rFonts w:ascii="Arial" w:hAnsi="Arial"/>
            <w:bCs/>
            <w:noProof/>
            <w:color w:val="auto"/>
            <w:kern w:val="28"/>
            <w:lang w:eastAsia="en-US"/>
          </w:rPr>
          <w:t xml:space="preserve">Of </w:t>
        </w:r>
        <w:r w:rsidR="003745B3" w:rsidRPr="003745B3">
          <w:rPr>
            <w:rStyle w:val="Hyperlink"/>
            <w:rFonts w:ascii="Arial" w:hAnsi="Arial"/>
            <w:bCs/>
            <w:noProof/>
            <w:color w:val="auto"/>
            <w:kern w:val="28"/>
            <w:lang w:val="x-none" w:eastAsia="en-US"/>
          </w:rPr>
          <w:t>Persons With Intersex Variations</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_Toc401341195 \h </w:instrText>
        </w:r>
        <w:r w:rsidR="00562765" w:rsidRPr="003745B3">
          <w:rPr>
            <w:noProof/>
            <w:webHidden/>
          </w:rPr>
        </w:r>
        <w:r w:rsidR="00562765" w:rsidRPr="003745B3">
          <w:rPr>
            <w:noProof/>
            <w:webHidden/>
          </w:rPr>
          <w:fldChar w:fldCharType="separate"/>
        </w:r>
        <w:r w:rsidR="00707441">
          <w:rPr>
            <w:noProof/>
            <w:webHidden/>
          </w:rPr>
          <w:t>34</w:t>
        </w:r>
        <w:r w:rsidR="00562765" w:rsidRPr="003745B3">
          <w:rPr>
            <w:noProof/>
            <w:webHidden/>
          </w:rPr>
          <w:fldChar w:fldCharType="end"/>
        </w:r>
      </w:hyperlink>
    </w:p>
    <w:p w:rsidR="003745B3" w:rsidRPr="003745B3" w:rsidRDefault="003745B3" w:rsidP="00544397">
      <w:pPr>
        <w:ind w:left="709"/>
        <w:jc w:val="both"/>
        <w:rPr>
          <w:rFonts w:eastAsiaTheme="minorEastAsia"/>
          <w:noProof/>
        </w:rPr>
      </w:pPr>
    </w:p>
    <w:p w:rsidR="00562765" w:rsidRPr="003745B3" w:rsidRDefault="00A71C6E" w:rsidP="00544397">
      <w:pPr>
        <w:pStyle w:val="TOC1"/>
        <w:ind w:left="1135"/>
        <w:jc w:val="both"/>
        <w:rPr>
          <w:rFonts w:eastAsiaTheme="minorEastAsia"/>
          <w:noProof/>
          <w:sz w:val="22"/>
          <w:szCs w:val="22"/>
        </w:rPr>
      </w:pPr>
      <w:hyperlink w:anchor="_Toc401341196" w:history="1">
        <w:r w:rsidR="003745B3" w:rsidRPr="003745B3">
          <w:rPr>
            <w:rStyle w:val="Hyperlink"/>
            <w:rFonts w:ascii="Arial" w:hAnsi="Arial"/>
            <w:b/>
            <w:bCs/>
            <w:noProof/>
            <w:color w:val="auto"/>
            <w:kern w:val="28"/>
            <w:lang w:val="x-none" w:eastAsia="en-US"/>
          </w:rPr>
          <w:t>7.</w:t>
        </w:r>
        <w:r w:rsidR="00707441">
          <w:rPr>
            <w:rFonts w:eastAsiaTheme="minorEastAsia"/>
            <w:noProof/>
            <w:sz w:val="22"/>
            <w:szCs w:val="22"/>
          </w:rPr>
          <w:t xml:space="preserve"> </w:t>
        </w:r>
        <w:r w:rsidR="003745B3" w:rsidRPr="003745B3">
          <w:rPr>
            <w:rStyle w:val="Hyperlink"/>
            <w:rFonts w:ascii="Arial" w:hAnsi="Arial"/>
            <w:b/>
            <w:bCs/>
            <w:noProof/>
            <w:color w:val="auto"/>
            <w:kern w:val="28"/>
            <w:lang w:val="x-none" w:eastAsia="en-US"/>
          </w:rPr>
          <w:t>Indefinite Detention</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_Toc401341196 \h </w:instrText>
        </w:r>
        <w:r w:rsidR="00562765" w:rsidRPr="003745B3">
          <w:rPr>
            <w:noProof/>
            <w:webHidden/>
          </w:rPr>
        </w:r>
        <w:r w:rsidR="00562765" w:rsidRPr="003745B3">
          <w:rPr>
            <w:noProof/>
            <w:webHidden/>
          </w:rPr>
          <w:fldChar w:fldCharType="separate"/>
        </w:r>
        <w:r w:rsidR="00707441">
          <w:rPr>
            <w:noProof/>
            <w:webHidden/>
          </w:rPr>
          <w:t>35</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197" w:history="1">
        <w:r w:rsidR="003745B3" w:rsidRPr="003745B3">
          <w:rPr>
            <w:rStyle w:val="Hyperlink"/>
            <w:rFonts w:ascii="Arial" w:hAnsi="Arial"/>
            <w:bCs/>
            <w:noProof/>
            <w:color w:val="auto"/>
            <w:kern w:val="28"/>
            <w:lang w:eastAsia="en-US"/>
          </w:rPr>
          <w:t xml:space="preserve">7.1 </w:t>
        </w:r>
        <w:r w:rsidR="003745B3" w:rsidRPr="003745B3">
          <w:rPr>
            <w:rStyle w:val="Hyperlink"/>
            <w:rFonts w:ascii="Arial" w:hAnsi="Arial"/>
            <w:bCs/>
            <w:noProof/>
            <w:color w:val="auto"/>
            <w:kern w:val="28"/>
            <w:lang w:val="x-none" w:eastAsia="en-US"/>
          </w:rPr>
          <w:t>Overrepresentation Of People With Disability In Prison</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_Toc401341197 \h </w:instrText>
        </w:r>
        <w:r w:rsidR="00562765" w:rsidRPr="003745B3">
          <w:rPr>
            <w:noProof/>
            <w:webHidden/>
          </w:rPr>
        </w:r>
        <w:r w:rsidR="00562765" w:rsidRPr="003745B3">
          <w:rPr>
            <w:noProof/>
            <w:webHidden/>
          </w:rPr>
          <w:fldChar w:fldCharType="separate"/>
        </w:r>
        <w:r w:rsidR="00707441">
          <w:rPr>
            <w:noProof/>
            <w:webHidden/>
          </w:rPr>
          <w:t>37</w:t>
        </w:r>
        <w:r w:rsidR="00562765" w:rsidRPr="003745B3">
          <w:rPr>
            <w:noProof/>
            <w:webHidden/>
          </w:rPr>
          <w:fldChar w:fldCharType="end"/>
        </w:r>
      </w:hyperlink>
    </w:p>
    <w:p w:rsidR="00562765" w:rsidRDefault="00A71C6E" w:rsidP="00544397">
      <w:pPr>
        <w:pStyle w:val="TOC1"/>
        <w:ind w:left="1135"/>
        <w:jc w:val="both"/>
        <w:rPr>
          <w:rStyle w:val="Hyperlink"/>
          <w:rFonts w:ascii="Arial" w:hAnsi="Arial"/>
          <w:noProof/>
          <w:color w:val="auto"/>
        </w:rPr>
      </w:pPr>
      <w:hyperlink w:anchor="_Toc401341198" w:history="1">
        <w:r w:rsidR="003745B3" w:rsidRPr="003745B3">
          <w:rPr>
            <w:rStyle w:val="Hyperlink"/>
            <w:rFonts w:ascii="Arial" w:hAnsi="Arial"/>
            <w:bCs/>
            <w:noProof/>
            <w:color w:val="auto"/>
            <w:kern w:val="28"/>
            <w:lang w:val="x-none" w:eastAsia="en-US"/>
          </w:rPr>
          <w:t>7.</w:t>
        </w:r>
        <w:r w:rsidR="003745B3" w:rsidRPr="003745B3">
          <w:rPr>
            <w:rStyle w:val="Hyperlink"/>
            <w:rFonts w:ascii="Arial" w:hAnsi="Arial"/>
            <w:bCs/>
            <w:noProof/>
            <w:color w:val="auto"/>
            <w:kern w:val="28"/>
            <w:lang w:eastAsia="en-US"/>
          </w:rPr>
          <w:t>2</w:t>
        </w:r>
        <w:r w:rsidR="003745B3" w:rsidRPr="003745B3">
          <w:rPr>
            <w:rStyle w:val="Hyperlink"/>
            <w:rFonts w:ascii="Arial" w:hAnsi="Arial"/>
            <w:bCs/>
            <w:noProof/>
            <w:color w:val="auto"/>
            <w:kern w:val="28"/>
            <w:lang w:val="x-none" w:eastAsia="en-US"/>
          </w:rPr>
          <w:t xml:space="preserve"> Reasonable Accommodation</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_Toc401341198 \h </w:instrText>
        </w:r>
        <w:r w:rsidR="00562765" w:rsidRPr="003745B3">
          <w:rPr>
            <w:noProof/>
            <w:webHidden/>
          </w:rPr>
        </w:r>
        <w:r w:rsidR="00562765" w:rsidRPr="003745B3">
          <w:rPr>
            <w:noProof/>
            <w:webHidden/>
          </w:rPr>
          <w:fldChar w:fldCharType="separate"/>
        </w:r>
        <w:r w:rsidR="00707441">
          <w:rPr>
            <w:noProof/>
            <w:webHidden/>
          </w:rPr>
          <w:t>39</w:t>
        </w:r>
        <w:r w:rsidR="00562765" w:rsidRPr="003745B3">
          <w:rPr>
            <w:noProof/>
            <w:webHidden/>
          </w:rPr>
          <w:fldChar w:fldCharType="end"/>
        </w:r>
      </w:hyperlink>
    </w:p>
    <w:p w:rsidR="003745B3" w:rsidRPr="003745B3" w:rsidRDefault="003745B3" w:rsidP="00544397">
      <w:pPr>
        <w:ind w:left="709"/>
        <w:jc w:val="both"/>
        <w:rPr>
          <w:rFonts w:eastAsiaTheme="minorEastAsia"/>
          <w:noProof/>
        </w:rPr>
      </w:pPr>
    </w:p>
    <w:p w:rsidR="00562765" w:rsidRPr="003745B3" w:rsidRDefault="00A71C6E" w:rsidP="00544397">
      <w:pPr>
        <w:pStyle w:val="TOC1"/>
        <w:ind w:left="1135"/>
        <w:jc w:val="both"/>
        <w:rPr>
          <w:rStyle w:val="Hyperlink"/>
          <w:rFonts w:ascii="Arial" w:hAnsi="Arial"/>
          <w:b/>
          <w:noProof/>
          <w:color w:val="auto"/>
        </w:rPr>
      </w:pPr>
      <w:hyperlink w:anchor="_Toc401341199" w:history="1">
        <w:r w:rsidR="003745B3" w:rsidRPr="003745B3">
          <w:rPr>
            <w:rStyle w:val="Hyperlink"/>
            <w:rFonts w:ascii="Arial" w:hAnsi="Arial"/>
            <w:b/>
            <w:bCs/>
            <w:noProof/>
            <w:color w:val="auto"/>
            <w:kern w:val="28"/>
            <w:lang w:val="x-none" w:eastAsia="en-US"/>
          </w:rPr>
          <w:t>8.</w:t>
        </w:r>
        <w:r w:rsidR="00707441">
          <w:rPr>
            <w:rFonts w:eastAsiaTheme="minorEastAsia"/>
            <w:noProof/>
            <w:sz w:val="22"/>
            <w:szCs w:val="22"/>
          </w:rPr>
          <w:t xml:space="preserve"> </w:t>
        </w:r>
        <w:r w:rsidR="003745B3" w:rsidRPr="003745B3">
          <w:rPr>
            <w:rStyle w:val="Hyperlink"/>
            <w:rFonts w:ascii="Arial" w:hAnsi="Arial"/>
            <w:b/>
            <w:bCs/>
            <w:noProof/>
            <w:color w:val="auto"/>
            <w:kern w:val="28"/>
            <w:lang w:val="x-none" w:eastAsia="en-US"/>
          </w:rPr>
          <w:t>Immigration Detention</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_Toc401341199 \h </w:instrText>
        </w:r>
        <w:r w:rsidR="00562765" w:rsidRPr="003745B3">
          <w:rPr>
            <w:noProof/>
            <w:webHidden/>
          </w:rPr>
        </w:r>
        <w:r w:rsidR="00562765" w:rsidRPr="003745B3">
          <w:rPr>
            <w:noProof/>
            <w:webHidden/>
          </w:rPr>
          <w:fldChar w:fldCharType="separate"/>
        </w:r>
        <w:r w:rsidR="00707441">
          <w:rPr>
            <w:noProof/>
            <w:webHidden/>
          </w:rPr>
          <w:t>42</w:t>
        </w:r>
        <w:r w:rsidR="00562765" w:rsidRPr="003745B3">
          <w:rPr>
            <w:noProof/>
            <w:webHidden/>
          </w:rPr>
          <w:fldChar w:fldCharType="end"/>
        </w:r>
      </w:hyperlink>
    </w:p>
    <w:p w:rsidR="003745B3" w:rsidRPr="003745B3" w:rsidRDefault="003745B3" w:rsidP="00544397">
      <w:pPr>
        <w:ind w:left="709"/>
        <w:jc w:val="both"/>
        <w:rPr>
          <w:rFonts w:eastAsiaTheme="minorEastAsia"/>
          <w:noProof/>
        </w:rPr>
      </w:pPr>
    </w:p>
    <w:p w:rsidR="00562765" w:rsidRPr="003745B3" w:rsidRDefault="00A71C6E" w:rsidP="00544397">
      <w:pPr>
        <w:pStyle w:val="TOC1"/>
        <w:ind w:left="1135"/>
        <w:jc w:val="both"/>
        <w:rPr>
          <w:rFonts w:eastAsiaTheme="minorEastAsia"/>
          <w:noProof/>
          <w:sz w:val="22"/>
          <w:szCs w:val="22"/>
        </w:rPr>
      </w:pPr>
      <w:hyperlink w:anchor="_Toc401341200" w:history="1">
        <w:r w:rsidR="003745B3" w:rsidRPr="003745B3">
          <w:rPr>
            <w:rStyle w:val="Hyperlink"/>
            <w:rFonts w:ascii="Arial" w:hAnsi="Arial"/>
            <w:b/>
            <w:bCs/>
            <w:noProof/>
            <w:color w:val="auto"/>
            <w:kern w:val="28"/>
            <w:lang w:val="x-none" w:eastAsia="en-US"/>
          </w:rPr>
          <w:t>9.</w:t>
        </w:r>
        <w:r w:rsidR="00707441">
          <w:rPr>
            <w:rFonts w:eastAsiaTheme="minorEastAsia"/>
            <w:noProof/>
            <w:sz w:val="22"/>
            <w:szCs w:val="22"/>
          </w:rPr>
          <w:t xml:space="preserve"> </w:t>
        </w:r>
        <w:r w:rsidR="003745B3" w:rsidRPr="003745B3">
          <w:rPr>
            <w:rStyle w:val="Hyperlink"/>
            <w:rFonts w:ascii="Arial" w:hAnsi="Arial"/>
            <w:b/>
            <w:bCs/>
            <w:noProof/>
            <w:color w:val="auto"/>
            <w:kern w:val="28"/>
            <w:lang w:val="x-none" w:eastAsia="en-US"/>
          </w:rPr>
          <w:t>Violence And Abuse</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_Toc401341200 \h </w:instrText>
        </w:r>
        <w:r w:rsidR="00562765" w:rsidRPr="003745B3">
          <w:rPr>
            <w:noProof/>
            <w:webHidden/>
          </w:rPr>
        </w:r>
        <w:r w:rsidR="00562765" w:rsidRPr="003745B3">
          <w:rPr>
            <w:noProof/>
            <w:webHidden/>
          </w:rPr>
          <w:fldChar w:fldCharType="separate"/>
        </w:r>
        <w:r w:rsidR="00707441">
          <w:rPr>
            <w:noProof/>
            <w:webHidden/>
          </w:rPr>
          <w:t>44</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201" w:history="1">
        <w:r w:rsidR="003745B3" w:rsidRPr="003745B3">
          <w:rPr>
            <w:rStyle w:val="Hyperlink"/>
            <w:rFonts w:ascii="Arial" w:hAnsi="Arial"/>
            <w:bCs/>
            <w:noProof/>
            <w:color w:val="auto"/>
            <w:kern w:val="28"/>
            <w:lang w:val="x-none" w:eastAsia="en-US"/>
          </w:rPr>
          <w:t>9.1 Barriers To Justice</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_Toc401341201 \h </w:instrText>
        </w:r>
        <w:r w:rsidR="00562765" w:rsidRPr="003745B3">
          <w:rPr>
            <w:noProof/>
            <w:webHidden/>
          </w:rPr>
        </w:r>
        <w:r w:rsidR="00562765" w:rsidRPr="003745B3">
          <w:rPr>
            <w:noProof/>
            <w:webHidden/>
          </w:rPr>
          <w:fldChar w:fldCharType="separate"/>
        </w:r>
        <w:r w:rsidR="00707441">
          <w:rPr>
            <w:noProof/>
            <w:webHidden/>
          </w:rPr>
          <w:t>47</w:t>
        </w:r>
        <w:r w:rsidR="00562765" w:rsidRPr="003745B3">
          <w:rPr>
            <w:noProof/>
            <w:webHidden/>
          </w:rPr>
          <w:fldChar w:fldCharType="end"/>
        </w:r>
      </w:hyperlink>
    </w:p>
    <w:p w:rsidR="00562765" w:rsidRPr="003745B3" w:rsidRDefault="00A71C6E" w:rsidP="00544397">
      <w:pPr>
        <w:pStyle w:val="TOC1"/>
        <w:ind w:left="1135"/>
        <w:jc w:val="both"/>
        <w:rPr>
          <w:rFonts w:eastAsiaTheme="minorEastAsia"/>
          <w:noProof/>
          <w:sz w:val="22"/>
          <w:szCs w:val="22"/>
        </w:rPr>
      </w:pPr>
      <w:hyperlink w:anchor="_Toc401341202" w:history="1">
        <w:r w:rsidR="003745B3" w:rsidRPr="003745B3">
          <w:rPr>
            <w:rStyle w:val="Hyperlink"/>
            <w:rFonts w:ascii="Arial" w:hAnsi="Arial"/>
            <w:bCs/>
            <w:noProof/>
            <w:color w:val="auto"/>
            <w:kern w:val="28"/>
            <w:lang w:eastAsia="en-US"/>
          </w:rPr>
          <w:t xml:space="preserve">9.2 </w:t>
        </w:r>
        <w:r w:rsidR="003745B3" w:rsidRPr="003745B3">
          <w:rPr>
            <w:rStyle w:val="Hyperlink"/>
            <w:rFonts w:ascii="Arial" w:hAnsi="Arial"/>
            <w:bCs/>
            <w:noProof/>
            <w:color w:val="auto"/>
            <w:kern w:val="28"/>
            <w:lang w:val="x-none" w:eastAsia="en-US"/>
          </w:rPr>
          <w:t>Institutionalisation</w:t>
        </w:r>
        <w:r w:rsidR="003745B3" w:rsidRPr="003745B3">
          <w:rPr>
            <w:noProof/>
            <w:webHidden/>
          </w:rPr>
          <w:tab/>
        </w:r>
        <w:r w:rsidR="00562765" w:rsidRPr="003745B3">
          <w:rPr>
            <w:noProof/>
            <w:webHidden/>
          </w:rPr>
          <w:fldChar w:fldCharType="begin"/>
        </w:r>
        <w:r w:rsidR="00562765" w:rsidRPr="003745B3">
          <w:rPr>
            <w:noProof/>
            <w:webHidden/>
          </w:rPr>
          <w:instrText xml:space="preserve"> PAGEREF _Toc401341202 \h </w:instrText>
        </w:r>
        <w:r w:rsidR="00562765" w:rsidRPr="003745B3">
          <w:rPr>
            <w:noProof/>
            <w:webHidden/>
          </w:rPr>
        </w:r>
        <w:r w:rsidR="00562765" w:rsidRPr="003745B3">
          <w:rPr>
            <w:noProof/>
            <w:webHidden/>
          </w:rPr>
          <w:fldChar w:fldCharType="separate"/>
        </w:r>
        <w:r w:rsidR="00707441">
          <w:rPr>
            <w:noProof/>
            <w:webHidden/>
          </w:rPr>
          <w:t>50</w:t>
        </w:r>
        <w:r w:rsidR="00562765" w:rsidRPr="003745B3">
          <w:rPr>
            <w:noProof/>
            <w:webHidden/>
          </w:rPr>
          <w:fldChar w:fldCharType="end"/>
        </w:r>
      </w:hyperlink>
    </w:p>
    <w:p w:rsidR="003745B3" w:rsidRDefault="003745B3" w:rsidP="00544397">
      <w:pPr>
        <w:pStyle w:val="TOC1"/>
        <w:ind w:left="1135"/>
        <w:jc w:val="both"/>
        <w:rPr>
          <w:rStyle w:val="Hyperlink"/>
          <w:rFonts w:ascii="Arial" w:hAnsi="Arial"/>
          <w:noProof/>
          <w:color w:val="auto"/>
        </w:rPr>
      </w:pPr>
    </w:p>
    <w:p w:rsidR="00562765" w:rsidRPr="003745B3" w:rsidRDefault="00A71C6E" w:rsidP="00544397">
      <w:pPr>
        <w:pStyle w:val="TOC1"/>
        <w:ind w:left="1135"/>
        <w:jc w:val="both"/>
        <w:rPr>
          <w:rFonts w:eastAsiaTheme="minorEastAsia"/>
          <w:noProof/>
          <w:sz w:val="22"/>
          <w:szCs w:val="22"/>
        </w:rPr>
      </w:pPr>
      <w:hyperlink w:anchor="_Toc401341203" w:history="1">
        <w:r w:rsidR="003745B3">
          <w:rPr>
            <w:rStyle w:val="Hyperlink"/>
            <w:rFonts w:ascii="Arial" w:hAnsi="Arial"/>
            <w:b/>
            <w:bCs/>
            <w:noProof/>
            <w:color w:val="auto"/>
            <w:kern w:val="28"/>
            <w:lang w:val="x-none" w:eastAsia="en-US"/>
          </w:rPr>
          <w:t>Summary</w:t>
        </w:r>
        <w:r w:rsidR="003745B3">
          <w:rPr>
            <w:noProof/>
            <w:webHidden/>
          </w:rPr>
          <w:t>………………………………</w:t>
        </w:r>
        <w:r w:rsidR="00544397">
          <w:rPr>
            <w:noProof/>
            <w:webHidden/>
          </w:rPr>
          <w:t>………………………………….………………………………….</w:t>
        </w:r>
        <w:r w:rsidR="003745B3">
          <w:rPr>
            <w:noProof/>
            <w:webHidden/>
          </w:rPr>
          <w:t>……...</w:t>
        </w:r>
        <w:r w:rsidR="00562765" w:rsidRPr="003745B3">
          <w:rPr>
            <w:noProof/>
            <w:webHidden/>
          </w:rPr>
          <w:fldChar w:fldCharType="begin"/>
        </w:r>
        <w:r w:rsidR="00562765" w:rsidRPr="003745B3">
          <w:rPr>
            <w:noProof/>
            <w:webHidden/>
          </w:rPr>
          <w:instrText xml:space="preserve"> PAGEREF _Toc401341203 \h </w:instrText>
        </w:r>
        <w:r w:rsidR="00562765" w:rsidRPr="003745B3">
          <w:rPr>
            <w:noProof/>
            <w:webHidden/>
          </w:rPr>
        </w:r>
        <w:r w:rsidR="00562765" w:rsidRPr="003745B3">
          <w:rPr>
            <w:noProof/>
            <w:webHidden/>
          </w:rPr>
          <w:fldChar w:fldCharType="separate"/>
        </w:r>
        <w:r w:rsidR="00707441">
          <w:rPr>
            <w:noProof/>
            <w:webHidden/>
          </w:rPr>
          <w:t>52</w:t>
        </w:r>
        <w:r w:rsidR="00562765" w:rsidRPr="003745B3">
          <w:rPr>
            <w:noProof/>
            <w:webHidden/>
          </w:rPr>
          <w:fldChar w:fldCharType="end"/>
        </w:r>
      </w:hyperlink>
    </w:p>
    <w:p w:rsidR="00E14B33" w:rsidRPr="003745B3" w:rsidRDefault="00E14B33" w:rsidP="002775DB">
      <w:pPr>
        <w:spacing w:after="60"/>
        <w:ind w:left="426" w:hanging="1135"/>
        <w:jc w:val="both"/>
      </w:pPr>
      <w:r w:rsidRPr="003745B3">
        <w:rPr>
          <w:highlight w:val="yellow"/>
        </w:rPr>
        <w:fldChar w:fldCharType="end"/>
      </w:r>
    </w:p>
    <w:p w:rsidR="00E14B33" w:rsidRPr="00FD077E" w:rsidRDefault="00E14B33" w:rsidP="002775DB">
      <w:pPr>
        <w:ind w:left="426" w:hanging="1135"/>
        <w:jc w:val="both"/>
        <w:sectPr w:rsidR="00E14B33" w:rsidRPr="00FD077E" w:rsidSect="004612DD">
          <w:footerReference w:type="even" r:id="rId9"/>
          <w:headerReference w:type="first" r:id="rId10"/>
          <w:footerReference w:type="first" r:id="rId11"/>
          <w:pgSz w:w="11906" w:h="16838" w:code="9"/>
          <w:pgMar w:top="1440" w:right="1440" w:bottom="1440" w:left="1440" w:header="709" w:footer="709" w:gutter="0"/>
          <w:cols w:space="708"/>
          <w:titlePg/>
          <w:docGrid w:linePitch="360"/>
        </w:sectPr>
      </w:pPr>
    </w:p>
    <w:p w:rsidR="008D7D54" w:rsidRPr="00FD077E" w:rsidRDefault="00E14B33" w:rsidP="002775DB">
      <w:pPr>
        <w:pStyle w:val="Heading2"/>
        <w:rPr>
          <w:color w:val="000000"/>
        </w:rPr>
      </w:pPr>
      <w:r w:rsidRPr="00FD077E">
        <w:rPr>
          <w:sz w:val="24"/>
          <w:szCs w:val="24"/>
        </w:rPr>
        <w:lastRenderedPageBreak/>
        <w:br w:type="page"/>
      </w:r>
    </w:p>
    <w:p w:rsidR="00FC0D25" w:rsidRPr="00FC0D25"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rPr>
      </w:pPr>
      <w:bookmarkStart w:id="1" w:name="_Toc401341175"/>
      <w:bookmarkStart w:id="2" w:name="_Toc401157780"/>
      <w:bookmarkStart w:id="3" w:name="_Toc331685828"/>
      <w:r w:rsidRPr="00FC0D25">
        <w:rPr>
          <w:b/>
          <w:bCs/>
          <w:caps/>
          <w:color w:val="244061"/>
          <w:kern w:val="28"/>
          <w:lang w:val="x-none"/>
        </w:rPr>
        <w:lastRenderedPageBreak/>
        <w:t>About People with Disability Australia</w:t>
      </w:r>
      <w:bookmarkEnd w:id="1"/>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autoSpaceDE w:val="0"/>
        <w:autoSpaceDN w:val="0"/>
        <w:adjustRightInd w:val="0"/>
        <w:spacing w:before="120" w:after="120" w:line="276" w:lineRule="auto"/>
        <w:contextualSpacing/>
        <w:jc w:val="both"/>
        <w:rPr>
          <w:color w:val="000000"/>
        </w:rPr>
      </w:pPr>
      <w:r w:rsidRPr="00FC0D25">
        <w:rPr>
          <w:b/>
          <w:color w:val="000000"/>
        </w:rPr>
        <w:t>People with Disability Australia (PWDA)</w:t>
      </w:r>
      <w:r w:rsidRPr="00FC0D25">
        <w:rPr>
          <w:color w:val="000000"/>
        </w:rPr>
        <w:t xml:space="preserve"> is a leading disability rights, advocacy and representative organisation of and for all people with disability. We are the only national, cross-disability organisation - we represent the interests of people with all kinds of disability. We are a non-profit, non-government organisation.</w:t>
      </w:r>
    </w:p>
    <w:p w:rsidR="00FC0D25" w:rsidRPr="00FC0D25" w:rsidRDefault="00FC0D25" w:rsidP="002775DB">
      <w:pPr>
        <w:autoSpaceDE w:val="0"/>
        <w:autoSpaceDN w:val="0"/>
        <w:adjustRightInd w:val="0"/>
        <w:ind w:left="720"/>
        <w:contextualSpacing/>
        <w:jc w:val="both"/>
        <w:rPr>
          <w:color w:val="000000"/>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autoSpaceDE w:val="0"/>
        <w:autoSpaceDN w:val="0"/>
        <w:adjustRightInd w:val="0"/>
        <w:spacing w:before="120" w:after="120" w:line="276" w:lineRule="auto"/>
        <w:contextualSpacing/>
        <w:jc w:val="both"/>
        <w:rPr>
          <w:color w:val="000000"/>
        </w:rPr>
      </w:pPr>
      <w:r w:rsidRPr="00FC0D25">
        <w:rPr>
          <w:color w:val="000000"/>
        </w:rPr>
        <w:t>PWDA’s primary membership is made up of people with disability and organisations primarily constituted by people with disability. PWDA also has a large associate membership of other individuals and organisations committed to the disability rights movement.</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autoSpaceDE w:val="0"/>
        <w:autoSpaceDN w:val="0"/>
        <w:adjustRightInd w:val="0"/>
        <w:spacing w:before="120" w:after="120" w:line="276" w:lineRule="auto"/>
        <w:contextualSpacing/>
        <w:jc w:val="both"/>
        <w:rPr>
          <w:color w:val="000000"/>
        </w:rPr>
      </w:pPr>
      <w:r w:rsidRPr="00FC0D25">
        <w:rPr>
          <w:color w:val="000000"/>
        </w:rPr>
        <w:t>We have a vision of a socially just, accessible, and inclusive community, in which the human rights, citizenship, contribution, potential and diversity of all people with disability are recognised, respected and celebrated.  PWDA was founded in 1981, the International Year of Disabled Persons, to provide people with disability with a voice of our own.</w:t>
      </w:r>
    </w:p>
    <w:p w:rsidR="00FC0D25" w:rsidRPr="00FC0D25"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4" w:name="_Toc401341176"/>
      <w:r w:rsidRPr="00FC0D25">
        <w:rPr>
          <w:b/>
          <w:bCs/>
          <w:caps/>
          <w:color w:val="244061"/>
          <w:kern w:val="28"/>
          <w:lang w:val="x-none" w:eastAsia="en-US"/>
        </w:rPr>
        <w:t>Background</w:t>
      </w:r>
      <w:bookmarkEnd w:id="2"/>
      <w:bookmarkEnd w:id="4"/>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This submission on the Convention on Torture, Cruel, Inhuman or Degrading Treatment or Punishment (CAT) presents the perspective of people with disability in relation to Australia’s compliance with its obligations under this convention. Australia ratified CAT in August 1989 and signed the Optional Protocol (OPCAT) in May 2010.</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This submission is based on information in Disability Rights Now</w:t>
      </w:r>
      <w:r w:rsidRPr="00FC0D25">
        <w:rPr>
          <w:color w:val="000000"/>
          <w:vertAlign w:val="superscript"/>
          <w:lang w:eastAsia="en-US"/>
        </w:rPr>
        <w:footnoteReference w:id="1"/>
      </w:r>
      <w:r w:rsidRPr="00FC0D25">
        <w:rPr>
          <w:color w:val="000000"/>
          <w:lang w:eastAsia="en-US"/>
        </w:rPr>
        <w:t xml:space="preserve">, the civil society report on the Convention on the Rights </w:t>
      </w:r>
      <w:r w:rsidR="00A85B37">
        <w:rPr>
          <w:color w:val="000000"/>
          <w:lang w:eastAsia="en-US"/>
        </w:rPr>
        <w:t>of Persons with Disabilities</w:t>
      </w:r>
      <w:r w:rsidRPr="00FC0D25">
        <w:rPr>
          <w:color w:val="000000"/>
          <w:lang w:eastAsia="en-US"/>
        </w:rPr>
        <w:t xml:space="preserve"> (CRPD) published in 2012.  Disabilty Rights Now was compiled from consultations with people with disability and their representative and advocacy organisations, evidence from government and community initiated inquiries, and various reports and submissions produced by civil society involved in the protection and promotion of human rights for people with disability. The report was primarily drafted by eight Disabled Peoples Organisations and disability advocacy organisations and received over eighty endorsements.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submission also contains new information relevant to CAT, and updated information reflecting policy and legislative developments. The issues raised in this submission and the gaps highlighted in government compliance with CAT should be considered in the context of a nation that is relatively wealthy and </w:t>
      </w:r>
      <w:r w:rsidRPr="00FC0D25">
        <w:rPr>
          <w:color w:val="000000"/>
          <w:lang w:eastAsia="en-US"/>
        </w:rPr>
        <w:lastRenderedPageBreak/>
        <w:t xml:space="preserve">where most Australians enjoy a high level of freedom, opportunity to gain education, find employment, and where there is respect for individual rights. </w:t>
      </w:r>
    </w:p>
    <w:p w:rsidR="00C63DD8" w:rsidRDefault="00C63DD8" w:rsidP="002775DB">
      <w:pPr>
        <w:pStyle w:val="ListParagraph"/>
        <w:jc w:val="both"/>
        <w:rPr>
          <w:color w:val="000000"/>
          <w:lang w:eastAsia="en-US"/>
        </w:rPr>
      </w:pPr>
    </w:p>
    <w:p w:rsidR="00C63DD8" w:rsidRPr="00FC0D25" w:rsidRDefault="00C63DD8"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Pr>
          <w:color w:val="000000"/>
          <w:lang w:eastAsia="en-US"/>
        </w:rPr>
        <w:t>This submission has been endorsed by the First Peoples Disabilty Network,</w:t>
      </w:r>
      <w:r w:rsidR="00C4248F">
        <w:rPr>
          <w:color w:val="000000"/>
          <w:lang w:eastAsia="en-US"/>
        </w:rPr>
        <w:t xml:space="preserve"> the Multicultural Disability Advocacy Association, Organisation Intersex International Australia, </w:t>
      </w:r>
      <w:r>
        <w:rPr>
          <w:color w:val="000000"/>
          <w:lang w:eastAsia="en-US"/>
        </w:rPr>
        <w:t>People with Disability ACT</w:t>
      </w:r>
      <w:r w:rsidR="00C4248F">
        <w:rPr>
          <w:color w:val="000000"/>
          <w:lang w:eastAsia="en-US"/>
        </w:rPr>
        <w:t xml:space="preserve"> (Australian Capital Territory), </w:t>
      </w:r>
      <w:r w:rsidR="00C4248F">
        <w:rPr>
          <w:color w:val="000000"/>
          <w:lang w:eastAsia="en-US"/>
        </w:rPr>
        <w:t>Queensland Advocacy Incorporated</w:t>
      </w:r>
      <w:r w:rsidR="00C4248F">
        <w:rPr>
          <w:color w:val="000000"/>
          <w:lang w:eastAsia="en-US"/>
        </w:rPr>
        <w:t xml:space="preserve">, and </w:t>
      </w:r>
      <w:bookmarkStart w:id="5" w:name="_GoBack"/>
      <w:bookmarkEnd w:id="5"/>
      <w:r w:rsidR="00C4248F">
        <w:rPr>
          <w:color w:val="000000"/>
          <w:lang w:eastAsia="en-US"/>
        </w:rPr>
        <w:t xml:space="preserve">Women With Disabilities Australia. </w:t>
      </w:r>
    </w:p>
    <w:p w:rsidR="00FC0D25" w:rsidRPr="00FC0D25"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6" w:name="_Toc401157781"/>
      <w:bookmarkStart w:id="7" w:name="_Toc401341177"/>
      <w:r w:rsidRPr="00FC0D25">
        <w:rPr>
          <w:b/>
          <w:bCs/>
          <w:caps/>
          <w:color w:val="244061"/>
          <w:kern w:val="28"/>
          <w:lang w:val="x-none" w:eastAsia="en-US"/>
        </w:rPr>
        <w:t>Introduction</w:t>
      </w:r>
      <w:bookmarkEnd w:id="6"/>
      <w:bookmarkEnd w:id="7"/>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People with disability in Australia are frequently subject to treatment that may constitute torture, or cruel, inhuman or degrading treatment or punishment (ill-treatment), including persistent and severe violence and abuse, forced or coerced non-therapeutic sterilisation, long-term neglect of basic human needs, and painful and degrading behaviour modification techniques or ‘restrictive practices’</w:t>
      </w:r>
      <w:r w:rsidRPr="00FC0D25">
        <w:rPr>
          <w:color w:val="000000"/>
          <w:vertAlign w:val="superscript"/>
          <w:lang w:eastAsia="en-US"/>
        </w:rPr>
        <w:footnoteReference w:id="2"/>
      </w:r>
      <w:r w:rsidRPr="00FC0D25">
        <w:rPr>
          <w:color w:val="000000"/>
          <w:lang w:eastAsia="en-US"/>
        </w:rPr>
        <w:t>. The UN Special Rapporteur on Torture and other Cruel, Inhuman or Degrading Treatment or Punishment (the Special Rapporteur on Torture) has expressed concern that, ‘’in many cases such practices, when perpetrated against persons with disabilities, remain invisible or are being justified, and are not recognised as torture or other cruel, inhuman or degrading treatment or punishment”.</w:t>
      </w:r>
      <w:r w:rsidRPr="00FC0D25">
        <w:rPr>
          <w:color w:val="000000"/>
          <w:sz w:val="22"/>
          <w:szCs w:val="20"/>
          <w:vertAlign w:val="superscript"/>
          <w:lang w:eastAsia="en-US"/>
        </w:rPr>
        <w:footnoteReference w:id="3"/>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bCs/>
          <w:iCs/>
          <w:color w:val="000000"/>
          <w:lang w:eastAsia="en-US"/>
        </w:rPr>
        <w:t xml:space="preserve">Breaches of the Convention on the Rights of Persons with Disabilities (CRPD), including the denial of reasonable accommodation, provide evidence that discrimination has taken place for the purposes of satisfying the requirement to establish torture in Article 1 of CAT; and </w:t>
      </w:r>
      <w:r w:rsidRPr="00FC0D25">
        <w:rPr>
          <w:color w:val="000000"/>
          <w:lang w:eastAsia="en-US"/>
        </w:rPr>
        <w:t xml:space="preserve">cruel, inhuman or degrading treatment or punishment in Article 16 of CAT </w:t>
      </w:r>
      <w:r w:rsidRPr="00FC0D25">
        <w:rPr>
          <w:bCs/>
          <w:iCs/>
          <w:color w:val="000000"/>
          <w:lang w:eastAsia="en-US"/>
        </w:rPr>
        <w:t>where the physical and or mental pain experienced as a result of that discrimination is not to the degree of ‘</w:t>
      </w:r>
      <w:r w:rsidRPr="00FC0D25">
        <w:rPr>
          <w:color w:val="000000"/>
          <w:lang w:eastAsia="en-US"/>
        </w:rPr>
        <w:t>severe pain or suffering’</w:t>
      </w:r>
      <w:r w:rsidRPr="00FC0D25">
        <w:rPr>
          <w:color w:val="000000"/>
          <w:vertAlign w:val="superscript"/>
          <w:lang w:eastAsia="en-US"/>
        </w:rPr>
        <w:footnoteReference w:id="4"/>
      </w:r>
      <w:r w:rsidRPr="00FC0D25">
        <w:rPr>
          <w:color w:val="000000"/>
          <w:lang w:eastAsia="en-US"/>
        </w:rPr>
        <w:t>.</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bCs/>
          <w:iCs/>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bCs/>
          <w:iCs/>
          <w:color w:val="000000"/>
          <w:lang w:eastAsia="en-US"/>
        </w:rPr>
        <w:t>People with disability in Australia experience torture in violation of Article 1 CAT, for example through practices such as forced or coerced non-therapeutic sterilisation, solitary confinement and involuntary psychiatric treatment.</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bCs/>
          <w:iCs/>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bCs/>
          <w:iCs/>
          <w:color w:val="000000"/>
          <w:lang w:eastAsia="en-US"/>
        </w:rPr>
        <w:t xml:space="preserve">People with disability in Australia experience </w:t>
      </w:r>
      <w:r w:rsidRPr="00FC0D25">
        <w:rPr>
          <w:color w:val="000000"/>
          <w:lang w:eastAsia="en-US"/>
        </w:rPr>
        <w:t xml:space="preserve">cruel, inhuman or degrading treatment or punishment in violation of Article 16 CAT, for example through restrictive practices, institutionalisation and indefinite detention. Some of these practices may also constitute torture in some instances due to the vulnerability </w:t>
      </w:r>
      <w:r w:rsidRPr="00FC0D25">
        <w:rPr>
          <w:color w:val="000000"/>
          <w:lang w:eastAsia="en-US"/>
        </w:rPr>
        <w:lastRenderedPageBreak/>
        <w:t>of the person involved (for example, age, gender, disability), the environment in which it takes place, and the cumulative effect of various factors including the prolonged duration of the experience.</w:t>
      </w:r>
      <w:r w:rsidRPr="00FC0D25">
        <w:rPr>
          <w:color w:val="000000"/>
          <w:vertAlign w:val="superscript"/>
          <w:lang w:eastAsia="en-US"/>
        </w:rPr>
        <w:footnoteReference w:id="5"/>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Australian government is responsible for the prevention of </w:t>
      </w:r>
      <w:r w:rsidRPr="00FC0D25">
        <w:rPr>
          <w:bCs/>
          <w:iCs/>
          <w:color w:val="000000"/>
          <w:lang w:eastAsia="en-US"/>
        </w:rPr>
        <w:t xml:space="preserve">torture, </w:t>
      </w:r>
      <w:r w:rsidRPr="00FC0D25">
        <w:rPr>
          <w:color w:val="000000"/>
          <w:lang w:eastAsia="en-US"/>
        </w:rPr>
        <w:t>cruel, inhuman or degrading treatment or punishment by non-state as well as state actors. This includes privately run residential institutions, schools, disability support services, psychiatric facilities and ‘contexts where the failure of the State to intervene encourages and enhances the danger of privately inflicted harm’</w:t>
      </w:r>
      <w:r w:rsidRPr="00FC0D25">
        <w:rPr>
          <w:color w:val="000000"/>
          <w:vertAlign w:val="superscript"/>
          <w:lang w:eastAsia="en-US"/>
        </w:rPr>
        <w:footnoteReference w:id="6"/>
      </w:r>
      <w:r w:rsidRPr="00FC0D25">
        <w:rPr>
          <w:color w:val="000000"/>
          <w:lang w:eastAsia="en-US"/>
        </w:rPr>
        <w:t xml:space="preserve"> such as supported residential accommodation or the actions of family and carers of people with disability.</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People with disability in Australia represent the most detained sector of our population; disproportionality prevalent in our prisons, institutionalised within our communities, and hospitalised in psychiatric wards. Unaddressed and wide-ranging systemic failures in our criminal justice and disability service systems facilitate c</w:t>
      </w:r>
      <w:r w:rsidR="00A85B37">
        <w:rPr>
          <w:color w:val="000000"/>
          <w:lang w:eastAsia="en-US"/>
        </w:rPr>
        <w:t>onditions that give rise to ill-</w:t>
      </w:r>
      <w:r w:rsidRPr="00FC0D25">
        <w:rPr>
          <w:color w:val="000000"/>
          <w:lang w:eastAsia="en-US"/>
        </w:rPr>
        <w:t>treatment of people with disability. This is compounded by guardianship and mental health laws which deny legal capacity and provide a gateway through which further abusive practices can occur. Aboriginal and Torres Strait Islander people, women with disability, people with cognitive impairment and people with psychosocial disability are disproportionately affected. Evidence suggests multiple intersectional deprivations significantly compound their risk of ill-treatment.</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People with disability have very few options for redress as provided by Article 14 of CAT.  This is due to the lack of </w:t>
      </w:r>
      <w:r w:rsidR="00A85B37">
        <w:rPr>
          <w:color w:val="000000"/>
          <w:lang w:eastAsia="en-US"/>
        </w:rPr>
        <w:t>legislative protection from ill-</w:t>
      </w:r>
      <w:r w:rsidRPr="00FC0D25">
        <w:rPr>
          <w:color w:val="000000"/>
          <w:lang w:eastAsia="en-US"/>
        </w:rPr>
        <w:t>treatment in general; legal provisions that discriminate against people with disability by permitting practices constituting ill</w:t>
      </w:r>
      <w:r w:rsidR="00A85B37">
        <w:rPr>
          <w:color w:val="000000"/>
          <w:lang w:eastAsia="en-US"/>
        </w:rPr>
        <w:t>-</w:t>
      </w:r>
      <w:r w:rsidRPr="00FC0D25">
        <w:rPr>
          <w:color w:val="000000"/>
          <w:lang w:eastAsia="en-US"/>
        </w:rPr>
        <w:t xml:space="preserve"> treatment; the systemic segregation, disempowerment and marginalisation of people with disability particularly the most vulnerable; and the barriers to accessing justice experienced by all people with disability. There is simply no practical recourse to a remedy for indiv</w:t>
      </w:r>
      <w:r w:rsidR="00A85B37">
        <w:rPr>
          <w:color w:val="000000"/>
          <w:lang w:eastAsia="en-US"/>
        </w:rPr>
        <w:t>idual or systemic claims of ill-</w:t>
      </w:r>
      <w:r w:rsidRPr="00FC0D25">
        <w:rPr>
          <w:color w:val="000000"/>
          <w:lang w:eastAsia="en-US"/>
        </w:rPr>
        <w:t xml:space="preserve">treatment.  Indeed many people with disability who experience ill-treatment remain in or are returned to the institutional environments where it occurred.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567"/>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Successive governments have fai</w:t>
      </w:r>
      <w:r w:rsidR="00A85B37">
        <w:rPr>
          <w:color w:val="000000"/>
          <w:lang w:eastAsia="en-US"/>
        </w:rPr>
        <w:t>led to address the issue of ill-</w:t>
      </w:r>
      <w:r w:rsidRPr="00FC0D25">
        <w:rPr>
          <w:color w:val="000000"/>
          <w:lang w:eastAsia="en-US"/>
        </w:rPr>
        <w:t>treatment of people with disability within the torture framework.  This approach is clearly demonstrated by the 4</w:t>
      </w:r>
      <w:r w:rsidRPr="00FC0D25">
        <w:rPr>
          <w:color w:val="000000"/>
          <w:vertAlign w:val="superscript"/>
          <w:lang w:eastAsia="en-US"/>
        </w:rPr>
        <w:t>th</w:t>
      </w:r>
      <w:r w:rsidRPr="00FC0D25">
        <w:rPr>
          <w:color w:val="000000"/>
          <w:lang w:eastAsia="en-US"/>
        </w:rPr>
        <w:t xml:space="preserve"> and 5</w:t>
      </w:r>
      <w:r w:rsidRPr="00FC0D25">
        <w:rPr>
          <w:color w:val="000000"/>
          <w:vertAlign w:val="superscript"/>
          <w:lang w:eastAsia="en-US"/>
        </w:rPr>
        <w:t>th</w:t>
      </w:r>
      <w:r w:rsidRPr="00FC0D25">
        <w:rPr>
          <w:color w:val="000000"/>
          <w:lang w:eastAsia="en-US"/>
        </w:rPr>
        <w:t xml:space="preserve"> Reports of the Australian Government to the CAT Committee which mention disability a mere 4 times in their 325 paragraphs and 52 pages. The List of Issues Prior to Reporting provided plenty of </w:t>
      </w:r>
      <w:r w:rsidRPr="00FC0D25">
        <w:rPr>
          <w:color w:val="000000"/>
          <w:lang w:eastAsia="en-US"/>
        </w:rPr>
        <w:lastRenderedPageBreak/>
        <w:t xml:space="preserve">opportunity for the government to engage with issues that relate to people with disability and which are outlined in this submission.  Examples include responses to questions about violence against women, healthcare in immigration detention, overrepresentation of Aboriginal and Torres Strait Islander people, women, and juveniles in prison, and mental health of detained populations (LOIPR paras 9,13, 28, 29, 30, 31, 32, 37).   It can only be concluded that the government does not view a disability perspective as relevant to the CAT reporting processes.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567"/>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While acknowledging that international law has moved on since the drafting of these reports, most significantly with the introduction and Australia’s ratification of the </w:t>
      </w:r>
      <w:r w:rsidRPr="00FC0D25">
        <w:rPr>
          <w:bCs/>
          <w:iCs/>
          <w:color w:val="000000"/>
          <w:lang w:eastAsia="en-US"/>
        </w:rPr>
        <w:t>CRPD</w:t>
      </w:r>
      <w:r w:rsidRPr="00FC0D25">
        <w:rPr>
          <w:bCs/>
          <w:iCs/>
          <w:color w:val="000000"/>
          <w:vertAlign w:val="superscript"/>
          <w:lang w:eastAsia="en-US"/>
        </w:rPr>
        <w:footnoteReference w:id="7"/>
      </w:r>
      <w:r w:rsidRPr="00FC0D25">
        <w:rPr>
          <w:bCs/>
          <w:iCs/>
          <w:color w:val="000000"/>
          <w:lang w:eastAsia="en-US"/>
        </w:rPr>
        <w:t xml:space="preserve">; the government’s failure to take a considered and systemic approach to the very real experiences and heightened risk of people with disability regarding ill-treatment </w:t>
      </w:r>
      <w:r w:rsidRPr="00FC0D25">
        <w:rPr>
          <w:color w:val="000000"/>
          <w:lang w:eastAsia="en-US"/>
        </w:rPr>
        <w:t xml:space="preserve">is long standing.  It is imperative that Australian governments address the experience of people with disability when developing preventative and responsive frameworks for addressing violence, abuse, neglect and ill-treatment, and that this is prioritised as a matter of urgency.  Ratification of OPCAT must be part of this strategy, but alongside it must come a commitment to address the underlying reasons why people with disability in Australia are detained, institutionalised and abused to the extent that they are.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567"/>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Disability is a cross cutting issue relevant to the implementation of all human rights conventions. As this submission clearly illustrates people with disability have an increased vulnerability to ill-treatment and experience it in ways that are often justified by discriminatory practices and hidden from view. States parties are obliged to address these human rights violations as part of their implementation of CAT as well as the CRPD.  Implementation of these Conventions is not mutually exclusive.  They should be viewed as complementary mechanisms through which to create a holistic framework of rights protection and response to violence, segregation and discriminatory practices as they relate to people with disability. As the Special Rapporteur on Torture has stated, ‘’it is necessary to highlight additional measures needed to prevent torture and ill-treatment against people with disabilities, by synthesizing standards and coordinating actions in line with the CRPD’’</w:t>
      </w:r>
      <w:r w:rsidRPr="00FC0D25">
        <w:rPr>
          <w:color w:val="000000"/>
          <w:vertAlign w:val="superscript"/>
          <w:lang w:eastAsia="en-US"/>
        </w:rPr>
        <w:footnoteReference w:id="8"/>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567"/>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This submission will continue with brief introductions to Australian government and legal system followed by a look at specific issues which contribute to the human rights of people with disability being violated through ill-treatment. The names of individuals featured in case studies have been changed. References to related information within this document are included in brackets.  </w:t>
      </w:r>
    </w:p>
    <w:p w:rsidR="00FC0D25" w:rsidRPr="00FC0D25"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8" w:name="_Toc401341178"/>
      <w:r w:rsidRPr="00FC0D25">
        <w:rPr>
          <w:b/>
          <w:bCs/>
          <w:caps/>
          <w:color w:val="244061"/>
          <w:kern w:val="28"/>
          <w:lang w:val="x-none" w:eastAsia="en-US"/>
        </w:rPr>
        <w:lastRenderedPageBreak/>
        <w:t>Recommendations</w:t>
      </w:r>
      <w:bookmarkEnd w:id="8"/>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b/>
          <w:color w:val="000000"/>
          <w:lang w:eastAsia="en-US"/>
        </w:rPr>
      </w:pPr>
      <w:r w:rsidRPr="00FC0D25">
        <w:rPr>
          <w:b/>
          <w:color w:val="000000"/>
          <w:lang w:eastAsia="en-US"/>
        </w:rPr>
        <w:t>OVERARCHING</w:t>
      </w:r>
    </w:p>
    <w:p w:rsidR="00FC0D25" w:rsidRPr="00FC0D25" w:rsidRDefault="00FC0D25" w:rsidP="002775DB">
      <w:pPr>
        <w:numPr>
          <w:ilvl w:val="0"/>
          <w:numId w:val="14"/>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That Australia ratifies the Optional Protocol to the Convention against Torture.</w:t>
      </w:r>
    </w:p>
    <w:p w:rsidR="00FC0D25" w:rsidRPr="00FC0D25" w:rsidRDefault="00FC0D25" w:rsidP="002775DB">
      <w:pPr>
        <w:numPr>
          <w:ilvl w:val="0"/>
          <w:numId w:val="14"/>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 xml:space="preserve">That Australia enacts legislation in all jurisdictions to comprehensively criminalise cruel, inhuman or degrading treatment or punishment and provides for legal action to be taken to remedy a breach.  </w:t>
      </w:r>
    </w:p>
    <w:p w:rsidR="00FC0D25" w:rsidRPr="004F247D" w:rsidRDefault="00FC0D25" w:rsidP="002775DB">
      <w:pPr>
        <w:numPr>
          <w:ilvl w:val="0"/>
          <w:numId w:val="14"/>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b/>
          <w:color w:val="000000"/>
          <w:lang w:eastAsia="en-US"/>
        </w:rPr>
      </w:pPr>
      <w:r w:rsidRPr="00FC0D25">
        <w:rPr>
          <w:color w:val="000000"/>
          <w:lang w:eastAsia="en-US"/>
        </w:rPr>
        <w:t xml:space="preserve">That in consultation with people with disability through their representative, advocacy and legal organisations, Australia conducts a comprehensive review of the contexts in which people with disability experience torture, cruel, inhuman or degrading treatment or punishment within an intersectional CAT and CRPD framework. </w:t>
      </w:r>
    </w:p>
    <w:p w:rsidR="004F247D" w:rsidRPr="00FC0D25" w:rsidRDefault="004F247D"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720"/>
        <w:contextualSpacing/>
        <w:jc w:val="both"/>
        <w:rPr>
          <w:b/>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b/>
          <w:color w:val="000000"/>
          <w:lang w:eastAsia="en-US"/>
        </w:rPr>
      </w:pPr>
      <w:r w:rsidRPr="00FC0D25">
        <w:rPr>
          <w:b/>
          <w:color w:val="000000"/>
          <w:lang w:eastAsia="en-US"/>
        </w:rPr>
        <w:t xml:space="preserve">LEGAL CAPACITY </w:t>
      </w:r>
    </w:p>
    <w:p w:rsidR="00FC0D25" w:rsidRPr="00FC0D25" w:rsidRDefault="00FC0D25" w:rsidP="002775DB">
      <w:pPr>
        <w:numPr>
          <w:ilvl w:val="0"/>
          <w:numId w:val="9"/>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That Australia withdraws the Interpretative Declaration in relation to Article 12 of the CRPD.</w:t>
      </w:r>
    </w:p>
    <w:p w:rsidR="00FC0D25" w:rsidRPr="00FC0D25" w:rsidRDefault="00FC0D25" w:rsidP="002775DB">
      <w:pPr>
        <w:numPr>
          <w:ilvl w:val="0"/>
          <w:numId w:val="9"/>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That Australia repeal the nominee provisions in the National Disability Insurance Scheme Act</w:t>
      </w:r>
      <w:r w:rsidR="004F247D">
        <w:rPr>
          <w:color w:val="000000"/>
          <w:lang w:eastAsia="en-US"/>
        </w:rPr>
        <w:t xml:space="preserve"> 2013</w:t>
      </w:r>
      <w:r w:rsidRPr="00FC0D25">
        <w:rPr>
          <w:color w:val="000000"/>
          <w:lang w:eastAsia="en-US"/>
        </w:rPr>
        <w:t>.</w:t>
      </w:r>
    </w:p>
    <w:p w:rsidR="00FC0D25" w:rsidRDefault="00FC0D25" w:rsidP="002775DB">
      <w:pPr>
        <w:numPr>
          <w:ilvl w:val="0"/>
          <w:numId w:val="9"/>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That Australia modify, repeal or nullify any law or policy, and counteract any practice or custom, which has the purpose or effect of denying or diminishing recognition of any person as a person before the law, or of denying or diminishing any person’s ability to exercise legal capacity;  enact laws that recognise the right of all people in all situations to recognition before the law; that creates a presumption of legal capacity for all people, and which expressly extends to those circumstances where support may be required for a person to exercise legal capacity; and enshrine the primacy of supported decision-making mechanisms in the exercise of legal capacity.</w:t>
      </w:r>
    </w:p>
    <w:p w:rsidR="004F247D" w:rsidRPr="00FC0D25" w:rsidRDefault="004F247D"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720"/>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b/>
          <w:color w:val="000000"/>
          <w:lang w:eastAsia="en-US"/>
        </w:rPr>
      </w:pPr>
      <w:r w:rsidRPr="00FC0D25">
        <w:rPr>
          <w:b/>
          <w:color w:val="000000"/>
          <w:lang w:eastAsia="en-US"/>
        </w:rPr>
        <w:t>RESTRICTIVE PRACTICES</w:t>
      </w:r>
    </w:p>
    <w:p w:rsidR="00FC0D25" w:rsidRPr="00FC0D25" w:rsidRDefault="00FC0D25" w:rsidP="002775DB">
      <w:pPr>
        <w:numPr>
          <w:ilvl w:val="0"/>
          <w:numId w:val="13"/>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 xml:space="preserve">Australia establishes CRPD and CAT compliant nationally consistent legislative and administrative framework for the protection of people with disability from behaviour modification and restrictive practices that cause harm and punishment, including the prohibition of and criminal sanctions for particular behaviour modification practices. </w:t>
      </w:r>
    </w:p>
    <w:p w:rsidR="00FC0D25" w:rsidRPr="00FC0D25" w:rsidRDefault="00FC0D25" w:rsidP="002775DB">
      <w:pPr>
        <w:numPr>
          <w:ilvl w:val="0"/>
          <w:numId w:val="13"/>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 xml:space="preserve">That Australia develops an evidence-based national plan that outlines actions for the development of human rights based positive behaviour support strategies that acknowledge and respect the physical and mental integrity of the person; and for the elimination of environments and treatment approaches that have been shown to exacerbate behaviour that leads to application of inappropriate levels of behaviour modification and restraint. </w:t>
      </w:r>
    </w:p>
    <w:p w:rsidR="00FC0D25" w:rsidRPr="00FC0D25" w:rsidRDefault="00FC0D25" w:rsidP="002775DB">
      <w:pPr>
        <w:numPr>
          <w:ilvl w:val="0"/>
          <w:numId w:val="13"/>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 xml:space="preserve">That Australia conducts a national inquiry into the use of restrictive practices on children and young people with disability in mainstream and segregated </w:t>
      </w:r>
      <w:r w:rsidRPr="00FC0D25">
        <w:rPr>
          <w:color w:val="000000"/>
          <w:lang w:eastAsia="en-US"/>
        </w:rPr>
        <w:lastRenderedPageBreak/>
        <w:t>schools and identifies and implements recommendations for the elimination of these practices.</w:t>
      </w:r>
    </w:p>
    <w:p w:rsidR="00FC0D25" w:rsidRPr="00FC0D25" w:rsidRDefault="00FC0D25" w:rsidP="002775DB">
      <w:pPr>
        <w:numPr>
          <w:ilvl w:val="0"/>
          <w:numId w:val="13"/>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That Australia cease the use of seclusion, isolation and solitary confinement as a behaviour modification technique for people with cognitive impairment and psychosocial disability.</w:t>
      </w:r>
    </w:p>
    <w:p w:rsidR="00FC0D25" w:rsidRDefault="00FC0D25" w:rsidP="002775DB">
      <w:pPr>
        <w:numPr>
          <w:ilvl w:val="0"/>
          <w:numId w:val="13"/>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That Australia conducts a national inquiry into the use of restrictive practices on children and young people with disability in mainstream and segregated schools and identifies and implements recommendations for the elimination of these practices.</w:t>
      </w:r>
    </w:p>
    <w:p w:rsidR="004F247D" w:rsidRPr="00FC0D25" w:rsidRDefault="004F247D"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720"/>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b/>
          <w:color w:val="000000"/>
          <w:lang w:eastAsia="en-US"/>
        </w:rPr>
      </w:pPr>
      <w:r w:rsidRPr="00FC0D25">
        <w:rPr>
          <w:b/>
          <w:color w:val="000000"/>
          <w:lang w:eastAsia="en-US"/>
        </w:rPr>
        <w:t xml:space="preserve">INVOLUNTARY TREATMENT </w:t>
      </w:r>
    </w:p>
    <w:p w:rsidR="00FC0D25" w:rsidRPr="00FC0D25" w:rsidRDefault="00FC0D25" w:rsidP="002775DB">
      <w:pPr>
        <w:numPr>
          <w:ilvl w:val="0"/>
          <w:numId w:val="20"/>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That Australia withdraws its Interpretative Declaration in relation to Article 17 of the CRPD.</w:t>
      </w:r>
    </w:p>
    <w:p w:rsidR="00FC0D25" w:rsidRDefault="00FC0D25" w:rsidP="002775DB">
      <w:pPr>
        <w:numPr>
          <w:ilvl w:val="0"/>
          <w:numId w:val="20"/>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contextualSpacing/>
        <w:jc w:val="both"/>
        <w:rPr>
          <w:color w:val="000000"/>
          <w:lang w:eastAsia="en-US"/>
        </w:rPr>
      </w:pPr>
      <w:r w:rsidRPr="00FC0D25">
        <w:rPr>
          <w:color w:val="000000"/>
          <w:lang w:eastAsia="en-US"/>
        </w:rPr>
        <w:t>That in consultation with people with disability through their representative, advocacy and legal organisations, Australia conducts a comprehensive audit of laws, policies and administrative arrangements underpinning compulsory treatment with a view to: introducing reforms to eliminate laws and practices that relate to compulsory treatment that inherently breach human rights; and working  with people with disability and their representative and advocacy organisations to develop appropriate mechanisms and supports for any person, regardless of disability, who is at risk of causing harm to themselves or others.</w:t>
      </w:r>
    </w:p>
    <w:p w:rsidR="004F247D" w:rsidRPr="00FC0D25" w:rsidRDefault="004F247D"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720"/>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b/>
          <w:color w:val="000000"/>
          <w:lang w:eastAsia="en-US"/>
        </w:rPr>
      </w:pPr>
      <w:r w:rsidRPr="00FC0D25">
        <w:rPr>
          <w:b/>
          <w:color w:val="000000"/>
          <w:lang w:eastAsia="en-US"/>
        </w:rPr>
        <w:t xml:space="preserve">STERILISATION </w:t>
      </w:r>
    </w:p>
    <w:p w:rsidR="00376A87" w:rsidRDefault="00FC0D25" w:rsidP="00376A87">
      <w:pPr>
        <w:numPr>
          <w:ilvl w:val="0"/>
          <w:numId w:val="18"/>
        </w:numPr>
        <w:tabs>
          <w:tab w:val="left" w:pos="709"/>
          <w:tab w:val="left" w:pos="1848"/>
          <w:tab w:val="left" w:pos="2773"/>
          <w:tab w:val="left" w:pos="3697"/>
          <w:tab w:val="left" w:pos="4621"/>
          <w:tab w:val="left" w:pos="5545"/>
          <w:tab w:val="left" w:pos="6469"/>
          <w:tab w:val="left" w:pos="7394"/>
          <w:tab w:val="left" w:pos="8318"/>
          <w:tab w:val="right" w:pos="8930"/>
        </w:tabs>
        <w:spacing w:after="120" w:line="276" w:lineRule="auto"/>
        <w:ind w:left="709" w:hanging="283"/>
        <w:jc w:val="both"/>
        <w:rPr>
          <w:lang w:eastAsia="en-US"/>
        </w:rPr>
      </w:pPr>
      <w:r w:rsidRPr="00FC0D25">
        <w:rPr>
          <w:lang w:val="x-none" w:eastAsia="en-US"/>
        </w:rPr>
        <w:t>That Australia develops and enacts national uniform legislation prohibiting, except where there is a serious threat to life or health, the use of sterilisation of children, regardless of whether they have a disability, and of adults with disabilit</w:t>
      </w:r>
      <w:r w:rsidRPr="00FC0D25">
        <w:rPr>
          <w:lang w:eastAsia="en-US"/>
        </w:rPr>
        <w:t>y</w:t>
      </w:r>
      <w:r w:rsidRPr="00FC0D25">
        <w:rPr>
          <w:lang w:val="x-none" w:eastAsia="en-US"/>
        </w:rPr>
        <w:t xml:space="preserve"> </w:t>
      </w:r>
      <w:r w:rsidRPr="00FC0D25">
        <w:rPr>
          <w:lang w:eastAsia="en-US"/>
        </w:rPr>
        <w:t xml:space="preserve">or a child with intersex variation </w:t>
      </w:r>
      <w:r w:rsidRPr="00FC0D25">
        <w:rPr>
          <w:lang w:val="x-none" w:eastAsia="en-US"/>
        </w:rPr>
        <w:t>in the absence of their prior, fully informed and free consent.</w:t>
      </w:r>
    </w:p>
    <w:p w:rsidR="00376A87" w:rsidRPr="00FC0D25" w:rsidRDefault="00376A87" w:rsidP="00376A87">
      <w:pPr>
        <w:numPr>
          <w:ilvl w:val="0"/>
          <w:numId w:val="18"/>
        </w:numPr>
        <w:tabs>
          <w:tab w:val="left" w:pos="709"/>
          <w:tab w:val="left" w:pos="1848"/>
          <w:tab w:val="left" w:pos="2773"/>
          <w:tab w:val="left" w:pos="3697"/>
          <w:tab w:val="left" w:pos="4621"/>
          <w:tab w:val="left" w:pos="5545"/>
          <w:tab w:val="left" w:pos="6469"/>
          <w:tab w:val="left" w:pos="7394"/>
          <w:tab w:val="left" w:pos="8318"/>
          <w:tab w:val="right" w:pos="8930"/>
        </w:tabs>
        <w:spacing w:after="120" w:line="276" w:lineRule="auto"/>
        <w:ind w:left="709" w:hanging="283"/>
        <w:jc w:val="both"/>
        <w:rPr>
          <w:lang w:eastAsia="en-US"/>
        </w:rPr>
      </w:pPr>
      <w:r w:rsidRPr="00FC0D25">
        <w:rPr>
          <w:lang w:eastAsia="en-US"/>
        </w:rPr>
        <w:t xml:space="preserve">That Australia develops and enacts legislation prohibiting </w:t>
      </w:r>
      <w:r>
        <w:rPr>
          <w:lang w:eastAsia="en-US"/>
        </w:rPr>
        <w:t>non-medically necessary</w:t>
      </w:r>
      <w:r w:rsidRPr="00FC0D25">
        <w:rPr>
          <w:lang w:eastAsia="en-US"/>
        </w:rPr>
        <w:t xml:space="preserve"> genital and hormonal interventions on people with intersex variations without </w:t>
      </w:r>
      <w:r w:rsidRPr="00376A87">
        <w:rPr>
          <w:lang w:val="x-none" w:eastAsia="en-US"/>
        </w:rPr>
        <w:t xml:space="preserve">fully informed and free </w:t>
      </w:r>
      <w:r w:rsidRPr="00FC0D25">
        <w:rPr>
          <w:lang w:eastAsia="en-US"/>
        </w:rPr>
        <w:t>informed consent.</w:t>
      </w:r>
    </w:p>
    <w:p w:rsidR="00FC0D25" w:rsidRPr="00FC0D25" w:rsidRDefault="00FC0D25" w:rsidP="002775DB">
      <w:pPr>
        <w:tabs>
          <w:tab w:val="left" w:pos="924"/>
        </w:tabs>
        <w:spacing w:after="120"/>
        <w:ind w:left="360"/>
        <w:jc w:val="both"/>
        <w:rPr>
          <w:lang w:eastAsia="en-US"/>
        </w:rPr>
      </w:pPr>
    </w:p>
    <w:p w:rsidR="00FC0D25" w:rsidRPr="00FC0D25" w:rsidRDefault="00FC0D25" w:rsidP="002775DB">
      <w:pPr>
        <w:tabs>
          <w:tab w:val="left" w:pos="924"/>
        </w:tabs>
        <w:spacing w:after="120"/>
        <w:jc w:val="both"/>
        <w:rPr>
          <w:b/>
          <w:lang w:eastAsia="en-US"/>
        </w:rPr>
      </w:pPr>
      <w:r w:rsidRPr="00FC0D25">
        <w:rPr>
          <w:b/>
          <w:lang w:eastAsia="en-US"/>
        </w:rPr>
        <w:t xml:space="preserve">INDEFINITE DETENTION </w:t>
      </w:r>
    </w:p>
    <w:p w:rsidR="004F247D" w:rsidRDefault="00FC0D25" w:rsidP="002775DB">
      <w:pPr>
        <w:numPr>
          <w:ilvl w:val="0"/>
          <w:numId w:val="24"/>
        </w:numPr>
        <w:tabs>
          <w:tab w:val="left" w:pos="709"/>
          <w:tab w:val="left" w:pos="1848"/>
          <w:tab w:val="left" w:pos="2773"/>
          <w:tab w:val="left" w:pos="3697"/>
          <w:tab w:val="left" w:pos="4621"/>
          <w:tab w:val="left" w:pos="5545"/>
          <w:tab w:val="left" w:pos="6469"/>
          <w:tab w:val="left" w:pos="7394"/>
          <w:tab w:val="left" w:pos="8318"/>
          <w:tab w:val="right" w:pos="8930"/>
        </w:tabs>
        <w:spacing w:after="120" w:line="276" w:lineRule="auto"/>
        <w:ind w:left="709" w:hanging="283"/>
        <w:contextualSpacing/>
        <w:jc w:val="both"/>
        <w:rPr>
          <w:lang w:val="x-none" w:eastAsia="en-US"/>
        </w:rPr>
      </w:pPr>
      <w:r w:rsidRPr="00FC0D25">
        <w:rPr>
          <w:lang w:val="x-none" w:eastAsia="en-US"/>
        </w:rPr>
        <w:t xml:space="preserve">That Australia, as a matter of urgency, ends the unwarranted use of prisons for the management of unconvicted people with disability, with a focus on Aboriginal and Torres Strait Islander people with disability, by establishing legislative, administrative and support frameworks that comply with the </w:t>
      </w:r>
      <w:r w:rsidRPr="00FC0D25">
        <w:rPr>
          <w:lang w:eastAsia="en-US"/>
        </w:rPr>
        <w:t xml:space="preserve">CAT and the </w:t>
      </w:r>
      <w:r w:rsidRPr="00FC0D25">
        <w:rPr>
          <w:lang w:val="x-none" w:eastAsia="en-US"/>
        </w:rPr>
        <w:t>CRPD</w:t>
      </w:r>
      <w:r w:rsidRPr="00FC0D25">
        <w:rPr>
          <w:lang w:eastAsia="en-US"/>
        </w:rPr>
        <w:t>.</w:t>
      </w:r>
    </w:p>
    <w:p w:rsidR="004F247D" w:rsidRDefault="00FC0D25" w:rsidP="002775DB">
      <w:pPr>
        <w:numPr>
          <w:ilvl w:val="0"/>
          <w:numId w:val="24"/>
        </w:numPr>
        <w:tabs>
          <w:tab w:val="left" w:pos="709"/>
          <w:tab w:val="left" w:pos="1848"/>
          <w:tab w:val="left" w:pos="2773"/>
          <w:tab w:val="left" w:pos="3697"/>
          <w:tab w:val="left" w:pos="4621"/>
          <w:tab w:val="left" w:pos="5545"/>
          <w:tab w:val="left" w:pos="6469"/>
          <w:tab w:val="left" w:pos="7394"/>
          <w:tab w:val="left" w:pos="8318"/>
          <w:tab w:val="right" w:pos="8930"/>
        </w:tabs>
        <w:spacing w:after="120" w:line="276" w:lineRule="auto"/>
        <w:ind w:left="709" w:hanging="283"/>
        <w:contextualSpacing/>
        <w:jc w:val="both"/>
        <w:rPr>
          <w:lang w:val="x-none" w:eastAsia="en-US"/>
        </w:rPr>
      </w:pPr>
      <w:r w:rsidRPr="004F247D">
        <w:rPr>
          <w:lang w:val="x-none" w:eastAsia="en-US"/>
        </w:rPr>
        <w:t xml:space="preserve">That </w:t>
      </w:r>
      <w:r w:rsidRPr="00FC0D25">
        <w:rPr>
          <w:lang w:eastAsia="en-US"/>
        </w:rPr>
        <w:t xml:space="preserve">in line with obligations in the CRPD and CAT, </w:t>
      </w:r>
      <w:r w:rsidRPr="004F247D">
        <w:rPr>
          <w:lang w:val="x-none" w:eastAsia="en-US"/>
        </w:rPr>
        <w:t>Australia establishes mandatory guidelines and practice to ensure that people with disability in the criminal justice system are provided with appropriate supports and accommodation.</w:t>
      </w:r>
    </w:p>
    <w:p w:rsidR="004F247D" w:rsidRDefault="00FC0D25" w:rsidP="002775DB">
      <w:pPr>
        <w:numPr>
          <w:ilvl w:val="0"/>
          <w:numId w:val="24"/>
        </w:numPr>
        <w:tabs>
          <w:tab w:val="left" w:pos="709"/>
          <w:tab w:val="left" w:pos="1848"/>
          <w:tab w:val="left" w:pos="2773"/>
          <w:tab w:val="left" w:pos="3697"/>
          <w:tab w:val="left" w:pos="4621"/>
          <w:tab w:val="left" w:pos="5545"/>
          <w:tab w:val="left" w:pos="6469"/>
          <w:tab w:val="left" w:pos="7394"/>
          <w:tab w:val="left" w:pos="8318"/>
          <w:tab w:val="right" w:pos="8930"/>
        </w:tabs>
        <w:spacing w:after="120" w:line="276" w:lineRule="auto"/>
        <w:ind w:left="709" w:hanging="283"/>
        <w:contextualSpacing/>
        <w:jc w:val="both"/>
        <w:rPr>
          <w:lang w:val="x-none" w:eastAsia="en-US"/>
        </w:rPr>
      </w:pPr>
      <w:r w:rsidRPr="004F247D">
        <w:rPr>
          <w:color w:val="000000"/>
          <w:lang w:eastAsia="en-US"/>
        </w:rPr>
        <w:lastRenderedPageBreak/>
        <w:t>That Australia amends legislation in relation to crime to include the specific (statutory) offence of deprivation of liberty.</w:t>
      </w:r>
    </w:p>
    <w:p w:rsidR="00FC0D25" w:rsidRPr="004F247D" w:rsidRDefault="00FC0D25" w:rsidP="002775DB">
      <w:pPr>
        <w:numPr>
          <w:ilvl w:val="0"/>
          <w:numId w:val="24"/>
        </w:numPr>
        <w:tabs>
          <w:tab w:val="left" w:pos="709"/>
          <w:tab w:val="left" w:pos="1848"/>
          <w:tab w:val="left" w:pos="2773"/>
          <w:tab w:val="left" w:pos="3697"/>
          <w:tab w:val="left" w:pos="4621"/>
          <w:tab w:val="left" w:pos="5545"/>
          <w:tab w:val="left" w:pos="6469"/>
          <w:tab w:val="left" w:pos="7394"/>
          <w:tab w:val="left" w:pos="8318"/>
          <w:tab w:val="right" w:pos="8930"/>
        </w:tabs>
        <w:spacing w:after="120" w:line="276" w:lineRule="auto"/>
        <w:ind w:left="709" w:hanging="283"/>
        <w:contextualSpacing/>
        <w:jc w:val="both"/>
        <w:rPr>
          <w:lang w:val="x-none" w:eastAsia="en-US"/>
        </w:rPr>
      </w:pPr>
      <w:r w:rsidRPr="004F247D">
        <w:rPr>
          <w:color w:val="000000"/>
          <w:lang w:eastAsia="en-US"/>
        </w:rPr>
        <w:t xml:space="preserve">That disability is diagnosed and appropriate support and housing offered to prevent the incarceration of young people and adults with disability. </w:t>
      </w:r>
    </w:p>
    <w:p w:rsidR="00FC0D25" w:rsidRPr="00FC0D25" w:rsidRDefault="00FC0D25" w:rsidP="002775DB">
      <w:pPr>
        <w:tabs>
          <w:tab w:val="left" w:pos="924"/>
        </w:tabs>
        <w:spacing w:after="120"/>
        <w:jc w:val="both"/>
        <w:rPr>
          <w:b/>
          <w:lang w:eastAsia="en-US"/>
        </w:rPr>
      </w:pPr>
    </w:p>
    <w:p w:rsidR="00FC0D25" w:rsidRPr="00FC0D25" w:rsidRDefault="00FC0D25" w:rsidP="002775DB">
      <w:pPr>
        <w:tabs>
          <w:tab w:val="left" w:pos="924"/>
        </w:tabs>
        <w:spacing w:after="120"/>
        <w:jc w:val="both"/>
        <w:rPr>
          <w:b/>
          <w:lang w:eastAsia="en-US"/>
        </w:rPr>
      </w:pPr>
      <w:r w:rsidRPr="00FC0D25">
        <w:rPr>
          <w:b/>
          <w:lang w:eastAsia="en-US"/>
        </w:rPr>
        <w:t>IMMIGRATION DETENTION</w:t>
      </w:r>
    </w:p>
    <w:p w:rsidR="00FC0D25" w:rsidRDefault="00FC0D25" w:rsidP="002775DB">
      <w:pPr>
        <w:numPr>
          <w:ilvl w:val="0"/>
          <w:numId w:val="23"/>
        </w:numPr>
        <w:tabs>
          <w:tab w:val="left" w:pos="851"/>
          <w:tab w:val="left" w:pos="1848"/>
          <w:tab w:val="left" w:pos="2773"/>
          <w:tab w:val="left" w:pos="3697"/>
          <w:tab w:val="left" w:pos="4621"/>
          <w:tab w:val="left" w:pos="5545"/>
          <w:tab w:val="left" w:pos="6469"/>
          <w:tab w:val="left" w:pos="7394"/>
          <w:tab w:val="left" w:pos="8318"/>
          <w:tab w:val="right" w:pos="8930"/>
        </w:tabs>
        <w:spacing w:after="120" w:line="276" w:lineRule="auto"/>
        <w:ind w:left="426" w:firstLine="0"/>
        <w:contextualSpacing/>
        <w:jc w:val="both"/>
        <w:rPr>
          <w:color w:val="000000"/>
          <w:lang w:eastAsia="en-US"/>
        </w:rPr>
      </w:pPr>
      <w:r w:rsidRPr="00FC0D25">
        <w:rPr>
          <w:color w:val="000000"/>
          <w:lang w:eastAsia="en-US"/>
        </w:rPr>
        <w:t>That Australia abolish mandatory detention for asylum seekers.</w:t>
      </w:r>
    </w:p>
    <w:p w:rsidR="004F247D" w:rsidRDefault="00FC0D25" w:rsidP="002775DB">
      <w:pPr>
        <w:numPr>
          <w:ilvl w:val="0"/>
          <w:numId w:val="23"/>
        </w:numPr>
        <w:tabs>
          <w:tab w:val="left" w:pos="851"/>
          <w:tab w:val="left" w:pos="1848"/>
          <w:tab w:val="left" w:pos="2773"/>
          <w:tab w:val="left" w:pos="3697"/>
          <w:tab w:val="left" w:pos="4621"/>
          <w:tab w:val="left" w:pos="5545"/>
          <w:tab w:val="left" w:pos="6469"/>
          <w:tab w:val="left" w:pos="7394"/>
          <w:tab w:val="left" w:pos="8318"/>
          <w:tab w:val="right" w:pos="8930"/>
        </w:tabs>
        <w:spacing w:after="120" w:line="276" w:lineRule="auto"/>
        <w:ind w:left="851" w:hanging="425"/>
        <w:contextualSpacing/>
        <w:jc w:val="both"/>
        <w:rPr>
          <w:color w:val="000000"/>
          <w:lang w:eastAsia="en-US"/>
        </w:rPr>
      </w:pPr>
      <w:r w:rsidRPr="004F247D">
        <w:rPr>
          <w:color w:val="000000"/>
          <w:lang w:eastAsia="en-US"/>
        </w:rPr>
        <w:t>That Australia cease the detention of children in immigration detention centres including children and young people with disability.</w:t>
      </w:r>
    </w:p>
    <w:p w:rsidR="00FC0D25" w:rsidRPr="004F247D" w:rsidRDefault="00FC0D25" w:rsidP="002775DB">
      <w:pPr>
        <w:numPr>
          <w:ilvl w:val="0"/>
          <w:numId w:val="23"/>
        </w:numPr>
        <w:tabs>
          <w:tab w:val="left" w:pos="851"/>
          <w:tab w:val="left" w:pos="1848"/>
          <w:tab w:val="left" w:pos="2773"/>
          <w:tab w:val="left" w:pos="3697"/>
          <w:tab w:val="left" w:pos="4621"/>
          <w:tab w:val="left" w:pos="5545"/>
          <w:tab w:val="left" w:pos="6469"/>
          <w:tab w:val="left" w:pos="7394"/>
          <w:tab w:val="left" w:pos="8318"/>
          <w:tab w:val="right" w:pos="8930"/>
        </w:tabs>
        <w:spacing w:after="120" w:line="276" w:lineRule="auto"/>
        <w:ind w:left="851" w:hanging="425"/>
        <w:contextualSpacing/>
        <w:jc w:val="both"/>
        <w:rPr>
          <w:color w:val="000000"/>
          <w:lang w:eastAsia="en-US"/>
        </w:rPr>
      </w:pPr>
      <w:r w:rsidRPr="004F247D">
        <w:rPr>
          <w:color w:val="000000"/>
          <w:lang w:eastAsia="en-US"/>
        </w:rPr>
        <w:t>That Australia acts to ensure immigration detainees are provided with adequate physical and mental health care including routine health checks.</w:t>
      </w:r>
    </w:p>
    <w:p w:rsidR="004F247D" w:rsidRPr="00FC0D25" w:rsidRDefault="004F247D"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426"/>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b/>
          <w:color w:val="000000"/>
          <w:lang w:eastAsia="en-US"/>
        </w:rPr>
      </w:pPr>
      <w:r w:rsidRPr="00FC0D25">
        <w:rPr>
          <w:b/>
          <w:color w:val="000000"/>
          <w:lang w:eastAsia="en-US"/>
        </w:rPr>
        <w:t>VIOLENCE AND ABUSE</w:t>
      </w:r>
    </w:p>
    <w:p w:rsidR="004F247D" w:rsidRDefault="00FC0D25" w:rsidP="002775DB">
      <w:pPr>
        <w:numPr>
          <w:ilvl w:val="0"/>
          <w:numId w:val="26"/>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851" w:hanging="425"/>
        <w:jc w:val="both"/>
        <w:rPr>
          <w:color w:val="000000"/>
          <w:lang w:eastAsia="en-US"/>
        </w:rPr>
      </w:pPr>
      <w:r w:rsidRPr="00FC0D25">
        <w:rPr>
          <w:color w:val="000000"/>
          <w:lang w:eastAsia="en-US"/>
        </w:rPr>
        <w:t>That Australia establishes an independent, statutory, national protection mechanism that has broad functions and powers to protect, investigate and enforce findings related to situations of exploitation, violence and abuse experienced by people with disability, and that addresses the multiple and aggravated forms of violence and abuse that result from the intersection of ‘disability’ with other characteristics, such as gender, age, indigenous status and racial, cultural or linguistic status.</w:t>
      </w:r>
    </w:p>
    <w:p w:rsidR="004F247D" w:rsidRDefault="00FC0D25" w:rsidP="002775DB">
      <w:pPr>
        <w:numPr>
          <w:ilvl w:val="0"/>
          <w:numId w:val="26"/>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851" w:hanging="425"/>
        <w:jc w:val="both"/>
        <w:rPr>
          <w:color w:val="000000"/>
          <w:lang w:eastAsia="en-US"/>
        </w:rPr>
      </w:pPr>
      <w:r w:rsidRPr="004F247D">
        <w:rPr>
          <w:color w:val="000000"/>
          <w:lang w:eastAsia="en-US"/>
        </w:rPr>
        <w:t xml:space="preserve">That Australia initiate a Royal Commission to undertake a comprehensive public inquiry into the incidence, forms and circumstances of exploitation, violence and abuse of people with a disability in the community and within a full range of service settings, including addressing the gender and age-related dimensions of exploitation, violence and abuse and the particular situation of Aboriginal and Torres Strait Islander people with disability and people with disability </w:t>
      </w:r>
      <w:r w:rsidRPr="00FC0D25">
        <w:rPr>
          <w:lang w:eastAsia="en-US"/>
        </w:rPr>
        <w:t>from culturally and linguistically diverse backgrounds.</w:t>
      </w:r>
    </w:p>
    <w:p w:rsidR="004F247D" w:rsidRDefault="00FC0D25" w:rsidP="002775DB">
      <w:pPr>
        <w:numPr>
          <w:ilvl w:val="0"/>
          <w:numId w:val="26"/>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851" w:hanging="425"/>
        <w:jc w:val="both"/>
        <w:rPr>
          <w:color w:val="000000"/>
          <w:lang w:eastAsia="en-US"/>
        </w:rPr>
      </w:pPr>
      <w:r w:rsidRPr="004F247D">
        <w:rPr>
          <w:color w:val="000000"/>
          <w:lang w:eastAsia="en-US"/>
        </w:rPr>
        <w:t xml:space="preserve">That standard and compulsory modules on working with people with disability are incorporated into training programs for police, prison officers, lawyers, judicial officers, court staff and immigration detention officials. </w:t>
      </w:r>
    </w:p>
    <w:p w:rsidR="00FC0D25" w:rsidRPr="004F247D" w:rsidRDefault="00FC0D25" w:rsidP="002775DB">
      <w:pPr>
        <w:numPr>
          <w:ilvl w:val="0"/>
          <w:numId w:val="26"/>
        </w:num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ind w:left="851" w:hanging="425"/>
        <w:jc w:val="both"/>
        <w:rPr>
          <w:color w:val="000000"/>
          <w:lang w:eastAsia="en-US"/>
        </w:rPr>
      </w:pPr>
      <w:r w:rsidRPr="004F247D">
        <w:rPr>
          <w:lang w:val="x-none" w:eastAsia="en-US"/>
        </w:rPr>
        <w:t>That Australia, as an urgent and immediate priority, develops and implements a national</w:t>
      </w:r>
      <w:r w:rsidRPr="00FC0D25">
        <w:rPr>
          <w:lang w:eastAsia="en-US"/>
        </w:rPr>
        <w:t>, time bound</w:t>
      </w:r>
      <w:r w:rsidRPr="004F247D">
        <w:rPr>
          <w:lang w:val="x-none" w:eastAsia="en-US"/>
        </w:rPr>
        <w:t xml:space="preserve"> framework for the closure of all residential institutions accommodating people with disability, including those operated by non-government and private sectors, and allocates and provides the resources necessary for people to move to individualised community based housing and support options that will support their inclusion and participation in the general community.</w:t>
      </w:r>
    </w:p>
    <w:p w:rsidR="004F247D" w:rsidRDefault="004F247D"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lang w:val="x-none" w:eastAsia="en-US"/>
        </w:rPr>
      </w:pPr>
    </w:p>
    <w:p w:rsidR="004F247D" w:rsidRDefault="004F247D"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lang w:val="x-none" w:eastAsia="en-US"/>
        </w:rPr>
      </w:pPr>
    </w:p>
    <w:p w:rsidR="004F247D" w:rsidRDefault="004F247D" w:rsidP="002775DB">
      <w:pPr>
        <w:tabs>
          <w:tab w:val="left" w:pos="924"/>
          <w:tab w:val="left" w:pos="1848"/>
          <w:tab w:val="left" w:pos="2773"/>
          <w:tab w:val="left" w:pos="3697"/>
          <w:tab w:val="left" w:pos="4621"/>
          <w:tab w:val="left" w:pos="5545"/>
          <w:tab w:val="left" w:pos="6469"/>
          <w:tab w:val="left" w:pos="7394"/>
          <w:tab w:val="left" w:pos="8318"/>
          <w:tab w:val="right" w:pos="8930"/>
        </w:tabs>
        <w:spacing w:after="120" w:line="276" w:lineRule="auto"/>
        <w:jc w:val="both"/>
        <w:rPr>
          <w:lang w:val="x-none" w:eastAsia="en-US"/>
        </w:rPr>
      </w:pPr>
    </w:p>
    <w:p w:rsidR="00FC0D25" w:rsidRPr="004F247D"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9" w:name="_Toc401341179"/>
      <w:r w:rsidRPr="004F247D">
        <w:rPr>
          <w:b/>
          <w:bCs/>
          <w:caps/>
          <w:color w:val="244061"/>
          <w:kern w:val="28"/>
          <w:lang w:val="x-none" w:eastAsia="en-US"/>
        </w:rPr>
        <w:lastRenderedPageBreak/>
        <w:t>Introduction to Australian Government and Legal System</w:t>
      </w:r>
      <w:bookmarkEnd w:id="9"/>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Australia by world standards is a wealthy nation, (ranked 14th in the world) with a gross domestic product </w:t>
      </w:r>
      <w:r w:rsidRPr="00FC0D25">
        <w:rPr>
          <w:lang w:eastAsia="en-US"/>
        </w:rPr>
        <w:t>equivalent to $</w:t>
      </w:r>
      <w:r w:rsidRPr="00FC0D25">
        <w:t xml:space="preserve"> US$43,550 </w:t>
      </w:r>
      <w:r w:rsidRPr="00FC0D25">
        <w:rPr>
          <w:lang w:eastAsia="en-US"/>
        </w:rPr>
        <w:t>per capita</w:t>
      </w:r>
      <w:r w:rsidRPr="00FC0D25">
        <w:rPr>
          <w:vertAlign w:val="superscript"/>
          <w:lang w:eastAsia="en-US"/>
        </w:rPr>
        <w:footnoteReference w:id="9"/>
      </w:r>
      <w:r w:rsidRPr="00FC0D25">
        <w:rPr>
          <w:color w:val="000000"/>
          <w:lang w:eastAsia="en-US"/>
        </w:rPr>
        <w:t>. Australia is also one of the world’s most developed countries, and is ranked second (behind Norway) in the United Nations Human Development Index.</w:t>
      </w:r>
      <w:r w:rsidRPr="00FC0D25">
        <w:rPr>
          <w:color w:val="000000"/>
          <w:vertAlign w:val="superscript"/>
          <w:lang w:eastAsia="en-US"/>
        </w:rPr>
        <w:footnoteReference w:id="10"/>
      </w:r>
    </w:p>
    <w:p w:rsidR="00FC0D25" w:rsidRPr="00FC0D25" w:rsidRDefault="00FC0D25" w:rsidP="002775DB">
      <w:p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 pluralist democracy, Australia is recognised for its enduring political stability.</w:t>
      </w:r>
      <w:r w:rsidRPr="00FC0D25">
        <w:rPr>
          <w:color w:val="000000"/>
          <w:vertAlign w:val="superscript"/>
          <w:lang w:eastAsia="en-US"/>
        </w:rPr>
        <w:footnoteReference w:id="11"/>
      </w:r>
      <w:r w:rsidRPr="00FC0D25">
        <w:rPr>
          <w:color w:val="000000"/>
          <w:lang w:eastAsia="en-US"/>
        </w:rPr>
        <w:t xml:space="preserve"> It has a federal system with a central Commonwealth government and six states and two mainland territories. Australia’s federal system of government is enshrined in the Australian Constitution and provides limited powers to the Commonwealth. The Australian Constitution contains a series of ‘enumerated powers’, which circumscribe the limits of Commonwealth legislative competence. The Commonwealth government has legislative responsibility as outlined in section 51</w:t>
      </w:r>
      <w:r w:rsidRPr="00FC0D25">
        <w:rPr>
          <w:color w:val="000000"/>
          <w:vertAlign w:val="superscript"/>
          <w:lang w:eastAsia="en-US"/>
        </w:rPr>
        <w:footnoteReference w:id="12"/>
      </w:r>
      <w:r w:rsidRPr="00FC0D25">
        <w:rPr>
          <w:color w:val="000000"/>
          <w:lang w:eastAsia="en-US"/>
        </w:rPr>
        <w:t xml:space="preserve"> of the Constitution and in particular section 51(xxix) (the ‘external affairs’ power) which enlivens Australia’s obligations under human rights treaties.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It is under this external affairs power that the Commonwealth government can undertake international obligations and pass domestic legislation to give effect to those obligations. The Constitution does not incorporate a set of codified rights but is the source of six explicit and some implied rights. The explicit rights enshrined in the Constitution include the right to trial by jury, to vote and freedom of religion.</w:t>
      </w:r>
      <w:bookmarkStart w:id="10" w:name="_Ref321385073"/>
      <w:r w:rsidRPr="00FC0D25">
        <w:rPr>
          <w:color w:val="000000"/>
          <w:vertAlign w:val="superscript"/>
          <w:lang w:eastAsia="en-US"/>
        </w:rPr>
        <w:footnoteReference w:id="13"/>
      </w:r>
      <w:bookmarkEnd w:id="10"/>
      <w:r w:rsidRPr="00FC0D25">
        <w:rPr>
          <w:color w:val="000000"/>
          <w:lang w:eastAsia="en-US"/>
        </w:rPr>
        <w:t xml:space="preserve"> The courts over time have established areas of implied constitutional limitations on government’s action. These areas of implied rights — or more correctly freedoms — include freedom of political communication.</w:t>
      </w:r>
      <w:r w:rsidRPr="00FC0D25">
        <w:rPr>
          <w:color w:val="000000"/>
          <w:vertAlign w:val="superscript"/>
          <w:lang w:eastAsia="en-US"/>
        </w:rPr>
        <w:footnoteReference w:id="14"/>
      </w:r>
      <w:r w:rsidRPr="00FC0D25">
        <w:rPr>
          <w:color w:val="000000"/>
          <w:lang w:eastAsia="en-US"/>
        </w:rPr>
        <w:t xml:space="preserve"> The Australian Constitution contains no provisions for, and makes no explicit reference to, disability or persons with disability.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As the Australian Constitution does not incorporate a statement of rights the source of human rights in Australia is through the external affairs power and the Federal Government’s signing and ratification of seven of the nine core human </w:t>
      </w:r>
      <w:r w:rsidRPr="00FC0D25">
        <w:rPr>
          <w:color w:val="000000"/>
          <w:lang w:eastAsia="en-US"/>
        </w:rPr>
        <w:lastRenderedPageBreak/>
        <w:t>rights treaties.</w:t>
      </w:r>
      <w:r w:rsidRPr="00FC0D25">
        <w:rPr>
          <w:color w:val="000000"/>
          <w:vertAlign w:val="superscript"/>
          <w:lang w:eastAsia="en-US"/>
        </w:rPr>
        <w:footnoteReference w:id="15"/>
      </w:r>
      <w:r w:rsidRPr="00FC0D25">
        <w:rPr>
          <w:color w:val="000000"/>
          <w:lang w:eastAsia="en-US"/>
        </w:rPr>
        <w:t xml:space="preserve"> Australia does not have a constitutional Bill of Rights or legislative Human Rights Act</w:t>
      </w:r>
      <w:r w:rsidRPr="00FC0D25">
        <w:rPr>
          <w:color w:val="000000"/>
          <w:vertAlign w:val="superscript"/>
          <w:lang w:eastAsia="en-US"/>
        </w:rPr>
        <w:footnoteReference w:id="16"/>
      </w:r>
      <w:r w:rsidRPr="00FC0D25">
        <w:rPr>
          <w:color w:val="000000"/>
          <w:lang w:eastAsia="en-US"/>
        </w:rPr>
        <w:t xml:space="preserve"> and is currently the only common law country without some form of comprehensive legal protection of human rights.</w:t>
      </w:r>
      <w:r w:rsidRPr="00FC0D25">
        <w:rPr>
          <w:color w:val="000000"/>
          <w:vertAlign w:val="superscript"/>
          <w:lang w:eastAsia="en-US"/>
        </w:rPr>
        <w:footnoteReference w:id="17"/>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Those powers that are not enumerated in the Australian Constitution remain within the legislative competence of the states, which is plenary in nature and are limited only by what is necessary for ‘peace, order and good government’ of the State.</w:t>
      </w:r>
      <w:r w:rsidRPr="00FC0D25">
        <w:rPr>
          <w:color w:val="000000"/>
          <w:vertAlign w:val="superscript"/>
          <w:lang w:eastAsia="en-US"/>
        </w:rPr>
        <w:footnoteReference w:id="18"/>
      </w:r>
      <w:r w:rsidRPr="00FC0D25">
        <w:rPr>
          <w:color w:val="000000"/>
          <w:lang w:eastAsia="en-US"/>
        </w:rPr>
        <w:t xml:space="preserve"> Australia also has two mainland self-governing territories, each of which also has plenary power. However, the source of their self-government is Commonwealth legislation rather than constitutional power. In the self-governing territories the Commonwealth parliament retains the full power to legislate, and can override laws made by the territorial institutions, which it has done on rare occasions. Under the Federation, the criminal law, policing and the provision of health, education and social services, are principally the responsibility of the Australian state and territory governments.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bidi="en-US"/>
        </w:rPr>
      </w:pPr>
    </w:p>
    <w:p w:rsid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bidi="en-US"/>
        </w:rPr>
        <w:t>To address issues in relation to federalism the Council of Australian Governments (COAG) was formed as the key intergovernmental forum in Australia. COAG comprises the Prime Minister, State Premiers, Territory Chief Ministers and the President of the Australian Local Government Association (ALGA). Established in 1992, the role of COAG is to initiate, develop and monitor the implementation of policy reforms that are of national significance and which require cooperative action by Australian governments.</w:t>
      </w:r>
      <w:r w:rsidRPr="00FC0D25">
        <w:rPr>
          <w:color w:val="000000"/>
          <w:vertAlign w:val="superscript"/>
          <w:lang w:eastAsia="en-US"/>
        </w:rPr>
        <w:footnoteReference w:id="19"/>
      </w:r>
      <w:bookmarkStart w:id="11" w:name="Methodology"/>
      <w:bookmarkEnd w:id="11"/>
      <w:r w:rsidRPr="00FC0D25">
        <w:rPr>
          <w:color w:val="000000"/>
          <w:lang w:eastAsia="en-US" w:bidi="en-US"/>
        </w:rPr>
        <w:t xml:space="preserve"> However, the current Government abolished the COAG Reform Council in the 2014 Budget and cut AUD$80million in funding for Commonwealth and state partnerships.</w:t>
      </w:r>
      <w:r w:rsidRPr="00FC0D25">
        <w:rPr>
          <w:color w:val="000000"/>
          <w:vertAlign w:val="superscript"/>
          <w:lang w:eastAsia="en-US" w:bidi="en-US"/>
        </w:rPr>
        <w:footnoteReference w:id="20"/>
      </w:r>
    </w:p>
    <w:p w:rsidR="004F247D" w:rsidRPr="00FC0D25" w:rsidRDefault="004F247D" w:rsidP="002775DB">
      <w:p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
    <w:p w:rsidR="00FC0D25" w:rsidRPr="00FC0D25"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caps/>
          <w:color w:val="244061"/>
          <w:kern w:val="28"/>
          <w:lang w:val="x-none" w:eastAsia="en-US"/>
        </w:rPr>
      </w:pPr>
      <w:bookmarkStart w:id="12" w:name="_Toc401341180"/>
      <w:r w:rsidRPr="00FC0D25">
        <w:rPr>
          <w:b/>
          <w:iCs/>
          <w:caps/>
          <w:color w:val="244061"/>
          <w:kern w:val="28"/>
          <w:lang w:val="x-none" w:eastAsia="en-US"/>
        </w:rPr>
        <w:lastRenderedPageBreak/>
        <w:t>Legislati</w:t>
      </w:r>
      <w:r w:rsidRPr="00FC0D25">
        <w:rPr>
          <w:b/>
          <w:iCs/>
          <w:caps/>
          <w:color w:val="244061"/>
          <w:kern w:val="28"/>
          <w:lang w:eastAsia="en-US"/>
        </w:rPr>
        <w:t>VE BAckground</w:t>
      </w:r>
      <w:bookmarkEnd w:id="12"/>
      <w:r w:rsidRPr="00FC0D25">
        <w:rPr>
          <w:b/>
          <w:iCs/>
          <w:caps/>
          <w:color w:val="244061"/>
          <w:kern w:val="28"/>
          <w:lang w:eastAsia="en-US"/>
        </w:rPr>
        <w:t xml:space="preserve"> </w:t>
      </w: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Regarding CAT Articles 2 and 4, Australia has legislated against torture when committed by a public official or under their direction. Offences under this legislation include conduct that inflicts severe physical or mental pain or suffering on a person and where such conduct is based on discrimination.</w:t>
      </w:r>
      <w:r w:rsidRPr="00FC0D25">
        <w:rPr>
          <w:color w:val="000000"/>
          <w:vertAlign w:val="superscript"/>
          <w:lang w:eastAsia="en-US"/>
        </w:rPr>
        <w:footnoteReference w:id="21"/>
      </w:r>
      <w:r w:rsidRPr="00FC0D25">
        <w:rPr>
          <w:color w:val="000000"/>
          <w:lang w:eastAsia="en-US"/>
        </w:rPr>
        <w:t xml:space="preserve"> Many practices that occur in disability and mental health services funded or provided by Australian governments potentially satisfy this definition, given these practices only occur because a person has disability. However, the legislation has not been tested in this regard.  It is also unclear whether the failure to prevent or end instances of ill-treatment when public officials are on, or should be, on notice of its occurrence would also fall with</w:t>
      </w:r>
      <w:r w:rsidR="002B0895">
        <w:rPr>
          <w:color w:val="000000"/>
          <w:lang w:eastAsia="en-US"/>
        </w:rPr>
        <w:t>in this legislation. (See also V</w:t>
      </w:r>
      <w:r w:rsidRPr="00FC0D25">
        <w:rPr>
          <w:color w:val="000000"/>
          <w:lang w:eastAsia="en-US"/>
        </w:rPr>
        <w:t xml:space="preserve">iolence and </w:t>
      </w:r>
      <w:r w:rsidR="002B0895">
        <w:rPr>
          <w:color w:val="000000"/>
          <w:lang w:eastAsia="en-US"/>
        </w:rPr>
        <w:t>A</w:t>
      </w:r>
      <w:r w:rsidRPr="00FC0D25">
        <w:rPr>
          <w:color w:val="000000"/>
          <w:lang w:eastAsia="en-US"/>
        </w:rPr>
        <w:t>buse)</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i/>
          <w:color w:val="000000"/>
          <w:lang w:eastAsia="en-US"/>
        </w:rPr>
      </w:pPr>
    </w:p>
    <w:p w:rsidR="00FC0D25" w:rsidRPr="00FC0D25" w:rsidRDefault="00FC0D25" w:rsidP="002775DB">
      <w:pPr>
        <w:tabs>
          <w:tab w:val="left" w:pos="851"/>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851"/>
        <w:contextualSpacing/>
        <w:jc w:val="both"/>
        <w:rPr>
          <w:b/>
          <w:i/>
          <w:color w:val="002060"/>
          <w:lang w:eastAsia="en-US"/>
        </w:rPr>
      </w:pPr>
      <w:r w:rsidRPr="00FC0D25">
        <w:rPr>
          <w:b/>
          <w:i/>
          <w:color w:val="002060"/>
          <w:lang w:eastAsia="en-US"/>
        </w:rPr>
        <w:t>Case study: Eddie is a 35 year old with intellectual disability.  A disability advocate visited his home on a tip off from a service provider that he needed support.  On entering the home the advocate found that Eddie was being kept captive in a cage with three solid walls and bars on the fourth.  His carers only allowed him to wear adult nappies and his diet consisted solely of mashed banana, milk and cereal. Family members used a plastic pipe to prod him through the bars. It’s not known how long he has lived like this.  When the advocate made further inquiries he discovered that police had visited Eddie and found nothing wrong.</w:t>
      </w:r>
      <w:r w:rsidR="00DB60B6">
        <w:rPr>
          <w:rStyle w:val="FootnoteReference"/>
          <w:b/>
          <w:i/>
          <w:color w:val="002060"/>
          <w:lang w:eastAsia="en-US"/>
        </w:rPr>
        <w:footnoteReference w:id="22"/>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There is an absence of Commonwealth legislation implementing Articles 4 and 16 of CAT despite previous recommendations by the CAT Committee to rectify this.</w:t>
      </w:r>
      <w:r w:rsidRPr="00FC0D25">
        <w:rPr>
          <w:color w:val="000000"/>
          <w:vertAlign w:val="superscript"/>
          <w:lang w:eastAsia="en-US"/>
        </w:rPr>
        <w:footnoteReference w:id="23"/>
      </w:r>
      <w:r w:rsidRPr="00FC0D25">
        <w:rPr>
          <w:color w:val="000000"/>
          <w:lang w:eastAsia="en-US"/>
        </w:rPr>
        <w:t xml:space="preserve"> The Victorian and the Australian Capital Territory governments are the only state and territory that have enacted legislation that provides a general prohibition on torture and other cruel or inhuman treatment or punishment.</w:t>
      </w:r>
      <w:r w:rsidRPr="00FC0D25">
        <w:rPr>
          <w:color w:val="000000"/>
          <w:vertAlign w:val="superscript"/>
          <w:lang w:eastAsia="en-US"/>
        </w:rPr>
        <w:footnoteReference w:id="24"/>
      </w:r>
      <w:r w:rsidRPr="00FC0D25">
        <w:rPr>
          <w:color w:val="000000"/>
          <w:lang w:eastAsia="en-US"/>
        </w:rPr>
        <w:t xml:space="preserve"> Both jurisdictions also permit limits on the general prohibition on torture and other cruel or inhuman treatment or punishment.</w:t>
      </w:r>
      <w:r w:rsidRPr="00FC0D25">
        <w:rPr>
          <w:color w:val="000000"/>
          <w:vertAlign w:val="superscript"/>
          <w:lang w:eastAsia="en-US"/>
        </w:rPr>
        <w:footnoteReference w:id="25"/>
      </w:r>
    </w:p>
    <w:p w:rsidR="00FC0D25" w:rsidRPr="00FC0D25" w:rsidRDefault="00FC0D25" w:rsidP="002775DB">
      <w:p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While some state and territory legislation explicitly criminalises acts comprising cruel or inhuman treatment by any public official,</w:t>
      </w:r>
      <w:r w:rsidRPr="00FC0D25">
        <w:rPr>
          <w:color w:val="000000"/>
          <w:vertAlign w:val="superscript"/>
          <w:lang w:eastAsia="en-US"/>
        </w:rPr>
        <w:footnoteReference w:id="26"/>
      </w:r>
      <w:r w:rsidRPr="00FC0D25">
        <w:rPr>
          <w:color w:val="000000"/>
          <w:lang w:eastAsia="en-US"/>
        </w:rPr>
        <w:t xml:space="preserve"> legislative protection does not extend to acts amounting to degrading treatment.</w:t>
      </w:r>
      <w:r w:rsidRPr="00FC0D25">
        <w:rPr>
          <w:color w:val="000000"/>
          <w:vertAlign w:val="superscript"/>
          <w:lang w:eastAsia="en-US"/>
        </w:rPr>
        <w:footnoteReference w:id="27"/>
      </w:r>
      <w:r w:rsidRPr="00FC0D25">
        <w:rPr>
          <w:color w:val="000000"/>
          <w:lang w:eastAsia="en-US"/>
        </w:rPr>
        <w:t xml:space="preserve"> Further, legislation in some jurisdictions only applies in respect of the actions of certain public officials.</w:t>
      </w:r>
      <w:r w:rsidRPr="00FC0D25">
        <w:rPr>
          <w:color w:val="000000"/>
          <w:vertAlign w:val="superscript"/>
          <w:lang w:eastAsia="en-US"/>
        </w:rPr>
        <w:footnoteReference w:id="28"/>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Criminal law does not sufficiently deal with specific types of harm experienced by people with disability, including unlawful detention and harm caused by restrictive practices.</w:t>
      </w:r>
      <w:r w:rsidRPr="00FC0D25">
        <w:rPr>
          <w:color w:val="000000"/>
          <w:vertAlign w:val="superscript"/>
          <w:lang w:eastAsia="en-US"/>
        </w:rPr>
        <w:footnoteReference w:id="29"/>
      </w:r>
      <w:r w:rsidRPr="00FC0D25">
        <w:rPr>
          <w:color w:val="000000"/>
          <w:lang w:eastAsia="en-US"/>
        </w:rPr>
        <w:t xml:space="preserve"> Despite previous recommendations made by the CAT Committee, the mandate of the Australian Human Rights Commission still does not include </w:t>
      </w:r>
      <w:r w:rsidR="002B0895">
        <w:rPr>
          <w:color w:val="000000"/>
          <w:lang w:eastAsia="en-US"/>
        </w:rPr>
        <w:t xml:space="preserve">adequate </w:t>
      </w:r>
      <w:r w:rsidRPr="00FC0D25">
        <w:rPr>
          <w:color w:val="000000"/>
          <w:lang w:eastAsia="en-US"/>
        </w:rPr>
        <w:t>powers to investigate, act upon and remedy all allegations of ill-treatment as part of its complaint handling function.</w:t>
      </w:r>
      <w:r w:rsidRPr="00FC0D25">
        <w:rPr>
          <w:color w:val="000000"/>
          <w:vertAlign w:val="superscript"/>
          <w:lang w:eastAsia="en-US"/>
        </w:rPr>
        <w:footnoteReference w:id="30"/>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In short, the national legislative framework required to prevent and protect people with disability from experiencing ill-treatment, to investigate alleged instances, and to provide redress is wholly inadequate.  No progress has been made towards rectifying this since the CAT Committee last considered the Reports of Australia in May 2008.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Steps have been taken towards the ratification of OPCAT but this appears to have stalled.  The Attorney-General’s Department produced a National interest Analysis Report</w:t>
      </w:r>
      <w:r w:rsidRPr="00FC0D25">
        <w:rPr>
          <w:color w:val="000000"/>
          <w:vertAlign w:val="superscript"/>
          <w:lang w:eastAsia="en-US"/>
        </w:rPr>
        <w:footnoteReference w:id="31"/>
      </w:r>
      <w:r w:rsidRPr="00FC0D25">
        <w:rPr>
          <w:color w:val="000000"/>
          <w:lang w:eastAsia="en-US"/>
        </w:rPr>
        <w:t xml:space="preserve"> recommending ratification and implementation in 2012 and the federal parliament Joint Standing Committee on Treaties also recommended that Australia take ‘binding treaty action’.</w:t>
      </w:r>
      <w:r w:rsidRPr="00FC0D25">
        <w:rPr>
          <w:color w:val="000000"/>
          <w:vertAlign w:val="superscript"/>
          <w:lang w:eastAsia="en-US"/>
        </w:rPr>
        <w:footnoteReference w:id="32"/>
      </w:r>
      <w:r w:rsidRPr="00FC0D25">
        <w:rPr>
          <w:color w:val="000000"/>
          <w:lang w:eastAsia="en-US"/>
        </w:rPr>
        <w:t xml:space="preserve">  The government announced it would ratify but postpone obligations under Part IV to establish a National Preventative Mechanism for 3 years. Australia has not yet ratified the Optional Protocol although as part of the preparatory process Australia has undertaken an audit of prison facilities but has excluded other places of confinement such as psychiatric facilities.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4F247D"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Overall, successive Australian governments appear t</w:t>
      </w:r>
      <w:r w:rsidR="00A85B37">
        <w:rPr>
          <w:color w:val="000000"/>
          <w:lang w:eastAsia="en-US"/>
        </w:rPr>
        <w:t>o regard protection against ill-</w:t>
      </w:r>
      <w:r w:rsidRPr="00FC0D25">
        <w:rPr>
          <w:color w:val="000000"/>
          <w:lang w:eastAsia="en-US"/>
        </w:rPr>
        <w:t xml:space="preserve">treatment as a considerably low priority despite overwhelming community opinion to the contrary, and clear evidence for the urgent need for attitudinal, behavioural, legislative and policy reform regarding torture, cruel, inhuman or degrading treatment or punishment. </w:t>
      </w:r>
    </w:p>
    <w:p w:rsidR="004F247D" w:rsidRPr="004F247D" w:rsidRDefault="004F247D" w:rsidP="002775DB">
      <w:p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
    <w:p w:rsidR="00FC0D25" w:rsidRPr="00FC0D25"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iCs/>
          <w:caps/>
          <w:color w:val="244061"/>
          <w:kern w:val="28"/>
          <w:lang w:val="x-none" w:eastAsia="en-US"/>
        </w:rPr>
      </w:pPr>
      <w:bookmarkStart w:id="13" w:name="_Toc401341181"/>
      <w:r w:rsidRPr="00FC0D25">
        <w:rPr>
          <w:b/>
          <w:iCs/>
          <w:caps/>
          <w:color w:val="244061"/>
          <w:kern w:val="28"/>
          <w:lang w:val="x-none" w:eastAsia="en-US"/>
        </w:rPr>
        <w:t>Legal Capacity</w:t>
      </w:r>
      <w:bookmarkEnd w:id="13"/>
      <w:r w:rsidRPr="00FC0D25">
        <w:rPr>
          <w:b/>
          <w:iCs/>
          <w:caps/>
          <w:color w:val="244061"/>
          <w:kern w:val="28"/>
          <w:lang w:val="x-none" w:eastAsia="en-US"/>
        </w:rPr>
        <w:t xml:space="preserve"> </w:t>
      </w:r>
    </w:p>
    <w:bookmarkEnd w:id="3"/>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Failures to recognise legal capacity and inadequate provision of supported decision making mechanisms leads to heightened risk of people with disability experiencing ill</w:t>
      </w:r>
      <w:r w:rsidR="00A85B37">
        <w:rPr>
          <w:color w:val="000000"/>
          <w:lang w:eastAsia="en-US"/>
        </w:rPr>
        <w:t>-</w:t>
      </w:r>
      <w:r w:rsidRPr="00FC0D25">
        <w:rPr>
          <w:color w:val="000000"/>
          <w:lang w:eastAsia="en-US"/>
        </w:rPr>
        <w:t xml:space="preserve">treatment. (See also sterilisation, indefinite detention, involuntary treatment)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bidi="en-US"/>
        </w:rPr>
        <w:t>Article 12 of the CRPD: Equal Recognition Before the Law, establishes that all people with disability have legal capacity; that States have an obligation to provide support for the exercise of the capacity to act, including decision making support; that failure to provide this support constitutes discrimination; and that only in instances where it is absolutely not possible for an individual’s will and preference to be obtained can representative decisions (as opposed to best interest decisions) be made, subject to safeguards and based on rights and any previously expressed will and preferences.</w:t>
      </w:r>
      <w:r w:rsidRPr="00FC0D25">
        <w:rPr>
          <w:color w:val="000000"/>
          <w:vertAlign w:val="superscript"/>
          <w:lang w:eastAsia="en-US" w:bidi="en-US"/>
        </w:rPr>
        <w:footnoteReference w:id="33"/>
      </w:r>
      <w:r w:rsidRPr="00FC0D25">
        <w:rPr>
          <w:color w:val="000000"/>
          <w:lang w:eastAsia="en-US" w:bidi="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bidi="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bidi="en-US"/>
        </w:rPr>
        <w:t xml:space="preserve">The denial of legal capacity is disability discrimination. Therefore, violence and abuse experienced by people with disability as a consequence of this discrimination, may constitute </w:t>
      </w:r>
      <w:r w:rsidRPr="00FC0D25">
        <w:rPr>
          <w:color w:val="000000"/>
          <w:lang w:eastAsia="en-US"/>
        </w:rPr>
        <w:t xml:space="preserve">torture, cruel, inhuman or degrading treatment or punishment.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bidi="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bidi="en-US"/>
        </w:rPr>
        <w:t>State and territory guardianship and mental health laws primarily regulate the area of legal capacity and substitute decision-making in Australia. While state and territory laws in this area vary, they all breach, are inconsistent with, or fail to fulfil obligations under Article 12 of the CRPD.</w:t>
      </w:r>
      <w:r w:rsidRPr="00FC0D25">
        <w:rPr>
          <w:color w:val="000000"/>
          <w:lang w:eastAsia="en-US"/>
        </w:rPr>
        <w:t xml:space="preserve"> They provide different and inconsistent tests for assessing a person’s ability to exercise legal capacity which leads to uncertainty, confusion and inappropriate application of legal principles.  There is no nationally consistent legislation that outlines principles and provisions for assessing what constitutes a valid decision that should be recognised by the law.  Moreover, existing legislation does not focus on measures (such as supported decision making) that would enable or support a person to make decisions so that their decisions are recognised as valid before the law.</w:t>
      </w:r>
    </w:p>
    <w:p w:rsidR="002B0895" w:rsidRPr="00FC0D25" w:rsidRDefault="002B089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On ratification of the CRPD Australia made an Interpretive Declaration regarding Article 12 stating that in its understanding the CRPD allows for “fully supported or substituted decision-making arrangements, which provide for decisions to be made on behalf of a person, only where such arrangements are necessary, as a last resort and subject to safeguards …</w:t>
      </w:r>
      <w:bookmarkStart w:id="14" w:name="_Ref322534027"/>
      <w:r w:rsidRPr="00FC0D25">
        <w:rPr>
          <w:color w:val="000000"/>
          <w:lang w:eastAsia="en-US"/>
        </w:rPr>
        <w:t>”</w:t>
      </w:r>
      <w:r w:rsidRPr="00FC0D25">
        <w:rPr>
          <w:color w:val="000000"/>
          <w:sz w:val="22"/>
          <w:szCs w:val="20"/>
          <w:vertAlign w:val="superscript"/>
          <w:lang w:eastAsia="en-US"/>
        </w:rPr>
        <w:footnoteReference w:id="34"/>
      </w:r>
      <w:bookmarkEnd w:id="14"/>
      <w:r w:rsidRPr="00FC0D25">
        <w:rPr>
          <w:color w:val="000000"/>
          <w:lang w:eastAsia="en-US"/>
        </w:rPr>
        <w:t xml:space="preserve"> The existence of this Declaration stymies the process of reform in this area.</w:t>
      </w:r>
    </w:p>
    <w:p w:rsidR="00FC0D25" w:rsidRPr="004F247D"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15" w:name="_Toc401341182"/>
      <w:r w:rsidRPr="004F247D">
        <w:rPr>
          <w:b/>
          <w:bCs/>
          <w:caps/>
          <w:color w:val="244061"/>
          <w:kern w:val="28"/>
          <w:lang w:eastAsia="en-US"/>
        </w:rPr>
        <w:t xml:space="preserve">3.1 </w:t>
      </w:r>
      <w:r w:rsidRPr="004F247D">
        <w:rPr>
          <w:b/>
          <w:bCs/>
          <w:caps/>
          <w:color w:val="244061"/>
          <w:kern w:val="28"/>
          <w:lang w:val="x-none" w:eastAsia="en-US"/>
        </w:rPr>
        <w:t>Australian Law Reform Commission Inquiry</w:t>
      </w:r>
      <w:r w:rsidR="0093790C">
        <w:rPr>
          <w:b/>
          <w:bCs/>
          <w:caps/>
          <w:color w:val="244061"/>
          <w:kern w:val="28"/>
          <w:lang w:eastAsia="en-US"/>
        </w:rPr>
        <w:t>:</w:t>
      </w:r>
      <w:r w:rsidRPr="004F247D">
        <w:rPr>
          <w:b/>
          <w:bCs/>
          <w:caps/>
          <w:color w:val="244061"/>
          <w:kern w:val="28"/>
          <w:lang w:val="x-none" w:eastAsia="en-US"/>
        </w:rPr>
        <w:t xml:space="preserve"> Equality Before The Law</w:t>
      </w:r>
      <w:bookmarkEnd w:id="15"/>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On the initiative of the then Attorney General, in August 2013 the Australian Law Reform Commission (ALRC) commenced an Inquiry into Equality, Capacity and Disability in Commonwealth laws</w:t>
      </w:r>
      <w:r w:rsidRPr="00FC0D25">
        <w:rPr>
          <w:color w:val="000000"/>
          <w:vertAlign w:val="superscript"/>
          <w:lang w:eastAsia="en-US"/>
        </w:rPr>
        <w:footnoteReference w:id="35"/>
      </w:r>
      <w:r w:rsidRPr="00FC0D25">
        <w:rPr>
          <w:color w:val="000000"/>
          <w:lang w:eastAsia="en-US"/>
        </w:rPr>
        <w:t>. In September 2013 the CRPD Committee made a Recommendation in its Concluding Observations to Australia that this Inquiry should look at how Australian law could be brought into conformity with the CRPD including in areas such as informed consent to medical treatment</w:t>
      </w:r>
      <w:r w:rsidRPr="00FC0D25">
        <w:rPr>
          <w:color w:val="000000"/>
          <w:vertAlign w:val="superscript"/>
          <w:lang w:eastAsia="en-US"/>
        </w:rPr>
        <w:footnoteReference w:id="36"/>
      </w:r>
      <w:r w:rsidR="002B0895">
        <w:rPr>
          <w:color w:val="000000"/>
          <w:lang w:eastAsia="en-US"/>
        </w:rPr>
        <w:t>. (See also S</w:t>
      </w:r>
      <w:r w:rsidRPr="00FC0D25">
        <w:rPr>
          <w:color w:val="000000"/>
          <w:lang w:eastAsia="en-US"/>
        </w:rPr>
        <w:t xml:space="preserve">terilisation, </w:t>
      </w:r>
      <w:r w:rsidR="002B0895">
        <w:rPr>
          <w:color w:val="000000"/>
          <w:lang w:eastAsia="en-US"/>
        </w:rPr>
        <w:t>R</w:t>
      </w:r>
      <w:r w:rsidRPr="00FC0D25">
        <w:rPr>
          <w:color w:val="000000"/>
          <w:lang w:eastAsia="en-US"/>
        </w:rPr>
        <w:t xml:space="preserve">estrictive </w:t>
      </w:r>
      <w:r w:rsidR="002B0895">
        <w:rPr>
          <w:color w:val="000000"/>
          <w:lang w:eastAsia="en-US"/>
        </w:rPr>
        <w:t>P</w:t>
      </w:r>
      <w:r w:rsidRPr="00FC0D25">
        <w:rPr>
          <w:color w:val="000000"/>
          <w:lang w:eastAsia="en-US"/>
        </w:rPr>
        <w:t>ractices)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ALRC is yet to report.  However, the final discussion paper did not reflect an accurate understanding of legal capacity as provided by the CRPD and made some alarming recommendations.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Although the ALRC should be congratulated for its support for supported decision making models, the paper still recommended the creation of an ‘ability test’ which would be adapted to fit Commonwealth laws as applicable. The test is based on individuals demonstrating that they can understand, retain and weigh relevant information and communicate a decision. This proposal still views the person with disability as problematic in the process of coming to decision that can be regarded as legally valid, when it should be the integrity and quality of support that the person receives which determines what will make a decision valid before the law.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rPr>
      </w:pPr>
      <w:r w:rsidRPr="00FC0D25">
        <w:rPr>
          <w:lang w:eastAsia="en-US"/>
        </w:rPr>
        <w:t>In its discussion on restrictive practices the ARLC recommended that ‘’</w:t>
      </w:r>
      <w:r w:rsidRPr="00FC0D25">
        <w:rPr>
          <w:shd w:val="clear" w:color="auto" w:fill="FFFFFF"/>
          <w:lang w:eastAsia="en-US"/>
        </w:rPr>
        <w:t xml:space="preserve">any national approach must ensure that decisions about, and consent to, restrictive practices are ultimately those of the person on whom the practice is being used. In circumstances where the person requires decision-making support there should be provision for decision-making which incorporates a person-centred focus and provides for supported decision-making. For example, a person may require support to make decisions about, or consent to, the use of restrictive </w:t>
      </w:r>
      <w:r w:rsidRPr="00FC0D25">
        <w:rPr>
          <w:shd w:val="clear" w:color="auto" w:fill="FFFFFF"/>
          <w:lang w:eastAsia="en-US"/>
        </w:rPr>
        <w:lastRenderedPageBreak/>
        <w:t>practices under a behaviour support plan. In the context of aged care, it may be necessary for a representative who has been appointed to fully support the person in relation to restrictive practices-related decisions, including expressing or constructing the will and preferences of the person with disability, or considering the human rights relevant to the situation.”</w:t>
      </w:r>
      <w:r w:rsidRPr="00FC0D25">
        <w:rPr>
          <w:shd w:val="clear" w:color="auto" w:fill="FFFFFF"/>
          <w:vertAlign w:val="superscript"/>
          <w:lang w:eastAsia="en-US"/>
        </w:rPr>
        <w:footnoteReference w:id="37"/>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3D3A37"/>
          <w:shd w:val="clear" w:color="auto" w:fill="FFFFFF"/>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rPr>
      </w:pPr>
      <w:r w:rsidRPr="00FC0D25">
        <w:rPr>
          <w:shd w:val="clear" w:color="auto" w:fill="FFFFFF"/>
          <w:lang w:eastAsia="en-US"/>
        </w:rPr>
        <w:t xml:space="preserve">This reasoning is premised on the notion that restrictive practices are legitimate per se, despite being discriminately applied to people with disability, and despite potentially breaching obligations within CAT. </w:t>
      </w:r>
      <w:r w:rsidRPr="00FC0D25">
        <w:rPr>
          <w:lang w:eastAsia="en-US"/>
        </w:rPr>
        <w:t xml:space="preserve">The view of the ALRC is clearly that the law should provide for people with disability to be able to consent to practices which may constitute ill-treatment, </w:t>
      </w:r>
      <w:r w:rsidRPr="00FC0D25">
        <w:rPr>
          <w:lang w:eastAsia="en-US" w:bidi="en-US"/>
        </w:rPr>
        <w:t xml:space="preserve">presumably also releasing the people who carry out the practices from liability for harm done.  It is also clear from the example above that the ALRC considers supported decision making to also include full substitute decision making. </w:t>
      </w:r>
    </w:p>
    <w:p w:rsidR="00FC0D25" w:rsidRDefault="0093790C" w:rsidP="002775DB">
      <w:pPr>
        <w:pStyle w:val="Heading1"/>
        <w:rPr>
          <w:rFonts w:ascii="Arial" w:hAnsi="Arial" w:cs="Arial"/>
          <w:bCs/>
          <w:color w:val="1F3864" w:themeColor="accent5" w:themeShade="80"/>
          <w:kern w:val="28"/>
          <w:sz w:val="24"/>
          <w:szCs w:val="24"/>
          <w:lang w:eastAsia="en-US" w:bidi="en-US"/>
        </w:rPr>
      </w:pPr>
      <w:bookmarkStart w:id="16" w:name="_Toc401341183"/>
      <w:r w:rsidRPr="0093790C">
        <w:rPr>
          <w:rFonts w:ascii="Arial" w:hAnsi="Arial" w:cs="Arial"/>
          <w:bCs/>
          <w:color w:val="1F3864" w:themeColor="accent5" w:themeShade="80"/>
          <w:kern w:val="28"/>
          <w:sz w:val="24"/>
          <w:szCs w:val="24"/>
          <w:lang w:eastAsia="en-US" w:bidi="en-US"/>
        </w:rPr>
        <w:t xml:space="preserve">3.2 </w:t>
      </w:r>
      <w:r w:rsidRPr="0093790C">
        <w:rPr>
          <w:rFonts w:ascii="Arial" w:hAnsi="Arial" w:cs="Arial"/>
          <w:bCs/>
          <w:color w:val="1F3864" w:themeColor="accent5" w:themeShade="80"/>
          <w:kern w:val="28"/>
          <w:sz w:val="24"/>
          <w:szCs w:val="24"/>
          <w:lang w:val="x-none" w:eastAsia="en-US" w:bidi="en-US"/>
        </w:rPr>
        <w:t xml:space="preserve">NOMINEE PROVISIONS IN THE </w:t>
      </w:r>
      <w:r w:rsidRPr="0093790C">
        <w:rPr>
          <w:rFonts w:ascii="Arial" w:hAnsi="Arial" w:cs="Arial"/>
          <w:color w:val="1F3864" w:themeColor="accent5" w:themeShade="80"/>
          <w:sz w:val="24"/>
          <w:szCs w:val="24"/>
          <w:lang w:eastAsia="en-US" w:bidi="en-US"/>
        </w:rPr>
        <w:t>NATIONAL DISABILITY INSURANCE SCHEME (</w:t>
      </w:r>
      <w:r w:rsidRPr="0093790C">
        <w:rPr>
          <w:rFonts w:ascii="Arial" w:hAnsi="Arial" w:cs="Arial"/>
          <w:bCs/>
          <w:color w:val="1F3864" w:themeColor="accent5" w:themeShade="80"/>
          <w:kern w:val="28"/>
          <w:sz w:val="24"/>
          <w:szCs w:val="24"/>
          <w:lang w:eastAsia="en-US" w:bidi="en-US"/>
        </w:rPr>
        <w:t>NDIS)</w:t>
      </w:r>
      <w:bookmarkEnd w:id="16"/>
    </w:p>
    <w:p w:rsidR="00ED0538" w:rsidRPr="00ED0538" w:rsidRDefault="00ED0538" w:rsidP="00ED0538">
      <w:pPr>
        <w:rPr>
          <w:lang w:eastAsia="en-US" w:bidi="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bidi="en-US"/>
        </w:rPr>
      </w:pPr>
      <w:r w:rsidRPr="00FC0D25">
        <w:rPr>
          <w:color w:val="000000"/>
          <w:lang w:eastAsia="en-US" w:bidi="en-US"/>
        </w:rPr>
        <w:t xml:space="preserve">The NDIS was introduced in 2013 as a mechanism through which to improve the provision of disability support in Australia by giving people with disability more choice and control over the receipt of services.  Eligible participants receive a funding package based on an assessment of their individual needs and the development of an individual plan which covers all areas of life. Participants may spend the funds on any supports which can be justified as reasonable and necessary by reference to their individual plan. </w:t>
      </w:r>
    </w:p>
    <w:p w:rsidR="00FC0D25" w:rsidRPr="00FC0D25" w:rsidRDefault="00FC0D25" w:rsidP="002775DB">
      <w:pPr>
        <w:tabs>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rPr>
          <w:color w:val="000000"/>
          <w:lang w:eastAsia="en-US" w:bidi="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bidi="en-US"/>
        </w:rPr>
      </w:pPr>
      <w:r w:rsidRPr="00FC0D25">
        <w:rPr>
          <w:color w:val="000000"/>
          <w:lang w:eastAsia="en-US" w:bidi="en-US"/>
        </w:rPr>
        <w:t xml:space="preserve">The NDIS legislation contains clear reference to the CRPD and to supported decision making </w:t>
      </w:r>
      <w:r w:rsidRPr="00FC0D25">
        <w:rPr>
          <w:lang w:eastAsia="en-US" w:bidi="en-US"/>
        </w:rPr>
        <w:t xml:space="preserve">principles.  However, it also contains provisions for substituted decision makers to be appointed outside of state and territory guardianship laws.  </w:t>
      </w:r>
      <w:r w:rsidRPr="00FC0D25">
        <w:rPr>
          <w:shd w:val="clear" w:color="auto" w:fill="FFFFFF"/>
          <w:lang w:eastAsia="en-US"/>
        </w:rPr>
        <w:t>A plan nominee may be appointed to prepare, review or replace a participant’s individual plan, or manage the funding for supports under the plan. When appointed on the initiative of the NDIS CEO, a plan nominee is permitted to act on behalf of the participant when they consider that the participant is ‘’not capable of doing the act’’</w:t>
      </w:r>
      <w:r w:rsidRPr="00FC0D25">
        <w:rPr>
          <w:shd w:val="clear" w:color="auto" w:fill="FFFFFF"/>
          <w:vertAlign w:val="superscript"/>
          <w:lang w:eastAsia="en-US"/>
        </w:rPr>
        <w:footnoteReference w:id="38"/>
      </w:r>
      <w:r w:rsidRPr="00FC0D25">
        <w:rPr>
          <w:shd w:val="clear" w:color="auto" w:fill="FFFFFF"/>
          <w:lang w:eastAsia="en-US"/>
        </w:rPr>
        <w:t xml:space="preserve">. What this means is not defined, and it is concerning that a scheme designed to put the individual at the centre of decision making also provides for them to be removed on the opinion of a third party who sits outside established state and territory substitute decision making mechanisms.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shd w:val="clear" w:color="auto" w:fill="FFFFFF"/>
          <w:lang w:eastAsia="en-US"/>
        </w:rPr>
      </w:pPr>
    </w:p>
    <w:p w:rsidR="00FC0D25" w:rsidRPr="00CE68F7"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bidi="en-US"/>
        </w:rPr>
      </w:pPr>
      <w:r w:rsidRPr="00FC0D25">
        <w:rPr>
          <w:shd w:val="clear" w:color="auto" w:fill="FFFFFF"/>
          <w:lang w:eastAsia="en-US"/>
        </w:rPr>
        <w:t xml:space="preserve">The introduction of nominee provisions in commonwealth legislation is very significant as it illustrates the extent to which the concept of full legal capacity for people with disability remains unaccepted by law and policy makers. These nominee provisions are already being duplicated in other Commonwealth </w:t>
      </w:r>
      <w:r w:rsidRPr="00FC0D25">
        <w:rPr>
          <w:shd w:val="clear" w:color="auto" w:fill="FFFFFF"/>
          <w:lang w:eastAsia="en-US"/>
        </w:rPr>
        <w:lastRenderedPageBreak/>
        <w:t>legislation as a means of limiting participation of people with disability in decision making about their rights, specifically people with cognitive impairment</w:t>
      </w:r>
      <w:r w:rsidRPr="00FC0D25">
        <w:rPr>
          <w:shd w:val="clear" w:color="auto" w:fill="FFFFFF"/>
          <w:vertAlign w:val="superscript"/>
          <w:lang w:eastAsia="en-US"/>
        </w:rPr>
        <w:footnoteReference w:id="39"/>
      </w:r>
      <w:r w:rsidRPr="00FC0D25">
        <w:rPr>
          <w:shd w:val="clear" w:color="auto" w:fill="FFFFFF"/>
          <w:lang w:eastAsia="en-US"/>
        </w:rPr>
        <w:t xml:space="preserve">.  </w:t>
      </w:r>
    </w:p>
    <w:p w:rsidR="00CE68F7" w:rsidRPr="00FC0D25" w:rsidRDefault="00CE68F7"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bidi="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b/>
          <w:color w:val="000000"/>
          <w:lang w:eastAsia="en-US"/>
        </w:rPr>
      </w:pPr>
      <w:r w:rsidRPr="00FC0D25">
        <w:rPr>
          <w:b/>
          <w:color w:val="000000"/>
          <w:lang w:eastAsia="en-US"/>
        </w:rPr>
        <w:t xml:space="preserve">           RECOMMENDATIONS </w:t>
      </w:r>
    </w:p>
    <w:p w:rsidR="00FC0D25" w:rsidRPr="00FC0D25" w:rsidRDefault="00FC0D25" w:rsidP="002775DB">
      <w:pPr>
        <w:numPr>
          <w:ilvl w:val="0"/>
          <w:numId w:val="9"/>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withdraws the Interpretative Declaration in relation to Article 12 of the CRPD.</w:t>
      </w:r>
    </w:p>
    <w:p w:rsidR="00FC0D25" w:rsidRPr="00FC0D25" w:rsidRDefault="00FC0D25" w:rsidP="002775DB">
      <w:pPr>
        <w:numPr>
          <w:ilvl w:val="0"/>
          <w:numId w:val="9"/>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repeal the nominee provisions in the National Disability Insurance Scheme Act.</w:t>
      </w:r>
    </w:p>
    <w:p w:rsidR="00FC0D25" w:rsidRDefault="00FC0D25" w:rsidP="002775DB">
      <w:pPr>
        <w:numPr>
          <w:ilvl w:val="0"/>
          <w:numId w:val="9"/>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modify, repeal or nullify any law or policy, and counteract any practice or custom, which has the purpose or effect of denying or diminishing recognition of any person as a person before the law, or of denying or diminishing any person’s ability to exercise legal capacity;  enact laws that recognise the right of all people in all situations to recognition before the law; that creates a presumption of legal capacity for all people, and which expressly extends to those circumstances where support may be required for a person to exercise legal capacity; and enshrine the primacy of supported decision-making mechanisms in the exercise of legal capacity.</w:t>
      </w:r>
    </w:p>
    <w:p w:rsidR="0093790C" w:rsidRPr="00FC0D25" w:rsidRDefault="00937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360"/>
        <w:contextualSpacing/>
        <w:jc w:val="both"/>
        <w:rPr>
          <w:color w:val="000000"/>
          <w:lang w:eastAsia="en-US"/>
        </w:rPr>
      </w:pPr>
    </w:p>
    <w:p w:rsidR="00FC0D25" w:rsidRPr="00FC0D25"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17" w:name="_Toc401341184"/>
      <w:bookmarkStart w:id="18" w:name="_Toc300566855"/>
      <w:bookmarkStart w:id="19" w:name="_Toc300671537"/>
      <w:bookmarkStart w:id="20" w:name="_Toc315244875"/>
      <w:bookmarkStart w:id="21" w:name="_Toc331685835"/>
      <w:r w:rsidRPr="00FC0D25">
        <w:rPr>
          <w:b/>
          <w:bCs/>
          <w:caps/>
          <w:color w:val="244061"/>
          <w:kern w:val="28"/>
          <w:lang w:val="x-none" w:eastAsia="en-US"/>
        </w:rPr>
        <w:t>Restrictive Practices</w:t>
      </w:r>
      <w:bookmarkEnd w:id="17"/>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People with disability in Australia are routinely subjected to unregulated and under-regulated behaviour modification or restrictive practices that include chemical, mechanical, social and physical restraint, detention, seclusion and exclusionary time out which constitute ill-treatment.</w:t>
      </w:r>
      <w:r w:rsidRPr="00FC0D25">
        <w:rPr>
          <w:color w:val="000000"/>
          <w:vertAlign w:val="superscript"/>
          <w:lang w:eastAsia="en-US"/>
        </w:rPr>
        <w:footnoteReference w:id="40"/>
      </w:r>
      <w:r w:rsidRPr="00FC0D25">
        <w:rPr>
          <w:color w:val="000000"/>
          <w:lang w:eastAsia="en-US"/>
        </w:rPr>
        <w:t xml:space="preserve"> These practices can cause physical pain and discomfort, deprivation of liberty, prevent freedom of movement, alter thought and thought processes, and deprive persons of their property and access to their children.</w:t>
      </w:r>
      <w:r w:rsidRPr="00FC0D25">
        <w:rPr>
          <w:color w:val="000000"/>
          <w:vertAlign w:val="superscript"/>
          <w:lang w:eastAsia="en-US"/>
        </w:rPr>
        <w:footnoteReference w:id="41"/>
      </w:r>
      <w:r w:rsidR="002B0895">
        <w:rPr>
          <w:color w:val="000000"/>
          <w:lang w:eastAsia="en-US"/>
        </w:rPr>
        <w:t xml:space="preserve"> (See also Violence and Abuse, I</w:t>
      </w:r>
      <w:r w:rsidRPr="00FC0D25">
        <w:rPr>
          <w:color w:val="000000"/>
          <w:lang w:eastAsia="en-US"/>
        </w:rPr>
        <w:t xml:space="preserve">ndefinite </w:t>
      </w:r>
      <w:r w:rsidR="002B0895">
        <w:rPr>
          <w:color w:val="000000"/>
          <w:lang w:eastAsia="en-US"/>
        </w:rPr>
        <w:t>D</w:t>
      </w:r>
      <w:r w:rsidRPr="00FC0D25">
        <w:rPr>
          <w:color w:val="000000"/>
          <w:lang w:eastAsia="en-US"/>
        </w:rPr>
        <w:t>etention)</w:t>
      </w:r>
    </w:p>
    <w:p w:rsidR="00FC0D25" w:rsidRPr="00FC0D25" w:rsidRDefault="00FC0D25" w:rsidP="002775DB">
      <w:pPr>
        <w:tabs>
          <w:tab w:val="left" w:pos="284"/>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rPr>
          <w:color w:val="000000"/>
          <w:lang w:eastAsia="en-US"/>
        </w:rPr>
      </w:pPr>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Restrictive practices aim to manage behaviour that is ‘challenging’ or that is of danger to the person with disability or others. However, restrictive practices can constitute humiliation and punishment, and can be imposed as a means of </w:t>
      </w:r>
      <w:r w:rsidRPr="00FC0D25">
        <w:rPr>
          <w:color w:val="000000"/>
          <w:lang w:eastAsia="en-US"/>
        </w:rPr>
        <w:lastRenderedPageBreak/>
        <w:t>coercion, discipline, convenience, or retaliation by staff, family members or others providing support.</w:t>
      </w:r>
      <w:r w:rsidRPr="00FC0D25">
        <w:rPr>
          <w:color w:val="000000"/>
          <w:vertAlign w:val="superscript"/>
          <w:lang w:eastAsia="en-US"/>
        </w:rPr>
        <w:footnoteReference w:id="42"/>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Restrictive practices are not limited to the disability and mental health service settings, such as institutions, group homes, boarding houses and mental health facilities. They also occur in schools, hospitals, residential aged care facilities, prisons and family homes.</w:t>
      </w:r>
      <w:r w:rsidRPr="00FC0D25">
        <w:rPr>
          <w:color w:val="000000"/>
          <w:vertAlign w:val="superscript"/>
          <w:lang w:eastAsia="en-US"/>
        </w:rPr>
        <w:footnoteReference w:id="43"/>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Research and available data on the use of restrictive practices and the impact of these practices on people with disability is very limited in Australia. Further, there is an absence of any definitive, regular and reliable national public reporting of rates of use of restrictive practices, and where reporting is required, there is an under-reporting of the number of people who endure these practices.</w:t>
      </w:r>
      <w:r w:rsidRPr="00FC0D25">
        <w:rPr>
          <w:color w:val="000000"/>
          <w:vertAlign w:val="superscript"/>
          <w:lang w:eastAsia="en-US"/>
        </w:rPr>
        <w:footnoteReference w:id="44"/>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Available research indicates that an estimated 44 to 80 percent of people with disability who show ‘behaviours of concern’ are administered a form of chemical restraint,</w:t>
      </w:r>
      <w:r w:rsidRPr="00FC0D25">
        <w:rPr>
          <w:color w:val="000000"/>
          <w:vertAlign w:val="superscript"/>
          <w:lang w:eastAsia="en-US"/>
        </w:rPr>
        <w:footnoteReference w:id="45"/>
      </w:r>
      <w:r w:rsidRPr="00FC0D25">
        <w:rPr>
          <w:color w:val="000000"/>
          <w:lang w:eastAsia="en-US"/>
        </w:rPr>
        <w:t xml:space="preserve"> between 50 and 60 percent are subjected to regular physical restraint,</w:t>
      </w:r>
      <w:r w:rsidRPr="00FC0D25">
        <w:rPr>
          <w:color w:val="000000"/>
          <w:vertAlign w:val="superscript"/>
          <w:lang w:eastAsia="en-US"/>
        </w:rPr>
        <w:footnoteReference w:id="46"/>
      </w:r>
      <w:r w:rsidRPr="00FC0D25">
        <w:rPr>
          <w:color w:val="000000"/>
          <w:lang w:eastAsia="en-US"/>
        </w:rPr>
        <w:t xml:space="preserve"> and those with multiple impairment and complex support needs are subjected to much higher levels of restraint and seclusion.</w:t>
      </w:r>
      <w:r w:rsidRPr="00FC0D25">
        <w:rPr>
          <w:color w:val="000000"/>
          <w:vertAlign w:val="superscript"/>
          <w:lang w:eastAsia="en-US"/>
        </w:rPr>
        <w:footnoteReference w:id="47"/>
      </w:r>
      <w:r w:rsidRPr="00FC0D25">
        <w:rPr>
          <w:color w:val="000000"/>
          <w:lang w:eastAsia="en-US"/>
        </w:rPr>
        <w:t xml:space="preserve"> Research with people with disability about their experiences and views regarding restrictive practices has found that there is a high priority on feeling safe, but many feel unsafe in the situations and environments they are faced with.</w:t>
      </w:r>
      <w:r w:rsidRPr="00FC0D25">
        <w:rPr>
          <w:color w:val="000000"/>
          <w:vertAlign w:val="superscript"/>
          <w:lang w:eastAsia="en-US"/>
        </w:rPr>
        <w:footnoteReference w:id="48"/>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People with disability:</w:t>
      </w:r>
    </w:p>
    <w:p w:rsidR="00FC0D25" w:rsidRPr="00FC0D25" w:rsidRDefault="00FC0D25" w:rsidP="002775DB">
      <w:pPr>
        <w:numPr>
          <w:ilvl w:val="0"/>
          <w:numId w:val="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are often unaware of their rights and may have difficulty identifying when their rights have or are being violated; or may be reluctant to lodge a complaint out of fear or resignation, or because of a lack of advocacy support;</w:t>
      </w:r>
    </w:p>
    <w:p w:rsidR="00FC0D25" w:rsidRPr="00FC0D25" w:rsidRDefault="00FC0D25" w:rsidP="002775DB">
      <w:pPr>
        <w:numPr>
          <w:ilvl w:val="0"/>
          <w:numId w:val="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 xml:space="preserve">may justifiably feel angry when services are not delivered or are withdrawn, and where restrictive practices are renamed, thereby influencing future behaviour towards staff and heightening the risk of further restrictive practices being imposed; </w:t>
      </w:r>
    </w:p>
    <w:p w:rsidR="00FC0D25" w:rsidRPr="00FC0D25" w:rsidRDefault="00FC0D25" w:rsidP="002775DB">
      <w:pPr>
        <w:numPr>
          <w:ilvl w:val="0"/>
          <w:numId w:val="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find communal settings increase behaviours that make them feel unsafe, and that maintaining private space and safety is more difficult where staff numbers are low, where there is no active engagement, there are locked areas, and where there are too many people;</w:t>
      </w:r>
    </w:p>
    <w:p w:rsidR="00FC0D25" w:rsidRPr="00FC0D25" w:rsidRDefault="00FC0D25" w:rsidP="002775DB">
      <w:pPr>
        <w:numPr>
          <w:ilvl w:val="0"/>
          <w:numId w:val="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often feel a sense of powerlessness in disability and mental health facilities in terms of a lack of personal autonomy which adversely impacts on their behaviour; and</w:t>
      </w:r>
    </w:p>
    <w:p w:rsidR="00FC0D25" w:rsidRPr="00FC0D25" w:rsidRDefault="00FC0D25" w:rsidP="002775DB">
      <w:pPr>
        <w:numPr>
          <w:ilvl w:val="0"/>
          <w:numId w:val="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communicate their views about different environments and situations through their behaviour in those environments and situations.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Overall, this research finds that many behaviours that are identified as ‘behaviours of concern’ can be viewed as a form of resistance or protest to maladaptive environments; and that these should be viewed as legitimate responses to problematic environments and situations. Changing services, systems and environments should be the starting point for changing behaviour, rather than changing the person.</w:t>
      </w:r>
      <w:r w:rsidRPr="00FC0D25">
        <w:rPr>
          <w:color w:val="000000"/>
          <w:vertAlign w:val="superscript"/>
          <w:lang w:eastAsia="en-US"/>
        </w:rPr>
        <w:footnoteReference w:id="49"/>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22" w:name="_Toc401341185"/>
      <w:r w:rsidRPr="0093790C">
        <w:rPr>
          <w:b/>
          <w:bCs/>
          <w:caps/>
          <w:color w:val="244061"/>
          <w:kern w:val="28"/>
          <w:lang w:val="x-none" w:eastAsia="en-US"/>
        </w:rPr>
        <w:t>4.1 Disability Service System</w:t>
      </w:r>
      <w:bookmarkEnd w:id="22"/>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Only the Queensland and Victorian Governments regulate the use of restrictive practices through their disability service legislation. This legislation establishes the position of senior practitioner, who is responsible for protecting the rights of people who are subject to these practices, and for generally reducing or eliminating the need for restrictive practices.</w:t>
      </w:r>
    </w:p>
    <w:p w:rsidR="00FC0D25" w:rsidRPr="00FC0D25" w:rsidRDefault="00FC0D25" w:rsidP="002775DB">
      <w:pPr>
        <w:tabs>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Other Australian governments only rely on policy to guide the use of restrictive practices, with some establishing senior practitioner positions as a discretionary measure to support policy and practice. In these states and territories, regulation of restrictive practices is often left to guardianship tribunals for those people who are deemed unable to consent to restrictions. </w:t>
      </w:r>
    </w:p>
    <w:p w:rsidR="00FC0D25" w:rsidRPr="00FC0D25" w:rsidRDefault="00FC0D25" w:rsidP="002775DB">
      <w:pPr>
        <w:tabs>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However, regulation through guardianship tribunals only deals with the provision of consent for a person to be subject to restrictive practices; it does not deal with the broader question of whether restrictive practices should be permissible in the first place, or whether the rights of people with disability are actually protected.</w:t>
      </w:r>
      <w:r w:rsidRPr="00FC0D25">
        <w:rPr>
          <w:color w:val="000000"/>
          <w:vertAlign w:val="superscript"/>
          <w:lang w:eastAsia="en-US"/>
        </w:rPr>
        <w:footnoteReference w:id="50"/>
      </w:r>
      <w:r w:rsidRPr="00FC0D25">
        <w:rPr>
          <w:color w:val="000000"/>
          <w:lang w:eastAsia="en-US"/>
        </w:rPr>
        <w:t xml:space="preserve"> For example, in Tasmania, people with disability are “regularly restrained ... when they demonstrate behavioural difficulties. </w:t>
      </w:r>
      <w:r w:rsidRPr="00FC0D25">
        <w:rPr>
          <w:color w:val="000000"/>
          <w:lang w:eastAsia="en-US"/>
        </w:rPr>
        <w:lastRenderedPageBreak/>
        <w:t>Guardians can often agree to the misuse of personal treatment orders because of tiredness or lack of knowledge.”</w:t>
      </w:r>
      <w:r w:rsidRPr="00FC0D25">
        <w:rPr>
          <w:color w:val="000000"/>
          <w:vertAlign w:val="superscript"/>
          <w:lang w:eastAsia="en-US"/>
        </w:rPr>
        <w:footnoteReference w:id="51"/>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In Queensland an adult guardian has the authority to make a short term approval for a containment and seclusion order of up to six months.</w:t>
      </w:r>
      <w:r w:rsidRPr="00FC0D25">
        <w:rPr>
          <w:color w:val="000000"/>
          <w:vertAlign w:val="superscript"/>
          <w:lang w:eastAsia="en-US"/>
        </w:rPr>
        <w:footnoteReference w:id="52"/>
      </w:r>
      <w:r w:rsidRPr="00FC0D25">
        <w:rPr>
          <w:color w:val="000000"/>
          <w:lang w:eastAsia="en-US"/>
        </w:rPr>
        <w:t xml:space="preserve"> New legislation also provides one month of immunity from criminal prosecution for disability service providers who implement restrictive practices as part of a behaviour support plan while they wait for administrative approval.</w:t>
      </w:r>
      <w:r w:rsidRPr="00FC0D25">
        <w:rPr>
          <w:color w:val="000000"/>
          <w:vertAlign w:val="superscript"/>
          <w:lang w:eastAsia="en-US"/>
        </w:rPr>
        <w:footnoteReference w:id="53"/>
      </w:r>
      <w:r w:rsidRPr="00FC0D25">
        <w:rPr>
          <w:color w:val="000000"/>
          <w:lang w:eastAsia="en-US"/>
        </w:rPr>
        <w:t xml:space="preserve"> </w:t>
      </w:r>
    </w:p>
    <w:p w:rsidR="00CE68F7" w:rsidRPr="00FC0D25" w:rsidRDefault="00CE68F7"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jc w:val="both"/>
        <w:rPr>
          <w:b/>
          <w:i/>
          <w:color w:val="002060"/>
          <w:lang w:eastAsia="en-US"/>
        </w:rPr>
      </w:pPr>
      <w:r w:rsidRPr="00FC0D25">
        <w:rPr>
          <w:b/>
          <w:i/>
          <w:color w:val="002060"/>
          <w:lang w:eastAsia="en-US"/>
        </w:rPr>
        <w:t>Case Study: Luke is 21 and has autistic spectrum disorder. He lives in a residential facility. Before going into care Luke was well groomed and spoke quite well. Since entering the facility Luke’s condition has deteriorated to the point of self-harm, after spending hours each day locked in a room with little more than a bed and a toilet. He is severely depressed, refuses to wear clothes and often will tear them to shreds. He is completely alone, even his food is passed through a door.</w:t>
      </w:r>
      <w:r w:rsidRPr="00CE68F7">
        <w:rPr>
          <w:b/>
          <w:i/>
          <w:color w:val="002060"/>
          <w:vertAlign w:val="superscript"/>
          <w:lang w:eastAsia="en-US"/>
        </w:rPr>
        <w:footnoteReference w:id="54"/>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iCs/>
          <w:caps/>
          <w:color w:val="244061"/>
          <w:kern w:val="28"/>
          <w:lang w:val="x-none"/>
        </w:rPr>
      </w:pPr>
      <w:bookmarkStart w:id="23" w:name="_Toc401341186"/>
      <w:r w:rsidRPr="0093790C">
        <w:rPr>
          <w:b/>
          <w:bCs/>
          <w:caps/>
          <w:color w:val="244061"/>
          <w:kern w:val="28"/>
          <w:lang w:val="x-none" w:eastAsia="en-US"/>
        </w:rPr>
        <w:t>4.2 Mental Health Service System</w:t>
      </w:r>
      <w:bookmarkEnd w:id="23"/>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Mental health legislation regulates the practice of compulsory treatment, but despite legislative provisions for the ‘least restrictive alternatives’ or for measures of ‘last resort’, seclusion and restraint are frequently used in the mental health system in Australia, “despite a lack of evidence that they offer positive health outcomes” and “are commonly associated with further trauma, risk of violence and potential human rights abuse”</w:t>
      </w:r>
      <w:r w:rsidRPr="00FC0D25">
        <w:rPr>
          <w:color w:val="000000"/>
          <w:vertAlign w:val="superscript"/>
          <w:lang w:eastAsia="en-US"/>
        </w:rPr>
        <w:footnoteReference w:id="55"/>
      </w:r>
      <w:r w:rsidRPr="00FC0D25">
        <w:rPr>
          <w:color w:val="000000"/>
          <w:lang w:eastAsia="en-US"/>
        </w:rPr>
        <w:t xml:space="preserve"> </w:t>
      </w:r>
    </w:p>
    <w:p w:rsidR="00FC0D25" w:rsidRPr="00FC0D25" w:rsidRDefault="00FC0D25" w:rsidP="002775DB">
      <w:pPr>
        <w:tabs>
          <w:tab w:val="left" w:pos="284"/>
          <w:tab w:val="left" w:pos="2773"/>
          <w:tab w:val="left" w:pos="3697"/>
          <w:tab w:val="left" w:pos="4621"/>
          <w:tab w:val="left" w:pos="5545"/>
          <w:tab w:val="left" w:pos="6469"/>
          <w:tab w:val="left" w:pos="7394"/>
          <w:tab w:val="left" w:pos="8318"/>
          <w:tab w:val="right" w:pos="8930"/>
        </w:tabs>
        <w:spacing w:before="120" w:after="120" w:line="276" w:lineRule="auto"/>
        <w:ind w:left="142"/>
        <w:contextualSpacing/>
        <w:jc w:val="both"/>
        <w:rPr>
          <w:color w:val="000000"/>
          <w:lang w:eastAsia="en-US"/>
        </w:rPr>
      </w:pPr>
    </w:p>
    <w:p w:rsidR="00FC0D25" w:rsidRPr="00FC0D25" w:rsidRDefault="00FC0D25" w:rsidP="002775DB">
      <w:pPr>
        <w:numPr>
          <w:ilvl w:val="0"/>
          <w:numId w:val="27"/>
        </w:numPr>
        <w:tabs>
          <w:tab w:val="left" w:pos="284"/>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Research indicates that there are a broad number of factors leading to the incidence of restraint and seclusion:</w:t>
      </w:r>
      <w:r w:rsidRPr="00FC0D25">
        <w:rPr>
          <w:color w:val="000000"/>
          <w:vertAlign w:val="superscript"/>
          <w:lang w:eastAsia="en-US"/>
        </w:rPr>
        <w:footnoteReference w:id="56"/>
      </w:r>
    </w:p>
    <w:p w:rsidR="00FC0D25" w:rsidRPr="00FC0D25" w:rsidRDefault="00FC0D25" w:rsidP="002775DB">
      <w:pPr>
        <w:numPr>
          <w:ilvl w:val="0"/>
          <w:numId w:val="1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 lack of community based intensive support which results in transfers to public and private acute inpatient facilities that are not adequately resourced to provide an adequate level of care;</w:t>
      </w:r>
    </w:p>
    <w:p w:rsidR="00FC0D25" w:rsidRPr="00FC0D25" w:rsidRDefault="00FC0D25" w:rsidP="002775DB">
      <w:pPr>
        <w:numPr>
          <w:ilvl w:val="0"/>
          <w:numId w:val="1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regular turnover of mental health services staff, which contributes to a lack of appropriately trained staff administering care on an ongoing basis;</w:t>
      </w:r>
    </w:p>
    <w:p w:rsidR="00FC0D25" w:rsidRPr="00FC0D25" w:rsidRDefault="00FC0D25" w:rsidP="002775DB">
      <w:pPr>
        <w:numPr>
          <w:ilvl w:val="0"/>
          <w:numId w:val="1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high levels of pressure experienced by mental health services staff;</w:t>
      </w:r>
    </w:p>
    <w:p w:rsidR="00FC0D25" w:rsidRPr="00FC0D25" w:rsidRDefault="00FC0D25" w:rsidP="002775DB">
      <w:pPr>
        <w:numPr>
          <w:ilvl w:val="0"/>
          <w:numId w:val="1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an ingrained culture of acceptance of the use of restraint and seclusion as a preferred ‘behaviour management’ technique; and</w:t>
      </w:r>
    </w:p>
    <w:p w:rsidR="00FC0D25" w:rsidRPr="00FC0D25" w:rsidRDefault="00FC0D25" w:rsidP="002775DB">
      <w:pPr>
        <w:numPr>
          <w:ilvl w:val="0"/>
          <w:numId w:val="1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failure of some psychiatrists to undertake independent assessments examining the most appropriate and effective care to prevent ‘behavioural issues’ from developing.</w:t>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24" w:name="_Toc401341187"/>
      <w:r w:rsidRPr="0093790C">
        <w:rPr>
          <w:b/>
          <w:bCs/>
          <w:caps/>
          <w:color w:val="244061"/>
          <w:kern w:val="28"/>
          <w:lang w:val="x-none" w:eastAsia="en-US"/>
        </w:rPr>
        <w:t>4.3 Schools</w:t>
      </w:r>
      <w:bookmarkEnd w:id="24"/>
      <w:r w:rsidRPr="0093790C">
        <w:rPr>
          <w:b/>
          <w:bCs/>
          <w:caps/>
          <w:color w:val="244061"/>
          <w:kern w:val="28"/>
          <w:lang w:val="x-none" w:eastAsia="en-US"/>
        </w:rPr>
        <w:t xml:space="preserve"> </w:t>
      </w:r>
    </w:p>
    <w:p w:rsidR="00FC0D25" w:rsidRPr="00FC0D25" w:rsidRDefault="00FC0D25" w:rsidP="002775DB">
      <w:pPr>
        <w:numPr>
          <w:ilvl w:val="0"/>
          <w:numId w:val="27"/>
        </w:numPr>
        <w:tabs>
          <w:tab w:val="left" w:pos="142"/>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Disability representative and advocacy organisations report that many children with disability in both mainstream and special schools are being subjected to chemical and physical restraint and seclusion under the guise of ‘behaviour management’ policies and practice.</w:t>
      </w:r>
      <w:r w:rsidRPr="00FC0D25">
        <w:rPr>
          <w:color w:val="000000"/>
          <w:vertAlign w:val="superscript"/>
          <w:lang w:eastAsia="en-US"/>
        </w:rPr>
        <w:footnoteReference w:id="57"/>
      </w:r>
    </w:p>
    <w:p w:rsidR="00FC0D25" w:rsidRPr="00FC0D25" w:rsidRDefault="00FC0D25" w:rsidP="002775DB">
      <w:pPr>
        <w:tabs>
          <w:tab w:val="left" w:pos="142"/>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142"/>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There is strong evidence that children with disability are experiencing:</w:t>
      </w:r>
    </w:p>
    <w:p w:rsidR="00FC0D25" w:rsidRPr="00FC0D25" w:rsidRDefault="00FC0D25" w:rsidP="002775DB">
      <w:pPr>
        <w:numPr>
          <w:ilvl w:val="0"/>
          <w:numId w:val="1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solitary confinement to small rooms or small fenced areas as punishment for ‘bad’ behaviour;</w:t>
      </w:r>
    </w:p>
    <w:p w:rsidR="00FC0D25" w:rsidRPr="00FC0D25" w:rsidRDefault="00FC0D25" w:rsidP="002775DB">
      <w:pPr>
        <w:numPr>
          <w:ilvl w:val="0"/>
          <w:numId w:val="1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physical force, including being thrown to the ground and being pinned down;</w:t>
      </w:r>
    </w:p>
    <w:p w:rsidR="00FC0D25" w:rsidRPr="00FC0D25" w:rsidRDefault="00FC0D25" w:rsidP="002775DB">
      <w:pPr>
        <w:numPr>
          <w:ilvl w:val="0"/>
          <w:numId w:val="1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chemical restraint by requiring parents to medicate their children, otherwise they cannot attend school; and</w:t>
      </w:r>
    </w:p>
    <w:p w:rsidR="00FC0D25" w:rsidRPr="00FC0D25" w:rsidRDefault="00FC0D25" w:rsidP="002775DB">
      <w:pPr>
        <w:numPr>
          <w:ilvl w:val="0"/>
          <w:numId w:val="1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roofErr w:type="gramStart"/>
      <w:r w:rsidRPr="00FC0D25">
        <w:rPr>
          <w:color w:val="000000"/>
          <w:lang w:eastAsia="en-US"/>
        </w:rPr>
        <w:t>acceptance</w:t>
      </w:r>
      <w:proofErr w:type="gramEnd"/>
      <w:r w:rsidRPr="00FC0D25">
        <w:rPr>
          <w:color w:val="000000"/>
          <w:lang w:eastAsia="en-US"/>
        </w:rPr>
        <w:t xml:space="preserve"> of self-harming behaviour without exploring why this is occurring at school.</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There is a lack of action, research and data on the incidence of restrictive practices on children with disability in schools across Australia, despite the fact that these practices are punitive, harmful and in many cases life-threatening.</w:t>
      </w:r>
      <w:r w:rsidRPr="00FC0D25">
        <w:rPr>
          <w:color w:val="000000"/>
          <w:vertAlign w:val="superscript"/>
          <w:lang w:eastAsia="en-US"/>
        </w:rPr>
        <w:footnoteReference w:id="58"/>
      </w:r>
    </w:p>
    <w:p w:rsidR="002B0895" w:rsidRPr="00FC0D25" w:rsidRDefault="002B089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Case Study: A primary school implemented a ‘behaviour management’ practice that confined children with autism to a fenced area during lunch. The area had one tree, a bench and dirt covering. The practice was defended by the education department as a practice to support supervision of students with autism while they settle into school.</w:t>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25" w:name="_Toc401341188"/>
      <w:r w:rsidRPr="0093790C">
        <w:rPr>
          <w:b/>
          <w:bCs/>
          <w:caps/>
          <w:color w:val="244061"/>
          <w:kern w:val="28"/>
          <w:lang w:val="x-none" w:eastAsia="en-US"/>
        </w:rPr>
        <w:t>4.4 Prisons</w:t>
      </w:r>
      <w:bookmarkEnd w:id="25"/>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People with disability are over-represented in the prison population and many are arbitrarily detained in prison due to the unavailability of other appropriate accommodation options. In at least one legal case, the judge noted that this potentially constitutes cruel, inhuman and degrading treatment.</w:t>
      </w:r>
      <w:r w:rsidRPr="00FC0D25">
        <w:rPr>
          <w:color w:val="000000"/>
          <w:vertAlign w:val="superscript"/>
          <w:lang w:eastAsia="en-US"/>
        </w:rPr>
        <w:footnoteReference w:id="59"/>
      </w:r>
      <w:r w:rsidRPr="00FC0D25">
        <w:rPr>
          <w:color w:val="000000"/>
          <w:lang w:eastAsia="en-US"/>
        </w:rPr>
        <w:t xml:space="preserve"> The Special Rapporteur on Torture Juan Mendez has previously concluded that the </w:t>
      </w:r>
      <w:r w:rsidRPr="00FC0D25">
        <w:rPr>
          <w:color w:val="000000"/>
          <w:lang w:eastAsia="en-US"/>
        </w:rPr>
        <w:lastRenderedPageBreak/>
        <w:t>imposition of solitary confinement to people with ‘’mental disability” is cruel, inhuman or degrading treatment and violates Article 16 CAT, and that its prolonged use - over 15 days - may constitute torture.</w:t>
      </w:r>
      <w:r w:rsidRPr="00FC0D25">
        <w:rPr>
          <w:color w:val="000000"/>
          <w:vertAlign w:val="superscript"/>
          <w:lang w:eastAsia="en-US"/>
        </w:rPr>
        <w:footnoteReference w:id="60"/>
      </w:r>
      <w:r w:rsidR="002B0895">
        <w:rPr>
          <w:color w:val="000000"/>
          <w:lang w:eastAsia="en-US"/>
        </w:rPr>
        <w:t xml:space="preserve"> (See also I</w:t>
      </w:r>
      <w:r w:rsidRPr="00FC0D25">
        <w:rPr>
          <w:color w:val="000000"/>
          <w:lang w:eastAsia="en-US"/>
        </w:rPr>
        <w:t xml:space="preserve">ndefinite </w:t>
      </w:r>
      <w:r w:rsidR="002B0895">
        <w:rPr>
          <w:color w:val="000000"/>
          <w:lang w:eastAsia="en-US"/>
        </w:rPr>
        <w:t>D</w:t>
      </w:r>
      <w:r w:rsidRPr="00FC0D25">
        <w:rPr>
          <w:color w:val="000000"/>
          <w:lang w:eastAsia="en-US"/>
        </w:rPr>
        <w:t>etention)</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Prolonged solitary confinement (also known as seclusion or segregation) is used as a management tool for people incarcerated within Australian prisons and Disability Justice Centres. Under Australian law, the governor of a correctional centre may direct that an inmate be held in solitary confinement if the inmate poses a threat to the security or good order and discipline of the prison.</w:t>
      </w:r>
      <w:r w:rsidRPr="00FC0D25">
        <w:rPr>
          <w:color w:val="000000"/>
          <w:vertAlign w:val="superscript"/>
          <w:lang w:eastAsia="en-US"/>
        </w:rPr>
        <w:footnoteReference w:id="61"/>
      </w:r>
      <w:r w:rsidRPr="00FC0D25">
        <w:rPr>
          <w:color w:val="000000"/>
          <w:lang w:eastAsia="en-US"/>
        </w:rPr>
        <w:t xml:space="preserve"> The practice is particularly damaging for people with psychosocial disability as it can lead to exacerbating their condition.</w:t>
      </w:r>
      <w:r w:rsidRPr="00FC0D25">
        <w:rPr>
          <w:color w:val="000000"/>
          <w:vertAlign w:val="superscript"/>
          <w:lang w:eastAsia="en-US"/>
        </w:rPr>
        <w:footnoteReference w:id="62"/>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Prisoners with disability are often placed in isolated management and observation cells when displaying ‘behaviours of concern’ because of a lack of other appropriate accommodation and support options.</w:t>
      </w:r>
      <w:r w:rsidRPr="00FC0D25">
        <w:rPr>
          <w:color w:val="000000"/>
          <w:vertAlign w:val="superscript"/>
          <w:lang w:eastAsia="en-US"/>
        </w:rPr>
        <w:footnoteReference w:id="63"/>
      </w:r>
      <w:r w:rsidRPr="00FC0D25">
        <w:rPr>
          <w:color w:val="000000"/>
          <w:lang w:eastAsia="en-US"/>
        </w:rPr>
        <w:t xml:space="preserve"> Being placed in isolation and seclusion also occurs where a prisoner has not been diagnosed with a health condition or impairment that requires appropriate treatment or support rather than punishment.</w:t>
      </w:r>
      <w:r w:rsidRPr="00FC0D25">
        <w:rPr>
          <w:color w:val="000000"/>
          <w:vertAlign w:val="superscript"/>
          <w:lang w:eastAsia="en-US"/>
        </w:rPr>
        <w:footnoteReference w:id="64"/>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Women with psychosocial disability and intellectual or learning disability are disproportionately classified as high security prisoners and are more likely to be in high security facilities, than other prisoners.</w:t>
      </w:r>
      <w:r w:rsidRPr="00FC0D25">
        <w:rPr>
          <w:color w:val="000000"/>
          <w:vertAlign w:val="superscript"/>
          <w:lang w:eastAsia="en-US"/>
        </w:rPr>
        <w:footnoteReference w:id="65"/>
      </w:r>
    </w:p>
    <w:p w:rsidR="00CE68F7" w:rsidRPr="00FC0D25" w:rsidRDefault="00CE68F7"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Case Study: Mr S a forensic patient</w:t>
      </w:r>
      <w:r w:rsidRPr="00FC0D25">
        <w:rPr>
          <w:b/>
          <w:i/>
          <w:color w:val="002060"/>
          <w:vertAlign w:val="superscript"/>
          <w:lang w:eastAsia="en-US"/>
        </w:rPr>
        <w:footnoteReference w:id="66"/>
      </w:r>
      <w:r w:rsidRPr="00FC0D25">
        <w:rPr>
          <w:b/>
          <w:i/>
          <w:color w:val="002060"/>
          <w:lang w:eastAsia="en-US"/>
        </w:rPr>
        <w:t xml:space="preserve"> in prison who committed suicide in 2006 whilst in solitary confinement. Contrary to medical advice, Mr S was placed in solitary confinement in the High Risk Management Unit after murdering his cellmate during a ‘psychotic’ episode. Mr S committed suicide shortly after being found not guilty of his cellmate’s murder on the grounds of ‘mental impairment’. Due to a lack of beds for forensic </w:t>
      </w:r>
      <w:r w:rsidRPr="00FC0D25">
        <w:rPr>
          <w:b/>
          <w:i/>
          <w:color w:val="002060"/>
          <w:lang w:eastAsia="en-US"/>
        </w:rPr>
        <w:lastRenderedPageBreak/>
        <w:t>patients in the state prisons, Mr S was never moved to a mental health facility. The Deputy State Coroner strongly criticised the events that led to his suicide and recommended persons with psychosocial disability are not subjected to solitary confinement except as a safety intervention of last resort and for limited periods of time.</w:t>
      </w:r>
      <w:r w:rsidRPr="00FC0D25">
        <w:rPr>
          <w:b/>
          <w:i/>
          <w:color w:val="002060"/>
          <w:vertAlign w:val="superscript"/>
          <w:lang w:eastAsia="en-US"/>
        </w:rPr>
        <w:footnoteReference w:id="67"/>
      </w: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Prisoners can face significant problems having complaints about prison administration investigated properly by Ombudsman due to a lack of resources, and the lack of enforceability of determinations made by Ombudsman.</w:t>
      </w:r>
      <w:r w:rsidRPr="00FC0D25">
        <w:rPr>
          <w:color w:val="000000"/>
          <w:vertAlign w:val="superscript"/>
          <w:lang w:eastAsia="en-US"/>
        </w:rPr>
        <w:footnoteReference w:id="68"/>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Common law remedies based on a negligence claim against the relevant government department by inmates who have sustained injury, including acquiring a mental health condition whilst in prison are limited.</w:t>
      </w:r>
      <w:r w:rsidRPr="00FC0D25">
        <w:rPr>
          <w:color w:val="000000"/>
          <w:vertAlign w:val="superscript"/>
          <w:lang w:eastAsia="en-US"/>
        </w:rPr>
        <w:footnoteReference w:id="69"/>
      </w:r>
      <w:r w:rsidRPr="00FC0D25">
        <w:rPr>
          <w:color w:val="000000"/>
          <w:lang w:eastAsia="en-US"/>
        </w:rPr>
        <w:t xml:space="preserve"> In many cases, prisoners are also unable to bring negligence claims on the grounds of a lack of government resources, for example, supervisory resources, even where limited resources may have contributed to the injury occurring.</w:t>
      </w:r>
      <w:r w:rsidRPr="00FC0D25">
        <w:rPr>
          <w:color w:val="000000"/>
          <w:vertAlign w:val="superscript"/>
          <w:lang w:eastAsia="en-US"/>
        </w:rPr>
        <w:footnoteReference w:id="70"/>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rPr>
      </w:pPr>
      <w:bookmarkStart w:id="26" w:name="_Toc401341189"/>
      <w:r w:rsidRPr="0093790C">
        <w:rPr>
          <w:b/>
          <w:bCs/>
          <w:caps/>
          <w:color w:val="244061"/>
          <w:kern w:val="28"/>
          <w:lang w:val="x-none" w:eastAsia="en-US"/>
        </w:rPr>
        <w:t xml:space="preserve">4.5 The National Framework </w:t>
      </w:r>
      <w:r w:rsidRPr="0093790C">
        <w:rPr>
          <w:b/>
          <w:bCs/>
          <w:caps/>
          <w:color w:val="244061"/>
          <w:kern w:val="28"/>
          <w:lang w:val="x-none"/>
        </w:rPr>
        <w:t>For Reducing Restrictive Practices</w:t>
      </w:r>
      <w:bookmarkEnd w:id="26"/>
      <w:r w:rsidRPr="0093790C">
        <w:rPr>
          <w:b/>
          <w:bCs/>
          <w:caps/>
          <w:color w:val="244061"/>
          <w:kern w:val="28"/>
          <w:lang w:val="x-none"/>
        </w:rPr>
        <w:t xml:space="preserve"> </w:t>
      </w: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pPr>
      <w:r w:rsidRPr="00FC0D25">
        <w:rPr>
          <w:iCs/>
          <w:color w:val="000000"/>
        </w:rPr>
        <w:t>The Australian Government has proposed a National Framework for Reducing the Use of Restrictive Practices in the Disability Service Sector</w:t>
      </w:r>
      <w:r w:rsidRPr="00FC0D25">
        <w:rPr>
          <w:iCs/>
          <w:color w:val="000000"/>
          <w:vertAlign w:val="superscript"/>
        </w:rPr>
        <w:footnoteReference w:id="71"/>
      </w:r>
      <w:r w:rsidRPr="00FC0D25">
        <w:rPr>
          <w:iCs/>
          <w:color w:val="000000"/>
        </w:rPr>
        <w:t>, a draft of which was open for consultation in mid-2013.  Although the national approach and references to CRPD compliance are welcome, there are a number of limitations in the current draft.</w:t>
      </w:r>
    </w:p>
    <w:p w:rsidR="00FC0D25" w:rsidRPr="00FC0D25" w:rsidRDefault="00FC0D25" w:rsidP="002775DB">
      <w:pPr>
        <w:tabs>
          <w:tab w:val="left" w:pos="1848"/>
          <w:tab w:val="left" w:pos="2773"/>
          <w:tab w:val="left" w:pos="3697"/>
          <w:tab w:val="left" w:pos="4621"/>
          <w:tab w:val="left" w:pos="5545"/>
          <w:tab w:val="left" w:pos="6469"/>
          <w:tab w:val="left" w:pos="7394"/>
          <w:tab w:val="left" w:pos="8318"/>
          <w:tab w:val="right" w:pos="8930"/>
        </w:tabs>
        <w:spacing w:before="120" w:after="120" w:line="276" w:lineRule="auto"/>
        <w:ind w:left="284"/>
        <w:contextualSpacing/>
        <w:jc w:val="both"/>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pPr>
      <w:r w:rsidRPr="00FC0D25">
        <w:rPr>
          <w:bCs/>
          <w:iCs/>
          <w:color w:val="000000"/>
        </w:rPr>
        <w:t>The draft focusses more on when and how to use restrictive practices rather than seeking to prevent their use, or looking at the environmental factors that may be causing an individual to behave in a way which introduces restraint as an option.  The Framework is not premised on c</w:t>
      </w:r>
      <w:r w:rsidRPr="00FC0D25">
        <w:rPr>
          <w:color w:val="000000"/>
        </w:rPr>
        <w:t>hanging services, systems and environments as the starting point for changing individual behaviour, but remains focused on changing the person themselves.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bCs/>
          <w:iCs/>
          <w:color w:val="000000"/>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pPr>
      <w:r w:rsidRPr="00FC0D25">
        <w:rPr>
          <w:bCs/>
          <w:iCs/>
          <w:color w:val="000000"/>
        </w:rPr>
        <w:lastRenderedPageBreak/>
        <w:t xml:space="preserve">Secondly, </w:t>
      </w:r>
      <w:r w:rsidRPr="00FC0D25">
        <w:rPr>
          <w:color w:val="000000"/>
        </w:rPr>
        <w:t xml:space="preserve">the Framework is only intended to apply to disability services.  Formal disability services should play a significantly smaller role in the lives of people with disability over the coming years as self-directed disability support is progressively implemented through the NDIS.  Under this scheme participants will purchase disability supports from the open market and may not choose to use government regulated services. This raises the question of how the use of restrictive practices by non-regulated providers of support will be prevented, monitored and investigated.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pPr>
      <w:r w:rsidRPr="00FC0D25">
        <w:rPr>
          <w:color w:val="000000"/>
        </w:rPr>
        <w:t>Thirdly, people with disability in Australia experience restrictive practices in numerous environments including schools, prisons, mental health facilities, hospitals, residential institutions and family homes. Any framework on restrictive practices needs to recognise this, and be part of a wider overarching strategy addressing the violence and abuse of people with disability in general.</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rPr>
      </w:pPr>
    </w:p>
    <w:p w:rsidR="00FC0D25" w:rsidRPr="00CE68F7"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pPr>
      <w:r w:rsidRPr="00FC0D25">
        <w:rPr>
          <w:color w:val="000000"/>
        </w:rPr>
        <w:t xml:space="preserve">Finally, although restrictive practices can constitute torture or cruel, inhuman or degrading treatment or punishment there is no </w:t>
      </w:r>
      <w:r w:rsidRPr="00FC0D25">
        <w:rPr>
          <w:bCs/>
          <w:iCs/>
          <w:color w:val="000000"/>
        </w:rPr>
        <w:t>reference in the Framework to Australia’s obligations under CAT or the relevant articles of the CRPD.  The Framework would have greater utility if it was developed in parallel to work towards OPCAT ratification and establishment of an independent national preventative mechanism(s) to monitor places of detention; including places of detention where people with disability live such as prisons, disability justice centres and psychiatric hospitals.</w:t>
      </w:r>
    </w:p>
    <w:p w:rsidR="00CE68F7" w:rsidRPr="00FC0D25" w:rsidRDefault="00CE68F7"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 xml:space="preserve">Case Study: Mary has </w:t>
      </w:r>
      <w:proofErr w:type="spellStart"/>
      <w:r w:rsidRPr="00FC0D25">
        <w:rPr>
          <w:b/>
          <w:i/>
          <w:color w:val="002060"/>
          <w:lang w:eastAsia="en-US"/>
        </w:rPr>
        <w:t>Prader</w:t>
      </w:r>
      <w:proofErr w:type="spellEnd"/>
      <w:r w:rsidRPr="00FC0D25">
        <w:rPr>
          <w:b/>
          <w:i/>
          <w:color w:val="002060"/>
          <w:lang w:eastAsia="en-US"/>
        </w:rPr>
        <w:t>-Willi Syndrome, an intellectual disability, learning difficulties, diabetes and emphysema. She has difficulties self-regulating her behaviour and appetite, and has a powerful craving for food. Despite lobbying the government, Mary has not been able to obtain single occupancy housing. Instead Mary has suffered from neglect, increasing levels of restraint and seclusion in institutions or shared accommodation. She has had co-tenants who have physically abused her and she has also been sexually assaulted. Currently Mary is sharing a house and does not like her co</w:t>
      </w:r>
      <w:r w:rsidRPr="00FC0D25">
        <w:rPr>
          <w:b/>
          <w:i/>
          <w:color w:val="002060"/>
          <w:lang w:eastAsia="en-US"/>
        </w:rPr>
        <w:noBreakHyphen/>
        <w:t>tenant. She has been subjected to physical assaults and is chemically restrained to ensure compliance and to prevent her leaving the house. Mary now faces the prospect of being held in a locked facility for an unspecified period of time, chemically restrained and isolated until the anticipated alteration in her behaviour is achieved before placing her back in shared accommodation.</w:t>
      </w:r>
      <w:r w:rsidRPr="00CE68F7">
        <w:rPr>
          <w:b/>
          <w:i/>
          <w:color w:val="002060"/>
          <w:vertAlign w:val="superscript"/>
          <w:lang w:eastAsia="en-US"/>
        </w:rPr>
        <w:footnoteReference w:id="72"/>
      </w:r>
    </w:p>
    <w:p w:rsidR="00FC03FB"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b/>
          <w:color w:val="000000"/>
          <w:lang w:eastAsia="en-US"/>
        </w:rPr>
      </w:pPr>
      <w:r w:rsidRPr="00FC0D25">
        <w:rPr>
          <w:b/>
          <w:color w:val="000000"/>
          <w:lang w:eastAsia="en-US"/>
        </w:rPr>
        <w:t xml:space="preserve">           </w:t>
      </w:r>
    </w:p>
    <w:p w:rsidR="00FC03FB" w:rsidRDefault="00FC03FB"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b/>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b/>
          <w:color w:val="000000"/>
          <w:lang w:eastAsia="en-US"/>
        </w:rPr>
      </w:pPr>
      <w:r w:rsidRPr="00FC0D25">
        <w:rPr>
          <w:b/>
          <w:color w:val="000000"/>
          <w:lang w:eastAsia="en-US"/>
        </w:rPr>
        <w:lastRenderedPageBreak/>
        <w:t xml:space="preserve">RECOMMENDATIONS </w:t>
      </w:r>
    </w:p>
    <w:p w:rsidR="00FC0D25" w:rsidRPr="00FC0D25" w:rsidRDefault="00FC0D25" w:rsidP="002775DB">
      <w:pPr>
        <w:numPr>
          <w:ilvl w:val="0"/>
          <w:numId w:val="12"/>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Australia establishes CRPD and CAT compliant nationally consistent legislative and administrative framework for the protection of people with disability from behaviour modification and restrictive practices that cause harm and punishment, including the prohibition of and criminal sanctions for particular behaviour modification practices. </w:t>
      </w:r>
    </w:p>
    <w:p w:rsidR="00FC0D25" w:rsidRPr="00FC0D25" w:rsidRDefault="00FC0D25" w:rsidP="002775DB">
      <w:pPr>
        <w:numPr>
          <w:ilvl w:val="0"/>
          <w:numId w:val="12"/>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That Australia develops an evidence-based national plan that outlines actions for the development of human rights based positive behaviour support strategies that acknowledge and respect the physical and mental integrity of the person; and for the elimination of environments and treatment approaches that have been shown to exacerbate behaviour that leads to application of inappropriate levels of behaviour modification and restraint. </w:t>
      </w:r>
    </w:p>
    <w:p w:rsidR="00FC0D25" w:rsidRPr="00FC0D25" w:rsidRDefault="00FC0D25" w:rsidP="002775DB">
      <w:pPr>
        <w:numPr>
          <w:ilvl w:val="0"/>
          <w:numId w:val="12"/>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conducts a national inquiry into the use of restrictive practices on children and young people with disability in mainstream and segregated schools and identifies and implements recommendations for the elimination of these practices.</w:t>
      </w:r>
      <w:bookmarkStart w:id="27" w:name="_Toc300566877"/>
      <w:bookmarkStart w:id="28" w:name="_Toc300671559"/>
      <w:bookmarkStart w:id="29" w:name="_Toc315244895"/>
      <w:bookmarkStart w:id="30" w:name="_Toc331685877"/>
    </w:p>
    <w:p w:rsidR="00FC0D25" w:rsidRDefault="00FC0D25" w:rsidP="002775DB">
      <w:pPr>
        <w:numPr>
          <w:ilvl w:val="0"/>
          <w:numId w:val="12"/>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cease the use of seclusion, isolation and solitary confinement as a behaviour modification technique for people with cognitive impairment and psychosocial disability.</w:t>
      </w:r>
    </w:p>
    <w:p w:rsidR="0093790C" w:rsidRPr="00FC0D25" w:rsidRDefault="00937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31" w:name="_Toc401341190"/>
      <w:r w:rsidRPr="00FC0D25">
        <w:rPr>
          <w:b/>
          <w:bCs/>
          <w:caps/>
          <w:color w:val="244061"/>
          <w:kern w:val="28"/>
          <w:lang w:val="x-none" w:eastAsia="en-US"/>
        </w:rPr>
        <w:t>Involuntary Treatment</w:t>
      </w:r>
      <w:bookmarkEnd w:id="27"/>
      <w:bookmarkEnd w:id="28"/>
      <w:bookmarkEnd w:id="29"/>
      <w:bookmarkEnd w:id="30"/>
      <w:bookmarkEnd w:id="31"/>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People with disability face a deprivation of their mental and physical integrity through involuntary treatment. The UN Rapporteur on Torture has stated that “the more intrusive and irreversible the treatment, the greater the obligation on States to ensure that health professionals provide care to persons with disabilities only on the basis of their free and informed consent”.</w:t>
      </w:r>
      <w:r w:rsidRPr="00FC0D25">
        <w:rPr>
          <w:color w:val="000000"/>
          <w:vertAlign w:val="superscript"/>
          <w:lang w:eastAsia="en-US"/>
        </w:rPr>
        <w:footnoteReference w:id="73"/>
      </w:r>
      <w:r w:rsidRPr="00FC0D25">
        <w:rPr>
          <w:color w:val="000000"/>
          <w:lang w:eastAsia="en-US"/>
        </w:rPr>
        <w:t xml:space="preserve"> This comment was directed to the use of forced psychosurgery and electroconvulsive therapy (ECT), but the Rapporteur has also stated that ‘’forced psychiatric interventions, when committed against persons with psychosocial disabilities, satisfies both intent and purpose required under Article 1 of CAT notwithstanding claims of ‘good intentions’ by medical professionals.”</w:t>
      </w:r>
      <w:r w:rsidRPr="00FC0D25">
        <w:rPr>
          <w:color w:val="000000"/>
          <w:vertAlign w:val="superscript"/>
          <w:lang w:eastAsia="en-US"/>
        </w:rPr>
        <w:footnoteReference w:id="74"/>
      </w:r>
      <w:r w:rsidR="004A0A88">
        <w:rPr>
          <w:color w:val="000000"/>
          <w:lang w:eastAsia="en-US"/>
        </w:rPr>
        <w:t xml:space="preserve"> (see also Legal C</w:t>
      </w:r>
      <w:r w:rsidRPr="00FC0D25">
        <w:rPr>
          <w:color w:val="000000"/>
          <w:lang w:eastAsia="en-US"/>
        </w:rPr>
        <w:t xml:space="preserve">apacity, </w:t>
      </w:r>
      <w:r w:rsidR="004A0A88">
        <w:rPr>
          <w:color w:val="000000"/>
          <w:lang w:eastAsia="en-US"/>
        </w:rPr>
        <w:t>I</w:t>
      </w:r>
      <w:r w:rsidRPr="00FC0D25">
        <w:rPr>
          <w:color w:val="000000"/>
          <w:lang w:eastAsia="en-US"/>
        </w:rPr>
        <w:t xml:space="preserve">ndefinite </w:t>
      </w:r>
      <w:r w:rsidR="004A0A88">
        <w:rPr>
          <w:color w:val="000000"/>
          <w:lang w:eastAsia="en-US"/>
        </w:rPr>
        <w:t>Detention, S</w:t>
      </w:r>
      <w:r w:rsidRPr="00FC0D25">
        <w:rPr>
          <w:color w:val="000000"/>
          <w:lang w:eastAsia="en-US"/>
        </w:rPr>
        <w:t>terilisation)</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The compulsory treatment of people with disability in the form of an Involuntary Treatment Order (ITO),</w:t>
      </w:r>
      <w:r w:rsidRPr="00FC0D25">
        <w:rPr>
          <w:color w:val="000000"/>
          <w:vertAlign w:val="superscript"/>
          <w:lang w:eastAsia="en-US"/>
        </w:rPr>
        <w:footnoteReference w:id="75"/>
      </w:r>
      <w:r w:rsidRPr="00FC0D25">
        <w:rPr>
          <w:color w:val="000000"/>
          <w:lang w:eastAsia="en-US"/>
        </w:rPr>
        <w:t xml:space="preserve"> Supervised Treatment Order (STO)</w:t>
      </w:r>
      <w:r w:rsidRPr="00FC0D25">
        <w:rPr>
          <w:color w:val="000000"/>
          <w:vertAlign w:val="superscript"/>
          <w:lang w:eastAsia="en-US"/>
        </w:rPr>
        <w:footnoteReference w:id="76"/>
      </w:r>
      <w:r w:rsidRPr="00FC0D25">
        <w:rPr>
          <w:color w:val="000000"/>
          <w:lang w:eastAsia="en-US"/>
        </w:rPr>
        <w:t xml:space="preserve"> or Community Treatment Order (CTO)</w:t>
      </w:r>
      <w:r w:rsidRPr="00FC0D25">
        <w:rPr>
          <w:color w:val="000000"/>
          <w:vertAlign w:val="superscript"/>
          <w:lang w:eastAsia="en-US"/>
        </w:rPr>
        <w:footnoteReference w:id="77"/>
      </w:r>
      <w:r w:rsidRPr="00FC0D25">
        <w:rPr>
          <w:color w:val="000000"/>
          <w:lang w:eastAsia="en-US"/>
        </w:rPr>
        <w:t xml:space="preserve"> is authorised by mental health laws in all states and territories in Australia. Individuals who refuse compulsory treatment may be detained. Involuntary detention under Australian mental health laws gives rise to an ‘authority to treat’, except in Tasmania where the Guardianship Tribunals or the statutory ‘person responsible’ has responsibility for determining an order for treatment.</w:t>
      </w:r>
      <w:r w:rsidRPr="00FC0D25">
        <w:rPr>
          <w:color w:val="000000"/>
          <w:vertAlign w:val="superscript"/>
          <w:lang w:eastAsia="en-US"/>
        </w:rPr>
        <w:footnoteReference w:id="78"/>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laws regulating involuntary mental health treatment vary across the states and territories, but they all have failed to prevent, and in some cases, actively condone unacceptable practices, including invasive and irreversible treatments such as: </w:t>
      </w:r>
    </w:p>
    <w:p w:rsidR="00FC0D25" w:rsidRPr="00FC0D25" w:rsidRDefault="00FC0D25" w:rsidP="002775DB">
      <w:pPr>
        <w:numPr>
          <w:ilvl w:val="0"/>
          <w:numId w:val="15"/>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authorisation of psychosurgery on both voluntary and involuntary patients;</w:t>
      </w:r>
    </w:p>
    <w:p w:rsidR="00FC0D25" w:rsidRPr="00FC0D25" w:rsidRDefault="00FC0D25" w:rsidP="002775DB">
      <w:pPr>
        <w:numPr>
          <w:ilvl w:val="0"/>
          <w:numId w:val="15"/>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authorisation of ECT on involuntary patients; and</w:t>
      </w:r>
    </w:p>
    <w:p w:rsidR="00FC0D25" w:rsidRPr="00FC0D25" w:rsidRDefault="00FC0D25" w:rsidP="002775DB">
      <w:pPr>
        <w:numPr>
          <w:ilvl w:val="0"/>
          <w:numId w:val="15"/>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roofErr w:type="gramStart"/>
      <w:r w:rsidRPr="00FC0D25">
        <w:rPr>
          <w:color w:val="000000"/>
          <w:lang w:eastAsia="en-US"/>
        </w:rPr>
        <w:t>authorisation</w:t>
      </w:r>
      <w:proofErr w:type="gramEnd"/>
      <w:r w:rsidRPr="00FC0D25">
        <w:rPr>
          <w:color w:val="000000"/>
          <w:lang w:eastAsia="en-US"/>
        </w:rPr>
        <w:t xml:space="preserve"> of sterilisation on involuntary patients.</w:t>
      </w:r>
      <w:r w:rsidRPr="00FC0D25">
        <w:rPr>
          <w:color w:val="000000"/>
          <w:vertAlign w:val="superscript"/>
          <w:lang w:eastAsia="en-US"/>
        </w:rPr>
        <w:footnoteReference w:id="79"/>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Mental health laws do not protect people with disability from being arbitrarily subjected to detention and involuntary treatment. Many forms of deprivation of liberty of people with disability are performed without lawful authority. This includes confinement to residential and other facilities, restriction on movement within residential and other facilities as well as practices such as seclusion and exclusionary timeout within these facilities.</w:t>
      </w:r>
      <w:bookmarkStart w:id="32" w:name="_Ref321408745"/>
      <w:r w:rsidRPr="00FC0D25">
        <w:rPr>
          <w:color w:val="000000"/>
          <w:vertAlign w:val="superscript"/>
          <w:lang w:eastAsia="en-US"/>
        </w:rPr>
        <w:footnoteReference w:id="80"/>
      </w:r>
      <w:bookmarkEnd w:id="32"/>
      <w:r w:rsidRPr="00FC0D25">
        <w:rPr>
          <w:color w:val="000000"/>
          <w:lang w:eastAsia="en-US"/>
        </w:rPr>
        <w:t xml:space="preserve"> </w:t>
      </w:r>
    </w:p>
    <w:p w:rsidR="00CE68F7" w:rsidRPr="00FC0D25" w:rsidRDefault="00CE68F7"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360"/>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 xml:space="preserve">Case Study: Zac voluntarily admitted himself to a hospital’s psychiatric inpatient unit. At no time was he given information regarding his rights as a voluntary patient, and there was a failure to provide him with services for his pre-existing diabetes. Zac became concerned that his ‘treatment’ involved only medication and not a referral to a social worker, </w:t>
      </w:r>
      <w:r w:rsidRPr="00FC0D25">
        <w:rPr>
          <w:b/>
          <w:i/>
          <w:color w:val="002060"/>
          <w:lang w:eastAsia="en-US"/>
        </w:rPr>
        <w:lastRenderedPageBreak/>
        <w:t>psychologist, or community counselling service, despite the psychiatrist recommending this. Although the issue was raised with hospital staff, no action was taken. He notified staff of his intention to discharge himself (which was within his rights as a voluntary patient), however he was warned his status would be changed to ‘involuntary’ should he attempt to discharge himself. Zac then attempted to leave the ward, and was subsequently reclassified as an involuntary patient and put into seclusion for 6½ hours, and stripped of his clothing. He was not provided with an explanation of his change of patient status to involuntary or the reason for being placed in seclusion. Due to his experience in involuntary seclusion, Zac continues to experience emotional and physical symptoms, including chronic depression.</w:t>
      </w: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rate of forced community psychiatric treatment in Victoria is higher than anywhere else in the world. Data indicates that in Victoria in 2008, 6,971 patients were detained (with 316 discharges in 2007–2008) and 5,099 involuntary CTOs were made.</w:t>
      </w:r>
      <w:r w:rsidRPr="00FC0D25">
        <w:rPr>
          <w:color w:val="000000"/>
          <w:vertAlign w:val="superscript"/>
          <w:lang w:eastAsia="en-US"/>
        </w:rPr>
        <w:footnoteReference w:id="81"/>
      </w:r>
      <w:r w:rsidRPr="00FC0D25">
        <w:rPr>
          <w:color w:val="000000"/>
          <w:lang w:eastAsia="en-US"/>
        </w:rPr>
        <w:t xml:space="preserve"> This compares to a rate of 1,951 CTO orders during 1995–1996.</w:t>
      </w:r>
      <w:bookmarkStart w:id="33" w:name="_Ref322521582"/>
      <w:r w:rsidRPr="00FC0D25">
        <w:rPr>
          <w:color w:val="000000"/>
          <w:vertAlign w:val="superscript"/>
          <w:lang w:eastAsia="en-US"/>
        </w:rPr>
        <w:footnoteReference w:id="82"/>
      </w:r>
      <w:bookmarkEnd w:id="33"/>
      <w:r w:rsidRPr="00FC0D25">
        <w:rPr>
          <w:color w:val="000000"/>
          <w:lang w:eastAsia="en-US"/>
        </w:rPr>
        <w:t xml:space="preserve"> In 2006–2007, 66 percent of hearings by the Mental Health Review Board of Victoria related to applications for CTOs.</w:t>
      </w:r>
      <w:r w:rsidRPr="00FC0D25">
        <w:rPr>
          <w:color w:val="000000"/>
          <w:vertAlign w:val="superscript"/>
          <w:lang w:eastAsia="en-US"/>
        </w:rPr>
        <w:footnoteReference w:id="83"/>
      </w:r>
      <w:r w:rsidRPr="00FC0D25">
        <w:rPr>
          <w:color w:val="000000"/>
          <w:lang w:eastAsia="en-US"/>
        </w:rPr>
        <w:t xml:space="preserve"> Many people are subject to a CTO after their first hospital admission despite any history of treatment refusal. It is estimated that 15–25 percent of people on CTOs fall into this category.</w:t>
      </w:r>
      <w:r w:rsidRPr="00FC0D25">
        <w:rPr>
          <w:color w:val="000000"/>
          <w:vertAlign w:val="superscript"/>
          <w:lang w:eastAsia="en-US"/>
        </w:rPr>
        <w:footnoteReference w:id="84"/>
      </w:r>
      <w:r w:rsidRPr="00FC0D25">
        <w:rPr>
          <w:color w:val="000000"/>
          <w:lang w:eastAsia="en-US"/>
        </w:rPr>
        <w:t xml:space="preserve"> In Victoria in 2008, 18,322 ECT treatment orders were administered to 1,787 individuals,</w:t>
      </w:r>
      <w:r w:rsidRPr="00FC0D25">
        <w:rPr>
          <w:color w:val="000000"/>
          <w:vertAlign w:val="superscript"/>
          <w:lang w:eastAsia="en-US"/>
        </w:rPr>
        <w:footnoteReference w:id="85"/>
      </w:r>
      <w:r w:rsidRPr="00FC0D25">
        <w:rPr>
          <w:color w:val="000000"/>
          <w:lang w:eastAsia="en-US"/>
        </w:rPr>
        <w:t xml:space="preserve"> of which 35 percent of people received ECT involuntarily.</w:t>
      </w:r>
      <w:r w:rsidRPr="00FC0D25">
        <w:rPr>
          <w:color w:val="000000"/>
          <w:vertAlign w:val="superscript"/>
          <w:lang w:eastAsia="en-US"/>
        </w:rPr>
        <w:footnoteReference w:id="86"/>
      </w:r>
      <w:r w:rsidRPr="00FC0D25">
        <w:rPr>
          <w:color w:val="000000"/>
          <w:lang w:eastAsia="en-US"/>
        </w:rPr>
        <w:t xml:space="preserve"> In Queensland, a number of people with intellectual disability are detained in psychiatric facilities due to the lack of appropriate community housing and supports available.</w:t>
      </w:r>
      <w:r w:rsidRPr="00FC0D25">
        <w:rPr>
          <w:color w:val="000000"/>
          <w:vertAlign w:val="superscript"/>
          <w:lang w:eastAsia="en-US"/>
        </w:rPr>
        <w:footnoteReference w:id="87"/>
      </w:r>
      <w:r w:rsidRPr="00FC0D25">
        <w:rPr>
          <w:color w:val="000000"/>
          <w:lang w:eastAsia="en-US"/>
        </w:rPr>
        <w:t xml:space="preserve"> (See also indefinite detention)</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As well as violating the rights of people with psychosocial disability, Australian mental health laws go beyond their powers for other people with disability who </w:t>
      </w:r>
      <w:r w:rsidRPr="00FC0D25">
        <w:rPr>
          <w:color w:val="000000"/>
          <w:lang w:eastAsia="en-US"/>
        </w:rPr>
        <w:lastRenderedPageBreak/>
        <w:t>have been involuntarily detained in psychiatric facilities and subject to involuntary mental health treatment.</w:t>
      </w:r>
      <w:r w:rsidRPr="00FC0D25">
        <w:rPr>
          <w:color w:val="000000"/>
          <w:vertAlign w:val="superscript"/>
          <w:lang w:eastAsia="en-US"/>
        </w:rPr>
        <w:footnoteReference w:id="88"/>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There are a number of systemic factors contributing to the high incidence of involuntary treatment, which mean that people are unnecessarily subjected to mental health laws and compulsory treatment:</w:t>
      </w:r>
    </w:p>
    <w:p w:rsidR="00FC0D25" w:rsidRPr="00FC0D25" w:rsidRDefault="00FC0D25" w:rsidP="002775DB">
      <w:pPr>
        <w:numPr>
          <w:ilvl w:val="1"/>
          <w:numId w:val="16"/>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09" w:hanging="425"/>
        <w:contextualSpacing/>
        <w:jc w:val="both"/>
        <w:rPr>
          <w:color w:val="000000"/>
          <w:lang w:eastAsia="en-US"/>
        </w:rPr>
      </w:pPr>
      <w:r w:rsidRPr="00FC0D25">
        <w:rPr>
          <w:color w:val="000000"/>
          <w:lang w:eastAsia="en-US"/>
        </w:rPr>
        <w:t>prejudice, assumptions and sensationalism surrounding the risk people with psychosocial and cognitive disability pose to the community, which is managed by imposing compulsory treatment;</w:t>
      </w:r>
      <w:r w:rsidRPr="00FC0D25">
        <w:rPr>
          <w:color w:val="000000"/>
          <w:vertAlign w:val="superscript"/>
          <w:lang w:eastAsia="en-US"/>
        </w:rPr>
        <w:footnoteReference w:id="89"/>
      </w:r>
    </w:p>
    <w:p w:rsidR="00FC0D25" w:rsidRPr="00FC0D25" w:rsidRDefault="00FC0D25" w:rsidP="002775DB">
      <w:pPr>
        <w:numPr>
          <w:ilvl w:val="0"/>
          <w:numId w:val="1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shortages of qualified staff and limited resources can result in inappropriate resort to medication — chemical restraint — as a means of suppressing and controlling ‘behaviours of concern’;</w:t>
      </w:r>
      <w:r w:rsidRPr="00FC0D25">
        <w:rPr>
          <w:color w:val="000000"/>
          <w:vertAlign w:val="superscript"/>
          <w:lang w:eastAsia="en-US"/>
        </w:rPr>
        <w:footnoteReference w:id="90"/>
      </w:r>
      <w:r w:rsidRPr="00FC0D25">
        <w:rPr>
          <w:color w:val="000000"/>
          <w:lang w:eastAsia="en-US"/>
        </w:rPr>
        <w:t xml:space="preserve"> </w:t>
      </w:r>
    </w:p>
    <w:p w:rsidR="00FC0D25" w:rsidRPr="00FC0D25" w:rsidRDefault="00FC0D25" w:rsidP="002775DB">
      <w:pPr>
        <w:numPr>
          <w:ilvl w:val="0"/>
          <w:numId w:val="1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lack of access to government funded legal representation services, lack of access to appeal processes and too great a reliance on pro bono legal support means that many people will not receive a legal service at all;</w:t>
      </w:r>
      <w:r w:rsidRPr="00FC0D25">
        <w:rPr>
          <w:color w:val="000000"/>
          <w:vertAlign w:val="superscript"/>
          <w:lang w:eastAsia="en-US"/>
        </w:rPr>
        <w:footnoteReference w:id="91"/>
      </w:r>
      <w:r w:rsidRPr="00FC0D25">
        <w:rPr>
          <w:color w:val="000000"/>
          <w:lang w:eastAsia="en-US"/>
        </w:rPr>
        <w:t xml:space="preserve"> and</w:t>
      </w:r>
    </w:p>
    <w:p w:rsidR="00FC0D25" w:rsidRDefault="00FC0D25" w:rsidP="002775DB">
      <w:pPr>
        <w:numPr>
          <w:ilvl w:val="0"/>
          <w:numId w:val="1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roofErr w:type="gramStart"/>
      <w:r w:rsidRPr="00FC0D25">
        <w:rPr>
          <w:color w:val="000000"/>
          <w:lang w:eastAsia="en-US"/>
        </w:rPr>
        <w:t>lack</w:t>
      </w:r>
      <w:proofErr w:type="gramEnd"/>
      <w:r w:rsidRPr="00FC0D25">
        <w:rPr>
          <w:color w:val="000000"/>
          <w:lang w:eastAsia="en-US"/>
        </w:rPr>
        <w:t xml:space="preserve"> of advocacy and social supports to assist with reducing contact with the disability and mental health service system.</w:t>
      </w:r>
    </w:p>
    <w:p w:rsidR="00CE68F7" w:rsidRPr="00FC0D25" w:rsidRDefault="00CE68F7"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360"/>
        <w:jc w:val="both"/>
        <w:rPr>
          <w:color w:val="000000"/>
          <w:lang w:eastAsia="en-US"/>
        </w:rPr>
      </w:pPr>
      <w:r w:rsidRPr="00FC0D25">
        <w:rPr>
          <w:color w:val="000000"/>
          <w:lang w:eastAsia="en-US"/>
        </w:rPr>
        <w:t xml:space="preserve">75. There are a number of factors contributing to the high incidence of involuntary treatment, which demonstrate failures of mental health laws and practice: </w:t>
      </w:r>
    </w:p>
    <w:p w:rsidR="00FC0D25" w:rsidRPr="00FC0D25" w:rsidRDefault="00FC0D25" w:rsidP="002775DB">
      <w:pPr>
        <w:numPr>
          <w:ilvl w:val="0"/>
          <w:numId w:val="2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people often have limited opportunity to voice their experiences of involuntary treatment, to challenge the treating team as to the most appropriate care they require, to challenge the intervention overall or to appeal to have treatment plans adjusted;</w:t>
      </w:r>
      <w:r w:rsidRPr="00FC0D25">
        <w:rPr>
          <w:color w:val="000000"/>
          <w:vertAlign w:val="superscript"/>
          <w:lang w:eastAsia="en-US"/>
        </w:rPr>
        <w:footnoteReference w:id="92"/>
      </w:r>
    </w:p>
    <w:p w:rsidR="00FC0D25" w:rsidRPr="00FC0D25" w:rsidRDefault="00FC0D25" w:rsidP="002775DB">
      <w:pPr>
        <w:numPr>
          <w:ilvl w:val="0"/>
          <w:numId w:val="2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misdiagnosis of conditions, for example people with Asperger’s syndrome, Autism Spectrum Disorder or cognitive impairment being thought to have a psychiatric condition requiring involuntary treatment; </w:t>
      </w:r>
    </w:p>
    <w:p w:rsidR="00FC0D25" w:rsidRPr="00FC0D25" w:rsidRDefault="00FC0D25" w:rsidP="002775DB">
      <w:pPr>
        <w:numPr>
          <w:ilvl w:val="0"/>
          <w:numId w:val="2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legal reviews take place too infrequently, which means that treatment plans can be excessive and unnecessarily extended;</w:t>
      </w:r>
      <w:r w:rsidRPr="00FC0D25">
        <w:rPr>
          <w:color w:val="000000"/>
          <w:vertAlign w:val="superscript"/>
          <w:lang w:eastAsia="en-US"/>
        </w:rPr>
        <w:footnoteReference w:id="93"/>
      </w:r>
    </w:p>
    <w:p w:rsidR="00FC0D25" w:rsidRPr="00FC0D25" w:rsidRDefault="00FC0D25" w:rsidP="002775DB">
      <w:pPr>
        <w:numPr>
          <w:ilvl w:val="0"/>
          <w:numId w:val="2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mental health tribunals rely primarily on consultant psychiatric reports instead of the views of the person with psychosocial disability and their support people or advocates;</w:t>
      </w:r>
    </w:p>
    <w:p w:rsidR="00FC0D25" w:rsidRPr="00FC0D25" w:rsidRDefault="00FC0D25" w:rsidP="002775DB">
      <w:pPr>
        <w:numPr>
          <w:ilvl w:val="0"/>
          <w:numId w:val="2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people do not have legal right to receive the supports they need to make decisions or give consent to treatment, including advance directives rather the focus is on incapacity to consent and compulsory treatment orders; and </w:t>
      </w:r>
    </w:p>
    <w:p w:rsidR="00FC0D25" w:rsidRDefault="00FC0D25" w:rsidP="002775DB">
      <w:pPr>
        <w:numPr>
          <w:ilvl w:val="0"/>
          <w:numId w:val="2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roofErr w:type="gramStart"/>
      <w:r w:rsidRPr="00FC0D25">
        <w:rPr>
          <w:color w:val="000000"/>
          <w:lang w:eastAsia="en-US"/>
        </w:rPr>
        <w:lastRenderedPageBreak/>
        <w:t>advance</w:t>
      </w:r>
      <w:proofErr w:type="gramEnd"/>
      <w:r w:rsidRPr="00FC0D25">
        <w:rPr>
          <w:color w:val="000000"/>
          <w:lang w:eastAsia="en-US"/>
        </w:rPr>
        <w:t xml:space="preserve"> directives are not binding and so often disregarded when it is assumed that the person does not have capacity to give authority.</w:t>
      </w:r>
    </w:p>
    <w:p w:rsidR="0073690C" w:rsidRPr="00FC0D25" w:rsidRDefault="00736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 xml:space="preserve">Case Study: Stephen appeared before the Mental Health Review Board in 2009 to reduce or end a CTO that included weekly injections of </w:t>
      </w:r>
      <w:proofErr w:type="spellStart"/>
      <w:r w:rsidRPr="00FC0D25">
        <w:rPr>
          <w:b/>
          <w:i/>
          <w:color w:val="002060"/>
          <w:lang w:eastAsia="en-US"/>
        </w:rPr>
        <w:t>Depo</w:t>
      </w:r>
      <w:proofErr w:type="spellEnd"/>
      <w:r w:rsidRPr="00FC0D25">
        <w:rPr>
          <w:b/>
          <w:i/>
          <w:color w:val="002060"/>
          <w:lang w:eastAsia="en-US"/>
        </w:rPr>
        <w:t xml:space="preserve"> Provera, an anti-libidinal medication because they were causing severe osteoporosis, a side effect of long term use of this treatment. There was no dispute that he was eight times more likely to suffer a fracture in his lumbar spine than an average person of his age. However, the Board found that the adverse effects of the treatment were not sufficiently severe.</w:t>
      </w:r>
      <w:r w:rsidRPr="00FC0D25">
        <w:rPr>
          <w:b/>
          <w:i/>
          <w:color w:val="002060"/>
          <w:vertAlign w:val="superscript"/>
          <w:lang w:eastAsia="en-US"/>
        </w:rPr>
        <w:footnoteReference w:id="94"/>
      </w:r>
      <w:r w:rsidRPr="00FC0D25">
        <w:rPr>
          <w:b/>
          <w:i/>
          <w:color w:val="002060"/>
          <w:lang w:eastAsia="en-US"/>
        </w:rPr>
        <w:t xml:space="preserve"> Despite the Board ordering the authorised psychiatrist to revise the client’s treatment, the forcible medication remains virtually unchanged.</w:t>
      </w:r>
      <w:r w:rsidRPr="00FC0D25">
        <w:rPr>
          <w:b/>
          <w:i/>
          <w:color w:val="002060"/>
          <w:vertAlign w:val="superscript"/>
          <w:lang w:eastAsia="en-US"/>
        </w:rPr>
        <w:footnoteReference w:id="95"/>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34" w:name="_Toc401341191"/>
      <w:bookmarkStart w:id="35" w:name="_Toc331685876"/>
      <w:bookmarkStart w:id="36" w:name="_Toc267997732"/>
      <w:bookmarkStart w:id="37" w:name="_Toc268014164"/>
      <w:bookmarkStart w:id="38" w:name="_Toc280175222"/>
      <w:bookmarkStart w:id="39" w:name="_Toc280175574"/>
      <w:r w:rsidRPr="0093790C">
        <w:rPr>
          <w:b/>
          <w:bCs/>
          <w:caps/>
          <w:color w:val="244061"/>
          <w:kern w:val="28"/>
          <w:lang w:val="x-none" w:eastAsia="en-US"/>
        </w:rPr>
        <w:t>5.1 The Interpretive Declaration on CRPD Article 17</w:t>
      </w:r>
      <w:bookmarkEnd w:id="34"/>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On ratification of the CRPD Australia made an Interpretive Declaration stating tha</w:t>
      </w:r>
      <w:bookmarkEnd w:id="35"/>
      <w:r w:rsidRPr="00FC0D25">
        <w:rPr>
          <w:color w:val="000000"/>
          <w:lang w:eastAsia="en-US"/>
        </w:rPr>
        <w:t>t it understands Article 17 of the CRPD: The Right to Bodily Integrity, to allow for compulsory assistance or treatment of persons, including measures taken for the treatment of psychosocial disability, where such treatment is necessary, as a last resort and subject to safeguards.</w:t>
      </w:r>
      <w:r w:rsidRPr="00FC0D25">
        <w:rPr>
          <w:color w:val="000000"/>
          <w:sz w:val="22"/>
          <w:szCs w:val="20"/>
          <w:vertAlign w:val="superscript"/>
          <w:lang w:eastAsia="en-US"/>
        </w:rPr>
        <w:footnoteReference w:id="96"/>
      </w:r>
      <w:r w:rsidRPr="00FC0D25">
        <w:rPr>
          <w:color w:val="000000"/>
          <w:lang w:eastAsia="en-US"/>
        </w:rPr>
        <w:t xml:space="preserve">  The declaration is largely directed to state and territory frameworks that underpin the mental health system in Australia, and clarifies that Australia believes the existing legislative, policy and practice frameworks governing compulsory assistance or treatment mental health should be maintained.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Laws, policy and practice for involuntary treatment of people with psychosocial disability purport to ‘protect’ people who may be of harm to themselves or others by providing compulsory treatment in the community or in mental health facilities. Despite the significant limitations placed on a person’s autonomy and equal recognition before the law, there is no consistency across state and territory mental health laws in assessing, or determining ‘risk of harm to self or others’; or assessing a person’s ability or support needs to provide full and informed consent.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As a result, many people with psychosocial disability and cognitive impairment experience serious breaches of their human rights and widespread abuse, neglect and exploitation within the current legislative, policy and practice framework that purports to ‘protect’ them. Instead of addressing mental health laws as an inherent breach of human rights, states and territories have focused </w:t>
      </w:r>
      <w:r w:rsidRPr="00FC0D25">
        <w:rPr>
          <w:color w:val="000000"/>
          <w:lang w:eastAsia="en-US"/>
        </w:rPr>
        <w:lastRenderedPageBreak/>
        <w:t xml:space="preserve">on reviewing and amending mental health legislation in an effort to increase compliance with human rights.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Since ratification of CRPD, a number of people with disability, their representative organisations, disability advocacy and legal groups in Australia have questioned the validity of separate mental health legislation, given this legislation prescribes limitations to human rights on the basis of disability,</w:t>
      </w:r>
      <w:r w:rsidRPr="00FC0D25">
        <w:rPr>
          <w:color w:val="000000"/>
          <w:vertAlign w:val="superscript"/>
          <w:lang w:eastAsia="en-US"/>
        </w:rPr>
        <w:footnoteReference w:id="97"/>
      </w:r>
      <w:r w:rsidRPr="00FC0D25">
        <w:rPr>
          <w:color w:val="000000"/>
          <w:lang w:eastAsia="en-US"/>
        </w:rPr>
        <w:t xml:space="preserve"> and is not legislation that limits human rights for everyone in the community in relation to risk of harm to self and others and the need for compulsory treatment and detention.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Special Rapporteur on Torture Manfred Nowak has noted with respect to involuntary commitment to psychiatric institutions that “Article 14 of CRPD prohibits … the existence of a disability as a justification for deprivation of liberty”,</w:t>
      </w:r>
      <w:r w:rsidRPr="00FC0D25">
        <w:rPr>
          <w:color w:val="000000"/>
          <w:vertAlign w:val="superscript"/>
          <w:lang w:eastAsia="en-US"/>
        </w:rPr>
        <w:footnoteReference w:id="98"/>
      </w:r>
      <w:r w:rsidRPr="00FC0D25">
        <w:rPr>
          <w:color w:val="000000"/>
          <w:lang w:eastAsia="en-US"/>
        </w:rPr>
        <w:t xml:space="preserve"> and the subsequent Special Rapporteur on Torture has said that ‘’provisions allowing confinement or compulsory treatment in mental health settings, including thorough guardianship and other substituted decision-making, must be repealed.’’</w:t>
      </w:r>
      <w:r w:rsidRPr="00FC0D25">
        <w:rPr>
          <w:color w:val="000000"/>
          <w:vertAlign w:val="superscript"/>
          <w:lang w:eastAsia="en-US"/>
        </w:rPr>
        <w:footnoteReference w:id="99"/>
      </w:r>
    </w:p>
    <w:p w:rsidR="0073690C" w:rsidRPr="00FC0D25" w:rsidRDefault="00736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Case Study: Adam’s 2007 death at a hospital’s psychiatric ward during a struggle with security guards was the subject of a recent inquest. Evidence to the inquest suggests he was asphyxiated while being held face down by security staff. A witness told the inquest that the victim apparently yelled “I give up”, but security did not ease off. He died soon after.</w:t>
      </w:r>
      <w:r w:rsidRPr="00FC0D25">
        <w:rPr>
          <w:b/>
          <w:i/>
          <w:color w:val="002060"/>
          <w:vertAlign w:val="superscript"/>
          <w:lang w:eastAsia="en-US"/>
        </w:rPr>
        <w:footnoteReference w:id="100"/>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40" w:name="_Toc401341192"/>
      <w:r w:rsidRPr="0093790C">
        <w:rPr>
          <w:b/>
          <w:bCs/>
          <w:caps/>
          <w:color w:val="244061"/>
          <w:kern w:val="28"/>
          <w:lang w:eastAsia="en-US"/>
        </w:rPr>
        <w:t xml:space="preserve">5.2 </w:t>
      </w:r>
      <w:r w:rsidRPr="0093790C">
        <w:rPr>
          <w:b/>
          <w:bCs/>
          <w:caps/>
          <w:color w:val="244061"/>
          <w:kern w:val="28"/>
          <w:lang w:val="x-none" w:eastAsia="en-US"/>
        </w:rPr>
        <w:t>Medical or Scientific Experimentation Without Informed Consent</w:t>
      </w:r>
      <w:bookmarkEnd w:id="40"/>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In Australia, few measures have been taken to protect people with disability from medical or scientific experimentation where they are unable to give their free and informed consent, including people with disability who require support in exercising their legal capacity.  Only legislation in Victoria and the Australian Capital Territory contains provisions prohibiting medical or scientific </w:t>
      </w:r>
      <w:r w:rsidRPr="00FC0D25">
        <w:rPr>
          <w:color w:val="000000"/>
          <w:lang w:eastAsia="en-US"/>
        </w:rPr>
        <w:lastRenderedPageBreak/>
        <w:t>experimentation or treatment on persons without their full, free and informed consent.</w:t>
      </w:r>
      <w:r w:rsidRPr="00FC0D25">
        <w:rPr>
          <w:color w:val="000000"/>
          <w:vertAlign w:val="superscript"/>
          <w:lang w:eastAsia="en-US"/>
        </w:rPr>
        <w:footnoteReference w:id="101"/>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Many people with disability are particularly susceptible to being chemically restrained and administered medication in combinations that may pose a risk to their physical and mental health or cause actual bodily harm, particularly people who live in residential aged care settings. There are limited protections from abuse of medication regimes and a lack of criminal offences concerning the maladministration of medications to control and manage behaviour.</w:t>
      </w:r>
      <w:r w:rsidRPr="00FC0D25">
        <w:rPr>
          <w:color w:val="000000"/>
          <w:vertAlign w:val="superscript"/>
          <w:lang w:eastAsia="en-US"/>
        </w:rPr>
        <w:footnoteReference w:id="102"/>
      </w:r>
      <w:r w:rsidRPr="00FC0D25">
        <w:rPr>
          <w:color w:val="000000"/>
          <w:lang w:eastAsia="en-US"/>
        </w:rPr>
        <w:t xml:space="preserve"> (See also violence and abuse)</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73690C"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Case Study: Anthony, who died in September 2008 in a psychiatric hospital in Melbourne, was killed by a combination of powerful anti-psychotic medications given to him by staff, according to a Government pathologist. Staff and patients aware of the circumstances of his death say the 40-year-old was pleading not to be given more drugs on the night he died. Staff and patients also allege there was an attempt to conceal information about the circumstances of his death from his family.</w:t>
      </w:r>
      <w:r w:rsidR="0073690C">
        <w:rPr>
          <w:rStyle w:val="FootnoteReference"/>
          <w:b/>
          <w:i/>
          <w:color w:val="002060"/>
          <w:lang w:eastAsia="en-US"/>
        </w:rPr>
        <w:footnoteReference w:id="103"/>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b/>
          <w:color w:val="000000"/>
          <w:lang w:eastAsia="en-US"/>
        </w:rPr>
      </w:pPr>
      <w:r w:rsidRPr="00FC0D25">
        <w:rPr>
          <w:b/>
          <w:color w:val="000000"/>
          <w:lang w:eastAsia="en-US"/>
        </w:rPr>
        <w:t>RECOMMENDATIONS</w:t>
      </w:r>
    </w:p>
    <w:p w:rsidR="00FC0D25" w:rsidRPr="00FC0D25" w:rsidRDefault="00FC0D25" w:rsidP="002775DB">
      <w:pPr>
        <w:numPr>
          <w:ilvl w:val="0"/>
          <w:numId w:val="19"/>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withdraws its Interpretative Declaration in relation to Article 17 of the CRPD.</w:t>
      </w:r>
    </w:p>
    <w:p w:rsidR="00FC0D25" w:rsidRDefault="00FC0D25" w:rsidP="002775DB">
      <w:pPr>
        <w:numPr>
          <w:ilvl w:val="0"/>
          <w:numId w:val="19"/>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in consultation with people with disability through their representative, advocacy and legal organisations, Australia conducts a comprehensive audit of laws, policies and administrative arrangements underpinning compulsory treatment with a view to: introducing reforms to eliminate laws and practices that relate to compulsory treatment that inherently breach human rights; and working  with people with disability and their representative and advocacy organisations to develop appropriate mechanisms and supports for any person, regardless of disability, who is at risk of causing harm to themselves or others.</w:t>
      </w:r>
    </w:p>
    <w:p w:rsidR="0093790C" w:rsidRPr="00FC0D25" w:rsidRDefault="00937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41" w:name="_Toc401341193"/>
      <w:bookmarkEnd w:id="36"/>
      <w:bookmarkEnd w:id="37"/>
      <w:bookmarkEnd w:id="38"/>
      <w:bookmarkEnd w:id="39"/>
      <w:r w:rsidRPr="00FC0D25">
        <w:rPr>
          <w:b/>
          <w:bCs/>
          <w:caps/>
          <w:color w:val="244061"/>
          <w:kern w:val="28"/>
          <w:lang w:val="x-none" w:eastAsia="en-US"/>
        </w:rPr>
        <w:t>sterilisation</w:t>
      </w:r>
      <w:bookmarkEnd w:id="41"/>
      <w:r w:rsidRPr="00FC0D25">
        <w:rPr>
          <w:b/>
          <w:bCs/>
          <w:caps/>
          <w:color w:val="244061"/>
          <w:kern w:val="28"/>
          <w:lang w:val="x-none" w:eastAsia="en-US"/>
        </w:rPr>
        <w:t xml:space="preserve"> </w:t>
      </w: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rPr>
      </w:pPr>
      <w:r w:rsidRPr="00FC0D25">
        <w:rPr>
          <w:color w:val="000000"/>
          <w:lang w:eastAsia="en-US"/>
        </w:rPr>
        <w:t>Forced, involuntary or coerced sterilisation of people with disability, particularly women and girls with disability and people with intersex variation, is an ongoing practice in Australia.</w:t>
      </w:r>
      <w:r w:rsidRPr="00FC0D25">
        <w:rPr>
          <w:color w:val="000000"/>
          <w:sz w:val="22"/>
          <w:szCs w:val="20"/>
          <w:vertAlign w:val="superscript"/>
          <w:lang w:eastAsia="en-US"/>
        </w:rPr>
        <w:footnoteReference w:id="104"/>
      </w:r>
      <w:r w:rsidR="00613045">
        <w:rPr>
          <w:color w:val="000000"/>
          <w:lang w:eastAsia="en-US"/>
        </w:rPr>
        <w:t xml:space="preserve"> (See also L</w:t>
      </w:r>
      <w:r w:rsidRPr="00FC0D25">
        <w:rPr>
          <w:color w:val="000000"/>
          <w:lang w:eastAsia="en-US"/>
        </w:rPr>
        <w:t xml:space="preserve">egal </w:t>
      </w:r>
      <w:r w:rsidR="00613045">
        <w:rPr>
          <w:color w:val="000000"/>
          <w:lang w:eastAsia="en-US"/>
        </w:rPr>
        <w:t>C</w:t>
      </w:r>
      <w:r w:rsidRPr="00FC0D25">
        <w:rPr>
          <w:color w:val="000000"/>
          <w:lang w:eastAsia="en-US"/>
        </w:rPr>
        <w:t>apacity)</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rPr>
      </w:pPr>
      <w:r w:rsidRPr="00FC0D25">
        <w:rPr>
          <w:rFonts w:eastAsia="Calibri"/>
          <w:color w:val="000000"/>
          <w:lang w:eastAsia="en-US"/>
        </w:rPr>
        <w:lastRenderedPageBreak/>
        <w:t>State and territory guardianship legislation and some other child protection acts</w:t>
      </w:r>
      <w:r w:rsidRPr="00FC0D25">
        <w:rPr>
          <w:rFonts w:eastAsia="Calibri"/>
          <w:color w:val="000000"/>
          <w:vertAlign w:val="superscript"/>
          <w:lang w:eastAsia="en-US"/>
        </w:rPr>
        <w:footnoteReference w:id="105"/>
      </w:r>
      <w:r w:rsidRPr="00FC0D25">
        <w:rPr>
          <w:rFonts w:eastAsia="Calibri"/>
          <w:color w:val="000000"/>
          <w:lang w:eastAsia="en-US"/>
        </w:rPr>
        <w:t xml:space="preserve"> regulate and provide a degree of protection from non-therapeutic sterilisation for all children and young people and adults with disability or </w:t>
      </w:r>
      <w:r w:rsidRPr="00FC0D25">
        <w:rPr>
          <w:color w:val="000000"/>
          <w:lang w:eastAsia="en-US"/>
        </w:rPr>
        <w:t>intersex variation</w:t>
      </w:r>
      <w:r w:rsidRPr="00FC0D25">
        <w:rPr>
          <w:rFonts w:eastAsia="Calibri"/>
          <w:color w:val="000000"/>
          <w:lang w:eastAsia="en-US"/>
        </w:rPr>
        <w:t>. However there is no law in</w:t>
      </w:r>
      <w:r w:rsidRPr="00FC0D25">
        <w:rPr>
          <w:color w:val="000000"/>
          <w:lang w:eastAsia="en-US"/>
        </w:rPr>
        <w:t xml:space="preserve"> Australia that explicitly prohibits non-therapeutic sterilisation of children except in circumstances where there is a serious threat to health or life; or that prohibits non-therapeutic sterilisation of adults without their full and informed consent except in circumstances where there is a serious threat to health or life.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rPr>
      </w:pPr>
      <w:r w:rsidRPr="00FC0D25">
        <w:rPr>
          <w:color w:val="000000"/>
          <w:lang w:eastAsia="en-US"/>
        </w:rPr>
        <w:t>The ongoing practice of non-therapeutic sterilisation has been identified as a form of torture by the UN Special Rapporteur on Torture,</w:t>
      </w:r>
      <w:r w:rsidRPr="00FC0D25">
        <w:rPr>
          <w:color w:val="000000"/>
          <w:vertAlign w:val="superscript"/>
          <w:lang w:eastAsia="en-US"/>
        </w:rPr>
        <w:footnoteReference w:id="106"/>
      </w:r>
      <w:r w:rsidRPr="00FC0D25">
        <w:rPr>
          <w:color w:val="000000"/>
          <w:lang w:eastAsia="en-US"/>
        </w:rPr>
        <w:t xml:space="preserve"> and as a form of violence by the UN Committee on the Rights of the Child (CRC).</w:t>
      </w:r>
      <w:r w:rsidRPr="00FC0D25">
        <w:rPr>
          <w:color w:val="000000"/>
          <w:vertAlign w:val="superscript"/>
          <w:lang w:eastAsia="en-US"/>
        </w:rPr>
        <w:footnoteReference w:id="107"/>
      </w:r>
      <w:r w:rsidRPr="00FC0D25">
        <w:rPr>
          <w:color w:val="000000"/>
          <w:lang w:eastAsia="en-US"/>
        </w:rPr>
        <w:t xml:space="preserve"> Both the CRC Committee and the UN Committee on the Elimination of Discrimination against Women have made recommendations to Australia about prohibitions on non-therapeutic sterilisation.</w:t>
      </w:r>
      <w:r w:rsidRPr="00FC0D25">
        <w:rPr>
          <w:color w:val="000000"/>
          <w:vertAlign w:val="superscript"/>
          <w:lang w:eastAsia="en-US"/>
        </w:rPr>
        <w:footnoteReference w:id="108"/>
      </w:r>
      <w:r w:rsidRPr="00FC0D25">
        <w:rPr>
          <w:color w:val="000000"/>
          <w:lang w:eastAsia="en-US"/>
        </w:rPr>
        <w:t xml:space="preserve"> This has been followed by similar recommendations from the Human Rights Council as an outcome of the Universal Periodic Review (UPR) of Australia.</w:t>
      </w:r>
      <w:r w:rsidRPr="00FC0D25">
        <w:rPr>
          <w:color w:val="000000"/>
          <w:vertAlign w:val="superscript"/>
          <w:lang w:eastAsia="en-US"/>
        </w:rPr>
        <w:footnoteReference w:id="109"/>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73690C"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rPr>
      </w:pPr>
      <w:r w:rsidRPr="00FC0D25">
        <w:rPr>
          <w:color w:val="000000"/>
          <w:lang w:eastAsia="en-US"/>
        </w:rPr>
        <w:t>Australia has partly accepted the UPR recommendation and included the issue in its draft National Human Rights Action Plan. However, the action included in the draft Action Plan is under a section relating to ‘legal capacity’, and emphasises work with state and territory governments to improve laws and practices governing sterilisation. This raises concerns that the substance of the UPR recommendations and the comprehensive law reform required to protect against this human rights violation will not be addressed.</w:t>
      </w:r>
    </w:p>
    <w:p w:rsidR="0073690C" w:rsidRPr="00FC0D25" w:rsidRDefault="00736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 xml:space="preserve">Case Study: In 2010, the Family Court of Australia gave permission for a hysterectomy to be performed on an 11 year old girl who has </w:t>
      </w:r>
      <w:proofErr w:type="spellStart"/>
      <w:r w:rsidRPr="00FC0D25">
        <w:rPr>
          <w:b/>
          <w:i/>
          <w:color w:val="002060"/>
          <w:lang w:eastAsia="en-US"/>
        </w:rPr>
        <w:t>Rett</w:t>
      </w:r>
      <w:proofErr w:type="spellEnd"/>
      <w:r w:rsidRPr="00FC0D25">
        <w:rPr>
          <w:b/>
          <w:i/>
          <w:color w:val="002060"/>
          <w:lang w:eastAsia="en-US"/>
        </w:rPr>
        <w:t xml:space="preserve"> syndrome and is unable to communicate. The girl started menstruating at the age of 9 and it was argued that her menstruation cycles induced epileptic seizures. The decision of the Court grants the girl’s parents authority to proceed with the sterilisation procedure on their daughter.</w:t>
      </w:r>
      <w:r w:rsidRPr="00FC0D25">
        <w:rPr>
          <w:b/>
          <w:i/>
          <w:color w:val="002060"/>
          <w:vertAlign w:val="superscript"/>
          <w:lang w:eastAsia="en-US"/>
        </w:rPr>
        <w:footnoteReference w:id="110"/>
      </w:r>
      <w:r w:rsidRPr="00FC0D25">
        <w:rPr>
          <w:b/>
          <w:i/>
          <w:color w:val="002060"/>
          <w:lang w:eastAsia="en-US"/>
        </w:rPr>
        <w:t xml:space="preserve"> The Court did not provide for independent human rights or advocacy </w:t>
      </w:r>
      <w:r w:rsidRPr="00FC0D25">
        <w:rPr>
          <w:b/>
          <w:i/>
          <w:color w:val="002060"/>
          <w:lang w:eastAsia="en-US"/>
        </w:rPr>
        <w:lastRenderedPageBreak/>
        <w:t>advice or evidence on this matter. Evidence provided to the Court included matters relating to the benefit the procedure would have for the caring role of the mother, and for the pain and heaviness of the girl’s menstrual period. The presiding justice in this case said the procedure was “urgent and necessary...she is never going to have a normal teenage and adult life”.</w:t>
      </w:r>
      <w:r w:rsidRPr="00FC0D25">
        <w:rPr>
          <w:b/>
          <w:i/>
          <w:color w:val="002060"/>
          <w:vertAlign w:val="superscript"/>
          <w:lang w:eastAsia="en-US"/>
        </w:rPr>
        <w:footnoteReference w:id="111"/>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eastAsia="en-US"/>
        </w:rPr>
      </w:pPr>
      <w:bookmarkStart w:id="42" w:name="_Toc401341194"/>
      <w:r w:rsidRPr="0093790C">
        <w:rPr>
          <w:b/>
          <w:bCs/>
          <w:caps/>
          <w:color w:val="244061"/>
          <w:kern w:val="28"/>
          <w:lang w:eastAsia="en-US"/>
        </w:rPr>
        <w:t xml:space="preserve">6.1 </w:t>
      </w:r>
      <w:r w:rsidRPr="0093790C">
        <w:rPr>
          <w:b/>
          <w:bCs/>
          <w:caps/>
          <w:color w:val="244061"/>
          <w:kern w:val="28"/>
          <w:lang w:val="x-none" w:eastAsia="en-US"/>
        </w:rPr>
        <w:t xml:space="preserve">Senate Inquiry into involuntary sterilisation </w:t>
      </w:r>
      <w:r w:rsidRPr="0093790C">
        <w:rPr>
          <w:b/>
          <w:bCs/>
          <w:caps/>
          <w:color w:val="244061"/>
          <w:kern w:val="28"/>
          <w:lang w:eastAsia="en-US"/>
        </w:rPr>
        <w:t>of people with disability</w:t>
      </w:r>
      <w:bookmarkEnd w:id="42"/>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In September 2012 the Senate Community Affairs References Committee commenced an Inquiry into the involuntary or coerced sterilisation of people with disability in Australia, and released the Inquiry Report in July 2013.</w:t>
      </w:r>
      <w:r w:rsidRPr="00FC0D25">
        <w:rPr>
          <w:color w:val="000000"/>
          <w:vertAlign w:val="superscript"/>
          <w:lang w:eastAsia="en-US"/>
        </w:rPr>
        <w:footnoteReference w:id="112"/>
      </w:r>
      <w:r w:rsidRPr="00FC0D25">
        <w:rPr>
          <w:color w:val="000000"/>
          <w:lang w:eastAsia="en-US"/>
        </w:rPr>
        <w:t xml:space="preserve"> The Australian government is to be congratulated for commissioning the Inquiry, and for ensuring that people with disability, particularly women with disability, were able to participate in the Inquiry and express their views.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Although several of the Report’s recommendations are welcomed - particularly those emphasising the need for reproductive and sexual health education, training and support for people with disability, the medical workforce, judicial and legal officers - it is deeply alarming that the Inquiry recommendations, if accepted by the Australian government, would permit the practice of forced and coerced sterilisation of children and adults with disability to continue in Australia.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Critically, the Report recommends that national uniform legislation be developed to regulate sterilisation of children and adults with disability, rather than to prohibit the practice, as has been recommended to Australia by international human rights treaty bodies, UN special procedures, and international medical bodies since 2005.</w:t>
      </w:r>
      <w:r w:rsidRPr="00FC0D25">
        <w:rPr>
          <w:color w:val="000000"/>
          <w:vertAlign w:val="superscript"/>
          <w:lang w:eastAsia="en-US"/>
        </w:rPr>
        <w:footnoteReference w:id="113"/>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Report recommends that for an adult with disability who has the ‘capacity’ to consent, sterilisation should be banned unless undertaken with that consent.  However, based on Australia’s Interpretative Declaration in respect of Article 12 of the CRPD, the report also recommends that where a person with disability does not have ‘capacity’ for consent, substitute decision-making laws and procedures may permit the sterilisation of persons with disability.  The report </w:t>
      </w:r>
      <w:r w:rsidRPr="00FC0D25">
        <w:rPr>
          <w:color w:val="000000"/>
          <w:lang w:eastAsia="en-US"/>
        </w:rPr>
        <w:lastRenderedPageBreak/>
        <w:t>further recommends that the financial costs incurred by parents or guardians in child sterilisation cases be covered by legal aid, which could in fact; make it easier rather than more difficult, for sterilisation procedures to be sought.</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If the Australian government accepts the recommendations of the Senate Inquiry, it will mean that it remains of the view that it is an acceptable practice to sterilise children and adults with disability, provided that they ‘lack capacity’ and that the procedure is in their ‘best interest’, as determined by a third party.</w:t>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43" w:name="_Toc401341195"/>
      <w:r w:rsidRPr="0093790C">
        <w:rPr>
          <w:b/>
          <w:bCs/>
          <w:caps/>
          <w:color w:val="244061"/>
          <w:kern w:val="28"/>
          <w:lang w:val="x-none" w:eastAsia="en-US"/>
        </w:rPr>
        <w:t xml:space="preserve">6.2 involuntary treatment </w:t>
      </w:r>
      <w:r w:rsidRPr="0093790C">
        <w:rPr>
          <w:b/>
          <w:bCs/>
          <w:caps/>
          <w:color w:val="244061"/>
          <w:kern w:val="28"/>
          <w:lang w:eastAsia="en-US"/>
        </w:rPr>
        <w:t xml:space="preserve">of </w:t>
      </w:r>
      <w:r w:rsidRPr="0093790C">
        <w:rPr>
          <w:b/>
          <w:bCs/>
          <w:caps/>
          <w:color w:val="244061"/>
          <w:kern w:val="28"/>
          <w:lang w:val="x-none" w:eastAsia="en-US"/>
        </w:rPr>
        <w:t>persons with intersex variations</w:t>
      </w:r>
      <w:bookmarkEnd w:id="43"/>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Involuntary or coerced treatment of infants and children with intersex variations in the form of ‘sex normalising’ surgery occurs in Australia.   The Special Rapporteur on Torture has stated that “medical treatments of an intrusive and irreversible nature… when aimed at correcting or alleviating a disability, may constitute ill-treatment when administered without free and informed consent”.</w:t>
      </w:r>
      <w:r w:rsidRPr="00FC0D25">
        <w:rPr>
          <w:color w:val="000000"/>
          <w:vertAlign w:val="superscript"/>
          <w:lang w:eastAsia="en-US"/>
        </w:rPr>
        <w:footnoteReference w:id="114"/>
      </w:r>
      <w:r w:rsidRPr="00FC0D25">
        <w:rPr>
          <w:color w:val="000000"/>
          <w:lang w:eastAsia="en-US"/>
        </w:rPr>
        <w:t xml:space="preserve"> He has also previously stated that “state-sponsored forcible … hormone therapy and genital-normalizing surgeries under the guise of so called “reparative therapies”… are rarely medically necessary, can cause scarring, loss of sexual sensation, pain, incontinence and lifelong depression and have also been criticized as being unscientific, potentially harmful and contributing to stigma</w:t>
      </w:r>
      <w:r w:rsidRPr="00FC0D25">
        <w:rPr>
          <w:color w:val="000000"/>
          <w:vertAlign w:val="superscript"/>
          <w:lang w:eastAsia="en-US"/>
        </w:rPr>
        <w:footnoteReference w:id="115"/>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szCs w:val="20"/>
          <w:lang w:eastAsia="en-US"/>
        </w:rPr>
        <w:t xml:space="preserve">In 2012 the Senate Community Affairs References Committee also inquired into the involuntary or coerced sterilisation of intersex people in Australia; publishing its findings in October 2013.  The Inquiry confirmed that “sex normalizing” and sterilisation treatments occur in Australia and found aspects of current clinical practice </w:t>
      </w:r>
      <w:r w:rsidR="00B970B1">
        <w:rPr>
          <w:color w:val="000000"/>
          <w:szCs w:val="20"/>
          <w:lang w:eastAsia="en-US"/>
        </w:rPr>
        <w:t xml:space="preserve">regarding the </w:t>
      </w:r>
      <w:r w:rsidRPr="00FC0D25">
        <w:rPr>
          <w:color w:val="000000"/>
          <w:szCs w:val="20"/>
          <w:lang w:eastAsia="en-US"/>
        </w:rPr>
        <w:t>“disturbing”</w:t>
      </w:r>
      <w:bookmarkStart w:id="44" w:name="_Ref274083291"/>
      <w:r w:rsidR="00613045" w:rsidRPr="00FC0D25">
        <w:rPr>
          <w:color w:val="000000"/>
          <w:szCs w:val="20"/>
          <w:vertAlign w:val="superscript"/>
          <w:lang w:eastAsia="en-US"/>
        </w:rPr>
        <w:footnoteReference w:id="116"/>
      </w:r>
      <w:bookmarkEnd w:id="44"/>
      <w:r w:rsidRPr="00FC0D25">
        <w:rPr>
          <w:color w:val="000000"/>
          <w:szCs w:val="2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szCs w:val="20"/>
          <w:lang w:eastAsia="en-US"/>
        </w:rPr>
      </w:pPr>
    </w:p>
    <w:p w:rsidR="0073690C" w:rsidRPr="00B970B1"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szCs w:val="20"/>
          <w:lang w:eastAsia="en-US"/>
        </w:rPr>
        <w:t>The Committee found that considerations around cancer risk were contributing to decisions relating to  sex assignments at birth, and that there was a lack of objective data on what constitutes “normal” genitalia supporting the view that ‘’there is no medical consensus around the conduct of normalising surgery”,</w:t>
      </w:r>
      <w:r w:rsidRPr="00FC0D25">
        <w:rPr>
          <w:color w:val="000000"/>
          <w:szCs w:val="20"/>
          <w:vertAlign w:val="superscript"/>
          <w:lang w:eastAsia="en-US"/>
        </w:rPr>
        <w:fldChar w:fldCharType="begin"/>
      </w:r>
      <w:r w:rsidRPr="00FC0D25">
        <w:rPr>
          <w:color w:val="000000"/>
          <w:szCs w:val="20"/>
          <w:vertAlign w:val="superscript"/>
          <w:lang w:eastAsia="en-US"/>
        </w:rPr>
        <w:instrText xml:space="preserve"> NOTEREF _Ref274083291 \h  \* MERGEFORMAT </w:instrText>
      </w:r>
      <w:r w:rsidRPr="00FC0D25">
        <w:rPr>
          <w:color w:val="000000"/>
          <w:szCs w:val="20"/>
          <w:vertAlign w:val="superscript"/>
          <w:lang w:eastAsia="en-US"/>
        </w:rPr>
      </w:r>
      <w:r w:rsidRPr="00FC0D25">
        <w:rPr>
          <w:color w:val="000000"/>
          <w:szCs w:val="20"/>
          <w:vertAlign w:val="superscript"/>
          <w:lang w:eastAsia="en-US"/>
        </w:rPr>
        <w:fldChar w:fldCharType="separate"/>
      </w:r>
      <w:r w:rsidR="006B5D55">
        <w:rPr>
          <w:color w:val="000000"/>
          <w:szCs w:val="20"/>
          <w:vertAlign w:val="superscript"/>
          <w:lang w:eastAsia="en-US"/>
        </w:rPr>
        <w:t>116</w:t>
      </w:r>
      <w:r w:rsidRPr="00FC0D25">
        <w:rPr>
          <w:color w:val="000000"/>
          <w:szCs w:val="20"/>
          <w:vertAlign w:val="superscript"/>
          <w:lang w:eastAsia="en-US"/>
        </w:rPr>
        <w:fldChar w:fldCharType="end"/>
      </w:r>
      <w:r w:rsidRPr="00FC0D25">
        <w:rPr>
          <w:color w:val="000000"/>
          <w:szCs w:val="20"/>
          <w:lang w:eastAsia="en-US"/>
        </w:rPr>
        <w:t xml:space="preserve"> T</w:t>
      </w:r>
      <w:r w:rsidR="00613045">
        <w:rPr>
          <w:color w:val="000000"/>
          <w:szCs w:val="20"/>
          <w:lang w:eastAsia="en-US"/>
        </w:rPr>
        <w:t xml:space="preserve">he Committee acknowledged that </w:t>
      </w:r>
      <w:r w:rsidRPr="00FC0D25">
        <w:rPr>
          <w:color w:val="000000"/>
          <w:szCs w:val="20"/>
          <w:lang w:eastAsia="en-US"/>
        </w:rPr>
        <w:t>’sex normalising’ practices impacted upon the prohibition against torture and other cruel, inhuman and degrading treatment (including the prohibition against non-consensual scientific or medical experimentation)</w:t>
      </w:r>
      <w:r w:rsidRPr="00FC0D25">
        <w:rPr>
          <w:color w:val="000000"/>
          <w:szCs w:val="20"/>
          <w:vertAlign w:val="superscript"/>
          <w:lang w:eastAsia="en-US"/>
        </w:rPr>
        <w:fldChar w:fldCharType="begin"/>
      </w:r>
      <w:r w:rsidRPr="00FC0D25">
        <w:rPr>
          <w:color w:val="000000"/>
          <w:szCs w:val="20"/>
          <w:vertAlign w:val="superscript"/>
          <w:lang w:eastAsia="en-US"/>
        </w:rPr>
        <w:instrText xml:space="preserve"> NOTEREF _Ref274083291 \h  \* MERGEFORMAT </w:instrText>
      </w:r>
      <w:r w:rsidRPr="00FC0D25">
        <w:rPr>
          <w:color w:val="000000"/>
          <w:szCs w:val="20"/>
          <w:vertAlign w:val="superscript"/>
          <w:lang w:eastAsia="en-US"/>
        </w:rPr>
      </w:r>
      <w:r w:rsidRPr="00FC0D25">
        <w:rPr>
          <w:color w:val="000000"/>
          <w:szCs w:val="20"/>
          <w:vertAlign w:val="superscript"/>
          <w:lang w:eastAsia="en-US"/>
        </w:rPr>
        <w:fldChar w:fldCharType="separate"/>
      </w:r>
      <w:r w:rsidR="006B5D55">
        <w:rPr>
          <w:color w:val="000000"/>
          <w:szCs w:val="20"/>
          <w:vertAlign w:val="superscript"/>
          <w:lang w:eastAsia="en-US"/>
        </w:rPr>
        <w:t>116</w:t>
      </w:r>
      <w:r w:rsidRPr="00FC0D25">
        <w:rPr>
          <w:color w:val="000000"/>
          <w:szCs w:val="20"/>
          <w:vertAlign w:val="superscript"/>
          <w:lang w:eastAsia="en-US"/>
        </w:rPr>
        <w:fldChar w:fldCharType="end"/>
      </w:r>
      <w:r w:rsidRPr="00FC0D25">
        <w:rPr>
          <w:color w:val="000000"/>
          <w:szCs w:val="20"/>
          <w:lang w:eastAsia="en-US"/>
        </w:rPr>
        <w:t xml:space="preserve"> and made numerous recommendations for changes to clinical practices. To date the government has not responded to these.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b/>
          <w:color w:val="000000"/>
          <w:lang w:eastAsia="en-US"/>
        </w:rPr>
      </w:pPr>
      <w:r w:rsidRPr="00FC0D25">
        <w:rPr>
          <w:b/>
          <w:color w:val="000000"/>
          <w:lang w:eastAsia="en-US"/>
        </w:rPr>
        <w:lastRenderedPageBreak/>
        <w:t>RECOMMENDATIONS</w:t>
      </w:r>
    </w:p>
    <w:p w:rsidR="00FC0D25" w:rsidRPr="00FC0D25" w:rsidRDefault="00FC0D25" w:rsidP="002775DB">
      <w:pPr>
        <w:numPr>
          <w:ilvl w:val="0"/>
          <w:numId w:val="1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lang w:eastAsia="en-US"/>
        </w:rPr>
      </w:pPr>
      <w:r w:rsidRPr="00FC0D25">
        <w:rPr>
          <w:lang w:val="x-none" w:eastAsia="en-US"/>
        </w:rPr>
        <w:t>That Australia develops and enacts national uniform legislation prohibiting, except where there is a serious threat to life or health, the use of sterilisation of children, regardless of whether they have a disability, and of adults with disabilit</w:t>
      </w:r>
      <w:r w:rsidRPr="00FC0D25">
        <w:rPr>
          <w:lang w:eastAsia="en-US"/>
        </w:rPr>
        <w:t>y</w:t>
      </w:r>
      <w:r w:rsidRPr="00FC0D25">
        <w:rPr>
          <w:lang w:val="x-none" w:eastAsia="en-US"/>
        </w:rPr>
        <w:t xml:space="preserve"> </w:t>
      </w:r>
      <w:r w:rsidRPr="00FC0D25">
        <w:rPr>
          <w:lang w:eastAsia="en-US"/>
        </w:rPr>
        <w:t xml:space="preserve">or a child with intersex variation </w:t>
      </w:r>
      <w:r w:rsidRPr="00FC0D25">
        <w:rPr>
          <w:lang w:val="x-none" w:eastAsia="en-US"/>
        </w:rPr>
        <w:t xml:space="preserve">in the absence of their prior, fully informed and free consent. </w:t>
      </w:r>
    </w:p>
    <w:p w:rsidR="00FC0D25" w:rsidRPr="00FC0D25" w:rsidRDefault="00FC0D25" w:rsidP="002775DB">
      <w:pPr>
        <w:numPr>
          <w:ilvl w:val="0"/>
          <w:numId w:val="18"/>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lang w:eastAsia="en-US"/>
        </w:rPr>
      </w:pPr>
      <w:r w:rsidRPr="00FC0D25">
        <w:rPr>
          <w:lang w:eastAsia="en-US"/>
        </w:rPr>
        <w:t xml:space="preserve">That Australia develops and enacts legislation prohibiting </w:t>
      </w:r>
      <w:r w:rsidR="00B970B1">
        <w:rPr>
          <w:lang w:eastAsia="en-US"/>
        </w:rPr>
        <w:t>non-medically necessary</w:t>
      </w:r>
      <w:r w:rsidRPr="00FC0D25">
        <w:rPr>
          <w:lang w:eastAsia="en-US"/>
        </w:rPr>
        <w:t xml:space="preserve"> genital and hormonal interventions on people with intersex variations without </w:t>
      </w:r>
      <w:r w:rsidRPr="00FC0D25">
        <w:rPr>
          <w:lang w:val="x-none" w:eastAsia="en-US"/>
        </w:rPr>
        <w:t xml:space="preserve">fully informed and free </w:t>
      </w:r>
      <w:r w:rsidRPr="00FC0D25">
        <w:rPr>
          <w:lang w:eastAsia="en-US"/>
        </w:rPr>
        <w:t>informed consent.</w:t>
      </w:r>
      <w:bookmarkEnd w:id="18"/>
      <w:bookmarkEnd w:id="19"/>
      <w:bookmarkEnd w:id="20"/>
      <w:bookmarkEnd w:id="21"/>
    </w:p>
    <w:p w:rsidR="00FC0D25" w:rsidRPr="00FC0D25"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45" w:name="_Toc401341196"/>
      <w:bookmarkStart w:id="46" w:name="_Toc265235222"/>
      <w:bookmarkStart w:id="47" w:name="_Toc265235336"/>
      <w:bookmarkStart w:id="48" w:name="_Toc265235442"/>
      <w:bookmarkStart w:id="49" w:name="_Ref267675047"/>
      <w:bookmarkStart w:id="50" w:name="_Toc267997709"/>
      <w:bookmarkStart w:id="51" w:name="_Toc268014127"/>
      <w:bookmarkStart w:id="52" w:name="_Toc300242262"/>
      <w:bookmarkStart w:id="53" w:name="_Toc300242614"/>
      <w:bookmarkStart w:id="54" w:name="_Toc300566859"/>
      <w:bookmarkStart w:id="55" w:name="_Toc300671541"/>
      <w:bookmarkStart w:id="56" w:name="_Toc315244878"/>
      <w:r w:rsidRPr="00FC0D25">
        <w:rPr>
          <w:b/>
          <w:bCs/>
          <w:caps/>
          <w:color w:val="244061"/>
          <w:kern w:val="28"/>
          <w:lang w:val="x-none" w:eastAsia="en-US"/>
        </w:rPr>
        <w:t>INDEFINITE DETENTION</w:t>
      </w:r>
      <w:bookmarkEnd w:id="45"/>
      <w:r w:rsidRPr="00FC0D25">
        <w:rPr>
          <w:b/>
          <w:bCs/>
          <w:caps/>
          <w:color w:val="244061"/>
          <w:kern w:val="28"/>
          <w:lang w:val="x-none" w:eastAsia="en-US"/>
        </w:rPr>
        <w:t xml:space="preserve">  </w:t>
      </w: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b/>
          <w:lang w:eastAsia="en-US"/>
        </w:rPr>
      </w:pPr>
      <w:r w:rsidRPr="00FC0D25">
        <w:rPr>
          <w:color w:val="000000"/>
          <w:lang w:val="en-US"/>
        </w:rPr>
        <w:t>There is a lack of appropriate accommodation, therapeutic and disability support options available for people with disability who are deemed unfit to stand trial due to an intellectual, cognitive or psychosocial disability</w:t>
      </w:r>
      <w:r w:rsidRPr="00FC0D25">
        <w:rPr>
          <w:color w:val="000000"/>
          <w:sz w:val="22"/>
          <w:szCs w:val="20"/>
          <w:vertAlign w:val="superscript"/>
          <w:lang w:eastAsia="en-US"/>
        </w:rPr>
        <w:footnoteReference w:id="117"/>
      </w:r>
      <w:r w:rsidRPr="00FC0D25">
        <w:rPr>
          <w:color w:val="000000"/>
          <w:lang w:val="en-US"/>
        </w:rPr>
        <w:t>.  As a result, they can be detained indefinitely in prisons or psychiatric facilities without being convicted of a crime, and for periods that can significantly exceed the maximum period of custodial sentence for the offence</w:t>
      </w:r>
      <w:r w:rsidRPr="00FC0D25">
        <w:rPr>
          <w:color w:val="000000"/>
          <w:vertAlign w:val="superscript"/>
          <w:lang w:eastAsia="en-US"/>
        </w:rPr>
        <w:footnoteReference w:id="118"/>
      </w:r>
      <w:r w:rsidRPr="00FC0D25">
        <w:rPr>
          <w:color w:val="000000"/>
          <w:lang w:val="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b/>
          <w:lang w:eastAsia="en-US"/>
        </w:rPr>
      </w:pPr>
    </w:p>
    <w:p w:rsidR="00FC0D25" w:rsidRPr="0073690C"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b/>
          <w:lang w:eastAsia="en-US"/>
        </w:rPr>
      </w:pPr>
      <w:r w:rsidRPr="00FC0D25">
        <w:rPr>
          <w:color w:val="000000"/>
          <w:lang w:eastAsia="en-US"/>
        </w:rPr>
        <w:t>In 2008 the CAT Committee recommended that Australia urgently end the unwarranted use of prisons for the management of unconvicted people with disability, particularly Aboriginal and Torres Strait Islander people with disability</w:t>
      </w:r>
      <w:r w:rsidRPr="00FC0D25">
        <w:rPr>
          <w:color w:val="000000"/>
          <w:vertAlign w:val="superscript"/>
          <w:lang w:eastAsia="en-US"/>
        </w:rPr>
        <w:footnoteReference w:id="119"/>
      </w:r>
      <w:r w:rsidRPr="00FC0D25">
        <w:rPr>
          <w:color w:val="000000"/>
          <w:lang w:eastAsia="en-US"/>
        </w:rPr>
        <w:t>. However, this practice of arbitrary detention continues and remains disproportionately experienced by Aboriginal and Torres Strait Islander peoples with disability in significant numbers.</w:t>
      </w:r>
      <w:r w:rsidRPr="00FC0D25">
        <w:rPr>
          <w:color w:val="000000"/>
          <w:sz w:val="22"/>
          <w:szCs w:val="20"/>
          <w:vertAlign w:val="superscript"/>
          <w:lang w:eastAsia="en-US"/>
        </w:rPr>
        <w:footnoteReference w:id="120"/>
      </w:r>
      <w:r w:rsidRPr="00FC0D25">
        <w:rPr>
          <w:color w:val="000000"/>
          <w:lang w:eastAsia="en-US"/>
        </w:rPr>
        <w:t xml:space="preserve"> The inherent discrimination is compounded by the fact that the Australian constitution still does not recognise Aboriginal and Torres Strait Island people and contains racial discr</w:t>
      </w:r>
      <w:r w:rsidR="005F5398">
        <w:rPr>
          <w:color w:val="000000"/>
          <w:lang w:eastAsia="en-US"/>
        </w:rPr>
        <w:t>iminatory provisions (See also Legal Capacity, Restrictive P</w:t>
      </w:r>
      <w:r w:rsidRPr="00FC0D25">
        <w:rPr>
          <w:color w:val="000000"/>
          <w:lang w:eastAsia="en-US"/>
        </w:rPr>
        <w:t>ractices)</w:t>
      </w:r>
    </w:p>
    <w:p w:rsidR="0073690C" w:rsidRPr="00FC0D25" w:rsidRDefault="00736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b/>
          <w:lang w:eastAsia="en-US"/>
        </w:rPr>
      </w:pPr>
    </w:p>
    <w:p w:rsid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20"/>
        <w:jc w:val="both"/>
        <w:rPr>
          <w:b/>
          <w:i/>
          <w:color w:val="002060"/>
          <w:lang w:eastAsia="en-US"/>
        </w:rPr>
      </w:pPr>
      <w:r w:rsidRPr="00FC0D25">
        <w:rPr>
          <w:b/>
          <w:i/>
          <w:color w:val="002060"/>
          <w:lang w:eastAsia="en-US"/>
        </w:rPr>
        <w:t xml:space="preserve">Case Study: Mr N. is an Aboriginal man with intellectual disability. He spent ten years in a Western Australian prison without ever being found guilty of a crime. Mr N. was charged with sexually assaulting two girls in 2001, but has never faced trial after he was deemed ‘unfit to plead’. His lawyer estimates that if he had been convicted he would have only served about five years in prison. There appears to be no evidence that the crimes he was charged with ever actually occurred. He was released in January 2012 under stringent conditions that limit his ability to lead a </w:t>
      </w:r>
      <w:r w:rsidRPr="00FC0D25">
        <w:rPr>
          <w:b/>
          <w:i/>
          <w:color w:val="002060"/>
          <w:lang w:eastAsia="en-US"/>
        </w:rPr>
        <w:lastRenderedPageBreak/>
        <w:t>normal life in the community, despite never being convicted of the crime he was charged with.</w:t>
      </w:r>
      <w:r w:rsidRPr="00FC0D25">
        <w:rPr>
          <w:b/>
          <w:i/>
          <w:color w:val="002060"/>
          <w:vertAlign w:val="superscript"/>
          <w:lang w:eastAsia="en-US"/>
        </w:rPr>
        <w:footnoteReference w:id="121"/>
      </w:r>
    </w:p>
    <w:p w:rsidR="0073690C" w:rsidRPr="00FC0D25" w:rsidRDefault="0073690C"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b/>
          <w:i/>
          <w:color w:val="00206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val="en-US"/>
        </w:rPr>
      </w:pPr>
      <w:r w:rsidRPr="00FC0D25">
        <w:rPr>
          <w:color w:val="000000"/>
          <w:lang w:eastAsia="en-US"/>
        </w:rPr>
        <w:t xml:space="preserve">The practice of indefinite incarceration in prison (or sometimes in psychiatric facilities) occurs across Australia but is most prevalent in Queensland, Western Australia and the Northern Territory. </w:t>
      </w:r>
      <w:r w:rsidRPr="00FC0D25">
        <w:rPr>
          <w:color w:val="000000"/>
          <w:lang w:val="en-US"/>
        </w:rPr>
        <w:t xml:space="preserve">The current response in the Northern Territory and Western Australia has been to build Disability Justice Centre, and in Queensland to detain people in its Forensic Disability Service and highly restrictive ‘community based treatment settings’.  However, these facilities still operate as institutional places of detention.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val="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val="en-US"/>
        </w:rPr>
      </w:pPr>
      <w:r w:rsidRPr="00FC0D25">
        <w:rPr>
          <w:color w:val="000000"/>
          <w:lang w:val="en-US"/>
        </w:rPr>
        <w:t xml:space="preserve">The congregation of unconvicted people with disability in this way can increase stigma and community perceptions of dangerousness.  It is also well documented that the institutional congregation of people with disability intensifies the risk of restrictive practices, violence, and abuse. The development of this new form of institution for people with disability is alarming and discriminatory. It also heightens the imperative for Australia to implement a robust oversight mechanism to monitor places of detention such as the model provided by OPCAT and address the use of restrictive practices such as solitary confinement, chemical and physical restraint used in these environments. </w:t>
      </w:r>
    </w:p>
    <w:p w:rsidR="0073690C" w:rsidRPr="00FC0D25" w:rsidRDefault="00736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val="en-US"/>
        </w:rPr>
      </w:pPr>
    </w:p>
    <w:p w:rsidR="0093790C"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val="en-US"/>
        </w:rPr>
      </w:pPr>
      <w:r w:rsidRPr="00FC0D25">
        <w:rPr>
          <w:b/>
          <w:i/>
          <w:color w:val="002060"/>
          <w:lang w:val="en-US"/>
        </w:rPr>
        <w:t>Case Study: James is 24 and has acquired brain injury.  He has been ordered to live in a ‘community forensic facility’ after being found unfit to plead to a charge of assault.  The ‘duplex’ where he lives is on the same grounds as the prison and he lives there alone, his only regular contact being with the staff who monitor the 24 hour surveillance from the observation window.   A cage covers the small outside yard and windows and doors are locked, including the bathroom so he must request permission to use the toilet, shower or to get water. The duplex contains one table and bench bolted to the floor and a bed.  James has no visitors as his parents live hours away, he has little opportunity to exercise and there are no recreational opportunities - he has no books, TV, radio or computer to maintain contact with the outside world. He told his advocate, ‘’I don’t understand why I’m here, I’d rather be in prison’</w:t>
      </w:r>
      <w:bookmarkStart w:id="57" w:name="_Toc265567934"/>
      <w:bookmarkStart w:id="58" w:name="_Toc265645940"/>
      <w:bookmarkStart w:id="59" w:name="_Toc265646534"/>
      <w:bookmarkStart w:id="60" w:name="_Toc266098027"/>
      <w:bookmarkStart w:id="61" w:name="_Toc267636384"/>
      <w:bookmarkStart w:id="62" w:name="_Toc268014133"/>
      <w:bookmarkStart w:id="63" w:name="_Toc300242268"/>
      <w:bookmarkStart w:id="64" w:name="_Toc300242620"/>
      <w:bookmarkStart w:id="65" w:name="_Toc331685850"/>
      <w:r w:rsidRPr="00FC0D25">
        <w:rPr>
          <w:b/>
          <w:i/>
          <w:color w:val="002060"/>
          <w:vertAlign w:val="superscript"/>
          <w:lang w:val="en-US"/>
        </w:rPr>
        <w:footnoteReference w:id="122"/>
      </w:r>
    </w:p>
    <w:p w:rsidR="00FC0D25" w:rsidRPr="0073690C"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b/>
          <w:color w:val="002060"/>
          <w:lang w:val="en-US"/>
        </w:rPr>
      </w:pPr>
      <w:r w:rsidRPr="00FC0D25">
        <w:rPr>
          <w:color w:val="000000"/>
          <w:lang w:eastAsia="en-US"/>
        </w:rPr>
        <w:t>Arbitrary Arrest and Detention</w:t>
      </w:r>
      <w:bookmarkEnd w:id="57"/>
      <w:bookmarkEnd w:id="58"/>
      <w:bookmarkEnd w:id="59"/>
      <w:bookmarkEnd w:id="60"/>
      <w:bookmarkEnd w:id="61"/>
      <w:bookmarkEnd w:id="62"/>
      <w:bookmarkEnd w:id="63"/>
      <w:bookmarkEnd w:id="64"/>
      <w:r w:rsidRPr="00FC0D25">
        <w:rPr>
          <w:color w:val="000000"/>
          <w:lang w:eastAsia="en-US"/>
        </w:rPr>
        <w:t xml:space="preserve"> </w:t>
      </w:r>
      <w:bookmarkEnd w:id="65"/>
      <w:r w:rsidRPr="00FC0D25">
        <w:rPr>
          <w:color w:val="000000"/>
          <w:lang w:eastAsia="en-US"/>
        </w:rPr>
        <w:t>Reports indicate that people with disability, particularly those with cognitive impairment are more likely to be questioned, arrested and detained by police for minor public order matters. Police are more likely to inappropriately respond to people with cognitive impairment if they are viewed as having ‘challenging behaviour’.</w:t>
      </w:r>
      <w:r w:rsidRPr="00FC0D25">
        <w:rPr>
          <w:color w:val="000000"/>
          <w:vertAlign w:val="superscript"/>
          <w:lang w:eastAsia="en-US"/>
        </w:rPr>
        <w:footnoteReference w:id="123"/>
      </w:r>
      <w:r w:rsidRPr="00FC0D25">
        <w:rPr>
          <w:color w:val="000000"/>
          <w:lang w:eastAsia="en-US"/>
        </w:rPr>
        <w:t xml:space="preserve"> Arbitrary arrest and detention often based on disability discrimination also arise in these circumstances. </w:t>
      </w:r>
    </w:p>
    <w:p w:rsidR="0073690C" w:rsidRPr="00FC0D25" w:rsidRDefault="00736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b/>
          <w:color w:val="002060"/>
          <w:lang w:val="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lang w:eastAsia="en-US"/>
        </w:rPr>
      </w:pPr>
      <w:r w:rsidRPr="00FC0D25">
        <w:rPr>
          <w:b/>
          <w:i/>
          <w:color w:val="002060"/>
          <w:lang w:eastAsia="en-US"/>
        </w:rPr>
        <w:t>Case Study: Sarah is in her 50s and has a psychosocial disability. Sarah was unlawfully arrested and falsely imprisoned by the police who had mistaken her identity. The arrest proceeded despite Sarah’s repeated attempts to identify herself and despite the fact that she was well known to local police and there was no warrant or provision of a reason for arrest. Sarah was forced to change in front of the arresting officer and placed in the police wagon despite pleas that she had a broken arm and was recovering from facial reconstruction (due to abuse by her former partner). All this was done in front of Sarah’s seven year old son and no alternative care was arranged for his protection. Once in a holding cell Sarah had a panic attack and requested her asthma puffer and other prescribed medication that was initially refused. Sarah was told she would have to remain in the cell until the next court date in four days’ time. Sarah was not offered or provided with access to legal counsel and was denied bail. Finally it became apparent to the police that Sarah blatantly didn’t fit the description of the wanted individual and was released. She is now terrified of the police.</w:t>
      </w:r>
      <w:r w:rsidRPr="00FC0D25">
        <w:rPr>
          <w:b/>
          <w:i/>
          <w:color w:val="002060"/>
          <w:vertAlign w:val="superscript"/>
          <w:lang w:eastAsia="en-US"/>
        </w:rPr>
        <w:footnoteReference w:id="124"/>
      </w:r>
      <w:r w:rsidRPr="00FC0D25">
        <w:rPr>
          <w:b/>
          <w:i/>
          <w:color w:val="002060"/>
          <w:lang w:eastAsia="en-US"/>
        </w:rPr>
        <w:t xml:space="preserve"> </w:t>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66" w:name="_Toc401341197"/>
      <w:r w:rsidRPr="0093790C">
        <w:rPr>
          <w:b/>
          <w:bCs/>
          <w:caps/>
          <w:color w:val="244061"/>
          <w:kern w:val="28"/>
          <w:lang w:eastAsia="en-US"/>
        </w:rPr>
        <w:t xml:space="preserve">7.1 </w:t>
      </w:r>
      <w:r w:rsidRPr="0093790C">
        <w:rPr>
          <w:b/>
          <w:bCs/>
          <w:caps/>
          <w:color w:val="244061"/>
          <w:kern w:val="28"/>
          <w:lang w:val="x-none" w:eastAsia="en-US"/>
        </w:rPr>
        <w:t>overrepresentation of people with disability in prison</w:t>
      </w:r>
      <w:bookmarkEnd w:id="66"/>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In the CAT Committee’s 2008 Concluding Observations to Australia,</w:t>
      </w:r>
      <w:r w:rsidRPr="00FC0D25">
        <w:rPr>
          <w:color w:val="000000"/>
          <w:vertAlign w:val="superscript"/>
          <w:lang w:eastAsia="en-US"/>
        </w:rPr>
        <w:footnoteReference w:id="125"/>
      </w:r>
      <w:r w:rsidRPr="00FC0D25">
        <w:rPr>
          <w:color w:val="000000"/>
          <w:lang w:eastAsia="en-US"/>
        </w:rPr>
        <w:t xml:space="preserve"> the Committee recommended that Australia abolish mandatory sentencing, apply measures to reduce overcrowding such as non-custodial forms of detention, and ensure detention is used as a measure of last resort, particularly in relation to juveniles. Contrary to these recommendations </w:t>
      </w:r>
      <w:r w:rsidR="00613045">
        <w:rPr>
          <w:color w:val="000000"/>
          <w:lang w:eastAsia="en-US"/>
        </w:rPr>
        <w:t xml:space="preserve">little to </w:t>
      </w:r>
      <w:r w:rsidRPr="00FC0D25">
        <w:rPr>
          <w:color w:val="000000"/>
          <w:lang w:eastAsia="en-US"/>
        </w:rPr>
        <w:t xml:space="preserve">no progress has been made and people with disability continue to be over represented in the criminal justice system.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While data is not uniform or consistent across jurisdictions, available data suggests that almost half to 78 percent of prisoners have experienced a ‘psychiatric disorder’ compared with 11 percent of the general population; and 20 percent of prisoners have an intellectual disability compared with 2–3 percent of the general population.</w:t>
      </w:r>
      <w:r w:rsidRPr="00FC0D25">
        <w:rPr>
          <w:color w:val="000000"/>
          <w:vertAlign w:val="superscript"/>
          <w:lang w:eastAsia="en-US"/>
        </w:rPr>
        <w:footnoteReference w:id="126"/>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As research and data tends to focus on people with intellectual and psychosocial disability, it is suggested that there is a tendency to overlook the significant over-representation of people with acquired brain injury in the </w:t>
      </w:r>
      <w:r w:rsidRPr="00FC0D25">
        <w:rPr>
          <w:color w:val="000000"/>
          <w:lang w:eastAsia="en-US"/>
        </w:rPr>
        <w:lastRenderedPageBreak/>
        <w:t>criminal justice system, as well as ignore specific issues, and perhaps over-representation of Deaf people.</w:t>
      </w:r>
      <w:r w:rsidRPr="00FC0D25">
        <w:rPr>
          <w:color w:val="000000"/>
          <w:vertAlign w:val="superscript"/>
          <w:lang w:eastAsia="en-US"/>
        </w:rPr>
        <w:footnoteReference w:id="127"/>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Women with disability consist of between 30 to 50 percent of the female prison population. Research also indicates that the percentage of women with disability in prisons is greater than men with disability and that rates for women with disability from Aboriginal and Torres Strait Islander background is also higher than equivalent figures for men.</w:t>
      </w:r>
      <w:r w:rsidRPr="00FC0D25">
        <w:rPr>
          <w:color w:val="000000"/>
          <w:vertAlign w:val="superscript"/>
          <w:lang w:eastAsia="en-US"/>
        </w:rPr>
        <w:footnoteReference w:id="128"/>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Aboriginal and Torres Strait Islander people with disability are almost 14 times more likely to be imprisoned than the rest of the population.</w:t>
      </w:r>
      <w:r w:rsidRPr="00FC0D25">
        <w:rPr>
          <w:color w:val="000000"/>
          <w:vertAlign w:val="superscript"/>
          <w:lang w:eastAsia="en-US"/>
        </w:rPr>
        <w:footnoteReference w:id="129"/>
      </w:r>
      <w:r w:rsidRPr="00FC0D25">
        <w:rPr>
          <w:color w:val="000000"/>
          <w:lang w:eastAsia="en-US"/>
        </w:rPr>
        <w:t xml:space="preserve"> Given that it is estimated that the incidence of disability in Aboriginal and Torres Strait Islander communities is twice that of the general community, it can be assumed that there is significant over-representation of Aboriginal and Torres Strait Islander people with disability in Australian prisons.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bookmarkStart w:id="67" w:name="Article16TOC"/>
      <w:bookmarkEnd w:id="67"/>
      <w:r w:rsidRPr="00FC0D25">
        <w:rPr>
          <w:color w:val="000000"/>
          <w:lang w:eastAsia="en-US"/>
        </w:rPr>
        <w:t>In 2005 the UN Committee on the Rights of the Child expressed concern about the over-representation of children with disability in the juvenile justice system in Australia. It recommended that Australia address issues for children and young people in conflict with the law “without resorting to judicial proceedings”.</w:t>
      </w:r>
      <w:bookmarkStart w:id="68" w:name="_Ref321406610"/>
      <w:r w:rsidRPr="00FC0D25">
        <w:rPr>
          <w:color w:val="000000"/>
          <w:vertAlign w:val="superscript"/>
          <w:lang w:eastAsia="en-US"/>
        </w:rPr>
        <w:footnoteReference w:id="130"/>
      </w:r>
      <w:bookmarkEnd w:id="68"/>
      <w:r w:rsidRPr="00FC0D25">
        <w:rPr>
          <w:color w:val="000000"/>
          <w:lang w:eastAsia="en-US"/>
        </w:rPr>
        <w:t xml:space="preserve"> Despite this recognition there has been no coordinated approach to research and implement measures to address this issue.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Available evidence from 2010 suggests that nearly “half the young people in New South Wales juvenile detention centres have an intellectual or ‘borderline’ intellectual disability”.</w:t>
      </w:r>
      <w:r w:rsidRPr="00FC0D25">
        <w:rPr>
          <w:color w:val="000000"/>
          <w:sz w:val="22"/>
          <w:szCs w:val="20"/>
          <w:vertAlign w:val="superscript"/>
          <w:lang w:eastAsia="en-US"/>
        </w:rPr>
        <w:footnoteReference w:id="131"/>
      </w:r>
      <w:r w:rsidRPr="00FC0D25">
        <w:rPr>
          <w:color w:val="000000"/>
          <w:lang w:eastAsia="en-US"/>
        </w:rPr>
        <w:t xml:space="preserve"> A higher proportion of Aboriginal and Torres Strait Islander young people were represented in this group — 39 percent compared to 26 percent.</w:t>
      </w:r>
      <w:r w:rsidRPr="00FC0D25">
        <w:rPr>
          <w:color w:val="000000"/>
          <w:sz w:val="22"/>
          <w:szCs w:val="20"/>
          <w:vertAlign w:val="superscript"/>
          <w:lang w:eastAsia="en-US"/>
        </w:rPr>
        <w:footnoteReference w:id="132"/>
      </w:r>
      <w:r w:rsidRPr="00FC0D25">
        <w:rPr>
          <w:color w:val="000000"/>
          <w:lang w:eastAsia="en-US"/>
        </w:rPr>
        <w:t xml:space="preserve"> The majority of young people were found to have a ‘psychological condition’ (85 percent), with two thirds (73 percent) reporting two or more ‘psychological conditions’. There were a significantly higher proportion of young women and Aboriginal and Torres Strait islander young people in this group.</w:t>
      </w:r>
      <w:r w:rsidRPr="00FC0D25">
        <w:rPr>
          <w:color w:val="000000"/>
          <w:sz w:val="22"/>
          <w:szCs w:val="20"/>
          <w:vertAlign w:val="superscript"/>
          <w:lang w:eastAsia="en-US"/>
        </w:rPr>
        <w:footnoteReference w:id="133"/>
      </w:r>
      <w:r w:rsidRPr="00FC0D25">
        <w:rPr>
          <w:color w:val="000000"/>
          <w:lang w:eastAsia="en-US"/>
        </w:rPr>
        <w:t xml:space="preserve"> The study also found that 32 percent of young people in New South Wales juvenile detention centres had a traumatic brain injury or a head injury, </w:t>
      </w:r>
      <w:r w:rsidRPr="00FC0D25">
        <w:rPr>
          <w:color w:val="000000"/>
          <w:lang w:eastAsia="en-US"/>
        </w:rPr>
        <w:lastRenderedPageBreak/>
        <w:t>and that this incidence had increased significantly for young women since the previous survey in 2003 (from 6 to 33 percent).</w:t>
      </w:r>
      <w:r w:rsidRPr="00FC0D25">
        <w:rPr>
          <w:color w:val="000000"/>
          <w:sz w:val="22"/>
          <w:szCs w:val="20"/>
          <w:vertAlign w:val="superscript"/>
          <w:lang w:eastAsia="en-US"/>
        </w:rPr>
        <w:footnoteReference w:id="134"/>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increased risk of young people with disability entering the juvenile justice system is linked to failures that include:</w:t>
      </w:r>
      <w:bookmarkStart w:id="69" w:name="_Ref322508977"/>
      <w:r w:rsidRPr="00FC0D25">
        <w:rPr>
          <w:color w:val="000000"/>
          <w:sz w:val="22"/>
          <w:szCs w:val="20"/>
          <w:vertAlign w:val="superscript"/>
          <w:lang w:eastAsia="en-US"/>
        </w:rPr>
        <w:footnoteReference w:id="135"/>
      </w:r>
      <w:bookmarkEnd w:id="69"/>
    </w:p>
    <w:p w:rsidR="00FC0D25" w:rsidRPr="00FC0D25" w:rsidRDefault="00FC0D25" w:rsidP="002775DB">
      <w:pPr>
        <w:numPr>
          <w:ilvl w:val="0"/>
          <w:numId w:val="2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lack of support services, appropriate treatment and behaviour intervention programs, family based out of home care services and accommodation options;</w:t>
      </w:r>
    </w:p>
    <w:p w:rsidR="00FC0D25" w:rsidRPr="00FC0D25" w:rsidRDefault="00FC0D25" w:rsidP="002775DB">
      <w:pPr>
        <w:numPr>
          <w:ilvl w:val="0"/>
          <w:numId w:val="2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use of inappropriate and harmful service practices, such as physical restraint and medication;</w:t>
      </w:r>
    </w:p>
    <w:p w:rsidR="00FC0D25" w:rsidRPr="00FC0D25" w:rsidRDefault="00FC0D25" w:rsidP="002775DB">
      <w:pPr>
        <w:numPr>
          <w:ilvl w:val="0"/>
          <w:numId w:val="2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risk or actual occurrence of physical and sexual assault; </w:t>
      </w:r>
    </w:p>
    <w:p w:rsidR="00FC0D25" w:rsidRPr="00FC0D25" w:rsidRDefault="00FC0D25" w:rsidP="002775DB">
      <w:pPr>
        <w:numPr>
          <w:ilvl w:val="0"/>
          <w:numId w:val="2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reliance on the police to resolve ‘challenging’ behaviour; and </w:t>
      </w:r>
    </w:p>
    <w:p w:rsidR="00FC0D25" w:rsidRPr="00FC0D25" w:rsidRDefault="00FC0D25" w:rsidP="002775DB">
      <w:pPr>
        <w:numPr>
          <w:ilvl w:val="0"/>
          <w:numId w:val="21"/>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roofErr w:type="gramStart"/>
      <w:r w:rsidRPr="00FC0D25">
        <w:rPr>
          <w:color w:val="000000"/>
          <w:lang w:eastAsia="en-US"/>
        </w:rPr>
        <w:t>failures</w:t>
      </w:r>
      <w:proofErr w:type="gramEnd"/>
      <w:r w:rsidRPr="00FC0D25">
        <w:rPr>
          <w:color w:val="000000"/>
          <w:lang w:eastAsia="en-US"/>
        </w:rPr>
        <w:t xml:space="preserve"> to provide early intervention and disability support with family and educational settings.</w:t>
      </w:r>
      <w:r w:rsidRPr="00FC0D25">
        <w:rPr>
          <w:color w:val="000000"/>
          <w:vertAlign w:val="superscript"/>
          <w:lang w:eastAsia="en-US"/>
        </w:rPr>
        <w:footnoteReference w:id="136"/>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Once children and young people with disability are in the juvenile justice system, there is often an emphasis on punishment of the crime and rehabilitation, rather than on appropriate assessment, intervention and support services. As a result, many children and young people with disability are not identified, which means their specific support needs are not addressed. There are also concerns regarding the inappropriateness of the design of facilities and the environment within juvenile detention facilities, which can also contribute to a decreasing state of emotional and mental health.</w:t>
      </w:r>
      <w:r w:rsidRPr="00FC0D25">
        <w:rPr>
          <w:color w:val="000000"/>
          <w:sz w:val="22"/>
          <w:szCs w:val="20"/>
          <w:vertAlign w:val="superscript"/>
          <w:lang w:eastAsia="en-US"/>
        </w:rPr>
        <w:footnoteReference w:id="137"/>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In some Australian states and territories, there are broad powers that allow for the transfer of juvenile detainees to adult prisons which exposes them to greater risk of physical and mental harm including sexual assault, and limited opportunity for rehabilitation.</w:t>
      </w:r>
      <w:r w:rsidRPr="00FC0D25">
        <w:rPr>
          <w:color w:val="000000"/>
          <w:vertAlign w:val="superscript"/>
          <w:lang w:eastAsia="en-US"/>
        </w:rPr>
        <w:footnoteReference w:id="138"/>
      </w:r>
      <w:r w:rsidRPr="00FC0D25">
        <w:rPr>
          <w:color w:val="000000"/>
          <w:lang w:eastAsia="en-US"/>
        </w:rPr>
        <w:t xml:space="preserve"> Instances of assault including sexual assault remain rife in the Australian prison system, particularly among young male inmates.</w:t>
      </w:r>
      <w:r w:rsidRPr="00FC0D25">
        <w:rPr>
          <w:color w:val="000000"/>
          <w:vertAlign w:val="superscript"/>
          <w:lang w:eastAsia="en-US"/>
        </w:rPr>
        <w:footnoteReference w:id="139"/>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70" w:name="_Toc401341198"/>
      <w:r w:rsidRPr="0093790C">
        <w:rPr>
          <w:b/>
          <w:bCs/>
          <w:caps/>
          <w:color w:val="244061"/>
          <w:kern w:val="28"/>
          <w:lang w:val="x-none" w:eastAsia="en-US"/>
        </w:rPr>
        <w:t>7.</w:t>
      </w:r>
      <w:r w:rsidRPr="0093790C">
        <w:rPr>
          <w:b/>
          <w:bCs/>
          <w:caps/>
          <w:color w:val="244061"/>
          <w:kern w:val="28"/>
          <w:lang w:eastAsia="en-US"/>
        </w:rPr>
        <w:t>2</w:t>
      </w:r>
      <w:r w:rsidRPr="0093790C">
        <w:rPr>
          <w:b/>
          <w:bCs/>
          <w:caps/>
          <w:color w:val="244061"/>
          <w:kern w:val="28"/>
          <w:lang w:val="x-none" w:eastAsia="en-US"/>
        </w:rPr>
        <w:t xml:space="preserve"> REASONABLE ACCOMMODATION</w:t>
      </w:r>
      <w:bookmarkEnd w:id="70"/>
      <w:r w:rsidRPr="0093790C">
        <w:rPr>
          <w:b/>
          <w:bCs/>
          <w:caps/>
          <w:color w:val="244061"/>
          <w:kern w:val="28"/>
          <w:lang w:val="x-none" w:eastAsia="en-US"/>
        </w:rPr>
        <w:t xml:space="preserve"> </w:t>
      </w:r>
    </w:p>
    <w:p w:rsidR="00FC0D25" w:rsidRPr="00FC0D25" w:rsidRDefault="00FC0D25" w:rsidP="002775DB">
      <w:pPr>
        <w:numPr>
          <w:ilvl w:val="0"/>
          <w:numId w:val="27"/>
        </w:num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lack of reasonable accommodation provided to prisoners with disability, their indefinite detention, and failure to address the causes of their over-representation in the criminal justice system also point to failures to adequately implement CAT Articles 10 and 11. </w:t>
      </w:r>
    </w:p>
    <w:p w:rsidR="00FC0D25" w:rsidRPr="00FC0D25" w:rsidRDefault="00FC0D25" w:rsidP="002775DB">
      <w:pPr>
        <w:tabs>
          <w:tab w:val="left" w:pos="426"/>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Despite the significant overrepresentation of people with disability in prison, prisoners with disability are often not provided with the necessary supports and safeguards they require to maintain their security and enjoyment of other human rights. Key issues include:</w:t>
      </w:r>
      <w:r w:rsidRPr="00FC0D25">
        <w:rPr>
          <w:color w:val="000000"/>
          <w:vertAlign w:val="superscript"/>
          <w:lang w:eastAsia="en-US"/>
        </w:rPr>
        <w:footnoteReference w:id="140"/>
      </w:r>
    </w:p>
    <w:p w:rsidR="00FC0D25" w:rsidRP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r w:rsidRPr="00FC0D25">
        <w:rPr>
          <w:color w:val="000000"/>
          <w:lang w:eastAsia="en-US"/>
        </w:rPr>
        <w:t>lack of protective supports to address the greater risks of people with disability, particularly people with intellectual disability to sexual assault, abuse and victimisation, and coercion into breaking rules and conducting illegal activities, such as drug dealing;</w:t>
      </w:r>
    </w:p>
    <w:p w:rsidR="00FC0D25" w:rsidRP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r w:rsidRPr="00FC0D25">
        <w:rPr>
          <w:color w:val="000000"/>
          <w:lang w:eastAsia="en-US"/>
        </w:rPr>
        <w:t>inadequate complaints processes and mechanisms for recording and responding to incidents, to support prisoners to make complaints and to ensure adequate protections against retribution for making complaints, including being placed in protective custody;</w:t>
      </w:r>
    </w:p>
    <w:p w:rsidR="00FC0D25" w:rsidRP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r w:rsidRPr="00FC0D25">
        <w:rPr>
          <w:color w:val="000000"/>
          <w:lang w:eastAsia="en-US"/>
        </w:rPr>
        <w:t>lack of information about prisoner rights and access to support to exercise their rights;</w:t>
      </w:r>
    </w:p>
    <w:p w:rsidR="00FC0D25" w:rsidRP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r w:rsidRPr="00FC0D25">
        <w:rPr>
          <w:color w:val="000000"/>
          <w:lang w:eastAsia="en-US"/>
        </w:rPr>
        <w:t>lack of identification of people with disability in prison, and consequent measures to provide necessary supports;</w:t>
      </w:r>
      <w:bookmarkStart w:id="71" w:name="_Ref322508111"/>
      <w:r w:rsidRPr="00FC0D25">
        <w:rPr>
          <w:color w:val="000000"/>
          <w:vertAlign w:val="superscript"/>
          <w:lang w:eastAsia="en-US"/>
        </w:rPr>
        <w:footnoteReference w:id="141"/>
      </w:r>
      <w:bookmarkEnd w:id="71"/>
    </w:p>
    <w:p w:rsidR="00FC0D25" w:rsidRP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r w:rsidRPr="00FC0D25">
        <w:rPr>
          <w:color w:val="000000"/>
          <w:lang w:eastAsia="en-US"/>
        </w:rPr>
        <w:t>inadequate services to provide support to prisoners leading up to their release, or provide assistance from community and forensic mental health workers;</w:t>
      </w:r>
      <w:r w:rsidRPr="00FC0D25">
        <w:rPr>
          <w:color w:val="000000"/>
          <w:vertAlign w:val="superscript"/>
          <w:lang w:eastAsia="en-US"/>
        </w:rPr>
        <w:footnoteReference w:id="142"/>
      </w:r>
    </w:p>
    <w:p w:rsidR="00FC0D25" w:rsidRP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r w:rsidRPr="00FC0D25">
        <w:rPr>
          <w:color w:val="000000"/>
          <w:lang w:eastAsia="en-US"/>
        </w:rPr>
        <w:t>lack of planning with disability, mental health and other social supports to facilitate successful return to the community;</w:t>
      </w:r>
      <w:r w:rsidRPr="00FC0D25">
        <w:rPr>
          <w:color w:val="000000"/>
          <w:vertAlign w:val="superscript"/>
          <w:lang w:eastAsia="en-US"/>
        </w:rPr>
        <w:footnoteReference w:id="143"/>
      </w:r>
    </w:p>
    <w:p w:rsidR="00FC0D25" w:rsidRP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r w:rsidRPr="00FC0D25">
        <w:rPr>
          <w:color w:val="000000"/>
          <w:lang w:eastAsia="en-US"/>
        </w:rPr>
        <w:t xml:space="preserve">lack of physical access to prison facilities and services; </w:t>
      </w:r>
    </w:p>
    <w:p w:rsidR="00FC0D25" w:rsidRP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r w:rsidRPr="00FC0D25">
        <w:rPr>
          <w:color w:val="000000"/>
          <w:lang w:eastAsia="en-US"/>
        </w:rPr>
        <w:t>lack of access to relevant aids and communication devices, sign language and community language interpreters and lack of personal care and hygiene supports; and</w:t>
      </w:r>
    </w:p>
    <w:p w:rsidR="00FC0D25" w:rsidRDefault="00FC0D25" w:rsidP="002775DB">
      <w:pPr>
        <w:numPr>
          <w:ilvl w:val="0"/>
          <w:numId w:val="22"/>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hanging="284"/>
        <w:contextualSpacing/>
        <w:jc w:val="both"/>
        <w:rPr>
          <w:color w:val="000000"/>
          <w:lang w:eastAsia="en-US"/>
        </w:rPr>
      </w:pPr>
      <w:proofErr w:type="gramStart"/>
      <w:r w:rsidRPr="00FC0D25">
        <w:rPr>
          <w:color w:val="000000"/>
          <w:lang w:eastAsia="en-US"/>
        </w:rPr>
        <w:t>lack</w:t>
      </w:r>
      <w:proofErr w:type="gramEnd"/>
      <w:r w:rsidRPr="00FC0D25">
        <w:rPr>
          <w:color w:val="000000"/>
          <w:lang w:eastAsia="en-US"/>
        </w:rPr>
        <w:t xml:space="preserve"> of necessary services and supports, such as mental health and medical services and supports.</w:t>
      </w:r>
    </w:p>
    <w:p w:rsidR="0073690C" w:rsidRPr="00FC0D25" w:rsidRDefault="0073690C" w:rsidP="002775DB">
      <w:p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993"/>
        <w:contextualSpacing/>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09"/>
        <w:jc w:val="both"/>
        <w:rPr>
          <w:b/>
          <w:i/>
          <w:color w:val="002060"/>
          <w:lang w:eastAsia="en-US"/>
        </w:rPr>
      </w:pPr>
      <w:r w:rsidRPr="00FC0D25">
        <w:rPr>
          <w:b/>
          <w:i/>
          <w:color w:val="002060"/>
          <w:lang w:eastAsia="en-US"/>
        </w:rPr>
        <w:t>Case Study: A man with a mobility disability was sentenced to a maximum security prison in 2009 for up to 10 years, being the first quadriplegic in that state to receive a full-time custodial sentence.</w:t>
      </w:r>
      <w:r w:rsidRPr="00FC0D25">
        <w:rPr>
          <w:b/>
          <w:i/>
          <w:color w:val="002060"/>
          <w:vertAlign w:val="superscript"/>
          <w:lang w:eastAsia="en-US"/>
        </w:rPr>
        <w:footnoteReference w:id="144"/>
      </w:r>
      <w:r w:rsidRPr="00FC0D25">
        <w:rPr>
          <w:b/>
          <w:i/>
          <w:color w:val="002060"/>
          <w:lang w:eastAsia="en-US"/>
        </w:rPr>
        <w:t xml:space="preserve"> The man is unable to eat, drink, go to the toilet or wash without assistance, and requires a </w:t>
      </w:r>
      <w:r w:rsidRPr="00FC0D25">
        <w:rPr>
          <w:b/>
          <w:i/>
          <w:color w:val="002060"/>
          <w:lang w:eastAsia="en-US"/>
        </w:rPr>
        <w:lastRenderedPageBreak/>
        <w:t>hoist to lift him from his motorised wheelchair to his bed. The man was being held in the aged care and frail section of the prison complex on a transitional basis as there was no capacity for people to stay permanently in this section.</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09"/>
        <w:jc w:val="both"/>
        <w:rPr>
          <w:b/>
          <w:i/>
          <w:color w:val="002060"/>
          <w:lang w:eastAsia="en-US"/>
        </w:rPr>
      </w:pPr>
      <w:r w:rsidRPr="00FC0D25">
        <w:rPr>
          <w:b/>
          <w:i/>
          <w:color w:val="002060"/>
          <w:lang w:eastAsia="en-US"/>
        </w:rPr>
        <w:t>The man was subsequently transferred to a complex where inmates with intellectual disability, developmental issues and acquired brain injury are accommodated. However, these facilities are inappropriately equipped to deal with his complex physical needs. There were a limited number of staff available to assist the man to the extent he requires care each day, resulting in the man receiving insufficient assistance for eating, showering, being assisted into common prisoner areas within the correctional centre. Due to the man’s disability and diabetes he must have a special diet, however this was also not being serviced by the correctional centre, resulting in the man being undernourished and having problems with indigestion.</w:t>
      </w:r>
    </w:p>
    <w:p w:rsidR="0073690C"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09"/>
        <w:jc w:val="both"/>
        <w:rPr>
          <w:b/>
          <w:i/>
          <w:color w:val="002060"/>
          <w:lang w:eastAsia="en-US"/>
        </w:rPr>
      </w:pPr>
      <w:r w:rsidRPr="00FC0D25">
        <w:rPr>
          <w:b/>
          <w:i/>
          <w:color w:val="002060"/>
          <w:lang w:eastAsia="en-US"/>
        </w:rPr>
        <w:t xml:space="preserve">Due to his disability, he was at risk of autonomic </w:t>
      </w:r>
      <w:proofErr w:type="spellStart"/>
      <w:r w:rsidRPr="00FC0D25">
        <w:rPr>
          <w:b/>
          <w:i/>
          <w:color w:val="002060"/>
          <w:lang w:eastAsia="en-US"/>
        </w:rPr>
        <w:t>dysreflexia</w:t>
      </w:r>
      <w:proofErr w:type="spellEnd"/>
      <w:r w:rsidRPr="00FC0D25">
        <w:rPr>
          <w:b/>
          <w:i/>
          <w:color w:val="002060"/>
          <w:lang w:eastAsia="en-US"/>
        </w:rPr>
        <w:t xml:space="preserve"> due to suffering from common urinary tract infections which may cause his catheter to block and rapidly increase his blood pressure, placing the man at risk of a brain haemorrhage or seizures. Further, no provision had been made for the man to participate in any exercise, resulting in muscle wasting, and he had not been given the opportunity to become involved in educational programs.</w:t>
      </w:r>
      <w:r w:rsidRPr="00FC0D25">
        <w:rPr>
          <w:b/>
          <w:i/>
          <w:color w:val="002060"/>
          <w:vertAlign w:val="superscript"/>
          <w:lang w:eastAsia="en-US"/>
        </w:rPr>
        <w:footnoteReference w:id="145"/>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b/>
          <w:lang w:eastAsia="en-US"/>
        </w:rPr>
      </w:pPr>
      <w:r w:rsidRPr="00FC0D25">
        <w:rPr>
          <w:b/>
          <w:lang w:eastAsia="en-US"/>
        </w:rPr>
        <w:t xml:space="preserve">RECOMMENDATIONS </w:t>
      </w:r>
    </w:p>
    <w:p w:rsidR="00FC0D25" w:rsidRPr="00FC0D25" w:rsidRDefault="00FC0D25" w:rsidP="002775DB">
      <w:pPr>
        <w:numPr>
          <w:ilvl w:val="0"/>
          <w:numId w:val="3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val="x-none" w:eastAsia="en-US"/>
        </w:rPr>
      </w:pPr>
      <w:r w:rsidRPr="00FC0D25">
        <w:rPr>
          <w:lang w:val="x-none" w:eastAsia="en-US"/>
        </w:rPr>
        <w:t xml:space="preserve">That Australia, as a matter of urgency, ends the unwarranted use of prisons for the management of unconvicted people with disability, with a focus on Aboriginal and Torres Strait Islander people with disability, by establishing legislative, administrative and support frameworks that comply with the </w:t>
      </w:r>
      <w:r w:rsidRPr="00FC0D25">
        <w:rPr>
          <w:lang w:eastAsia="en-US"/>
        </w:rPr>
        <w:t xml:space="preserve">CAT and the </w:t>
      </w:r>
      <w:r w:rsidRPr="00FC0D25">
        <w:rPr>
          <w:lang w:val="x-none" w:eastAsia="en-US"/>
        </w:rPr>
        <w:t>CRPD</w:t>
      </w:r>
      <w:r w:rsidRPr="00FC0D25">
        <w:rPr>
          <w:lang w:eastAsia="en-US"/>
        </w:rPr>
        <w:t>.</w:t>
      </w:r>
    </w:p>
    <w:p w:rsidR="00FC0D25" w:rsidRPr="00FC0D25" w:rsidRDefault="00FC0D25" w:rsidP="002775DB">
      <w:pPr>
        <w:numPr>
          <w:ilvl w:val="0"/>
          <w:numId w:val="3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lang w:val="x-none" w:eastAsia="en-US"/>
        </w:rPr>
      </w:pPr>
      <w:r w:rsidRPr="00FC0D25">
        <w:rPr>
          <w:lang w:val="x-none" w:eastAsia="en-US"/>
        </w:rPr>
        <w:t xml:space="preserve">That </w:t>
      </w:r>
      <w:r w:rsidRPr="00FC0D25">
        <w:rPr>
          <w:lang w:eastAsia="en-US"/>
        </w:rPr>
        <w:t xml:space="preserve">in line with obligations in the CRPD and CAT, </w:t>
      </w:r>
      <w:r w:rsidRPr="00FC0D25">
        <w:rPr>
          <w:lang w:val="x-none" w:eastAsia="en-US"/>
        </w:rPr>
        <w:t>Australia establishes mandatory guidelines and practice to ensure that people with disability in the criminal justice system are provided with appropriate supports and accommodation.</w:t>
      </w:r>
    </w:p>
    <w:p w:rsidR="00FC0D25" w:rsidRPr="00FC0D25" w:rsidRDefault="00FC0D25" w:rsidP="002775DB">
      <w:pPr>
        <w:numPr>
          <w:ilvl w:val="0"/>
          <w:numId w:val="3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amends legislation in relation to crime to include the specific (statutory) offence of deprivation of liberty.</w:t>
      </w:r>
    </w:p>
    <w:p w:rsidR="00FC0D25" w:rsidRDefault="00FC0D25" w:rsidP="002775DB">
      <w:pPr>
        <w:numPr>
          <w:ilvl w:val="0"/>
          <w:numId w:val="30"/>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That disability is diagnosed and appropriate support and housing offered to prevent the incarceration of young people and adults with disability. </w:t>
      </w:r>
    </w:p>
    <w:p w:rsidR="0093790C" w:rsidRPr="00FC0D25" w:rsidRDefault="00937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72" w:name="_Toc401341199"/>
      <w:r w:rsidRPr="00FC0D25">
        <w:rPr>
          <w:b/>
          <w:bCs/>
          <w:caps/>
          <w:color w:val="244061"/>
          <w:kern w:val="28"/>
          <w:lang w:val="x-none" w:eastAsia="en-US"/>
        </w:rPr>
        <w:lastRenderedPageBreak/>
        <w:t>Immigration Detention</w:t>
      </w:r>
      <w:bookmarkEnd w:id="72"/>
      <w:r w:rsidRPr="00FC0D25">
        <w:rPr>
          <w:b/>
          <w:bCs/>
          <w:caps/>
          <w:color w:val="244061"/>
          <w:kern w:val="28"/>
          <w:lang w:val="x-none" w:eastAsia="en-US"/>
        </w:rPr>
        <w:t xml:space="preserve"> </w:t>
      </w: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Australia’s policy of indefinite mandatory detention of asylum seekers commenced in 1992. The indefinite mandatory detention of an “unlawful non-citizen”</w:t>
      </w:r>
      <w:r w:rsidRPr="00FC0D25">
        <w:rPr>
          <w:color w:val="000000"/>
          <w:vertAlign w:val="superscript"/>
          <w:lang w:eastAsia="en-US"/>
        </w:rPr>
        <w:footnoteReference w:id="146"/>
      </w:r>
      <w:r w:rsidRPr="00FC0D25">
        <w:rPr>
          <w:color w:val="000000"/>
          <w:lang w:eastAsia="en-US"/>
        </w:rPr>
        <w:t xml:space="preserve"> is prescribed under the </w:t>
      </w:r>
      <w:r w:rsidRPr="00FC0D25">
        <w:rPr>
          <w:i/>
          <w:color w:val="000000"/>
          <w:lang w:eastAsia="en-US"/>
        </w:rPr>
        <w:t xml:space="preserve">Migration Act 1958 </w:t>
      </w:r>
      <w:r w:rsidRPr="00FC0D25">
        <w:rPr>
          <w:color w:val="000000"/>
          <w:lang w:eastAsia="en-US"/>
        </w:rPr>
        <w:t>(</w:t>
      </w:r>
      <w:proofErr w:type="spellStart"/>
      <w:r w:rsidRPr="00FC0D25">
        <w:rPr>
          <w:color w:val="000000"/>
          <w:lang w:eastAsia="en-US"/>
        </w:rPr>
        <w:t>Cth</w:t>
      </w:r>
      <w:proofErr w:type="spellEnd"/>
      <w:r w:rsidRPr="00FC0D25">
        <w:rPr>
          <w:color w:val="000000"/>
          <w:lang w:eastAsia="en-US"/>
        </w:rPr>
        <w:t>).</w:t>
      </w:r>
      <w:r w:rsidRPr="00FC0D25">
        <w:rPr>
          <w:color w:val="000000"/>
          <w:vertAlign w:val="superscript"/>
          <w:lang w:eastAsia="en-US"/>
        </w:rPr>
        <w:footnoteReference w:id="147"/>
      </w:r>
      <w:r w:rsidRPr="00FC0D25">
        <w:rPr>
          <w:color w:val="000000"/>
          <w:lang w:eastAsia="en-US"/>
        </w:rPr>
        <w:t xml:space="preserve"> Detainees may be indefinitely detained until they are removed from Australia, deported or granted a visa.</w:t>
      </w:r>
      <w:r w:rsidRPr="00FC0D25">
        <w:rPr>
          <w:color w:val="000000"/>
          <w:vertAlign w:val="superscript"/>
          <w:lang w:eastAsia="en-US"/>
        </w:rPr>
        <w:footnoteReference w:id="148"/>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No exception to off shore mandatory detention is made for people with disability, including children, including a number of teenagers with intellectual disability who have spent up to 2 years in Australian prisons on people smuggling charges.</w:t>
      </w:r>
      <w:r w:rsidRPr="00FC0D25">
        <w:rPr>
          <w:color w:val="000000"/>
          <w:vertAlign w:val="superscript"/>
          <w:lang w:eastAsia="en-US"/>
        </w:rPr>
        <w:footnoteReference w:id="149"/>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In its 2008 Concluding Observations, the CAT Committee recommended that Australia consider abolishing its policy of mandatory immigration detention and advised using detention as a measure of last resort only and setting a reasonable time limit for detention.</w:t>
      </w:r>
      <w:r w:rsidRPr="00FC0D25">
        <w:rPr>
          <w:color w:val="000000"/>
          <w:vertAlign w:val="superscript"/>
          <w:lang w:eastAsia="en-US"/>
        </w:rPr>
        <w:footnoteReference w:id="150"/>
      </w:r>
      <w:r w:rsidRPr="00FC0D25">
        <w:rPr>
          <w:color w:val="000000"/>
          <w:lang w:eastAsia="en-US"/>
        </w:rPr>
        <w:t xml:space="preserve"> The Committee also recommended that children no longer be held in immigration detention under any circumstances, and as a matter of priority, ensure that asylum seeker who have been detained are provided with adequate physical and mental health care, including routine assessment. Australia has not responded to the Committee’s recommendations.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current conditions facing detainees in detention raise concerns with respect to Australia’s obligation to ensure people with disability, particularly those with psychosocial disability are not subject to cruel, inhuman or degrading conditions, or </w:t>
      </w:r>
      <w:r w:rsidR="00225D20">
        <w:rPr>
          <w:color w:val="000000"/>
          <w:lang w:eastAsia="en-US"/>
        </w:rPr>
        <w:t xml:space="preserve">that detainees </w:t>
      </w:r>
      <w:r w:rsidRPr="00FC0D25">
        <w:rPr>
          <w:color w:val="000000"/>
          <w:lang w:eastAsia="en-US"/>
        </w:rPr>
        <w:t xml:space="preserve">do not develop mental health conditions as a result of their </w:t>
      </w:r>
      <w:r w:rsidR="00225D20">
        <w:rPr>
          <w:color w:val="000000"/>
          <w:lang w:eastAsia="en-US"/>
        </w:rPr>
        <w:t>incarceration</w:t>
      </w:r>
      <w:r w:rsidRPr="00FC0D25">
        <w:rPr>
          <w:color w:val="000000"/>
          <w:lang w:eastAsia="en-US"/>
        </w:rPr>
        <w:t>.</w:t>
      </w:r>
      <w:r w:rsidRPr="00FC0D25">
        <w:rPr>
          <w:color w:val="000000"/>
          <w:vertAlign w:val="superscript"/>
          <w:lang w:eastAsia="en-US"/>
        </w:rPr>
        <w:footnoteReference w:id="151"/>
      </w:r>
      <w:r w:rsidRPr="00FC0D25">
        <w:rPr>
          <w:color w:val="000000"/>
          <w:lang w:eastAsia="en-US"/>
        </w:rPr>
        <w:t xml:space="preserve"> Specific areas of concern include overwhelming evidence of inadequate facilities and inadequate physical and mental health care, the withdrawal of essential medication and equipment - including instances of hearing aids and prosthetic limbs being removed and destroyed</w:t>
      </w:r>
      <w:r w:rsidRPr="00FC0D25">
        <w:rPr>
          <w:color w:val="000000"/>
          <w:sz w:val="22"/>
          <w:szCs w:val="20"/>
          <w:vertAlign w:val="superscript"/>
          <w:lang w:eastAsia="en-US"/>
        </w:rPr>
        <w:footnoteReference w:id="152"/>
      </w:r>
      <w:r w:rsidRPr="00FC0D25">
        <w:rPr>
          <w:color w:val="000000"/>
          <w:lang w:eastAsia="en-US"/>
        </w:rPr>
        <w:t>, and the use of solitary confinement.</w:t>
      </w:r>
      <w:r w:rsidRPr="00FC0D25">
        <w:rPr>
          <w:color w:val="000000"/>
          <w:vertAlign w:val="superscript"/>
          <w:lang w:eastAsia="en-US"/>
        </w:rPr>
        <w:footnoteReference w:id="153"/>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In November 2013 Christmas Island Detention Centre Medical Officer’s wrote an open letter of concern regarding the operation of the Centre.  The Letter identified the Christmas Island </w:t>
      </w:r>
      <w:r w:rsidRPr="00FC0D25">
        <w:rPr>
          <w:color w:val="000000"/>
          <w:lang w:val="en-GB" w:eastAsia="en-US"/>
        </w:rPr>
        <w:t>immigration detention centre as unsuitable for any person living with significant intellectual or physical disability. “The detention environment exacerbates their burden of care and the facilities and medical services provided are inadequate to accommodate their needs.” They described how a young woman with cerebral palsy resulting in severe physical disability was “confined to a wheelchair in one of the island compounds’’.  Despite being flagged by several medical officers from her arrival as “not suitable for the detention environment, at the time of the Officers writing of the Letter ‘’ though exhibiting signs of mental distress, she had not been transferred</w:t>
      </w:r>
      <w:r w:rsidRPr="00FC0D25">
        <w:rPr>
          <w:color w:val="000000"/>
          <w:sz w:val="22"/>
          <w:szCs w:val="20"/>
          <w:vertAlign w:val="superscript"/>
          <w:lang w:val="en-GB" w:eastAsia="en-US"/>
        </w:rPr>
        <w:footnoteReference w:id="154"/>
      </w:r>
      <w:r w:rsidRPr="00FC0D25">
        <w:rPr>
          <w:color w:val="000000"/>
          <w:lang w:val="en-GB"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Children, including children with disability, remain in immigration detention centres without adequate physical and mental health care despite strong recommendations by the CAT Committee in 2008 that this was unacceptable.</w:t>
      </w:r>
      <w:r w:rsidRPr="00FC0D25">
        <w:rPr>
          <w:color w:val="000000"/>
          <w:vertAlign w:val="superscript"/>
          <w:lang w:eastAsia="en-US"/>
        </w:rPr>
        <w:footnoteReference w:id="155"/>
      </w:r>
      <w:r w:rsidRPr="00FC0D25">
        <w:rPr>
          <w:color w:val="000000"/>
          <w:lang w:eastAsia="en-US"/>
        </w:rPr>
        <w:t xml:space="preserve"> </w:t>
      </w:r>
    </w:p>
    <w:p w:rsidR="0073690C" w:rsidRPr="00FC0D25" w:rsidRDefault="00736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
    <w:p w:rsidR="0093790C" w:rsidRPr="00FC0D25" w:rsidRDefault="00FC0D25" w:rsidP="00FC03F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jc w:val="both"/>
        <w:rPr>
          <w:b/>
          <w:i/>
          <w:color w:val="002060"/>
          <w:vertAlign w:val="superscript"/>
          <w:lang w:eastAsia="en-US"/>
        </w:rPr>
      </w:pPr>
      <w:r w:rsidRPr="00FC0D25">
        <w:rPr>
          <w:b/>
          <w:i/>
          <w:color w:val="002060"/>
          <w:lang w:eastAsia="en-US"/>
        </w:rPr>
        <w:t>Case Study: Leila is a female three year old asylum seeker with epilepsy. When she arrived on Christmas Island she was taking two medications which her parents had brought with her.  These were destroyed on arrival, her records removed and not made available to doctors. Doctors only had one replacement form of medication and Leila started to have seizures. Doctors were in contact with the mainland to try and procure the correct mediation but when it eventually arrived she had only be supplied with a month’s supply. That ran out and the entire time Leila was having seizures. After trying a third medication Leila was eventually transferred off the island after repeated requests from medical officers and a long wait. The Medical officer involved said that ‘’this is an example of how, basically, children with complex medical problems just really can’t be managed there without appropriate paediatric support, specialist care’’.</w:t>
      </w:r>
      <w:r w:rsidRPr="00FC0D25">
        <w:rPr>
          <w:b/>
          <w:i/>
          <w:color w:val="002060"/>
          <w:vertAlign w:val="superscript"/>
          <w:lang w:eastAsia="en-US"/>
        </w:rPr>
        <w:t xml:space="preserve"> </w:t>
      </w:r>
      <w:r w:rsidRPr="00FC0D25">
        <w:rPr>
          <w:b/>
          <w:i/>
          <w:color w:val="002060"/>
          <w:vertAlign w:val="superscript"/>
          <w:lang w:eastAsia="en-US"/>
        </w:rPr>
        <w:footnoteReference w:id="156"/>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b/>
          <w:color w:val="000000"/>
          <w:lang w:eastAsia="en-US"/>
        </w:rPr>
      </w:pPr>
      <w:r w:rsidRPr="00FC0D25">
        <w:rPr>
          <w:b/>
          <w:color w:val="000000"/>
          <w:lang w:eastAsia="en-US"/>
        </w:rPr>
        <w:t>RECOMMENDATIONS</w:t>
      </w:r>
    </w:p>
    <w:p w:rsidR="00FC0D25" w:rsidRPr="00FC0D25" w:rsidRDefault="00FC0D25" w:rsidP="002775DB">
      <w:pPr>
        <w:numPr>
          <w:ilvl w:val="0"/>
          <w:numId w:val="23"/>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abolish mandatory detention for asylum seekers.</w:t>
      </w:r>
    </w:p>
    <w:p w:rsidR="00FC0D25" w:rsidRPr="00FC0D25" w:rsidRDefault="00FC0D25" w:rsidP="002775DB">
      <w:pPr>
        <w:numPr>
          <w:ilvl w:val="0"/>
          <w:numId w:val="23"/>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That Australia cease the detention of children in immigration detention centres including children and young people with disability.</w:t>
      </w:r>
    </w:p>
    <w:p w:rsidR="00FC0D25" w:rsidRDefault="00FC0D25" w:rsidP="002775DB">
      <w:pPr>
        <w:numPr>
          <w:ilvl w:val="0"/>
          <w:numId w:val="23"/>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That Australia acts to ensure immigration detainees are provided with adequate physical and mental health care including routine health checks.</w:t>
      </w:r>
      <w:r w:rsidRPr="00FC0D25">
        <w:rPr>
          <w:color w:val="000000"/>
          <w:vertAlign w:val="superscript"/>
          <w:lang w:eastAsia="en-US"/>
        </w:rPr>
        <w:footnoteReference w:id="157"/>
      </w:r>
      <w:bookmarkEnd w:id="46"/>
      <w:bookmarkEnd w:id="47"/>
      <w:bookmarkEnd w:id="48"/>
      <w:bookmarkEnd w:id="49"/>
      <w:bookmarkEnd w:id="50"/>
      <w:bookmarkEnd w:id="51"/>
      <w:bookmarkEnd w:id="52"/>
      <w:bookmarkEnd w:id="53"/>
      <w:bookmarkEnd w:id="54"/>
      <w:bookmarkEnd w:id="55"/>
      <w:bookmarkEnd w:id="56"/>
    </w:p>
    <w:p w:rsidR="0093790C" w:rsidRPr="00FC0D25" w:rsidRDefault="0093790C"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keepNext/>
        <w:numPr>
          <w:ilvl w:val="0"/>
          <w:numId w:val="7"/>
        </w:numPr>
        <w:pBdr>
          <w:bottom w:val="single" w:sz="4" w:space="1" w:color="auto"/>
        </w:pBdr>
        <w:tabs>
          <w:tab w:val="left" w:pos="924"/>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sz w:val="28"/>
          <w:szCs w:val="28"/>
          <w:lang w:val="x-none" w:eastAsia="en-US"/>
        </w:rPr>
      </w:pPr>
      <w:bookmarkStart w:id="73" w:name="_Toc401341200"/>
      <w:r w:rsidRPr="00FC0D25">
        <w:rPr>
          <w:b/>
          <w:bCs/>
          <w:caps/>
          <w:color w:val="244061"/>
          <w:kern w:val="28"/>
          <w:sz w:val="28"/>
          <w:szCs w:val="28"/>
          <w:lang w:val="x-none" w:eastAsia="en-US"/>
        </w:rPr>
        <w:t>Violence and Abuse</w:t>
      </w:r>
      <w:bookmarkEnd w:id="73"/>
      <w:r w:rsidRPr="00FC0D25">
        <w:rPr>
          <w:b/>
          <w:bCs/>
          <w:caps/>
          <w:color w:val="244061"/>
          <w:kern w:val="28"/>
          <w:sz w:val="28"/>
          <w:szCs w:val="28"/>
          <w:lang w:val="x-none" w:eastAsia="en-US"/>
        </w:rPr>
        <w:t xml:space="preserve"> </w:t>
      </w:r>
    </w:p>
    <w:p w:rsidR="0073690C" w:rsidRDefault="00FC0D25" w:rsidP="002775DB">
      <w:pPr>
        <w:numPr>
          <w:ilvl w:val="0"/>
          <w:numId w:val="27"/>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shd w:val="clear" w:color="auto" w:fill="FFFFFF"/>
          <w:lang w:eastAsia="en-US"/>
        </w:rPr>
      </w:pPr>
      <w:r w:rsidRPr="00FC0D25">
        <w:rPr>
          <w:color w:val="000000"/>
          <w:shd w:val="clear" w:color="auto" w:fill="FFFFFF"/>
          <w:lang w:eastAsia="en-US"/>
        </w:rPr>
        <w:t>In General Comment Number 2: Interpretation of Article 2, the CAT Committee established that ‘’where State authorities or others acting in official capacity or under colour of law, know or have reasonable grounds to believe that acts of torture or ill- treatment are being committed by non-State officials or private actors and they fail to exercise due diligence to prevent, investigate, prosecute and punish such non-State officials or private actors consistently with this Convention, the State bears responsibility and its officials should be considered as authors, complicit or otherwise responsible under the Convention for consenting to or acquiescing in such impermissible acts. Since the failure of the State to exercise due diligence to intervene to stop, sanction and provide remedies to victims of torture facilitates and enables non- State actors to commit acts impermissible under the Convention with impunity, the State's indifference or inaction provides a form of encouragement and/or de facto permission</w:t>
      </w:r>
      <w:r w:rsidR="002775DB">
        <w:rPr>
          <w:color w:val="000000"/>
          <w:shd w:val="clear" w:color="auto" w:fill="FFFFFF"/>
          <w:lang w:eastAsia="en-US"/>
        </w:rPr>
        <w:t>”</w:t>
      </w:r>
      <w:r w:rsidR="0073690C" w:rsidRPr="00FC0D25">
        <w:rPr>
          <w:color w:val="000000"/>
          <w:shd w:val="clear" w:color="auto" w:fill="FFFFFF"/>
          <w:vertAlign w:val="superscript"/>
          <w:lang w:eastAsia="en-US"/>
        </w:rPr>
        <w:footnoteReference w:id="158"/>
      </w:r>
      <w:r w:rsidRPr="00FC0D25">
        <w:rPr>
          <w:color w:val="000000"/>
          <w:shd w:val="clear" w:color="auto" w:fill="FFFFFF"/>
          <w:lang w:eastAsia="en-US"/>
        </w:rPr>
        <w:t xml:space="preserve">.  </w:t>
      </w:r>
    </w:p>
    <w:p w:rsidR="0073690C" w:rsidRDefault="0073690C" w:rsidP="002775DB">
      <w:p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ind w:left="360"/>
        <w:contextualSpacing/>
        <w:jc w:val="both"/>
        <w:rPr>
          <w:color w:val="000000"/>
          <w:shd w:val="clear" w:color="auto" w:fill="FFFFFF"/>
          <w:lang w:eastAsia="en-US"/>
        </w:rPr>
      </w:pPr>
    </w:p>
    <w:p w:rsidR="00FC0D25" w:rsidRPr="00FC0D25" w:rsidRDefault="00FC0D25" w:rsidP="002775DB">
      <w:pPr>
        <w:numPr>
          <w:ilvl w:val="0"/>
          <w:numId w:val="27"/>
        </w:numPr>
        <w:tabs>
          <w:tab w:val="left" w:pos="924"/>
          <w:tab w:val="left" w:pos="993"/>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shd w:val="clear" w:color="auto" w:fill="FFFFFF"/>
          <w:lang w:eastAsia="en-US"/>
        </w:rPr>
      </w:pPr>
      <w:r w:rsidRPr="00FC0D25">
        <w:rPr>
          <w:color w:val="000000"/>
          <w:shd w:val="clear" w:color="auto" w:fill="FFFFFF"/>
          <w:lang w:eastAsia="en-US"/>
        </w:rPr>
        <w:t>The Committee has applied this principle to States parties’ failure to prevent and protect victims from gender-based violence such as rape and domestic violence</w:t>
      </w:r>
      <w:r w:rsidR="0073690C">
        <w:rPr>
          <w:rStyle w:val="FootnoteReference"/>
          <w:color w:val="000000"/>
          <w:shd w:val="clear" w:color="auto" w:fill="FFFFFF"/>
          <w:lang w:eastAsia="en-US"/>
        </w:rPr>
        <w:footnoteReference w:id="159"/>
      </w:r>
      <w:r w:rsidRPr="00FC0D25">
        <w:rPr>
          <w:color w:val="000000"/>
          <w:shd w:val="clear" w:color="auto" w:fill="FFFFFF"/>
          <w:lang w:eastAsia="en-US"/>
        </w:rPr>
        <w:t>, and this interpretation makes it clear that Australia governments have an obligation to prevent and respond to violence, abuse and neglect, particula</w:t>
      </w:r>
      <w:r w:rsidR="002775DB">
        <w:rPr>
          <w:color w:val="000000"/>
          <w:shd w:val="clear" w:color="auto" w:fill="FFFFFF"/>
          <w:lang w:eastAsia="en-US"/>
        </w:rPr>
        <w:t>rly</w:t>
      </w:r>
      <w:r w:rsidRPr="00FC0D25">
        <w:rPr>
          <w:color w:val="000000"/>
          <w:shd w:val="clear" w:color="auto" w:fill="FFFFFF"/>
          <w:lang w:eastAsia="en-US"/>
        </w:rPr>
        <w:t xml:space="preserve"> their gendered aspects, as part of their obligations under CAT. Violence, abuse and neglect of people with disability may also constitute ill-treatment. (</w:t>
      </w:r>
      <w:r w:rsidR="0073690C">
        <w:rPr>
          <w:color w:val="000000"/>
          <w:shd w:val="clear" w:color="auto" w:fill="FFFFFF"/>
          <w:lang w:eastAsia="en-US"/>
        </w:rPr>
        <w:t>S</w:t>
      </w:r>
      <w:r w:rsidRPr="00FC0D25">
        <w:rPr>
          <w:color w:val="000000"/>
          <w:shd w:val="clear" w:color="auto" w:fill="FFFFFF"/>
          <w:lang w:eastAsia="en-US"/>
        </w:rPr>
        <w:t xml:space="preserve">ee </w:t>
      </w:r>
      <w:r w:rsidR="0073690C">
        <w:rPr>
          <w:color w:val="000000"/>
          <w:shd w:val="clear" w:color="auto" w:fill="FFFFFF"/>
          <w:lang w:eastAsia="en-US"/>
        </w:rPr>
        <w:t xml:space="preserve">also </w:t>
      </w:r>
      <w:r w:rsidR="002775DB">
        <w:rPr>
          <w:color w:val="000000"/>
          <w:shd w:val="clear" w:color="auto" w:fill="FFFFFF"/>
          <w:lang w:eastAsia="en-US"/>
        </w:rPr>
        <w:t>R</w:t>
      </w:r>
      <w:r w:rsidRPr="00FC0D25">
        <w:rPr>
          <w:color w:val="000000"/>
          <w:shd w:val="clear" w:color="auto" w:fill="FFFFFF"/>
          <w:lang w:eastAsia="en-US"/>
        </w:rPr>
        <w:t xml:space="preserve">estrictive </w:t>
      </w:r>
      <w:r w:rsidR="002775DB">
        <w:rPr>
          <w:color w:val="000000"/>
          <w:shd w:val="clear" w:color="auto" w:fill="FFFFFF"/>
          <w:lang w:eastAsia="en-US"/>
        </w:rPr>
        <w:t>Practices, Legal C</w:t>
      </w:r>
      <w:r w:rsidRPr="00FC0D25">
        <w:rPr>
          <w:color w:val="000000"/>
          <w:shd w:val="clear" w:color="auto" w:fill="FFFFFF"/>
          <w:lang w:eastAsia="en-US"/>
        </w:rPr>
        <w:t>apacity)</w:t>
      </w:r>
    </w:p>
    <w:p w:rsidR="00FC0D25" w:rsidRPr="00FC0D25" w:rsidRDefault="00FC0D25" w:rsidP="002775DB">
      <w:pPr>
        <w:tabs>
          <w:tab w:val="left" w:pos="924"/>
          <w:tab w:val="left" w:pos="993"/>
          <w:tab w:val="left" w:pos="2773"/>
          <w:tab w:val="left" w:pos="3697"/>
          <w:tab w:val="left" w:pos="4621"/>
          <w:tab w:val="left" w:pos="5545"/>
          <w:tab w:val="left" w:pos="6469"/>
          <w:tab w:val="left" w:pos="7394"/>
          <w:tab w:val="left" w:pos="8318"/>
          <w:tab w:val="right" w:pos="8930"/>
        </w:tabs>
        <w:ind w:left="786"/>
        <w:contextualSpacing/>
        <w:jc w:val="both"/>
        <w:rPr>
          <w:color w:val="000000"/>
          <w:shd w:val="clear" w:color="auto" w:fill="FFFFFF"/>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There is no publicly reported, systematic disaggregated data available in Australia in relation to exploitation, violence and abuse against people with disability. Identification is hindered by the uneven and inadequate collection of disaggregated data and a lack of national research and analysis on the issue.</w:t>
      </w:r>
      <w:bookmarkStart w:id="74" w:name="_Ref322511337"/>
      <w:r w:rsidRPr="00FC0D25">
        <w:rPr>
          <w:color w:val="000000"/>
          <w:sz w:val="22"/>
          <w:szCs w:val="20"/>
          <w:vertAlign w:val="superscript"/>
          <w:lang w:eastAsia="en-US"/>
        </w:rPr>
        <w:footnoteReference w:id="160"/>
      </w:r>
      <w:bookmarkEnd w:id="74"/>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73690C"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Available evidence has found that people with disability experience very high levels of violence, exploitation and abuse. For example, 18 percent of people with disability report being victims of physical or threatened violence compared to 10 percent without a disability.</w:t>
      </w:r>
      <w:r w:rsidRPr="00FC0D25">
        <w:rPr>
          <w:color w:val="000000"/>
          <w:sz w:val="22"/>
          <w:szCs w:val="20"/>
          <w:vertAlign w:val="superscript"/>
          <w:lang w:eastAsia="en-US"/>
        </w:rPr>
        <w:footnoteReference w:id="161"/>
      </w:r>
      <w:r w:rsidRPr="00FC0D25">
        <w:rPr>
          <w:color w:val="000000"/>
          <w:lang w:eastAsia="en-US"/>
        </w:rPr>
        <w:t xml:space="preserve"> People with intellectual disability are ten times more likely to have experienced abuse than people without disability.</w:t>
      </w:r>
      <w:r w:rsidRPr="00FC0D25">
        <w:rPr>
          <w:color w:val="000000"/>
          <w:sz w:val="22"/>
          <w:szCs w:val="20"/>
          <w:vertAlign w:val="superscript"/>
          <w:lang w:eastAsia="en-US"/>
        </w:rPr>
        <w:footnoteReference w:id="162"/>
      </w:r>
      <w:r w:rsidRPr="00FC0D25">
        <w:rPr>
          <w:color w:val="000000"/>
          <w:lang w:eastAsia="en-US"/>
        </w:rPr>
        <w:t xml:space="preserve"> </w:t>
      </w:r>
    </w:p>
    <w:p w:rsidR="0073690C" w:rsidRPr="00701CBA" w:rsidRDefault="0073690C" w:rsidP="00701CBA">
      <w:pPr>
        <w:ind w:left="360"/>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More than a quarter of rape cases reported by females are perpetrated against women with disability.</w:t>
      </w:r>
      <w:r w:rsidRPr="00FC0D25">
        <w:rPr>
          <w:color w:val="000000"/>
          <w:sz w:val="22"/>
          <w:szCs w:val="20"/>
          <w:vertAlign w:val="superscript"/>
          <w:lang w:eastAsia="en-US"/>
        </w:rPr>
        <w:footnoteReference w:id="163"/>
      </w:r>
      <w:r w:rsidRPr="00FC0D25">
        <w:rPr>
          <w:color w:val="000000"/>
          <w:lang w:eastAsia="en-US"/>
        </w:rPr>
        <w:t xml:space="preserve"> It is estimated that between 50 percent and 70 percent of women with psychosocial disability have experienced past physical or sexual abuse, including child sexual assault, and many of these women are likely to be re-traumatised by their experience in mixed mental health facilities.</w:t>
      </w:r>
      <w:r w:rsidRPr="00FC0D25">
        <w:rPr>
          <w:color w:val="000000"/>
          <w:sz w:val="22"/>
          <w:szCs w:val="20"/>
          <w:vertAlign w:val="superscript"/>
          <w:lang w:eastAsia="en-US"/>
        </w:rPr>
        <w:footnoteReference w:id="164"/>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Women with disability, regardless of age, ethnicity, sexual orientation or class are subjected to double the rate of exploitation, violence and abuse, including domestic and family violence as experienced by women without disability.</w:t>
      </w:r>
      <w:r w:rsidRPr="00FC0D25">
        <w:rPr>
          <w:color w:val="000000"/>
          <w:sz w:val="22"/>
          <w:szCs w:val="20"/>
          <w:vertAlign w:val="superscript"/>
          <w:lang w:eastAsia="en-US"/>
        </w:rPr>
        <w:footnoteReference w:id="165"/>
      </w:r>
      <w:r w:rsidRPr="00FC0D25">
        <w:rPr>
          <w:color w:val="000000"/>
          <w:lang w:eastAsia="en-US"/>
        </w:rPr>
        <w:t xml:space="preserve">  Aboriginal and Torres Strait Islander people with disability and people with disability from non-English speaking backgrounds also experience higher rates of exploitation, violence and abuse than the general population.</w:t>
      </w:r>
      <w:r w:rsidRPr="00FC0D25">
        <w:rPr>
          <w:rFonts w:ascii="Times New Roman" w:hAnsi="Times New Roman" w:cs="Times New Roman"/>
          <w:color w:val="000000"/>
          <w:sz w:val="22"/>
          <w:szCs w:val="20"/>
          <w:vertAlign w:val="superscript"/>
          <w:lang w:eastAsia="en-US"/>
        </w:rPr>
        <w:footnoteReference w:id="166"/>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86"/>
        <w:contextualSpacing/>
        <w:jc w:val="both"/>
        <w:rPr>
          <w:color w:val="000000"/>
          <w:sz w:val="27"/>
          <w:szCs w:val="27"/>
          <w:shd w:val="clear" w:color="auto" w:fill="FFFFFF"/>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In Australia, there is no specific legal, administrative or policy framework for the protection, investigation and prosecution of exploitation, violence and abuse of people with disability.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National Disability Strategy (NDS) recognises “that people with disability are more vulnerable to violence, exploitation and neglect”; are “more likely to be victims of crime”; that those living in institutional environments where violence is more common fare worse than others; and women with disability “face increased risk”.</w:t>
      </w:r>
      <w:r w:rsidRPr="00FC0D25">
        <w:rPr>
          <w:color w:val="000000"/>
          <w:sz w:val="22"/>
          <w:szCs w:val="20"/>
          <w:vertAlign w:val="superscript"/>
          <w:lang w:eastAsia="en-US"/>
        </w:rPr>
        <w:footnoteReference w:id="167"/>
      </w:r>
      <w:r w:rsidRPr="00FC0D25">
        <w:rPr>
          <w:color w:val="000000"/>
          <w:lang w:eastAsia="en-US"/>
        </w:rPr>
        <w:t xml:space="preserve"> However, the NDS contains limited measures to address these issues, and it only identifies that there is a need to “develop strategies to reduce violence, abuse and neglect of people with disability”.</w:t>
      </w:r>
      <w:r w:rsidRPr="00FC0D25">
        <w:rPr>
          <w:color w:val="000000"/>
          <w:sz w:val="22"/>
          <w:szCs w:val="20"/>
          <w:vertAlign w:val="superscript"/>
          <w:lang w:eastAsia="en-US"/>
        </w:rPr>
        <w:footnoteReference w:id="168"/>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The National Plan to Reduce Violence against Women and their Children 2010–2022 contains two initiatives specifically focused on improving access and responses of specialist domestic violence and sexual assault services to women with disability.</w:t>
      </w:r>
      <w:bookmarkStart w:id="75" w:name="_Ref322515642"/>
      <w:r w:rsidRPr="00FC0D25">
        <w:rPr>
          <w:color w:val="000000"/>
          <w:sz w:val="22"/>
          <w:szCs w:val="20"/>
          <w:vertAlign w:val="superscript"/>
          <w:lang w:eastAsia="en-US"/>
        </w:rPr>
        <w:footnoteReference w:id="169"/>
      </w:r>
      <w:bookmarkEnd w:id="75"/>
      <w:r w:rsidRPr="00FC0D25">
        <w:rPr>
          <w:color w:val="000000"/>
          <w:lang w:eastAsia="en-US"/>
        </w:rPr>
        <w:t xml:space="preserve"> These initiatives are welcome, however the National Plan does not as yet address linkages between domestic violence and sexual assault services and the disability or mental health service systems. It also does not address specific forms of violence experienced by women with disability, such as forced sterilisation and abortions,</w:t>
      </w:r>
      <w:r w:rsidRPr="00FC0D25">
        <w:rPr>
          <w:color w:val="000000"/>
        </w:rPr>
        <w:t xml:space="preserve"> forced contraception, restrictive practices, forced psychiatric interventions, and violence and abuse within institutional settings.</w:t>
      </w:r>
      <w:r w:rsidRPr="00FC0D25">
        <w:rPr>
          <w:color w:val="000000"/>
          <w:kern w:val="28"/>
          <w:sz w:val="22"/>
          <w:szCs w:val="20"/>
          <w:vertAlign w:val="superscript"/>
        </w:rPr>
        <w:footnoteReference w:id="170"/>
      </w:r>
      <w:r w:rsidRPr="00FC0D25">
        <w:rPr>
          <w:color w:val="000000"/>
        </w:rPr>
        <w:t xml:space="preserve"> </w:t>
      </w:r>
      <w:r w:rsidR="00701CBA">
        <w:rPr>
          <w:color w:val="000000"/>
          <w:lang w:eastAsia="en-US"/>
        </w:rPr>
        <w:t xml:space="preserve"> (See also S</w:t>
      </w:r>
      <w:r w:rsidRPr="00FC0D25">
        <w:rPr>
          <w:color w:val="000000"/>
          <w:lang w:eastAsia="en-US"/>
        </w:rPr>
        <w:t xml:space="preserve">terilisation, </w:t>
      </w:r>
      <w:r w:rsidR="00701CBA">
        <w:rPr>
          <w:color w:val="000000"/>
          <w:lang w:eastAsia="en-US"/>
        </w:rPr>
        <w:t>R</w:t>
      </w:r>
      <w:r w:rsidRPr="00FC0D25">
        <w:rPr>
          <w:color w:val="000000"/>
          <w:lang w:eastAsia="en-US"/>
        </w:rPr>
        <w:t xml:space="preserve">estrictive </w:t>
      </w:r>
      <w:r w:rsidR="00701CBA">
        <w:rPr>
          <w:color w:val="000000"/>
          <w:lang w:eastAsia="en-US"/>
        </w:rPr>
        <w:t>P</w:t>
      </w:r>
      <w:r w:rsidRPr="00FC0D25">
        <w:rPr>
          <w:color w:val="000000"/>
          <w:lang w:eastAsia="en-US"/>
        </w:rPr>
        <w:t>ractices)</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 National Framework for Protecting Australia’s Children 2009-2020 includes a very limited number of initiatives that specifically focus on protecting children and young people with disability from abuse and neglect. Only two of the five initiatives have a national focus, and none provide a comprehensive approach to identifying the incidence, prevention or response of violence, abuse and neglect experienced by children with disability. All the initiatives are included under an outcome for addressing “parental risk factors”, including “childhood disability, mental health and / or behavioural problems”.</w:t>
      </w:r>
      <w:r w:rsidRPr="00FC0D25">
        <w:rPr>
          <w:color w:val="000000"/>
          <w:sz w:val="22"/>
          <w:szCs w:val="20"/>
          <w:vertAlign w:val="superscript"/>
          <w:lang w:eastAsia="en-US"/>
        </w:rPr>
        <w:footnoteReference w:id="171"/>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In 2013 the Commonwealth government announced a Royal Commission into Institutional Responses to Child Sexual Abuse which has been extended to run until 2018.</w:t>
      </w:r>
      <w:r w:rsidRPr="00FC0D25">
        <w:rPr>
          <w:color w:val="000000"/>
          <w:vertAlign w:val="superscript"/>
          <w:lang w:eastAsia="en-US"/>
        </w:rPr>
        <w:footnoteReference w:id="172"/>
      </w:r>
      <w:r w:rsidRPr="00FC0D25">
        <w:rPr>
          <w:color w:val="000000"/>
          <w:lang w:eastAsia="en-US"/>
        </w:rPr>
        <w:t xml:space="preserve"> This is a positive development on which the government should be congratulated. The Royal Commission is making considerable effort to include the voice of people with disability in this inquiry and their initial report</w:t>
      </w:r>
      <w:r w:rsidR="009A5C8A">
        <w:rPr>
          <w:rStyle w:val="FootnoteReference"/>
          <w:color w:val="000000"/>
          <w:lang w:eastAsia="en-US"/>
        </w:rPr>
        <w:footnoteReference w:id="173"/>
      </w:r>
      <w:r w:rsidRPr="00FC0D25">
        <w:rPr>
          <w:color w:val="000000"/>
          <w:lang w:eastAsia="en-US"/>
        </w:rPr>
        <w:t xml:space="preserve"> outlined key issues which make children with disability vulnerable to abuse.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lang w:eastAsia="en-US"/>
        </w:rPr>
        <w:t>The Royal Commission has also been able to hear evidence from people with disability about experiences of abuse that were not prosecuted by police.  These include a high profile case where a bus driver employed by a church operated special school for children with disability was not charged with a series of sexual assault charges against a number of young boys with disability over a period of time as police did not believe that these charges would be upheld in a court due to questions about the competence of witnesses on the grounds of their intellectual disability</w:t>
      </w:r>
      <w:r w:rsidRPr="00FC0D25">
        <w:rPr>
          <w:rFonts w:ascii="Times New Roman" w:hAnsi="Times New Roman" w:cs="Times New Roman"/>
          <w:color w:val="000000"/>
          <w:sz w:val="22"/>
          <w:szCs w:val="20"/>
          <w:vertAlign w:val="superscript"/>
          <w:lang w:eastAsia="en-US"/>
        </w:rPr>
        <w:footnoteReference w:id="174"/>
      </w:r>
      <w:r w:rsidRPr="00FC0D25">
        <w:rPr>
          <w:lang w:eastAsia="en-US"/>
        </w:rPr>
        <w:t>.</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lang w:eastAsia="en-US"/>
        </w:rPr>
        <w:t xml:space="preserve">Despite action taken to pursue a number of serial rapists and paedophiles who preyed on children without disability in church run schools in recent times, cases involving children with disability, such as this one have not been pursued by authorities. In addition to addressing the causes and consequences of sexual assault of children, it is hoped that this Royal Commission will lead to systemic changes that increase access to justice for people with disability, for example by demonstrating that they are able to participate in court processes.  </w:t>
      </w:r>
    </w:p>
    <w:p w:rsidR="00FC0D25" w:rsidRPr="00FC03FB"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76" w:name="_Toc401341201"/>
      <w:r w:rsidRPr="00FC03FB">
        <w:rPr>
          <w:b/>
          <w:bCs/>
          <w:caps/>
          <w:color w:val="244061"/>
          <w:kern w:val="28"/>
          <w:lang w:val="x-none" w:eastAsia="en-US"/>
        </w:rPr>
        <w:t>9.1 Barriers to justice</w:t>
      </w:r>
      <w:bookmarkEnd w:id="76"/>
      <w:r w:rsidRPr="00FC03FB">
        <w:rPr>
          <w:b/>
          <w:bCs/>
          <w:caps/>
          <w:color w:val="244061"/>
          <w:kern w:val="28"/>
          <w:lang w:val="x-none" w:eastAsia="en-US"/>
        </w:rPr>
        <w:t xml:space="preserve"> </w:t>
      </w: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Prevention, reporting and response to violence, exploitation and abuse in disability service systems throughout Australia rely heavily on gender-neutral ‘abuse and neglect’ policies. The predominant use of the term ‘abuse and neglect’ to cover a wide range of behaviour and situations tends to reframe violence, exploitation and abuse as ‘service incidents’, even when an incident is a criminal act. This creates a greater potential for such ‘incidents’ to go undetected, unreported, and not investigated or prosecuted because they are more likely to be dealt with administratively within the service setting. For example, research suggests that disability service providers have wide discretion in determining whether an alleged ‘incident’ of sexual assault against people with disability justifies reporting the ‘incident’ to the police, even if there is a requirement of mandatory reporting.</w:t>
      </w:r>
      <w:r w:rsidRPr="00FC0D25">
        <w:rPr>
          <w:color w:val="000000"/>
          <w:sz w:val="22"/>
          <w:szCs w:val="20"/>
          <w:vertAlign w:val="superscript"/>
          <w:lang w:eastAsia="en-US"/>
        </w:rPr>
        <w:footnoteReference w:id="175"/>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Police often treat reports of exploitation, violence and abuse experienced by people with disability differently to people without disability. This is particularly the case where there is a perception that the person with disability is already being ‘cared’ for in an institution or residential care facility, even when the exploitation, violence and abuse has been reported as occurring in that facility. There is an assumption that the facility deals with people with disability and that it is not a police matter. In many cases, people with disability are returned back to these facilities, and these incidences remain ‘hidden’ and unacknowledged.</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20"/>
        <w:jc w:val="both"/>
        <w:rPr>
          <w:b/>
          <w:i/>
          <w:color w:val="002060"/>
          <w:lang w:eastAsia="en-US"/>
        </w:rPr>
      </w:pPr>
      <w:r w:rsidRPr="00FC0D25">
        <w:rPr>
          <w:b/>
          <w:i/>
          <w:color w:val="002060"/>
          <w:lang w:eastAsia="en-US"/>
        </w:rPr>
        <w:t>Case Study: In 2010, a 15 year old student with Asperger’s Syndrome and attention deficit hyperactivity disorder was attacked by fellow students and received severe concussion during the bashing. The student was not accompanied by anybody in the ambulance to hospital and the student’s father was only informed about the assault after contacting the hospital three hours after the attack. Police were not informed of the attack until the following day.</w:t>
      </w:r>
      <w:r w:rsidRPr="00FC0D25">
        <w:rPr>
          <w:b/>
          <w:i/>
          <w:color w:val="002060"/>
          <w:vertAlign w:val="superscript"/>
          <w:lang w:eastAsia="en-US"/>
        </w:rPr>
        <w:footnoteReference w:id="176"/>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contextualSpacing/>
        <w:jc w:val="both"/>
        <w:rPr>
          <w:color w:val="000000"/>
          <w:lang w:eastAsia="en-US"/>
        </w:rPr>
      </w:pPr>
      <w:r w:rsidRPr="00FC0D25">
        <w:rPr>
          <w:color w:val="000000"/>
          <w:lang w:eastAsia="en-US"/>
        </w:rPr>
        <w:t xml:space="preserve">Factors that contribute to the lack of reporting and disclosure by people with disability include: </w:t>
      </w:r>
    </w:p>
    <w:p w:rsidR="00FC0D25" w:rsidRPr="00FC0D25" w:rsidRDefault="00FC0D25" w:rsidP="002775DB">
      <w:pPr>
        <w:numPr>
          <w:ilvl w:val="0"/>
          <w:numId w:val="29"/>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jc w:val="both"/>
        <w:rPr>
          <w:color w:val="000000"/>
          <w:lang w:eastAsia="en-US"/>
        </w:rPr>
      </w:pPr>
      <w:r w:rsidRPr="00FC0D25">
        <w:rPr>
          <w:color w:val="000000"/>
          <w:lang w:eastAsia="en-US"/>
        </w:rPr>
        <w:t xml:space="preserve">a reliance on assistance, support and care in relationships with partners, family members, professional </w:t>
      </w:r>
      <w:proofErr w:type="spellStart"/>
      <w:r w:rsidRPr="00FC0D25">
        <w:rPr>
          <w:color w:val="000000"/>
          <w:lang w:eastAsia="en-US"/>
        </w:rPr>
        <w:t>carers</w:t>
      </w:r>
      <w:proofErr w:type="spellEnd"/>
      <w:r w:rsidRPr="00FC0D25">
        <w:rPr>
          <w:color w:val="000000"/>
          <w:lang w:eastAsia="en-US"/>
        </w:rPr>
        <w:t xml:space="preserve"> and service providers creates a level of dependency and powerlessness, and a fear that disclosure of exploitation, violence and abuse will place these relationships at risk;</w:t>
      </w:r>
      <w:r w:rsidRPr="00FC0D25">
        <w:rPr>
          <w:color w:val="000000"/>
          <w:vertAlign w:val="superscript"/>
          <w:lang w:eastAsia="en-US"/>
        </w:rPr>
        <w:footnoteReference w:id="177"/>
      </w:r>
    </w:p>
    <w:p w:rsidR="00FC0D25" w:rsidRPr="00FC0D25" w:rsidRDefault="00FC0D25" w:rsidP="002775DB">
      <w:pPr>
        <w:numPr>
          <w:ilvl w:val="0"/>
          <w:numId w:val="29"/>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jc w:val="both"/>
        <w:rPr>
          <w:color w:val="000000"/>
          <w:lang w:eastAsia="en-US"/>
        </w:rPr>
      </w:pPr>
      <w:r w:rsidRPr="00FC0D25">
        <w:rPr>
          <w:color w:val="000000"/>
          <w:lang w:eastAsia="en-US"/>
        </w:rPr>
        <w:t>the greater risks and actual incidences of exploitation, violence and abuse in institutions, residential and mental health facilities means that these experiences are ‘normalised’ and not recognised by people with disability as exploitation, violence and abuse, even when they constitute crimes;</w:t>
      </w:r>
    </w:p>
    <w:p w:rsidR="00FC0D25" w:rsidRPr="00FC0D25" w:rsidRDefault="00FC0D25" w:rsidP="002775DB">
      <w:pPr>
        <w:numPr>
          <w:ilvl w:val="0"/>
          <w:numId w:val="29"/>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jc w:val="both"/>
        <w:rPr>
          <w:color w:val="000000"/>
          <w:lang w:eastAsia="en-US"/>
        </w:rPr>
      </w:pPr>
      <w:r w:rsidRPr="00FC0D25">
        <w:rPr>
          <w:color w:val="000000"/>
          <w:lang w:eastAsia="en-US"/>
        </w:rPr>
        <w:t>there are few gender and age specific programs for people with disability aimed at empowerment, increasing self-esteem and knowledge of rights and what to do if these rights are breached;</w:t>
      </w:r>
      <w:r w:rsidRPr="00FC0D25">
        <w:rPr>
          <w:color w:val="000000"/>
          <w:vertAlign w:val="superscript"/>
          <w:lang w:eastAsia="en-US"/>
        </w:rPr>
        <w:footnoteReference w:id="178"/>
      </w:r>
    </w:p>
    <w:p w:rsidR="00FC0D25" w:rsidRPr="00FC0D25" w:rsidRDefault="00FC0D25" w:rsidP="002775DB">
      <w:pPr>
        <w:numPr>
          <w:ilvl w:val="0"/>
          <w:numId w:val="29"/>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jc w:val="both"/>
        <w:rPr>
          <w:color w:val="000000"/>
          <w:lang w:eastAsia="en-US"/>
        </w:rPr>
      </w:pPr>
      <w:r w:rsidRPr="00FC0D25">
        <w:rPr>
          <w:color w:val="000000"/>
          <w:lang w:eastAsia="en-US"/>
        </w:rPr>
        <w:t>there are few gender and age specific programs for people with disability about sexuality and sexual and intimate relationships, which may stem from commonly held stereotypes and prejudices that people with disability are asexual or should be protected from their sexuality;</w:t>
      </w:r>
      <w:r w:rsidRPr="00FC0D25">
        <w:rPr>
          <w:color w:val="000000"/>
          <w:vertAlign w:val="superscript"/>
          <w:lang w:eastAsia="en-US"/>
        </w:rPr>
        <w:footnoteReference w:id="179"/>
      </w:r>
      <w:r w:rsidRPr="00FC0D25">
        <w:rPr>
          <w:color w:val="000000"/>
          <w:lang w:eastAsia="en-US"/>
        </w:rPr>
        <w:t xml:space="preserve"> </w:t>
      </w:r>
    </w:p>
    <w:p w:rsidR="00FC0D25" w:rsidRPr="00FC0D25" w:rsidRDefault="00FC0D25" w:rsidP="002775DB">
      <w:pPr>
        <w:numPr>
          <w:ilvl w:val="0"/>
          <w:numId w:val="29"/>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jc w:val="both"/>
        <w:rPr>
          <w:color w:val="000000"/>
          <w:lang w:eastAsia="en-US"/>
        </w:rPr>
      </w:pPr>
      <w:r w:rsidRPr="00FC0D25">
        <w:rPr>
          <w:color w:val="000000"/>
          <w:lang w:eastAsia="en-US"/>
        </w:rPr>
        <w:t>many people with disability fear retribution in the form of losing support and assistance if they report or disclose exploitation, violence and abuse;</w:t>
      </w:r>
      <w:r w:rsidRPr="00FC0D25">
        <w:rPr>
          <w:color w:val="000000"/>
          <w:vertAlign w:val="superscript"/>
          <w:lang w:eastAsia="en-US"/>
        </w:rPr>
        <w:footnoteReference w:id="180"/>
      </w:r>
      <w:r w:rsidRPr="00FC0D25">
        <w:rPr>
          <w:color w:val="000000"/>
          <w:lang w:eastAsia="en-US"/>
        </w:rPr>
        <w:t xml:space="preserve"> and</w:t>
      </w:r>
    </w:p>
    <w:p w:rsidR="00FC0D25" w:rsidRPr="00FC0D25" w:rsidRDefault="00FC0D25" w:rsidP="002775DB">
      <w:pPr>
        <w:numPr>
          <w:ilvl w:val="0"/>
          <w:numId w:val="29"/>
        </w:numPr>
        <w:tabs>
          <w:tab w:val="left" w:pos="924"/>
          <w:tab w:val="left" w:pos="1848"/>
          <w:tab w:val="left" w:pos="2773"/>
          <w:tab w:val="left" w:pos="3697"/>
          <w:tab w:val="left" w:pos="4621"/>
          <w:tab w:val="left" w:pos="5545"/>
          <w:tab w:val="left" w:pos="6469"/>
          <w:tab w:val="left" w:pos="7394"/>
          <w:tab w:val="left" w:pos="8318"/>
          <w:tab w:val="right" w:pos="8930"/>
        </w:tabs>
        <w:spacing w:line="276" w:lineRule="auto"/>
        <w:jc w:val="both"/>
        <w:rPr>
          <w:color w:val="000000"/>
          <w:lang w:eastAsia="en-US"/>
        </w:rPr>
      </w:pPr>
      <w:r w:rsidRPr="00FC0D25">
        <w:rPr>
          <w:color w:val="000000"/>
          <w:lang w:eastAsia="en-US"/>
        </w:rPr>
        <w:t>many people with disability have difficulties in communicating occurrences of exploitation, violence and abuse due to limitations of specific communication aids. For example, in relation to augmentative communication, symbols or words for the terms ‘genitalia’ or ‘rape’ are rarely included, which limits the ability of people with disability to disclose exploitation, violence and abuse.</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20"/>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There are significant barriers to the justice system that prevent people with disability from reporting crimes and having them successfully prosecuted. One study reported that 40 percent of crimes against people with mild or moderate intellectual disability and 70 percent of crimes against people with severe intellectual disability went unreported to police.</w:t>
      </w:r>
      <w:r w:rsidRPr="00FC0D25">
        <w:rPr>
          <w:color w:val="000000"/>
          <w:sz w:val="22"/>
          <w:szCs w:val="20"/>
          <w:vertAlign w:val="superscript"/>
          <w:lang w:eastAsia="en-US"/>
        </w:rPr>
        <w:footnoteReference w:id="181"/>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20"/>
        <w:jc w:val="both"/>
        <w:rPr>
          <w:b/>
          <w:i/>
          <w:color w:val="002060"/>
          <w:lang w:eastAsia="en-US"/>
        </w:rPr>
      </w:pPr>
      <w:r w:rsidRPr="00FC0D25">
        <w:rPr>
          <w:b/>
          <w:i/>
          <w:color w:val="002060"/>
          <w:lang w:eastAsia="en-US"/>
        </w:rPr>
        <w:t xml:space="preserve">Case Study: John, who has intellectual disability, was badly assaulted in his home town. Symbols were even carved into his head. John was in hospital for five days. Both John’s parents and his support worker spent a lot of time convincing John to give a statement to the police. He knew who had assaulted him and was able to provide a statement to the police </w:t>
      </w:r>
      <w:r w:rsidRPr="00FC0D25">
        <w:rPr>
          <w:b/>
          <w:i/>
          <w:color w:val="002060"/>
          <w:lang w:eastAsia="en-US"/>
        </w:rPr>
        <w:lastRenderedPageBreak/>
        <w:t>but nothing has happened since as the police have said John is not a credible witness.</w:t>
      </w:r>
      <w:r w:rsidRPr="00FC0D25">
        <w:rPr>
          <w:b/>
          <w:i/>
          <w:color w:val="002060"/>
          <w:vertAlign w:val="superscript"/>
          <w:lang w:eastAsia="en-US"/>
        </w:rPr>
        <w:footnoteReference w:id="182"/>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Moreover, the capacity of people with cognitive impairments to participate as witnesses in court proceedings is not supported.  Assumptions about the credibility of their evidence are constantly made by police and court officers, such as prosecutors, judges and magistrates</w:t>
      </w:r>
      <w:r w:rsidRPr="00FC0D25">
        <w:rPr>
          <w:color w:val="000000"/>
          <w:sz w:val="22"/>
          <w:szCs w:val="20"/>
          <w:vertAlign w:val="superscript"/>
          <w:lang w:eastAsia="en-US"/>
        </w:rPr>
        <w:footnoteReference w:id="183"/>
      </w:r>
      <w:r w:rsidRPr="00FC0D25">
        <w:rPr>
          <w:color w:val="000000"/>
          <w:lang w:eastAsia="en-US"/>
        </w:rPr>
        <w:t xml:space="preserve"> and this has led to serious assault, sexual assault and abuse crimes going unprosecuted.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b/>
          <w:color w:val="00206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Training in providing accommodations and supports to people with disability is neither compulsory nor consistent across different jurisdictions for judicial officers, legal practitioners and court staff.</w:t>
      </w:r>
      <w:r w:rsidRPr="00FC0D25">
        <w:rPr>
          <w:color w:val="000000"/>
          <w:sz w:val="22"/>
          <w:szCs w:val="20"/>
          <w:vertAlign w:val="superscript"/>
          <w:lang w:eastAsia="en-US"/>
        </w:rPr>
        <w:footnoteReference w:id="184"/>
      </w:r>
      <w:r w:rsidRPr="00FC0D25">
        <w:rPr>
          <w:color w:val="000000"/>
          <w:lang w:eastAsia="en-US"/>
        </w:rPr>
        <w:t xml:space="preserve"> A lack of awareness about disability issues leads to discrimination and negative attitudes which create barriers to accessing justice.</w:t>
      </w:r>
      <w:r w:rsidRPr="00FC0D25">
        <w:rPr>
          <w:color w:val="000000"/>
          <w:sz w:val="22"/>
          <w:szCs w:val="20"/>
          <w:vertAlign w:val="superscript"/>
          <w:lang w:eastAsia="en-US"/>
        </w:rPr>
        <w:footnoteReference w:id="185"/>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color w:val="000000"/>
          <w:lang w:eastAsia="en-US"/>
        </w:rPr>
      </w:pP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20"/>
        <w:jc w:val="both"/>
        <w:rPr>
          <w:b/>
          <w:i/>
          <w:color w:val="002060"/>
          <w:lang w:eastAsia="en-US"/>
        </w:rPr>
      </w:pPr>
      <w:r w:rsidRPr="00FC0D25">
        <w:rPr>
          <w:b/>
          <w:i/>
          <w:color w:val="002060"/>
          <w:lang w:eastAsia="en-US"/>
        </w:rPr>
        <w:t xml:space="preserve">Case Study: In 2009, a </w:t>
      </w:r>
      <w:proofErr w:type="spellStart"/>
      <w:r w:rsidRPr="00FC0D25">
        <w:rPr>
          <w:b/>
          <w:i/>
          <w:color w:val="002060"/>
          <w:lang w:eastAsia="en-US"/>
        </w:rPr>
        <w:t>carer</w:t>
      </w:r>
      <w:proofErr w:type="spellEnd"/>
      <w:r w:rsidRPr="00FC0D25">
        <w:rPr>
          <w:b/>
          <w:i/>
          <w:color w:val="002060"/>
          <w:lang w:eastAsia="en-US"/>
        </w:rPr>
        <w:t xml:space="preserve"> in an institution was found guilty of assault for tying a young boy with autism, to the toilet with a sheet and hitting him with a flyswatter around the head and back. Just over a year later, the Civil and Administrative Tribunal gave the carer back her ‘blue card’ (authority to work with vulnerable people and children) with the tribunal member stating “There is no indication as to what effect these events had on the children, the subject of the offences, or on any other children in the facility”, and “it is a credit to her (the carer) that she wishes to continue performing that role.”</w:t>
      </w:r>
      <w:r w:rsidRPr="00FC0D25">
        <w:rPr>
          <w:b/>
          <w:i/>
          <w:color w:val="002060"/>
          <w:vertAlign w:val="superscript"/>
          <w:lang w:eastAsia="en-US"/>
        </w:rPr>
        <w:footnoteReference w:id="186"/>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color w:val="000000"/>
          <w:lang w:eastAsia="en-US"/>
        </w:rPr>
      </w:pPr>
    </w:p>
    <w:p w:rsidR="00120AE1" w:rsidRDefault="00120AE1"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b/>
          <w:color w:val="000000"/>
          <w:lang w:eastAsia="en-US"/>
        </w:rPr>
      </w:pPr>
      <w:bookmarkStart w:id="77" w:name="_Toc331685873"/>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b/>
          <w:color w:val="000000"/>
          <w:lang w:eastAsia="en-US"/>
        </w:rPr>
      </w:pPr>
      <w:r w:rsidRPr="00FC0D25">
        <w:rPr>
          <w:b/>
          <w:color w:val="000000"/>
          <w:lang w:eastAsia="en-US"/>
        </w:rPr>
        <w:t xml:space="preserve">RECOMMENDATIONS </w:t>
      </w:r>
      <w:bookmarkEnd w:id="77"/>
    </w:p>
    <w:p w:rsidR="00FC0D25" w:rsidRPr="00FC0D25" w:rsidRDefault="00FC0D25" w:rsidP="002775DB">
      <w:pPr>
        <w:numPr>
          <w:ilvl w:val="0"/>
          <w:numId w:val="25"/>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color w:val="000000"/>
          <w:lang w:eastAsia="en-US"/>
        </w:rPr>
      </w:pPr>
      <w:r w:rsidRPr="00FC0D25">
        <w:rPr>
          <w:color w:val="000000"/>
          <w:lang w:eastAsia="en-US"/>
        </w:rPr>
        <w:t>That Australia establishes an independent, statutory, national protection mechanism that has broad functions and powers to protect, investigate and enforce findings related to situations of violence and abuse experienced by people with disability, and that addresses the multiple and aggravated forms of ill-treatment that result from the intersection of ‘disability’ with other characteristics, such as gender, age, indigenous status and racial, cultural or linguistic status.</w:t>
      </w:r>
    </w:p>
    <w:p w:rsidR="00FC0D25" w:rsidRPr="00FC0D25" w:rsidRDefault="00FC0D25" w:rsidP="002775DB">
      <w:pPr>
        <w:numPr>
          <w:ilvl w:val="0"/>
          <w:numId w:val="25"/>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lang w:eastAsia="en-US"/>
        </w:rPr>
      </w:pPr>
      <w:r w:rsidRPr="00FC0D25">
        <w:rPr>
          <w:color w:val="000000"/>
          <w:lang w:eastAsia="en-US"/>
        </w:rPr>
        <w:t xml:space="preserve">That Australia initiate a Royal Commission to undertake a comprehensive public inquiry into the incidence, forms and circumstances of exploitation, </w:t>
      </w:r>
      <w:r w:rsidRPr="00FC0D25">
        <w:rPr>
          <w:color w:val="000000"/>
          <w:lang w:eastAsia="en-US"/>
        </w:rPr>
        <w:lastRenderedPageBreak/>
        <w:t xml:space="preserve">violence and abuse of people with a disability in the community and within a full range of service settings, including addressing the gender and age-related dimensions of ill-treatment and the particular situation of Aboriginal and Torres Strait Islander people with disability and people with disability </w:t>
      </w:r>
      <w:r w:rsidRPr="00FC0D25">
        <w:rPr>
          <w:lang w:eastAsia="en-US"/>
        </w:rPr>
        <w:t xml:space="preserve">from </w:t>
      </w:r>
      <w:r w:rsidR="00120AE1">
        <w:rPr>
          <w:lang w:eastAsia="en-US"/>
        </w:rPr>
        <w:t xml:space="preserve">culturally linguistic and diverse </w:t>
      </w:r>
      <w:r w:rsidRPr="00FC0D25">
        <w:rPr>
          <w:lang w:eastAsia="en-US"/>
        </w:rPr>
        <w:t>backgrounds.</w:t>
      </w:r>
    </w:p>
    <w:p w:rsidR="00FC0D25" w:rsidRPr="00FC0D25" w:rsidRDefault="00FC0D25" w:rsidP="002775DB">
      <w:pPr>
        <w:numPr>
          <w:ilvl w:val="0"/>
          <w:numId w:val="25"/>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color w:val="000000"/>
          <w:lang w:eastAsia="en-US"/>
        </w:rPr>
      </w:pPr>
      <w:r w:rsidRPr="00FC0D25">
        <w:rPr>
          <w:color w:val="000000"/>
          <w:lang w:eastAsia="en-US"/>
        </w:rPr>
        <w:t>That standard and compulsory modules on working with people with disability are incorporated into training programs for police, prison officers, lawyers, judicial officers and court staff.</w:t>
      </w:r>
    </w:p>
    <w:p w:rsidR="00FC0D25" w:rsidRPr="00FC0D25" w:rsidRDefault="00FC0D25" w:rsidP="002775DB">
      <w:pPr>
        <w:numPr>
          <w:ilvl w:val="0"/>
          <w:numId w:val="25"/>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rPr>
          <w:color w:val="000000"/>
          <w:lang w:eastAsia="en-US"/>
        </w:rPr>
      </w:pPr>
      <w:r w:rsidRPr="00FC0D25">
        <w:rPr>
          <w:color w:val="000000"/>
          <w:lang w:eastAsia="en-US"/>
        </w:rPr>
        <w:t>That the findings of the Royal Commission into Institutional Responses to Child Abuse are implemented.</w:t>
      </w:r>
    </w:p>
    <w:p w:rsidR="00FC0D25" w:rsidRPr="0093790C"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lang w:val="x-none" w:eastAsia="en-US"/>
        </w:rPr>
      </w:pPr>
      <w:bookmarkStart w:id="78" w:name="_Toc331685868"/>
      <w:bookmarkStart w:id="79" w:name="_Toc401341202"/>
      <w:r w:rsidRPr="0093790C">
        <w:rPr>
          <w:b/>
          <w:bCs/>
          <w:caps/>
          <w:color w:val="244061"/>
          <w:kern w:val="28"/>
          <w:lang w:eastAsia="en-US"/>
        </w:rPr>
        <w:t xml:space="preserve">9.2 </w:t>
      </w:r>
      <w:r w:rsidRPr="0093790C">
        <w:rPr>
          <w:b/>
          <w:bCs/>
          <w:caps/>
          <w:color w:val="244061"/>
          <w:kern w:val="28"/>
          <w:lang w:val="x-none" w:eastAsia="en-US"/>
        </w:rPr>
        <w:t>Institution</w:t>
      </w:r>
      <w:bookmarkEnd w:id="78"/>
      <w:r w:rsidRPr="0093790C">
        <w:rPr>
          <w:b/>
          <w:bCs/>
          <w:caps/>
          <w:color w:val="244061"/>
          <w:kern w:val="28"/>
          <w:lang w:val="x-none" w:eastAsia="en-US"/>
        </w:rPr>
        <w:t>alisation</w:t>
      </w:r>
      <w:bookmarkEnd w:id="79"/>
      <w:r w:rsidRPr="0093790C">
        <w:rPr>
          <w:b/>
          <w:bCs/>
          <w:caps/>
          <w:color w:val="244061"/>
          <w:kern w:val="28"/>
          <w:lang w:val="x-none" w:eastAsia="en-US"/>
        </w:rPr>
        <w:t xml:space="preserve"> </w:t>
      </w: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People with disability who live in institutions experience multiple vulnerabilities and dependencies that put them at risk of continuing instances of violence and abuse throughout their lives. The longevity of these experiences, the fact that they are often not regarded as crimes, and the discrimination which compels people with disability to live in institutions provides a basis for the violence and abuse they experience being regarded as ill-treatment. (See also </w:t>
      </w:r>
      <w:r w:rsidR="00120AE1">
        <w:rPr>
          <w:color w:val="000000"/>
          <w:lang w:eastAsia="en-US"/>
        </w:rPr>
        <w:t>Restrictive P</w:t>
      </w:r>
      <w:r w:rsidRPr="00FC0D25">
        <w:rPr>
          <w:color w:val="000000"/>
          <w:lang w:eastAsia="en-US"/>
        </w:rPr>
        <w:t xml:space="preserve">ractices, </w:t>
      </w:r>
      <w:r w:rsidR="00120AE1">
        <w:rPr>
          <w:color w:val="000000"/>
          <w:lang w:eastAsia="en-US"/>
        </w:rPr>
        <w:t>Legal C</w:t>
      </w:r>
      <w:r w:rsidRPr="00FC0D25">
        <w:rPr>
          <w:color w:val="000000"/>
          <w:lang w:eastAsia="en-US"/>
        </w:rPr>
        <w:t xml:space="preserve">apacity)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Many people with disability are effectively forced to live in institutions or residential care facilities in order to receive social and personal care supports. People in these environments are at a heightened risk of physical and sexual violence and verbal, emotional, psychological or financial abuse as well as neglect and poor care, threatened and actual abuse and institutional violence and harassment perpetrated by co-residents, residential managers and support workers.</w:t>
      </w:r>
      <w:bookmarkStart w:id="80" w:name="_Ref322512282"/>
      <w:r w:rsidRPr="00FC0D25">
        <w:rPr>
          <w:color w:val="000000"/>
          <w:sz w:val="22"/>
          <w:szCs w:val="20"/>
          <w:vertAlign w:val="superscript"/>
          <w:lang w:eastAsia="en-US"/>
        </w:rPr>
        <w:footnoteReference w:id="187"/>
      </w:r>
      <w:bookmarkEnd w:id="80"/>
      <w:r w:rsidRPr="00FC0D25">
        <w:rPr>
          <w:color w:val="000000"/>
          <w:lang w:eastAsia="en-US"/>
        </w:rPr>
        <w:t xml:space="preserve"> It is extremely difficult to leave or escape violence, exploitation and abuse as often there are no alternative housing and support options.</w:t>
      </w:r>
      <w:r w:rsidRPr="00FC0D25">
        <w:rPr>
          <w:color w:val="000000"/>
          <w:sz w:val="22"/>
          <w:szCs w:val="20"/>
          <w:vertAlign w:val="superscript"/>
          <w:lang w:eastAsia="en-US"/>
        </w:rPr>
        <w:footnoteReference w:id="188"/>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color w:val="000000"/>
          <w:lang w:eastAsia="en-US"/>
        </w:rPr>
      </w:pPr>
    </w:p>
    <w:p w:rsidR="00FC0D25" w:rsidRPr="00FC0D25" w:rsidRDefault="00FC0D25" w:rsidP="002775DB">
      <w:pPr>
        <w:spacing w:line="255" w:lineRule="atLeast"/>
        <w:ind w:left="720"/>
        <w:jc w:val="both"/>
        <w:textAlignment w:val="baseline"/>
        <w:rPr>
          <w:b/>
          <w:i/>
          <w:color w:val="002060"/>
        </w:rPr>
      </w:pPr>
      <w:r w:rsidRPr="00FC0D25">
        <w:rPr>
          <w:b/>
          <w:i/>
          <w:color w:val="002060"/>
        </w:rPr>
        <w:t xml:space="preserve">Case Study: Between 2000 and 2011 allegations were made regarding rape, sexual assault, theft, poisoning and physical assault involving over 40 residents of a boarding house (privately run supported accommodation for people with disability). A committee of seven residents at the boarding house allegedly exercised control over the others, meting out physical punishment, </w:t>
      </w:r>
      <w:r w:rsidR="00120AE1">
        <w:rPr>
          <w:b/>
          <w:i/>
          <w:color w:val="002060"/>
        </w:rPr>
        <w:t xml:space="preserve">rape, </w:t>
      </w:r>
      <w:r w:rsidRPr="00FC0D25">
        <w:rPr>
          <w:b/>
          <w:i/>
          <w:color w:val="002060"/>
        </w:rPr>
        <w:t xml:space="preserve">solitary confinement, and massive prescribed doses of psychotropic medications to sedate residents deemed out of control. One man said he had been grounded in his room for a month, and another said he had been ''hit everywhere, kicked and punched everywhere'' over the course of 10 years. Despite repeated requests for action from disability advocates the police, </w:t>
      </w:r>
      <w:r w:rsidRPr="00FC0D25">
        <w:rPr>
          <w:b/>
          <w:i/>
          <w:color w:val="002060"/>
        </w:rPr>
        <w:lastRenderedPageBreak/>
        <w:t>guardianship authorities, ombudsman and state government failed to intervene.  Residents were not removed from the house until 201</w:t>
      </w:r>
      <w:r w:rsidR="00120AE1">
        <w:rPr>
          <w:b/>
          <w:i/>
          <w:color w:val="002060"/>
        </w:rPr>
        <w:t>1</w:t>
      </w:r>
      <w:r w:rsidRPr="00FC0D25">
        <w:rPr>
          <w:b/>
          <w:i/>
          <w:color w:val="002060"/>
        </w:rPr>
        <w:t xml:space="preserve"> and are now seeking compensation for false imprisonment, physical injury and financial loss against the boarding house owner and the state government.</w:t>
      </w:r>
      <w:r w:rsidRPr="00FC0D25">
        <w:rPr>
          <w:b/>
          <w:i/>
          <w:color w:val="002060"/>
          <w:vertAlign w:val="superscript"/>
        </w:rPr>
        <w:footnoteReference w:id="189"/>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A number of residential care facilities, such as boarding houses may be licensed by the disability service sector but they do not have the protections provided by disability service legislation or policy. These facilities provide accommodation for people with disability who would otherwise be homeless, but they have very limited support services and are consistently found to have high levels of exploitation, violence and abuse. In some cases successive reports have found that boarding house residents have been physically and sexually assaulted by staff and other residents, have died in appalling circumstances, and been denied basic rights, including contact with their families.</w:t>
      </w:r>
      <w:bookmarkStart w:id="81" w:name="_Ref322525800"/>
      <w:r w:rsidRPr="00FC0D25">
        <w:rPr>
          <w:color w:val="000000"/>
          <w:sz w:val="22"/>
          <w:szCs w:val="20"/>
          <w:vertAlign w:val="superscript"/>
          <w:lang w:eastAsia="en-US"/>
        </w:rPr>
        <w:footnoteReference w:id="190"/>
      </w:r>
      <w:bookmarkEnd w:id="81"/>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segregated and ‘closed’ nature of institutions and residential care facilities, including smaller group home facilities prevents public scrutiny, which creates greater risks for people with disability who are unable to report instances of exploitation, violence and abuse to support workers who may be the perpetrators of abuse, or who fear disclosure will lead to further abuse and mistreatment.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jc w:val="both"/>
        <w:rPr>
          <w:b/>
          <w:color w:val="00206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Many residents may not have family or other support people who could seek advocacy or legal assistance to address issues of abuse, exploitation and neglect. Many institutions and residential care facilities are designed for particular residents, such as those with high behavioural support needs. This significantly increases risk factors for incidences of exploitation, violence and abuse, as well as a reliance on restrictive practices within these facilities. It effectively establishes a culture of violence, exploitation and abuse.</w:t>
      </w:r>
      <w:r w:rsidRPr="00FC0D25">
        <w:rPr>
          <w:color w:val="000000"/>
          <w:sz w:val="22"/>
          <w:szCs w:val="20"/>
          <w:vertAlign w:val="superscript"/>
          <w:lang w:eastAsia="en-US"/>
        </w:rPr>
        <w:footnoteReference w:id="191"/>
      </w:r>
      <w:r w:rsidRPr="00FC0D25">
        <w:rPr>
          <w:color w:val="000000"/>
          <w:lang w:eastAsia="en-US"/>
        </w:rPr>
        <w:t xml:space="preserve">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Many institutions and residential care facilities are understaffed or have staff that are improperly screened or have insufficient training to recognise, prevent and respond to exploitation, violence and abuse amounting to ill-treatment.</w:t>
      </w:r>
      <w:r w:rsidRPr="00FC0D25">
        <w:rPr>
          <w:color w:val="000000"/>
          <w:sz w:val="22"/>
          <w:szCs w:val="20"/>
          <w:vertAlign w:val="superscript"/>
          <w:lang w:eastAsia="en-US"/>
        </w:rPr>
        <w:footnoteReference w:id="192"/>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lastRenderedPageBreak/>
        <w:t>The reliance on gender-neutral ‘abuse and neglect’ policies means that gender specific risks, prevention strategies and responses are often not identified or implemented. Not only are women with disability at greater risk of violence, exploitation, abuse and ill-treatment in these settings, but they are also unlikely to receive gender-specific responses or support from domestic violence, sexual assault or women’s support services.</w:t>
      </w:r>
      <w:r w:rsidRPr="00FC0D25">
        <w:rPr>
          <w:color w:val="000000"/>
          <w:sz w:val="22"/>
          <w:szCs w:val="20"/>
          <w:vertAlign w:val="superscript"/>
          <w:lang w:eastAsia="en-US"/>
        </w:rPr>
        <w:footnoteReference w:id="193"/>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Gender-neutral disability services standards and ‘abuse and neglect’ policies can contribute to service practices that create significant risks for women with disability. For example, a number of representative and advocacy organisations have reported women with disability being used or ‘rostered’ for sex to address inappropriate male sexual behaviour in institutions and residential care facilities.</w:t>
      </w:r>
      <w:r w:rsidRPr="00FC0D25">
        <w:rPr>
          <w:color w:val="000000"/>
          <w:sz w:val="22"/>
          <w:szCs w:val="20"/>
          <w:vertAlign w:val="superscript"/>
          <w:lang w:eastAsia="en-US"/>
        </w:rPr>
        <w:footnoteReference w:id="194"/>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20"/>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In 2010, the UN Committee on the Elimination of Discrimination against Women expressed its concern to Australia about “the high levels of violence experienced by women, particularly those living in institutions or supported accommodation” and recommended that Australia “address, as a matter of priority, the abuse and violence experienced by women with disabilities living in institutions or supported accommodation”.</w:t>
      </w:r>
      <w:r w:rsidRPr="00FC0D25">
        <w:rPr>
          <w:color w:val="000000"/>
          <w:sz w:val="22"/>
          <w:szCs w:val="20"/>
          <w:vertAlign w:val="superscript"/>
          <w:lang w:eastAsia="en-US"/>
        </w:rPr>
        <w:footnoteReference w:id="195"/>
      </w:r>
    </w:p>
    <w:p w:rsidR="00ED0538" w:rsidRPr="00FC0D25" w:rsidRDefault="00ED0538" w:rsidP="00ED0538">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p>
    <w:p w:rsidR="00FC0D25" w:rsidRPr="00FC0D25" w:rsidRDefault="00FC0D25" w:rsidP="002775DB">
      <w:pPr>
        <w:keepNext/>
        <w:pBdr>
          <w:bottom w:val="single" w:sz="4" w:space="1" w:color="auto"/>
        </w:pBdr>
        <w:tabs>
          <w:tab w:val="left" w:pos="1848"/>
          <w:tab w:val="left" w:pos="2773"/>
          <w:tab w:val="left" w:pos="3697"/>
          <w:tab w:val="left" w:pos="4621"/>
          <w:tab w:val="left" w:pos="5545"/>
          <w:tab w:val="left" w:pos="6469"/>
          <w:tab w:val="left" w:pos="7394"/>
          <w:tab w:val="left" w:pos="8318"/>
          <w:tab w:val="right" w:pos="8930"/>
        </w:tabs>
        <w:spacing w:before="400" w:after="240" w:line="276" w:lineRule="auto"/>
        <w:jc w:val="both"/>
        <w:outlineLvl w:val="0"/>
        <w:rPr>
          <w:b/>
          <w:bCs/>
          <w:caps/>
          <w:color w:val="244061"/>
          <w:kern w:val="28"/>
          <w:sz w:val="28"/>
          <w:szCs w:val="28"/>
          <w:lang w:eastAsia="en-US"/>
        </w:rPr>
      </w:pPr>
      <w:bookmarkStart w:id="82" w:name="_Toc401341203"/>
      <w:r w:rsidRPr="00FC0D25">
        <w:rPr>
          <w:b/>
          <w:bCs/>
          <w:caps/>
          <w:color w:val="244061"/>
          <w:kern w:val="28"/>
          <w:sz w:val="28"/>
          <w:szCs w:val="28"/>
          <w:lang w:val="x-none" w:eastAsia="en-US"/>
        </w:rPr>
        <w:t>Summary</w:t>
      </w:r>
      <w:bookmarkEnd w:id="82"/>
      <w:r w:rsidRPr="00FC0D25">
        <w:rPr>
          <w:b/>
          <w:bCs/>
          <w:caps/>
          <w:color w:val="244061"/>
          <w:kern w:val="28"/>
          <w:sz w:val="28"/>
          <w:szCs w:val="28"/>
          <w:lang w:val="x-none" w:eastAsia="en-US"/>
        </w:rPr>
        <w:t xml:space="preserve"> </w:t>
      </w:r>
    </w:p>
    <w:p w:rsidR="00FC0D25" w:rsidRPr="00FC0D25" w:rsidRDefault="00A85B37"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Pr>
          <w:color w:val="000000"/>
          <w:lang w:eastAsia="en-US"/>
        </w:rPr>
        <w:t>Ill-</w:t>
      </w:r>
      <w:r w:rsidR="00FC0D25" w:rsidRPr="00FC0D25">
        <w:rPr>
          <w:color w:val="000000"/>
          <w:lang w:eastAsia="en-US"/>
        </w:rPr>
        <w:t xml:space="preserve">treatment of people with disability is a widespread practice in Australia.  The siloing of issues relating to violence and abuse against people with disability within a disability framework masks the extent of the problem.  A systemic response is required if significant and long-term change is to be achieved, and the realisation of the right to be free form torture, cruel or inhuman or degrading treatment of punishment implemented. </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P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FC0D25">
        <w:rPr>
          <w:color w:val="000000"/>
          <w:lang w:eastAsia="en-US"/>
        </w:rPr>
        <w:t xml:space="preserve">The torture framework provided by CAT and OPCAT provides a lens through which to consider the issues of violence, abuse and discrimination against people with disability in a different light – especially since the introduction of the CRPD.  It also requires holistic thinking by governments and </w:t>
      </w:r>
      <w:r w:rsidR="00ED0538">
        <w:rPr>
          <w:color w:val="000000"/>
          <w:lang w:eastAsia="en-US"/>
        </w:rPr>
        <w:t xml:space="preserve">leadership in order to </w:t>
      </w:r>
      <w:r w:rsidRPr="00FC0D25">
        <w:rPr>
          <w:color w:val="000000"/>
          <w:lang w:eastAsia="en-US"/>
        </w:rPr>
        <w:t xml:space="preserve">involve, educate and make accountable all </w:t>
      </w:r>
      <w:r w:rsidR="00ED0538">
        <w:rPr>
          <w:color w:val="000000"/>
          <w:lang w:eastAsia="en-US"/>
        </w:rPr>
        <w:t xml:space="preserve">sectors </w:t>
      </w:r>
      <w:r w:rsidRPr="00FC0D25">
        <w:rPr>
          <w:color w:val="000000"/>
          <w:lang w:eastAsia="en-US"/>
        </w:rPr>
        <w:t>which engage with people with disability at risk of ill-treatment</w:t>
      </w:r>
      <w:r w:rsidR="00ED0538">
        <w:rPr>
          <w:color w:val="000000"/>
          <w:lang w:eastAsia="en-US"/>
        </w:rPr>
        <w:t>,</w:t>
      </w:r>
      <w:r w:rsidRPr="00FC0D25">
        <w:rPr>
          <w:color w:val="000000"/>
          <w:lang w:eastAsia="en-US"/>
        </w:rPr>
        <w:t xml:space="preserve"> not just the disability service sector. The </w:t>
      </w:r>
      <w:r w:rsidRPr="00FC0D25">
        <w:rPr>
          <w:color w:val="000000"/>
          <w:lang w:eastAsia="en-US"/>
        </w:rPr>
        <w:lastRenderedPageBreak/>
        <w:t xml:space="preserve">perpetration of ill-treatment by non-state actors must also receive more serious and co-ordinated government </w:t>
      </w:r>
      <w:r w:rsidR="00035597">
        <w:rPr>
          <w:color w:val="000000"/>
          <w:lang w:eastAsia="en-US"/>
        </w:rPr>
        <w:t>responses</w:t>
      </w:r>
      <w:r w:rsidRPr="00FC0D25">
        <w:rPr>
          <w:color w:val="000000"/>
          <w:lang w:eastAsia="en-US"/>
        </w:rPr>
        <w:t>.</w:t>
      </w:r>
    </w:p>
    <w:p w:rsidR="00FC0D25" w:rsidRPr="00FC0D25" w:rsidRDefault="00FC0D25" w:rsidP="002775DB">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ind w:left="786"/>
        <w:contextualSpacing/>
        <w:jc w:val="both"/>
        <w:rPr>
          <w:color w:val="000000"/>
          <w:lang w:eastAsia="en-US"/>
        </w:rPr>
      </w:pPr>
    </w:p>
    <w:p w:rsidR="00FC0D25" w:rsidRDefault="00FC0D25" w:rsidP="002775DB">
      <w:pPr>
        <w:numPr>
          <w:ilvl w:val="0"/>
          <w:numId w:val="27"/>
        </w:num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contextualSpacing/>
        <w:jc w:val="both"/>
        <w:rPr>
          <w:color w:val="000000"/>
          <w:lang w:eastAsia="en-US"/>
        </w:rPr>
      </w:pPr>
      <w:r w:rsidRPr="007065C0">
        <w:rPr>
          <w:color w:val="000000"/>
          <w:lang w:eastAsia="en-US"/>
        </w:rPr>
        <w:t xml:space="preserve">The creation of a common narrative, policy and legislative framework around preventing and responding to ill-treatment of people with disability would be assisted by the prioritisation of </w:t>
      </w:r>
      <w:r w:rsidR="00ED0538">
        <w:rPr>
          <w:color w:val="000000"/>
          <w:lang w:eastAsia="en-US"/>
        </w:rPr>
        <w:t xml:space="preserve">OPCAT </w:t>
      </w:r>
      <w:r w:rsidRPr="007065C0">
        <w:rPr>
          <w:color w:val="000000"/>
          <w:lang w:eastAsia="en-US"/>
        </w:rPr>
        <w:t xml:space="preserve">ratification </w:t>
      </w:r>
      <w:r w:rsidR="00ED0538">
        <w:rPr>
          <w:color w:val="000000"/>
          <w:lang w:eastAsia="en-US"/>
        </w:rPr>
        <w:t>and establishment of N</w:t>
      </w:r>
      <w:r w:rsidRPr="007065C0">
        <w:rPr>
          <w:color w:val="000000"/>
          <w:lang w:eastAsia="en-US"/>
        </w:rPr>
        <w:t xml:space="preserve">ational </w:t>
      </w:r>
      <w:r w:rsidR="00ED0538">
        <w:rPr>
          <w:color w:val="000000"/>
          <w:lang w:eastAsia="en-US"/>
        </w:rPr>
        <w:t>P</w:t>
      </w:r>
      <w:r w:rsidRPr="007065C0">
        <w:rPr>
          <w:color w:val="000000"/>
          <w:lang w:eastAsia="en-US"/>
        </w:rPr>
        <w:t xml:space="preserve">reventative </w:t>
      </w:r>
      <w:r w:rsidR="00ED0538">
        <w:rPr>
          <w:color w:val="000000"/>
          <w:lang w:eastAsia="en-US"/>
        </w:rPr>
        <w:t>M</w:t>
      </w:r>
      <w:r w:rsidRPr="007065C0">
        <w:rPr>
          <w:color w:val="000000"/>
          <w:lang w:eastAsia="en-US"/>
        </w:rPr>
        <w:t>echanisms</w:t>
      </w:r>
      <w:r w:rsidR="00ED0538">
        <w:rPr>
          <w:color w:val="000000"/>
          <w:lang w:eastAsia="en-US"/>
        </w:rPr>
        <w:t xml:space="preserve"> (NPMs) soon after</w:t>
      </w:r>
      <w:r w:rsidRPr="007065C0">
        <w:rPr>
          <w:color w:val="000000"/>
          <w:lang w:eastAsia="en-US"/>
        </w:rPr>
        <w:t xml:space="preserve">.  People with disability and their representative organisations must be involved in the processes towards ratification and participate in </w:t>
      </w:r>
      <w:r w:rsidR="00ED0538">
        <w:rPr>
          <w:color w:val="000000"/>
          <w:lang w:eastAsia="en-US"/>
        </w:rPr>
        <w:t xml:space="preserve">NPMs as </w:t>
      </w:r>
      <w:r w:rsidRPr="007065C0">
        <w:rPr>
          <w:color w:val="000000"/>
          <w:lang w:eastAsia="en-US"/>
        </w:rPr>
        <w:t>staff, experts and monitors in all places of detention where people with disability may reside including prisons, psychiatric facilities and immigr</w:t>
      </w:r>
      <w:r w:rsidR="00035597">
        <w:rPr>
          <w:color w:val="000000"/>
          <w:lang w:eastAsia="en-US"/>
        </w:rPr>
        <w:t>ation detention centres and in some circumstances residential care services.</w:t>
      </w:r>
    </w:p>
    <w:p w:rsidR="00ED0538" w:rsidRDefault="00ED0538" w:rsidP="00ED0538">
      <w:pPr>
        <w:pStyle w:val="ListParagraph"/>
        <w:rPr>
          <w:color w:val="000000"/>
          <w:lang w:eastAsia="en-US"/>
        </w:rPr>
      </w:pPr>
    </w:p>
    <w:p w:rsidR="005005FD" w:rsidRPr="00FD077E" w:rsidRDefault="00035597" w:rsidP="00DC0DF8">
      <w:pPr>
        <w:tabs>
          <w:tab w:val="left" w:pos="924"/>
          <w:tab w:val="left" w:pos="1848"/>
          <w:tab w:val="left" w:pos="2773"/>
          <w:tab w:val="left" w:pos="3697"/>
          <w:tab w:val="left" w:pos="4621"/>
          <w:tab w:val="left" w:pos="5545"/>
          <w:tab w:val="left" w:pos="6469"/>
          <w:tab w:val="left" w:pos="7394"/>
          <w:tab w:val="left" w:pos="8318"/>
          <w:tab w:val="right" w:pos="8930"/>
        </w:tabs>
        <w:spacing w:before="120" w:after="120" w:line="276" w:lineRule="auto"/>
        <w:jc w:val="both"/>
      </w:pPr>
      <w:r w:rsidRPr="00FC0D25">
        <w:rPr>
          <w:b/>
          <w:color w:val="000000"/>
          <w:lang w:eastAsia="en-US"/>
        </w:rPr>
        <w:t xml:space="preserve">People with Disability Australia thanks the Committee for the opportunity to make this submission.  We welcome further engagement on any of the issues raised by email or in person during the </w:t>
      </w:r>
      <w:r>
        <w:rPr>
          <w:b/>
          <w:color w:val="000000"/>
          <w:lang w:eastAsia="en-US"/>
        </w:rPr>
        <w:t>53</w:t>
      </w:r>
      <w:r w:rsidRPr="002C34B9">
        <w:rPr>
          <w:b/>
          <w:color w:val="000000"/>
          <w:vertAlign w:val="superscript"/>
          <w:lang w:eastAsia="en-US"/>
        </w:rPr>
        <w:t>rd</w:t>
      </w:r>
      <w:r>
        <w:rPr>
          <w:b/>
          <w:color w:val="000000"/>
          <w:lang w:eastAsia="en-US"/>
        </w:rPr>
        <w:t xml:space="preserve"> Session of the </w:t>
      </w:r>
      <w:r w:rsidRPr="00FC0D25">
        <w:rPr>
          <w:b/>
          <w:color w:val="000000"/>
          <w:lang w:eastAsia="en-US"/>
        </w:rPr>
        <w:t>Committee</w:t>
      </w:r>
      <w:r>
        <w:rPr>
          <w:b/>
          <w:color w:val="000000"/>
          <w:lang w:eastAsia="en-US"/>
        </w:rPr>
        <w:t xml:space="preserve"> i</w:t>
      </w:r>
      <w:r w:rsidRPr="00FC0D25">
        <w:rPr>
          <w:b/>
          <w:color w:val="000000"/>
          <w:lang w:eastAsia="en-US"/>
        </w:rPr>
        <w:t>n Geneva.</w:t>
      </w:r>
    </w:p>
    <w:sectPr w:rsidR="005005FD" w:rsidRPr="00FD077E" w:rsidSect="00544397">
      <w:footerReference w:type="even" r:id="rId12"/>
      <w:footerReference w:type="default" r:id="rId13"/>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CBA" w:rsidRDefault="00701CBA">
      <w:r>
        <w:separator/>
      </w:r>
    </w:p>
  </w:endnote>
  <w:endnote w:type="continuationSeparator" w:id="0">
    <w:p w:rsidR="00701CBA" w:rsidRDefault="00701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pperplate Gothic Bold">
    <w:panose1 w:val="020E07050202060204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Futura Bk BT">
    <w:altName w:val="Century Gothic"/>
    <w:charset w:val="00"/>
    <w:family w:val="swiss"/>
    <w:pitch w:val="variable"/>
    <w:sig w:usb0="00000007" w:usb1="00000000" w:usb2="00000000" w:usb3="00000000" w:csb0="00000011" w:csb1="00000000"/>
  </w:font>
  <w:font w:name="CorporateSBQ-Light">
    <w:panose1 w:val="00000000000000000000"/>
    <w:charset w:val="00"/>
    <w:family w:val="modern"/>
    <w:notTrueType/>
    <w:pitch w:val="variable"/>
    <w:sig w:usb0="00000003" w:usb1="00000000" w:usb2="00000000" w:usb3="00000000" w:csb0="00000001" w:csb1="00000000"/>
  </w:font>
  <w:font w:name="STZhongsong">
    <w:altName w:val="Arial Unicode MS"/>
    <w:charset w:val="86"/>
    <w:family w:val="auto"/>
    <w:pitch w:val="variable"/>
    <w:sig w:usb0="00000000" w:usb1="080F0000" w:usb2="00000010" w:usb3="00000000" w:csb0="000400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CBA" w:rsidRDefault="00701CBA" w:rsidP="007417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1CBA" w:rsidRDefault="00701CBA" w:rsidP="0074173A">
    <w:pPr>
      <w:pStyle w:val="Footer"/>
      <w:ind w:right="360"/>
    </w:pPr>
  </w:p>
  <w:p w:rsidR="00701CBA" w:rsidRDefault="00701CB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CBA" w:rsidRPr="00D808BC" w:rsidRDefault="00701CBA" w:rsidP="00D808BC">
    <w:pPr>
      <w:autoSpaceDE w:val="0"/>
      <w:autoSpaceDN w:val="0"/>
      <w:adjustRightInd w:val="0"/>
      <w:spacing w:line="288" w:lineRule="auto"/>
      <w:jc w:val="center"/>
      <w:textAlignment w:val="center"/>
      <w:rPr>
        <w:color w:val="000000"/>
        <w:sz w:val="22"/>
        <w:szCs w:val="22"/>
        <w:lang w:val="en-US" w:eastAsia="en-US"/>
      </w:rPr>
    </w:pPr>
    <w:r w:rsidRPr="00D808BC">
      <w:rPr>
        <w:noProof/>
        <w:color w:val="000000"/>
        <w:sz w:val="22"/>
        <w:szCs w:val="2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95885</wp:posOffset>
              </wp:positionV>
              <wp:extent cx="5736590" cy="0"/>
              <wp:effectExtent l="9525" t="10160" r="6985" b="8890"/>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6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B3F39" id="Line 1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55pt" to="451.7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aYz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"/>
          </w:pict>
        </mc:Fallback>
      </mc:AlternateContent>
    </w:r>
  </w:p>
  <w:p w:rsidR="00701CBA" w:rsidRPr="00D808BC" w:rsidRDefault="00701CBA" w:rsidP="00D808BC">
    <w:pPr>
      <w:tabs>
        <w:tab w:val="center" w:pos="4513"/>
        <w:tab w:val="right" w:pos="9026"/>
      </w:tabs>
      <w:jc w:val="center"/>
    </w:pPr>
    <w:r w:rsidRPr="00D808BC">
      <w:rPr>
        <w:sz w:val="18"/>
        <w:szCs w:val="18"/>
        <w:lang w:eastAsia="en-US"/>
      </w:rPr>
      <w:t xml:space="preserve">Our vision is of a socially just, accessible and inclusive community, in which the human rights, </w:t>
    </w:r>
    <w:r w:rsidRPr="00D808BC">
      <w:rPr>
        <w:sz w:val="18"/>
        <w:szCs w:val="18"/>
        <w:lang w:eastAsia="en-US"/>
      </w:rPr>
      <w:br/>
      <w:t>citizenship, contribution and potential of people with disability are respected and celebrated.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CBA" w:rsidRDefault="00701CBA" w:rsidP="004D2F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1CBA" w:rsidRDefault="00701CBA" w:rsidP="004D2FF6">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0927179"/>
      <w:docPartObj>
        <w:docPartGallery w:val="Page Numbers (Bottom of Page)"/>
        <w:docPartUnique/>
      </w:docPartObj>
    </w:sdtPr>
    <w:sdtEndPr/>
    <w:sdtContent>
      <w:sdt>
        <w:sdtPr>
          <w:id w:val="-1705238520"/>
          <w:docPartObj>
            <w:docPartGallery w:val="Page Numbers (Top of Page)"/>
            <w:docPartUnique/>
          </w:docPartObj>
        </w:sdtPr>
        <w:sdtEndPr/>
        <w:sdtContent>
          <w:p w:rsidR="00FB0143" w:rsidRPr="00FB0143" w:rsidRDefault="00FB0143" w:rsidP="00FB0143">
            <w:pPr>
              <w:pStyle w:val="Footer"/>
              <w:jc w:val="center"/>
            </w:pPr>
            <w:r w:rsidRPr="00FB0143">
              <w:rPr>
                <w:bCs/>
                <w:szCs w:val="24"/>
              </w:rPr>
              <w:fldChar w:fldCharType="begin"/>
            </w:r>
            <w:r w:rsidRPr="00FB0143">
              <w:rPr>
                <w:bCs/>
              </w:rPr>
              <w:instrText xml:space="preserve"> PAGE </w:instrText>
            </w:r>
            <w:r w:rsidRPr="00FB0143">
              <w:rPr>
                <w:bCs/>
                <w:szCs w:val="24"/>
              </w:rPr>
              <w:fldChar w:fldCharType="separate"/>
            </w:r>
            <w:r w:rsidR="00A71C6E">
              <w:rPr>
                <w:bCs/>
                <w:noProof/>
              </w:rPr>
              <w:t>4</w:t>
            </w:r>
            <w:r w:rsidRPr="00FB0143">
              <w:rPr>
                <w:bCs/>
                <w:szCs w:val="24"/>
              </w:rPr>
              <w:fldChar w:fldCharType="end"/>
            </w:r>
            <w:r w:rsidRPr="00FB0143">
              <w:t xml:space="preserve"> of </w:t>
            </w:r>
            <w:r w:rsidRPr="00FB0143">
              <w:rPr>
                <w:bCs/>
                <w:szCs w:val="24"/>
              </w:rPr>
              <w:fldChar w:fldCharType="begin"/>
            </w:r>
            <w:r w:rsidRPr="00FB0143">
              <w:rPr>
                <w:bCs/>
              </w:rPr>
              <w:instrText xml:space="preserve"> NUMPAGES  </w:instrText>
            </w:r>
            <w:r w:rsidRPr="00FB0143">
              <w:rPr>
                <w:bCs/>
                <w:szCs w:val="24"/>
              </w:rPr>
              <w:fldChar w:fldCharType="separate"/>
            </w:r>
            <w:r w:rsidR="00A71C6E">
              <w:rPr>
                <w:bCs/>
                <w:noProof/>
              </w:rPr>
              <w:t>53</w:t>
            </w:r>
            <w:r w:rsidRPr="00FB0143">
              <w:rPr>
                <w:bCs/>
                <w:szCs w:val="24"/>
              </w:rPr>
              <w:fldChar w:fldCharType="end"/>
            </w:r>
          </w:p>
        </w:sdtContent>
      </w:sdt>
    </w:sdtContent>
  </w:sdt>
  <w:p w:rsidR="00701CBA" w:rsidRPr="0092307F" w:rsidRDefault="00701CBA" w:rsidP="00B37CDA">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CBA" w:rsidRDefault="00701CBA">
      <w:r>
        <w:separator/>
      </w:r>
    </w:p>
  </w:footnote>
  <w:footnote w:type="continuationSeparator" w:id="0">
    <w:p w:rsidR="00701CBA" w:rsidRDefault="00701CBA">
      <w:r>
        <w:continuationSeparator/>
      </w:r>
    </w:p>
  </w:footnote>
  <w:footnote w:id="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hyperlink r:id="rId1" w:history="1">
        <w:r w:rsidRPr="004F247D">
          <w:rPr>
            <w:rStyle w:val="Hyperlink"/>
            <w:rFonts w:ascii="Arial" w:hAnsi="Arial" w:cs="Arial"/>
            <w:sz w:val="20"/>
          </w:rPr>
          <w:t>http://www.disabilityrightsnow.org.au</w:t>
        </w:r>
      </w:hyperlink>
      <w:r w:rsidRPr="004F247D">
        <w:rPr>
          <w:rFonts w:ascii="Arial" w:hAnsi="Arial" w:cs="Arial"/>
          <w:sz w:val="20"/>
        </w:rPr>
        <w:t xml:space="preserve"> </w:t>
      </w:r>
    </w:p>
  </w:footnote>
  <w:footnote w:id="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Phillip French, Julie Dardel and Sonya-Price-Kelly, </w:t>
      </w:r>
      <w:r w:rsidRPr="004F247D">
        <w:rPr>
          <w:rFonts w:ascii="Arial" w:hAnsi="Arial" w:cs="Arial"/>
          <w:i/>
          <w:sz w:val="20"/>
        </w:rPr>
        <w:t>Rights Denied: Towards a National Policy Agenda about Abuse, Neglect and Exploitation of Persons with Cognitive Impairment</w:t>
      </w:r>
      <w:r w:rsidRPr="004F247D">
        <w:rPr>
          <w:rFonts w:ascii="Arial" w:hAnsi="Arial" w:cs="Arial"/>
          <w:sz w:val="20"/>
        </w:rPr>
        <w:t xml:space="preserve">, (People With Disability Australia, 2009) </w:t>
      </w:r>
      <w:r w:rsidRPr="004F247D">
        <w:rPr>
          <w:rFonts w:ascii="Arial" w:hAnsi="Arial" w:cs="Arial"/>
          <w:sz w:val="20"/>
        </w:rPr>
        <w:fldChar w:fldCharType="begin"/>
      </w:r>
      <w:r w:rsidRPr="004F247D">
        <w:rPr>
          <w:rFonts w:ascii="Arial" w:hAnsi="Arial" w:cs="Arial"/>
          <w:sz w:val="20"/>
        </w:rPr>
        <w:instrText xml:space="preserve"> NOTEREF _Ref321408745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80</w:t>
      </w:r>
      <w:r w:rsidRPr="004F247D">
        <w:rPr>
          <w:rFonts w:ascii="Arial" w:hAnsi="Arial" w:cs="Arial"/>
          <w:sz w:val="20"/>
        </w:rPr>
        <w:fldChar w:fldCharType="end"/>
      </w:r>
      <w:r w:rsidRPr="004F247D">
        <w:rPr>
          <w:rFonts w:ascii="Arial" w:hAnsi="Arial" w:cs="Arial"/>
          <w:sz w:val="20"/>
        </w:rPr>
        <w:t>, 72</w:t>
      </w:r>
    </w:p>
  </w:footnote>
  <w:footnote w:id="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Manfred Nowak, Special Rapporteur,</w:t>
      </w:r>
      <w:r w:rsidRPr="004F247D">
        <w:rPr>
          <w:rFonts w:ascii="Arial" w:hAnsi="Arial" w:cs="Arial"/>
          <w:i/>
          <w:sz w:val="20"/>
        </w:rPr>
        <w:t xml:space="preserve"> Interim Report of the Special Rapporteur on Torture and Other Cruel, Inhuman or Degrading Treatment or Punishment</w:t>
      </w:r>
      <w:r w:rsidRPr="004F247D">
        <w:rPr>
          <w:rFonts w:ascii="Arial" w:hAnsi="Arial" w:cs="Arial"/>
          <w:sz w:val="20"/>
        </w:rPr>
        <w:t>, 63</w:t>
      </w:r>
      <w:r w:rsidRPr="004F247D">
        <w:rPr>
          <w:rFonts w:ascii="Arial" w:hAnsi="Arial" w:cs="Arial"/>
          <w:sz w:val="20"/>
          <w:vertAlign w:val="superscript"/>
        </w:rPr>
        <w:t>rd</w:t>
      </w:r>
      <w:r w:rsidRPr="004F247D">
        <w:rPr>
          <w:rFonts w:ascii="Arial" w:hAnsi="Arial" w:cs="Arial"/>
          <w:sz w:val="20"/>
        </w:rPr>
        <w:t xml:space="preserve"> sess, UN Doc A/63/175 (28 July 2008) 9.</w:t>
      </w:r>
    </w:p>
  </w:footnote>
  <w:footnote w:id="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A/HRC/22/53 para 20.</w:t>
      </w:r>
    </w:p>
  </w:footnote>
  <w:footnote w:id="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General Comment Number 2, Interpretation of Article 2 of the Convention </w:t>
      </w:r>
      <w:proofErr w:type="gramStart"/>
      <w:r w:rsidRPr="004F247D">
        <w:rPr>
          <w:rFonts w:ascii="Arial" w:hAnsi="Arial" w:cs="Arial"/>
          <w:sz w:val="20"/>
        </w:rPr>
        <w:t>Against</w:t>
      </w:r>
      <w:proofErr w:type="gramEnd"/>
      <w:r w:rsidRPr="004F247D">
        <w:rPr>
          <w:rFonts w:ascii="Arial" w:hAnsi="Arial" w:cs="Arial"/>
          <w:sz w:val="20"/>
        </w:rPr>
        <w:t xml:space="preserve"> Torture, page 6. </w:t>
      </w:r>
    </w:p>
  </w:footnote>
  <w:footnote w:id="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r w:rsidRPr="004F247D">
        <w:rPr>
          <w:rStyle w:val="Strong"/>
          <w:rFonts w:ascii="Arial" w:hAnsi="Arial" w:cs="Arial"/>
          <w:b w:val="0"/>
          <w:sz w:val="20"/>
          <w:shd w:val="clear" w:color="auto" w:fill="FFFFFF"/>
        </w:rPr>
        <w:t xml:space="preserve">Committee </w:t>
      </w:r>
      <w:proofErr w:type="gramStart"/>
      <w:r w:rsidRPr="004F247D">
        <w:rPr>
          <w:rStyle w:val="Strong"/>
          <w:rFonts w:ascii="Arial" w:hAnsi="Arial" w:cs="Arial"/>
          <w:b w:val="0"/>
          <w:sz w:val="20"/>
          <w:shd w:val="clear" w:color="auto" w:fill="FFFFFF"/>
        </w:rPr>
        <w:t>Against</w:t>
      </w:r>
      <w:proofErr w:type="gramEnd"/>
      <w:r w:rsidRPr="004F247D">
        <w:rPr>
          <w:rStyle w:val="Strong"/>
          <w:rFonts w:ascii="Arial" w:hAnsi="Arial" w:cs="Arial"/>
          <w:b w:val="0"/>
          <w:sz w:val="20"/>
          <w:shd w:val="clear" w:color="auto" w:fill="FFFFFF"/>
        </w:rPr>
        <w:t xml:space="preserve"> Torture, General Comment 2, Implementation of article 2 by States Parties, U.N. Doc. CAT/C/GC/2/CRP. 1/Rev.4 (2007). Para 15.</w:t>
      </w:r>
    </w:p>
  </w:footnote>
  <w:footnote w:id="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Ratified by Australia in July 2008.</w:t>
      </w:r>
    </w:p>
  </w:footnote>
  <w:footnote w:id="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A/HRC/22/53 Juan E. Mendez para, 62. </w:t>
      </w:r>
    </w:p>
  </w:footnote>
  <w:footnote w:id="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hyperlink r:id="rId2" w:history="1">
        <w:r w:rsidRPr="004F247D">
          <w:rPr>
            <w:rStyle w:val="Hyperlink"/>
            <w:rFonts w:ascii="Arial" w:hAnsi="Arial" w:cs="Arial"/>
            <w:sz w:val="20"/>
            <w:lang w:eastAsia="en-AU"/>
          </w:rPr>
          <w:t>http://data.worldbank.org/indicator/NY.GDP.PCAP.PP.CD?order=wbapi_data_value_2013+wbapi_data_value+wbapi_data_value-last&amp;sort=desc</w:t>
        </w:r>
      </w:hyperlink>
    </w:p>
  </w:footnote>
  <w:footnote w:id="10">
    <w:p w:rsidR="00701CBA" w:rsidRPr="004F247D" w:rsidRDefault="00701CBA" w:rsidP="004F247D">
      <w:pPr>
        <w:pStyle w:val="NoSpacing"/>
        <w:rPr>
          <w:rFonts w:ascii="Arial" w:hAnsi="Arial" w:cs="Arial"/>
          <w:color w:val="1F497D"/>
          <w:sz w:val="20"/>
          <w:lang w:eastAsia="en-AU"/>
        </w:rPr>
      </w:pPr>
      <w:r w:rsidRPr="004F247D">
        <w:rPr>
          <w:rStyle w:val="FootnoteReference"/>
          <w:rFonts w:ascii="Arial" w:hAnsi="Arial" w:cs="Arial"/>
          <w:sz w:val="20"/>
        </w:rPr>
        <w:footnoteRef/>
      </w:r>
      <w:r w:rsidRPr="004F247D">
        <w:rPr>
          <w:rFonts w:ascii="Arial" w:hAnsi="Arial" w:cs="Arial"/>
          <w:sz w:val="20"/>
        </w:rPr>
        <w:t xml:space="preserve"> United Nations Development Programme, ‘Human Development Index 2012’ </w:t>
      </w:r>
      <w:hyperlink r:id="rId3" w:history="1">
        <w:r w:rsidRPr="004F247D">
          <w:rPr>
            <w:rStyle w:val="Hyperlink"/>
            <w:rFonts w:ascii="Arial" w:hAnsi="Arial" w:cs="Arial"/>
            <w:sz w:val="20"/>
            <w:lang w:eastAsia="en-AU"/>
          </w:rPr>
          <w:t>http://hdr.undp.org/en/content/table-2-human-development-index-trends-1980-2013</w:t>
        </w:r>
      </w:hyperlink>
    </w:p>
  </w:footnote>
  <w:footnote w:id="1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International Telecommunication Union, </w:t>
      </w:r>
      <w:r w:rsidRPr="004F247D">
        <w:rPr>
          <w:rFonts w:ascii="Arial" w:hAnsi="Arial" w:cs="Arial"/>
          <w:i/>
          <w:sz w:val="20"/>
        </w:rPr>
        <w:t xml:space="preserve">Australia ICT Data Collection Case Study </w:t>
      </w:r>
      <w:r w:rsidRPr="004F247D">
        <w:rPr>
          <w:rFonts w:ascii="Arial" w:hAnsi="Arial" w:cs="Arial"/>
          <w:sz w:val="20"/>
        </w:rPr>
        <w:t>(Report, July 2005) &lt;</w:t>
      </w:r>
      <w:hyperlink r:id="rId4" w:history="1">
        <w:r w:rsidRPr="004F247D">
          <w:rPr>
            <w:rStyle w:val="Hyperlink"/>
            <w:rFonts w:ascii="Arial" w:hAnsi="Arial" w:cs="Arial"/>
            <w:sz w:val="20"/>
          </w:rPr>
          <w:t>www.itu.int/ITU-D/ict/cs/australia/material/AUS_CS.pdf</w:t>
        </w:r>
      </w:hyperlink>
      <w:r w:rsidRPr="004F247D">
        <w:rPr>
          <w:rFonts w:ascii="Arial" w:hAnsi="Arial" w:cs="Arial"/>
          <w:sz w:val="20"/>
        </w:rPr>
        <w:t>&gt;.</w:t>
      </w:r>
    </w:p>
  </w:footnote>
  <w:footnote w:id="12">
    <w:p w:rsidR="00701CBA" w:rsidRPr="004F247D" w:rsidRDefault="00701CBA" w:rsidP="004F247D">
      <w:pPr>
        <w:pStyle w:val="NoSpacing"/>
        <w:rPr>
          <w:rFonts w:ascii="Arial" w:hAnsi="Arial" w:cs="Arial"/>
          <w:sz w:val="20"/>
          <w:lang w:val="de-DE"/>
        </w:rPr>
      </w:pPr>
      <w:r w:rsidRPr="004F247D">
        <w:rPr>
          <w:rStyle w:val="FootnoteReference"/>
          <w:rFonts w:ascii="Arial" w:hAnsi="Arial" w:cs="Arial"/>
          <w:sz w:val="20"/>
        </w:rPr>
        <w:footnoteRef/>
      </w:r>
      <w:r w:rsidRPr="004F247D">
        <w:rPr>
          <w:rFonts w:ascii="Arial" w:hAnsi="Arial" w:cs="Arial"/>
          <w:sz w:val="20"/>
        </w:rPr>
        <w:t xml:space="preserve"> </w:t>
      </w:r>
      <w:r w:rsidRPr="004F247D">
        <w:rPr>
          <w:rFonts w:ascii="Arial" w:hAnsi="Arial" w:cs="Arial"/>
          <w:i/>
          <w:sz w:val="20"/>
        </w:rPr>
        <w:t>Commonwealth of Australia Constitution Act 1900</w:t>
      </w:r>
      <w:r w:rsidRPr="004F247D">
        <w:rPr>
          <w:rFonts w:ascii="Arial" w:hAnsi="Arial" w:cs="Arial"/>
          <w:sz w:val="20"/>
        </w:rPr>
        <w:t>.</w:t>
      </w:r>
    </w:p>
  </w:footnote>
  <w:footnote w:id="1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The enumerated rights with the </w:t>
      </w:r>
      <w:r w:rsidRPr="004F247D">
        <w:rPr>
          <w:rFonts w:ascii="Arial" w:hAnsi="Arial" w:cs="Arial"/>
          <w:i/>
          <w:sz w:val="20"/>
        </w:rPr>
        <w:t>Constitution</w:t>
      </w:r>
      <w:r w:rsidRPr="004F247D">
        <w:rPr>
          <w:rFonts w:ascii="Arial" w:hAnsi="Arial" w:cs="Arial"/>
          <w:sz w:val="20"/>
        </w:rPr>
        <w:t xml:space="preserve"> are s 51(xxxi) Acquisition property on just terms; s 80 Trial by jury; s 92 Freedom of movement between States; s 116 Freedom of religion; s 117 Protection against discrimination on the basis of State residence; and </w:t>
      </w:r>
      <w:proofErr w:type="spellStart"/>
      <w:r w:rsidRPr="004F247D">
        <w:rPr>
          <w:rFonts w:ascii="Arial" w:hAnsi="Arial" w:cs="Arial"/>
          <w:sz w:val="20"/>
        </w:rPr>
        <w:t>ss</w:t>
      </w:r>
      <w:proofErr w:type="spellEnd"/>
      <w:r w:rsidRPr="004F247D">
        <w:rPr>
          <w:rFonts w:ascii="Arial" w:hAnsi="Arial" w:cs="Arial"/>
          <w:sz w:val="20"/>
        </w:rPr>
        <w:t xml:space="preserve"> 41 and 24 Voting rights. For further discussion of the nature and application of these rights see</w:t>
      </w:r>
      <w:r w:rsidRPr="004F247D">
        <w:rPr>
          <w:rFonts w:ascii="Arial" w:hAnsi="Arial" w:cs="Arial"/>
          <w:i/>
          <w:sz w:val="20"/>
        </w:rPr>
        <w:t xml:space="preserve"> </w:t>
      </w:r>
      <w:r w:rsidRPr="004F247D">
        <w:rPr>
          <w:rFonts w:ascii="Arial" w:hAnsi="Arial" w:cs="Arial"/>
          <w:sz w:val="20"/>
        </w:rPr>
        <w:t xml:space="preserve">N O’Neill, S Rice and R Douglas, </w:t>
      </w:r>
      <w:r w:rsidRPr="004F247D">
        <w:rPr>
          <w:rFonts w:ascii="Arial" w:hAnsi="Arial" w:cs="Arial"/>
          <w:i/>
          <w:sz w:val="20"/>
        </w:rPr>
        <w:t xml:space="preserve">Retreat from Injustice: Human Rights Law in Australia </w:t>
      </w:r>
      <w:r w:rsidRPr="004F247D">
        <w:rPr>
          <w:rFonts w:ascii="Arial" w:hAnsi="Arial" w:cs="Arial"/>
          <w:sz w:val="20"/>
        </w:rPr>
        <w:t>(Federation Press, 2005) 27.</w:t>
      </w:r>
    </w:p>
  </w:footnote>
  <w:footnote w:id="1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Ibid.</w:t>
      </w:r>
    </w:p>
  </w:footnote>
  <w:footnote w:id="15">
    <w:p w:rsidR="00701CBA" w:rsidRPr="004F247D" w:rsidRDefault="00701CBA" w:rsidP="004F247D">
      <w:pPr>
        <w:pStyle w:val="NoSpacing"/>
        <w:rPr>
          <w:rFonts w:ascii="Arial" w:hAnsi="Arial" w:cs="Arial"/>
          <w:sz w:val="20"/>
          <w:highlight w:val="yellow"/>
        </w:rPr>
      </w:pPr>
      <w:r w:rsidRPr="004F247D">
        <w:rPr>
          <w:rStyle w:val="FootnoteReference"/>
          <w:rFonts w:ascii="Arial" w:hAnsi="Arial" w:cs="Arial"/>
          <w:sz w:val="20"/>
        </w:rPr>
        <w:footnoteRef/>
      </w:r>
      <w:r w:rsidRPr="004F247D">
        <w:rPr>
          <w:rFonts w:ascii="Arial" w:hAnsi="Arial" w:cs="Arial"/>
          <w:sz w:val="20"/>
        </w:rPr>
        <w:t xml:space="preserve"> </w:t>
      </w:r>
      <w:r w:rsidRPr="004F247D">
        <w:rPr>
          <w:rFonts w:ascii="Arial" w:hAnsi="Arial" w:cs="Arial"/>
          <w:i/>
          <w:sz w:val="20"/>
        </w:rPr>
        <w:t xml:space="preserve">International Covenant on Civil and Political Rights </w:t>
      </w:r>
      <w:r w:rsidRPr="004F247D">
        <w:rPr>
          <w:rFonts w:ascii="Arial" w:hAnsi="Arial" w:cs="Arial"/>
          <w:sz w:val="20"/>
        </w:rPr>
        <w:t>(‘</w:t>
      </w:r>
      <w:r w:rsidRPr="004F247D">
        <w:rPr>
          <w:rFonts w:ascii="Arial" w:hAnsi="Arial" w:cs="Arial"/>
          <w:i/>
          <w:sz w:val="20"/>
        </w:rPr>
        <w:t>ICCPR</w:t>
      </w:r>
      <w:r w:rsidRPr="004F247D">
        <w:rPr>
          <w:rFonts w:ascii="Arial" w:hAnsi="Arial" w:cs="Arial"/>
          <w:sz w:val="20"/>
        </w:rPr>
        <w:t xml:space="preserve">’), </w:t>
      </w:r>
      <w:r w:rsidRPr="004F247D">
        <w:rPr>
          <w:rFonts w:ascii="Arial" w:hAnsi="Arial" w:cs="Arial"/>
          <w:i/>
          <w:sz w:val="20"/>
        </w:rPr>
        <w:t xml:space="preserve">International Covenant on Economic, Social and Cultural Rights </w:t>
      </w:r>
      <w:r w:rsidRPr="004F247D">
        <w:rPr>
          <w:rFonts w:ascii="Arial" w:hAnsi="Arial" w:cs="Arial"/>
          <w:sz w:val="20"/>
        </w:rPr>
        <w:t>(‘</w:t>
      </w:r>
      <w:r w:rsidRPr="004F247D">
        <w:rPr>
          <w:rFonts w:ascii="Arial" w:hAnsi="Arial" w:cs="Arial"/>
          <w:i/>
          <w:sz w:val="20"/>
        </w:rPr>
        <w:t>ICESCR</w:t>
      </w:r>
      <w:r w:rsidRPr="004F247D">
        <w:rPr>
          <w:rFonts w:ascii="Arial" w:hAnsi="Arial" w:cs="Arial"/>
          <w:sz w:val="20"/>
        </w:rPr>
        <w:t xml:space="preserve">’), </w:t>
      </w:r>
      <w:r w:rsidRPr="004F247D">
        <w:rPr>
          <w:rFonts w:ascii="Arial" w:hAnsi="Arial" w:cs="Arial"/>
          <w:i/>
          <w:sz w:val="20"/>
        </w:rPr>
        <w:t xml:space="preserve">International Convention on the Elimination of All Forms of Racial Discrimination </w:t>
      </w:r>
      <w:r w:rsidRPr="004F247D">
        <w:rPr>
          <w:rFonts w:ascii="Arial" w:hAnsi="Arial" w:cs="Arial"/>
          <w:sz w:val="20"/>
        </w:rPr>
        <w:t>(‘</w:t>
      </w:r>
      <w:r w:rsidRPr="004F247D">
        <w:rPr>
          <w:rFonts w:ascii="Arial" w:hAnsi="Arial" w:cs="Arial"/>
          <w:i/>
          <w:sz w:val="20"/>
        </w:rPr>
        <w:t>ICERD</w:t>
      </w:r>
      <w:r w:rsidRPr="004F247D">
        <w:rPr>
          <w:rFonts w:ascii="Arial" w:hAnsi="Arial" w:cs="Arial"/>
          <w:sz w:val="20"/>
        </w:rPr>
        <w:t xml:space="preserve">’), </w:t>
      </w:r>
      <w:r w:rsidRPr="004F247D">
        <w:rPr>
          <w:rFonts w:ascii="Arial" w:hAnsi="Arial" w:cs="Arial"/>
          <w:i/>
          <w:sz w:val="20"/>
        </w:rPr>
        <w:t xml:space="preserve">Convention on the Elimination of All Forms of Discrimination against Women </w:t>
      </w:r>
      <w:r w:rsidRPr="004F247D">
        <w:rPr>
          <w:rFonts w:ascii="Arial" w:hAnsi="Arial" w:cs="Arial"/>
          <w:sz w:val="20"/>
        </w:rPr>
        <w:t>(‘</w:t>
      </w:r>
      <w:r w:rsidRPr="004F247D">
        <w:rPr>
          <w:rFonts w:ascii="Arial" w:hAnsi="Arial" w:cs="Arial"/>
          <w:i/>
          <w:sz w:val="20"/>
        </w:rPr>
        <w:t>CEDAW</w:t>
      </w:r>
      <w:r w:rsidRPr="004F247D">
        <w:rPr>
          <w:rFonts w:ascii="Arial" w:hAnsi="Arial" w:cs="Arial"/>
          <w:sz w:val="20"/>
        </w:rPr>
        <w:t xml:space="preserve">’), </w:t>
      </w:r>
      <w:r w:rsidRPr="004F247D">
        <w:rPr>
          <w:rFonts w:ascii="Arial" w:hAnsi="Arial" w:cs="Arial"/>
          <w:i/>
          <w:sz w:val="20"/>
        </w:rPr>
        <w:t xml:space="preserve">Convention against Torture and Other Cruel, Inhuman or Degrading Treatment </w:t>
      </w:r>
      <w:r w:rsidRPr="004F247D">
        <w:rPr>
          <w:rFonts w:ascii="Arial" w:hAnsi="Arial" w:cs="Arial"/>
          <w:sz w:val="20"/>
        </w:rPr>
        <w:t>(‘</w:t>
      </w:r>
      <w:r w:rsidRPr="004F247D">
        <w:rPr>
          <w:rFonts w:ascii="Arial" w:hAnsi="Arial" w:cs="Arial"/>
          <w:i/>
          <w:sz w:val="20"/>
        </w:rPr>
        <w:t>CAT</w:t>
      </w:r>
      <w:r w:rsidRPr="004F247D">
        <w:rPr>
          <w:rFonts w:ascii="Arial" w:hAnsi="Arial" w:cs="Arial"/>
          <w:sz w:val="20"/>
        </w:rPr>
        <w:t xml:space="preserve">’), </w:t>
      </w:r>
      <w:r w:rsidRPr="004F247D">
        <w:rPr>
          <w:rFonts w:ascii="Arial" w:hAnsi="Arial" w:cs="Arial"/>
          <w:i/>
          <w:sz w:val="20"/>
        </w:rPr>
        <w:t xml:space="preserve">Convention on the Rights of the Child </w:t>
      </w:r>
      <w:r w:rsidRPr="004F247D">
        <w:rPr>
          <w:rFonts w:ascii="Arial" w:hAnsi="Arial" w:cs="Arial"/>
          <w:sz w:val="20"/>
        </w:rPr>
        <w:t>(‘</w:t>
      </w:r>
      <w:r w:rsidRPr="004F247D">
        <w:rPr>
          <w:rFonts w:ascii="Arial" w:hAnsi="Arial" w:cs="Arial"/>
          <w:i/>
          <w:sz w:val="20"/>
        </w:rPr>
        <w:t>CRC</w:t>
      </w:r>
      <w:r w:rsidRPr="004F247D">
        <w:rPr>
          <w:rFonts w:ascii="Arial" w:hAnsi="Arial" w:cs="Arial"/>
          <w:sz w:val="20"/>
        </w:rPr>
        <w:t xml:space="preserve">’) and </w:t>
      </w:r>
      <w:r w:rsidRPr="004F247D">
        <w:rPr>
          <w:rFonts w:ascii="Arial" w:hAnsi="Arial" w:cs="Arial"/>
          <w:i/>
          <w:sz w:val="20"/>
        </w:rPr>
        <w:t xml:space="preserve">Convention on the Rights of Persons with Disabilities </w:t>
      </w:r>
      <w:r w:rsidRPr="004F247D">
        <w:rPr>
          <w:rFonts w:ascii="Arial" w:hAnsi="Arial" w:cs="Arial"/>
          <w:sz w:val="20"/>
        </w:rPr>
        <w:t>(‘</w:t>
      </w:r>
      <w:r w:rsidRPr="004F247D">
        <w:rPr>
          <w:rFonts w:ascii="Arial" w:hAnsi="Arial" w:cs="Arial"/>
          <w:i/>
          <w:sz w:val="20"/>
        </w:rPr>
        <w:t>CRPD</w:t>
      </w:r>
      <w:r w:rsidRPr="004F247D">
        <w:rPr>
          <w:rFonts w:ascii="Arial" w:hAnsi="Arial" w:cs="Arial"/>
          <w:sz w:val="20"/>
        </w:rPr>
        <w:t>’).</w:t>
      </w:r>
    </w:p>
  </w:footnote>
  <w:footnote w:id="1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One state, Victoria, and one territory, the Australian Capital Territory have adopted a statutory Bill of Rights into their legislation. In 2004 the ACT adopted the </w:t>
      </w:r>
      <w:r w:rsidRPr="004F247D">
        <w:rPr>
          <w:rFonts w:ascii="Arial" w:hAnsi="Arial" w:cs="Arial"/>
          <w:i/>
          <w:sz w:val="20"/>
        </w:rPr>
        <w:t xml:space="preserve">Human Rights Act 2004 </w:t>
      </w:r>
      <w:r w:rsidRPr="004F247D">
        <w:rPr>
          <w:rFonts w:ascii="Arial" w:hAnsi="Arial" w:cs="Arial"/>
          <w:sz w:val="20"/>
        </w:rPr>
        <w:t>(ACT)</w:t>
      </w:r>
      <w:r w:rsidRPr="004F247D">
        <w:rPr>
          <w:rFonts w:ascii="Arial" w:hAnsi="Arial" w:cs="Arial"/>
          <w:i/>
          <w:sz w:val="20"/>
        </w:rPr>
        <w:t xml:space="preserve"> </w:t>
      </w:r>
      <w:r w:rsidRPr="004F247D">
        <w:rPr>
          <w:rFonts w:ascii="Arial" w:hAnsi="Arial" w:cs="Arial"/>
          <w:sz w:val="20"/>
        </w:rPr>
        <w:t xml:space="preserve">and in 2006 Victoria adopted the </w:t>
      </w:r>
      <w:r w:rsidRPr="004F247D">
        <w:rPr>
          <w:rFonts w:ascii="Arial" w:hAnsi="Arial" w:cs="Arial"/>
          <w:i/>
          <w:sz w:val="20"/>
        </w:rPr>
        <w:t xml:space="preserve">Charter of Human Rights and Responsibilities 2006 </w:t>
      </w:r>
      <w:r w:rsidRPr="004F247D">
        <w:rPr>
          <w:rFonts w:ascii="Arial" w:hAnsi="Arial" w:cs="Arial"/>
          <w:sz w:val="20"/>
        </w:rPr>
        <w:t>(Vic)</w:t>
      </w:r>
      <w:r w:rsidRPr="004F247D">
        <w:rPr>
          <w:rFonts w:ascii="Arial" w:hAnsi="Arial" w:cs="Arial"/>
          <w:i/>
          <w:sz w:val="20"/>
        </w:rPr>
        <w:t>.</w:t>
      </w:r>
    </w:p>
  </w:footnote>
  <w:footnote w:id="1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The UK and New Zealand do not have a constitutionally entrenched Bill of Rights but have incorporated a Bill of Rights into statute. The UK enacted the </w:t>
      </w:r>
      <w:r w:rsidRPr="004F247D">
        <w:rPr>
          <w:rFonts w:ascii="Arial" w:hAnsi="Arial" w:cs="Arial"/>
          <w:i/>
          <w:sz w:val="20"/>
        </w:rPr>
        <w:t>Human Rights Act</w:t>
      </w:r>
      <w:r w:rsidRPr="004F247D">
        <w:rPr>
          <w:rFonts w:ascii="Arial" w:hAnsi="Arial" w:cs="Arial"/>
          <w:sz w:val="20"/>
        </w:rPr>
        <w:t xml:space="preserve"> in 1998 which incorporates the </w:t>
      </w:r>
      <w:r w:rsidRPr="004F247D">
        <w:rPr>
          <w:rFonts w:ascii="Arial" w:hAnsi="Arial" w:cs="Arial"/>
          <w:i/>
          <w:sz w:val="20"/>
        </w:rPr>
        <w:t>European Convention of Human Rights</w:t>
      </w:r>
      <w:r w:rsidRPr="004F247D">
        <w:rPr>
          <w:rFonts w:ascii="Arial" w:hAnsi="Arial" w:cs="Arial"/>
          <w:sz w:val="20"/>
        </w:rPr>
        <w:t xml:space="preserve"> into the UK legal system and New Zealand adopted the </w:t>
      </w:r>
      <w:r w:rsidRPr="004F247D">
        <w:rPr>
          <w:rFonts w:ascii="Arial" w:hAnsi="Arial" w:cs="Arial"/>
          <w:i/>
          <w:sz w:val="20"/>
        </w:rPr>
        <w:t xml:space="preserve">Bill of Rights Act </w:t>
      </w:r>
      <w:r w:rsidRPr="004F247D">
        <w:rPr>
          <w:rFonts w:ascii="Arial" w:hAnsi="Arial" w:cs="Arial"/>
          <w:sz w:val="20"/>
        </w:rPr>
        <w:t>in 1990.</w:t>
      </w:r>
    </w:p>
  </w:footnote>
  <w:footnote w:id="1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The courts have drawn on this provision to strike down legislation, most notably in the detention of non-citizens: see N O’Neill, S Rice and R Douglas, above n </w:t>
      </w:r>
      <w:r w:rsidRPr="004F247D">
        <w:rPr>
          <w:rFonts w:ascii="Arial" w:hAnsi="Arial" w:cs="Arial"/>
          <w:sz w:val="20"/>
        </w:rPr>
        <w:fldChar w:fldCharType="begin"/>
      </w:r>
      <w:r w:rsidRPr="004F247D">
        <w:rPr>
          <w:rFonts w:ascii="Arial" w:hAnsi="Arial" w:cs="Arial"/>
          <w:sz w:val="20"/>
        </w:rPr>
        <w:instrText xml:space="preserve"> NOTEREF _Ref321385073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13</w:t>
      </w:r>
      <w:r w:rsidRPr="004F247D">
        <w:rPr>
          <w:rFonts w:ascii="Arial" w:hAnsi="Arial" w:cs="Arial"/>
          <w:sz w:val="20"/>
        </w:rPr>
        <w:fldChar w:fldCharType="end"/>
      </w:r>
      <w:r w:rsidRPr="004F247D">
        <w:rPr>
          <w:rFonts w:ascii="Arial" w:hAnsi="Arial" w:cs="Arial"/>
          <w:sz w:val="20"/>
        </w:rPr>
        <w:t>, 193.</w:t>
      </w:r>
    </w:p>
  </w:footnote>
  <w:footnote w:id="1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Council of Australian Governments &lt;</w:t>
      </w:r>
      <w:hyperlink r:id="rId5" w:history="1">
        <w:r w:rsidRPr="004F247D">
          <w:rPr>
            <w:rStyle w:val="Hyperlink"/>
            <w:rFonts w:ascii="Arial" w:hAnsi="Arial" w:cs="Arial"/>
            <w:sz w:val="20"/>
          </w:rPr>
          <w:t>www.coag.org.au</w:t>
        </w:r>
      </w:hyperlink>
      <w:r w:rsidRPr="004F247D">
        <w:rPr>
          <w:rFonts w:ascii="Arial" w:hAnsi="Arial" w:cs="Arial"/>
          <w:sz w:val="20"/>
        </w:rPr>
        <w:t>&gt;.</w:t>
      </w:r>
    </w:p>
  </w:footnote>
  <w:footnote w:id="2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hyperlink r:id="rId6" w:history="1">
        <w:r w:rsidRPr="004F247D">
          <w:rPr>
            <w:rStyle w:val="Hyperlink"/>
            <w:rFonts w:ascii="Arial" w:hAnsi="Arial" w:cs="Arial"/>
            <w:sz w:val="20"/>
            <w:lang w:eastAsia="en-AU"/>
          </w:rPr>
          <w:t>http://www.budget.gov.au/2014-15/content/bp2/html/bp2_expense-20.htm</w:t>
        </w:r>
      </w:hyperlink>
      <w:r w:rsidRPr="004F247D">
        <w:rPr>
          <w:rFonts w:ascii="Arial" w:hAnsi="Arial" w:cs="Arial"/>
          <w:color w:val="000080"/>
          <w:sz w:val="20"/>
          <w:lang w:eastAsia="en-AU"/>
        </w:rPr>
        <w:t>)</w:t>
      </w:r>
    </w:p>
  </w:footnote>
  <w:footnote w:id="2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r w:rsidRPr="004F247D">
        <w:rPr>
          <w:rFonts w:ascii="Arial" w:hAnsi="Arial" w:cs="Arial"/>
          <w:i/>
          <w:sz w:val="20"/>
        </w:rPr>
        <w:t>Crimes Legislation Amendment (Torture Prohibition and Death Penalty Abolition) Act 2010</w:t>
      </w:r>
      <w:r w:rsidRPr="004F247D">
        <w:rPr>
          <w:rFonts w:ascii="Arial" w:hAnsi="Arial" w:cs="Arial"/>
          <w:sz w:val="20"/>
        </w:rPr>
        <w:t xml:space="preserve"> (</w:t>
      </w:r>
      <w:proofErr w:type="spellStart"/>
      <w:r w:rsidRPr="004F247D">
        <w:rPr>
          <w:rFonts w:ascii="Arial" w:hAnsi="Arial" w:cs="Arial"/>
          <w:sz w:val="20"/>
        </w:rPr>
        <w:t>Cth</w:t>
      </w:r>
      <w:proofErr w:type="spellEnd"/>
      <w:r w:rsidRPr="004F247D">
        <w:rPr>
          <w:rFonts w:ascii="Arial" w:hAnsi="Arial" w:cs="Arial"/>
          <w:sz w:val="20"/>
        </w:rPr>
        <w:t>) s 247.</w:t>
      </w:r>
    </w:p>
  </w:footnote>
  <w:footnote w:id="2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Client of an individual advocacy service.</w:t>
      </w:r>
    </w:p>
  </w:footnote>
  <w:footnote w:id="2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Committee against Torture, </w:t>
      </w:r>
      <w:r w:rsidRPr="004F247D">
        <w:rPr>
          <w:rFonts w:ascii="Arial" w:hAnsi="Arial" w:cs="Arial"/>
          <w:i/>
          <w:sz w:val="20"/>
        </w:rPr>
        <w:t>Concluding Observations of the Committee against Torture: Australia</w:t>
      </w:r>
      <w:r w:rsidRPr="004F247D">
        <w:rPr>
          <w:rFonts w:ascii="Arial" w:hAnsi="Arial" w:cs="Arial"/>
          <w:sz w:val="20"/>
        </w:rPr>
        <w:t>, 40</w:t>
      </w:r>
      <w:r w:rsidRPr="004F247D">
        <w:rPr>
          <w:rFonts w:ascii="Arial" w:hAnsi="Arial" w:cs="Arial"/>
          <w:sz w:val="20"/>
          <w:vertAlign w:val="superscript"/>
        </w:rPr>
        <w:t>th</w:t>
      </w:r>
      <w:r w:rsidRPr="004F247D">
        <w:rPr>
          <w:rFonts w:ascii="Arial" w:hAnsi="Arial" w:cs="Arial"/>
          <w:sz w:val="20"/>
        </w:rPr>
        <w:t xml:space="preserve"> sess, UN Doc CAT/C/AUS/CO/1 (22 May 2008) para 18.</w:t>
      </w:r>
    </w:p>
  </w:footnote>
  <w:footnote w:id="24">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i/>
          <w:sz w:val="20"/>
        </w:rPr>
        <w:t xml:space="preserve"> Human Rights Act 2004 </w:t>
      </w:r>
      <w:r w:rsidRPr="004F247D">
        <w:rPr>
          <w:rFonts w:ascii="Arial" w:hAnsi="Arial" w:cs="Arial"/>
          <w:sz w:val="20"/>
        </w:rPr>
        <w:t xml:space="preserve">(ACT) s 18; </w:t>
      </w:r>
      <w:r w:rsidRPr="004F247D">
        <w:rPr>
          <w:rFonts w:ascii="Arial" w:hAnsi="Arial" w:cs="Arial"/>
          <w:bCs/>
          <w:i/>
          <w:sz w:val="20"/>
        </w:rPr>
        <w:t>Charter</w:t>
      </w:r>
      <w:r w:rsidRPr="004F247D">
        <w:rPr>
          <w:rFonts w:ascii="Arial" w:hAnsi="Arial" w:cs="Arial"/>
          <w:i/>
          <w:sz w:val="20"/>
        </w:rPr>
        <w:t xml:space="preserve"> of </w:t>
      </w:r>
      <w:r w:rsidRPr="004F247D">
        <w:rPr>
          <w:rFonts w:ascii="Arial" w:hAnsi="Arial" w:cs="Arial"/>
          <w:bCs/>
          <w:i/>
          <w:sz w:val="20"/>
        </w:rPr>
        <w:t>Human Rights</w:t>
      </w:r>
      <w:r w:rsidRPr="004F247D">
        <w:rPr>
          <w:rFonts w:ascii="Arial" w:hAnsi="Arial" w:cs="Arial"/>
          <w:i/>
          <w:sz w:val="20"/>
        </w:rPr>
        <w:t xml:space="preserve"> and Responsibilities </w:t>
      </w:r>
      <w:r w:rsidRPr="004F247D">
        <w:rPr>
          <w:rFonts w:ascii="Arial" w:hAnsi="Arial" w:cs="Arial"/>
          <w:bCs/>
          <w:i/>
          <w:sz w:val="20"/>
        </w:rPr>
        <w:t>Act</w:t>
      </w:r>
      <w:r w:rsidRPr="004F247D">
        <w:rPr>
          <w:rFonts w:ascii="Arial" w:hAnsi="Arial" w:cs="Arial"/>
          <w:i/>
          <w:sz w:val="20"/>
        </w:rPr>
        <w:t xml:space="preserve"> 2006</w:t>
      </w:r>
      <w:r w:rsidRPr="004F247D">
        <w:rPr>
          <w:rFonts w:ascii="Arial" w:hAnsi="Arial" w:cs="Arial"/>
          <w:sz w:val="20"/>
        </w:rPr>
        <w:t xml:space="preserve"> (</w:t>
      </w:r>
      <w:r w:rsidRPr="004F247D">
        <w:rPr>
          <w:rFonts w:ascii="Arial" w:hAnsi="Arial" w:cs="Arial"/>
          <w:bCs/>
          <w:sz w:val="20"/>
        </w:rPr>
        <w:t>Vic</w:t>
      </w:r>
      <w:r w:rsidRPr="004F247D">
        <w:rPr>
          <w:rFonts w:ascii="Arial" w:hAnsi="Arial" w:cs="Arial"/>
          <w:sz w:val="20"/>
        </w:rPr>
        <w:t>). See also National Association of Community Legal Centres and Human Rights Law Resource Centre, ‘</w:t>
      </w:r>
      <w:r w:rsidRPr="004F247D">
        <w:rPr>
          <w:rFonts w:ascii="Arial" w:hAnsi="Arial" w:cs="Arial"/>
          <w:sz w:val="20"/>
          <w:lang w:val="en-US"/>
        </w:rPr>
        <w:t>Australia’s Third Periodic Report to the UN Committee against Torture: L</w:t>
      </w:r>
      <w:r w:rsidRPr="004F247D">
        <w:rPr>
          <w:rFonts w:ascii="Arial" w:hAnsi="Arial" w:cs="Arial"/>
          <w:sz w:val="20"/>
        </w:rPr>
        <w:t>etter to the UN Committee against Torture’ (Open Letter, 6 July 2007) 2 &lt;</w:t>
      </w:r>
      <w:hyperlink r:id="rId7" w:history="1">
        <w:r w:rsidRPr="004F247D">
          <w:rPr>
            <w:rStyle w:val="Hyperlink"/>
            <w:rFonts w:ascii="Arial" w:hAnsi="Arial" w:cs="Arial"/>
            <w:sz w:val="20"/>
          </w:rPr>
          <w:t>www.hrlrc.org.au/files/WS81VOHT6Y/Fax%20to%20CAT%20-%206%20July%202007.pdf</w:t>
        </w:r>
      </w:hyperlink>
      <w:r w:rsidRPr="004F247D">
        <w:rPr>
          <w:rFonts w:ascii="Arial" w:hAnsi="Arial" w:cs="Arial"/>
          <w:sz w:val="20"/>
        </w:rPr>
        <w:t>&gt;.</w:t>
      </w:r>
    </w:p>
  </w:footnote>
  <w:footnote w:id="25">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See, e.g., </w:t>
      </w:r>
      <w:r w:rsidRPr="004F247D">
        <w:rPr>
          <w:rFonts w:ascii="Arial" w:hAnsi="Arial" w:cs="Arial"/>
          <w:i/>
          <w:sz w:val="20"/>
        </w:rPr>
        <w:t xml:space="preserve">Charter of the Human Rights and Responsibilities Act 2006 </w:t>
      </w:r>
      <w:r w:rsidRPr="004F247D">
        <w:rPr>
          <w:rFonts w:ascii="Arial" w:hAnsi="Arial" w:cs="Arial"/>
          <w:sz w:val="20"/>
        </w:rPr>
        <w:t>(Vic) s 7(2).</w:t>
      </w:r>
    </w:p>
  </w:footnote>
  <w:footnote w:id="26">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Amnesty International, ‘Australia: A Briefing for the Committee against Torture’, (Report, October 2007) 8 &lt;</w:t>
      </w:r>
      <w:hyperlink r:id="rId8" w:history="1">
        <w:r w:rsidRPr="004F247D">
          <w:rPr>
            <w:rStyle w:val="Hyperlink"/>
            <w:rFonts w:ascii="Arial" w:hAnsi="Arial" w:cs="Arial"/>
            <w:sz w:val="20"/>
          </w:rPr>
          <w:t>http://asiapacific.amnesty.org/library/pdf/ASA120012007ENGLISH/$File/ASA1200107.pdf</w:t>
        </w:r>
      </w:hyperlink>
      <w:r w:rsidRPr="004F247D">
        <w:rPr>
          <w:rFonts w:ascii="Arial" w:hAnsi="Arial" w:cs="Arial"/>
          <w:sz w:val="20"/>
        </w:rPr>
        <w:t>&gt;.</w:t>
      </w:r>
    </w:p>
  </w:footnote>
  <w:footnote w:id="27">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Ibid.</w:t>
      </w:r>
    </w:p>
  </w:footnote>
  <w:footnote w:id="28">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Human Rights and Equal Opportunity Commission, ‘Comments of the Human Rights and Equal Opportunity Commission on Australia’s Compliance with the </w:t>
      </w:r>
      <w:r w:rsidRPr="004F247D">
        <w:rPr>
          <w:rFonts w:ascii="Arial" w:hAnsi="Arial" w:cs="Arial"/>
          <w:i/>
          <w:sz w:val="20"/>
        </w:rPr>
        <w:t>Convention against Torture and Other Cruel, Inhuman and Degrading Treatment or</w:t>
      </w:r>
      <w:r w:rsidRPr="004F247D">
        <w:rPr>
          <w:rFonts w:ascii="Arial" w:hAnsi="Arial" w:cs="Arial"/>
          <w:sz w:val="20"/>
        </w:rPr>
        <w:t xml:space="preserve"> </w:t>
      </w:r>
      <w:r w:rsidRPr="004F247D">
        <w:rPr>
          <w:rFonts w:ascii="Arial" w:hAnsi="Arial" w:cs="Arial"/>
          <w:i/>
          <w:sz w:val="20"/>
        </w:rPr>
        <w:t>Punishment</w:t>
      </w:r>
      <w:r w:rsidRPr="004F247D">
        <w:rPr>
          <w:rFonts w:ascii="Arial" w:hAnsi="Arial" w:cs="Arial"/>
          <w:sz w:val="20"/>
        </w:rPr>
        <w:t>’ (Comments, 2008) [14] &lt;</w:t>
      </w:r>
      <w:hyperlink r:id="rId9" w:history="1">
        <w:r w:rsidRPr="004F247D">
          <w:rPr>
            <w:rStyle w:val="Hyperlink"/>
            <w:rFonts w:ascii="Arial" w:hAnsi="Arial" w:cs="Arial"/>
            <w:sz w:val="20"/>
          </w:rPr>
          <w:t>www.humanrights.gov.au/</w:t>
        </w:r>
        <w:r w:rsidRPr="004F247D">
          <w:rPr>
            <w:rStyle w:val="Hyperlink"/>
            <w:rFonts w:ascii="Arial" w:hAnsi="Arial" w:cs="Arial"/>
            <w:sz w:val="20"/>
          </w:rPr>
          <w:br/>
          <w:t>legal/submissions/2008/080415_torture.html</w:t>
        </w:r>
      </w:hyperlink>
      <w:r w:rsidRPr="004F247D">
        <w:rPr>
          <w:rFonts w:ascii="Arial" w:hAnsi="Arial" w:cs="Arial"/>
          <w:sz w:val="20"/>
        </w:rPr>
        <w:t>&gt;.</w:t>
      </w:r>
    </w:p>
  </w:footnote>
  <w:footnote w:id="29">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The law relating to false imprisonment involves the intentional or reckless restraint of a person’s freedom of movement from a particular place that may be imposed for behaviour modification, control or treatment purposes: French, Dardel and Price-Kelly, above n </w:t>
      </w:r>
      <w:r w:rsidRPr="004F247D">
        <w:rPr>
          <w:rFonts w:ascii="Arial" w:hAnsi="Arial" w:cs="Arial"/>
          <w:sz w:val="20"/>
        </w:rPr>
        <w:fldChar w:fldCharType="begin"/>
      </w:r>
      <w:r w:rsidRPr="004F247D">
        <w:rPr>
          <w:rFonts w:ascii="Arial" w:hAnsi="Arial" w:cs="Arial"/>
          <w:sz w:val="20"/>
        </w:rPr>
        <w:instrText xml:space="preserve"> NOTEREF _Ref321408745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80</w:t>
      </w:r>
      <w:r w:rsidRPr="004F247D">
        <w:rPr>
          <w:rFonts w:ascii="Arial" w:hAnsi="Arial" w:cs="Arial"/>
          <w:sz w:val="20"/>
        </w:rPr>
        <w:fldChar w:fldCharType="end"/>
      </w:r>
      <w:r w:rsidRPr="004F247D">
        <w:rPr>
          <w:rFonts w:ascii="Arial" w:hAnsi="Arial" w:cs="Arial"/>
          <w:sz w:val="20"/>
        </w:rPr>
        <w:t>, 38.</w:t>
      </w:r>
    </w:p>
  </w:footnote>
  <w:footnote w:id="3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Committee against Torture, </w:t>
      </w:r>
      <w:r w:rsidRPr="004F247D">
        <w:rPr>
          <w:rFonts w:ascii="Arial" w:hAnsi="Arial" w:cs="Arial"/>
          <w:i/>
          <w:sz w:val="20"/>
        </w:rPr>
        <w:t>Concluding Observations of the Committee against Torture: Australia</w:t>
      </w:r>
      <w:r w:rsidRPr="004F247D">
        <w:rPr>
          <w:rFonts w:ascii="Arial" w:hAnsi="Arial" w:cs="Arial"/>
          <w:sz w:val="20"/>
        </w:rPr>
        <w:t>, 40</w:t>
      </w:r>
      <w:r w:rsidRPr="004F247D">
        <w:rPr>
          <w:rFonts w:ascii="Arial" w:hAnsi="Arial" w:cs="Arial"/>
          <w:sz w:val="20"/>
          <w:vertAlign w:val="superscript"/>
        </w:rPr>
        <w:t>th</w:t>
      </w:r>
      <w:r w:rsidRPr="004F247D">
        <w:rPr>
          <w:rFonts w:ascii="Arial" w:hAnsi="Arial" w:cs="Arial"/>
          <w:sz w:val="20"/>
        </w:rPr>
        <w:t xml:space="preserve"> sess, UN Doc CAT/C/AUS/CO/1 (22 May 2008) para 14 and List of Issues para 5.</w:t>
      </w:r>
    </w:p>
  </w:footnote>
  <w:footnote w:id="3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&lt;www.ag.gov.au/RightsAndProtections/HumanRights/Pages/Humanrightscommunications.aspx&gt;. </w:t>
      </w:r>
    </w:p>
  </w:footnote>
  <w:footnote w:id="3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Joint Standing Committee on Treaties, Parliament of Australia, </w:t>
      </w:r>
      <w:proofErr w:type="gramStart"/>
      <w:r w:rsidRPr="004F247D">
        <w:rPr>
          <w:rFonts w:ascii="Arial" w:hAnsi="Arial" w:cs="Arial"/>
          <w:i/>
          <w:sz w:val="20"/>
        </w:rPr>
        <w:t>Review</w:t>
      </w:r>
      <w:proofErr w:type="gramEnd"/>
      <w:r w:rsidRPr="004F247D">
        <w:rPr>
          <w:rFonts w:ascii="Arial" w:hAnsi="Arial" w:cs="Arial"/>
          <w:i/>
          <w:sz w:val="20"/>
        </w:rPr>
        <w:t xml:space="preserve"> into Treaties tabled on 7 and 28 February 2012 </w:t>
      </w:r>
      <w:r w:rsidRPr="004F247D">
        <w:rPr>
          <w:rFonts w:ascii="Arial" w:hAnsi="Arial" w:cs="Arial"/>
          <w:sz w:val="20"/>
        </w:rPr>
        <w:t xml:space="preserve">(2012) </w:t>
      </w:r>
      <w:proofErr w:type="spellStart"/>
      <w:r w:rsidRPr="004F247D">
        <w:rPr>
          <w:rFonts w:ascii="Arial" w:hAnsi="Arial" w:cs="Arial"/>
          <w:sz w:val="20"/>
        </w:rPr>
        <w:t>ch</w:t>
      </w:r>
      <w:proofErr w:type="spellEnd"/>
      <w:r w:rsidRPr="004F247D">
        <w:rPr>
          <w:rFonts w:ascii="Arial" w:hAnsi="Arial" w:cs="Arial"/>
          <w:sz w:val="20"/>
        </w:rPr>
        <w:t xml:space="preserve"> 6.</w:t>
      </w:r>
    </w:p>
  </w:footnote>
  <w:footnote w:id="3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Submissions outlining our views in more detail can be accessed here: </w:t>
      </w:r>
      <w:hyperlink r:id="rId10" w:history="1">
        <w:r w:rsidRPr="004F247D">
          <w:rPr>
            <w:rStyle w:val="Hyperlink"/>
            <w:rFonts w:ascii="Arial" w:hAnsi="Arial" w:cs="Arial"/>
            <w:sz w:val="20"/>
          </w:rPr>
          <w:t>http://www.pwd.org.au/pwda-publications/submissions.html</w:t>
        </w:r>
      </w:hyperlink>
      <w:r w:rsidRPr="004F247D">
        <w:rPr>
          <w:rFonts w:ascii="Arial" w:hAnsi="Arial" w:cs="Arial"/>
          <w:sz w:val="20"/>
        </w:rPr>
        <w:t xml:space="preserve"> </w:t>
      </w:r>
    </w:p>
  </w:footnote>
  <w:footnote w:id="34">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w:t>
      </w:r>
      <w:r w:rsidRPr="004F247D">
        <w:rPr>
          <w:rFonts w:ascii="Arial" w:hAnsi="Arial" w:cs="Arial"/>
          <w:i/>
          <w:sz w:val="20"/>
        </w:rPr>
        <w:t>Convention on the Rights of Persons with Disabilities</w:t>
      </w:r>
      <w:r w:rsidRPr="004F247D">
        <w:rPr>
          <w:rFonts w:ascii="Arial" w:hAnsi="Arial" w:cs="Arial"/>
          <w:sz w:val="20"/>
        </w:rPr>
        <w:t>: Declarations and Reservations (Australia), UN OHCHR. 2008.</w:t>
      </w:r>
    </w:p>
  </w:footnote>
  <w:footnote w:id="3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hyperlink r:id="rId11" w:history="1">
        <w:r w:rsidRPr="004F247D">
          <w:rPr>
            <w:rStyle w:val="Hyperlink"/>
            <w:rFonts w:ascii="Arial" w:hAnsi="Arial" w:cs="Arial"/>
            <w:sz w:val="20"/>
          </w:rPr>
          <w:t>http://www.alrc.gov.au/publications/disability-dp81</w:t>
        </w:r>
      </w:hyperlink>
      <w:r w:rsidRPr="004F247D">
        <w:rPr>
          <w:rFonts w:ascii="Arial" w:hAnsi="Arial" w:cs="Arial"/>
          <w:sz w:val="20"/>
        </w:rPr>
        <w:t xml:space="preserve"> </w:t>
      </w:r>
    </w:p>
  </w:footnote>
  <w:footnote w:id="3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Paragraphs 24-26. Available at </w:t>
      </w:r>
      <w:hyperlink r:id="rId12" w:history="1">
        <w:r w:rsidRPr="004F247D">
          <w:rPr>
            <w:rStyle w:val="Hyperlink"/>
            <w:rFonts w:ascii="Arial" w:hAnsi="Arial" w:cs="Arial"/>
            <w:sz w:val="20"/>
          </w:rPr>
          <w:t>http://tbinternet.ohchr.org/_layouts/treatybodyexternal/SessionDetails1.aspx?SessionID=883&amp;Lang=en</w:t>
        </w:r>
      </w:hyperlink>
      <w:r w:rsidRPr="004F247D">
        <w:rPr>
          <w:rFonts w:ascii="Arial" w:hAnsi="Arial" w:cs="Arial"/>
          <w:sz w:val="20"/>
        </w:rPr>
        <w:t xml:space="preserve"> </w:t>
      </w:r>
    </w:p>
  </w:footnote>
  <w:footnote w:id="3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Chapter 8: Restrictive Practices and specifically para 8.35.</w:t>
      </w:r>
    </w:p>
  </w:footnote>
  <w:footnote w:id="3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NDIS ACT 2013, Part 5, Nominees. </w:t>
      </w:r>
      <w:hyperlink r:id="rId13" w:history="1">
        <w:r w:rsidRPr="004F247D">
          <w:rPr>
            <w:rStyle w:val="Hyperlink"/>
            <w:rFonts w:ascii="Arial" w:hAnsi="Arial" w:cs="Arial"/>
            <w:sz w:val="20"/>
          </w:rPr>
          <w:t>http://www.comlaw.gov.au/Details/C2013A00020</w:t>
        </w:r>
      </w:hyperlink>
      <w:r w:rsidRPr="004F247D">
        <w:rPr>
          <w:rFonts w:ascii="Arial" w:hAnsi="Arial" w:cs="Arial"/>
          <w:sz w:val="20"/>
        </w:rPr>
        <w:t xml:space="preserve"> </w:t>
      </w:r>
    </w:p>
  </w:footnote>
  <w:footnote w:id="3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For example the Business Services Wage assessment Tool Payment Scheme Bill 2014. </w:t>
      </w:r>
      <w:hyperlink r:id="rId14" w:history="1">
        <w:r w:rsidRPr="004F247D">
          <w:rPr>
            <w:rStyle w:val="Hyperlink"/>
            <w:rFonts w:ascii="Arial" w:hAnsi="Arial" w:cs="Arial"/>
            <w:sz w:val="20"/>
          </w:rPr>
          <w:t>http://www.aph.gov.au/Parliamentary_Business/Bills_Legislation/Bills_Search_Results/Result?bId=r5269</w:t>
        </w:r>
      </w:hyperlink>
      <w:r w:rsidRPr="004F247D">
        <w:rPr>
          <w:rFonts w:ascii="Arial" w:hAnsi="Arial" w:cs="Arial"/>
          <w:sz w:val="20"/>
        </w:rPr>
        <w:t xml:space="preserve"> </w:t>
      </w:r>
    </w:p>
  </w:footnote>
  <w:footnote w:id="4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Women with Disabilities Australia, Submission to the UN, </w:t>
      </w:r>
      <w:r w:rsidRPr="004F247D">
        <w:rPr>
          <w:rFonts w:ascii="Arial" w:hAnsi="Arial" w:cs="Arial"/>
          <w:i/>
          <w:sz w:val="20"/>
        </w:rPr>
        <w:t>Analytical Study on Violence against Women and Girls with Disabilities</w:t>
      </w:r>
      <w:r w:rsidRPr="004F247D">
        <w:rPr>
          <w:rFonts w:ascii="Arial" w:hAnsi="Arial" w:cs="Arial"/>
          <w:sz w:val="20"/>
        </w:rPr>
        <w:t xml:space="preserve">, December 2011, 25; French, Dardel and Price-Kelly, above n </w:t>
      </w:r>
      <w:r w:rsidRPr="004F247D">
        <w:rPr>
          <w:rFonts w:ascii="Arial" w:hAnsi="Arial" w:cs="Arial"/>
          <w:sz w:val="20"/>
        </w:rPr>
        <w:fldChar w:fldCharType="begin"/>
      </w:r>
      <w:r w:rsidRPr="004F247D">
        <w:rPr>
          <w:rFonts w:ascii="Arial" w:hAnsi="Arial" w:cs="Arial"/>
          <w:sz w:val="20"/>
        </w:rPr>
        <w:instrText xml:space="preserve"> NOTEREF _Ref321408745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80</w:t>
      </w:r>
      <w:r w:rsidRPr="004F247D">
        <w:rPr>
          <w:rFonts w:ascii="Arial" w:hAnsi="Arial" w:cs="Arial"/>
          <w:sz w:val="20"/>
        </w:rPr>
        <w:fldChar w:fldCharType="end"/>
      </w:r>
      <w:r w:rsidRPr="004F247D">
        <w:rPr>
          <w:rFonts w:ascii="Arial" w:hAnsi="Arial" w:cs="Arial"/>
          <w:sz w:val="20"/>
        </w:rPr>
        <w:t>, 95</w:t>
      </w:r>
    </w:p>
  </w:footnote>
  <w:footnote w:id="4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People With Disability Australia and NSW Mental Health Coordinating Council, Submission to the NSW Legislative Council: ‘Substitute Decision-Making: Time for Reform’,</w:t>
      </w:r>
      <w:r w:rsidRPr="004F247D">
        <w:rPr>
          <w:rFonts w:ascii="Arial" w:hAnsi="Arial" w:cs="Arial"/>
          <w:i/>
          <w:sz w:val="20"/>
        </w:rPr>
        <w:t xml:space="preserve"> Inquiry into Substitute Decision-Making for People Lacking Capacity</w:t>
      </w:r>
      <w:r w:rsidRPr="004F247D">
        <w:rPr>
          <w:rFonts w:ascii="Arial" w:hAnsi="Arial" w:cs="Arial"/>
          <w:sz w:val="20"/>
        </w:rPr>
        <w:t>, 2009, 27.</w:t>
      </w:r>
    </w:p>
  </w:footnote>
  <w:footnote w:id="4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From K </w:t>
      </w:r>
      <w:proofErr w:type="spellStart"/>
      <w:r w:rsidRPr="004F247D">
        <w:rPr>
          <w:rFonts w:ascii="Arial" w:hAnsi="Arial" w:cs="Arial"/>
          <w:sz w:val="20"/>
        </w:rPr>
        <w:t>McVilly</w:t>
      </w:r>
      <w:proofErr w:type="spellEnd"/>
      <w:r w:rsidRPr="004F247D">
        <w:rPr>
          <w:rFonts w:ascii="Arial" w:hAnsi="Arial" w:cs="Arial"/>
          <w:sz w:val="20"/>
        </w:rPr>
        <w:t>, ‘Physical Restraint in Disability Services: Current Practices, Contemporary Concerns and Future Directions’ (Report, Office of the Senior Practitioner, Department of Human Services Victoria, 2008).</w:t>
      </w:r>
    </w:p>
  </w:footnote>
  <w:footnote w:id="43">
    <w:p w:rsidR="00701CBA" w:rsidRPr="004F247D" w:rsidRDefault="00701CBA" w:rsidP="004F247D">
      <w:pPr>
        <w:pStyle w:val="NoSpacing"/>
        <w:rPr>
          <w:rFonts w:ascii="Arial" w:hAnsi="Arial" w:cs="Arial"/>
          <w:i/>
          <w:sz w:val="20"/>
        </w:rPr>
      </w:pPr>
      <w:r w:rsidRPr="004F247D">
        <w:rPr>
          <w:rStyle w:val="FootnoteReference"/>
          <w:rFonts w:ascii="Arial" w:hAnsi="Arial" w:cs="Arial"/>
          <w:sz w:val="20"/>
        </w:rPr>
        <w:footnoteRef/>
      </w:r>
      <w:r w:rsidRPr="004F247D">
        <w:rPr>
          <w:rFonts w:ascii="Arial" w:hAnsi="Arial" w:cs="Arial"/>
          <w:sz w:val="20"/>
        </w:rPr>
        <w:t xml:space="preserve"> Women with Disabilities Australia, Submission to the UN, </w:t>
      </w:r>
      <w:r w:rsidRPr="004F247D">
        <w:rPr>
          <w:rFonts w:ascii="Arial" w:hAnsi="Arial" w:cs="Arial"/>
          <w:i/>
          <w:sz w:val="20"/>
        </w:rPr>
        <w:t>Analytical Study on Violence against Women and Girls with Disabilities</w:t>
      </w:r>
      <w:r w:rsidRPr="004F247D">
        <w:rPr>
          <w:rFonts w:ascii="Arial" w:hAnsi="Arial" w:cs="Arial"/>
          <w:sz w:val="20"/>
        </w:rPr>
        <w:t>, December 2011, 25.</w:t>
      </w:r>
    </w:p>
  </w:footnote>
  <w:footnote w:id="4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National Mental Health Consumer and Carer Forum, ‘Ending Seclusion and Restraint in Australian Mental Health Services’ (Position Statement, 2009) &lt;</w:t>
      </w:r>
      <w:hyperlink r:id="rId15" w:history="1">
        <w:r w:rsidRPr="004F247D">
          <w:rPr>
            <w:rStyle w:val="Hyperlink"/>
            <w:rFonts w:ascii="Arial" w:hAnsi="Arial" w:cs="Arial"/>
            <w:sz w:val="20"/>
          </w:rPr>
          <w:t>www.nmhccf.org.au/documents/Seclusion%20&amp;%20Restraint.pdf</w:t>
        </w:r>
      </w:hyperlink>
      <w:r w:rsidRPr="004F247D">
        <w:rPr>
          <w:rFonts w:ascii="Arial" w:hAnsi="Arial" w:cs="Arial"/>
          <w:sz w:val="20"/>
        </w:rPr>
        <w:t>&gt;; Paul Ramcharan et al, ‘Experiences of Restrictive Practices: A View From People with Disability and Family Carers’ (Research Report, Office of the Senior Practitioner, May 2009) &lt;</w:t>
      </w:r>
      <w:hyperlink r:id="rId16" w:history="1">
        <w:r w:rsidRPr="004F247D">
          <w:rPr>
            <w:rStyle w:val="Hyperlink"/>
            <w:rFonts w:ascii="Arial" w:hAnsi="Arial" w:cs="Arial"/>
            <w:sz w:val="20"/>
          </w:rPr>
          <w:t>http://www.dhs.vic.gov.au/__data/assets/</w:t>
        </w:r>
        <w:r w:rsidRPr="004F247D">
          <w:rPr>
            <w:rStyle w:val="Hyperlink"/>
            <w:rFonts w:ascii="Arial" w:hAnsi="Arial" w:cs="Arial"/>
            <w:sz w:val="20"/>
          </w:rPr>
          <w:br/>
          <w:t>pdf_file/0008/608588/osp_experiencesofrestrictivepractices_pdf_0509.pdf</w:t>
        </w:r>
      </w:hyperlink>
      <w:r w:rsidRPr="004F247D">
        <w:rPr>
          <w:rFonts w:ascii="Arial" w:hAnsi="Arial" w:cs="Arial"/>
          <w:sz w:val="20"/>
        </w:rPr>
        <w:t>&gt;.</w:t>
      </w:r>
    </w:p>
  </w:footnote>
  <w:footnote w:id="4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Style w:val="bodyitalic"/>
          <w:rFonts w:ascii="Arial" w:hAnsi="Arial" w:cs="Arial"/>
          <w:i w:val="0"/>
          <w:color w:val="auto"/>
        </w:rPr>
        <w:t xml:space="preserve"> Lynne Webber, Mandy Donley and </w:t>
      </w:r>
      <w:proofErr w:type="spellStart"/>
      <w:r w:rsidRPr="004F247D">
        <w:rPr>
          <w:rStyle w:val="bodyitalic"/>
          <w:rFonts w:ascii="Arial" w:hAnsi="Arial" w:cs="Arial"/>
          <w:i w:val="0"/>
          <w:color w:val="auto"/>
        </w:rPr>
        <w:t>Hellen</w:t>
      </w:r>
      <w:proofErr w:type="spellEnd"/>
      <w:r w:rsidRPr="004F247D">
        <w:rPr>
          <w:rStyle w:val="bodyitalic"/>
          <w:rFonts w:ascii="Arial" w:hAnsi="Arial" w:cs="Arial"/>
          <w:i w:val="0"/>
          <w:color w:val="auto"/>
        </w:rPr>
        <w:t xml:space="preserve"> </w:t>
      </w:r>
      <w:proofErr w:type="spellStart"/>
      <w:r w:rsidRPr="004F247D">
        <w:rPr>
          <w:rStyle w:val="bodyitalic"/>
          <w:rFonts w:ascii="Arial" w:hAnsi="Arial" w:cs="Arial"/>
          <w:i w:val="0"/>
          <w:color w:val="auto"/>
        </w:rPr>
        <w:t>Tzanakis</w:t>
      </w:r>
      <w:proofErr w:type="spellEnd"/>
      <w:r w:rsidRPr="004F247D">
        <w:rPr>
          <w:rStyle w:val="bodyitalic"/>
          <w:rFonts w:ascii="Arial" w:hAnsi="Arial" w:cs="Arial"/>
          <w:color w:val="auto"/>
        </w:rPr>
        <w:t>, ‘</w:t>
      </w:r>
      <w:r w:rsidRPr="004F247D">
        <w:rPr>
          <w:rFonts w:ascii="Arial" w:hAnsi="Arial" w:cs="Arial"/>
          <w:sz w:val="20"/>
        </w:rPr>
        <w:t>Chemical Restraint: What Every Disability Support Worker Needs to Know’ (Article, Office of the Senior Practitioner, 2008).</w:t>
      </w:r>
    </w:p>
  </w:footnote>
  <w:footnote w:id="4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Ibid 2.</w:t>
      </w:r>
    </w:p>
  </w:footnote>
  <w:footnote w:id="4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Office of the Senior Practitioner, ‘Annual Report 2008–2009’ (Report, Department of Human Services, 2010) 21.</w:t>
      </w:r>
    </w:p>
  </w:footnote>
  <w:footnote w:id="4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Paul Ramcharan et al, National Mental Health Consumer and Carer Forum, ‘Ending Seclusion and Restraint in Australian Mental Health Services’ (Position Statement, 2009).</w:t>
      </w:r>
    </w:p>
  </w:footnote>
  <w:footnote w:id="49">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rPr>
        <w:t xml:space="preserve"> Ibid 17.</w:t>
      </w:r>
    </w:p>
  </w:footnote>
  <w:footnote w:id="5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French, Dardel and Price-Kelly, above n </w:t>
      </w:r>
      <w:r w:rsidRPr="004F247D">
        <w:rPr>
          <w:rFonts w:ascii="Arial" w:hAnsi="Arial" w:cs="Arial"/>
          <w:sz w:val="20"/>
        </w:rPr>
        <w:fldChar w:fldCharType="begin"/>
      </w:r>
      <w:r w:rsidRPr="004F247D">
        <w:rPr>
          <w:rFonts w:ascii="Arial" w:hAnsi="Arial" w:cs="Arial"/>
          <w:sz w:val="20"/>
        </w:rPr>
        <w:instrText xml:space="preserve"> NOTEREF _Ref321408745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80</w:t>
      </w:r>
      <w:r w:rsidRPr="004F247D">
        <w:rPr>
          <w:rFonts w:ascii="Arial" w:hAnsi="Arial" w:cs="Arial"/>
          <w:sz w:val="20"/>
        </w:rPr>
        <w:fldChar w:fldCharType="end"/>
      </w:r>
      <w:r w:rsidRPr="004F247D">
        <w:rPr>
          <w:rFonts w:ascii="Arial" w:hAnsi="Arial" w:cs="Arial"/>
          <w:sz w:val="20"/>
        </w:rPr>
        <w:t>, 96</w:t>
      </w:r>
    </w:p>
  </w:footnote>
  <w:footnote w:id="51">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Submission by attendee at the CRPD Shadow Report consultation in Hobart, Tasmania (3 December 2009).</w:t>
      </w:r>
    </w:p>
  </w:footnote>
  <w:footnote w:id="5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Department of Communities, ‘Short Term Approvals — Frequently Asked Questions’ (Fact Sheet, Queensland Government, undated) &lt;</w:t>
      </w:r>
      <w:hyperlink r:id="rId17" w:history="1">
        <w:r w:rsidRPr="004F247D">
          <w:rPr>
            <w:rStyle w:val="Hyperlink"/>
            <w:rFonts w:ascii="Arial" w:hAnsi="Arial" w:cs="Arial"/>
            <w:sz w:val="20"/>
          </w:rPr>
          <w:t>http://www.communities.qld.gov.au/resources/disability/publication/positive-futures-short-term-approvals-faqs.pdf</w:t>
        </w:r>
      </w:hyperlink>
      <w:r w:rsidRPr="004F247D">
        <w:rPr>
          <w:rFonts w:ascii="Arial" w:hAnsi="Arial" w:cs="Arial"/>
          <w:sz w:val="20"/>
        </w:rPr>
        <w:t>&gt;.</w:t>
      </w:r>
    </w:p>
  </w:footnote>
  <w:footnote w:id="5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proofErr w:type="gramStart"/>
      <w:r w:rsidRPr="004F247D">
        <w:rPr>
          <w:rFonts w:ascii="Arial" w:hAnsi="Arial" w:cs="Arial"/>
          <w:sz w:val="20"/>
        </w:rPr>
        <w:t>s</w:t>
      </w:r>
      <w:proofErr w:type="gramEnd"/>
      <w:r w:rsidRPr="004F247D">
        <w:rPr>
          <w:rFonts w:ascii="Arial" w:hAnsi="Arial" w:cs="Arial"/>
          <w:sz w:val="20"/>
        </w:rPr>
        <w:t xml:space="preserve"> 189 </w:t>
      </w:r>
      <w:r w:rsidRPr="004F247D">
        <w:rPr>
          <w:rFonts w:ascii="Arial" w:hAnsi="Arial" w:cs="Arial"/>
          <w:i/>
          <w:iCs/>
          <w:sz w:val="20"/>
        </w:rPr>
        <w:t xml:space="preserve">Disability Services Act 2006 </w:t>
      </w:r>
      <w:r w:rsidRPr="004F247D">
        <w:rPr>
          <w:rFonts w:ascii="Arial" w:hAnsi="Arial" w:cs="Arial"/>
          <w:sz w:val="20"/>
        </w:rPr>
        <w:t xml:space="preserve">(Qld).  </w:t>
      </w:r>
    </w:p>
  </w:footnote>
  <w:footnote w:id="5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ABC News, ‘Victoria’s Disabled Housing ‘in Crisis’, </w:t>
      </w:r>
      <w:r w:rsidRPr="004F247D">
        <w:rPr>
          <w:rFonts w:ascii="Arial" w:hAnsi="Arial" w:cs="Arial"/>
          <w:i/>
          <w:sz w:val="20"/>
        </w:rPr>
        <w:t>Stateline Victoria</w:t>
      </w:r>
      <w:r w:rsidRPr="004F247D">
        <w:rPr>
          <w:rFonts w:ascii="Arial" w:hAnsi="Arial" w:cs="Arial"/>
          <w:sz w:val="20"/>
        </w:rPr>
        <w:t>, 4 December 2009.</w:t>
      </w:r>
    </w:p>
  </w:footnote>
  <w:footnote w:id="5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National Mental Health Consumer and Carer Forum, ‘Ending Seclusion and Restraint in Australian Mental Health Services’ (Position Statement, 2009).</w:t>
      </w:r>
    </w:p>
  </w:footnote>
  <w:footnote w:id="56">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Ibid 7.</w:t>
      </w:r>
    </w:p>
  </w:footnote>
  <w:footnote w:id="5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Information received from Children with Disability Australia, the Disability Discrimination Legal Service Victoria. See also ABC Television, ‘Hidden Shame’, </w:t>
      </w:r>
      <w:r w:rsidRPr="004F247D">
        <w:rPr>
          <w:rFonts w:ascii="Arial" w:hAnsi="Arial" w:cs="Arial"/>
          <w:i/>
          <w:sz w:val="20"/>
        </w:rPr>
        <w:t>7.30</w:t>
      </w:r>
      <w:r w:rsidRPr="004F247D">
        <w:rPr>
          <w:rFonts w:ascii="Arial" w:hAnsi="Arial" w:cs="Arial"/>
          <w:sz w:val="20"/>
        </w:rPr>
        <w:t xml:space="preserve">, 17 May 2011 (Mary </w:t>
      </w:r>
      <w:proofErr w:type="spellStart"/>
      <w:r w:rsidRPr="004F247D">
        <w:rPr>
          <w:rFonts w:ascii="Arial" w:hAnsi="Arial" w:cs="Arial"/>
          <w:sz w:val="20"/>
        </w:rPr>
        <w:t>Gearin</w:t>
      </w:r>
      <w:proofErr w:type="spellEnd"/>
      <w:r w:rsidRPr="004F247D">
        <w:rPr>
          <w:rFonts w:ascii="Arial" w:hAnsi="Arial" w:cs="Arial"/>
          <w:sz w:val="20"/>
        </w:rPr>
        <w:t>) &lt;</w:t>
      </w:r>
      <w:hyperlink r:id="rId18" w:history="1">
        <w:r w:rsidRPr="004F247D">
          <w:rPr>
            <w:rStyle w:val="Hyperlink"/>
            <w:rFonts w:ascii="Arial" w:hAnsi="Arial" w:cs="Arial"/>
            <w:sz w:val="20"/>
          </w:rPr>
          <w:t>http://www.abc.net.au/7.30/content/2011/s3219518.htm</w:t>
        </w:r>
      </w:hyperlink>
      <w:r w:rsidRPr="004F247D">
        <w:rPr>
          <w:rFonts w:ascii="Arial" w:hAnsi="Arial" w:cs="Arial"/>
          <w:sz w:val="20"/>
        </w:rPr>
        <w:t>&gt;.</w:t>
      </w:r>
    </w:p>
  </w:footnote>
  <w:footnote w:id="5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ABC, ibid.</w:t>
      </w:r>
    </w:p>
  </w:footnote>
  <w:footnote w:id="59">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i/>
          <w:sz w:val="20"/>
        </w:rPr>
        <w:t xml:space="preserve"> R v White</w:t>
      </w:r>
      <w:r w:rsidRPr="004F247D">
        <w:rPr>
          <w:rFonts w:ascii="Arial" w:hAnsi="Arial" w:cs="Arial"/>
          <w:sz w:val="20"/>
        </w:rPr>
        <w:t xml:space="preserve"> [2007] VSC 142 (7 May 2007).</w:t>
      </w:r>
    </w:p>
  </w:footnote>
  <w:footnote w:id="6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hyperlink r:id="rId19" w:history="1">
        <w:r w:rsidRPr="004F247D">
          <w:rPr>
            <w:rStyle w:val="Hyperlink"/>
            <w:rFonts w:ascii="Arial" w:hAnsi="Arial" w:cs="Arial"/>
            <w:sz w:val="20"/>
          </w:rPr>
          <w:t>http://solitaryconfinement.org/uploads/SpecRapTortureAug2011.pdf para.78</w:t>
        </w:r>
      </w:hyperlink>
      <w:r w:rsidRPr="004F247D">
        <w:rPr>
          <w:rFonts w:ascii="Arial" w:hAnsi="Arial" w:cs="Arial"/>
          <w:sz w:val="20"/>
        </w:rPr>
        <w:t xml:space="preserve"> and 32.</w:t>
      </w:r>
    </w:p>
  </w:footnote>
  <w:footnote w:id="61">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Human Rights Law Resource Centre, ‘Australia’s Compliance with the </w:t>
      </w:r>
      <w:r w:rsidRPr="004F247D">
        <w:rPr>
          <w:rFonts w:ascii="Arial" w:hAnsi="Arial" w:cs="Arial"/>
          <w:i/>
          <w:sz w:val="20"/>
        </w:rPr>
        <w:t>Convention against Torture</w:t>
      </w:r>
      <w:r w:rsidRPr="004F247D">
        <w:rPr>
          <w:rFonts w:ascii="Arial" w:hAnsi="Arial" w:cs="Arial"/>
          <w:sz w:val="20"/>
        </w:rPr>
        <w:t>: Report to the UN Committee against Torture’ (Report, April 2008) [50] &lt;</w:t>
      </w:r>
      <w:hyperlink r:id="rId20" w:history="1">
        <w:r w:rsidRPr="004F247D">
          <w:rPr>
            <w:rStyle w:val="Hyperlink"/>
            <w:rFonts w:ascii="Arial" w:hAnsi="Arial" w:cs="Arial"/>
            <w:sz w:val="20"/>
          </w:rPr>
          <w:t>www.hrlrc.org.au/files/4M6OEL69DU/</w:t>
        </w:r>
        <w:r w:rsidRPr="004F247D">
          <w:rPr>
            <w:rStyle w:val="Hyperlink"/>
            <w:rFonts w:ascii="Arial" w:hAnsi="Arial" w:cs="Arial"/>
            <w:sz w:val="20"/>
          </w:rPr>
          <w:br/>
          <w:t>HRLRC%20Report%20to%20CAT.pdf</w:t>
        </w:r>
      </w:hyperlink>
      <w:r w:rsidRPr="004F247D">
        <w:rPr>
          <w:rFonts w:ascii="Arial" w:hAnsi="Arial" w:cs="Arial"/>
          <w:sz w:val="20"/>
        </w:rPr>
        <w:t>&gt;.</w:t>
      </w:r>
    </w:p>
  </w:footnote>
  <w:footnote w:id="62">
    <w:p w:rsidR="00701CBA" w:rsidRPr="004F247D" w:rsidRDefault="00701CBA" w:rsidP="004F247D">
      <w:pPr>
        <w:pStyle w:val="NoSpacing"/>
        <w:rPr>
          <w:rFonts w:ascii="Arial" w:hAnsi="Arial" w:cs="Arial"/>
          <w:i/>
          <w:sz w:val="20"/>
        </w:rPr>
      </w:pPr>
      <w:r w:rsidRPr="004F247D">
        <w:rPr>
          <w:rStyle w:val="FootnoteReference"/>
          <w:rFonts w:ascii="Arial" w:hAnsi="Arial" w:cs="Arial"/>
          <w:color w:val="auto"/>
          <w:sz w:val="20"/>
        </w:rPr>
        <w:footnoteRef/>
      </w:r>
      <w:r w:rsidRPr="004F247D">
        <w:rPr>
          <w:rFonts w:ascii="Arial" w:hAnsi="Arial" w:cs="Arial"/>
          <w:i/>
          <w:sz w:val="20"/>
        </w:rPr>
        <w:t xml:space="preserve"> Inquest into the death of Scott Ashley Simpson</w:t>
      </w:r>
      <w:r w:rsidRPr="004F247D">
        <w:rPr>
          <w:rFonts w:ascii="Arial" w:hAnsi="Arial" w:cs="Arial"/>
          <w:sz w:val="20"/>
        </w:rPr>
        <w:t xml:space="preserve"> (Unreported, New South Wales Coroner’s Court, Pinch SM, 17 July 2006).</w:t>
      </w:r>
    </w:p>
  </w:footnote>
  <w:footnote w:id="63">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w:t>
      </w:r>
      <w:proofErr w:type="spellStart"/>
      <w:r w:rsidRPr="004F247D">
        <w:rPr>
          <w:rFonts w:ascii="Arial" w:hAnsi="Arial" w:cs="Arial"/>
          <w:sz w:val="20"/>
        </w:rPr>
        <w:t>Forensicare</w:t>
      </w:r>
      <w:proofErr w:type="spellEnd"/>
      <w:r w:rsidRPr="004F247D">
        <w:rPr>
          <w:rFonts w:ascii="Arial" w:hAnsi="Arial" w:cs="Arial"/>
          <w:sz w:val="20"/>
        </w:rPr>
        <w:t xml:space="preserve">, above n </w:t>
      </w:r>
      <w:r w:rsidRPr="004F247D">
        <w:rPr>
          <w:rFonts w:ascii="Arial" w:hAnsi="Arial" w:cs="Arial"/>
          <w:sz w:val="20"/>
        </w:rPr>
        <w:fldChar w:fldCharType="begin"/>
      </w:r>
      <w:r w:rsidRPr="004F247D">
        <w:rPr>
          <w:rFonts w:ascii="Arial" w:hAnsi="Arial" w:cs="Arial"/>
          <w:sz w:val="20"/>
        </w:rPr>
        <w:instrText xml:space="preserve"> NOTEREF _Ref322508111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141</w:t>
      </w:r>
      <w:r w:rsidRPr="004F247D">
        <w:rPr>
          <w:rFonts w:ascii="Arial" w:hAnsi="Arial" w:cs="Arial"/>
          <w:sz w:val="20"/>
        </w:rPr>
        <w:fldChar w:fldCharType="end"/>
      </w:r>
      <w:r w:rsidRPr="004F247D">
        <w:rPr>
          <w:rFonts w:ascii="Arial" w:hAnsi="Arial" w:cs="Arial"/>
          <w:sz w:val="20"/>
        </w:rPr>
        <w:t>, 21.</w:t>
      </w:r>
    </w:p>
  </w:footnote>
  <w:footnote w:id="64">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rPr>
        <w:t xml:space="preserve"> Ibid 20.</w:t>
      </w:r>
    </w:p>
  </w:footnote>
  <w:footnote w:id="6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Sisters Inside, Submission: ‘Rights of Women Prisoners’, </w:t>
      </w:r>
      <w:r w:rsidRPr="004F247D">
        <w:rPr>
          <w:rFonts w:ascii="Arial" w:hAnsi="Arial" w:cs="Arial"/>
          <w:i/>
          <w:sz w:val="20"/>
        </w:rPr>
        <w:t>National Human Rights Consultation</w:t>
      </w:r>
      <w:r w:rsidRPr="004F247D">
        <w:rPr>
          <w:rFonts w:ascii="Arial" w:hAnsi="Arial" w:cs="Arial"/>
          <w:sz w:val="20"/>
        </w:rPr>
        <w:t>, June 2009 &lt;</w:t>
      </w:r>
      <w:hyperlink r:id="rId21" w:history="1">
        <w:r w:rsidRPr="004F247D">
          <w:rPr>
            <w:rStyle w:val="Hyperlink"/>
            <w:rFonts w:ascii="Arial" w:hAnsi="Arial" w:cs="Arial"/>
            <w:sz w:val="20"/>
          </w:rPr>
          <w:t>www.sistersinside.com.au/media/FINAL%20-%20National%20HR%20Submission%20June%202009.pdf</w:t>
        </w:r>
      </w:hyperlink>
      <w:r w:rsidRPr="004F247D">
        <w:rPr>
          <w:rFonts w:ascii="Arial" w:hAnsi="Arial" w:cs="Arial"/>
          <w:sz w:val="20"/>
        </w:rPr>
        <w:t>&gt;.</w:t>
      </w:r>
    </w:p>
  </w:footnote>
  <w:footnote w:id="66">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A forensic patient is a prisoner who has been found by a Court to be unfit to be tried or has developed a mental illness whilst being incarcerated. Recommendations to the Minister to release patients are made by the Mental Health Review Tribunal where it is satisfied the patient and members of the public will not be placed at risk of danger due to the patient’s release: </w:t>
      </w:r>
      <w:r w:rsidRPr="004F247D">
        <w:rPr>
          <w:rFonts w:ascii="Arial" w:hAnsi="Arial" w:cs="Arial"/>
          <w:i/>
          <w:sz w:val="20"/>
        </w:rPr>
        <w:t xml:space="preserve">Mental Health Act 1990 </w:t>
      </w:r>
      <w:r w:rsidRPr="004F247D">
        <w:rPr>
          <w:rFonts w:ascii="Arial" w:hAnsi="Arial" w:cs="Arial"/>
          <w:sz w:val="20"/>
        </w:rPr>
        <w:t xml:space="preserve">(NSW) </w:t>
      </w:r>
      <w:proofErr w:type="spellStart"/>
      <w:r w:rsidRPr="004F247D">
        <w:rPr>
          <w:rFonts w:ascii="Arial" w:hAnsi="Arial" w:cs="Arial"/>
          <w:sz w:val="20"/>
        </w:rPr>
        <w:t>Ch</w:t>
      </w:r>
      <w:proofErr w:type="spellEnd"/>
      <w:r w:rsidRPr="004F247D">
        <w:rPr>
          <w:rFonts w:ascii="Arial" w:hAnsi="Arial" w:cs="Arial"/>
          <w:sz w:val="20"/>
        </w:rPr>
        <w:t xml:space="preserve"> 5.</w:t>
      </w:r>
    </w:p>
  </w:footnote>
  <w:footnote w:id="67">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w:t>
      </w:r>
      <w:r w:rsidRPr="004F247D">
        <w:rPr>
          <w:rFonts w:ascii="Arial" w:hAnsi="Arial" w:cs="Arial"/>
          <w:bCs/>
          <w:i/>
          <w:sz w:val="20"/>
        </w:rPr>
        <w:t>Inquest into the death of Scott Ashley Simpson</w:t>
      </w:r>
      <w:r w:rsidRPr="004F247D">
        <w:rPr>
          <w:rFonts w:ascii="Arial" w:hAnsi="Arial" w:cs="Arial"/>
          <w:sz w:val="20"/>
        </w:rPr>
        <w:t xml:space="preserve"> above; NSW Council for Civil Liberties, ‘</w:t>
      </w:r>
      <w:r w:rsidRPr="004F247D">
        <w:rPr>
          <w:rFonts w:ascii="Arial" w:hAnsi="Arial" w:cs="Arial"/>
          <w:bCs/>
          <w:sz w:val="20"/>
          <w:lang w:val="en-US"/>
        </w:rPr>
        <w:t xml:space="preserve">Addendum — Shadow Report Prepared for the United Nations Committee Against Torture on the Occasion of its Review of Australia’s Third Periodic Report under the </w:t>
      </w:r>
      <w:r w:rsidRPr="004F247D">
        <w:rPr>
          <w:rFonts w:ascii="Arial" w:hAnsi="Arial" w:cs="Arial"/>
          <w:bCs/>
          <w:i/>
          <w:sz w:val="20"/>
          <w:lang w:val="en-US"/>
        </w:rPr>
        <w:t>Convention Against Torture and other Cruel</w:t>
      </w:r>
      <w:r w:rsidRPr="004F247D">
        <w:rPr>
          <w:rFonts w:ascii="Arial" w:hAnsi="Arial" w:cs="Arial"/>
          <w:bCs/>
          <w:sz w:val="20"/>
          <w:lang w:val="en-US"/>
        </w:rPr>
        <w:t xml:space="preserve">, </w:t>
      </w:r>
      <w:r w:rsidRPr="004F247D">
        <w:rPr>
          <w:rFonts w:ascii="Arial" w:hAnsi="Arial" w:cs="Arial"/>
          <w:bCs/>
          <w:i/>
          <w:sz w:val="20"/>
          <w:lang w:val="en-US"/>
        </w:rPr>
        <w:t>Inhuman or Degrading Treatment or Punishment</w:t>
      </w:r>
      <w:r w:rsidRPr="004F247D">
        <w:rPr>
          <w:rFonts w:ascii="Arial" w:hAnsi="Arial" w:cs="Arial"/>
          <w:bCs/>
          <w:sz w:val="20"/>
          <w:lang w:val="en-US"/>
        </w:rPr>
        <w:t>’ (Report, NSW Council for Civil Liberties, 16 September 2007) 10–12 &lt;</w:t>
      </w:r>
      <w:hyperlink r:id="rId22" w:history="1">
        <w:r w:rsidRPr="004F247D">
          <w:rPr>
            <w:rStyle w:val="Hyperlink"/>
            <w:rFonts w:ascii="Arial" w:hAnsi="Arial" w:cs="Arial"/>
            <w:sz w:val="20"/>
          </w:rPr>
          <w:t>http://www2.ohchr.org/english/bodies/cat/docs/ngos/NSWCCL.Add.1.pdf</w:t>
        </w:r>
      </w:hyperlink>
      <w:r w:rsidRPr="004F247D">
        <w:rPr>
          <w:rFonts w:ascii="Arial" w:hAnsi="Arial" w:cs="Arial"/>
          <w:sz w:val="20"/>
        </w:rPr>
        <w:t>&gt;.</w:t>
      </w:r>
    </w:p>
  </w:footnote>
  <w:footnote w:id="68">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The Shopfront Youth Legal Centre, Submission: ‘Sexual Assault of Young Men in Prison Project’, </w:t>
      </w:r>
      <w:r w:rsidRPr="004F247D">
        <w:rPr>
          <w:rFonts w:ascii="Arial" w:hAnsi="Arial" w:cs="Arial"/>
          <w:i/>
          <w:sz w:val="20"/>
        </w:rPr>
        <w:t>National Human Rights Consultation</w:t>
      </w:r>
      <w:r w:rsidRPr="004F247D">
        <w:rPr>
          <w:rFonts w:ascii="Arial" w:hAnsi="Arial" w:cs="Arial"/>
          <w:sz w:val="20"/>
        </w:rPr>
        <w:t>, 15 June 2009, 4 &lt;</w:t>
      </w:r>
      <w:hyperlink r:id="rId23" w:history="1">
        <w:r w:rsidRPr="004F247D">
          <w:rPr>
            <w:rStyle w:val="Hyperlink"/>
            <w:rFonts w:ascii="Arial" w:hAnsi="Arial" w:cs="Arial"/>
            <w:sz w:val="20"/>
          </w:rPr>
          <w:t>www.humanrightsconsultation.gov.au/www/nhrcc/</w:t>
        </w:r>
        <w:r w:rsidRPr="004F247D">
          <w:rPr>
            <w:rStyle w:val="Hyperlink"/>
            <w:rFonts w:ascii="Arial" w:hAnsi="Arial" w:cs="Arial"/>
            <w:sz w:val="20"/>
          </w:rPr>
          <w:br/>
          <w:t>submissions.nsf/list/DB51D48972D82AFBCA25761500277B6A/$file/Jane%20Sanders_AGWW-7T26DXAGWW-7T26DX.pdf</w:t>
        </w:r>
      </w:hyperlink>
      <w:r w:rsidRPr="004F247D">
        <w:rPr>
          <w:rFonts w:ascii="Arial" w:hAnsi="Arial" w:cs="Arial"/>
          <w:sz w:val="20"/>
        </w:rPr>
        <w:t>&gt;.</w:t>
      </w:r>
    </w:p>
  </w:footnote>
  <w:footnote w:id="69">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Ibid 3.</w:t>
      </w:r>
    </w:p>
  </w:footnote>
  <w:footnote w:id="70">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Ibid.</w:t>
      </w:r>
    </w:p>
  </w:footnote>
  <w:footnote w:id="71">
    <w:p w:rsidR="00701CBA" w:rsidRPr="004F247D" w:rsidRDefault="00701CBA" w:rsidP="004F247D">
      <w:pPr>
        <w:pStyle w:val="NoSpacing"/>
        <w:rPr>
          <w:rFonts w:ascii="Arial" w:eastAsia="Calibri"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hyperlink r:id="rId24" w:history="1">
        <w:r w:rsidRPr="004F247D">
          <w:rPr>
            <w:rStyle w:val="Hyperlink"/>
            <w:rFonts w:ascii="Arial" w:hAnsi="Arial" w:cs="Arial"/>
            <w:sz w:val="20"/>
          </w:rPr>
          <w:t>http://www.fahcsia.gov.au/our-responsibilities/disability-and-carers/publications-articles/policy-research/draft-proposed-national-framework-for-reducing-the-use-of-restrictive-practices-in-the-disability-service-sector</w:t>
        </w:r>
      </w:hyperlink>
    </w:p>
  </w:footnote>
  <w:footnote w:id="7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r w:rsidRPr="004F247D">
        <w:rPr>
          <w:rFonts w:ascii="Arial" w:hAnsi="Arial" w:cs="Arial"/>
          <w:color w:val="auto"/>
          <w:sz w:val="20"/>
        </w:rPr>
        <w:t>Submission by attendee at the CRPD Shadow Report consultation in Hobart, Tasmania (3 December 2009).</w:t>
      </w:r>
    </w:p>
  </w:footnote>
  <w:footnote w:id="7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Richard Baker and Nick McKenzie, ‘Deaths in Mental Health Facilities: Unexpected, Unnatural and Violent’, </w:t>
      </w:r>
      <w:r w:rsidRPr="004F247D">
        <w:rPr>
          <w:rFonts w:ascii="Arial" w:hAnsi="Arial" w:cs="Arial"/>
          <w:i/>
          <w:sz w:val="20"/>
        </w:rPr>
        <w:t xml:space="preserve">The Age </w:t>
      </w:r>
      <w:r w:rsidRPr="004F247D">
        <w:rPr>
          <w:rFonts w:ascii="Arial" w:hAnsi="Arial" w:cs="Arial"/>
          <w:sz w:val="20"/>
        </w:rPr>
        <w:t>(Melbourne) 3 September 2011 &lt;</w:t>
      </w:r>
      <w:hyperlink r:id="rId25" w:anchor="ixzz1bYnkI55H" w:history="1">
        <w:r w:rsidRPr="004F247D">
          <w:rPr>
            <w:rStyle w:val="Hyperlink"/>
            <w:rFonts w:ascii="Arial" w:hAnsi="Arial" w:cs="Arial"/>
            <w:sz w:val="20"/>
          </w:rPr>
          <w:t>www.theage.com.au/victoria/deaths-in-mental-health-facilities-unexpected-unnatural-and-violent-20110902-1jqdg.html#ixzz1bYnkI55H</w:t>
        </w:r>
      </w:hyperlink>
      <w:r w:rsidRPr="004F247D">
        <w:rPr>
          <w:rFonts w:ascii="Arial" w:hAnsi="Arial" w:cs="Arial"/>
          <w:sz w:val="20"/>
        </w:rPr>
        <w:t>&gt; 14.</w:t>
      </w:r>
    </w:p>
  </w:footnote>
  <w:footnote w:id="7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A/HRC/22/53 Juan E. Mendez para 32. </w:t>
      </w:r>
    </w:p>
  </w:footnote>
  <w:footnote w:id="75">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An involuntary treatment order authorises involuntary treatment for mental illness. An involuntary treatment order can be made if an authorised doctor is satisfied that all the criteria for involuntary treatment apply: Queensland Health, ‘</w:t>
      </w:r>
      <w:r w:rsidRPr="004F247D">
        <w:rPr>
          <w:rFonts w:ascii="Arial" w:hAnsi="Arial" w:cs="Arial"/>
          <w:i/>
          <w:color w:val="auto"/>
          <w:sz w:val="20"/>
        </w:rPr>
        <w:t>Mental Health Act 2000</w:t>
      </w:r>
      <w:r w:rsidRPr="004F247D">
        <w:rPr>
          <w:rFonts w:ascii="Arial" w:hAnsi="Arial" w:cs="Arial"/>
          <w:color w:val="auto"/>
          <w:sz w:val="20"/>
        </w:rPr>
        <w:t xml:space="preserve"> — Involuntary Treatment’ (Fact Sheet No 3, Queensland Government, undated) &lt;</w:t>
      </w:r>
      <w:hyperlink r:id="rId26" w:history="1">
        <w:r w:rsidRPr="004F247D">
          <w:rPr>
            <w:rStyle w:val="Hyperlink"/>
            <w:rFonts w:ascii="Arial" w:hAnsi="Arial" w:cs="Arial"/>
            <w:sz w:val="20"/>
          </w:rPr>
          <w:t>www.health.qld.gov.au/mha2000/documents/factsheet3.pdf</w:t>
        </w:r>
      </w:hyperlink>
      <w:r w:rsidRPr="004F247D">
        <w:rPr>
          <w:rFonts w:ascii="Arial" w:hAnsi="Arial" w:cs="Arial"/>
          <w:color w:val="auto"/>
          <w:sz w:val="20"/>
        </w:rPr>
        <w:t>&gt;.</w:t>
      </w:r>
    </w:p>
  </w:footnote>
  <w:footnote w:id="76">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A supervised treatment order is a civil order in relation to a person with an intellectual disability (who is receiving residential services) to prevent the risk of significant harm to others: Department of Human Services, ‘Supervised Treatment —</w:t>
      </w:r>
      <w:r w:rsidRPr="004F247D">
        <w:rPr>
          <w:rFonts w:ascii="Arial" w:hAnsi="Arial" w:cs="Arial"/>
          <w:i/>
          <w:color w:val="auto"/>
          <w:sz w:val="20"/>
        </w:rPr>
        <w:t xml:space="preserve"> Disability Act 2006</w:t>
      </w:r>
      <w:r w:rsidRPr="004F247D">
        <w:rPr>
          <w:rFonts w:ascii="Arial" w:hAnsi="Arial" w:cs="Arial"/>
          <w:color w:val="auto"/>
          <w:sz w:val="20"/>
        </w:rPr>
        <w:t>’ (Information Sheet No 15, Victorian Government, 2011) &lt;</w:t>
      </w:r>
      <w:hyperlink r:id="rId27" w:history="1">
        <w:r w:rsidRPr="004F247D">
          <w:rPr>
            <w:rStyle w:val="Hyperlink"/>
            <w:rFonts w:ascii="Arial" w:hAnsi="Arial" w:cs="Arial"/>
            <w:sz w:val="20"/>
          </w:rPr>
          <w:t>www.dhs.vic.gov.au/__data/assets/pdf_file/0005/152663/disact_infosheet15supervisedtreatment_pdf_280607.pdf</w:t>
        </w:r>
      </w:hyperlink>
      <w:r w:rsidRPr="004F247D">
        <w:rPr>
          <w:rFonts w:ascii="Arial" w:hAnsi="Arial" w:cs="Arial"/>
          <w:color w:val="auto"/>
          <w:sz w:val="20"/>
        </w:rPr>
        <w:t>&gt;.</w:t>
      </w:r>
    </w:p>
  </w:footnote>
  <w:footnote w:id="77">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A Community Treatment Order allows a person to receive compulsory treatment whilst living in the community.</w:t>
      </w:r>
    </w:p>
  </w:footnote>
  <w:footnote w:id="78">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Terry Carney and Fleur </w:t>
      </w:r>
      <w:proofErr w:type="spellStart"/>
      <w:r w:rsidRPr="004F247D">
        <w:rPr>
          <w:rFonts w:ascii="Arial" w:hAnsi="Arial" w:cs="Arial"/>
          <w:color w:val="auto"/>
          <w:sz w:val="20"/>
        </w:rPr>
        <w:t>Beaupert</w:t>
      </w:r>
      <w:proofErr w:type="spellEnd"/>
      <w:r w:rsidRPr="004F247D">
        <w:rPr>
          <w:rFonts w:ascii="Arial" w:hAnsi="Arial" w:cs="Arial"/>
          <w:color w:val="auto"/>
          <w:sz w:val="20"/>
        </w:rPr>
        <w:t xml:space="preserve">, ‘Mental Health Tribunals: Rights Drowning in Un-’Chartered’ Health Waters?’ (2008) 3 </w:t>
      </w:r>
      <w:r w:rsidRPr="004F247D">
        <w:rPr>
          <w:rFonts w:ascii="Arial" w:hAnsi="Arial" w:cs="Arial"/>
          <w:i/>
          <w:color w:val="auto"/>
          <w:sz w:val="20"/>
        </w:rPr>
        <w:t>Australian Journal of Human Right</w:t>
      </w:r>
      <w:r w:rsidRPr="004F247D">
        <w:rPr>
          <w:rFonts w:ascii="Arial" w:hAnsi="Arial" w:cs="Arial"/>
          <w:color w:val="auto"/>
          <w:sz w:val="20"/>
        </w:rPr>
        <w:t xml:space="preserve"> 181.</w:t>
      </w:r>
    </w:p>
  </w:footnote>
  <w:footnote w:id="7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See </w:t>
      </w:r>
      <w:r w:rsidRPr="004F247D">
        <w:rPr>
          <w:rFonts w:ascii="Arial" w:hAnsi="Arial" w:cs="Arial"/>
          <w:i/>
          <w:sz w:val="20"/>
        </w:rPr>
        <w:t>Mental Health Act 2006</w:t>
      </w:r>
      <w:r w:rsidRPr="004F247D">
        <w:rPr>
          <w:rFonts w:ascii="Arial" w:hAnsi="Arial" w:cs="Arial"/>
          <w:sz w:val="20"/>
        </w:rPr>
        <w:t xml:space="preserve"> (NSW); draft WA </w:t>
      </w:r>
      <w:r w:rsidRPr="004F247D">
        <w:rPr>
          <w:rFonts w:ascii="Arial" w:hAnsi="Arial" w:cs="Arial"/>
          <w:i/>
          <w:sz w:val="20"/>
        </w:rPr>
        <w:t>Mental Health Act</w:t>
      </w:r>
      <w:r w:rsidRPr="004F247D">
        <w:rPr>
          <w:rFonts w:ascii="Arial" w:hAnsi="Arial" w:cs="Arial"/>
          <w:sz w:val="20"/>
        </w:rPr>
        <w:t>.</w:t>
      </w:r>
    </w:p>
  </w:footnote>
  <w:footnote w:id="8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i/>
          <w:sz w:val="20"/>
        </w:rPr>
        <w:t xml:space="preserve"> </w:t>
      </w:r>
      <w:r w:rsidRPr="004F247D">
        <w:rPr>
          <w:rFonts w:ascii="Arial" w:hAnsi="Arial" w:cs="Arial"/>
          <w:sz w:val="20"/>
        </w:rPr>
        <w:t xml:space="preserve">Phillip French, Julie Dardel and Sonya-Price-Kelly, </w:t>
      </w:r>
      <w:r w:rsidRPr="004F247D">
        <w:rPr>
          <w:rFonts w:ascii="Arial" w:hAnsi="Arial" w:cs="Arial"/>
          <w:i/>
          <w:sz w:val="20"/>
        </w:rPr>
        <w:t>Rights Denied: Towards a National Policy Agenda about Abuse, Neglect and Exploitation of Persons with Cognitive Impairment</w:t>
      </w:r>
      <w:r w:rsidRPr="004F247D">
        <w:rPr>
          <w:rFonts w:ascii="Arial" w:hAnsi="Arial" w:cs="Arial"/>
          <w:sz w:val="20"/>
        </w:rPr>
        <w:t xml:space="preserve">, (People </w:t>
      </w:r>
      <w:proofErr w:type="gramStart"/>
      <w:r w:rsidRPr="004F247D">
        <w:rPr>
          <w:rFonts w:ascii="Arial" w:hAnsi="Arial" w:cs="Arial"/>
          <w:sz w:val="20"/>
        </w:rPr>
        <w:t>With</w:t>
      </w:r>
      <w:proofErr w:type="gramEnd"/>
      <w:r w:rsidRPr="004F247D">
        <w:rPr>
          <w:rFonts w:ascii="Arial" w:hAnsi="Arial" w:cs="Arial"/>
          <w:sz w:val="20"/>
        </w:rPr>
        <w:t xml:space="preserve"> Disability Australia, 2009) 65.</w:t>
      </w:r>
    </w:p>
  </w:footnote>
  <w:footnote w:id="81">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sz w:val="20"/>
        </w:rPr>
        <w:t xml:space="preserve"> Selma </w:t>
      </w:r>
      <w:proofErr w:type="spellStart"/>
      <w:r w:rsidRPr="004F247D">
        <w:rPr>
          <w:rFonts w:ascii="Arial" w:hAnsi="Arial" w:cs="Arial"/>
          <w:sz w:val="20"/>
        </w:rPr>
        <w:t>Milovanovic</w:t>
      </w:r>
      <w:proofErr w:type="spellEnd"/>
      <w:r w:rsidRPr="004F247D">
        <w:rPr>
          <w:rFonts w:ascii="Arial" w:hAnsi="Arial" w:cs="Arial"/>
          <w:color w:val="auto"/>
          <w:sz w:val="20"/>
        </w:rPr>
        <w:t xml:space="preserve">, ‘Mentally Ill Man’s Human Rights Breached: Tribunal’, </w:t>
      </w:r>
      <w:r w:rsidRPr="004F247D">
        <w:rPr>
          <w:rFonts w:ascii="Arial" w:hAnsi="Arial" w:cs="Arial"/>
          <w:i/>
          <w:color w:val="auto"/>
          <w:sz w:val="20"/>
        </w:rPr>
        <w:t xml:space="preserve">The Age </w:t>
      </w:r>
      <w:r w:rsidRPr="004F247D">
        <w:rPr>
          <w:rFonts w:ascii="Arial" w:hAnsi="Arial" w:cs="Arial"/>
          <w:color w:val="auto"/>
          <w:sz w:val="20"/>
        </w:rPr>
        <w:t>(Melbourne) 24 April 2009 &lt;</w:t>
      </w:r>
      <w:hyperlink r:id="rId28" w:history="1">
        <w:r w:rsidRPr="004F247D">
          <w:rPr>
            <w:rStyle w:val="Hyperlink"/>
            <w:rFonts w:ascii="Arial" w:hAnsi="Arial" w:cs="Arial"/>
            <w:sz w:val="20"/>
          </w:rPr>
          <w:t>www.theage.com.au/national/mentally-ill-mans-human-rights-breached-tribunal-20090423-agtb.html</w:t>
        </w:r>
      </w:hyperlink>
      <w:r w:rsidRPr="004F247D">
        <w:rPr>
          <w:rFonts w:ascii="Arial" w:hAnsi="Arial" w:cs="Arial"/>
          <w:color w:val="auto"/>
          <w:sz w:val="20"/>
        </w:rPr>
        <w:t>&gt;.</w:t>
      </w:r>
    </w:p>
  </w:footnote>
  <w:footnote w:id="82">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The figures were obtained in September 2008 by the Mental Health and Drugs Division of Department of Health Services: Vivienne Top, Martin Thomas and </w:t>
      </w:r>
      <w:proofErr w:type="spellStart"/>
      <w:r w:rsidRPr="004F247D">
        <w:rPr>
          <w:rFonts w:ascii="Arial" w:hAnsi="Arial" w:cs="Arial"/>
          <w:color w:val="auto"/>
          <w:sz w:val="20"/>
        </w:rPr>
        <w:t>Mim</w:t>
      </w:r>
      <w:proofErr w:type="spellEnd"/>
      <w:r w:rsidRPr="004F247D">
        <w:rPr>
          <w:rFonts w:ascii="Arial" w:hAnsi="Arial" w:cs="Arial"/>
          <w:color w:val="auto"/>
          <w:sz w:val="20"/>
        </w:rPr>
        <w:t xml:space="preserve"> </w:t>
      </w:r>
      <w:proofErr w:type="spellStart"/>
      <w:r w:rsidRPr="004F247D">
        <w:rPr>
          <w:rFonts w:ascii="Arial" w:hAnsi="Arial" w:cs="Arial"/>
          <w:color w:val="auto"/>
          <w:sz w:val="20"/>
        </w:rPr>
        <w:t>Ingvarson</w:t>
      </w:r>
      <w:proofErr w:type="spellEnd"/>
      <w:r w:rsidRPr="004F247D">
        <w:rPr>
          <w:rFonts w:ascii="Arial" w:hAnsi="Arial" w:cs="Arial"/>
          <w:color w:val="auto"/>
          <w:sz w:val="20"/>
        </w:rPr>
        <w:t>, ‘Lacking insight: Involuntary Patient Experience of the Victorian Mental Health Review Board’ (Report, Mental Health Legal Centre, October 2008) 29 &lt;</w:t>
      </w:r>
      <w:hyperlink r:id="rId29" w:history="1">
        <w:r w:rsidRPr="004F247D">
          <w:rPr>
            <w:rStyle w:val="Hyperlink"/>
            <w:rFonts w:ascii="Arial" w:hAnsi="Arial" w:cs="Arial"/>
            <w:sz w:val="20"/>
          </w:rPr>
          <w:t>www.communitylaw.org.au/mentalhealth/cb_pages/images/Lacking_Insight.pdf</w:t>
        </w:r>
      </w:hyperlink>
      <w:r w:rsidRPr="004F247D">
        <w:rPr>
          <w:rFonts w:ascii="Arial" w:hAnsi="Arial" w:cs="Arial"/>
          <w:color w:val="auto"/>
          <w:sz w:val="20"/>
        </w:rPr>
        <w:t>&gt;.</w:t>
      </w:r>
    </w:p>
  </w:footnote>
  <w:footnote w:id="83">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Mental Health Review Board of Victoria, Annual Report’ (Report, Department of Human Services, 2007).</w:t>
      </w:r>
    </w:p>
  </w:footnote>
  <w:footnote w:id="84">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Vivienne </w:t>
      </w:r>
      <w:proofErr w:type="spellStart"/>
      <w:r w:rsidRPr="004F247D">
        <w:rPr>
          <w:rFonts w:ascii="Arial" w:hAnsi="Arial" w:cs="Arial"/>
          <w:color w:val="auto"/>
          <w:sz w:val="20"/>
        </w:rPr>
        <w:t>Topp</w:t>
      </w:r>
      <w:proofErr w:type="spellEnd"/>
      <w:r w:rsidRPr="004F247D">
        <w:rPr>
          <w:rFonts w:ascii="Arial" w:hAnsi="Arial" w:cs="Arial"/>
          <w:color w:val="auto"/>
          <w:sz w:val="20"/>
        </w:rPr>
        <w:t xml:space="preserve">, Martin Thomas and </w:t>
      </w:r>
      <w:proofErr w:type="spellStart"/>
      <w:r w:rsidRPr="004F247D">
        <w:rPr>
          <w:rFonts w:ascii="Arial" w:hAnsi="Arial" w:cs="Arial"/>
          <w:color w:val="auto"/>
          <w:sz w:val="20"/>
        </w:rPr>
        <w:t>Mim</w:t>
      </w:r>
      <w:proofErr w:type="spellEnd"/>
      <w:r w:rsidRPr="004F247D">
        <w:rPr>
          <w:rFonts w:ascii="Arial" w:hAnsi="Arial" w:cs="Arial"/>
          <w:color w:val="auto"/>
          <w:sz w:val="20"/>
        </w:rPr>
        <w:t xml:space="preserve"> </w:t>
      </w:r>
      <w:proofErr w:type="spellStart"/>
      <w:r w:rsidRPr="004F247D">
        <w:rPr>
          <w:rFonts w:ascii="Arial" w:hAnsi="Arial" w:cs="Arial"/>
          <w:color w:val="auto"/>
          <w:sz w:val="20"/>
        </w:rPr>
        <w:t>Ingvarson</w:t>
      </w:r>
      <w:proofErr w:type="spellEnd"/>
      <w:r w:rsidRPr="004F247D">
        <w:rPr>
          <w:rFonts w:ascii="Arial" w:hAnsi="Arial" w:cs="Arial"/>
          <w:color w:val="auto"/>
          <w:sz w:val="20"/>
        </w:rPr>
        <w:t xml:space="preserve">, above n </w:t>
      </w:r>
      <w:r w:rsidRPr="004F247D">
        <w:rPr>
          <w:rFonts w:ascii="Arial" w:hAnsi="Arial" w:cs="Arial"/>
          <w:color w:val="auto"/>
          <w:sz w:val="20"/>
        </w:rPr>
        <w:fldChar w:fldCharType="begin"/>
      </w:r>
      <w:r w:rsidRPr="004F247D">
        <w:rPr>
          <w:rFonts w:ascii="Arial" w:hAnsi="Arial" w:cs="Arial"/>
          <w:color w:val="auto"/>
          <w:sz w:val="20"/>
        </w:rPr>
        <w:instrText xml:space="preserve"> NOTEREF _Ref322521582 \h  \* MERGEFORMAT </w:instrText>
      </w:r>
      <w:r w:rsidRPr="004F247D">
        <w:rPr>
          <w:rFonts w:ascii="Arial" w:hAnsi="Arial" w:cs="Arial"/>
          <w:color w:val="auto"/>
          <w:sz w:val="20"/>
        </w:rPr>
      </w:r>
      <w:r w:rsidRPr="004F247D">
        <w:rPr>
          <w:rFonts w:ascii="Arial" w:hAnsi="Arial" w:cs="Arial"/>
          <w:color w:val="auto"/>
          <w:sz w:val="20"/>
        </w:rPr>
        <w:fldChar w:fldCharType="separate"/>
      </w:r>
      <w:r w:rsidR="006B5D55">
        <w:rPr>
          <w:rFonts w:ascii="Arial" w:hAnsi="Arial" w:cs="Arial"/>
          <w:color w:val="auto"/>
          <w:sz w:val="20"/>
        </w:rPr>
        <w:t>82</w:t>
      </w:r>
      <w:r w:rsidRPr="004F247D">
        <w:rPr>
          <w:rFonts w:ascii="Arial" w:hAnsi="Arial" w:cs="Arial"/>
          <w:color w:val="auto"/>
          <w:sz w:val="20"/>
        </w:rPr>
        <w:fldChar w:fldCharType="end"/>
      </w:r>
      <w:r w:rsidRPr="004F247D">
        <w:rPr>
          <w:rFonts w:ascii="Arial" w:hAnsi="Arial" w:cs="Arial"/>
          <w:color w:val="auto"/>
          <w:sz w:val="20"/>
        </w:rPr>
        <w:t>, 29.</w:t>
      </w:r>
    </w:p>
  </w:footnote>
  <w:footnote w:id="85">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1,176 people were in public mental health facilities, 611 in private service: see Office of the Chief Psychiatrist, ‘Annual Report 2007–2008’ (Report, Department of Health, Victorian Government, 2009) 8 &lt;</w:t>
      </w:r>
      <w:hyperlink r:id="rId30" w:history="1">
        <w:r w:rsidRPr="004F247D">
          <w:rPr>
            <w:rStyle w:val="Hyperlink"/>
            <w:rFonts w:ascii="Arial" w:hAnsi="Arial" w:cs="Arial"/>
            <w:sz w:val="20"/>
          </w:rPr>
          <w:t>http://health.vic.gov.au/chiefpsychiatrist/documents/annual_report0708.pdf</w:t>
        </w:r>
      </w:hyperlink>
      <w:r w:rsidRPr="004F247D">
        <w:rPr>
          <w:rFonts w:ascii="Arial" w:hAnsi="Arial" w:cs="Arial"/>
          <w:color w:val="auto"/>
          <w:sz w:val="20"/>
        </w:rPr>
        <w:t>&gt;.</w:t>
      </w:r>
    </w:p>
  </w:footnote>
  <w:footnote w:id="86">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Mental Health Legal Centre, ‘Fact sheet for the UN Special Rapporteur on the Right of Everyone to the Enjoyment of the Highest Attainable Standard of Physical and Mental Health: Mental Health Issues in Victorian Prisons’ (Fact Sheet, 2009).</w:t>
      </w:r>
    </w:p>
  </w:footnote>
  <w:footnote w:id="8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Submission from Queensland Advocacy Incorporated.</w:t>
      </w:r>
    </w:p>
  </w:footnote>
  <w:footnote w:id="8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Raised in consultations by disability individual advocacy organisations.</w:t>
      </w:r>
    </w:p>
  </w:footnote>
  <w:footnote w:id="89">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Vivienne </w:t>
      </w:r>
      <w:proofErr w:type="spellStart"/>
      <w:r w:rsidRPr="004F247D">
        <w:rPr>
          <w:rFonts w:ascii="Arial" w:hAnsi="Arial" w:cs="Arial"/>
          <w:color w:val="auto"/>
          <w:sz w:val="20"/>
        </w:rPr>
        <w:t>Topp</w:t>
      </w:r>
      <w:proofErr w:type="spellEnd"/>
      <w:r w:rsidRPr="004F247D">
        <w:rPr>
          <w:rFonts w:ascii="Arial" w:hAnsi="Arial" w:cs="Arial"/>
          <w:color w:val="auto"/>
          <w:sz w:val="20"/>
        </w:rPr>
        <w:t xml:space="preserve">, Martin Thomas and </w:t>
      </w:r>
      <w:proofErr w:type="spellStart"/>
      <w:r w:rsidRPr="004F247D">
        <w:rPr>
          <w:rFonts w:ascii="Arial" w:hAnsi="Arial" w:cs="Arial"/>
          <w:color w:val="auto"/>
          <w:sz w:val="20"/>
        </w:rPr>
        <w:t>Mim</w:t>
      </w:r>
      <w:proofErr w:type="spellEnd"/>
      <w:r w:rsidRPr="004F247D">
        <w:rPr>
          <w:rFonts w:ascii="Arial" w:hAnsi="Arial" w:cs="Arial"/>
          <w:color w:val="auto"/>
          <w:sz w:val="20"/>
        </w:rPr>
        <w:t xml:space="preserve"> </w:t>
      </w:r>
      <w:proofErr w:type="spellStart"/>
      <w:r w:rsidRPr="004F247D">
        <w:rPr>
          <w:rFonts w:ascii="Arial" w:hAnsi="Arial" w:cs="Arial"/>
          <w:color w:val="auto"/>
          <w:sz w:val="20"/>
        </w:rPr>
        <w:t>Ingvarson</w:t>
      </w:r>
      <w:proofErr w:type="spellEnd"/>
      <w:r w:rsidRPr="004F247D">
        <w:rPr>
          <w:rFonts w:ascii="Arial" w:hAnsi="Arial" w:cs="Arial"/>
          <w:color w:val="auto"/>
          <w:sz w:val="20"/>
        </w:rPr>
        <w:t xml:space="preserve">, above n </w:t>
      </w:r>
      <w:r w:rsidRPr="004F247D">
        <w:rPr>
          <w:rFonts w:ascii="Arial" w:hAnsi="Arial" w:cs="Arial"/>
          <w:color w:val="auto"/>
          <w:sz w:val="20"/>
        </w:rPr>
        <w:fldChar w:fldCharType="begin"/>
      </w:r>
      <w:r w:rsidRPr="004F247D">
        <w:rPr>
          <w:rFonts w:ascii="Arial" w:hAnsi="Arial" w:cs="Arial"/>
          <w:color w:val="auto"/>
          <w:sz w:val="20"/>
        </w:rPr>
        <w:instrText xml:space="preserve"> NOTEREF _Ref322521582 \h  \* MERGEFORMAT </w:instrText>
      </w:r>
      <w:r w:rsidRPr="004F247D">
        <w:rPr>
          <w:rFonts w:ascii="Arial" w:hAnsi="Arial" w:cs="Arial"/>
          <w:color w:val="auto"/>
          <w:sz w:val="20"/>
        </w:rPr>
      </w:r>
      <w:r w:rsidRPr="004F247D">
        <w:rPr>
          <w:rFonts w:ascii="Arial" w:hAnsi="Arial" w:cs="Arial"/>
          <w:color w:val="auto"/>
          <w:sz w:val="20"/>
        </w:rPr>
        <w:fldChar w:fldCharType="separate"/>
      </w:r>
      <w:r w:rsidR="006B5D55">
        <w:rPr>
          <w:rFonts w:ascii="Arial" w:hAnsi="Arial" w:cs="Arial"/>
          <w:color w:val="auto"/>
          <w:sz w:val="20"/>
        </w:rPr>
        <w:t>82</w:t>
      </w:r>
      <w:r w:rsidRPr="004F247D">
        <w:rPr>
          <w:rFonts w:ascii="Arial" w:hAnsi="Arial" w:cs="Arial"/>
          <w:color w:val="auto"/>
          <w:sz w:val="20"/>
        </w:rPr>
        <w:fldChar w:fldCharType="end"/>
      </w:r>
      <w:r w:rsidRPr="004F247D">
        <w:rPr>
          <w:rFonts w:ascii="Arial" w:hAnsi="Arial" w:cs="Arial"/>
          <w:color w:val="auto"/>
          <w:sz w:val="20"/>
        </w:rPr>
        <w:t xml:space="preserve">, 28. </w:t>
      </w:r>
    </w:p>
  </w:footnote>
  <w:footnote w:id="90">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Ibid.</w:t>
      </w:r>
    </w:p>
  </w:footnote>
  <w:footnote w:id="9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In NSW, the Mental Health Advocacy Service recently widened its policy to provide a limited number of grants of legal aid for CTO cases. Legal representation in CTO proceedings in Victoria is minimal, and individuals in the ACT are unable to access any legal representation in CTO proceedings at all: see Terry Carney et al, ‘Advocacy and Participation in Mental Health Cases: Realisable Rights or Pipe-Dreams?’ (2008) 26 </w:t>
      </w:r>
      <w:r w:rsidRPr="004F247D">
        <w:rPr>
          <w:rFonts w:ascii="Arial" w:hAnsi="Arial" w:cs="Arial"/>
          <w:i/>
          <w:sz w:val="20"/>
        </w:rPr>
        <w:t xml:space="preserve">Law in Context </w:t>
      </w:r>
      <w:r w:rsidRPr="004F247D">
        <w:rPr>
          <w:rFonts w:ascii="Arial" w:hAnsi="Arial" w:cs="Arial"/>
          <w:sz w:val="20"/>
        </w:rPr>
        <w:t>125.</w:t>
      </w:r>
    </w:p>
  </w:footnote>
  <w:footnote w:id="92">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Vivienne </w:t>
      </w:r>
      <w:proofErr w:type="spellStart"/>
      <w:r w:rsidRPr="004F247D">
        <w:rPr>
          <w:rFonts w:ascii="Arial" w:hAnsi="Arial" w:cs="Arial"/>
          <w:color w:val="auto"/>
          <w:sz w:val="20"/>
        </w:rPr>
        <w:t>Topp</w:t>
      </w:r>
      <w:proofErr w:type="spellEnd"/>
      <w:r w:rsidRPr="004F247D">
        <w:rPr>
          <w:rFonts w:ascii="Arial" w:hAnsi="Arial" w:cs="Arial"/>
          <w:color w:val="auto"/>
          <w:sz w:val="20"/>
        </w:rPr>
        <w:t xml:space="preserve">, Martin Thomas and </w:t>
      </w:r>
      <w:proofErr w:type="spellStart"/>
      <w:r w:rsidRPr="004F247D">
        <w:rPr>
          <w:rFonts w:ascii="Arial" w:hAnsi="Arial" w:cs="Arial"/>
          <w:color w:val="auto"/>
          <w:sz w:val="20"/>
        </w:rPr>
        <w:t>Mim</w:t>
      </w:r>
      <w:proofErr w:type="spellEnd"/>
      <w:r w:rsidRPr="004F247D">
        <w:rPr>
          <w:rFonts w:ascii="Arial" w:hAnsi="Arial" w:cs="Arial"/>
          <w:color w:val="auto"/>
          <w:sz w:val="20"/>
        </w:rPr>
        <w:t xml:space="preserve"> </w:t>
      </w:r>
      <w:proofErr w:type="spellStart"/>
      <w:r w:rsidRPr="004F247D">
        <w:rPr>
          <w:rFonts w:ascii="Arial" w:hAnsi="Arial" w:cs="Arial"/>
          <w:color w:val="auto"/>
          <w:sz w:val="20"/>
        </w:rPr>
        <w:t>Ingvarson</w:t>
      </w:r>
      <w:proofErr w:type="spellEnd"/>
      <w:r w:rsidRPr="004F247D">
        <w:rPr>
          <w:rFonts w:ascii="Arial" w:hAnsi="Arial" w:cs="Arial"/>
          <w:color w:val="auto"/>
          <w:sz w:val="20"/>
        </w:rPr>
        <w:t xml:space="preserve">, above n </w:t>
      </w:r>
      <w:r w:rsidRPr="004F247D">
        <w:rPr>
          <w:rFonts w:ascii="Arial" w:hAnsi="Arial" w:cs="Arial"/>
          <w:color w:val="auto"/>
          <w:sz w:val="20"/>
        </w:rPr>
        <w:fldChar w:fldCharType="begin"/>
      </w:r>
      <w:r w:rsidRPr="004F247D">
        <w:rPr>
          <w:rFonts w:ascii="Arial" w:hAnsi="Arial" w:cs="Arial"/>
          <w:color w:val="auto"/>
          <w:sz w:val="20"/>
        </w:rPr>
        <w:instrText xml:space="preserve"> NOTEREF _Ref322521582 \h  \* MERGEFORMAT </w:instrText>
      </w:r>
      <w:r w:rsidRPr="004F247D">
        <w:rPr>
          <w:rFonts w:ascii="Arial" w:hAnsi="Arial" w:cs="Arial"/>
          <w:color w:val="auto"/>
          <w:sz w:val="20"/>
        </w:rPr>
      </w:r>
      <w:r w:rsidRPr="004F247D">
        <w:rPr>
          <w:rFonts w:ascii="Arial" w:hAnsi="Arial" w:cs="Arial"/>
          <w:color w:val="auto"/>
          <w:sz w:val="20"/>
        </w:rPr>
        <w:fldChar w:fldCharType="separate"/>
      </w:r>
      <w:r w:rsidR="006B5D55">
        <w:rPr>
          <w:rFonts w:ascii="Arial" w:hAnsi="Arial" w:cs="Arial"/>
          <w:color w:val="auto"/>
          <w:sz w:val="20"/>
        </w:rPr>
        <w:t>82</w:t>
      </w:r>
      <w:r w:rsidRPr="004F247D">
        <w:rPr>
          <w:rFonts w:ascii="Arial" w:hAnsi="Arial" w:cs="Arial"/>
          <w:color w:val="auto"/>
          <w:sz w:val="20"/>
        </w:rPr>
        <w:fldChar w:fldCharType="end"/>
      </w:r>
      <w:r w:rsidRPr="004F247D">
        <w:rPr>
          <w:rFonts w:ascii="Arial" w:hAnsi="Arial" w:cs="Arial"/>
          <w:color w:val="auto"/>
          <w:sz w:val="20"/>
        </w:rPr>
        <w:t xml:space="preserve">, 27. </w:t>
      </w:r>
    </w:p>
  </w:footnote>
  <w:footnote w:id="93">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Ibid 29.</w:t>
      </w:r>
    </w:p>
  </w:footnote>
  <w:footnote w:id="94">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i/>
          <w:color w:val="auto"/>
          <w:sz w:val="20"/>
        </w:rPr>
        <w:t xml:space="preserve"> Re review 09–085 </w:t>
      </w:r>
      <w:r w:rsidRPr="004F247D">
        <w:rPr>
          <w:rFonts w:ascii="Arial" w:hAnsi="Arial" w:cs="Arial"/>
          <w:color w:val="auto"/>
          <w:sz w:val="20"/>
        </w:rPr>
        <w:t>[2009] VMHRB 1 (23 February 2009) [130]–[140].</w:t>
      </w:r>
    </w:p>
  </w:footnote>
  <w:footnote w:id="9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See also </w:t>
      </w:r>
      <w:hyperlink r:id="rId31" w:history="1">
        <w:r w:rsidRPr="004F247D">
          <w:rPr>
            <w:rStyle w:val="Hyperlink"/>
            <w:rFonts w:ascii="Arial" w:hAnsi="Arial" w:cs="Arial"/>
            <w:sz w:val="20"/>
          </w:rPr>
          <w:t>http://www.hrlrc.org.au/year/2009/09-085-2009-vmhrb-23-february-2009/</w:t>
        </w:r>
      </w:hyperlink>
      <w:r w:rsidRPr="004F247D">
        <w:rPr>
          <w:rFonts w:ascii="Arial" w:hAnsi="Arial" w:cs="Arial"/>
          <w:sz w:val="20"/>
        </w:rPr>
        <w:t>.</w:t>
      </w:r>
    </w:p>
  </w:footnote>
  <w:footnote w:id="96">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Style w:val="citation"/>
          <w:rFonts w:ascii="Arial" w:eastAsia="SimSun" w:hAnsi="Arial" w:cs="Arial"/>
          <w:i/>
          <w:color w:val="auto"/>
          <w:sz w:val="20"/>
        </w:rPr>
        <w:t xml:space="preserve"> Convention on the Rights of Persons with Disabilities</w:t>
      </w:r>
      <w:r w:rsidRPr="004F247D">
        <w:rPr>
          <w:rStyle w:val="citation"/>
          <w:rFonts w:ascii="Arial" w:eastAsia="SimSun" w:hAnsi="Arial" w:cs="Arial"/>
          <w:color w:val="auto"/>
          <w:sz w:val="20"/>
        </w:rPr>
        <w:t>: Declarations and Reservations</w:t>
      </w:r>
      <w:r w:rsidRPr="004F247D">
        <w:rPr>
          <w:rStyle w:val="citation"/>
          <w:rFonts w:ascii="Arial" w:hAnsi="Arial" w:cs="Arial"/>
          <w:color w:val="auto"/>
          <w:sz w:val="20"/>
        </w:rPr>
        <w:t xml:space="preserve"> (Australia), </w:t>
      </w:r>
      <w:r w:rsidRPr="004F247D">
        <w:rPr>
          <w:rFonts w:ascii="Arial" w:hAnsi="Arial" w:cs="Arial"/>
          <w:color w:val="auto"/>
          <w:sz w:val="20"/>
        </w:rPr>
        <w:t xml:space="preserve">above n </w:t>
      </w:r>
      <w:r w:rsidRPr="004F247D">
        <w:rPr>
          <w:rFonts w:ascii="Arial" w:hAnsi="Arial" w:cs="Arial"/>
          <w:color w:val="auto"/>
          <w:sz w:val="20"/>
        </w:rPr>
        <w:fldChar w:fldCharType="begin"/>
      </w:r>
      <w:r w:rsidRPr="004F247D">
        <w:rPr>
          <w:rFonts w:ascii="Arial" w:hAnsi="Arial" w:cs="Arial"/>
          <w:color w:val="auto"/>
          <w:sz w:val="20"/>
        </w:rPr>
        <w:instrText xml:space="preserve"> NOTEREF _Ref322534027 \h  \* MERGEFORMAT </w:instrText>
      </w:r>
      <w:r w:rsidRPr="004F247D">
        <w:rPr>
          <w:rFonts w:ascii="Arial" w:hAnsi="Arial" w:cs="Arial"/>
          <w:color w:val="auto"/>
          <w:sz w:val="20"/>
        </w:rPr>
      </w:r>
      <w:r w:rsidRPr="004F247D">
        <w:rPr>
          <w:rFonts w:ascii="Arial" w:hAnsi="Arial" w:cs="Arial"/>
          <w:color w:val="auto"/>
          <w:sz w:val="20"/>
        </w:rPr>
        <w:fldChar w:fldCharType="separate"/>
      </w:r>
      <w:r w:rsidR="006B5D55">
        <w:rPr>
          <w:rFonts w:ascii="Arial" w:hAnsi="Arial" w:cs="Arial"/>
          <w:color w:val="auto"/>
          <w:sz w:val="20"/>
        </w:rPr>
        <w:t>34</w:t>
      </w:r>
      <w:r w:rsidRPr="004F247D">
        <w:rPr>
          <w:rFonts w:ascii="Arial" w:hAnsi="Arial" w:cs="Arial"/>
          <w:color w:val="auto"/>
          <w:sz w:val="20"/>
        </w:rPr>
        <w:fldChar w:fldCharType="end"/>
      </w:r>
      <w:r w:rsidRPr="004F247D">
        <w:rPr>
          <w:rFonts w:ascii="Arial" w:hAnsi="Arial" w:cs="Arial"/>
          <w:color w:val="auto"/>
          <w:sz w:val="20"/>
        </w:rPr>
        <w:t>.</w:t>
      </w:r>
    </w:p>
  </w:footnote>
  <w:footnote w:id="9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Department of Human Services, ‘Review of the </w:t>
      </w:r>
      <w:r w:rsidRPr="004F247D">
        <w:rPr>
          <w:rFonts w:ascii="Arial" w:hAnsi="Arial" w:cs="Arial"/>
          <w:i/>
          <w:sz w:val="20"/>
        </w:rPr>
        <w:t>Mental Health Act 1986</w:t>
      </w:r>
      <w:r w:rsidRPr="004F247D">
        <w:rPr>
          <w:rFonts w:ascii="Arial" w:hAnsi="Arial" w:cs="Arial"/>
          <w:sz w:val="20"/>
        </w:rPr>
        <w:t>: Community Consultation Report’ (Report, Victorian Government, July 2009) 14, 19.</w:t>
      </w:r>
    </w:p>
  </w:footnote>
  <w:footnote w:id="9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Manfred Nowak, Special Rapporteur,</w:t>
      </w:r>
      <w:r w:rsidRPr="004F247D">
        <w:rPr>
          <w:rFonts w:ascii="Arial" w:hAnsi="Arial" w:cs="Arial"/>
          <w:i/>
          <w:sz w:val="20"/>
        </w:rPr>
        <w:t xml:space="preserve"> Interim Report of the Special Rapporteur on Torture and Other Cruel, Inhuman or Degrading Treatment or Punishment</w:t>
      </w:r>
      <w:r w:rsidRPr="004F247D">
        <w:rPr>
          <w:rFonts w:ascii="Arial" w:hAnsi="Arial" w:cs="Arial"/>
          <w:sz w:val="20"/>
        </w:rPr>
        <w:t>, 63</w:t>
      </w:r>
      <w:r w:rsidRPr="004F247D">
        <w:rPr>
          <w:rFonts w:ascii="Arial" w:hAnsi="Arial" w:cs="Arial"/>
          <w:sz w:val="20"/>
          <w:vertAlign w:val="superscript"/>
        </w:rPr>
        <w:t>rd</w:t>
      </w:r>
      <w:r w:rsidRPr="004F247D">
        <w:rPr>
          <w:rFonts w:ascii="Arial" w:hAnsi="Arial" w:cs="Arial"/>
          <w:sz w:val="20"/>
        </w:rPr>
        <w:t xml:space="preserve"> sess, UN Doc A/63/175 (28 July 2008)16.</w:t>
      </w:r>
    </w:p>
  </w:footnote>
  <w:footnote w:id="9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Report of the Special Rapporteur on torture and other cruel, inhuman or degrading treatment or punishment, Juan E. Méndez Human Rights Council Twenty-second session, </w:t>
      </w:r>
      <w:hyperlink r:id="rId32" w:history="1">
        <w:r w:rsidRPr="004F247D">
          <w:rPr>
            <w:rStyle w:val="Hyperlink"/>
            <w:rFonts w:ascii="Arial" w:hAnsi="Arial" w:cs="Arial"/>
            <w:sz w:val="20"/>
          </w:rPr>
          <w:t>http://daccess-dds-ny.un.org/doc/UNDOC/GEN/G13/116/31/PDF/G1311631.pdf?OpenElement</w:t>
        </w:r>
      </w:hyperlink>
      <w:r w:rsidRPr="004F247D">
        <w:rPr>
          <w:rFonts w:ascii="Arial" w:hAnsi="Arial" w:cs="Arial"/>
          <w:sz w:val="20"/>
        </w:rPr>
        <w:t xml:space="preserve"> page 2.</w:t>
      </w:r>
    </w:p>
  </w:footnote>
  <w:footnote w:id="10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Richard Baker and Nick McKenzie, ‘Deaths in Mental Health Facilities: Unexpected, Unnatural and Violent’, </w:t>
      </w:r>
      <w:r w:rsidRPr="004F247D">
        <w:rPr>
          <w:rFonts w:ascii="Arial" w:hAnsi="Arial" w:cs="Arial"/>
          <w:i/>
          <w:sz w:val="20"/>
        </w:rPr>
        <w:t xml:space="preserve">The Age </w:t>
      </w:r>
      <w:r w:rsidRPr="004F247D">
        <w:rPr>
          <w:rFonts w:ascii="Arial" w:hAnsi="Arial" w:cs="Arial"/>
          <w:sz w:val="20"/>
        </w:rPr>
        <w:t>(Melbourne) 3 September 2011 &lt;</w:t>
      </w:r>
      <w:hyperlink r:id="rId33" w:anchor="ixzz1bYnkI55H" w:history="1">
        <w:r w:rsidRPr="004F247D">
          <w:rPr>
            <w:rStyle w:val="Hyperlink"/>
            <w:rFonts w:ascii="Arial" w:hAnsi="Arial" w:cs="Arial"/>
            <w:sz w:val="20"/>
          </w:rPr>
          <w:t>www.theage.com.au/victoria/deaths-in-mental-health-facilities-unexpected-unnatural-and-violent-20110902-1jqdg.html#ixzz1bYnkI55H</w:t>
        </w:r>
      </w:hyperlink>
      <w:r w:rsidRPr="004F247D">
        <w:rPr>
          <w:rFonts w:ascii="Arial" w:hAnsi="Arial" w:cs="Arial"/>
          <w:sz w:val="20"/>
        </w:rPr>
        <w:t>&gt;.</w:t>
      </w:r>
    </w:p>
  </w:footnote>
  <w:footnote w:id="101">
    <w:p w:rsidR="00701CBA" w:rsidRPr="0093790C" w:rsidRDefault="00701CBA" w:rsidP="004F247D">
      <w:pPr>
        <w:pStyle w:val="NoSpacing"/>
        <w:rPr>
          <w:rFonts w:ascii="Arial" w:hAnsi="Arial" w:cs="Arial"/>
          <w:sz w:val="20"/>
        </w:rPr>
      </w:pPr>
      <w:r w:rsidRPr="0093790C">
        <w:rPr>
          <w:rStyle w:val="FootnoteReference"/>
          <w:rFonts w:ascii="Arial" w:hAnsi="Arial" w:cs="Arial"/>
          <w:color w:val="auto"/>
          <w:sz w:val="20"/>
        </w:rPr>
        <w:footnoteRef/>
      </w:r>
      <w:r w:rsidRPr="0093790C">
        <w:rPr>
          <w:rFonts w:ascii="Arial" w:hAnsi="Arial" w:cs="Arial"/>
          <w:i/>
          <w:sz w:val="20"/>
        </w:rPr>
        <w:t xml:space="preserve"> Charter of Human Rights and Responsibilities Act 2006</w:t>
      </w:r>
      <w:r w:rsidRPr="0093790C">
        <w:rPr>
          <w:rFonts w:ascii="Arial" w:hAnsi="Arial" w:cs="Arial"/>
          <w:sz w:val="20"/>
        </w:rPr>
        <w:t xml:space="preserve"> (Vic) s 10(c); </w:t>
      </w:r>
      <w:r w:rsidRPr="0093790C">
        <w:rPr>
          <w:rFonts w:ascii="Arial" w:hAnsi="Arial" w:cs="Arial"/>
          <w:i/>
          <w:sz w:val="20"/>
        </w:rPr>
        <w:t>Human Rights Act 2004</w:t>
      </w:r>
      <w:r w:rsidRPr="0093790C">
        <w:rPr>
          <w:rFonts w:ascii="Arial" w:hAnsi="Arial" w:cs="Arial"/>
          <w:sz w:val="20"/>
        </w:rPr>
        <w:t xml:space="preserve"> (ACT) s 10(2).</w:t>
      </w:r>
    </w:p>
  </w:footnote>
  <w:footnote w:id="102">
    <w:p w:rsidR="00701CBA" w:rsidRPr="0093790C" w:rsidRDefault="00701CBA" w:rsidP="004F247D">
      <w:pPr>
        <w:pStyle w:val="NoSpacing"/>
        <w:rPr>
          <w:rFonts w:ascii="Arial" w:hAnsi="Arial" w:cs="Arial"/>
          <w:sz w:val="20"/>
        </w:rPr>
      </w:pPr>
      <w:r w:rsidRPr="0093790C">
        <w:rPr>
          <w:rStyle w:val="FootnoteReference"/>
          <w:rFonts w:ascii="Arial" w:hAnsi="Arial" w:cs="Arial"/>
          <w:sz w:val="20"/>
        </w:rPr>
        <w:footnoteRef/>
      </w:r>
      <w:r w:rsidRPr="0093790C">
        <w:rPr>
          <w:rFonts w:ascii="Arial" w:hAnsi="Arial" w:cs="Arial"/>
          <w:sz w:val="20"/>
        </w:rPr>
        <w:t xml:space="preserve"> French, Dardel and Price-Kelly, above n </w:t>
      </w:r>
      <w:r w:rsidRPr="0093790C">
        <w:rPr>
          <w:rFonts w:ascii="Arial" w:hAnsi="Arial" w:cs="Arial"/>
          <w:sz w:val="20"/>
        </w:rPr>
        <w:fldChar w:fldCharType="begin"/>
      </w:r>
      <w:r w:rsidRPr="0093790C">
        <w:rPr>
          <w:rFonts w:ascii="Arial" w:hAnsi="Arial" w:cs="Arial"/>
          <w:sz w:val="20"/>
        </w:rPr>
        <w:instrText xml:space="preserve"> NOTEREF _Ref321408745 \h  \* MERGEFORMAT </w:instrText>
      </w:r>
      <w:r w:rsidRPr="0093790C">
        <w:rPr>
          <w:rFonts w:ascii="Arial" w:hAnsi="Arial" w:cs="Arial"/>
          <w:sz w:val="20"/>
        </w:rPr>
      </w:r>
      <w:r w:rsidRPr="0093790C">
        <w:rPr>
          <w:rFonts w:ascii="Arial" w:hAnsi="Arial" w:cs="Arial"/>
          <w:sz w:val="20"/>
        </w:rPr>
        <w:fldChar w:fldCharType="separate"/>
      </w:r>
      <w:r w:rsidR="006B5D55">
        <w:rPr>
          <w:rFonts w:ascii="Arial" w:hAnsi="Arial" w:cs="Arial"/>
          <w:sz w:val="20"/>
        </w:rPr>
        <w:t>80</w:t>
      </w:r>
      <w:r w:rsidRPr="0093790C">
        <w:rPr>
          <w:rFonts w:ascii="Arial" w:hAnsi="Arial" w:cs="Arial"/>
          <w:sz w:val="20"/>
        </w:rPr>
        <w:fldChar w:fldCharType="end"/>
      </w:r>
      <w:r w:rsidRPr="0093790C">
        <w:rPr>
          <w:rFonts w:ascii="Arial" w:hAnsi="Arial" w:cs="Arial"/>
          <w:sz w:val="20"/>
        </w:rPr>
        <w:t>.</w:t>
      </w:r>
    </w:p>
  </w:footnote>
  <w:footnote w:id="103">
    <w:p w:rsidR="00701CBA" w:rsidRPr="0093790C" w:rsidRDefault="00701CBA" w:rsidP="004F247D">
      <w:pPr>
        <w:pStyle w:val="NoSpacing"/>
        <w:rPr>
          <w:rFonts w:ascii="Arial" w:hAnsi="Arial" w:cs="Arial"/>
          <w:sz w:val="20"/>
        </w:rPr>
      </w:pPr>
      <w:r w:rsidRPr="0093790C">
        <w:rPr>
          <w:rStyle w:val="FootnoteReference"/>
          <w:rFonts w:ascii="Arial" w:hAnsi="Arial" w:cs="Arial"/>
          <w:sz w:val="20"/>
        </w:rPr>
        <w:footnoteRef/>
      </w:r>
      <w:r w:rsidRPr="0093790C">
        <w:rPr>
          <w:rFonts w:ascii="Arial" w:hAnsi="Arial" w:cs="Arial"/>
          <w:sz w:val="20"/>
        </w:rPr>
        <w:t xml:space="preserve"> Richard Baker and Nick McKenzie, ‘Deaths in Mental Health Facilities: Unexpected, Unnatural and Violent’, </w:t>
      </w:r>
      <w:r w:rsidRPr="0093790C">
        <w:rPr>
          <w:rFonts w:ascii="Arial" w:hAnsi="Arial" w:cs="Arial"/>
          <w:i/>
          <w:sz w:val="20"/>
        </w:rPr>
        <w:t xml:space="preserve">The Age </w:t>
      </w:r>
      <w:r w:rsidRPr="0093790C">
        <w:rPr>
          <w:rFonts w:ascii="Arial" w:hAnsi="Arial" w:cs="Arial"/>
          <w:sz w:val="20"/>
        </w:rPr>
        <w:t>(Melbourne) 3 September 2011 &lt;</w:t>
      </w:r>
      <w:hyperlink r:id="rId34" w:anchor="ixzz1bYnkI55H" w:history="1">
        <w:r w:rsidRPr="0093790C">
          <w:rPr>
            <w:rStyle w:val="Hyperlink"/>
            <w:rFonts w:ascii="Arial" w:hAnsi="Arial" w:cs="Arial"/>
            <w:sz w:val="20"/>
          </w:rPr>
          <w:t>www.theage.com.au/victoria/deaths-in-mental-health-facilities-unexpected-unnatural-and-violent-20110902-1jqdg.html#ixzz1bYnkI55H</w:t>
        </w:r>
      </w:hyperlink>
      <w:r w:rsidRPr="0093790C">
        <w:rPr>
          <w:rFonts w:ascii="Arial" w:hAnsi="Arial" w:cs="Arial"/>
          <w:sz w:val="20"/>
        </w:rPr>
        <w:t>&gt;.</w:t>
      </w:r>
    </w:p>
  </w:footnote>
  <w:footnote w:id="104">
    <w:p w:rsidR="00701CBA" w:rsidRPr="004F247D" w:rsidRDefault="00701CBA" w:rsidP="004F247D">
      <w:pPr>
        <w:pStyle w:val="NoSpacing"/>
        <w:rPr>
          <w:rFonts w:ascii="Arial" w:hAnsi="Arial" w:cs="Arial"/>
          <w:sz w:val="20"/>
        </w:rPr>
      </w:pPr>
      <w:r w:rsidRPr="0093790C">
        <w:rPr>
          <w:rStyle w:val="FootnoteReference"/>
          <w:rFonts w:ascii="Arial" w:hAnsi="Arial" w:cs="Arial"/>
          <w:sz w:val="20"/>
        </w:rPr>
        <w:footnoteRef/>
      </w:r>
      <w:r w:rsidRPr="0093790C">
        <w:rPr>
          <w:rFonts w:ascii="Arial" w:hAnsi="Arial" w:cs="Arial"/>
          <w:sz w:val="20"/>
        </w:rPr>
        <w:t xml:space="preserve"> People </w:t>
      </w:r>
      <w:proofErr w:type="gramStart"/>
      <w:r w:rsidRPr="0093790C">
        <w:rPr>
          <w:rFonts w:ascii="Arial" w:hAnsi="Arial" w:cs="Arial"/>
          <w:sz w:val="20"/>
        </w:rPr>
        <w:t>With</w:t>
      </w:r>
      <w:proofErr w:type="gramEnd"/>
      <w:r w:rsidRPr="0093790C">
        <w:rPr>
          <w:rFonts w:ascii="Arial" w:hAnsi="Arial" w:cs="Arial"/>
          <w:sz w:val="20"/>
        </w:rPr>
        <w:t xml:space="preserve"> Disability Australia, Submission,</w:t>
      </w:r>
      <w:r w:rsidRPr="0093790C">
        <w:rPr>
          <w:rFonts w:ascii="Arial" w:hAnsi="Arial" w:cs="Arial"/>
          <w:i/>
          <w:sz w:val="20"/>
        </w:rPr>
        <w:t xml:space="preserve"> National Human Rights Consultation</w:t>
      </w:r>
      <w:r w:rsidRPr="0093790C">
        <w:rPr>
          <w:rFonts w:ascii="Arial" w:hAnsi="Arial" w:cs="Arial"/>
          <w:sz w:val="20"/>
        </w:rPr>
        <w:t>, 2009, 30.</w:t>
      </w:r>
    </w:p>
  </w:footnote>
  <w:footnote w:id="10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For example, the </w:t>
      </w:r>
      <w:r w:rsidRPr="004F247D">
        <w:rPr>
          <w:rFonts w:ascii="Arial" w:hAnsi="Arial" w:cs="Arial"/>
          <w:i/>
          <w:sz w:val="20"/>
        </w:rPr>
        <w:t>Children and Young Persons (Care and Protection) Act 1998</w:t>
      </w:r>
      <w:r w:rsidRPr="004F247D">
        <w:rPr>
          <w:rFonts w:ascii="Arial" w:hAnsi="Arial" w:cs="Arial"/>
          <w:sz w:val="20"/>
        </w:rPr>
        <w:t xml:space="preserve"> (NSW)</w:t>
      </w:r>
    </w:p>
  </w:footnote>
  <w:footnote w:id="10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Report of the Special Rapporteur on torture and other cruel, inhuman or degrading treatment or punishment, Juan E. Méndez, A/HRC/22/53/Add.5, page 3.</w:t>
      </w:r>
    </w:p>
  </w:footnote>
  <w:footnote w:id="107">
    <w:p w:rsidR="00701CBA" w:rsidRPr="004F247D" w:rsidRDefault="00701CBA" w:rsidP="004F247D">
      <w:pPr>
        <w:pStyle w:val="NoSpacing"/>
        <w:rPr>
          <w:rFonts w:ascii="Arial" w:hAnsi="Arial" w:cs="Arial"/>
          <w:sz w:val="20"/>
          <w:lang w:eastAsia="en-AU"/>
        </w:rPr>
      </w:pPr>
      <w:r w:rsidRPr="004F247D">
        <w:rPr>
          <w:rStyle w:val="FootnoteReference"/>
          <w:rFonts w:ascii="Arial" w:hAnsi="Arial" w:cs="Arial"/>
          <w:sz w:val="20"/>
        </w:rPr>
        <w:footnoteRef/>
      </w:r>
      <w:r w:rsidRPr="004F247D">
        <w:rPr>
          <w:rFonts w:ascii="Arial" w:hAnsi="Arial" w:cs="Arial"/>
          <w:sz w:val="20"/>
          <w:lang w:eastAsia="en-AU"/>
        </w:rPr>
        <w:t xml:space="preserve"> Human Rights Committee, </w:t>
      </w:r>
      <w:r w:rsidRPr="004F247D">
        <w:rPr>
          <w:rFonts w:ascii="Arial" w:hAnsi="Arial" w:cs="Arial"/>
          <w:i/>
          <w:sz w:val="20"/>
          <w:lang w:eastAsia="en-AU"/>
        </w:rPr>
        <w:t>General Comment No 13: The Right of the Child to Freedom from All Forms of Violence</w:t>
      </w:r>
      <w:r w:rsidRPr="004F247D">
        <w:rPr>
          <w:rFonts w:ascii="Arial" w:hAnsi="Arial" w:cs="Arial"/>
          <w:sz w:val="20"/>
          <w:lang w:eastAsia="en-AU"/>
        </w:rPr>
        <w:t>, UN Doc CRC/C/GC/13 (18 April 2011) [16], [21].</w:t>
      </w:r>
    </w:p>
  </w:footnote>
  <w:footnote w:id="108">
    <w:p w:rsidR="00701CBA" w:rsidRPr="004F247D" w:rsidRDefault="00701CBA" w:rsidP="004F247D">
      <w:pPr>
        <w:pStyle w:val="NoSpacing"/>
        <w:rPr>
          <w:rFonts w:ascii="Arial" w:hAnsi="Arial" w:cs="Arial"/>
          <w:sz w:val="20"/>
          <w:lang w:eastAsia="en-AU"/>
        </w:rPr>
      </w:pPr>
      <w:r w:rsidRPr="004F247D">
        <w:rPr>
          <w:rStyle w:val="FootnoteReference"/>
          <w:rFonts w:ascii="Arial" w:hAnsi="Arial" w:cs="Arial"/>
          <w:sz w:val="20"/>
        </w:rPr>
        <w:footnoteRef/>
      </w:r>
      <w:r w:rsidRPr="004F247D">
        <w:rPr>
          <w:rFonts w:ascii="Arial" w:hAnsi="Arial" w:cs="Arial"/>
          <w:sz w:val="20"/>
          <w:lang w:eastAsia="en-AU"/>
        </w:rPr>
        <w:t xml:space="preserve"> </w:t>
      </w:r>
      <w:r w:rsidRPr="004F247D">
        <w:rPr>
          <w:rFonts w:ascii="Arial" w:hAnsi="Arial" w:cs="Arial"/>
          <w:sz w:val="20"/>
        </w:rPr>
        <w:t>Committee on the Rights of the Child,</w:t>
      </w:r>
      <w:r w:rsidRPr="004F247D">
        <w:rPr>
          <w:rFonts w:ascii="Arial" w:hAnsi="Arial" w:cs="Arial"/>
          <w:i/>
          <w:sz w:val="20"/>
        </w:rPr>
        <w:t xml:space="preserve"> </w:t>
      </w:r>
      <w:r w:rsidRPr="004F247D">
        <w:rPr>
          <w:rFonts w:ascii="Arial" w:hAnsi="Arial" w:cs="Arial"/>
          <w:sz w:val="20"/>
        </w:rPr>
        <w:t xml:space="preserve">above n </w:t>
      </w:r>
      <w:r w:rsidRPr="004F247D">
        <w:rPr>
          <w:rFonts w:ascii="Arial" w:hAnsi="Arial" w:cs="Arial"/>
          <w:sz w:val="20"/>
        </w:rPr>
        <w:fldChar w:fldCharType="begin"/>
      </w:r>
      <w:r w:rsidRPr="004F247D">
        <w:rPr>
          <w:rFonts w:ascii="Arial" w:hAnsi="Arial" w:cs="Arial"/>
          <w:sz w:val="20"/>
        </w:rPr>
        <w:instrText xml:space="preserve"> NOTEREF _Ref321406610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130</w:t>
      </w:r>
      <w:r w:rsidRPr="004F247D">
        <w:rPr>
          <w:rFonts w:ascii="Arial" w:hAnsi="Arial" w:cs="Arial"/>
          <w:sz w:val="20"/>
        </w:rPr>
        <w:fldChar w:fldCharType="end"/>
      </w:r>
      <w:r w:rsidRPr="004F247D">
        <w:rPr>
          <w:rFonts w:ascii="Arial" w:hAnsi="Arial" w:cs="Arial"/>
          <w:sz w:val="20"/>
        </w:rPr>
        <w:t xml:space="preserve"> [46]; CEDAW Committee, above [43].</w:t>
      </w:r>
    </w:p>
    <w:p w:rsidR="00701CBA" w:rsidRPr="004F247D" w:rsidRDefault="00701CBA" w:rsidP="004F247D">
      <w:pPr>
        <w:pStyle w:val="NoSpacing"/>
        <w:rPr>
          <w:rFonts w:ascii="Arial" w:hAnsi="Arial" w:cs="Arial"/>
          <w:sz w:val="20"/>
        </w:rPr>
      </w:pPr>
      <w:r w:rsidRPr="004F247D">
        <w:rPr>
          <w:rFonts w:ascii="Arial" w:hAnsi="Arial" w:cs="Arial"/>
          <w:sz w:val="20"/>
          <w:lang w:eastAsia="en-AU"/>
        </w:rPr>
        <w:t xml:space="preserve">Committee on the Rights of the Child, </w:t>
      </w:r>
      <w:r w:rsidRPr="004F247D">
        <w:rPr>
          <w:rFonts w:ascii="Arial" w:hAnsi="Arial" w:cs="Arial"/>
          <w:i/>
          <w:sz w:val="20"/>
          <w:lang w:eastAsia="en-AU"/>
        </w:rPr>
        <w:t>Concluding Observations</w:t>
      </w:r>
      <w:r w:rsidRPr="004F247D">
        <w:rPr>
          <w:rFonts w:ascii="Arial" w:hAnsi="Arial" w:cs="Arial"/>
          <w:sz w:val="20"/>
          <w:lang w:eastAsia="en-AU"/>
        </w:rPr>
        <w:t xml:space="preserve">, Australia, September 2005, paragraph 46 </w:t>
      </w:r>
    </w:p>
  </w:footnote>
  <w:footnote w:id="109">
    <w:p w:rsidR="00701CBA" w:rsidRPr="004F247D" w:rsidRDefault="00701CBA" w:rsidP="004F247D">
      <w:pPr>
        <w:pStyle w:val="NoSpacing"/>
        <w:rPr>
          <w:rFonts w:ascii="Arial" w:eastAsia="SimSun" w:hAnsi="Arial" w:cs="Arial"/>
          <w:sz w:val="20"/>
          <w:lang w:eastAsia="zh-CN"/>
        </w:rPr>
      </w:pPr>
      <w:r w:rsidRPr="004F247D">
        <w:rPr>
          <w:rStyle w:val="FootnoteReference"/>
          <w:rFonts w:ascii="Arial" w:hAnsi="Arial" w:cs="Arial"/>
          <w:sz w:val="20"/>
        </w:rPr>
        <w:footnoteRef/>
      </w:r>
      <w:r w:rsidRPr="004F247D">
        <w:rPr>
          <w:rFonts w:ascii="Arial" w:eastAsia="SimSun" w:hAnsi="Arial" w:cs="Arial"/>
          <w:sz w:val="20"/>
          <w:lang w:eastAsia="zh-CN"/>
        </w:rPr>
        <w:t xml:space="preserve"> Human Rights Council, </w:t>
      </w:r>
      <w:r w:rsidRPr="004F247D">
        <w:rPr>
          <w:rFonts w:ascii="Arial" w:eastAsia="SimSun" w:hAnsi="Arial" w:cs="Arial"/>
          <w:i/>
          <w:sz w:val="20"/>
          <w:lang w:eastAsia="zh-CN"/>
        </w:rPr>
        <w:t>Draft Report of the Working Group on the Universal Periodic Review</w:t>
      </w:r>
      <w:r w:rsidRPr="004F247D">
        <w:rPr>
          <w:rFonts w:ascii="Arial" w:eastAsia="SimSun" w:hAnsi="Arial" w:cs="Arial"/>
          <w:sz w:val="20"/>
          <w:lang w:eastAsia="zh-CN"/>
        </w:rPr>
        <w:t>, Australia, 3 February 2011, recommendation 86.39, 15.</w:t>
      </w:r>
    </w:p>
  </w:footnote>
  <w:footnote w:id="110">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sz w:val="20"/>
        </w:rPr>
        <w:footnoteRef/>
      </w:r>
      <w:r w:rsidRPr="004F247D">
        <w:rPr>
          <w:rFonts w:ascii="Arial" w:hAnsi="Arial" w:cs="Arial"/>
          <w:sz w:val="20"/>
        </w:rPr>
        <w:t xml:space="preserve"> </w:t>
      </w:r>
      <w:r w:rsidRPr="004F247D">
        <w:rPr>
          <w:rFonts w:ascii="Arial" w:hAnsi="Arial" w:cs="Arial"/>
          <w:color w:val="auto"/>
          <w:sz w:val="20"/>
        </w:rPr>
        <w:t xml:space="preserve">Paul Osborne, ‘Disabled Girl can be Sterilised: Court’, </w:t>
      </w:r>
      <w:r w:rsidRPr="004F247D">
        <w:rPr>
          <w:rFonts w:ascii="Arial" w:hAnsi="Arial" w:cs="Arial"/>
          <w:i/>
          <w:color w:val="auto"/>
          <w:sz w:val="20"/>
        </w:rPr>
        <w:t>Sydney Morning Herald</w:t>
      </w:r>
      <w:r w:rsidRPr="004F247D">
        <w:rPr>
          <w:rFonts w:ascii="Arial" w:hAnsi="Arial" w:cs="Arial"/>
          <w:color w:val="auto"/>
          <w:sz w:val="20"/>
        </w:rPr>
        <w:t xml:space="preserve"> (Sydney), 9 March 2010 &lt;</w:t>
      </w:r>
      <w:hyperlink r:id="rId35" w:history="1">
        <w:r w:rsidRPr="004F247D">
          <w:rPr>
            <w:rStyle w:val="Hyperlink"/>
            <w:rFonts w:ascii="Arial" w:hAnsi="Arial" w:cs="Arial"/>
            <w:sz w:val="20"/>
          </w:rPr>
          <w:t>http://news.smh.com.au/breaking-news-national/disabled-girl-can-be-sterilised-court-20100309-pu6l.html</w:t>
        </w:r>
      </w:hyperlink>
      <w:r w:rsidRPr="004F247D">
        <w:rPr>
          <w:rFonts w:ascii="Arial" w:hAnsi="Arial" w:cs="Arial"/>
          <w:color w:val="auto"/>
          <w:sz w:val="20"/>
        </w:rPr>
        <w:t>&gt;.</w:t>
      </w:r>
    </w:p>
  </w:footnote>
  <w:footnote w:id="11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r w:rsidRPr="004F247D">
        <w:rPr>
          <w:rFonts w:ascii="Arial" w:hAnsi="Arial" w:cs="Arial"/>
          <w:i/>
          <w:sz w:val="20"/>
        </w:rPr>
        <w:t xml:space="preserve">Case: </w:t>
      </w:r>
      <w:proofErr w:type="spellStart"/>
      <w:r w:rsidRPr="004F247D">
        <w:rPr>
          <w:rFonts w:ascii="Arial" w:hAnsi="Arial" w:cs="Arial"/>
          <w:i/>
          <w:sz w:val="20"/>
        </w:rPr>
        <w:t>Re</w:t>
      </w:r>
      <w:proofErr w:type="gramStart"/>
      <w:r w:rsidRPr="004F247D">
        <w:rPr>
          <w:rFonts w:ascii="Arial" w:hAnsi="Arial" w:cs="Arial"/>
          <w:i/>
          <w:sz w:val="20"/>
        </w:rPr>
        <w:t>:Angela</w:t>
      </w:r>
      <w:proofErr w:type="spellEnd"/>
      <w:proofErr w:type="gramEnd"/>
      <w:r w:rsidRPr="004F247D">
        <w:rPr>
          <w:rFonts w:ascii="Arial" w:hAnsi="Arial" w:cs="Arial"/>
          <w:sz w:val="20"/>
        </w:rPr>
        <w:t xml:space="preserve"> [2010] </w:t>
      </w:r>
      <w:proofErr w:type="spellStart"/>
      <w:r w:rsidRPr="004F247D">
        <w:rPr>
          <w:rFonts w:ascii="Arial" w:hAnsi="Arial" w:cs="Arial"/>
          <w:sz w:val="20"/>
        </w:rPr>
        <w:t>FamCA</w:t>
      </w:r>
      <w:proofErr w:type="spellEnd"/>
      <w:r w:rsidRPr="004F247D">
        <w:rPr>
          <w:rFonts w:ascii="Arial" w:hAnsi="Arial" w:cs="Arial"/>
          <w:sz w:val="20"/>
        </w:rPr>
        <w:t xml:space="preserve"> 98 (16 February 2010 [50].</w:t>
      </w:r>
    </w:p>
  </w:footnote>
  <w:footnote w:id="112">
    <w:p w:rsidR="00701CBA" w:rsidRPr="004F247D" w:rsidRDefault="00701CBA" w:rsidP="004F247D">
      <w:pPr>
        <w:pStyle w:val="NoSpacing"/>
        <w:rPr>
          <w:rFonts w:ascii="Arial" w:eastAsia="Calibri" w:hAnsi="Arial" w:cs="Arial"/>
          <w:sz w:val="20"/>
        </w:rPr>
      </w:pPr>
      <w:r w:rsidRPr="004F247D">
        <w:rPr>
          <w:rStyle w:val="FootnoteReference"/>
          <w:rFonts w:ascii="Arial" w:hAnsi="Arial" w:cs="Arial"/>
          <w:sz w:val="20"/>
        </w:rPr>
        <w:footnoteRef/>
      </w:r>
      <w:r w:rsidRPr="004F247D">
        <w:rPr>
          <w:rFonts w:ascii="Arial" w:hAnsi="Arial" w:cs="Arial"/>
          <w:sz w:val="20"/>
        </w:rPr>
        <w:t xml:space="preserve"> Available at: </w:t>
      </w:r>
      <w:hyperlink r:id="rId36" w:history="1">
        <w:r w:rsidRPr="004F247D">
          <w:rPr>
            <w:rStyle w:val="Hyperlink"/>
            <w:rFonts w:ascii="Arial" w:hAnsi="Arial" w:cs="Arial"/>
            <w:sz w:val="20"/>
          </w:rPr>
          <w:t>http://www.aph.gov.au/Parliamentary_Business/Committees/Senate_Committees?url=clac_ctte/involuntary_sterilisation/first_report/index.htm</w:t>
        </w:r>
      </w:hyperlink>
      <w:r w:rsidRPr="004F247D">
        <w:rPr>
          <w:rFonts w:ascii="Arial" w:hAnsi="Arial" w:cs="Arial"/>
          <w:sz w:val="20"/>
        </w:rPr>
        <w:t xml:space="preserve"> </w:t>
      </w:r>
    </w:p>
  </w:footnote>
  <w:footnote w:id="11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See UN Docs: CRC/C/AUS/CO/4; A/HRC/WG.6/10/L; CEDAW/C/AUS/CO/7; CRC/C/15/Add.268; A/67/227; A/HRC/22/53. See also: FIGO (International Federation of </w:t>
      </w:r>
      <w:proofErr w:type="spellStart"/>
      <w:r w:rsidRPr="004F247D">
        <w:rPr>
          <w:rFonts w:ascii="Arial" w:hAnsi="Arial" w:cs="Arial"/>
          <w:sz w:val="20"/>
        </w:rPr>
        <w:t>Gynecology</w:t>
      </w:r>
      <w:proofErr w:type="spellEnd"/>
      <w:r w:rsidRPr="004F247D">
        <w:rPr>
          <w:rFonts w:ascii="Arial" w:hAnsi="Arial" w:cs="Arial"/>
          <w:sz w:val="20"/>
        </w:rPr>
        <w:t xml:space="preserve"> and Obstetrics), </w:t>
      </w:r>
      <w:r w:rsidRPr="004F247D">
        <w:rPr>
          <w:rFonts w:ascii="Arial" w:hAnsi="Arial" w:cs="Arial"/>
          <w:i/>
          <w:sz w:val="20"/>
        </w:rPr>
        <w:t>Female Contraceptive Sterilization</w:t>
      </w:r>
      <w:r w:rsidRPr="004F247D">
        <w:rPr>
          <w:rFonts w:ascii="Arial" w:hAnsi="Arial" w:cs="Arial"/>
          <w:sz w:val="20"/>
        </w:rPr>
        <w:t xml:space="preserve">. Available at: </w:t>
      </w:r>
      <w:hyperlink r:id="rId37" w:history="1">
        <w:r w:rsidRPr="004F247D">
          <w:rPr>
            <w:rStyle w:val="Hyperlink"/>
            <w:rFonts w:ascii="Arial" w:hAnsi="Arial" w:cs="Arial"/>
            <w:sz w:val="20"/>
          </w:rPr>
          <w:t>http://www.wwda.org.au/FIGOGuidelines2011.pdf</w:t>
        </w:r>
      </w:hyperlink>
      <w:r w:rsidRPr="004F247D">
        <w:rPr>
          <w:rFonts w:ascii="Arial" w:hAnsi="Arial" w:cs="Arial"/>
          <w:sz w:val="20"/>
        </w:rPr>
        <w:t xml:space="preserve">   </w:t>
      </w:r>
    </w:p>
  </w:footnote>
  <w:footnote w:id="11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Juan Mendez, 22</w:t>
      </w:r>
      <w:r w:rsidRPr="004F247D">
        <w:rPr>
          <w:rFonts w:ascii="Arial" w:hAnsi="Arial" w:cs="Arial"/>
          <w:sz w:val="20"/>
          <w:vertAlign w:val="superscript"/>
        </w:rPr>
        <w:t>nd</w:t>
      </w:r>
      <w:r w:rsidRPr="004F247D">
        <w:rPr>
          <w:rFonts w:ascii="Arial" w:hAnsi="Arial" w:cs="Arial"/>
          <w:sz w:val="20"/>
        </w:rPr>
        <w:t xml:space="preserve"> session of Human Rights Council, 4 March 2013, page 4.</w:t>
      </w:r>
    </w:p>
  </w:footnote>
  <w:footnote w:id="11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(A/HRC/14/20, para. 23)</w:t>
      </w:r>
    </w:p>
  </w:footnote>
  <w:footnote w:id="116">
    <w:p w:rsidR="00701CBA" w:rsidRPr="004F247D" w:rsidRDefault="00701CBA" w:rsidP="00613045">
      <w:pPr>
        <w:pStyle w:val="NoSpacing"/>
        <w:rPr>
          <w:rFonts w:ascii="Arial" w:hAnsi="Arial" w:cs="Arial"/>
          <w:sz w:val="20"/>
          <w:lang w:val="en-US"/>
        </w:rPr>
      </w:pPr>
      <w:r w:rsidRPr="004F247D">
        <w:rPr>
          <w:rStyle w:val="FootnoteReference"/>
          <w:rFonts w:ascii="Arial" w:hAnsi="Arial" w:cs="Arial"/>
          <w:sz w:val="20"/>
        </w:rPr>
        <w:footnoteRef/>
      </w:r>
      <w:r w:rsidRPr="004F247D">
        <w:rPr>
          <w:rFonts w:ascii="Arial" w:hAnsi="Arial" w:cs="Arial"/>
          <w:sz w:val="20"/>
        </w:rPr>
        <w:t xml:space="preserve"> </w:t>
      </w:r>
      <w:r w:rsidRPr="004F247D">
        <w:rPr>
          <w:rFonts w:ascii="Arial" w:hAnsi="Arial" w:cs="Arial"/>
          <w:sz w:val="20"/>
          <w:lang w:val="en-US"/>
        </w:rPr>
        <w:t xml:space="preserve">Senate of Australia (2013) </w:t>
      </w:r>
      <w:r w:rsidRPr="004F247D">
        <w:rPr>
          <w:rFonts w:ascii="Arial" w:hAnsi="Arial" w:cs="Arial"/>
          <w:i/>
          <w:sz w:val="20"/>
        </w:rPr>
        <w:t>Involuntary or coerced sterilisation of intersex people in Australia</w:t>
      </w:r>
      <w:r w:rsidRPr="004F247D">
        <w:rPr>
          <w:rFonts w:ascii="Arial" w:hAnsi="Arial" w:cs="Arial"/>
          <w:sz w:val="20"/>
        </w:rPr>
        <w:t xml:space="preserve">, report of the </w:t>
      </w:r>
      <w:r w:rsidRPr="004F247D">
        <w:rPr>
          <w:rFonts w:ascii="Arial" w:hAnsi="Arial" w:cs="Arial"/>
          <w:sz w:val="20"/>
          <w:lang w:val="en-US"/>
        </w:rPr>
        <w:t xml:space="preserve">Community Affairs References Committee, </w:t>
      </w:r>
      <w:hyperlink r:id="rId38" w:history="1">
        <w:r w:rsidRPr="004F247D">
          <w:rPr>
            <w:rStyle w:val="Hyperlink"/>
            <w:rFonts w:ascii="Arial" w:hAnsi="Arial" w:cs="Arial"/>
            <w:sz w:val="20"/>
            <w:lang w:val="en-US"/>
          </w:rPr>
          <w:t>http://www.aph.gov.au/Parliamentary_Business/Committees/Senate/Community_Affairs/Involuntary_Sterilisation/Sec_Report/index</w:t>
        </w:r>
      </w:hyperlink>
      <w:r w:rsidRPr="004F247D">
        <w:rPr>
          <w:rFonts w:ascii="Arial" w:hAnsi="Arial" w:cs="Arial"/>
          <w:sz w:val="20"/>
          <w:lang w:val="en-US"/>
        </w:rPr>
        <w:t>, accessed 25 October 2013.</w:t>
      </w:r>
    </w:p>
  </w:footnote>
  <w:footnote w:id="117">
    <w:p w:rsidR="00701CBA" w:rsidRPr="004F247D" w:rsidRDefault="00701CBA" w:rsidP="004F247D">
      <w:pPr>
        <w:pStyle w:val="NoSpacing"/>
        <w:rPr>
          <w:rFonts w:ascii="Arial" w:hAnsi="Arial" w:cs="Arial"/>
          <w:color w:val="auto"/>
          <w:sz w:val="20"/>
          <w:lang w:val="en-US"/>
        </w:rPr>
      </w:pPr>
      <w:r w:rsidRPr="004F247D">
        <w:rPr>
          <w:rStyle w:val="FootnoteReference"/>
          <w:rFonts w:ascii="Arial" w:hAnsi="Arial" w:cs="Arial"/>
          <w:color w:val="auto"/>
          <w:sz w:val="20"/>
        </w:rPr>
        <w:footnoteRef/>
      </w:r>
      <w:r w:rsidRPr="004F247D">
        <w:rPr>
          <w:rFonts w:ascii="Arial" w:hAnsi="Arial" w:cs="Arial"/>
          <w:color w:val="auto"/>
          <w:sz w:val="20"/>
        </w:rPr>
        <w:t xml:space="preserve"> Submission by attendee at the CRPD Shadow Report consultation in Perth, WA (30 November 2009).</w:t>
      </w:r>
    </w:p>
  </w:footnote>
  <w:footnote w:id="118">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NSW Bar Association, ‘Does Australia Need A Bill of Rights?’ (Lecture, undated) 34 &lt;</w:t>
      </w:r>
      <w:hyperlink r:id="rId39" w:history="1">
        <w:r w:rsidRPr="004F247D">
          <w:rPr>
            <w:rStyle w:val="Hyperlink"/>
            <w:rFonts w:ascii="Arial" w:hAnsi="Arial" w:cs="Arial"/>
            <w:sz w:val="20"/>
          </w:rPr>
          <w:t>www.nswbar.asn.au/docs/resources/lectures/bill_rights.pdf</w:t>
        </w:r>
      </w:hyperlink>
      <w:r w:rsidRPr="004F247D">
        <w:rPr>
          <w:rFonts w:ascii="Arial" w:hAnsi="Arial" w:cs="Arial"/>
          <w:color w:val="auto"/>
          <w:sz w:val="20"/>
        </w:rPr>
        <w:t>&gt;.</w:t>
      </w:r>
    </w:p>
  </w:footnote>
  <w:footnote w:id="11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Committee against Torture, </w:t>
      </w:r>
      <w:r w:rsidRPr="004F247D">
        <w:rPr>
          <w:rFonts w:ascii="Arial" w:hAnsi="Arial" w:cs="Arial"/>
          <w:i/>
          <w:sz w:val="20"/>
          <w:lang w:val="en-US"/>
        </w:rPr>
        <w:t>Concluding Observations of the Committee against Torture: Australia</w:t>
      </w:r>
      <w:r w:rsidRPr="004F247D">
        <w:rPr>
          <w:rFonts w:ascii="Arial" w:hAnsi="Arial" w:cs="Arial"/>
          <w:sz w:val="20"/>
          <w:lang w:val="en-US"/>
        </w:rPr>
        <w:t>, 40</w:t>
      </w:r>
      <w:r w:rsidRPr="004F247D">
        <w:rPr>
          <w:rFonts w:ascii="Arial" w:hAnsi="Arial" w:cs="Arial"/>
          <w:sz w:val="20"/>
          <w:vertAlign w:val="superscript"/>
          <w:lang w:val="en-US"/>
        </w:rPr>
        <w:t>th</w:t>
      </w:r>
      <w:r w:rsidRPr="004F247D">
        <w:rPr>
          <w:rFonts w:ascii="Arial" w:hAnsi="Arial" w:cs="Arial"/>
          <w:sz w:val="20"/>
          <w:lang w:val="en-US"/>
        </w:rPr>
        <w:t xml:space="preserve"> </w:t>
      </w:r>
      <w:proofErr w:type="spellStart"/>
      <w:r w:rsidRPr="004F247D">
        <w:rPr>
          <w:rFonts w:ascii="Arial" w:hAnsi="Arial" w:cs="Arial"/>
          <w:sz w:val="20"/>
          <w:lang w:val="en-US"/>
        </w:rPr>
        <w:t>sess</w:t>
      </w:r>
      <w:proofErr w:type="spellEnd"/>
      <w:r w:rsidRPr="004F247D">
        <w:rPr>
          <w:rFonts w:ascii="Arial" w:hAnsi="Arial" w:cs="Arial"/>
          <w:sz w:val="20"/>
          <w:lang w:val="en-US"/>
        </w:rPr>
        <w:t xml:space="preserve">, UN Doc CAT/C/AUS/CO/3 (22 May 2008) para </w:t>
      </w:r>
    </w:p>
  </w:footnote>
  <w:footnote w:id="12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Aboriginal Disability Justice Campaign, ‘Position Statement on the Inappropriate Incarceration of Aboriginal People with Cognitive Impairment’, (Position Paper, People </w:t>
      </w:r>
      <w:proofErr w:type="gramStart"/>
      <w:r w:rsidRPr="004F247D">
        <w:rPr>
          <w:rFonts w:ascii="Arial" w:hAnsi="Arial" w:cs="Arial"/>
          <w:sz w:val="20"/>
        </w:rPr>
        <w:t>With</w:t>
      </w:r>
      <w:proofErr w:type="gramEnd"/>
      <w:r w:rsidRPr="004F247D">
        <w:rPr>
          <w:rFonts w:ascii="Arial" w:hAnsi="Arial" w:cs="Arial"/>
          <w:sz w:val="20"/>
        </w:rPr>
        <w:t xml:space="preserve"> Disability Australia, October 2008) &lt;</w:t>
      </w:r>
      <w:hyperlink r:id="rId40" w:history="1">
        <w:r w:rsidRPr="004F247D">
          <w:rPr>
            <w:rStyle w:val="Hyperlink"/>
            <w:rFonts w:ascii="Arial" w:hAnsi="Arial" w:cs="Arial"/>
            <w:sz w:val="20"/>
          </w:rPr>
          <w:t>www.pwd.org.au/systemic/adjc.html</w:t>
        </w:r>
      </w:hyperlink>
      <w:r w:rsidRPr="004F247D">
        <w:rPr>
          <w:rFonts w:ascii="Arial" w:hAnsi="Arial" w:cs="Arial"/>
          <w:sz w:val="20"/>
        </w:rPr>
        <w:t>&gt;.</w:t>
      </w:r>
    </w:p>
  </w:footnote>
  <w:footnote w:id="12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Michael </w:t>
      </w:r>
      <w:proofErr w:type="spellStart"/>
      <w:r w:rsidRPr="004F247D">
        <w:rPr>
          <w:rFonts w:ascii="Arial" w:hAnsi="Arial" w:cs="Arial"/>
          <w:sz w:val="20"/>
        </w:rPr>
        <w:t>Brull</w:t>
      </w:r>
      <w:proofErr w:type="spellEnd"/>
      <w:r w:rsidRPr="004F247D">
        <w:rPr>
          <w:rFonts w:ascii="Arial" w:hAnsi="Arial" w:cs="Arial"/>
          <w:sz w:val="20"/>
        </w:rPr>
        <w:t xml:space="preserve">, ‘The sad story of Marlon Noble’ on ABC Ramp Up, </w:t>
      </w:r>
      <w:r w:rsidRPr="004F247D">
        <w:rPr>
          <w:rFonts w:ascii="Arial" w:hAnsi="Arial" w:cs="Arial"/>
          <w:i/>
          <w:sz w:val="20"/>
        </w:rPr>
        <w:t xml:space="preserve">Ramp Up </w:t>
      </w:r>
      <w:r w:rsidRPr="004F247D">
        <w:rPr>
          <w:rFonts w:ascii="Arial" w:hAnsi="Arial" w:cs="Arial"/>
          <w:sz w:val="20"/>
        </w:rPr>
        <w:t>(9 December 2011) &lt;</w:t>
      </w:r>
      <w:hyperlink r:id="rId41" w:history="1">
        <w:r w:rsidRPr="004F247D">
          <w:rPr>
            <w:rStyle w:val="Hyperlink"/>
            <w:rFonts w:ascii="Arial" w:hAnsi="Arial" w:cs="Arial"/>
            <w:sz w:val="20"/>
          </w:rPr>
          <w:t>www.abc.net.au/rampup/articles/2011/12/09/3387845.htm</w:t>
        </w:r>
      </w:hyperlink>
      <w:r w:rsidRPr="004F247D">
        <w:rPr>
          <w:rFonts w:ascii="Arial" w:hAnsi="Arial" w:cs="Arial"/>
          <w:sz w:val="20"/>
        </w:rPr>
        <w:t>&gt;.</w:t>
      </w:r>
    </w:p>
  </w:footnote>
  <w:footnote w:id="12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Individual advocacy client of a national disabled person’s organisation. </w:t>
      </w:r>
    </w:p>
  </w:footnote>
  <w:footnote w:id="12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Phillip French, ‘Disabled Justice’, above n </w:t>
      </w:r>
      <w:r w:rsidRPr="004F247D">
        <w:rPr>
          <w:rFonts w:ascii="Arial" w:hAnsi="Arial" w:cs="Arial"/>
          <w:sz w:val="20"/>
        </w:rPr>
        <w:fldChar w:fldCharType="begin"/>
      </w:r>
      <w:r w:rsidRPr="004F247D">
        <w:rPr>
          <w:rFonts w:ascii="Arial" w:hAnsi="Arial" w:cs="Arial"/>
          <w:sz w:val="20"/>
        </w:rPr>
        <w:instrText xml:space="preserve"> NOTEREF _Ref321400017 \h  \* MERGEFORMAT </w:instrText>
      </w:r>
      <w:r w:rsidRPr="004F247D">
        <w:rPr>
          <w:rFonts w:ascii="Arial" w:hAnsi="Arial" w:cs="Arial"/>
          <w:sz w:val="20"/>
        </w:rPr>
        <w:fldChar w:fldCharType="separate"/>
      </w:r>
      <w:r w:rsidR="006B5D55">
        <w:rPr>
          <w:rFonts w:ascii="Arial" w:hAnsi="Arial" w:cs="Arial"/>
          <w:b/>
          <w:bCs/>
          <w:sz w:val="20"/>
          <w:lang w:val="en-US"/>
        </w:rPr>
        <w:t>Error! Bookmark not defined.</w:t>
      </w:r>
      <w:r w:rsidRPr="004F247D">
        <w:rPr>
          <w:rFonts w:ascii="Arial" w:hAnsi="Arial" w:cs="Arial"/>
          <w:sz w:val="20"/>
        </w:rPr>
        <w:fldChar w:fldCharType="end"/>
      </w:r>
      <w:r w:rsidRPr="004F247D">
        <w:rPr>
          <w:rFonts w:ascii="Arial" w:hAnsi="Arial" w:cs="Arial"/>
          <w:sz w:val="20"/>
        </w:rPr>
        <w:t>.</w:t>
      </w:r>
    </w:p>
  </w:footnote>
  <w:footnote w:id="124">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Redfern Legal Centre, Submission: ‘PWD and the Violation of their Procedural and Substantive Rights — Case Studies’, </w:t>
      </w:r>
      <w:r w:rsidRPr="004F247D">
        <w:rPr>
          <w:rFonts w:ascii="Arial" w:hAnsi="Arial" w:cs="Arial"/>
          <w:i/>
          <w:sz w:val="20"/>
        </w:rPr>
        <w:t>CRPD Shadow Report</w:t>
      </w:r>
      <w:r w:rsidRPr="004F247D">
        <w:rPr>
          <w:rFonts w:ascii="Arial" w:hAnsi="Arial" w:cs="Arial"/>
          <w:sz w:val="20"/>
        </w:rPr>
        <w:t>, 2010, 2.</w:t>
      </w:r>
    </w:p>
  </w:footnote>
  <w:footnote w:id="125">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Committee against Torture, </w:t>
      </w:r>
      <w:r w:rsidRPr="004F247D">
        <w:rPr>
          <w:rFonts w:ascii="Arial" w:hAnsi="Arial" w:cs="Arial"/>
          <w:i/>
          <w:sz w:val="20"/>
        </w:rPr>
        <w:t>Concluding Observations of the Committee against Torture: Australia</w:t>
      </w:r>
      <w:r w:rsidRPr="004F247D">
        <w:rPr>
          <w:rFonts w:ascii="Arial" w:hAnsi="Arial" w:cs="Arial"/>
          <w:sz w:val="20"/>
        </w:rPr>
        <w:t>, 40</w:t>
      </w:r>
      <w:r w:rsidRPr="004F247D">
        <w:rPr>
          <w:rFonts w:ascii="Arial" w:hAnsi="Arial" w:cs="Arial"/>
          <w:sz w:val="20"/>
          <w:vertAlign w:val="superscript"/>
        </w:rPr>
        <w:t>th</w:t>
      </w:r>
      <w:r w:rsidRPr="004F247D">
        <w:rPr>
          <w:rFonts w:ascii="Arial" w:hAnsi="Arial" w:cs="Arial"/>
          <w:sz w:val="20"/>
        </w:rPr>
        <w:t xml:space="preserve"> sess, UN Doc CAT/C/AUS/CO/1 (22 May 2008) para 23.</w:t>
      </w:r>
    </w:p>
  </w:footnote>
  <w:footnote w:id="12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NSW Law Reform Commission, ‘People with Cognitive and Mental Health Impairments in the Criminal Justice System: An Overview’ (Consultation Paper No 5, January 2010) 13–15.</w:t>
      </w:r>
    </w:p>
  </w:footnote>
  <w:footnote w:id="12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Phillip French, ‘Disabled Justice’, above n, 25</w:t>
      </w:r>
    </w:p>
  </w:footnote>
  <w:footnote w:id="12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See &lt;</w:t>
      </w:r>
      <w:hyperlink r:id="rId42" w:history="1">
        <w:r w:rsidRPr="004F247D">
          <w:rPr>
            <w:rStyle w:val="Hyperlink"/>
            <w:rFonts w:ascii="Arial" w:hAnsi="Arial" w:cs="Arial"/>
            <w:sz w:val="20"/>
          </w:rPr>
          <w:t>www.sistersinside.com.au</w:t>
        </w:r>
      </w:hyperlink>
      <w:r w:rsidRPr="004F247D">
        <w:rPr>
          <w:rFonts w:ascii="Arial" w:hAnsi="Arial" w:cs="Arial"/>
          <w:sz w:val="20"/>
        </w:rPr>
        <w:t>&gt;.</w:t>
      </w:r>
    </w:p>
  </w:footnote>
  <w:footnote w:id="12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Senate Select Committee on Regional and Remote Indigenous Communities, Parliament of Australia, </w:t>
      </w:r>
      <w:r w:rsidRPr="004F247D">
        <w:rPr>
          <w:rFonts w:ascii="Arial" w:hAnsi="Arial" w:cs="Arial"/>
          <w:i/>
          <w:sz w:val="20"/>
        </w:rPr>
        <w:t>Indigenous Australians, Incarceration and the Criminal Justice System</w:t>
      </w:r>
      <w:r w:rsidRPr="004F247D">
        <w:rPr>
          <w:rFonts w:ascii="Arial" w:hAnsi="Arial" w:cs="Arial"/>
          <w:sz w:val="20"/>
        </w:rPr>
        <w:t xml:space="preserve"> (March 2010) 5.</w:t>
      </w:r>
    </w:p>
  </w:footnote>
  <w:footnote w:id="13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Committee on the Rights of the Child, </w:t>
      </w:r>
      <w:r w:rsidRPr="004F247D">
        <w:rPr>
          <w:rFonts w:ascii="Arial" w:hAnsi="Arial" w:cs="Arial"/>
          <w:i/>
          <w:sz w:val="20"/>
        </w:rPr>
        <w:t>Concluding Observations: Australia</w:t>
      </w:r>
      <w:r w:rsidRPr="004F247D">
        <w:rPr>
          <w:rFonts w:ascii="Arial" w:hAnsi="Arial" w:cs="Arial"/>
          <w:sz w:val="20"/>
        </w:rPr>
        <w:t>, 40</w:t>
      </w:r>
      <w:r w:rsidRPr="004F247D">
        <w:rPr>
          <w:rFonts w:ascii="Arial" w:hAnsi="Arial" w:cs="Arial"/>
          <w:sz w:val="20"/>
          <w:vertAlign w:val="superscript"/>
        </w:rPr>
        <w:t>th</w:t>
      </w:r>
      <w:r w:rsidRPr="004F247D">
        <w:rPr>
          <w:rFonts w:ascii="Arial" w:hAnsi="Arial" w:cs="Arial"/>
          <w:sz w:val="20"/>
        </w:rPr>
        <w:t xml:space="preserve"> sess, UN Doc CRC/C/15/Add.268, (20 October 2005) page 15.</w:t>
      </w:r>
    </w:p>
  </w:footnote>
  <w:footnote w:id="131">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Adele Horin, ‘Report Finds Disability and Disadvantage Common in Young Offenders’, </w:t>
      </w:r>
      <w:r w:rsidRPr="004F247D">
        <w:rPr>
          <w:rFonts w:ascii="Arial" w:hAnsi="Arial" w:cs="Arial"/>
          <w:i/>
          <w:sz w:val="20"/>
        </w:rPr>
        <w:t>Sydney Morning Herald</w:t>
      </w:r>
      <w:r w:rsidRPr="004F247D">
        <w:rPr>
          <w:rFonts w:ascii="Arial" w:hAnsi="Arial" w:cs="Arial"/>
          <w:sz w:val="20"/>
        </w:rPr>
        <w:t xml:space="preserve"> (Sydney), 27 February 2010 &lt;</w:t>
      </w:r>
      <w:hyperlink r:id="rId43" w:history="1">
        <w:r w:rsidRPr="004F247D">
          <w:rPr>
            <w:rStyle w:val="Hyperlink"/>
            <w:rFonts w:ascii="Arial" w:hAnsi="Arial" w:cs="Arial"/>
            <w:sz w:val="20"/>
          </w:rPr>
          <w:t>www.smh.com.au/nsw/report–finds–disability–and–disadvantage–common–in–young–offenders–20100226–p95r.html</w:t>
        </w:r>
      </w:hyperlink>
      <w:r w:rsidRPr="004F247D">
        <w:rPr>
          <w:rFonts w:ascii="Arial" w:hAnsi="Arial" w:cs="Arial"/>
          <w:sz w:val="20"/>
        </w:rPr>
        <w:t>&gt;.</w:t>
      </w:r>
    </w:p>
  </w:footnote>
  <w:footnote w:id="132">
    <w:p w:rsidR="00701CBA" w:rsidRPr="004F247D" w:rsidRDefault="00701CBA" w:rsidP="004F247D">
      <w:pPr>
        <w:pStyle w:val="NoSpacing"/>
        <w:rPr>
          <w:rFonts w:ascii="Arial" w:hAnsi="Arial" w:cs="Arial"/>
          <w:i/>
          <w:iCs/>
          <w:sz w:val="20"/>
          <w:lang w:eastAsia="en-AU"/>
        </w:rPr>
      </w:pPr>
      <w:r w:rsidRPr="004F247D">
        <w:rPr>
          <w:rStyle w:val="FootnoteReference"/>
          <w:rFonts w:ascii="Arial" w:hAnsi="Arial" w:cs="Arial"/>
          <w:sz w:val="20"/>
        </w:rPr>
        <w:footnoteRef/>
      </w:r>
      <w:r w:rsidRPr="004F247D">
        <w:rPr>
          <w:rFonts w:ascii="Arial" w:hAnsi="Arial" w:cs="Arial"/>
          <w:sz w:val="20"/>
          <w:lang w:eastAsia="en-AU"/>
        </w:rPr>
        <w:t xml:space="preserve"> Devon </w:t>
      </w:r>
      <w:proofErr w:type="spellStart"/>
      <w:r w:rsidRPr="004F247D">
        <w:rPr>
          <w:rFonts w:ascii="Arial" w:hAnsi="Arial" w:cs="Arial"/>
          <w:sz w:val="20"/>
          <w:lang w:eastAsia="en-AU"/>
        </w:rPr>
        <w:t>Indig</w:t>
      </w:r>
      <w:proofErr w:type="spellEnd"/>
      <w:r w:rsidRPr="004F247D">
        <w:rPr>
          <w:rFonts w:ascii="Arial" w:hAnsi="Arial" w:cs="Arial"/>
          <w:sz w:val="20"/>
          <w:lang w:eastAsia="en-AU"/>
        </w:rPr>
        <w:t xml:space="preserve"> et al. ‘</w:t>
      </w:r>
      <w:r w:rsidRPr="004F247D">
        <w:rPr>
          <w:rFonts w:ascii="Arial" w:hAnsi="Arial" w:cs="Arial"/>
          <w:iCs/>
          <w:sz w:val="20"/>
          <w:lang w:eastAsia="en-AU"/>
        </w:rPr>
        <w:t>2009 NSW Young People in Custody Health Survey: Full Report’</w:t>
      </w:r>
      <w:r w:rsidRPr="004F247D">
        <w:rPr>
          <w:rFonts w:ascii="Arial" w:hAnsi="Arial" w:cs="Arial"/>
          <w:i/>
          <w:iCs/>
          <w:sz w:val="20"/>
          <w:lang w:eastAsia="en-AU"/>
        </w:rPr>
        <w:t>. (</w:t>
      </w:r>
      <w:r w:rsidRPr="004F247D">
        <w:rPr>
          <w:rFonts w:ascii="Arial" w:hAnsi="Arial" w:cs="Arial"/>
          <w:iCs/>
          <w:sz w:val="20"/>
          <w:lang w:eastAsia="en-AU"/>
        </w:rPr>
        <w:t>Report, Justice Health, NSW Health and Human Services Juvenile Justice, NSW Government, 2011) 15.</w:t>
      </w:r>
    </w:p>
  </w:footnote>
  <w:footnote w:id="133">
    <w:p w:rsidR="00701CBA" w:rsidRPr="004F247D" w:rsidRDefault="00701CBA" w:rsidP="004F247D">
      <w:pPr>
        <w:pStyle w:val="NoSpacing"/>
        <w:rPr>
          <w:rFonts w:ascii="Arial" w:hAnsi="Arial" w:cs="Arial"/>
          <w:sz w:val="20"/>
          <w:lang w:val="en-US"/>
        </w:rPr>
      </w:pPr>
      <w:r w:rsidRPr="004F247D">
        <w:rPr>
          <w:rStyle w:val="FootnoteReference"/>
          <w:rFonts w:ascii="Arial" w:hAnsi="Arial" w:cs="Arial"/>
          <w:sz w:val="20"/>
        </w:rPr>
        <w:footnoteRef/>
      </w:r>
      <w:r w:rsidRPr="004F247D">
        <w:rPr>
          <w:rFonts w:ascii="Arial" w:hAnsi="Arial" w:cs="Arial"/>
          <w:sz w:val="20"/>
          <w:lang w:val="en-US"/>
        </w:rPr>
        <w:t xml:space="preserve"> Ibid 15.</w:t>
      </w:r>
    </w:p>
  </w:footnote>
  <w:footnote w:id="134">
    <w:p w:rsidR="00701CBA" w:rsidRPr="004F247D" w:rsidRDefault="00701CBA" w:rsidP="004F247D">
      <w:pPr>
        <w:pStyle w:val="NoSpacing"/>
        <w:rPr>
          <w:rFonts w:ascii="Arial" w:hAnsi="Arial" w:cs="Arial"/>
          <w:sz w:val="20"/>
          <w:lang w:val="en-US"/>
        </w:rPr>
      </w:pPr>
      <w:r w:rsidRPr="004F247D">
        <w:rPr>
          <w:rStyle w:val="FootnoteReference"/>
          <w:rFonts w:ascii="Arial" w:hAnsi="Arial" w:cs="Arial"/>
          <w:sz w:val="20"/>
        </w:rPr>
        <w:footnoteRef/>
      </w:r>
      <w:r w:rsidRPr="004F247D">
        <w:rPr>
          <w:rFonts w:ascii="Arial" w:hAnsi="Arial" w:cs="Arial"/>
          <w:sz w:val="20"/>
          <w:lang w:val="en-US"/>
        </w:rPr>
        <w:t xml:space="preserve"> Ibid 77.</w:t>
      </w:r>
    </w:p>
  </w:footnote>
  <w:footnote w:id="135">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People With Disability Australia, Submission to the Senate Community Affairs References Committee, </w:t>
      </w:r>
      <w:r w:rsidRPr="004F247D">
        <w:rPr>
          <w:rFonts w:ascii="Arial" w:hAnsi="Arial" w:cs="Arial"/>
          <w:i/>
          <w:iCs/>
          <w:sz w:val="20"/>
        </w:rPr>
        <w:t>Protecting Vulnerable Children: A National Challenge — Second Report on the Inquiry into Children in Institutional or Out-of-Home Care</w:t>
      </w:r>
      <w:r w:rsidRPr="004F247D">
        <w:rPr>
          <w:rFonts w:ascii="Arial" w:hAnsi="Arial" w:cs="Arial"/>
          <w:iCs/>
          <w:sz w:val="20"/>
        </w:rPr>
        <w:t>’</w:t>
      </w:r>
      <w:r w:rsidRPr="004F247D">
        <w:rPr>
          <w:rFonts w:ascii="Arial" w:hAnsi="Arial" w:cs="Arial"/>
          <w:sz w:val="20"/>
        </w:rPr>
        <w:t xml:space="preserve"> (March 2005) 173.</w:t>
      </w:r>
    </w:p>
  </w:footnote>
  <w:footnote w:id="13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Ibid.</w:t>
      </w:r>
    </w:p>
  </w:footnote>
  <w:footnote w:id="137">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People </w:t>
      </w:r>
      <w:proofErr w:type="gramStart"/>
      <w:r w:rsidRPr="004F247D">
        <w:rPr>
          <w:rFonts w:ascii="Arial" w:hAnsi="Arial" w:cs="Arial"/>
          <w:sz w:val="20"/>
        </w:rPr>
        <w:t>With</w:t>
      </w:r>
      <w:proofErr w:type="gramEnd"/>
      <w:r w:rsidRPr="004F247D">
        <w:rPr>
          <w:rFonts w:ascii="Arial" w:hAnsi="Arial" w:cs="Arial"/>
          <w:sz w:val="20"/>
        </w:rPr>
        <w:t xml:space="preserve"> Disability Australia, above n </w:t>
      </w:r>
      <w:r w:rsidRPr="004F247D">
        <w:rPr>
          <w:rFonts w:ascii="Arial" w:hAnsi="Arial" w:cs="Arial"/>
          <w:sz w:val="20"/>
        </w:rPr>
        <w:fldChar w:fldCharType="begin"/>
      </w:r>
      <w:r w:rsidRPr="004F247D">
        <w:rPr>
          <w:rFonts w:ascii="Arial" w:hAnsi="Arial" w:cs="Arial"/>
          <w:sz w:val="20"/>
        </w:rPr>
        <w:instrText xml:space="preserve"> NOTEREF _Ref322508977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135</w:t>
      </w:r>
      <w:r w:rsidRPr="004F247D">
        <w:rPr>
          <w:rFonts w:ascii="Arial" w:hAnsi="Arial" w:cs="Arial"/>
          <w:sz w:val="20"/>
        </w:rPr>
        <w:fldChar w:fldCharType="end"/>
      </w:r>
      <w:r w:rsidRPr="004F247D">
        <w:rPr>
          <w:rFonts w:ascii="Arial" w:hAnsi="Arial" w:cs="Arial"/>
          <w:sz w:val="20"/>
        </w:rPr>
        <w:t>.</w:t>
      </w:r>
    </w:p>
  </w:footnote>
  <w:footnote w:id="138">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The Shopfront Youth Legal Centre, above 5.</w:t>
      </w:r>
    </w:p>
  </w:footnote>
  <w:footnote w:id="139">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Ibid 3.</w:t>
      </w:r>
    </w:p>
  </w:footnote>
  <w:footnote w:id="14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Kathy Ellem, ‘The Impact of Imprisonment for People Labelled as Having an Intellectual Disability: A Qualitative Life Story Approach in the Queensland Context’ (PhD Research Proposal, School of Social Work and Applied Human Sciences, The University of Queensland, undated) &lt;</w:t>
      </w:r>
      <w:hyperlink r:id="rId44" w:history="1">
        <w:r w:rsidRPr="004F247D">
          <w:rPr>
            <w:rStyle w:val="Hyperlink"/>
            <w:rFonts w:ascii="Arial" w:hAnsi="Arial" w:cs="Arial"/>
            <w:sz w:val="20"/>
          </w:rPr>
          <w:t>www.sistersinside.com.au/</w:t>
        </w:r>
        <w:r w:rsidRPr="004F247D">
          <w:rPr>
            <w:rStyle w:val="Hyperlink"/>
            <w:rFonts w:ascii="Arial" w:hAnsi="Arial" w:cs="Arial"/>
            <w:sz w:val="20"/>
          </w:rPr>
          <w:br/>
          <w:t>media/ResearchProposal15KathyEllem.pdf</w:t>
        </w:r>
      </w:hyperlink>
      <w:r w:rsidRPr="004F247D">
        <w:rPr>
          <w:rFonts w:ascii="Arial" w:hAnsi="Arial" w:cs="Arial"/>
          <w:sz w:val="20"/>
        </w:rPr>
        <w:t>&gt;.</w:t>
      </w:r>
    </w:p>
  </w:footnote>
  <w:footnote w:id="141">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Forensicare (</w:t>
      </w:r>
      <w:r w:rsidRPr="004F247D">
        <w:rPr>
          <w:rFonts w:ascii="Arial" w:hAnsi="Arial" w:cs="Arial"/>
          <w:sz w:val="20"/>
          <w:lang w:val="en-US"/>
        </w:rPr>
        <w:t xml:space="preserve">Victorian Institute of Forensic Mental Health), </w:t>
      </w:r>
      <w:r w:rsidRPr="004F247D">
        <w:rPr>
          <w:rFonts w:ascii="Arial" w:hAnsi="Arial" w:cs="Arial"/>
          <w:sz w:val="20"/>
        </w:rPr>
        <w:t xml:space="preserve">Submission to the Senate Select Committee on Mental Health, </w:t>
      </w:r>
      <w:r w:rsidRPr="004F247D">
        <w:rPr>
          <w:rFonts w:ascii="Arial" w:hAnsi="Arial" w:cs="Arial"/>
          <w:sz w:val="20"/>
          <w:lang w:val="en-US"/>
        </w:rPr>
        <w:t>‘Forensic Mental Health — Working with Offenders with a Serious Mental Illness’, 2005, 20 &lt;</w:t>
      </w:r>
      <w:hyperlink r:id="rId45" w:history="1">
        <w:r w:rsidRPr="004F247D">
          <w:rPr>
            <w:rStyle w:val="Hyperlink"/>
            <w:rFonts w:ascii="Arial" w:hAnsi="Arial" w:cs="Arial"/>
            <w:sz w:val="20"/>
          </w:rPr>
          <w:t>www.aph.gov.au/senate/committee/mentalhealth_ctte/submissions/sub306.pdf</w:t>
        </w:r>
      </w:hyperlink>
      <w:r w:rsidRPr="004F247D">
        <w:rPr>
          <w:rFonts w:ascii="Arial" w:hAnsi="Arial" w:cs="Arial"/>
          <w:sz w:val="20"/>
          <w:lang w:val="en-US"/>
        </w:rPr>
        <w:t>&gt;</w:t>
      </w:r>
      <w:r w:rsidRPr="004F247D">
        <w:rPr>
          <w:rFonts w:ascii="Arial" w:hAnsi="Arial" w:cs="Arial"/>
          <w:sz w:val="20"/>
        </w:rPr>
        <w:t>.</w:t>
      </w:r>
    </w:p>
  </w:footnote>
  <w:footnote w:id="142">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rPr>
        <w:t xml:space="preserve"> Ibid</w:t>
      </w:r>
      <w:r w:rsidRPr="004F247D">
        <w:rPr>
          <w:rFonts w:ascii="Arial" w:hAnsi="Arial" w:cs="Arial"/>
          <w:sz w:val="20"/>
          <w:lang w:val="en-US"/>
        </w:rPr>
        <w:t xml:space="preserve"> 20–1.</w:t>
      </w:r>
    </w:p>
  </w:footnote>
  <w:footnote w:id="143">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Ibid 19.</w:t>
      </w:r>
    </w:p>
  </w:footnote>
  <w:footnote w:id="144">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Marnie O’Neill, ‘Quadriplegic Drug Lord Paul Baker Jailed for 10 years’ </w:t>
      </w:r>
      <w:r w:rsidRPr="004F247D">
        <w:rPr>
          <w:rFonts w:ascii="Arial" w:hAnsi="Arial" w:cs="Arial"/>
          <w:i/>
          <w:sz w:val="20"/>
        </w:rPr>
        <w:t xml:space="preserve">The Sunday Telegraph </w:t>
      </w:r>
      <w:r w:rsidRPr="004F247D">
        <w:rPr>
          <w:rFonts w:ascii="Arial" w:hAnsi="Arial" w:cs="Arial"/>
          <w:sz w:val="20"/>
        </w:rPr>
        <w:t>(online) 31 May 2009 &lt;</w:t>
      </w:r>
      <w:hyperlink r:id="rId46" w:history="1">
        <w:r w:rsidRPr="004F247D">
          <w:rPr>
            <w:rStyle w:val="Hyperlink"/>
            <w:rFonts w:ascii="Arial" w:hAnsi="Arial" w:cs="Arial"/>
            <w:sz w:val="20"/>
          </w:rPr>
          <w:t>www.news.com.au/national/quadraplegic-drug-lord-paul-baker-jailed-for-10-years/story-e6frfkvr-1225718692294</w:t>
        </w:r>
      </w:hyperlink>
      <w:r w:rsidRPr="004F247D">
        <w:rPr>
          <w:rFonts w:ascii="Arial" w:hAnsi="Arial" w:cs="Arial"/>
          <w:sz w:val="20"/>
        </w:rPr>
        <w:t>&gt;.</w:t>
      </w:r>
    </w:p>
  </w:footnote>
  <w:footnote w:id="145">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Case study provided by Nicolas Patrick, Pro Bono Partner, DLA Piper.</w:t>
      </w:r>
    </w:p>
  </w:footnote>
  <w:footnote w:id="146">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rPr>
        <w:t xml:space="preserve"> An “unlawful citizen” is a non-citizen who does not hold a valid visa:</w:t>
      </w:r>
      <w:r w:rsidRPr="004F247D">
        <w:rPr>
          <w:rFonts w:ascii="Arial" w:hAnsi="Arial" w:cs="Arial"/>
          <w:i/>
          <w:sz w:val="20"/>
          <w:lang w:val="en-US"/>
        </w:rPr>
        <w:t xml:space="preserve"> Migration Act 1958</w:t>
      </w:r>
      <w:r w:rsidRPr="004F247D">
        <w:rPr>
          <w:rFonts w:ascii="Arial" w:hAnsi="Arial" w:cs="Arial"/>
          <w:sz w:val="20"/>
          <w:lang w:val="en-US"/>
        </w:rPr>
        <w:t xml:space="preserve"> (</w:t>
      </w:r>
      <w:proofErr w:type="spellStart"/>
      <w:r w:rsidRPr="004F247D">
        <w:rPr>
          <w:rFonts w:ascii="Arial" w:hAnsi="Arial" w:cs="Arial"/>
          <w:sz w:val="20"/>
          <w:lang w:val="en-US"/>
        </w:rPr>
        <w:t>Cth</w:t>
      </w:r>
      <w:proofErr w:type="spellEnd"/>
      <w:r w:rsidRPr="004F247D">
        <w:rPr>
          <w:rFonts w:ascii="Arial" w:hAnsi="Arial" w:cs="Arial"/>
          <w:sz w:val="20"/>
          <w:lang w:val="en-US"/>
        </w:rPr>
        <w:t xml:space="preserve">) </w:t>
      </w:r>
      <w:proofErr w:type="spellStart"/>
      <w:r w:rsidRPr="004F247D">
        <w:rPr>
          <w:rFonts w:ascii="Arial" w:hAnsi="Arial" w:cs="Arial"/>
          <w:sz w:val="20"/>
          <w:lang w:val="en-US"/>
        </w:rPr>
        <w:t>ss</w:t>
      </w:r>
      <w:proofErr w:type="spellEnd"/>
      <w:r w:rsidRPr="004F247D">
        <w:rPr>
          <w:rFonts w:ascii="Arial" w:hAnsi="Arial" w:cs="Arial"/>
          <w:sz w:val="20"/>
          <w:lang w:val="en-US"/>
        </w:rPr>
        <w:t xml:space="preserve"> 13, 14.</w:t>
      </w:r>
    </w:p>
  </w:footnote>
  <w:footnote w:id="147">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i/>
          <w:sz w:val="20"/>
          <w:lang w:val="en-US"/>
        </w:rPr>
        <w:t xml:space="preserve"> Migration Act 1958</w:t>
      </w:r>
      <w:r w:rsidRPr="004F247D">
        <w:rPr>
          <w:rFonts w:ascii="Arial" w:hAnsi="Arial" w:cs="Arial"/>
          <w:sz w:val="20"/>
          <w:lang w:val="en-US"/>
        </w:rPr>
        <w:t xml:space="preserve"> (</w:t>
      </w:r>
      <w:proofErr w:type="spellStart"/>
      <w:r w:rsidRPr="004F247D">
        <w:rPr>
          <w:rFonts w:ascii="Arial" w:hAnsi="Arial" w:cs="Arial"/>
          <w:sz w:val="20"/>
          <w:lang w:val="en-US"/>
        </w:rPr>
        <w:t>Cth</w:t>
      </w:r>
      <w:proofErr w:type="spellEnd"/>
      <w:r w:rsidRPr="004F247D">
        <w:rPr>
          <w:rFonts w:ascii="Arial" w:hAnsi="Arial" w:cs="Arial"/>
          <w:sz w:val="20"/>
          <w:lang w:val="en-US"/>
        </w:rPr>
        <w:t>) s 189.</w:t>
      </w:r>
    </w:p>
  </w:footnote>
  <w:footnote w:id="148">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i/>
          <w:sz w:val="20"/>
          <w:lang w:val="en-US"/>
        </w:rPr>
        <w:t xml:space="preserve"> Migration Act 1958</w:t>
      </w:r>
      <w:r w:rsidRPr="004F247D">
        <w:rPr>
          <w:rFonts w:ascii="Arial" w:hAnsi="Arial" w:cs="Arial"/>
          <w:sz w:val="20"/>
          <w:lang w:val="en-US"/>
        </w:rPr>
        <w:t xml:space="preserve"> (</w:t>
      </w:r>
      <w:proofErr w:type="spellStart"/>
      <w:r w:rsidRPr="004F247D">
        <w:rPr>
          <w:rFonts w:ascii="Arial" w:hAnsi="Arial" w:cs="Arial"/>
          <w:sz w:val="20"/>
          <w:lang w:val="en-US"/>
        </w:rPr>
        <w:t>Cth</w:t>
      </w:r>
      <w:proofErr w:type="spellEnd"/>
      <w:r w:rsidRPr="004F247D">
        <w:rPr>
          <w:rFonts w:ascii="Arial" w:hAnsi="Arial" w:cs="Arial"/>
          <w:sz w:val="20"/>
          <w:lang w:val="en-US"/>
        </w:rPr>
        <w:t>) s 196.</w:t>
      </w:r>
    </w:p>
  </w:footnote>
  <w:footnote w:id="14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ABC Radio, ‘Another Indonesian Teen Freed </w:t>
      </w:r>
      <w:proofErr w:type="gramStart"/>
      <w:r w:rsidRPr="004F247D">
        <w:rPr>
          <w:rFonts w:ascii="Arial" w:hAnsi="Arial" w:cs="Arial"/>
          <w:sz w:val="20"/>
        </w:rPr>
        <w:t>After</w:t>
      </w:r>
      <w:proofErr w:type="gramEnd"/>
      <w:r w:rsidRPr="004F247D">
        <w:rPr>
          <w:rFonts w:ascii="Arial" w:hAnsi="Arial" w:cs="Arial"/>
          <w:sz w:val="20"/>
        </w:rPr>
        <w:t xml:space="preserve"> People Smuggling Case Dropped’, </w:t>
      </w:r>
      <w:r w:rsidRPr="004F247D">
        <w:rPr>
          <w:rFonts w:ascii="Arial" w:hAnsi="Arial" w:cs="Arial"/>
          <w:i/>
          <w:sz w:val="20"/>
        </w:rPr>
        <w:t>PM</w:t>
      </w:r>
      <w:r w:rsidRPr="004F247D">
        <w:rPr>
          <w:rFonts w:ascii="Arial" w:hAnsi="Arial" w:cs="Arial"/>
          <w:sz w:val="20"/>
        </w:rPr>
        <w:t>, 16 November 2011 (Peter Lloyd) &lt;</w:t>
      </w:r>
      <w:hyperlink r:id="rId47" w:history="1">
        <w:r w:rsidRPr="004F247D">
          <w:rPr>
            <w:rStyle w:val="Hyperlink"/>
            <w:rFonts w:ascii="Arial" w:hAnsi="Arial" w:cs="Arial"/>
            <w:sz w:val="20"/>
          </w:rPr>
          <w:t>www.abc.net.au/pm/content/2011/s3368277.htm</w:t>
        </w:r>
      </w:hyperlink>
      <w:r w:rsidRPr="004F247D">
        <w:rPr>
          <w:rFonts w:ascii="Arial" w:hAnsi="Arial" w:cs="Arial"/>
          <w:sz w:val="20"/>
        </w:rPr>
        <w:t>&gt;.</w:t>
      </w:r>
    </w:p>
  </w:footnote>
  <w:footnote w:id="150">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rPr>
        <w:t xml:space="preserve"> Committee against Torture, </w:t>
      </w:r>
      <w:r w:rsidRPr="004F247D">
        <w:rPr>
          <w:rFonts w:ascii="Arial" w:hAnsi="Arial" w:cs="Arial"/>
          <w:i/>
          <w:sz w:val="20"/>
          <w:lang w:val="en-US"/>
        </w:rPr>
        <w:t>Concluding Observations of the Committee against Torture: Australia</w:t>
      </w:r>
      <w:r w:rsidRPr="004F247D">
        <w:rPr>
          <w:rFonts w:ascii="Arial" w:hAnsi="Arial" w:cs="Arial"/>
          <w:sz w:val="20"/>
          <w:lang w:val="en-US"/>
        </w:rPr>
        <w:t>, 40</w:t>
      </w:r>
      <w:r w:rsidRPr="004F247D">
        <w:rPr>
          <w:rFonts w:ascii="Arial" w:hAnsi="Arial" w:cs="Arial"/>
          <w:sz w:val="20"/>
          <w:vertAlign w:val="superscript"/>
          <w:lang w:val="en-US"/>
        </w:rPr>
        <w:t>th</w:t>
      </w:r>
      <w:r w:rsidRPr="004F247D">
        <w:rPr>
          <w:rFonts w:ascii="Arial" w:hAnsi="Arial" w:cs="Arial"/>
          <w:sz w:val="20"/>
          <w:lang w:val="en-US"/>
        </w:rPr>
        <w:t xml:space="preserve"> </w:t>
      </w:r>
      <w:proofErr w:type="spellStart"/>
      <w:r w:rsidRPr="004F247D">
        <w:rPr>
          <w:rFonts w:ascii="Arial" w:hAnsi="Arial" w:cs="Arial"/>
          <w:sz w:val="20"/>
          <w:lang w:val="en-US"/>
        </w:rPr>
        <w:t>sess</w:t>
      </w:r>
      <w:proofErr w:type="spellEnd"/>
      <w:r w:rsidRPr="004F247D">
        <w:rPr>
          <w:rFonts w:ascii="Arial" w:hAnsi="Arial" w:cs="Arial"/>
          <w:sz w:val="20"/>
          <w:lang w:val="en-US"/>
        </w:rPr>
        <w:t>, UN Doc CAT/C/AUS/CO/3 (22 May 2008) para 11.</w:t>
      </w:r>
    </w:p>
  </w:footnote>
  <w:footnote w:id="151">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See </w:t>
      </w:r>
      <w:r w:rsidRPr="004F247D">
        <w:rPr>
          <w:rFonts w:ascii="Arial" w:hAnsi="Arial" w:cs="Arial"/>
          <w:i/>
          <w:sz w:val="20"/>
        </w:rPr>
        <w:t>Keenan v United Kingdom</w:t>
      </w:r>
      <w:r w:rsidRPr="004F247D">
        <w:rPr>
          <w:rFonts w:ascii="Arial" w:hAnsi="Arial" w:cs="Arial"/>
          <w:sz w:val="20"/>
        </w:rPr>
        <w:t xml:space="preserve"> (2001) 33 EHRR 913. See also </w:t>
      </w:r>
      <w:r w:rsidRPr="004F247D">
        <w:rPr>
          <w:rFonts w:ascii="Arial" w:hAnsi="Arial" w:cs="Arial"/>
          <w:i/>
          <w:sz w:val="20"/>
        </w:rPr>
        <w:t>Price v United Kingdom</w:t>
      </w:r>
      <w:r w:rsidRPr="004F247D">
        <w:rPr>
          <w:rFonts w:ascii="Arial" w:hAnsi="Arial" w:cs="Arial"/>
          <w:sz w:val="20"/>
        </w:rPr>
        <w:t xml:space="preserve"> (2001) 34 EHRR 1285; </w:t>
      </w:r>
      <w:proofErr w:type="spellStart"/>
      <w:r w:rsidRPr="004F247D">
        <w:rPr>
          <w:rFonts w:ascii="Arial" w:hAnsi="Arial" w:cs="Arial"/>
          <w:i/>
          <w:sz w:val="20"/>
        </w:rPr>
        <w:t>McGlinchey</w:t>
      </w:r>
      <w:proofErr w:type="spellEnd"/>
      <w:r w:rsidRPr="004F247D">
        <w:rPr>
          <w:rFonts w:ascii="Arial" w:hAnsi="Arial" w:cs="Arial"/>
          <w:i/>
          <w:sz w:val="20"/>
        </w:rPr>
        <w:t xml:space="preserve"> v United Kingdom</w:t>
      </w:r>
      <w:r w:rsidRPr="004F247D">
        <w:rPr>
          <w:rFonts w:ascii="Arial" w:hAnsi="Arial" w:cs="Arial"/>
          <w:sz w:val="20"/>
        </w:rPr>
        <w:t xml:space="preserve"> (2003) 37 EHRR 821; </w:t>
      </w:r>
      <w:proofErr w:type="spellStart"/>
      <w:r w:rsidRPr="004F247D">
        <w:rPr>
          <w:rFonts w:ascii="Arial" w:hAnsi="Arial" w:cs="Arial"/>
          <w:i/>
          <w:sz w:val="20"/>
        </w:rPr>
        <w:t>Holomiov</w:t>
      </w:r>
      <w:proofErr w:type="spellEnd"/>
      <w:r w:rsidRPr="004F247D">
        <w:rPr>
          <w:rFonts w:ascii="Arial" w:hAnsi="Arial" w:cs="Arial"/>
          <w:i/>
          <w:sz w:val="20"/>
        </w:rPr>
        <w:t xml:space="preserve"> v Moldova</w:t>
      </w:r>
      <w:r w:rsidRPr="004F247D">
        <w:rPr>
          <w:rFonts w:ascii="Arial" w:hAnsi="Arial" w:cs="Arial"/>
          <w:sz w:val="20"/>
        </w:rPr>
        <w:t xml:space="preserve"> [2006] ECHR 30649/05; </w:t>
      </w:r>
      <w:proofErr w:type="spellStart"/>
      <w:r w:rsidRPr="004F247D">
        <w:rPr>
          <w:rFonts w:ascii="Arial" w:hAnsi="Arial" w:cs="Arial"/>
          <w:i/>
          <w:sz w:val="20"/>
        </w:rPr>
        <w:t>Istratii</w:t>
      </w:r>
      <w:proofErr w:type="spellEnd"/>
      <w:r w:rsidRPr="004F247D">
        <w:rPr>
          <w:rFonts w:ascii="Arial" w:hAnsi="Arial" w:cs="Arial"/>
          <w:i/>
          <w:sz w:val="20"/>
        </w:rPr>
        <w:t xml:space="preserve"> v Moldova</w:t>
      </w:r>
      <w:r w:rsidRPr="004F247D">
        <w:rPr>
          <w:rFonts w:ascii="Arial" w:hAnsi="Arial" w:cs="Arial"/>
          <w:sz w:val="20"/>
        </w:rPr>
        <w:t xml:space="preserve"> [2007] ECHR 8721/05.</w:t>
      </w:r>
    </w:p>
  </w:footnote>
  <w:footnote w:id="15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Evidence given by Dr John-Paul </w:t>
      </w:r>
      <w:proofErr w:type="spellStart"/>
      <w:r w:rsidRPr="004F247D">
        <w:rPr>
          <w:rFonts w:ascii="Arial" w:hAnsi="Arial" w:cs="Arial"/>
          <w:sz w:val="20"/>
        </w:rPr>
        <w:t>Sanggaran</w:t>
      </w:r>
      <w:proofErr w:type="spellEnd"/>
      <w:r w:rsidRPr="004F247D">
        <w:rPr>
          <w:rFonts w:ascii="Arial" w:hAnsi="Arial" w:cs="Arial"/>
          <w:sz w:val="20"/>
        </w:rPr>
        <w:t xml:space="preserve"> </w:t>
      </w:r>
      <w:r w:rsidRPr="004F247D">
        <w:rPr>
          <w:rFonts w:ascii="Arial" w:hAnsi="Arial" w:cs="Arial"/>
          <w:sz w:val="20"/>
          <w:shd w:val="clear" w:color="auto" w:fill="FFFFFF"/>
        </w:rPr>
        <w:t xml:space="preserve">Australian Human Rights Commission, </w:t>
      </w:r>
      <w:r w:rsidRPr="004F247D">
        <w:rPr>
          <w:rFonts w:ascii="Arial" w:hAnsi="Arial" w:cs="Arial"/>
          <w:i/>
          <w:sz w:val="20"/>
          <w:shd w:val="clear" w:color="auto" w:fill="FFFFFF"/>
        </w:rPr>
        <w:t>National Inquiry into Children in Immigration Detention 2014</w:t>
      </w:r>
      <w:r w:rsidRPr="004F247D">
        <w:rPr>
          <w:rFonts w:ascii="Arial" w:hAnsi="Arial" w:cs="Arial"/>
          <w:sz w:val="20"/>
          <w:shd w:val="clear" w:color="auto" w:fill="FFFFFF"/>
        </w:rPr>
        <w:t xml:space="preserve"> (Public Hearing, Sydney, 31 July 2014).</w:t>
      </w:r>
    </w:p>
  </w:footnote>
  <w:footnote w:id="153">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lang w:val="en-US"/>
        </w:rPr>
        <w:t xml:space="preserve"> Human Rights Law Resource Centre, </w:t>
      </w:r>
      <w:r w:rsidRPr="004F247D">
        <w:rPr>
          <w:rFonts w:ascii="Arial" w:hAnsi="Arial" w:cs="Arial"/>
          <w:bCs/>
          <w:sz w:val="20"/>
          <w:lang w:val="en-US"/>
        </w:rPr>
        <w:t>Submission to the Joint Standing Committee on Migration Review of Immigration Detention,</w:t>
      </w:r>
      <w:r w:rsidRPr="004F247D">
        <w:rPr>
          <w:rFonts w:ascii="Arial" w:hAnsi="Arial" w:cs="Arial"/>
          <w:sz w:val="20"/>
          <w:lang w:val="en-US"/>
        </w:rPr>
        <w:t xml:space="preserve"> </w:t>
      </w:r>
      <w:r w:rsidRPr="004F247D">
        <w:rPr>
          <w:rFonts w:ascii="Arial" w:hAnsi="Arial" w:cs="Arial"/>
          <w:i/>
          <w:sz w:val="20"/>
          <w:lang w:val="en-US"/>
        </w:rPr>
        <w:t>Inquiry into Immigration Detention in Australia</w:t>
      </w:r>
      <w:r w:rsidRPr="004F247D">
        <w:rPr>
          <w:rFonts w:ascii="Arial" w:hAnsi="Arial" w:cs="Arial"/>
          <w:sz w:val="20"/>
          <w:lang w:val="en-US"/>
        </w:rPr>
        <w:t>, August 2008, 20 &lt;</w:t>
      </w:r>
      <w:hyperlink r:id="rId48" w:history="1">
        <w:r w:rsidRPr="004F247D">
          <w:rPr>
            <w:rStyle w:val="Hyperlink"/>
            <w:rFonts w:ascii="Arial" w:hAnsi="Arial" w:cs="Arial"/>
            <w:sz w:val="20"/>
            <w:lang w:val="en-US"/>
          </w:rPr>
          <w:t>www.hrlrc.org.au/content/topics/refugees-and-asylum-seekers/refugee-rights-submission-inquiry-immigration-detention/</w:t>
        </w:r>
      </w:hyperlink>
      <w:r w:rsidRPr="004F247D">
        <w:rPr>
          <w:rFonts w:ascii="Arial" w:hAnsi="Arial" w:cs="Arial"/>
          <w:sz w:val="20"/>
          <w:lang w:val="en-US"/>
        </w:rPr>
        <w:t>&gt;.</w:t>
      </w:r>
    </w:p>
  </w:footnote>
  <w:footnote w:id="15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r w:rsidRPr="004F247D">
        <w:rPr>
          <w:rFonts w:ascii="Arial" w:hAnsi="Arial" w:cs="Arial"/>
          <w:i/>
          <w:sz w:val="20"/>
        </w:rPr>
        <w:t>Christmas Island Medical Officer’s Letter of Concerns</w:t>
      </w:r>
      <w:r w:rsidRPr="004F247D">
        <w:rPr>
          <w:rFonts w:ascii="Arial" w:hAnsi="Arial" w:cs="Arial"/>
          <w:sz w:val="20"/>
        </w:rPr>
        <w:t xml:space="preserve"> (November 2013) &lt;www.theguardian.com/world/interactive/2014/jan/13/christmas-island-doctors-letter-of-concern-in-full&gt;.</w:t>
      </w:r>
    </w:p>
  </w:footnote>
  <w:footnote w:id="15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Committee against Torture, </w:t>
      </w:r>
      <w:r w:rsidRPr="004F247D">
        <w:rPr>
          <w:rFonts w:ascii="Arial" w:hAnsi="Arial" w:cs="Arial"/>
          <w:i/>
          <w:sz w:val="20"/>
          <w:lang w:val="en-US"/>
        </w:rPr>
        <w:t>Concluding Observations of the Committee against Torture: Australia</w:t>
      </w:r>
      <w:r w:rsidRPr="004F247D">
        <w:rPr>
          <w:rFonts w:ascii="Arial" w:hAnsi="Arial" w:cs="Arial"/>
          <w:sz w:val="20"/>
          <w:lang w:val="en-US"/>
        </w:rPr>
        <w:t>, 40</w:t>
      </w:r>
      <w:r w:rsidRPr="004F247D">
        <w:rPr>
          <w:rFonts w:ascii="Arial" w:hAnsi="Arial" w:cs="Arial"/>
          <w:sz w:val="20"/>
          <w:vertAlign w:val="superscript"/>
          <w:lang w:val="en-US"/>
        </w:rPr>
        <w:t>th</w:t>
      </w:r>
      <w:r w:rsidRPr="004F247D">
        <w:rPr>
          <w:rFonts w:ascii="Arial" w:hAnsi="Arial" w:cs="Arial"/>
          <w:sz w:val="20"/>
          <w:lang w:val="en-US"/>
        </w:rPr>
        <w:t xml:space="preserve"> </w:t>
      </w:r>
      <w:proofErr w:type="spellStart"/>
      <w:r w:rsidRPr="004F247D">
        <w:rPr>
          <w:rFonts w:ascii="Arial" w:hAnsi="Arial" w:cs="Arial"/>
          <w:sz w:val="20"/>
          <w:lang w:val="en-US"/>
        </w:rPr>
        <w:t>sess</w:t>
      </w:r>
      <w:proofErr w:type="spellEnd"/>
      <w:r w:rsidRPr="004F247D">
        <w:rPr>
          <w:rFonts w:ascii="Arial" w:hAnsi="Arial" w:cs="Arial"/>
          <w:sz w:val="20"/>
          <w:lang w:val="en-US"/>
        </w:rPr>
        <w:t>, UN Doc CAT/C/AUS/CO/3 (22 May 2008) para 25.</w:t>
      </w:r>
    </w:p>
  </w:footnote>
  <w:footnote w:id="15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Evidence given by Dr Grant Ferguson </w:t>
      </w:r>
      <w:r w:rsidRPr="004F247D">
        <w:rPr>
          <w:rFonts w:ascii="Arial" w:hAnsi="Arial" w:cs="Arial"/>
          <w:sz w:val="20"/>
          <w:shd w:val="clear" w:color="auto" w:fill="FFFFFF"/>
        </w:rPr>
        <w:t xml:space="preserve">Australian Human Rights Commission, </w:t>
      </w:r>
      <w:r w:rsidRPr="004F247D">
        <w:rPr>
          <w:rFonts w:ascii="Arial" w:hAnsi="Arial" w:cs="Arial"/>
          <w:i/>
          <w:sz w:val="20"/>
          <w:shd w:val="clear" w:color="auto" w:fill="FFFFFF"/>
        </w:rPr>
        <w:t>National Inquiry into Children in Immigration Detention 2014</w:t>
      </w:r>
      <w:r w:rsidRPr="004F247D">
        <w:rPr>
          <w:rFonts w:ascii="Arial" w:hAnsi="Arial" w:cs="Arial"/>
          <w:sz w:val="20"/>
          <w:shd w:val="clear" w:color="auto" w:fill="FFFFFF"/>
        </w:rPr>
        <w:t xml:space="preserve"> (Public Hearing, Sydney, 31 July 2014).</w:t>
      </w:r>
    </w:p>
  </w:footnote>
  <w:footnote w:id="157">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rPr>
        <w:t xml:space="preserve"> Committee against Torture, </w:t>
      </w:r>
      <w:r w:rsidRPr="004F247D">
        <w:rPr>
          <w:rFonts w:ascii="Arial" w:hAnsi="Arial" w:cs="Arial"/>
          <w:i/>
          <w:sz w:val="20"/>
          <w:lang w:val="en-US"/>
        </w:rPr>
        <w:t>Concluding Observations of the Committee against Torture: Australia</w:t>
      </w:r>
      <w:r w:rsidRPr="004F247D">
        <w:rPr>
          <w:rFonts w:ascii="Arial" w:hAnsi="Arial" w:cs="Arial"/>
          <w:sz w:val="20"/>
          <w:lang w:val="en-US"/>
        </w:rPr>
        <w:t>, 40</w:t>
      </w:r>
      <w:r w:rsidRPr="004F247D">
        <w:rPr>
          <w:rFonts w:ascii="Arial" w:hAnsi="Arial" w:cs="Arial"/>
          <w:sz w:val="20"/>
          <w:vertAlign w:val="superscript"/>
          <w:lang w:val="en-US"/>
        </w:rPr>
        <w:t>th</w:t>
      </w:r>
      <w:r w:rsidRPr="004F247D">
        <w:rPr>
          <w:rFonts w:ascii="Arial" w:hAnsi="Arial" w:cs="Arial"/>
          <w:sz w:val="20"/>
          <w:lang w:val="en-US"/>
        </w:rPr>
        <w:t xml:space="preserve"> </w:t>
      </w:r>
      <w:proofErr w:type="spellStart"/>
      <w:r w:rsidRPr="004F247D">
        <w:rPr>
          <w:rFonts w:ascii="Arial" w:hAnsi="Arial" w:cs="Arial"/>
          <w:sz w:val="20"/>
          <w:lang w:val="en-US"/>
        </w:rPr>
        <w:t>sess</w:t>
      </w:r>
      <w:proofErr w:type="spellEnd"/>
      <w:r w:rsidRPr="004F247D">
        <w:rPr>
          <w:rFonts w:ascii="Arial" w:hAnsi="Arial" w:cs="Arial"/>
          <w:sz w:val="20"/>
          <w:lang w:val="en-US"/>
        </w:rPr>
        <w:t>, UN Doc CAT/C/AUS/CO/3 (22 May 2008) para 25.</w:t>
      </w:r>
    </w:p>
  </w:footnote>
  <w:footnote w:id="15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r w:rsidRPr="004F247D">
        <w:rPr>
          <w:rStyle w:val="Strong"/>
          <w:rFonts w:ascii="Arial" w:hAnsi="Arial" w:cs="Arial"/>
          <w:b w:val="0"/>
          <w:sz w:val="20"/>
          <w:shd w:val="clear" w:color="auto" w:fill="FFFFFF"/>
        </w:rPr>
        <w:t xml:space="preserve">Committee </w:t>
      </w:r>
      <w:proofErr w:type="gramStart"/>
      <w:r w:rsidRPr="004F247D">
        <w:rPr>
          <w:rStyle w:val="Strong"/>
          <w:rFonts w:ascii="Arial" w:hAnsi="Arial" w:cs="Arial"/>
          <w:b w:val="0"/>
          <w:sz w:val="20"/>
          <w:shd w:val="clear" w:color="auto" w:fill="FFFFFF"/>
        </w:rPr>
        <w:t>Against</w:t>
      </w:r>
      <w:proofErr w:type="gramEnd"/>
      <w:r w:rsidRPr="004F247D">
        <w:rPr>
          <w:rStyle w:val="Strong"/>
          <w:rFonts w:ascii="Arial" w:hAnsi="Arial" w:cs="Arial"/>
          <w:b w:val="0"/>
          <w:sz w:val="20"/>
          <w:shd w:val="clear" w:color="auto" w:fill="FFFFFF"/>
        </w:rPr>
        <w:t xml:space="preserve"> Torture, General Comment 2, Implementation of article 2 by States Parties, U.N. Doc. CAT/C/GC/2/CRP. 1/Rev.4 (2007)</w:t>
      </w:r>
      <w:proofErr w:type="gramStart"/>
      <w:r w:rsidRPr="004F247D">
        <w:rPr>
          <w:rStyle w:val="Strong"/>
          <w:rFonts w:ascii="Arial" w:hAnsi="Arial" w:cs="Arial"/>
          <w:b w:val="0"/>
          <w:sz w:val="20"/>
          <w:shd w:val="clear" w:color="auto" w:fill="FFFFFF"/>
        </w:rPr>
        <w:t>.,</w:t>
      </w:r>
      <w:proofErr w:type="gramEnd"/>
      <w:r w:rsidRPr="004F247D">
        <w:rPr>
          <w:rStyle w:val="Strong"/>
          <w:rFonts w:ascii="Arial" w:hAnsi="Arial" w:cs="Arial"/>
          <w:b w:val="0"/>
          <w:sz w:val="20"/>
          <w:shd w:val="clear" w:color="auto" w:fill="FFFFFF"/>
        </w:rPr>
        <w:t xml:space="preserve"> para 18. </w:t>
      </w:r>
    </w:p>
  </w:footnote>
  <w:footnote w:id="15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r>
        <w:rPr>
          <w:rFonts w:ascii="Arial" w:hAnsi="Arial" w:cs="Arial"/>
          <w:sz w:val="20"/>
        </w:rPr>
        <w:t>Ibid para 18.</w:t>
      </w:r>
    </w:p>
  </w:footnote>
  <w:footnote w:id="16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Phillip French, ‘Disabled Justice’, above; Lucy Healey et al, ‘Building the Evidence: A Report on the Status of Policy and Practice in Responding to Violence </w:t>
      </w:r>
      <w:proofErr w:type="gramStart"/>
      <w:r w:rsidRPr="004F247D">
        <w:rPr>
          <w:rFonts w:ascii="Arial" w:hAnsi="Arial" w:cs="Arial"/>
          <w:sz w:val="20"/>
        </w:rPr>
        <w:t>Against</w:t>
      </w:r>
      <w:proofErr w:type="gramEnd"/>
      <w:r w:rsidRPr="004F247D">
        <w:rPr>
          <w:rFonts w:ascii="Arial" w:hAnsi="Arial" w:cs="Arial"/>
          <w:sz w:val="20"/>
        </w:rPr>
        <w:t xml:space="preserve"> Women with Disabilities in Victoria’ (Report, Victorian Women with Disabilities Network Advocacy Information Service, 2008).</w:t>
      </w:r>
    </w:p>
  </w:footnote>
  <w:footnote w:id="16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Quoted in Council of Australian Governments, </w:t>
      </w:r>
      <w:r w:rsidRPr="004F247D">
        <w:rPr>
          <w:rFonts w:ascii="Arial" w:hAnsi="Arial" w:cs="Arial"/>
          <w:i/>
          <w:sz w:val="20"/>
        </w:rPr>
        <w:t>National Disability Strategy</w:t>
      </w:r>
      <w:r w:rsidRPr="004F247D">
        <w:rPr>
          <w:rFonts w:ascii="Arial" w:hAnsi="Arial" w:cs="Arial"/>
          <w:sz w:val="20"/>
        </w:rPr>
        <w:t>, 41.</w:t>
      </w:r>
    </w:p>
  </w:footnote>
  <w:footnote w:id="16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Ibid, 41</w:t>
      </w:r>
    </w:p>
  </w:footnote>
  <w:footnote w:id="16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Reported from Victorian study in Frohmader, Submission to the UN, above n 3.</w:t>
      </w:r>
    </w:p>
  </w:footnote>
  <w:footnote w:id="16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Victorian Women and Mental Health Network, ‘</w:t>
      </w:r>
      <w:proofErr w:type="gramStart"/>
      <w:r w:rsidRPr="004F247D">
        <w:rPr>
          <w:rFonts w:ascii="Arial" w:hAnsi="Arial" w:cs="Arial"/>
          <w:sz w:val="20"/>
        </w:rPr>
        <w:t>Nowhere</w:t>
      </w:r>
      <w:proofErr w:type="gramEnd"/>
      <w:r w:rsidRPr="004F247D">
        <w:rPr>
          <w:rFonts w:ascii="Arial" w:hAnsi="Arial" w:cs="Arial"/>
          <w:sz w:val="20"/>
        </w:rPr>
        <w:t xml:space="preserve"> to be Safe: Women’s Experiences of Mixed-Sex Psychiatric Wards’ (Report, April 2008) 4–5 &lt;</w:t>
      </w:r>
      <w:hyperlink r:id="rId49" w:history="1">
        <w:r w:rsidRPr="004F247D">
          <w:rPr>
            <w:rStyle w:val="Hyperlink"/>
            <w:rFonts w:ascii="Arial" w:hAnsi="Arial" w:cs="Arial"/>
            <w:sz w:val="20"/>
          </w:rPr>
          <w:t>http://www.vicserv.org.au/uploads/documents/</w:t>
        </w:r>
        <w:r w:rsidRPr="004F247D">
          <w:rPr>
            <w:rStyle w:val="Hyperlink"/>
            <w:rFonts w:ascii="Arial" w:hAnsi="Arial" w:cs="Arial"/>
            <w:sz w:val="20"/>
          </w:rPr>
          <w:br/>
          <w:t>general%20docs/Nowhere%20to%20be%20Safe%20Final%20layout.pdf</w:t>
        </w:r>
      </w:hyperlink>
      <w:r w:rsidRPr="004F247D">
        <w:rPr>
          <w:rFonts w:ascii="Arial" w:hAnsi="Arial" w:cs="Arial"/>
          <w:sz w:val="20"/>
        </w:rPr>
        <w:t>&gt;.</w:t>
      </w:r>
    </w:p>
  </w:footnote>
  <w:footnote w:id="165">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lang w:val="en-US"/>
        </w:rPr>
        <w:t xml:space="preserve"> Leanne Dowse and Annie Parkinson, </w:t>
      </w:r>
      <w:r w:rsidRPr="004F247D">
        <w:rPr>
          <w:rFonts w:ascii="Arial" w:hAnsi="Arial" w:cs="Arial"/>
          <w:sz w:val="20"/>
        </w:rPr>
        <w:t>‘</w:t>
      </w:r>
      <w:r w:rsidRPr="004F247D">
        <w:rPr>
          <w:rFonts w:ascii="Arial" w:hAnsi="Arial" w:cs="Arial"/>
          <w:sz w:val="20"/>
          <w:lang w:val="en-US"/>
        </w:rPr>
        <w:t xml:space="preserve">Forgotten Sisters: </w:t>
      </w:r>
      <w:proofErr w:type="spellStart"/>
      <w:r w:rsidRPr="004F247D">
        <w:rPr>
          <w:rFonts w:ascii="Arial" w:hAnsi="Arial" w:cs="Arial"/>
          <w:sz w:val="20"/>
          <w:lang w:val="en-US"/>
        </w:rPr>
        <w:t>Recognising</w:t>
      </w:r>
      <w:proofErr w:type="spellEnd"/>
      <w:r w:rsidRPr="004F247D">
        <w:rPr>
          <w:rFonts w:ascii="Arial" w:hAnsi="Arial" w:cs="Arial"/>
          <w:sz w:val="20"/>
          <w:lang w:val="en-US"/>
        </w:rPr>
        <w:t xml:space="preserve"> and Responding to Domestic Violence in the Lives of Women with Disabilities’ (Paper presented at the Domestic Violence, Disability and Cultural Safety National Forum, NSW Australia, 8–9 November 2007) 5 &lt;</w:t>
      </w:r>
      <w:hyperlink r:id="rId50" w:history="1">
        <w:r w:rsidRPr="004F247D">
          <w:rPr>
            <w:rStyle w:val="Hyperlink"/>
            <w:rFonts w:ascii="Arial" w:hAnsi="Arial" w:cs="Arial"/>
            <w:sz w:val="20"/>
            <w:lang w:val="en-US"/>
          </w:rPr>
          <w:t>http://www.wwda.org.au/dowsedv07.pdf</w:t>
        </w:r>
      </w:hyperlink>
      <w:r w:rsidRPr="004F247D">
        <w:rPr>
          <w:rFonts w:ascii="Arial" w:hAnsi="Arial" w:cs="Arial"/>
          <w:sz w:val="20"/>
          <w:lang w:val="en-US"/>
        </w:rPr>
        <w:t>&gt;.</w:t>
      </w:r>
    </w:p>
  </w:footnote>
  <w:footnote w:id="16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Reported by the Aboriginal Disability Network NSW, First People’s Disability Network Australia, the National Ethnic Disability Alliance and the Multicultural Disability Advocacy Association.</w:t>
      </w:r>
    </w:p>
  </w:footnote>
  <w:footnote w:id="16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Council of Australian Governments, </w:t>
      </w:r>
      <w:r w:rsidRPr="004F247D">
        <w:rPr>
          <w:rFonts w:ascii="Arial" w:hAnsi="Arial" w:cs="Arial"/>
          <w:i/>
          <w:sz w:val="20"/>
        </w:rPr>
        <w:t>National Disability Strategy</w:t>
      </w:r>
      <w:r w:rsidRPr="004F247D">
        <w:rPr>
          <w:rFonts w:ascii="Arial" w:hAnsi="Arial" w:cs="Arial"/>
          <w:sz w:val="20"/>
        </w:rPr>
        <w:t>, 38</w:t>
      </w:r>
    </w:p>
  </w:footnote>
  <w:footnote w:id="16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Ibid 41.</w:t>
      </w:r>
    </w:p>
  </w:footnote>
  <w:footnote w:id="16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Council of Australian Governments, </w:t>
      </w:r>
      <w:r w:rsidRPr="004F247D">
        <w:rPr>
          <w:rFonts w:ascii="Arial" w:hAnsi="Arial" w:cs="Arial"/>
          <w:i/>
          <w:sz w:val="20"/>
        </w:rPr>
        <w:t>National Plan to Reduce Violence against Women and their Children 2010–2022</w:t>
      </w:r>
      <w:r w:rsidRPr="004F247D">
        <w:rPr>
          <w:rFonts w:ascii="Arial" w:hAnsi="Arial" w:cs="Arial"/>
          <w:sz w:val="20"/>
        </w:rPr>
        <w:t xml:space="preserve"> (Commonwealth of Australia, 2011) 27.</w:t>
      </w:r>
    </w:p>
  </w:footnote>
  <w:footnote w:id="17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WWDA (2013) </w:t>
      </w:r>
      <w:r w:rsidRPr="004F247D">
        <w:rPr>
          <w:rFonts w:ascii="Arial" w:hAnsi="Arial" w:cs="Arial"/>
          <w:i/>
          <w:sz w:val="20"/>
        </w:rPr>
        <w:t>Submission to the CRPD Committee 9th Session Half Day of General Discussion on Women and Girls with Disabilities</w:t>
      </w:r>
      <w:r w:rsidRPr="004F247D">
        <w:rPr>
          <w:rFonts w:ascii="Arial" w:hAnsi="Arial" w:cs="Arial"/>
          <w:sz w:val="20"/>
        </w:rPr>
        <w:t xml:space="preserve">, 15th – 19th April 2013. Available at: </w:t>
      </w:r>
      <w:hyperlink r:id="rId51" w:history="1">
        <w:r w:rsidRPr="004F247D">
          <w:rPr>
            <w:rStyle w:val="Hyperlink"/>
            <w:rFonts w:ascii="Arial" w:hAnsi="Arial" w:cs="Arial"/>
            <w:sz w:val="20"/>
          </w:rPr>
          <w:t>http://www.ohchr.org/EN/HRBodies/CRPD/Pages/DGD17April2013.aspx</w:t>
        </w:r>
      </w:hyperlink>
      <w:r w:rsidRPr="004F247D">
        <w:rPr>
          <w:rFonts w:ascii="Arial" w:hAnsi="Arial" w:cs="Arial"/>
          <w:sz w:val="20"/>
        </w:rPr>
        <w:t xml:space="preserve"> </w:t>
      </w:r>
    </w:p>
  </w:footnote>
  <w:footnote w:id="17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Council of Australian Governments, </w:t>
      </w:r>
      <w:r w:rsidRPr="004F247D">
        <w:rPr>
          <w:rFonts w:ascii="Arial" w:hAnsi="Arial" w:cs="Arial"/>
          <w:i/>
          <w:sz w:val="20"/>
        </w:rPr>
        <w:t>Protecting Children is Everyone’s Business: National Framework for Protecting Australia’s Children 2009–2020</w:t>
      </w:r>
      <w:r w:rsidRPr="004F247D">
        <w:rPr>
          <w:rFonts w:ascii="Arial" w:hAnsi="Arial" w:cs="Arial"/>
          <w:sz w:val="20"/>
        </w:rPr>
        <w:t xml:space="preserve"> (Commonwealth of Australia, 2009) 21.</w:t>
      </w:r>
    </w:p>
  </w:footnote>
  <w:footnote w:id="17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hyperlink r:id="rId52" w:history="1">
        <w:r w:rsidRPr="004F247D">
          <w:rPr>
            <w:rStyle w:val="Hyperlink"/>
            <w:rFonts w:ascii="Arial" w:hAnsi="Arial" w:cs="Arial"/>
            <w:sz w:val="20"/>
          </w:rPr>
          <w:t>http://www.childabuseroyalcommission.gov.au/</w:t>
        </w:r>
      </w:hyperlink>
      <w:r w:rsidRPr="004F247D">
        <w:rPr>
          <w:rFonts w:ascii="Arial" w:hAnsi="Arial" w:cs="Arial"/>
          <w:sz w:val="20"/>
        </w:rPr>
        <w:t xml:space="preserve"> </w:t>
      </w:r>
    </w:p>
  </w:footnote>
  <w:footnote w:id="173">
    <w:p w:rsidR="009A5C8A" w:rsidRDefault="009A5C8A" w:rsidP="009A5C8A">
      <w:pPr>
        <w:pStyle w:val="FootnoteText"/>
        <w:jc w:val="left"/>
      </w:pPr>
      <w:r>
        <w:rPr>
          <w:rStyle w:val="FootnoteReference"/>
        </w:rPr>
        <w:footnoteRef/>
      </w:r>
      <w:r>
        <w:t xml:space="preserve"> </w:t>
      </w:r>
      <w:hyperlink r:id="rId53" w:history="1">
        <w:r w:rsidRPr="00205C5E">
          <w:rPr>
            <w:rStyle w:val="Hyperlink"/>
          </w:rPr>
          <w:t>http://www.childabuseroyalcommission.gov.au/about-us/our-reports/interim-report-html</w:t>
        </w:r>
      </w:hyperlink>
      <w:r>
        <w:t xml:space="preserve"> </w:t>
      </w:r>
    </w:p>
  </w:footnote>
  <w:footnote w:id="17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ABC, ‘Four Corners Reveals Story of Abuse at St Ann’s Special School’, </w:t>
      </w:r>
      <w:r w:rsidRPr="004F247D">
        <w:rPr>
          <w:rFonts w:ascii="Arial" w:hAnsi="Arial" w:cs="Arial"/>
          <w:i/>
          <w:sz w:val="20"/>
        </w:rPr>
        <w:t>ABC Four Corners</w:t>
      </w:r>
      <w:r w:rsidRPr="004F247D">
        <w:rPr>
          <w:rFonts w:ascii="Arial" w:hAnsi="Arial" w:cs="Arial"/>
          <w:sz w:val="20"/>
        </w:rPr>
        <w:t>, 26 September 2011 (Bronwyn Herbert) &lt;</w:t>
      </w:r>
      <w:hyperlink r:id="rId54" w:history="1">
        <w:r w:rsidRPr="004F247D">
          <w:rPr>
            <w:rStyle w:val="Hyperlink"/>
            <w:rFonts w:ascii="Arial" w:hAnsi="Arial" w:cs="Arial"/>
            <w:sz w:val="20"/>
          </w:rPr>
          <w:t>www.abc.net.au/pm/content/2011/s3326103.htm</w:t>
        </w:r>
      </w:hyperlink>
      <w:r w:rsidRPr="004F247D">
        <w:rPr>
          <w:rFonts w:ascii="Arial" w:hAnsi="Arial" w:cs="Arial"/>
          <w:sz w:val="20"/>
        </w:rPr>
        <w:t>&gt;.</w:t>
      </w:r>
    </w:p>
  </w:footnote>
  <w:footnote w:id="175">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w:t>
      </w:r>
      <w:proofErr w:type="spellStart"/>
      <w:r w:rsidRPr="004F247D">
        <w:rPr>
          <w:rFonts w:ascii="Arial" w:hAnsi="Arial" w:cs="Arial"/>
          <w:sz w:val="20"/>
        </w:rPr>
        <w:t>Suellen</w:t>
      </w:r>
      <w:proofErr w:type="spellEnd"/>
      <w:r w:rsidRPr="004F247D">
        <w:rPr>
          <w:rFonts w:ascii="Arial" w:hAnsi="Arial" w:cs="Arial"/>
          <w:sz w:val="20"/>
        </w:rPr>
        <w:t xml:space="preserve"> Murray and Anastasia Powell, ‘</w:t>
      </w:r>
      <w:r w:rsidRPr="004F247D">
        <w:rPr>
          <w:rFonts w:ascii="Arial" w:hAnsi="Arial" w:cs="Arial"/>
          <w:sz w:val="20"/>
          <w:lang w:val="en-US"/>
        </w:rPr>
        <w:t xml:space="preserve">Sexual Assault and Adults with a Disability: Enabling Recognition, Disclosure and a Just Response’ (Issues Paper No 9, </w:t>
      </w:r>
      <w:r w:rsidRPr="004F247D">
        <w:rPr>
          <w:rFonts w:ascii="Arial" w:hAnsi="Arial" w:cs="Arial"/>
          <w:sz w:val="20"/>
        </w:rPr>
        <w:t>Australian Centre for the Study of Sexual Assault, 2008) 9–10 &lt;</w:t>
      </w:r>
      <w:hyperlink r:id="rId55" w:history="1">
        <w:r w:rsidRPr="004F247D">
          <w:rPr>
            <w:rStyle w:val="Hyperlink"/>
            <w:rFonts w:ascii="Arial" w:hAnsi="Arial" w:cs="Arial"/>
            <w:sz w:val="20"/>
          </w:rPr>
          <w:t>http://www.aifs.gov.au/acssa/pubs/issue/acssa_issues9.pdf</w:t>
        </w:r>
      </w:hyperlink>
      <w:r w:rsidRPr="004F247D">
        <w:rPr>
          <w:rFonts w:ascii="Arial" w:hAnsi="Arial" w:cs="Arial"/>
          <w:sz w:val="20"/>
        </w:rPr>
        <w:t>&gt;.</w:t>
      </w:r>
    </w:p>
  </w:footnote>
  <w:footnote w:id="176">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Bruce McDougall, ‘</w:t>
      </w:r>
      <w:r w:rsidRPr="004F247D">
        <w:rPr>
          <w:rFonts w:ascii="Arial" w:hAnsi="Arial" w:cs="Arial"/>
          <w:sz w:val="20"/>
        </w:rPr>
        <w:t xml:space="preserve">Son Knocked Out in Schoolyard Bashing — Dad Not Told for Three Hours’, </w:t>
      </w:r>
      <w:r w:rsidRPr="004F247D">
        <w:rPr>
          <w:rFonts w:ascii="Arial" w:hAnsi="Arial" w:cs="Arial"/>
          <w:i/>
          <w:sz w:val="20"/>
        </w:rPr>
        <w:t>The Daily Telegraph</w:t>
      </w:r>
      <w:r w:rsidRPr="004F247D">
        <w:rPr>
          <w:rFonts w:ascii="Arial" w:hAnsi="Arial" w:cs="Arial"/>
          <w:sz w:val="20"/>
        </w:rPr>
        <w:t xml:space="preserve"> (online) 11 February 2010 &lt;</w:t>
      </w:r>
      <w:hyperlink r:id="rId56" w:history="1">
        <w:r w:rsidRPr="004F247D">
          <w:rPr>
            <w:rStyle w:val="Hyperlink"/>
            <w:rFonts w:ascii="Arial" w:hAnsi="Arial" w:cs="Arial"/>
            <w:sz w:val="20"/>
          </w:rPr>
          <w:t>www.dailytelegraph.com.au/news/son-knocked-out-in-schoolyard-bashing-dad-not-told-for-three-hours/story-e6freuy9-1225828959512</w:t>
        </w:r>
      </w:hyperlink>
      <w:r w:rsidRPr="004F247D">
        <w:rPr>
          <w:rFonts w:ascii="Arial" w:hAnsi="Arial" w:cs="Arial"/>
          <w:sz w:val="20"/>
        </w:rPr>
        <w:t>&gt;.</w:t>
      </w:r>
    </w:p>
  </w:footnote>
  <w:footnote w:id="177">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French, Dardel and Price-Kelly, above n </w:t>
      </w:r>
      <w:r w:rsidRPr="004F247D">
        <w:rPr>
          <w:rFonts w:ascii="Arial" w:hAnsi="Arial" w:cs="Arial"/>
          <w:sz w:val="20"/>
        </w:rPr>
        <w:fldChar w:fldCharType="begin"/>
      </w:r>
      <w:r w:rsidRPr="004F247D">
        <w:rPr>
          <w:rFonts w:ascii="Arial" w:hAnsi="Arial" w:cs="Arial"/>
          <w:sz w:val="20"/>
        </w:rPr>
        <w:instrText xml:space="preserve"> NOTEREF _Ref321408745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80</w:t>
      </w:r>
      <w:r w:rsidRPr="004F247D">
        <w:rPr>
          <w:rFonts w:ascii="Arial" w:hAnsi="Arial" w:cs="Arial"/>
          <w:sz w:val="20"/>
        </w:rPr>
        <w:fldChar w:fldCharType="end"/>
      </w:r>
      <w:r w:rsidRPr="004F247D">
        <w:rPr>
          <w:rFonts w:ascii="Arial" w:hAnsi="Arial" w:cs="Arial"/>
          <w:sz w:val="20"/>
        </w:rPr>
        <w:t xml:space="preserve">; </w:t>
      </w:r>
      <w:proofErr w:type="spellStart"/>
      <w:r w:rsidRPr="004F247D">
        <w:rPr>
          <w:rFonts w:ascii="Arial" w:hAnsi="Arial" w:cs="Arial"/>
          <w:sz w:val="20"/>
        </w:rPr>
        <w:t>Suellen</w:t>
      </w:r>
      <w:proofErr w:type="spellEnd"/>
      <w:r w:rsidRPr="004F247D">
        <w:rPr>
          <w:rFonts w:ascii="Arial" w:hAnsi="Arial" w:cs="Arial"/>
          <w:sz w:val="20"/>
        </w:rPr>
        <w:t xml:space="preserve"> Murray and Anastasia Powell, ibid </w:t>
      </w:r>
      <w:r w:rsidRPr="004F247D">
        <w:rPr>
          <w:rFonts w:ascii="Arial" w:hAnsi="Arial" w:cs="Arial"/>
          <w:color w:val="auto"/>
          <w:sz w:val="20"/>
        </w:rPr>
        <w:t>7.</w:t>
      </w:r>
    </w:p>
  </w:footnote>
  <w:footnote w:id="17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French, Dardel and Price-Kelly, above n </w:t>
      </w:r>
      <w:r w:rsidRPr="004F247D">
        <w:rPr>
          <w:rFonts w:ascii="Arial" w:hAnsi="Arial" w:cs="Arial"/>
          <w:sz w:val="20"/>
        </w:rPr>
        <w:fldChar w:fldCharType="begin"/>
      </w:r>
      <w:r w:rsidRPr="004F247D">
        <w:rPr>
          <w:rFonts w:ascii="Arial" w:hAnsi="Arial" w:cs="Arial"/>
          <w:sz w:val="20"/>
        </w:rPr>
        <w:instrText xml:space="preserve"> NOTEREF _Ref321408745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80</w:t>
      </w:r>
      <w:r w:rsidRPr="004F247D">
        <w:rPr>
          <w:rFonts w:ascii="Arial" w:hAnsi="Arial" w:cs="Arial"/>
          <w:sz w:val="20"/>
        </w:rPr>
        <w:fldChar w:fldCharType="end"/>
      </w:r>
      <w:r w:rsidRPr="004F247D">
        <w:rPr>
          <w:rFonts w:ascii="Arial" w:hAnsi="Arial" w:cs="Arial"/>
          <w:sz w:val="20"/>
        </w:rPr>
        <w:t>.</w:t>
      </w:r>
    </w:p>
  </w:footnote>
  <w:footnote w:id="179">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NSW Rape Crisis Centre, ‘Working against Sexual Violence — I Have a Disability’ (Information Sheet, undated).</w:t>
      </w:r>
    </w:p>
  </w:footnote>
  <w:footnote w:id="18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Ibid.</w:t>
      </w:r>
    </w:p>
  </w:footnote>
  <w:footnote w:id="181">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French, Dardel and Price-Kelly, above n </w:t>
      </w:r>
      <w:r w:rsidRPr="004F247D">
        <w:rPr>
          <w:rFonts w:ascii="Arial" w:hAnsi="Arial" w:cs="Arial"/>
          <w:color w:val="auto"/>
          <w:sz w:val="20"/>
        </w:rPr>
        <w:fldChar w:fldCharType="begin"/>
      </w:r>
      <w:r w:rsidRPr="004F247D">
        <w:rPr>
          <w:rFonts w:ascii="Arial" w:hAnsi="Arial" w:cs="Arial"/>
          <w:color w:val="auto"/>
          <w:sz w:val="20"/>
        </w:rPr>
        <w:instrText xml:space="preserve"> NOTEREF _Ref321408745 \h  \* MERGEFORMAT </w:instrText>
      </w:r>
      <w:r w:rsidRPr="004F247D">
        <w:rPr>
          <w:rFonts w:ascii="Arial" w:hAnsi="Arial" w:cs="Arial"/>
          <w:color w:val="auto"/>
          <w:sz w:val="20"/>
        </w:rPr>
      </w:r>
      <w:r w:rsidRPr="004F247D">
        <w:rPr>
          <w:rFonts w:ascii="Arial" w:hAnsi="Arial" w:cs="Arial"/>
          <w:color w:val="auto"/>
          <w:sz w:val="20"/>
        </w:rPr>
        <w:fldChar w:fldCharType="separate"/>
      </w:r>
      <w:r w:rsidR="006B5D55">
        <w:rPr>
          <w:rFonts w:ascii="Arial" w:hAnsi="Arial" w:cs="Arial"/>
          <w:color w:val="auto"/>
          <w:sz w:val="20"/>
        </w:rPr>
        <w:t>80</w:t>
      </w:r>
      <w:r w:rsidRPr="004F247D">
        <w:rPr>
          <w:rFonts w:ascii="Arial" w:hAnsi="Arial" w:cs="Arial"/>
          <w:color w:val="auto"/>
          <w:sz w:val="20"/>
        </w:rPr>
        <w:fldChar w:fldCharType="end"/>
      </w:r>
      <w:r w:rsidRPr="004F247D">
        <w:rPr>
          <w:rFonts w:ascii="Arial" w:hAnsi="Arial" w:cs="Arial"/>
          <w:sz w:val="20"/>
        </w:rPr>
        <w:t xml:space="preserve">, </w:t>
      </w:r>
      <w:r w:rsidRPr="004F247D">
        <w:rPr>
          <w:rFonts w:ascii="Arial" w:hAnsi="Arial" w:cs="Arial"/>
          <w:color w:val="auto"/>
          <w:sz w:val="20"/>
        </w:rPr>
        <w:t>18.</w:t>
      </w:r>
    </w:p>
  </w:footnote>
  <w:footnote w:id="182">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Queensland Advocacy Incorporated, ‘Submission to the Shadow Report’, email dated 14 July 2010, ‘John’s Story’.</w:t>
      </w:r>
    </w:p>
  </w:footnote>
  <w:footnote w:id="18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Phillip French, ‘Disabled Justice’, above.</w:t>
      </w:r>
    </w:p>
  </w:footnote>
  <w:footnote w:id="184">
    <w:p w:rsidR="00701CBA" w:rsidRPr="004F247D" w:rsidRDefault="00701CBA" w:rsidP="004F247D">
      <w:pPr>
        <w:pStyle w:val="NoSpacing"/>
        <w:rPr>
          <w:rFonts w:ascii="Arial" w:hAnsi="Arial" w:cs="Arial"/>
          <w:sz w:val="20"/>
        </w:rPr>
      </w:pPr>
      <w:r w:rsidRPr="004F247D">
        <w:rPr>
          <w:rStyle w:val="FootnoteReference"/>
          <w:rFonts w:ascii="Arial" w:hAnsi="Arial" w:cs="Arial"/>
          <w:color w:val="auto"/>
          <w:sz w:val="20"/>
        </w:rPr>
        <w:footnoteRef/>
      </w:r>
      <w:r w:rsidRPr="004F247D">
        <w:rPr>
          <w:rFonts w:ascii="Arial" w:hAnsi="Arial" w:cs="Arial"/>
          <w:sz w:val="20"/>
        </w:rPr>
        <w:t xml:space="preserve"> For different examples of training programs for Court staff see NSW Attorney General’s Department, ‘Disability Strategic Plan’, and Victorian Department of Justice, ‘Disability Action Plan’, Disability issues or discrimination law is currently not compulsory for Australian law graduates.</w:t>
      </w:r>
    </w:p>
  </w:footnote>
  <w:footnote w:id="185">
    <w:p w:rsidR="00701CBA" w:rsidRPr="004F247D" w:rsidRDefault="00701CBA" w:rsidP="004F247D">
      <w:pPr>
        <w:pStyle w:val="NoSpacing"/>
        <w:rPr>
          <w:rFonts w:ascii="Arial" w:hAnsi="Arial" w:cs="Arial"/>
          <w:sz w:val="20"/>
          <w:lang w:val="en-US"/>
        </w:rPr>
      </w:pPr>
      <w:r w:rsidRPr="004F247D">
        <w:rPr>
          <w:rStyle w:val="FootnoteReference"/>
          <w:rFonts w:ascii="Arial" w:hAnsi="Arial" w:cs="Arial"/>
          <w:color w:val="auto"/>
          <w:sz w:val="20"/>
        </w:rPr>
        <w:footnoteRef/>
      </w:r>
      <w:r w:rsidRPr="004F247D">
        <w:rPr>
          <w:rFonts w:ascii="Arial" w:hAnsi="Arial" w:cs="Arial"/>
          <w:sz w:val="20"/>
        </w:rPr>
        <w:t xml:space="preserve"> Louis </w:t>
      </w:r>
      <w:proofErr w:type="spellStart"/>
      <w:r w:rsidRPr="004F247D">
        <w:rPr>
          <w:rFonts w:ascii="Arial" w:hAnsi="Arial" w:cs="Arial"/>
          <w:sz w:val="20"/>
        </w:rPr>
        <w:t>Schetzer</w:t>
      </w:r>
      <w:proofErr w:type="spellEnd"/>
      <w:r w:rsidRPr="004F247D">
        <w:rPr>
          <w:rFonts w:ascii="Arial" w:hAnsi="Arial" w:cs="Arial"/>
          <w:sz w:val="20"/>
        </w:rPr>
        <w:t xml:space="preserve"> and Judith Henderson, ‘</w:t>
      </w:r>
      <w:r w:rsidRPr="004F247D">
        <w:rPr>
          <w:rFonts w:ascii="Arial" w:hAnsi="Arial" w:cs="Arial"/>
          <w:sz w:val="20"/>
          <w:lang w:val="en-US"/>
        </w:rPr>
        <w:t>Access to Justice and Legal Needs, Stage 1 Public Consultations’ (Report, Law and Justice Foundation of NSW, 2003) 216, 225 &lt;</w:t>
      </w:r>
      <w:hyperlink r:id="rId57" w:history="1">
        <w:r w:rsidRPr="004F247D">
          <w:rPr>
            <w:rStyle w:val="Hyperlink"/>
            <w:rFonts w:ascii="Arial" w:hAnsi="Arial" w:cs="Arial"/>
            <w:sz w:val="20"/>
            <w:lang w:val="en-US"/>
          </w:rPr>
          <w:t>www.lawfoundation.net.au/report/</w:t>
        </w:r>
        <w:r w:rsidRPr="004F247D">
          <w:rPr>
            <w:rStyle w:val="Hyperlink"/>
            <w:rFonts w:ascii="Arial" w:hAnsi="Arial" w:cs="Arial"/>
            <w:sz w:val="20"/>
            <w:lang w:val="en-US"/>
          </w:rPr>
          <w:br/>
          <w:t>consultations</w:t>
        </w:r>
      </w:hyperlink>
      <w:r w:rsidRPr="004F247D">
        <w:rPr>
          <w:rFonts w:ascii="Arial" w:hAnsi="Arial" w:cs="Arial"/>
          <w:sz w:val="20"/>
          <w:lang w:val="en-US"/>
        </w:rPr>
        <w:t>&gt;</w:t>
      </w:r>
      <w:r w:rsidRPr="004F247D">
        <w:rPr>
          <w:rFonts w:ascii="Arial" w:hAnsi="Arial" w:cs="Arial"/>
          <w:sz w:val="20"/>
        </w:rPr>
        <w:t>.</w:t>
      </w:r>
    </w:p>
  </w:footnote>
  <w:footnote w:id="186">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Reported in the </w:t>
      </w:r>
      <w:r w:rsidRPr="004F247D">
        <w:rPr>
          <w:rFonts w:ascii="Arial" w:hAnsi="Arial" w:cs="Arial"/>
          <w:i/>
          <w:sz w:val="20"/>
        </w:rPr>
        <w:t xml:space="preserve">Courier Mail </w:t>
      </w:r>
      <w:r w:rsidRPr="004F247D">
        <w:rPr>
          <w:rFonts w:ascii="Arial" w:hAnsi="Arial" w:cs="Arial"/>
          <w:sz w:val="20"/>
        </w:rPr>
        <w:t>newspaper in October 2010.</w:t>
      </w:r>
    </w:p>
  </w:footnote>
  <w:footnote w:id="187">
    <w:p w:rsidR="00701CBA" w:rsidRPr="004F247D" w:rsidRDefault="00701CBA" w:rsidP="004F247D">
      <w:pPr>
        <w:pStyle w:val="NoSpacing"/>
        <w:rPr>
          <w:rFonts w:ascii="Arial" w:hAnsi="Arial" w:cs="Arial"/>
          <w:color w:val="auto"/>
          <w:sz w:val="20"/>
        </w:rPr>
      </w:pPr>
      <w:r w:rsidRPr="004F247D">
        <w:rPr>
          <w:rStyle w:val="FootnoteReference"/>
          <w:rFonts w:ascii="Arial" w:hAnsi="Arial" w:cs="Arial"/>
          <w:color w:val="auto"/>
          <w:sz w:val="20"/>
        </w:rPr>
        <w:footnoteRef/>
      </w:r>
      <w:r w:rsidRPr="004F247D">
        <w:rPr>
          <w:rFonts w:ascii="Arial" w:hAnsi="Arial" w:cs="Arial"/>
          <w:color w:val="auto"/>
          <w:sz w:val="20"/>
        </w:rPr>
        <w:t xml:space="preserve"> Carolyn Frohmader, </w:t>
      </w:r>
      <w:r w:rsidRPr="004F247D">
        <w:rPr>
          <w:rFonts w:ascii="Arial" w:hAnsi="Arial" w:cs="Arial"/>
          <w:sz w:val="20"/>
        </w:rPr>
        <w:t>Women with Disabilities Australia, Submission,</w:t>
      </w:r>
      <w:r w:rsidRPr="004F247D">
        <w:rPr>
          <w:rFonts w:ascii="Arial" w:hAnsi="Arial" w:cs="Arial"/>
          <w:i/>
          <w:sz w:val="20"/>
        </w:rPr>
        <w:t xml:space="preserve"> National Human Rights Consultation</w:t>
      </w:r>
      <w:r w:rsidRPr="004F247D">
        <w:rPr>
          <w:rFonts w:ascii="Arial" w:hAnsi="Arial" w:cs="Arial"/>
          <w:sz w:val="20"/>
        </w:rPr>
        <w:t>, May 2009, 7 &lt;</w:t>
      </w:r>
      <w:hyperlink r:id="rId58" w:history="1">
        <w:r w:rsidRPr="004F247D">
          <w:rPr>
            <w:rStyle w:val="Hyperlink"/>
            <w:rFonts w:ascii="Arial" w:hAnsi="Arial" w:cs="Arial"/>
            <w:sz w:val="20"/>
          </w:rPr>
          <w:t>www.wwda.org.au/wwdahrsub1.pdf</w:t>
        </w:r>
      </w:hyperlink>
      <w:r w:rsidRPr="004F247D">
        <w:rPr>
          <w:rFonts w:ascii="Arial" w:hAnsi="Arial" w:cs="Arial"/>
          <w:sz w:val="20"/>
        </w:rPr>
        <w:t>&gt;</w:t>
      </w:r>
      <w:proofErr w:type="gramStart"/>
      <w:r w:rsidRPr="004F247D">
        <w:rPr>
          <w:rFonts w:ascii="Arial" w:hAnsi="Arial" w:cs="Arial"/>
          <w:sz w:val="20"/>
        </w:rPr>
        <w:t>.</w:t>
      </w:r>
      <w:r w:rsidRPr="004F247D">
        <w:rPr>
          <w:rFonts w:ascii="Arial" w:hAnsi="Arial" w:cs="Arial"/>
          <w:color w:val="auto"/>
          <w:sz w:val="20"/>
        </w:rPr>
        <w:t>,</w:t>
      </w:r>
      <w:proofErr w:type="gramEnd"/>
      <w:r w:rsidRPr="004F247D">
        <w:rPr>
          <w:rFonts w:ascii="Arial" w:hAnsi="Arial" w:cs="Arial"/>
          <w:color w:val="auto"/>
          <w:sz w:val="20"/>
        </w:rPr>
        <w:t xml:space="preserve"> 22.</w:t>
      </w:r>
    </w:p>
  </w:footnote>
  <w:footnote w:id="188">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Ibid.</w:t>
      </w:r>
    </w:p>
  </w:footnote>
  <w:footnote w:id="189">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w:t>
      </w:r>
      <w:hyperlink r:id="rId59" w:anchor="ixzz3GO5DeL7G" w:history="1">
        <w:r w:rsidRPr="004F247D">
          <w:rPr>
            <w:rFonts w:ascii="Arial" w:hAnsi="Arial" w:cs="Arial"/>
            <w:color w:val="003399"/>
            <w:sz w:val="20"/>
            <w:bdr w:val="none" w:sz="0" w:space="0" w:color="auto" w:frame="1"/>
            <w:lang w:eastAsia="en-AU"/>
          </w:rPr>
          <w:t>http://www.smh.com.au/nsw/residents-seek-compensation-from-house-of-horrors-boarding-home-20130924-2ub84.html#ixzz3GO5DeL7G</w:t>
        </w:r>
      </w:hyperlink>
    </w:p>
  </w:footnote>
  <w:footnote w:id="190">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NSW Ombudsman, ‘More than Board and Lodging: The Need for Boarding House Reform (Special Report to Parliament, NSW Ombudsman, August 2011) &lt;</w:t>
      </w:r>
      <w:hyperlink r:id="rId60" w:history="1">
        <w:r w:rsidRPr="004F247D">
          <w:rPr>
            <w:rStyle w:val="Hyperlink"/>
            <w:rFonts w:ascii="Arial" w:hAnsi="Arial" w:cs="Arial"/>
            <w:sz w:val="20"/>
          </w:rPr>
          <w:t>http://www.ombo.nsw.gov.au/publication/PDF/specialreport/</w:t>
        </w:r>
        <w:r w:rsidRPr="004F247D">
          <w:rPr>
            <w:rStyle w:val="Hyperlink"/>
            <w:rFonts w:ascii="Arial" w:hAnsi="Arial" w:cs="Arial"/>
            <w:sz w:val="20"/>
          </w:rPr>
          <w:br/>
          <w:t>SR%20Boarding%20Houses.pdf</w:t>
        </w:r>
      </w:hyperlink>
      <w:r w:rsidRPr="004F247D">
        <w:rPr>
          <w:rFonts w:ascii="Arial" w:hAnsi="Arial" w:cs="Arial"/>
          <w:sz w:val="20"/>
        </w:rPr>
        <w:t xml:space="preserve">&gt;; Adele Horin, ‘Disturbing Tales From </w:t>
      </w:r>
      <w:proofErr w:type="gramStart"/>
      <w:r w:rsidRPr="004F247D">
        <w:rPr>
          <w:rFonts w:ascii="Arial" w:hAnsi="Arial" w:cs="Arial"/>
          <w:sz w:val="20"/>
        </w:rPr>
        <w:t>Behind</w:t>
      </w:r>
      <w:proofErr w:type="gramEnd"/>
      <w:r w:rsidRPr="004F247D">
        <w:rPr>
          <w:rFonts w:ascii="Arial" w:hAnsi="Arial" w:cs="Arial"/>
          <w:sz w:val="20"/>
        </w:rPr>
        <w:t xml:space="preserve"> Closed Doors, </w:t>
      </w:r>
      <w:r w:rsidRPr="004F247D">
        <w:rPr>
          <w:rFonts w:ascii="Arial" w:hAnsi="Arial" w:cs="Arial"/>
          <w:i/>
          <w:sz w:val="20"/>
        </w:rPr>
        <w:t>Sydney Morning Herald</w:t>
      </w:r>
      <w:r w:rsidRPr="004F247D">
        <w:rPr>
          <w:rFonts w:ascii="Arial" w:hAnsi="Arial" w:cs="Arial"/>
          <w:sz w:val="20"/>
        </w:rPr>
        <w:t xml:space="preserve"> (Sydney), 16 July 2011.</w:t>
      </w:r>
    </w:p>
  </w:footnote>
  <w:footnote w:id="191">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French, Dardel and Price-Kelly, above n </w:t>
      </w:r>
      <w:r w:rsidRPr="004F247D">
        <w:rPr>
          <w:rFonts w:ascii="Arial" w:hAnsi="Arial" w:cs="Arial"/>
          <w:sz w:val="20"/>
        </w:rPr>
        <w:fldChar w:fldCharType="begin"/>
      </w:r>
      <w:r w:rsidRPr="004F247D">
        <w:rPr>
          <w:rFonts w:ascii="Arial" w:hAnsi="Arial" w:cs="Arial"/>
          <w:sz w:val="20"/>
        </w:rPr>
        <w:instrText xml:space="preserve"> NOTEREF _Ref321408745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80</w:t>
      </w:r>
      <w:r w:rsidRPr="004F247D">
        <w:rPr>
          <w:rFonts w:ascii="Arial" w:hAnsi="Arial" w:cs="Arial"/>
          <w:sz w:val="20"/>
        </w:rPr>
        <w:fldChar w:fldCharType="end"/>
      </w:r>
      <w:r w:rsidRPr="004F247D">
        <w:rPr>
          <w:rFonts w:ascii="Arial" w:hAnsi="Arial" w:cs="Arial"/>
          <w:sz w:val="20"/>
        </w:rPr>
        <w:t>.</w:t>
      </w:r>
    </w:p>
  </w:footnote>
  <w:footnote w:id="192">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Ibid.</w:t>
      </w:r>
    </w:p>
  </w:footnote>
  <w:footnote w:id="193">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Price-Kelly and </w:t>
      </w:r>
      <w:proofErr w:type="spellStart"/>
      <w:r w:rsidRPr="004F247D">
        <w:rPr>
          <w:rFonts w:ascii="Arial" w:hAnsi="Arial" w:cs="Arial"/>
          <w:sz w:val="20"/>
        </w:rPr>
        <w:t>Attard</w:t>
      </w:r>
      <w:proofErr w:type="spellEnd"/>
      <w:r w:rsidRPr="004F247D">
        <w:rPr>
          <w:rFonts w:ascii="Arial" w:hAnsi="Arial" w:cs="Arial"/>
          <w:sz w:val="20"/>
        </w:rPr>
        <w:t xml:space="preserve">, ‘Accommodating Violence: The Experience of Domestic Violence and People with Disability Living in Licensed Boarding Houses’ (Report, People With Disability Australia — Disability and Domestic Violence in Residential Settings Project, September 2010), French, Dardel and Price-Kelly, above n </w:t>
      </w:r>
      <w:r w:rsidRPr="004F247D">
        <w:rPr>
          <w:rFonts w:ascii="Arial" w:hAnsi="Arial" w:cs="Arial"/>
          <w:sz w:val="20"/>
        </w:rPr>
        <w:fldChar w:fldCharType="begin"/>
      </w:r>
      <w:r w:rsidRPr="004F247D">
        <w:rPr>
          <w:rFonts w:ascii="Arial" w:hAnsi="Arial" w:cs="Arial"/>
          <w:sz w:val="20"/>
        </w:rPr>
        <w:instrText xml:space="preserve"> NOTEREF _Ref321408745 \h  \* MERGEFORMAT </w:instrText>
      </w:r>
      <w:r w:rsidRPr="004F247D">
        <w:rPr>
          <w:rFonts w:ascii="Arial" w:hAnsi="Arial" w:cs="Arial"/>
          <w:sz w:val="20"/>
        </w:rPr>
      </w:r>
      <w:r w:rsidRPr="004F247D">
        <w:rPr>
          <w:rFonts w:ascii="Arial" w:hAnsi="Arial" w:cs="Arial"/>
          <w:sz w:val="20"/>
        </w:rPr>
        <w:fldChar w:fldCharType="separate"/>
      </w:r>
      <w:r w:rsidR="006B5D55">
        <w:rPr>
          <w:rFonts w:ascii="Arial" w:hAnsi="Arial" w:cs="Arial"/>
          <w:sz w:val="20"/>
        </w:rPr>
        <w:t>80</w:t>
      </w:r>
      <w:r w:rsidRPr="004F247D">
        <w:rPr>
          <w:rFonts w:ascii="Arial" w:hAnsi="Arial" w:cs="Arial"/>
          <w:sz w:val="20"/>
        </w:rPr>
        <w:fldChar w:fldCharType="end"/>
      </w:r>
      <w:r w:rsidRPr="004F247D">
        <w:rPr>
          <w:rFonts w:ascii="Arial" w:hAnsi="Arial" w:cs="Arial"/>
          <w:sz w:val="20"/>
        </w:rPr>
        <w:t>.</w:t>
      </w:r>
    </w:p>
  </w:footnote>
  <w:footnote w:id="194">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Reported by People With Disability Australia, Advocacy for Inclusion, Women with Disabilities Australia. </w:t>
      </w:r>
    </w:p>
  </w:footnote>
  <w:footnote w:id="195">
    <w:p w:rsidR="00701CBA" w:rsidRPr="004F247D" w:rsidRDefault="00701CBA" w:rsidP="004F247D">
      <w:pPr>
        <w:pStyle w:val="NoSpacing"/>
        <w:rPr>
          <w:rFonts w:ascii="Arial" w:hAnsi="Arial" w:cs="Arial"/>
          <w:sz w:val="20"/>
        </w:rPr>
      </w:pPr>
      <w:r w:rsidRPr="004F247D">
        <w:rPr>
          <w:rStyle w:val="FootnoteReference"/>
          <w:rFonts w:ascii="Arial" w:hAnsi="Arial" w:cs="Arial"/>
          <w:sz w:val="20"/>
        </w:rPr>
        <w:footnoteRef/>
      </w:r>
      <w:r w:rsidRPr="004F247D">
        <w:rPr>
          <w:rFonts w:ascii="Arial" w:hAnsi="Arial" w:cs="Arial"/>
          <w:sz w:val="20"/>
        </w:rPr>
        <w:t xml:space="preserve"> CEDAW Committee, </w:t>
      </w:r>
      <w:r w:rsidRPr="004F247D">
        <w:rPr>
          <w:rFonts w:ascii="Arial" w:hAnsi="Arial" w:cs="Arial"/>
          <w:i/>
          <w:sz w:val="20"/>
        </w:rPr>
        <w:t xml:space="preserve">Concluding Observations </w:t>
      </w:r>
      <w:r w:rsidRPr="004F247D">
        <w:rPr>
          <w:rFonts w:ascii="Arial" w:hAnsi="Arial" w:cs="Arial"/>
          <w:sz w:val="20"/>
        </w:rPr>
        <w:t xml:space="preserve">(3 February 2006), above, para </w:t>
      </w:r>
      <w:r w:rsidR="00035597">
        <w:rPr>
          <w:rFonts w:ascii="Arial" w:hAnsi="Arial" w:cs="Arial"/>
          <w:sz w:val="20"/>
        </w:rPr>
        <w:t>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CBA" w:rsidRDefault="00701CBA" w:rsidP="00DF2E4A">
    <w:pPr>
      <w:keepLines/>
      <w:tabs>
        <w:tab w:val="center" w:pos="4153"/>
        <w:tab w:val="right" w:pos="8306"/>
      </w:tabs>
      <w:rPr>
        <w:sz w:val="14"/>
      </w:rPr>
    </w:pPr>
  </w:p>
  <w:p w:rsidR="00701CBA" w:rsidRPr="00D808BC" w:rsidRDefault="00701CBA" w:rsidP="00D808BC">
    <w:pPr>
      <w:tabs>
        <w:tab w:val="center" w:pos="4513"/>
      </w:tabs>
      <w:jc w:val="left"/>
      <w:rPr>
        <w:rFonts w:ascii="Times New Roman" w:hAnsi="Times New Roman" w:cs="Times New Roman"/>
        <w:lang w:eastAsia="en-US"/>
      </w:rPr>
    </w:pPr>
  </w:p>
  <w:p w:rsidR="00701CBA" w:rsidRPr="00D808BC" w:rsidRDefault="00701CBA" w:rsidP="00D808BC">
    <w:pPr>
      <w:tabs>
        <w:tab w:val="center" w:pos="4513"/>
        <w:tab w:val="right" w:pos="9026"/>
      </w:tabs>
      <w:jc w:val="left"/>
      <w:rPr>
        <w:rFonts w:ascii="Times New Roman" w:hAnsi="Times New Roman" w:cs="Times New Roman"/>
        <w:lang w:eastAsia="en-US"/>
      </w:rPr>
    </w:pPr>
  </w:p>
  <w:p w:rsidR="00701CBA" w:rsidRPr="00D808BC" w:rsidRDefault="00701CBA" w:rsidP="00D808BC">
    <w:pPr>
      <w:rPr>
        <w:sz w:val="14"/>
      </w:rPr>
    </w:pPr>
    <w:r w:rsidRPr="00D808BC">
      <w:rPr>
        <w:rFonts w:cs="Times New Roman"/>
        <w:noProof/>
        <w:sz w:val="20"/>
        <w:szCs w:val="20"/>
      </w:rPr>
      <mc:AlternateContent>
        <mc:Choice Requires="wps">
          <w:drawing>
            <wp:anchor distT="0" distB="0" distL="114300" distR="114300" simplePos="0" relativeHeight="251656192" behindDoc="0" locked="0" layoutInCell="0" allowOverlap="1">
              <wp:simplePos x="0" y="0"/>
              <wp:positionH relativeFrom="page">
                <wp:posOffset>4255135</wp:posOffset>
              </wp:positionH>
              <wp:positionV relativeFrom="page">
                <wp:posOffset>997585</wp:posOffset>
              </wp:positionV>
              <wp:extent cx="2649855" cy="2171700"/>
              <wp:effectExtent l="0" t="0" r="635" b="254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855" cy="2171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CBA" w:rsidRDefault="00701CBA" w:rsidP="00D808BC">
                          <w:pPr>
                            <w:pStyle w:val="PlainText"/>
                            <w:jc w:val="left"/>
                            <w:rPr>
                              <w:rFonts w:ascii="Arial" w:hAnsi="Arial" w:cs="Arial"/>
                              <w:b/>
                              <w:sz w:val="18"/>
                            </w:rPr>
                          </w:pPr>
                          <w:r>
                            <w:rPr>
                              <w:rFonts w:ascii="Arial" w:hAnsi="Arial" w:cs="Arial"/>
                              <w:b/>
                              <w:sz w:val="18"/>
                            </w:rPr>
                            <w:t xml:space="preserve">People with Disability </w:t>
                          </w:r>
                          <w:smartTag w:uri="urn:schemas-microsoft-com:office:smarttags" w:element="place">
                            <w:smartTag w:uri="urn:schemas-microsoft-com:office:smarttags" w:element="country-region">
                              <w:r>
                                <w:rPr>
                                  <w:rFonts w:ascii="Arial" w:hAnsi="Arial" w:cs="Arial"/>
                                  <w:b/>
                                  <w:sz w:val="18"/>
                                </w:rPr>
                                <w:t>Australia</w:t>
                              </w:r>
                            </w:smartTag>
                          </w:smartTag>
                          <w:r>
                            <w:rPr>
                              <w:rFonts w:ascii="Arial" w:hAnsi="Arial" w:cs="Arial"/>
                              <w:b/>
                              <w:sz w:val="18"/>
                            </w:rPr>
                            <w:t xml:space="preserve"> Incorporated</w:t>
                          </w:r>
                        </w:p>
                        <w:p w:rsidR="00701CBA" w:rsidRDefault="00701CBA" w:rsidP="00D808BC">
                          <w:pPr>
                            <w:pStyle w:val="PlainText"/>
                            <w:tabs>
                              <w:tab w:val="left" w:pos="1701"/>
                            </w:tabs>
                            <w:spacing w:before="40"/>
                            <w:jc w:val="left"/>
                            <w:rPr>
                              <w:rFonts w:ascii="Arial" w:hAnsi="Arial" w:cs="Arial"/>
                              <w:sz w:val="18"/>
                            </w:rPr>
                          </w:pPr>
                          <w:r>
                            <w:rPr>
                              <w:rFonts w:ascii="Arial" w:hAnsi="Arial" w:cs="Arial"/>
                              <w:b/>
                              <w:sz w:val="18"/>
                            </w:rPr>
                            <w:t>Postal Address:</w:t>
                          </w:r>
                          <w:r>
                            <w:rPr>
                              <w:rFonts w:ascii="Arial" w:hAnsi="Arial" w:cs="Arial"/>
                              <w:sz w:val="18"/>
                            </w:rPr>
                            <w:tab/>
                          </w:r>
                          <w:smartTag w:uri="urn:schemas-microsoft-com:office:smarttags" w:element="address">
                            <w:smartTag w:uri="urn:schemas-microsoft-com:office:smarttags" w:element="Street">
                              <w:r>
                                <w:rPr>
                                  <w:rFonts w:ascii="Arial" w:hAnsi="Arial" w:cs="Arial"/>
                                  <w:sz w:val="18"/>
                                </w:rPr>
                                <w:t>PO Box</w:t>
                              </w:r>
                            </w:smartTag>
                            <w:r>
                              <w:rPr>
                                <w:rFonts w:ascii="Arial" w:hAnsi="Arial" w:cs="Arial"/>
                                <w:sz w:val="18"/>
                              </w:rPr>
                              <w:t xml:space="preserve"> 666</w:t>
                            </w:r>
                          </w:smartTag>
                        </w:p>
                        <w:p w:rsidR="00701CBA" w:rsidRDefault="00701CBA" w:rsidP="00D808BC">
                          <w:pPr>
                            <w:pStyle w:val="PlainText"/>
                            <w:tabs>
                              <w:tab w:val="left" w:pos="1418"/>
                              <w:tab w:val="left" w:pos="1701"/>
                            </w:tabs>
                            <w:jc w:val="left"/>
                            <w:rPr>
                              <w:rFonts w:ascii="Arial" w:hAnsi="Arial" w:cs="Arial"/>
                              <w:sz w:val="18"/>
                            </w:rPr>
                          </w:pPr>
                          <w:r>
                            <w:rPr>
                              <w:rFonts w:ascii="Arial" w:hAnsi="Arial" w:cs="Arial"/>
                              <w:sz w:val="18"/>
                            </w:rPr>
                            <w:tab/>
                          </w:r>
                          <w:r>
                            <w:rPr>
                              <w:rFonts w:ascii="Arial" w:hAnsi="Arial" w:cs="Arial"/>
                              <w:sz w:val="18"/>
                            </w:rPr>
                            <w:tab/>
                            <w:t>Strawberry Hills NSW 2012</w:t>
                          </w:r>
                        </w:p>
                        <w:p w:rsidR="00701CBA" w:rsidRDefault="00701CBA" w:rsidP="00D808BC">
                          <w:pPr>
                            <w:pStyle w:val="PlainText"/>
                            <w:tabs>
                              <w:tab w:val="left" w:pos="1701"/>
                            </w:tabs>
                            <w:spacing w:before="40"/>
                            <w:jc w:val="left"/>
                            <w:rPr>
                              <w:rFonts w:ascii="Arial" w:hAnsi="Arial" w:cs="Arial"/>
                              <w:sz w:val="18"/>
                            </w:rPr>
                          </w:pPr>
                          <w:r>
                            <w:rPr>
                              <w:rFonts w:ascii="Arial" w:hAnsi="Arial" w:cs="Arial"/>
                              <w:b/>
                              <w:sz w:val="18"/>
                            </w:rPr>
                            <w:t xml:space="preserve">Street Address: </w:t>
                          </w:r>
                          <w:r>
                            <w:rPr>
                              <w:rFonts w:ascii="Arial" w:hAnsi="Arial" w:cs="Arial"/>
                              <w:b/>
                              <w:sz w:val="18"/>
                            </w:rPr>
                            <w:tab/>
                          </w:r>
                          <w:r>
                            <w:rPr>
                              <w:rFonts w:ascii="Arial" w:hAnsi="Arial" w:cs="Arial"/>
                              <w:bCs/>
                              <w:sz w:val="18"/>
                            </w:rPr>
                            <w:t>Tower 1, Level 10</w:t>
                          </w:r>
                          <w:r>
                            <w:rPr>
                              <w:rFonts w:ascii="Arial" w:hAnsi="Arial" w:cs="Arial"/>
                              <w:bCs/>
                              <w:sz w:val="18"/>
                            </w:rPr>
                            <w:br/>
                            <w:t xml:space="preserve">                                  </w:t>
                          </w:r>
                          <w:r>
                            <w:rPr>
                              <w:rFonts w:ascii="Arial" w:hAnsi="Arial" w:cs="Arial"/>
                              <w:sz w:val="18"/>
                            </w:rPr>
                            <w:t>1 Lawson Square</w:t>
                          </w:r>
                        </w:p>
                        <w:p w:rsidR="00701CBA" w:rsidRDefault="00701CBA" w:rsidP="00D808BC">
                          <w:pPr>
                            <w:pStyle w:val="PlainText"/>
                            <w:tabs>
                              <w:tab w:val="left" w:pos="1701"/>
                            </w:tabs>
                            <w:ind w:left="720" w:firstLine="720"/>
                            <w:jc w:val="left"/>
                            <w:rPr>
                              <w:rFonts w:ascii="Arial" w:hAnsi="Arial" w:cs="Arial"/>
                              <w:sz w:val="18"/>
                            </w:rPr>
                          </w:pPr>
                          <w:r>
                            <w:rPr>
                              <w:rFonts w:ascii="Arial" w:hAnsi="Arial" w:cs="Arial"/>
                              <w:sz w:val="18"/>
                            </w:rPr>
                            <w:tab/>
                            <w:t>Redfern NSW 2016</w:t>
                          </w:r>
                        </w:p>
                        <w:p w:rsidR="00701CBA" w:rsidRDefault="00701CBA" w:rsidP="00D808BC">
                          <w:pPr>
                            <w:pStyle w:val="PlainText"/>
                            <w:tabs>
                              <w:tab w:val="left" w:pos="1418"/>
                              <w:tab w:val="left" w:pos="1701"/>
                            </w:tabs>
                            <w:spacing w:before="40"/>
                            <w:jc w:val="left"/>
                            <w:rPr>
                              <w:rFonts w:ascii="Arial" w:hAnsi="Arial" w:cs="Arial"/>
                              <w:sz w:val="18"/>
                            </w:rPr>
                          </w:pPr>
                          <w:r>
                            <w:rPr>
                              <w:rFonts w:ascii="Arial" w:hAnsi="Arial" w:cs="Arial"/>
                              <w:b/>
                              <w:sz w:val="18"/>
                            </w:rPr>
                            <w:t>Phone:</w:t>
                          </w:r>
                          <w:r>
                            <w:rPr>
                              <w:rFonts w:ascii="Arial" w:hAnsi="Arial" w:cs="Arial"/>
                              <w:b/>
                              <w:sz w:val="18"/>
                            </w:rPr>
                            <w:tab/>
                          </w:r>
                          <w:r>
                            <w:rPr>
                              <w:rFonts w:ascii="Arial" w:hAnsi="Arial" w:cs="Arial"/>
                              <w:b/>
                              <w:sz w:val="18"/>
                            </w:rPr>
                            <w:tab/>
                          </w:r>
                          <w:r>
                            <w:rPr>
                              <w:rFonts w:ascii="Arial" w:hAnsi="Arial" w:cs="Arial"/>
                              <w:sz w:val="18"/>
                            </w:rPr>
                            <w:t>02 9370 3100</w:t>
                          </w:r>
                        </w:p>
                        <w:p w:rsidR="00701CBA" w:rsidRDefault="00701CBA" w:rsidP="00D808BC">
                          <w:pPr>
                            <w:pStyle w:val="PlainText"/>
                            <w:tabs>
                              <w:tab w:val="left" w:pos="1418"/>
                              <w:tab w:val="left" w:pos="1701"/>
                            </w:tabs>
                            <w:jc w:val="left"/>
                            <w:rPr>
                              <w:rFonts w:ascii="Arial" w:hAnsi="Arial" w:cs="Arial"/>
                              <w:sz w:val="18"/>
                            </w:rPr>
                          </w:pPr>
                          <w:r>
                            <w:rPr>
                              <w:rFonts w:ascii="Arial" w:hAnsi="Arial" w:cs="Arial"/>
                              <w:b/>
                              <w:sz w:val="18"/>
                            </w:rPr>
                            <w:t>Toll Free:</w:t>
                          </w:r>
                          <w:r>
                            <w:rPr>
                              <w:rFonts w:ascii="Arial" w:hAnsi="Arial" w:cs="Arial"/>
                              <w:sz w:val="18"/>
                            </w:rPr>
                            <w:t xml:space="preserve"> </w:t>
                          </w:r>
                          <w:r>
                            <w:rPr>
                              <w:rFonts w:ascii="Arial" w:hAnsi="Arial" w:cs="Arial"/>
                              <w:sz w:val="18"/>
                            </w:rPr>
                            <w:tab/>
                          </w:r>
                          <w:r>
                            <w:rPr>
                              <w:rFonts w:ascii="Arial" w:hAnsi="Arial" w:cs="Arial"/>
                              <w:sz w:val="18"/>
                            </w:rPr>
                            <w:tab/>
                            <w:t>1800 422 015</w:t>
                          </w:r>
                        </w:p>
                        <w:p w:rsidR="00701CBA" w:rsidRDefault="00701CBA" w:rsidP="00D808BC">
                          <w:pPr>
                            <w:pStyle w:val="PlainText"/>
                            <w:tabs>
                              <w:tab w:val="left" w:pos="1701"/>
                            </w:tabs>
                            <w:jc w:val="left"/>
                            <w:rPr>
                              <w:rFonts w:ascii="Arial" w:hAnsi="Arial" w:cs="Arial"/>
                              <w:b/>
                              <w:sz w:val="18"/>
                            </w:rPr>
                          </w:pPr>
                          <w:r>
                            <w:rPr>
                              <w:rFonts w:ascii="Arial" w:hAnsi="Arial" w:cs="Arial"/>
                              <w:b/>
                              <w:sz w:val="18"/>
                            </w:rPr>
                            <w:t>Fax:</w:t>
                          </w:r>
                          <w:r>
                            <w:rPr>
                              <w:rFonts w:ascii="Arial" w:hAnsi="Arial" w:cs="Arial"/>
                              <w:b/>
                              <w:sz w:val="18"/>
                            </w:rPr>
                            <w:tab/>
                          </w:r>
                          <w:r>
                            <w:rPr>
                              <w:rFonts w:ascii="Arial" w:hAnsi="Arial" w:cs="Arial"/>
                              <w:sz w:val="18"/>
                            </w:rPr>
                            <w:t>02 9318 1372</w:t>
                          </w:r>
                        </w:p>
                        <w:p w:rsidR="00701CBA" w:rsidRDefault="00701CBA" w:rsidP="00D808BC">
                          <w:pPr>
                            <w:pStyle w:val="PlainText"/>
                            <w:tabs>
                              <w:tab w:val="left" w:pos="1418"/>
                              <w:tab w:val="left" w:pos="1701"/>
                            </w:tabs>
                            <w:jc w:val="left"/>
                            <w:rPr>
                              <w:rFonts w:ascii="Arial" w:hAnsi="Arial" w:cs="Arial"/>
                              <w:sz w:val="18"/>
                            </w:rPr>
                          </w:pPr>
                          <w:r>
                            <w:rPr>
                              <w:rFonts w:ascii="Arial" w:hAnsi="Arial" w:cs="Arial"/>
                              <w:b/>
                              <w:sz w:val="18"/>
                            </w:rPr>
                            <w:t>TTY:</w:t>
                          </w:r>
                          <w:r>
                            <w:rPr>
                              <w:rFonts w:ascii="Arial" w:hAnsi="Arial" w:cs="Arial"/>
                              <w:sz w:val="18"/>
                            </w:rPr>
                            <w:t xml:space="preserve"> </w:t>
                          </w:r>
                          <w:r>
                            <w:rPr>
                              <w:rFonts w:ascii="Arial" w:hAnsi="Arial" w:cs="Arial"/>
                              <w:sz w:val="18"/>
                            </w:rPr>
                            <w:tab/>
                          </w:r>
                          <w:r>
                            <w:rPr>
                              <w:rFonts w:ascii="Arial" w:hAnsi="Arial" w:cs="Arial"/>
                              <w:sz w:val="18"/>
                            </w:rPr>
                            <w:tab/>
                            <w:t>02 9318 2138</w:t>
                          </w:r>
                        </w:p>
                        <w:p w:rsidR="00701CBA" w:rsidRDefault="00701CBA" w:rsidP="00D808BC">
                          <w:pPr>
                            <w:pStyle w:val="PlainText"/>
                            <w:tabs>
                              <w:tab w:val="left" w:pos="1418"/>
                              <w:tab w:val="left" w:pos="1701"/>
                            </w:tabs>
                            <w:jc w:val="left"/>
                            <w:rPr>
                              <w:rFonts w:ascii="Arial" w:hAnsi="Arial" w:cs="Arial"/>
                              <w:sz w:val="18"/>
                            </w:rPr>
                          </w:pPr>
                          <w:r>
                            <w:rPr>
                              <w:rFonts w:ascii="Arial" w:hAnsi="Arial" w:cs="Arial"/>
                              <w:b/>
                              <w:bCs/>
                              <w:sz w:val="18"/>
                            </w:rPr>
                            <w:t>Toll Free TTY:</w:t>
                          </w:r>
                          <w:r>
                            <w:rPr>
                              <w:rFonts w:ascii="Arial" w:hAnsi="Arial" w:cs="Arial"/>
                              <w:sz w:val="18"/>
                            </w:rPr>
                            <w:t xml:space="preserve"> </w:t>
                          </w:r>
                          <w:r>
                            <w:rPr>
                              <w:rFonts w:ascii="Arial" w:hAnsi="Arial" w:cs="Arial"/>
                              <w:sz w:val="18"/>
                            </w:rPr>
                            <w:tab/>
                          </w:r>
                          <w:r>
                            <w:rPr>
                              <w:rFonts w:ascii="Arial" w:hAnsi="Arial" w:cs="Arial"/>
                              <w:sz w:val="18"/>
                            </w:rPr>
                            <w:tab/>
                            <w:t>1800 422 016</w:t>
                          </w:r>
                        </w:p>
                        <w:p w:rsidR="00701CBA" w:rsidRDefault="00701CBA" w:rsidP="00D808BC">
                          <w:pPr>
                            <w:pStyle w:val="PlainText"/>
                            <w:tabs>
                              <w:tab w:val="left" w:pos="1418"/>
                              <w:tab w:val="left" w:pos="1701"/>
                            </w:tabs>
                            <w:jc w:val="left"/>
                            <w:rPr>
                              <w:rFonts w:ascii="Arial" w:hAnsi="Arial" w:cs="Arial"/>
                              <w:sz w:val="18"/>
                            </w:rPr>
                          </w:pPr>
                          <w:r>
                            <w:rPr>
                              <w:rFonts w:ascii="Arial" w:hAnsi="Arial" w:cs="Arial"/>
                              <w:b/>
                              <w:sz w:val="18"/>
                            </w:rPr>
                            <w:t>Email:</w:t>
                          </w:r>
                          <w:r>
                            <w:rPr>
                              <w:rFonts w:ascii="Arial" w:hAnsi="Arial" w:cs="Arial"/>
                              <w:sz w:val="18"/>
                            </w:rPr>
                            <w:t xml:space="preserve"> </w:t>
                          </w:r>
                          <w:r>
                            <w:rPr>
                              <w:rFonts w:ascii="Arial" w:hAnsi="Arial" w:cs="Arial"/>
                              <w:sz w:val="18"/>
                            </w:rPr>
                            <w:tab/>
                          </w:r>
                          <w:r>
                            <w:rPr>
                              <w:rFonts w:ascii="Arial" w:hAnsi="Arial" w:cs="Arial"/>
                              <w:sz w:val="18"/>
                            </w:rPr>
                            <w:tab/>
                          </w:r>
                          <w:hyperlink r:id="rId1" w:history="1">
                            <w:r>
                              <w:rPr>
                                <w:rStyle w:val="Hyperlink"/>
                                <w:rFonts w:cs="Arial"/>
                                <w:sz w:val="18"/>
                              </w:rPr>
                              <w:t>pwd@pwd.org.au</w:t>
                            </w:r>
                          </w:hyperlink>
                        </w:p>
                        <w:p w:rsidR="00701CBA" w:rsidRDefault="00701CBA" w:rsidP="00D808BC">
                          <w:pPr>
                            <w:pStyle w:val="PlainText"/>
                            <w:tabs>
                              <w:tab w:val="left" w:pos="1701"/>
                            </w:tabs>
                            <w:spacing w:before="40"/>
                            <w:jc w:val="left"/>
                            <w:rPr>
                              <w:rFonts w:ascii="Arial" w:hAnsi="Arial" w:cs="Arial"/>
                              <w:sz w:val="18"/>
                            </w:rPr>
                          </w:pPr>
                          <w:r>
                            <w:rPr>
                              <w:rFonts w:ascii="Arial" w:hAnsi="Arial" w:cs="Arial"/>
                              <w:b/>
                              <w:bCs/>
                              <w:sz w:val="18"/>
                            </w:rPr>
                            <w:t xml:space="preserve">TIS: </w:t>
                          </w:r>
                          <w:r>
                            <w:rPr>
                              <w:rFonts w:ascii="Arial" w:hAnsi="Arial" w:cs="Arial"/>
                              <w:sz w:val="18"/>
                            </w:rPr>
                            <w:t>13 14 50</w:t>
                          </w:r>
                          <w:r>
                            <w:rPr>
                              <w:rFonts w:ascii="Arial" w:hAnsi="Arial" w:cs="Arial"/>
                              <w:sz w:val="18"/>
                            </w:rPr>
                            <w:tab/>
                          </w:r>
                          <w:r>
                            <w:rPr>
                              <w:rFonts w:ascii="Arial" w:hAnsi="Arial" w:cs="Arial"/>
                              <w:b/>
                              <w:bCs/>
                              <w:sz w:val="18"/>
                            </w:rPr>
                            <w:t xml:space="preserve">NRS: </w:t>
                          </w:r>
                          <w:r>
                            <w:rPr>
                              <w:rFonts w:ascii="Arial" w:hAnsi="Arial" w:cs="Arial"/>
                              <w:sz w:val="18"/>
                            </w:rPr>
                            <w:t>1800 555 677</w:t>
                          </w:r>
                        </w:p>
                        <w:p w:rsidR="00701CBA" w:rsidRDefault="00701CBA" w:rsidP="00D808BC">
                          <w:pPr>
                            <w:pStyle w:val="PlainText"/>
                            <w:tabs>
                              <w:tab w:val="left" w:pos="1701"/>
                            </w:tabs>
                            <w:spacing w:before="120"/>
                            <w:jc w:val="left"/>
                            <w:rPr>
                              <w:sz w:val="18"/>
                            </w:rPr>
                          </w:pPr>
                          <w:r>
                            <w:rPr>
                              <w:rFonts w:ascii="Arial" w:hAnsi="Arial"/>
                              <w:sz w:val="18"/>
                            </w:rPr>
                            <w:t>NGO in Special Consultative Status with the</w:t>
                          </w:r>
                          <w:r>
                            <w:rPr>
                              <w:rFonts w:ascii="Arial" w:hAnsi="Arial"/>
                              <w:sz w:val="18"/>
                            </w:rPr>
                            <w:br/>
                            <w:t>Economic and Social Council of the United Nations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35.05pt;margin-top:78.55pt;width:208.65pt;height:17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" o:allowincell="f" stroked="f">
              <v:textbox inset="0,0,0,0">
                <w:txbxContent>
                  <w:p w:rsidR="00701CBA" w:rsidRDefault="00701CBA" w:rsidP="00D808BC">
                    <w:pPr>
                      <w:pStyle w:val="PlainText"/>
                      <w:jc w:val="left"/>
                      <w:rPr>
                        <w:rFonts w:ascii="Arial" w:hAnsi="Arial" w:cs="Arial"/>
                        <w:b/>
                        <w:sz w:val="18"/>
                      </w:rPr>
                    </w:pPr>
                    <w:r>
                      <w:rPr>
                        <w:rFonts w:ascii="Arial" w:hAnsi="Arial" w:cs="Arial"/>
                        <w:b/>
                        <w:sz w:val="18"/>
                      </w:rPr>
                      <w:t xml:space="preserve">People with Disability </w:t>
                    </w:r>
                    <w:smartTag w:uri="urn:schemas-microsoft-com:office:smarttags" w:element="place">
                      <w:smartTag w:uri="urn:schemas-microsoft-com:office:smarttags" w:element="country-region">
                        <w:r>
                          <w:rPr>
                            <w:rFonts w:ascii="Arial" w:hAnsi="Arial" w:cs="Arial"/>
                            <w:b/>
                            <w:sz w:val="18"/>
                          </w:rPr>
                          <w:t>Australia</w:t>
                        </w:r>
                      </w:smartTag>
                    </w:smartTag>
                    <w:r>
                      <w:rPr>
                        <w:rFonts w:ascii="Arial" w:hAnsi="Arial" w:cs="Arial"/>
                        <w:b/>
                        <w:sz w:val="18"/>
                      </w:rPr>
                      <w:t xml:space="preserve"> Incorporated</w:t>
                    </w:r>
                  </w:p>
                  <w:p w:rsidR="00701CBA" w:rsidRDefault="00701CBA" w:rsidP="00D808BC">
                    <w:pPr>
                      <w:pStyle w:val="PlainText"/>
                      <w:tabs>
                        <w:tab w:val="left" w:pos="1701"/>
                      </w:tabs>
                      <w:spacing w:before="40"/>
                      <w:jc w:val="left"/>
                      <w:rPr>
                        <w:rFonts w:ascii="Arial" w:hAnsi="Arial" w:cs="Arial"/>
                        <w:sz w:val="18"/>
                      </w:rPr>
                    </w:pPr>
                    <w:r>
                      <w:rPr>
                        <w:rFonts w:ascii="Arial" w:hAnsi="Arial" w:cs="Arial"/>
                        <w:b/>
                        <w:sz w:val="18"/>
                      </w:rPr>
                      <w:t>Postal Address:</w:t>
                    </w:r>
                    <w:r>
                      <w:rPr>
                        <w:rFonts w:ascii="Arial" w:hAnsi="Arial" w:cs="Arial"/>
                        <w:sz w:val="18"/>
                      </w:rPr>
                      <w:tab/>
                    </w:r>
                    <w:smartTag w:uri="urn:schemas-microsoft-com:office:smarttags" w:element="address">
                      <w:smartTag w:uri="urn:schemas-microsoft-com:office:smarttags" w:element="Street">
                        <w:r>
                          <w:rPr>
                            <w:rFonts w:ascii="Arial" w:hAnsi="Arial" w:cs="Arial"/>
                            <w:sz w:val="18"/>
                          </w:rPr>
                          <w:t>PO Box</w:t>
                        </w:r>
                      </w:smartTag>
                      <w:r>
                        <w:rPr>
                          <w:rFonts w:ascii="Arial" w:hAnsi="Arial" w:cs="Arial"/>
                          <w:sz w:val="18"/>
                        </w:rPr>
                        <w:t xml:space="preserve"> 666</w:t>
                      </w:r>
                    </w:smartTag>
                  </w:p>
                  <w:p w:rsidR="00701CBA" w:rsidRDefault="00701CBA" w:rsidP="00D808BC">
                    <w:pPr>
                      <w:pStyle w:val="PlainText"/>
                      <w:tabs>
                        <w:tab w:val="left" w:pos="1418"/>
                        <w:tab w:val="left" w:pos="1701"/>
                      </w:tabs>
                      <w:jc w:val="left"/>
                      <w:rPr>
                        <w:rFonts w:ascii="Arial" w:hAnsi="Arial" w:cs="Arial"/>
                        <w:sz w:val="18"/>
                      </w:rPr>
                    </w:pPr>
                    <w:r>
                      <w:rPr>
                        <w:rFonts w:ascii="Arial" w:hAnsi="Arial" w:cs="Arial"/>
                        <w:sz w:val="18"/>
                      </w:rPr>
                      <w:tab/>
                    </w:r>
                    <w:r>
                      <w:rPr>
                        <w:rFonts w:ascii="Arial" w:hAnsi="Arial" w:cs="Arial"/>
                        <w:sz w:val="18"/>
                      </w:rPr>
                      <w:tab/>
                      <w:t>Strawberry Hills NSW 2012</w:t>
                    </w:r>
                  </w:p>
                  <w:p w:rsidR="00701CBA" w:rsidRDefault="00701CBA" w:rsidP="00D808BC">
                    <w:pPr>
                      <w:pStyle w:val="PlainText"/>
                      <w:tabs>
                        <w:tab w:val="left" w:pos="1701"/>
                      </w:tabs>
                      <w:spacing w:before="40"/>
                      <w:jc w:val="left"/>
                      <w:rPr>
                        <w:rFonts w:ascii="Arial" w:hAnsi="Arial" w:cs="Arial"/>
                        <w:sz w:val="18"/>
                      </w:rPr>
                    </w:pPr>
                    <w:r>
                      <w:rPr>
                        <w:rFonts w:ascii="Arial" w:hAnsi="Arial" w:cs="Arial"/>
                        <w:b/>
                        <w:sz w:val="18"/>
                      </w:rPr>
                      <w:t xml:space="preserve">Street Address: </w:t>
                    </w:r>
                    <w:r>
                      <w:rPr>
                        <w:rFonts w:ascii="Arial" w:hAnsi="Arial" w:cs="Arial"/>
                        <w:b/>
                        <w:sz w:val="18"/>
                      </w:rPr>
                      <w:tab/>
                    </w:r>
                    <w:r>
                      <w:rPr>
                        <w:rFonts w:ascii="Arial" w:hAnsi="Arial" w:cs="Arial"/>
                        <w:bCs/>
                        <w:sz w:val="18"/>
                      </w:rPr>
                      <w:t>Tower 1, Level 10</w:t>
                    </w:r>
                    <w:r>
                      <w:rPr>
                        <w:rFonts w:ascii="Arial" w:hAnsi="Arial" w:cs="Arial"/>
                        <w:bCs/>
                        <w:sz w:val="18"/>
                      </w:rPr>
                      <w:br/>
                      <w:t xml:space="preserve">                                  </w:t>
                    </w:r>
                    <w:r>
                      <w:rPr>
                        <w:rFonts w:ascii="Arial" w:hAnsi="Arial" w:cs="Arial"/>
                        <w:sz w:val="18"/>
                      </w:rPr>
                      <w:t>1 Lawson Square</w:t>
                    </w:r>
                  </w:p>
                  <w:p w:rsidR="00701CBA" w:rsidRDefault="00701CBA" w:rsidP="00D808BC">
                    <w:pPr>
                      <w:pStyle w:val="PlainText"/>
                      <w:tabs>
                        <w:tab w:val="left" w:pos="1701"/>
                      </w:tabs>
                      <w:ind w:left="720" w:firstLine="720"/>
                      <w:jc w:val="left"/>
                      <w:rPr>
                        <w:rFonts w:ascii="Arial" w:hAnsi="Arial" w:cs="Arial"/>
                        <w:sz w:val="18"/>
                      </w:rPr>
                    </w:pPr>
                    <w:r>
                      <w:rPr>
                        <w:rFonts w:ascii="Arial" w:hAnsi="Arial" w:cs="Arial"/>
                        <w:sz w:val="18"/>
                      </w:rPr>
                      <w:tab/>
                      <w:t>Redfern NSW 2016</w:t>
                    </w:r>
                  </w:p>
                  <w:p w:rsidR="00701CBA" w:rsidRDefault="00701CBA" w:rsidP="00D808BC">
                    <w:pPr>
                      <w:pStyle w:val="PlainText"/>
                      <w:tabs>
                        <w:tab w:val="left" w:pos="1418"/>
                        <w:tab w:val="left" w:pos="1701"/>
                      </w:tabs>
                      <w:spacing w:before="40"/>
                      <w:jc w:val="left"/>
                      <w:rPr>
                        <w:rFonts w:ascii="Arial" w:hAnsi="Arial" w:cs="Arial"/>
                        <w:sz w:val="18"/>
                      </w:rPr>
                    </w:pPr>
                    <w:r>
                      <w:rPr>
                        <w:rFonts w:ascii="Arial" w:hAnsi="Arial" w:cs="Arial"/>
                        <w:b/>
                        <w:sz w:val="18"/>
                      </w:rPr>
                      <w:t>Phone:</w:t>
                    </w:r>
                    <w:r>
                      <w:rPr>
                        <w:rFonts w:ascii="Arial" w:hAnsi="Arial" w:cs="Arial"/>
                        <w:b/>
                        <w:sz w:val="18"/>
                      </w:rPr>
                      <w:tab/>
                    </w:r>
                    <w:r>
                      <w:rPr>
                        <w:rFonts w:ascii="Arial" w:hAnsi="Arial" w:cs="Arial"/>
                        <w:b/>
                        <w:sz w:val="18"/>
                      </w:rPr>
                      <w:tab/>
                    </w:r>
                    <w:r>
                      <w:rPr>
                        <w:rFonts w:ascii="Arial" w:hAnsi="Arial" w:cs="Arial"/>
                        <w:sz w:val="18"/>
                      </w:rPr>
                      <w:t>02 9370 3100</w:t>
                    </w:r>
                  </w:p>
                  <w:p w:rsidR="00701CBA" w:rsidRDefault="00701CBA" w:rsidP="00D808BC">
                    <w:pPr>
                      <w:pStyle w:val="PlainText"/>
                      <w:tabs>
                        <w:tab w:val="left" w:pos="1418"/>
                        <w:tab w:val="left" w:pos="1701"/>
                      </w:tabs>
                      <w:jc w:val="left"/>
                      <w:rPr>
                        <w:rFonts w:ascii="Arial" w:hAnsi="Arial" w:cs="Arial"/>
                        <w:sz w:val="18"/>
                      </w:rPr>
                    </w:pPr>
                    <w:r>
                      <w:rPr>
                        <w:rFonts w:ascii="Arial" w:hAnsi="Arial" w:cs="Arial"/>
                        <w:b/>
                        <w:sz w:val="18"/>
                      </w:rPr>
                      <w:t>Toll Free:</w:t>
                    </w:r>
                    <w:r>
                      <w:rPr>
                        <w:rFonts w:ascii="Arial" w:hAnsi="Arial" w:cs="Arial"/>
                        <w:sz w:val="18"/>
                      </w:rPr>
                      <w:t xml:space="preserve"> </w:t>
                    </w:r>
                    <w:r>
                      <w:rPr>
                        <w:rFonts w:ascii="Arial" w:hAnsi="Arial" w:cs="Arial"/>
                        <w:sz w:val="18"/>
                      </w:rPr>
                      <w:tab/>
                    </w:r>
                    <w:r>
                      <w:rPr>
                        <w:rFonts w:ascii="Arial" w:hAnsi="Arial" w:cs="Arial"/>
                        <w:sz w:val="18"/>
                      </w:rPr>
                      <w:tab/>
                      <w:t>1800 422 015</w:t>
                    </w:r>
                  </w:p>
                  <w:p w:rsidR="00701CBA" w:rsidRDefault="00701CBA" w:rsidP="00D808BC">
                    <w:pPr>
                      <w:pStyle w:val="PlainText"/>
                      <w:tabs>
                        <w:tab w:val="left" w:pos="1701"/>
                      </w:tabs>
                      <w:jc w:val="left"/>
                      <w:rPr>
                        <w:rFonts w:ascii="Arial" w:hAnsi="Arial" w:cs="Arial"/>
                        <w:b/>
                        <w:sz w:val="18"/>
                      </w:rPr>
                    </w:pPr>
                    <w:r>
                      <w:rPr>
                        <w:rFonts w:ascii="Arial" w:hAnsi="Arial" w:cs="Arial"/>
                        <w:b/>
                        <w:sz w:val="18"/>
                      </w:rPr>
                      <w:t>Fax:</w:t>
                    </w:r>
                    <w:r>
                      <w:rPr>
                        <w:rFonts w:ascii="Arial" w:hAnsi="Arial" w:cs="Arial"/>
                        <w:b/>
                        <w:sz w:val="18"/>
                      </w:rPr>
                      <w:tab/>
                    </w:r>
                    <w:r>
                      <w:rPr>
                        <w:rFonts w:ascii="Arial" w:hAnsi="Arial" w:cs="Arial"/>
                        <w:sz w:val="18"/>
                      </w:rPr>
                      <w:t>02 9318 1372</w:t>
                    </w:r>
                  </w:p>
                  <w:p w:rsidR="00701CBA" w:rsidRDefault="00701CBA" w:rsidP="00D808BC">
                    <w:pPr>
                      <w:pStyle w:val="PlainText"/>
                      <w:tabs>
                        <w:tab w:val="left" w:pos="1418"/>
                        <w:tab w:val="left" w:pos="1701"/>
                      </w:tabs>
                      <w:jc w:val="left"/>
                      <w:rPr>
                        <w:rFonts w:ascii="Arial" w:hAnsi="Arial" w:cs="Arial"/>
                        <w:sz w:val="18"/>
                      </w:rPr>
                    </w:pPr>
                    <w:r>
                      <w:rPr>
                        <w:rFonts w:ascii="Arial" w:hAnsi="Arial" w:cs="Arial"/>
                        <w:b/>
                        <w:sz w:val="18"/>
                      </w:rPr>
                      <w:t>TTY:</w:t>
                    </w:r>
                    <w:r>
                      <w:rPr>
                        <w:rFonts w:ascii="Arial" w:hAnsi="Arial" w:cs="Arial"/>
                        <w:sz w:val="18"/>
                      </w:rPr>
                      <w:t xml:space="preserve"> </w:t>
                    </w:r>
                    <w:r>
                      <w:rPr>
                        <w:rFonts w:ascii="Arial" w:hAnsi="Arial" w:cs="Arial"/>
                        <w:sz w:val="18"/>
                      </w:rPr>
                      <w:tab/>
                    </w:r>
                    <w:r>
                      <w:rPr>
                        <w:rFonts w:ascii="Arial" w:hAnsi="Arial" w:cs="Arial"/>
                        <w:sz w:val="18"/>
                      </w:rPr>
                      <w:tab/>
                      <w:t>02 9318 2138</w:t>
                    </w:r>
                  </w:p>
                  <w:p w:rsidR="00701CBA" w:rsidRDefault="00701CBA" w:rsidP="00D808BC">
                    <w:pPr>
                      <w:pStyle w:val="PlainText"/>
                      <w:tabs>
                        <w:tab w:val="left" w:pos="1418"/>
                        <w:tab w:val="left" w:pos="1701"/>
                      </w:tabs>
                      <w:jc w:val="left"/>
                      <w:rPr>
                        <w:rFonts w:ascii="Arial" w:hAnsi="Arial" w:cs="Arial"/>
                        <w:sz w:val="18"/>
                      </w:rPr>
                    </w:pPr>
                    <w:r>
                      <w:rPr>
                        <w:rFonts w:ascii="Arial" w:hAnsi="Arial" w:cs="Arial"/>
                        <w:b/>
                        <w:bCs/>
                        <w:sz w:val="18"/>
                      </w:rPr>
                      <w:t>Toll Free TTY:</w:t>
                    </w:r>
                    <w:r>
                      <w:rPr>
                        <w:rFonts w:ascii="Arial" w:hAnsi="Arial" w:cs="Arial"/>
                        <w:sz w:val="18"/>
                      </w:rPr>
                      <w:t xml:space="preserve"> </w:t>
                    </w:r>
                    <w:r>
                      <w:rPr>
                        <w:rFonts w:ascii="Arial" w:hAnsi="Arial" w:cs="Arial"/>
                        <w:sz w:val="18"/>
                      </w:rPr>
                      <w:tab/>
                    </w:r>
                    <w:r>
                      <w:rPr>
                        <w:rFonts w:ascii="Arial" w:hAnsi="Arial" w:cs="Arial"/>
                        <w:sz w:val="18"/>
                      </w:rPr>
                      <w:tab/>
                      <w:t>1800 422 016</w:t>
                    </w:r>
                  </w:p>
                  <w:p w:rsidR="00701CBA" w:rsidRDefault="00701CBA" w:rsidP="00D808BC">
                    <w:pPr>
                      <w:pStyle w:val="PlainText"/>
                      <w:tabs>
                        <w:tab w:val="left" w:pos="1418"/>
                        <w:tab w:val="left" w:pos="1701"/>
                      </w:tabs>
                      <w:jc w:val="left"/>
                      <w:rPr>
                        <w:rFonts w:ascii="Arial" w:hAnsi="Arial" w:cs="Arial"/>
                        <w:sz w:val="18"/>
                      </w:rPr>
                    </w:pPr>
                    <w:r>
                      <w:rPr>
                        <w:rFonts w:ascii="Arial" w:hAnsi="Arial" w:cs="Arial"/>
                        <w:b/>
                        <w:sz w:val="18"/>
                      </w:rPr>
                      <w:t>Email:</w:t>
                    </w:r>
                    <w:r>
                      <w:rPr>
                        <w:rFonts w:ascii="Arial" w:hAnsi="Arial" w:cs="Arial"/>
                        <w:sz w:val="18"/>
                      </w:rPr>
                      <w:t xml:space="preserve"> </w:t>
                    </w:r>
                    <w:r>
                      <w:rPr>
                        <w:rFonts w:ascii="Arial" w:hAnsi="Arial" w:cs="Arial"/>
                        <w:sz w:val="18"/>
                      </w:rPr>
                      <w:tab/>
                    </w:r>
                    <w:r>
                      <w:rPr>
                        <w:rFonts w:ascii="Arial" w:hAnsi="Arial" w:cs="Arial"/>
                        <w:sz w:val="18"/>
                      </w:rPr>
                      <w:tab/>
                    </w:r>
                    <w:hyperlink r:id="rId2" w:history="1">
                      <w:r>
                        <w:rPr>
                          <w:rStyle w:val="Hyperlink"/>
                          <w:rFonts w:cs="Arial"/>
                          <w:sz w:val="18"/>
                        </w:rPr>
                        <w:t>pwd@pwd.org.au</w:t>
                      </w:r>
                    </w:hyperlink>
                  </w:p>
                  <w:p w:rsidR="00701CBA" w:rsidRDefault="00701CBA" w:rsidP="00D808BC">
                    <w:pPr>
                      <w:pStyle w:val="PlainText"/>
                      <w:tabs>
                        <w:tab w:val="left" w:pos="1701"/>
                      </w:tabs>
                      <w:spacing w:before="40"/>
                      <w:jc w:val="left"/>
                      <w:rPr>
                        <w:rFonts w:ascii="Arial" w:hAnsi="Arial" w:cs="Arial"/>
                        <w:sz w:val="18"/>
                      </w:rPr>
                    </w:pPr>
                    <w:r>
                      <w:rPr>
                        <w:rFonts w:ascii="Arial" w:hAnsi="Arial" w:cs="Arial"/>
                        <w:b/>
                        <w:bCs/>
                        <w:sz w:val="18"/>
                      </w:rPr>
                      <w:t xml:space="preserve">TIS: </w:t>
                    </w:r>
                    <w:r>
                      <w:rPr>
                        <w:rFonts w:ascii="Arial" w:hAnsi="Arial" w:cs="Arial"/>
                        <w:sz w:val="18"/>
                      </w:rPr>
                      <w:t>13 14 50</w:t>
                    </w:r>
                    <w:r>
                      <w:rPr>
                        <w:rFonts w:ascii="Arial" w:hAnsi="Arial" w:cs="Arial"/>
                        <w:sz w:val="18"/>
                      </w:rPr>
                      <w:tab/>
                    </w:r>
                    <w:r>
                      <w:rPr>
                        <w:rFonts w:ascii="Arial" w:hAnsi="Arial" w:cs="Arial"/>
                        <w:b/>
                        <w:bCs/>
                        <w:sz w:val="18"/>
                      </w:rPr>
                      <w:t xml:space="preserve">NRS: </w:t>
                    </w:r>
                    <w:r>
                      <w:rPr>
                        <w:rFonts w:ascii="Arial" w:hAnsi="Arial" w:cs="Arial"/>
                        <w:sz w:val="18"/>
                      </w:rPr>
                      <w:t>1800 555 677</w:t>
                    </w:r>
                  </w:p>
                  <w:p w:rsidR="00701CBA" w:rsidRDefault="00701CBA" w:rsidP="00D808BC">
                    <w:pPr>
                      <w:pStyle w:val="PlainText"/>
                      <w:tabs>
                        <w:tab w:val="left" w:pos="1701"/>
                      </w:tabs>
                      <w:spacing w:before="120"/>
                      <w:jc w:val="left"/>
                      <w:rPr>
                        <w:sz w:val="18"/>
                      </w:rPr>
                    </w:pPr>
                    <w:r>
                      <w:rPr>
                        <w:rFonts w:ascii="Arial" w:hAnsi="Arial"/>
                        <w:sz w:val="18"/>
                      </w:rPr>
                      <w:t>NGO in Special Consultative Status with the</w:t>
                    </w:r>
                    <w:r>
                      <w:rPr>
                        <w:rFonts w:ascii="Arial" w:hAnsi="Arial"/>
                        <w:sz w:val="18"/>
                      </w:rPr>
                      <w:br/>
                      <w:t>Economic and Social Council of the United Nations</w:t>
                    </w:r>
                  </w:p>
                </w:txbxContent>
              </v:textbox>
              <w10:wrap anchorx="page" anchory="page"/>
            </v:shape>
          </w:pict>
        </mc:Fallback>
      </mc:AlternateContent>
    </w:r>
    <w:r w:rsidRPr="00D808BC">
      <w:rPr>
        <w:rFonts w:cs="Times New Roman"/>
        <w:noProof/>
        <w:szCs w:val="20"/>
      </w:rPr>
      <w:drawing>
        <wp:anchor distT="0" distB="0" distL="114300" distR="114300" simplePos="0" relativeHeight="251658240" behindDoc="0" locked="0" layoutInCell="1" allowOverlap="1">
          <wp:simplePos x="0" y="0"/>
          <wp:positionH relativeFrom="column">
            <wp:posOffset>-9525</wp:posOffset>
          </wp:positionH>
          <wp:positionV relativeFrom="paragraph">
            <wp:posOffset>70485</wp:posOffset>
          </wp:positionV>
          <wp:extent cx="919480" cy="1096010"/>
          <wp:effectExtent l="0" t="0" r="0" b="8890"/>
          <wp:wrapSquare wrapText="bothSides"/>
          <wp:docPr id="4" name="Picture 4" descr="pwda-435x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wda-435x5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9480" cy="1096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1CBA" w:rsidRDefault="00701CBA" w:rsidP="00DF2E4A">
    <w:pPr>
      <w:keepLines/>
      <w:tabs>
        <w:tab w:val="center" w:pos="4153"/>
        <w:tab w:val="right" w:pos="8306"/>
      </w:tabs>
      <w:rPr>
        <w:sz w:val="14"/>
      </w:rPr>
    </w:pPr>
    <w:r w:rsidRPr="00D808BC">
      <w:rPr>
        <w:rFonts w:cs="Times New Roman"/>
        <w:noProof/>
        <w:sz w:val="20"/>
        <w:szCs w:val="20"/>
      </w:rPr>
      <mc:AlternateContent>
        <mc:Choice Requires="wps">
          <w:drawing>
            <wp:anchor distT="0" distB="0" distL="114300" distR="114300" simplePos="0" relativeHeight="251657216" behindDoc="0" locked="0" layoutInCell="1" allowOverlap="1">
              <wp:simplePos x="0" y="0"/>
              <wp:positionH relativeFrom="column">
                <wp:posOffset>-152400</wp:posOffset>
              </wp:positionH>
              <wp:positionV relativeFrom="paragraph">
                <wp:posOffset>1059180</wp:posOffset>
              </wp:positionV>
              <wp:extent cx="1066800" cy="228600"/>
              <wp:effectExtent l="0" t="1905" r="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1CBA" w:rsidRDefault="00701CBA" w:rsidP="00D808BC">
                          <w:pPr>
                            <w:pStyle w:val="pwd"/>
                            <w:keepLines/>
                            <w:jc w:val="left"/>
                            <w:rPr>
                              <w:rFonts w:ascii="Arial" w:hAnsi="Arial"/>
                              <w:spacing w:val="0"/>
                            </w:rPr>
                          </w:pPr>
                          <w:r>
                            <w:rPr>
                              <w:rFonts w:ascii="Arial" w:hAnsi="Arial"/>
                              <w:spacing w:val="0"/>
                            </w:rPr>
                            <w:t xml:space="preserve">  ABN 98 879 981 198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12pt;margin-top:83.4pt;width:84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" stroked="f">
              <v:textbox>
                <w:txbxContent>
                  <w:p w:rsidR="00701CBA" w:rsidRDefault="00701CBA" w:rsidP="00D808BC">
                    <w:pPr>
                      <w:pStyle w:val="pwd"/>
                      <w:keepLines/>
                      <w:jc w:val="left"/>
                      <w:rPr>
                        <w:rFonts w:ascii="Arial" w:hAnsi="Arial"/>
                        <w:spacing w:val="0"/>
                      </w:rPr>
                    </w:pPr>
                    <w:r>
                      <w:rPr>
                        <w:rFonts w:ascii="Arial" w:hAnsi="Arial"/>
                        <w:spacing w:val="0"/>
                      </w:rPr>
                      <w:t xml:space="preserve">  ABN 98 879 981 198</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30140"/>
    <w:multiLevelType w:val="hybridMultilevel"/>
    <w:tmpl w:val="26EC8AC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4678EB"/>
    <w:multiLevelType w:val="hybridMultilevel"/>
    <w:tmpl w:val="5A76BB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A5D3973"/>
    <w:multiLevelType w:val="hybridMultilevel"/>
    <w:tmpl w:val="4CACE99E"/>
    <w:lvl w:ilvl="0" w:tplc="0C090003">
      <w:start w:val="1"/>
      <w:numFmt w:val="bullet"/>
      <w:lvlText w:val="o"/>
      <w:lvlJc w:val="left"/>
      <w:pPr>
        <w:ind w:left="720" w:hanging="360"/>
      </w:pPr>
      <w:rPr>
        <w:rFonts w:ascii="Courier New" w:hAnsi="Courier New" w:cs="Courier New"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EAC1942"/>
    <w:multiLevelType w:val="hybridMultilevel"/>
    <w:tmpl w:val="48F2DA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3BA6E7F"/>
    <w:multiLevelType w:val="hybridMultilevel"/>
    <w:tmpl w:val="0CCEBB08"/>
    <w:lvl w:ilvl="0" w:tplc="ADC29BE0">
      <w:start w:val="1"/>
      <w:numFmt w:val="bullet"/>
      <w:pStyle w:val="PFBulletLevel1"/>
      <w:lvlText w:val="o"/>
      <w:lvlJc w:val="left"/>
      <w:pPr>
        <w:ind w:left="2002" w:hanging="360"/>
      </w:pPr>
      <w:rPr>
        <w:rFonts w:ascii="Courier New" w:hAnsi="Courier New" w:cs="Courier New"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5">
    <w:nsid w:val="15CC6E25"/>
    <w:multiLevelType w:val="hybridMultilevel"/>
    <w:tmpl w:val="9174BBF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6697113"/>
    <w:multiLevelType w:val="hybridMultilevel"/>
    <w:tmpl w:val="6956802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8AB0992"/>
    <w:multiLevelType w:val="multilevel"/>
    <w:tmpl w:val="AADC6E82"/>
    <w:lvl w:ilvl="0">
      <w:start w:val="1"/>
      <w:numFmt w:val="decimal"/>
      <w:pStyle w:val="PFNumLevel1"/>
      <w:lvlText w:val="%1"/>
      <w:lvlJc w:val="left"/>
      <w:pPr>
        <w:tabs>
          <w:tab w:val="num" w:pos="924"/>
        </w:tabs>
        <w:ind w:left="924" w:hanging="924"/>
      </w:pPr>
      <w:rPr>
        <w:rFonts w:hint="default"/>
      </w:rPr>
    </w:lvl>
    <w:lvl w:ilvl="1">
      <w:start w:val="1"/>
      <w:numFmt w:val="decimal"/>
      <w:lvlText w:val="%2."/>
      <w:lvlJc w:val="left"/>
      <w:pPr>
        <w:tabs>
          <w:tab w:val="num" w:pos="1848"/>
        </w:tabs>
        <w:ind w:left="1848" w:hanging="924"/>
      </w:pPr>
      <w:rPr>
        <w:rFonts w:ascii="Arial" w:eastAsia="Times New Roman" w:hAnsi="Arial" w:cs="Times New Roman"/>
      </w:rPr>
    </w:lvl>
    <w:lvl w:ilvl="2">
      <w:start w:val="1"/>
      <w:numFmt w:val="decimal"/>
      <w:lvlText w:val="%1.%2.%3"/>
      <w:lvlJc w:val="left"/>
      <w:pPr>
        <w:tabs>
          <w:tab w:val="num" w:pos="2773"/>
        </w:tabs>
        <w:ind w:left="2773" w:hanging="925"/>
      </w:pPr>
      <w:rPr>
        <w:rFonts w:hint="default"/>
      </w:rPr>
    </w:lvl>
    <w:lvl w:ilvl="3">
      <w:start w:val="1"/>
      <w:numFmt w:val="lowerLetter"/>
      <w:pStyle w:val="PFNumLevel4"/>
      <w:lvlText w:val="(%4)"/>
      <w:lvlJc w:val="left"/>
      <w:pPr>
        <w:tabs>
          <w:tab w:val="num" w:pos="3697"/>
        </w:tabs>
        <w:ind w:left="3697" w:hanging="924"/>
      </w:pPr>
      <w:rPr>
        <w:rFonts w:ascii="Calibri" w:hAnsi="Calibri" w:hint="default"/>
        <w:b w:val="0"/>
        <w:bCs w:val="0"/>
        <w:i w:val="0"/>
        <w:iCs w:val="0"/>
        <w:caps w:val="0"/>
        <w:smallCaps w:val="0"/>
        <w:strike w:val="0"/>
        <w:dstrike w:val="0"/>
        <w:outline w:val="0"/>
        <w:shadow w:val="0"/>
        <w:emboss w:val="0"/>
        <w:imprint w:val="0"/>
        <w:color w:val="000000"/>
        <w:spacing w:val="0"/>
        <w:w w:val="100"/>
        <w:kern w:val="28"/>
        <w:position w:val="0"/>
        <w:sz w:val="22"/>
        <w:u w:val="none"/>
        <w:effect w:val="none"/>
        <w:bdr w:val="none" w:sz="0" w:space="0" w:color="auto"/>
        <w:shd w:val="clear" w:color="auto" w:fill="auto"/>
        <w:vertAlign w:val="baseline"/>
        <w:em w:val="none"/>
      </w:rPr>
    </w:lvl>
    <w:lvl w:ilvl="4">
      <w:start w:val="1"/>
      <w:numFmt w:val="lowerLetter"/>
      <w:lvlText w:val="(%5)"/>
      <w:lvlJc w:val="left"/>
      <w:pPr>
        <w:tabs>
          <w:tab w:val="num" w:pos="1848"/>
        </w:tabs>
        <w:ind w:left="1848" w:hanging="924"/>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19866836"/>
    <w:multiLevelType w:val="hybridMultilevel"/>
    <w:tmpl w:val="5908036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B8735A1"/>
    <w:multiLevelType w:val="hybridMultilevel"/>
    <w:tmpl w:val="3DB6CFD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8E7821"/>
    <w:multiLevelType w:val="hybridMultilevel"/>
    <w:tmpl w:val="D0E4750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DDE7419"/>
    <w:multiLevelType w:val="hybridMultilevel"/>
    <w:tmpl w:val="7CDEC17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FE13137"/>
    <w:multiLevelType w:val="hybridMultilevel"/>
    <w:tmpl w:val="A8A2F3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1061CB2"/>
    <w:multiLevelType w:val="hybridMultilevel"/>
    <w:tmpl w:val="FF088C12"/>
    <w:lvl w:ilvl="0" w:tplc="0C090003">
      <w:start w:val="1"/>
      <w:numFmt w:val="bullet"/>
      <w:lvlText w:val="o"/>
      <w:lvlJc w:val="left"/>
      <w:pPr>
        <w:ind w:left="360" w:hanging="360"/>
      </w:pPr>
      <w:rPr>
        <w:rFonts w:ascii="Courier New" w:hAnsi="Courier New" w:cs="Courier New"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4">
    <w:nsid w:val="217E258C"/>
    <w:multiLevelType w:val="multilevel"/>
    <w:tmpl w:val="06D473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249E6B78"/>
    <w:multiLevelType w:val="hybridMultilevel"/>
    <w:tmpl w:val="4C0E404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9F424A6"/>
    <w:multiLevelType w:val="hybridMultilevel"/>
    <w:tmpl w:val="73ACF0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AF404F1"/>
    <w:multiLevelType w:val="hybridMultilevel"/>
    <w:tmpl w:val="666E1B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2A64D2A"/>
    <w:multiLevelType w:val="hybridMultilevel"/>
    <w:tmpl w:val="1242ACBE"/>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2F81D93"/>
    <w:multiLevelType w:val="hybridMultilevel"/>
    <w:tmpl w:val="9446B50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671298"/>
    <w:multiLevelType w:val="hybridMultilevel"/>
    <w:tmpl w:val="1214C66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D1E3B6C"/>
    <w:multiLevelType w:val="multilevel"/>
    <w:tmpl w:val="7376E89A"/>
    <w:lvl w:ilvl="0">
      <w:start w:val="10"/>
      <w:numFmt w:val="decimal"/>
      <w:lvlText w:val="%1."/>
      <w:lvlJc w:val="left"/>
      <w:pPr>
        <w:ind w:left="360" w:hanging="360"/>
      </w:pPr>
      <w:rPr>
        <w:rFonts w:hint="default"/>
      </w:rPr>
    </w:lvl>
    <w:lvl w:ilvl="1">
      <w:start w:val="1"/>
      <w:numFmt w:val="bullet"/>
      <w:pStyle w:val="PFBulletMargin"/>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4A22137"/>
    <w:multiLevelType w:val="hybridMultilevel"/>
    <w:tmpl w:val="09183A54"/>
    <w:lvl w:ilvl="0" w:tplc="2B06E864">
      <w:start w:val="1"/>
      <w:numFmt w:val="decimal"/>
      <w:lvlText w:val="%1."/>
      <w:lvlJc w:val="left"/>
      <w:pPr>
        <w:ind w:left="720" w:hanging="360"/>
      </w:pPr>
      <w:rPr>
        <w:rFonts w:hint="default"/>
        <w:b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88355D8"/>
    <w:multiLevelType w:val="hybridMultilevel"/>
    <w:tmpl w:val="044E639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A7E6A13"/>
    <w:multiLevelType w:val="hybridMultilevel"/>
    <w:tmpl w:val="2CCACE4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5E8D0287"/>
    <w:multiLevelType w:val="hybridMultilevel"/>
    <w:tmpl w:val="4C1AD7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0240543"/>
    <w:multiLevelType w:val="hybridMultilevel"/>
    <w:tmpl w:val="0C021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2256F4A"/>
    <w:multiLevelType w:val="hybridMultilevel"/>
    <w:tmpl w:val="5D70E9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7FB66C2"/>
    <w:multiLevelType w:val="hybridMultilevel"/>
    <w:tmpl w:val="C384155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8756401"/>
    <w:multiLevelType w:val="hybridMultilevel"/>
    <w:tmpl w:val="768C5A0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4"/>
  </w:num>
  <w:num w:numId="4">
    <w:abstractNumId w:val="1"/>
  </w:num>
  <w:num w:numId="5">
    <w:abstractNumId w:val="6"/>
  </w:num>
  <w:num w:numId="6">
    <w:abstractNumId w:val="18"/>
  </w:num>
  <w:num w:numId="7">
    <w:abstractNumId w:val="14"/>
  </w:num>
  <w:num w:numId="8">
    <w:abstractNumId w:val="26"/>
  </w:num>
  <w:num w:numId="9">
    <w:abstractNumId w:val="10"/>
  </w:num>
  <w:num w:numId="10">
    <w:abstractNumId w:val="25"/>
  </w:num>
  <w:num w:numId="11">
    <w:abstractNumId w:val="12"/>
  </w:num>
  <w:num w:numId="12">
    <w:abstractNumId w:val="23"/>
  </w:num>
  <w:num w:numId="13">
    <w:abstractNumId w:val="11"/>
  </w:num>
  <w:num w:numId="14">
    <w:abstractNumId w:val="20"/>
  </w:num>
  <w:num w:numId="15">
    <w:abstractNumId w:val="27"/>
  </w:num>
  <w:num w:numId="16">
    <w:abstractNumId w:val="2"/>
  </w:num>
  <w:num w:numId="17">
    <w:abstractNumId w:val="29"/>
  </w:num>
  <w:num w:numId="18">
    <w:abstractNumId w:val="13"/>
  </w:num>
  <w:num w:numId="19">
    <w:abstractNumId w:val="15"/>
  </w:num>
  <w:num w:numId="20">
    <w:abstractNumId w:val="5"/>
  </w:num>
  <w:num w:numId="21">
    <w:abstractNumId w:val="17"/>
  </w:num>
  <w:num w:numId="22">
    <w:abstractNumId w:val="24"/>
  </w:num>
  <w:num w:numId="23">
    <w:abstractNumId w:val="19"/>
  </w:num>
  <w:num w:numId="24">
    <w:abstractNumId w:val="0"/>
  </w:num>
  <w:num w:numId="25">
    <w:abstractNumId w:val="9"/>
  </w:num>
  <w:num w:numId="26">
    <w:abstractNumId w:val="28"/>
  </w:num>
  <w:num w:numId="27">
    <w:abstractNumId w:val="22"/>
  </w:num>
  <w:num w:numId="28">
    <w:abstractNumId w:val="3"/>
  </w:num>
  <w:num w:numId="29">
    <w:abstractNumId w:val="16"/>
  </w:num>
  <w:num w:numId="30">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6AB"/>
    <w:rsid w:val="00001744"/>
    <w:rsid w:val="00004D58"/>
    <w:rsid w:val="00007FD4"/>
    <w:rsid w:val="00013A1C"/>
    <w:rsid w:val="000160B4"/>
    <w:rsid w:val="0002108C"/>
    <w:rsid w:val="00032A28"/>
    <w:rsid w:val="00035597"/>
    <w:rsid w:val="00036D87"/>
    <w:rsid w:val="000373DF"/>
    <w:rsid w:val="00054608"/>
    <w:rsid w:val="00063573"/>
    <w:rsid w:val="000730B1"/>
    <w:rsid w:val="00081959"/>
    <w:rsid w:val="00087415"/>
    <w:rsid w:val="00090D78"/>
    <w:rsid w:val="000915A7"/>
    <w:rsid w:val="000966E9"/>
    <w:rsid w:val="000B03AA"/>
    <w:rsid w:val="000B52A4"/>
    <w:rsid w:val="000C23DD"/>
    <w:rsid w:val="000D2FEE"/>
    <w:rsid w:val="000E5167"/>
    <w:rsid w:val="000F2A37"/>
    <w:rsid w:val="00100F5F"/>
    <w:rsid w:val="00106A13"/>
    <w:rsid w:val="00110721"/>
    <w:rsid w:val="00120AE1"/>
    <w:rsid w:val="001225CA"/>
    <w:rsid w:val="00122F55"/>
    <w:rsid w:val="00123343"/>
    <w:rsid w:val="00124730"/>
    <w:rsid w:val="00134D85"/>
    <w:rsid w:val="00135CAC"/>
    <w:rsid w:val="001430BF"/>
    <w:rsid w:val="001469B3"/>
    <w:rsid w:val="00154D46"/>
    <w:rsid w:val="00155D51"/>
    <w:rsid w:val="00160489"/>
    <w:rsid w:val="001645BC"/>
    <w:rsid w:val="00165EC2"/>
    <w:rsid w:val="00167EA3"/>
    <w:rsid w:val="00172ECF"/>
    <w:rsid w:val="001815A8"/>
    <w:rsid w:val="00191F22"/>
    <w:rsid w:val="0019775D"/>
    <w:rsid w:val="001B2A27"/>
    <w:rsid w:val="001B60E8"/>
    <w:rsid w:val="001C17A0"/>
    <w:rsid w:val="001C2097"/>
    <w:rsid w:val="001C4F56"/>
    <w:rsid w:val="001D6C4B"/>
    <w:rsid w:val="001E7B5E"/>
    <w:rsid w:val="001F47D9"/>
    <w:rsid w:val="001F6DFE"/>
    <w:rsid w:val="00201C88"/>
    <w:rsid w:val="002057FB"/>
    <w:rsid w:val="0021748C"/>
    <w:rsid w:val="002237A3"/>
    <w:rsid w:val="00225D20"/>
    <w:rsid w:val="00225E6A"/>
    <w:rsid w:val="0023125F"/>
    <w:rsid w:val="00243D85"/>
    <w:rsid w:val="00243FB3"/>
    <w:rsid w:val="00244850"/>
    <w:rsid w:val="00245B37"/>
    <w:rsid w:val="002718BD"/>
    <w:rsid w:val="002775DB"/>
    <w:rsid w:val="00284477"/>
    <w:rsid w:val="00284A0D"/>
    <w:rsid w:val="00286E22"/>
    <w:rsid w:val="00293C3F"/>
    <w:rsid w:val="0029428E"/>
    <w:rsid w:val="002944E5"/>
    <w:rsid w:val="00294CF5"/>
    <w:rsid w:val="002A10C6"/>
    <w:rsid w:val="002A4A27"/>
    <w:rsid w:val="002B05C0"/>
    <w:rsid w:val="002B0895"/>
    <w:rsid w:val="002C34B9"/>
    <w:rsid w:val="002D3029"/>
    <w:rsid w:val="002D46C6"/>
    <w:rsid w:val="002D6029"/>
    <w:rsid w:val="002D724D"/>
    <w:rsid w:val="002E2026"/>
    <w:rsid w:val="002E5435"/>
    <w:rsid w:val="003005E9"/>
    <w:rsid w:val="00301B24"/>
    <w:rsid w:val="003112A6"/>
    <w:rsid w:val="003151FC"/>
    <w:rsid w:val="00317417"/>
    <w:rsid w:val="00323736"/>
    <w:rsid w:val="00332341"/>
    <w:rsid w:val="0033559C"/>
    <w:rsid w:val="00347AF8"/>
    <w:rsid w:val="00364EC2"/>
    <w:rsid w:val="0036787B"/>
    <w:rsid w:val="0037418D"/>
    <w:rsid w:val="003745B3"/>
    <w:rsid w:val="00376A87"/>
    <w:rsid w:val="003809AB"/>
    <w:rsid w:val="00382699"/>
    <w:rsid w:val="00386342"/>
    <w:rsid w:val="00397A1A"/>
    <w:rsid w:val="00397B05"/>
    <w:rsid w:val="003A00C6"/>
    <w:rsid w:val="003A38B3"/>
    <w:rsid w:val="003A5B5C"/>
    <w:rsid w:val="003B5012"/>
    <w:rsid w:val="003D4F72"/>
    <w:rsid w:val="003D71EF"/>
    <w:rsid w:val="003E46CE"/>
    <w:rsid w:val="00405490"/>
    <w:rsid w:val="00406FE0"/>
    <w:rsid w:val="004110EA"/>
    <w:rsid w:val="00414E6A"/>
    <w:rsid w:val="00415F0F"/>
    <w:rsid w:val="00421500"/>
    <w:rsid w:val="00421D4D"/>
    <w:rsid w:val="00441322"/>
    <w:rsid w:val="00445332"/>
    <w:rsid w:val="00455B09"/>
    <w:rsid w:val="00456EBB"/>
    <w:rsid w:val="004612DD"/>
    <w:rsid w:val="00464113"/>
    <w:rsid w:val="00464B24"/>
    <w:rsid w:val="00471091"/>
    <w:rsid w:val="00473500"/>
    <w:rsid w:val="004754EA"/>
    <w:rsid w:val="004771D4"/>
    <w:rsid w:val="00486E23"/>
    <w:rsid w:val="00487678"/>
    <w:rsid w:val="00493281"/>
    <w:rsid w:val="00493376"/>
    <w:rsid w:val="00493B12"/>
    <w:rsid w:val="00495732"/>
    <w:rsid w:val="00495AE2"/>
    <w:rsid w:val="004A0A88"/>
    <w:rsid w:val="004A14E0"/>
    <w:rsid w:val="004A5739"/>
    <w:rsid w:val="004B0BB1"/>
    <w:rsid w:val="004B10DE"/>
    <w:rsid w:val="004C0B06"/>
    <w:rsid w:val="004C715C"/>
    <w:rsid w:val="004C7899"/>
    <w:rsid w:val="004D2FF6"/>
    <w:rsid w:val="004D3BD3"/>
    <w:rsid w:val="004E3A46"/>
    <w:rsid w:val="004E448E"/>
    <w:rsid w:val="004F247D"/>
    <w:rsid w:val="005005FD"/>
    <w:rsid w:val="00502A87"/>
    <w:rsid w:val="00512E79"/>
    <w:rsid w:val="00514DE9"/>
    <w:rsid w:val="00516923"/>
    <w:rsid w:val="00540CF6"/>
    <w:rsid w:val="00543B76"/>
    <w:rsid w:val="00544397"/>
    <w:rsid w:val="00545A40"/>
    <w:rsid w:val="00552B85"/>
    <w:rsid w:val="0055697C"/>
    <w:rsid w:val="00562765"/>
    <w:rsid w:val="00564B4F"/>
    <w:rsid w:val="005678E6"/>
    <w:rsid w:val="00571D18"/>
    <w:rsid w:val="00577576"/>
    <w:rsid w:val="00577B7A"/>
    <w:rsid w:val="00583747"/>
    <w:rsid w:val="00591EAC"/>
    <w:rsid w:val="005A7E1B"/>
    <w:rsid w:val="005B696C"/>
    <w:rsid w:val="005C3E1B"/>
    <w:rsid w:val="005C56E7"/>
    <w:rsid w:val="005D2522"/>
    <w:rsid w:val="005D3C6B"/>
    <w:rsid w:val="005D504F"/>
    <w:rsid w:val="005E2169"/>
    <w:rsid w:val="005E6F03"/>
    <w:rsid w:val="005F4263"/>
    <w:rsid w:val="005F5398"/>
    <w:rsid w:val="0060602D"/>
    <w:rsid w:val="00607561"/>
    <w:rsid w:val="00613045"/>
    <w:rsid w:val="00613309"/>
    <w:rsid w:val="00613CEF"/>
    <w:rsid w:val="00615316"/>
    <w:rsid w:val="00623C3F"/>
    <w:rsid w:val="006314A6"/>
    <w:rsid w:val="006428A3"/>
    <w:rsid w:val="0064355B"/>
    <w:rsid w:val="00662AA3"/>
    <w:rsid w:val="00662BE2"/>
    <w:rsid w:val="00663724"/>
    <w:rsid w:val="006659F4"/>
    <w:rsid w:val="0069559F"/>
    <w:rsid w:val="00696E95"/>
    <w:rsid w:val="00697CA5"/>
    <w:rsid w:val="006A0B1F"/>
    <w:rsid w:val="006A64C6"/>
    <w:rsid w:val="006B1802"/>
    <w:rsid w:val="006B1E69"/>
    <w:rsid w:val="006B5D55"/>
    <w:rsid w:val="006B71D2"/>
    <w:rsid w:val="006C00ED"/>
    <w:rsid w:val="006D140E"/>
    <w:rsid w:val="006F0509"/>
    <w:rsid w:val="006F402C"/>
    <w:rsid w:val="00701CBA"/>
    <w:rsid w:val="007032C9"/>
    <w:rsid w:val="007044D5"/>
    <w:rsid w:val="007065C0"/>
    <w:rsid w:val="00707441"/>
    <w:rsid w:val="007137AA"/>
    <w:rsid w:val="00730F12"/>
    <w:rsid w:val="00731992"/>
    <w:rsid w:val="00734E19"/>
    <w:rsid w:val="00735A9B"/>
    <w:rsid w:val="0073690C"/>
    <w:rsid w:val="0074173A"/>
    <w:rsid w:val="007544F7"/>
    <w:rsid w:val="00763D2A"/>
    <w:rsid w:val="00767B92"/>
    <w:rsid w:val="007707E9"/>
    <w:rsid w:val="00773265"/>
    <w:rsid w:val="00791A67"/>
    <w:rsid w:val="007A429F"/>
    <w:rsid w:val="007B7DF0"/>
    <w:rsid w:val="007C195C"/>
    <w:rsid w:val="007C1AB6"/>
    <w:rsid w:val="007C5600"/>
    <w:rsid w:val="007D0A84"/>
    <w:rsid w:val="007D2B73"/>
    <w:rsid w:val="007E4EB8"/>
    <w:rsid w:val="007E5864"/>
    <w:rsid w:val="007F3AC1"/>
    <w:rsid w:val="007F669D"/>
    <w:rsid w:val="007F6E8C"/>
    <w:rsid w:val="0080272B"/>
    <w:rsid w:val="008100AE"/>
    <w:rsid w:val="00816E51"/>
    <w:rsid w:val="0082033D"/>
    <w:rsid w:val="00823CD9"/>
    <w:rsid w:val="00833685"/>
    <w:rsid w:val="0084721A"/>
    <w:rsid w:val="00860AC9"/>
    <w:rsid w:val="008634AE"/>
    <w:rsid w:val="00865A01"/>
    <w:rsid w:val="0087622F"/>
    <w:rsid w:val="00876301"/>
    <w:rsid w:val="00882968"/>
    <w:rsid w:val="00883CC0"/>
    <w:rsid w:val="00886DA6"/>
    <w:rsid w:val="0089594A"/>
    <w:rsid w:val="00895D67"/>
    <w:rsid w:val="00897C66"/>
    <w:rsid w:val="008B37C1"/>
    <w:rsid w:val="008B6CB2"/>
    <w:rsid w:val="008C0406"/>
    <w:rsid w:val="008C4F2E"/>
    <w:rsid w:val="008C6733"/>
    <w:rsid w:val="008C6C8D"/>
    <w:rsid w:val="008D0918"/>
    <w:rsid w:val="008D42FD"/>
    <w:rsid w:val="008D7D54"/>
    <w:rsid w:val="008E2439"/>
    <w:rsid w:val="008E5B0B"/>
    <w:rsid w:val="008E7EC3"/>
    <w:rsid w:val="008F3AD8"/>
    <w:rsid w:val="00902AC4"/>
    <w:rsid w:val="00906334"/>
    <w:rsid w:val="00906731"/>
    <w:rsid w:val="00907509"/>
    <w:rsid w:val="0092307F"/>
    <w:rsid w:val="00931959"/>
    <w:rsid w:val="00936A98"/>
    <w:rsid w:val="00936BFF"/>
    <w:rsid w:val="0093755C"/>
    <w:rsid w:val="0093790C"/>
    <w:rsid w:val="00951531"/>
    <w:rsid w:val="00955B6A"/>
    <w:rsid w:val="00957865"/>
    <w:rsid w:val="00963014"/>
    <w:rsid w:val="00973E69"/>
    <w:rsid w:val="00983EF5"/>
    <w:rsid w:val="00994499"/>
    <w:rsid w:val="009961BC"/>
    <w:rsid w:val="0099695C"/>
    <w:rsid w:val="009976AB"/>
    <w:rsid w:val="009A5C8A"/>
    <w:rsid w:val="009D3666"/>
    <w:rsid w:val="009D45B6"/>
    <w:rsid w:val="009D6023"/>
    <w:rsid w:val="009E10A9"/>
    <w:rsid w:val="009E1876"/>
    <w:rsid w:val="009E3C1E"/>
    <w:rsid w:val="009E5D16"/>
    <w:rsid w:val="009F6909"/>
    <w:rsid w:val="00A00F27"/>
    <w:rsid w:val="00A0235C"/>
    <w:rsid w:val="00A057E7"/>
    <w:rsid w:val="00A062DD"/>
    <w:rsid w:val="00A06381"/>
    <w:rsid w:val="00A15450"/>
    <w:rsid w:val="00A22095"/>
    <w:rsid w:val="00A228D5"/>
    <w:rsid w:val="00A23BA4"/>
    <w:rsid w:val="00A263D5"/>
    <w:rsid w:val="00A306F9"/>
    <w:rsid w:val="00A341F7"/>
    <w:rsid w:val="00A45757"/>
    <w:rsid w:val="00A4730D"/>
    <w:rsid w:val="00A4797F"/>
    <w:rsid w:val="00A47AD2"/>
    <w:rsid w:val="00A47CED"/>
    <w:rsid w:val="00A54A68"/>
    <w:rsid w:val="00A577D0"/>
    <w:rsid w:val="00A66FD7"/>
    <w:rsid w:val="00A71C6E"/>
    <w:rsid w:val="00A77F40"/>
    <w:rsid w:val="00A85B37"/>
    <w:rsid w:val="00A9650F"/>
    <w:rsid w:val="00AA1BE1"/>
    <w:rsid w:val="00AA49B5"/>
    <w:rsid w:val="00AA4F32"/>
    <w:rsid w:val="00AB2B02"/>
    <w:rsid w:val="00AB59E2"/>
    <w:rsid w:val="00AB5FD5"/>
    <w:rsid w:val="00AB7509"/>
    <w:rsid w:val="00AC10F0"/>
    <w:rsid w:val="00AC2DB9"/>
    <w:rsid w:val="00AD6196"/>
    <w:rsid w:val="00AE5A41"/>
    <w:rsid w:val="00AF7AB7"/>
    <w:rsid w:val="00B048D5"/>
    <w:rsid w:val="00B051B2"/>
    <w:rsid w:val="00B13D44"/>
    <w:rsid w:val="00B2705D"/>
    <w:rsid w:val="00B30908"/>
    <w:rsid w:val="00B37CDA"/>
    <w:rsid w:val="00B527A8"/>
    <w:rsid w:val="00B54DA3"/>
    <w:rsid w:val="00B66F64"/>
    <w:rsid w:val="00B84A5A"/>
    <w:rsid w:val="00B970B1"/>
    <w:rsid w:val="00BA3674"/>
    <w:rsid w:val="00BA515A"/>
    <w:rsid w:val="00BA6E9B"/>
    <w:rsid w:val="00BB31FD"/>
    <w:rsid w:val="00BB7CDE"/>
    <w:rsid w:val="00BC0869"/>
    <w:rsid w:val="00BC6810"/>
    <w:rsid w:val="00BD7E57"/>
    <w:rsid w:val="00BE305D"/>
    <w:rsid w:val="00BE5A51"/>
    <w:rsid w:val="00BE6F85"/>
    <w:rsid w:val="00BF619D"/>
    <w:rsid w:val="00C04805"/>
    <w:rsid w:val="00C07E2A"/>
    <w:rsid w:val="00C15A8C"/>
    <w:rsid w:val="00C15AAE"/>
    <w:rsid w:val="00C15AB2"/>
    <w:rsid w:val="00C32792"/>
    <w:rsid w:val="00C403EA"/>
    <w:rsid w:val="00C419C8"/>
    <w:rsid w:val="00C41AE5"/>
    <w:rsid w:val="00C4248F"/>
    <w:rsid w:val="00C42EE7"/>
    <w:rsid w:val="00C53C3B"/>
    <w:rsid w:val="00C55827"/>
    <w:rsid w:val="00C610B7"/>
    <w:rsid w:val="00C63DD8"/>
    <w:rsid w:val="00C65B60"/>
    <w:rsid w:val="00C669E5"/>
    <w:rsid w:val="00C71C86"/>
    <w:rsid w:val="00C76330"/>
    <w:rsid w:val="00C82E4B"/>
    <w:rsid w:val="00C84CFA"/>
    <w:rsid w:val="00C94D33"/>
    <w:rsid w:val="00C96E80"/>
    <w:rsid w:val="00CA161D"/>
    <w:rsid w:val="00CB30BF"/>
    <w:rsid w:val="00CB4349"/>
    <w:rsid w:val="00CE68F7"/>
    <w:rsid w:val="00CF348C"/>
    <w:rsid w:val="00CF40ED"/>
    <w:rsid w:val="00CF5E10"/>
    <w:rsid w:val="00CF6829"/>
    <w:rsid w:val="00CF6951"/>
    <w:rsid w:val="00D031C9"/>
    <w:rsid w:val="00D079C4"/>
    <w:rsid w:val="00D10D88"/>
    <w:rsid w:val="00D12149"/>
    <w:rsid w:val="00D2068D"/>
    <w:rsid w:val="00D305CF"/>
    <w:rsid w:val="00D51D3C"/>
    <w:rsid w:val="00D61F9C"/>
    <w:rsid w:val="00D6447C"/>
    <w:rsid w:val="00D658A1"/>
    <w:rsid w:val="00D808BC"/>
    <w:rsid w:val="00D83EC7"/>
    <w:rsid w:val="00D96872"/>
    <w:rsid w:val="00D96DA8"/>
    <w:rsid w:val="00DA1FAC"/>
    <w:rsid w:val="00DB60B6"/>
    <w:rsid w:val="00DC0DF8"/>
    <w:rsid w:val="00DC16AC"/>
    <w:rsid w:val="00DC354E"/>
    <w:rsid w:val="00DC6052"/>
    <w:rsid w:val="00DD4562"/>
    <w:rsid w:val="00DE2A1B"/>
    <w:rsid w:val="00DE675D"/>
    <w:rsid w:val="00DF2AFD"/>
    <w:rsid w:val="00DF2E4A"/>
    <w:rsid w:val="00DF46C9"/>
    <w:rsid w:val="00E01EBF"/>
    <w:rsid w:val="00E100BB"/>
    <w:rsid w:val="00E10AEA"/>
    <w:rsid w:val="00E14B33"/>
    <w:rsid w:val="00E32361"/>
    <w:rsid w:val="00E3598A"/>
    <w:rsid w:val="00E42613"/>
    <w:rsid w:val="00E4444B"/>
    <w:rsid w:val="00E61266"/>
    <w:rsid w:val="00E71A10"/>
    <w:rsid w:val="00E902BB"/>
    <w:rsid w:val="00E93D97"/>
    <w:rsid w:val="00E94620"/>
    <w:rsid w:val="00EA29D2"/>
    <w:rsid w:val="00EB58C7"/>
    <w:rsid w:val="00EB62C3"/>
    <w:rsid w:val="00EC7FBB"/>
    <w:rsid w:val="00ED0090"/>
    <w:rsid w:val="00ED0538"/>
    <w:rsid w:val="00ED0804"/>
    <w:rsid w:val="00ED2F27"/>
    <w:rsid w:val="00EE2FCE"/>
    <w:rsid w:val="00EE30C1"/>
    <w:rsid w:val="00EE562F"/>
    <w:rsid w:val="00F026C0"/>
    <w:rsid w:val="00F04D31"/>
    <w:rsid w:val="00F12646"/>
    <w:rsid w:val="00F16675"/>
    <w:rsid w:val="00F239AC"/>
    <w:rsid w:val="00F25891"/>
    <w:rsid w:val="00F32CA6"/>
    <w:rsid w:val="00F33DD5"/>
    <w:rsid w:val="00F34BB7"/>
    <w:rsid w:val="00F471DF"/>
    <w:rsid w:val="00F52410"/>
    <w:rsid w:val="00F61DE8"/>
    <w:rsid w:val="00F6480D"/>
    <w:rsid w:val="00F66AE2"/>
    <w:rsid w:val="00F700DB"/>
    <w:rsid w:val="00F84C00"/>
    <w:rsid w:val="00F857D9"/>
    <w:rsid w:val="00F86709"/>
    <w:rsid w:val="00F87AC0"/>
    <w:rsid w:val="00F92B62"/>
    <w:rsid w:val="00FB0143"/>
    <w:rsid w:val="00FB6BE6"/>
    <w:rsid w:val="00FC03FB"/>
    <w:rsid w:val="00FC0D25"/>
    <w:rsid w:val="00FC295B"/>
    <w:rsid w:val="00FC40C8"/>
    <w:rsid w:val="00FC4CAD"/>
    <w:rsid w:val="00FC72D0"/>
    <w:rsid w:val="00FC7F40"/>
    <w:rsid w:val="00FD077E"/>
    <w:rsid w:val="00FD489C"/>
    <w:rsid w:val="00FD52D5"/>
    <w:rsid w:val="00FE1780"/>
    <w:rsid w:val="00FE1AB9"/>
    <w:rsid w:val="00FF4615"/>
    <w:rsid w:val="00FF4A69"/>
    <w:rsid w:val="00FF7C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8193"/>
    <o:shapelayout v:ext="edit">
      <o:idmap v:ext="edit" data="1"/>
    </o:shapelayout>
  </w:shapeDefaults>
  <w:decimalSymbol w:val="."/>
  <w:listSeparator w:val=","/>
  <w15:chartTrackingRefBased/>
  <w15:docId w15:val="{BC70D09D-7EB2-48A7-8AEA-34AF8130C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C8D"/>
    <w:pPr>
      <w:jc w:val="right"/>
    </w:pPr>
    <w:rPr>
      <w:sz w:val="24"/>
      <w:szCs w:val="24"/>
    </w:rPr>
  </w:style>
  <w:style w:type="paragraph" w:styleId="Heading1">
    <w:name w:val="heading 1"/>
    <w:aliases w:val="H1,No numbers,Para1,Top 1,ParaLevel1,Level 1 Para,Level 1 Para1,Level 1 Para2,Level 1 Para3,Level 1 Para4,Level 1 Para11,Level 1 Para21,Level 1 Para31,Level 1 Para5,Level 1 Para12,Level 1 Para22,Level 1 Para32,Level 1 Para6,Level 1 Para13,h1,1"/>
    <w:basedOn w:val="Normal"/>
    <w:next w:val="Normal"/>
    <w:link w:val="Heading1Char"/>
    <w:qFormat/>
    <w:rsid w:val="00730F12"/>
    <w:pPr>
      <w:spacing w:before="240"/>
      <w:jc w:val="both"/>
      <w:outlineLvl w:val="0"/>
    </w:pPr>
    <w:rPr>
      <w:rFonts w:ascii="Calibri" w:hAnsi="Calibri" w:cs="Calibri"/>
      <w:b/>
      <w:sz w:val="28"/>
      <w:szCs w:val="28"/>
      <w:u w:val="single"/>
    </w:rPr>
  </w:style>
  <w:style w:type="paragraph" w:styleId="Heading2">
    <w:name w:val="heading 2"/>
    <w:aliases w:val="UNDERRUBRIK 1-2,body,h2,Section,h2.H2,heading 2body,H2,1.1],1.1,ee2,Heading b,Heading2,Heading 2X,Attribute Heading 2,test,major,h2 main heading,2m,h 2,B Sub/Bold,B Sub/Bold1,B Sub/Bold2,B Sub/Bold11,h2 main heading1,h2 main heading2,B Sub/Bol"/>
    <w:basedOn w:val="Normal"/>
    <w:next w:val="Normal"/>
    <w:link w:val="Heading2Char"/>
    <w:qFormat/>
    <w:rsid w:val="0033559C"/>
    <w:pPr>
      <w:keepNext/>
      <w:jc w:val="both"/>
      <w:outlineLvl w:val="1"/>
    </w:pPr>
    <w:rPr>
      <w:rFonts w:ascii="Calibri" w:hAnsi="Calibri" w:cs="Calibri"/>
      <w:b/>
      <w:bCs/>
      <w:sz w:val="28"/>
      <w:szCs w:val="28"/>
    </w:rPr>
  </w:style>
  <w:style w:type="paragraph" w:styleId="Heading3">
    <w:name w:val="heading 3"/>
    <w:aliases w:val="h:3,x.x.x,H3,(a),h3,Table Attribute Heading,H31,H32,H33,H311,Subhead B,Heading C,H34,H312,H321,H331,H3111,H35,H313,H322,H332,H3112,H36,H314,H323,H333,H3113,H37,H315,H324,H334,H3114,H38,H316,H325,H335,H3115,H39,H317,H326,H336,H3116,H310,H318,3"/>
    <w:basedOn w:val="Normal"/>
    <w:next w:val="Normal"/>
    <w:link w:val="Heading3Char"/>
    <w:qFormat/>
    <w:rsid w:val="00E100BB"/>
    <w:pPr>
      <w:keepNext/>
      <w:spacing w:before="240" w:after="60"/>
      <w:ind w:left="720"/>
      <w:outlineLvl w:val="2"/>
    </w:pPr>
    <w:rPr>
      <w:b/>
      <w:bCs/>
      <w:szCs w:val="26"/>
    </w:rPr>
  </w:style>
  <w:style w:type="paragraph" w:styleId="Heading4">
    <w:name w:val="heading 4"/>
    <w:basedOn w:val="Normal"/>
    <w:next w:val="Normal"/>
    <w:link w:val="Heading4Char"/>
    <w:uiPriority w:val="9"/>
    <w:unhideWhenUsed/>
    <w:qFormat/>
    <w:rsid w:val="00FC0D25"/>
    <w:pPr>
      <w:keepNext/>
      <w:keepLines/>
      <w:tabs>
        <w:tab w:val="left" w:pos="924"/>
        <w:tab w:val="left" w:pos="1848"/>
        <w:tab w:val="left" w:pos="2773"/>
        <w:tab w:val="left" w:pos="3697"/>
        <w:tab w:val="left" w:pos="4621"/>
        <w:tab w:val="left" w:pos="5545"/>
        <w:tab w:val="left" w:pos="6469"/>
        <w:tab w:val="left" w:pos="7394"/>
        <w:tab w:val="left" w:pos="8318"/>
        <w:tab w:val="right" w:pos="8930"/>
      </w:tabs>
      <w:spacing w:before="40" w:line="276" w:lineRule="auto"/>
      <w:jc w:val="left"/>
      <w:outlineLvl w:val="3"/>
    </w:pPr>
    <w:rPr>
      <w:rFonts w:asciiTheme="majorHAnsi" w:eastAsiaTheme="majorEastAsia" w:hAnsiTheme="majorHAnsi" w:cstheme="majorBidi"/>
      <w:i/>
      <w:iCs/>
      <w:color w:val="2E74B5" w:themeColor="accent1" w:themeShade="BF"/>
      <w:sz w:val="22"/>
      <w:szCs w:val="20"/>
      <w:lang w:eastAsia="en-US"/>
    </w:rPr>
  </w:style>
  <w:style w:type="paragraph" w:styleId="Heading7">
    <w:name w:val="heading 7"/>
    <w:basedOn w:val="Normal"/>
    <w:next w:val="Normal"/>
    <w:link w:val="Heading7Char"/>
    <w:qFormat/>
    <w:rsid w:val="004D2FF6"/>
    <w:pPr>
      <w:keepNext/>
      <w:ind w:left="360"/>
      <w:outlineLvl w:val="6"/>
    </w:pPr>
    <w:rPr>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2FF6"/>
    <w:pPr>
      <w:tabs>
        <w:tab w:val="center" w:pos="4153"/>
        <w:tab w:val="right" w:pos="8306"/>
      </w:tabs>
    </w:pPr>
    <w:rPr>
      <w:szCs w:val="20"/>
    </w:rPr>
  </w:style>
  <w:style w:type="paragraph" w:styleId="TOC2">
    <w:name w:val="toc 2"/>
    <w:basedOn w:val="Normal"/>
    <w:next w:val="Normal"/>
    <w:autoRedefine/>
    <w:uiPriority w:val="39"/>
    <w:rsid w:val="003005E9"/>
    <w:pPr>
      <w:tabs>
        <w:tab w:val="left" w:pos="1080"/>
        <w:tab w:val="right" w:leader="dot" w:pos="8296"/>
      </w:tabs>
      <w:ind w:left="1080" w:hanging="540"/>
    </w:pPr>
    <w:rPr>
      <w:rFonts w:ascii="Calibri" w:hAnsi="Calibri"/>
      <w:noProof/>
    </w:rPr>
  </w:style>
  <w:style w:type="character" w:styleId="Hyperlink">
    <w:name w:val="Hyperlink"/>
    <w:uiPriority w:val="99"/>
    <w:rsid w:val="004D2FF6"/>
    <w:rPr>
      <w:color w:val="0000FF"/>
      <w:u w:val="single"/>
    </w:rPr>
  </w:style>
  <w:style w:type="character" w:customStyle="1" w:styleId="Heading1Char">
    <w:name w:val="Heading 1 Char"/>
    <w:aliases w:val="H1 Char,No numbers Char,Para1 Char,Top 1 Char,ParaLevel1 Char,Level 1 Para Char,Level 1 Para1 Char,Level 1 Para2 Char,Level 1 Para3 Char,Level 1 Para4 Char,Level 1 Para11 Char,Level 1 Para21 Char,Level 1 Para31 Char,Level 1 Para5 Char"/>
    <w:link w:val="Heading1"/>
    <w:rsid w:val="00730F12"/>
    <w:rPr>
      <w:rFonts w:ascii="Calibri" w:hAnsi="Calibri" w:cs="Calibri"/>
      <w:b/>
      <w:sz w:val="28"/>
      <w:szCs w:val="28"/>
      <w:u w:val="single"/>
      <w:lang w:eastAsia="en-US"/>
    </w:rPr>
  </w:style>
  <w:style w:type="table" w:styleId="TableGrid">
    <w:name w:val="Table Grid"/>
    <w:basedOn w:val="TableNormal"/>
    <w:rsid w:val="004D2F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4D2FF6"/>
  </w:style>
  <w:style w:type="paragraph" w:styleId="TOC1">
    <w:name w:val="toc 1"/>
    <w:basedOn w:val="Normal"/>
    <w:next w:val="Normal"/>
    <w:autoRedefine/>
    <w:uiPriority w:val="39"/>
    <w:rsid w:val="003745B3"/>
    <w:pPr>
      <w:tabs>
        <w:tab w:val="left" w:pos="142"/>
        <w:tab w:val="right" w:leader="dot" w:pos="8296"/>
      </w:tabs>
      <w:ind w:left="426" w:hanging="1135"/>
      <w:jc w:val="left"/>
    </w:pPr>
    <w:rPr>
      <w:rFonts w:ascii="Calibri" w:hAnsi="Calibri"/>
    </w:rPr>
  </w:style>
  <w:style w:type="paragraph" w:styleId="TOC3">
    <w:name w:val="toc 3"/>
    <w:basedOn w:val="Normal"/>
    <w:next w:val="Normal"/>
    <w:autoRedefine/>
    <w:uiPriority w:val="39"/>
    <w:rsid w:val="0033559C"/>
    <w:pPr>
      <w:tabs>
        <w:tab w:val="left" w:pos="851"/>
        <w:tab w:val="right" w:leader="dot" w:pos="8296"/>
      </w:tabs>
      <w:ind w:left="1080" w:hanging="513"/>
    </w:pPr>
    <w:rPr>
      <w:rFonts w:ascii="Calibri" w:eastAsia="Copperplate Gothic Bold" w:hAnsi="Calibri" w:cs="Copperplate Gothic Bold"/>
      <w:noProof/>
    </w:rPr>
  </w:style>
  <w:style w:type="character" w:customStyle="1" w:styleId="Heading2Char">
    <w:name w:val="Heading 2 Char"/>
    <w:aliases w:val="UNDERRUBRIK 1-2 Char,body Char,h2 Char,Section Char,h2.H2 Char,heading 2body Char,H2 Char,1.1] Char,1.1 Char,ee2 Char,Heading b Char,Heading2 Char,Heading 2X Char,Attribute Heading 2 Char,test Char,major Char,h2 main heading Char,2m Char"/>
    <w:link w:val="Heading2"/>
    <w:rsid w:val="0033559C"/>
    <w:rPr>
      <w:rFonts w:ascii="Calibri" w:hAnsi="Calibri" w:cs="Calibri"/>
      <w:b/>
      <w:bCs/>
      <w:sz w:val="28"/>
      <w:szCs w:val="28"/>
      <w:lang w:eastAsia="en-US"/>
    </w:rPr>
  </w:style>
  <w:style w:type="character" w:styleId="FollowedHyperlink">
    <w:name w:val="FollowedHyperlink"/>
    <w:rsid w:val="00BE305D"/>
    <w:rPr>
      <w:color w:val="800080"/>
      <w:u w:val="single"/>
    </w:rPr>
  </w:style>
  <w:style w:type="paragraph" w:styleId="Header">
    <w:name w:val="header"/>
    <w:basedOn w:val="Normal"/>
    <w:link w:val="HeaderChar"/>
    <w:rsid w:val="00731992"/>
    <w:pPr>
      <w:tabs>
        <w:tab w:val="center" w:pos="4153"/>
        <w:tab w:val="right" w:pos="8306"/>
      </w:tabs>
    </w:pPr>
  </w:style>
  <w:style w:type="paragraph" w:styleId="NormalWeb">
    <w:name w:val="Normal (Web)"/>
    <w:basedOn w:val="Normal"/>
    <w:uiPriority w:val="99"/>
    <w:rsid w:val="00F857D9"/>
    <w:pPr>
      <w:spacing w:before="100" w:beforeAutospacing="1" w:after="100" w:afterAutospacing="1"/>
    </w:pPr>
  </w:style>
  <w:style w:type="paragraph" w:customStyle="1" w:styleId="styletitle2">
    <w:name w:val="styletitle2"/>
    <w:basedOn w:val="Normal"/>
    <w:rsid w:val="00F857D9"/>
    <w:pPr>
      <w:spacing w:before="100" w:beforeAutospacing="1" w:after="100" w:afterAutospacing="1"/>
    </w:pPr>
  </w:style>
  <w:style w:type="paragraph" w:styleId="BalloonText">
    <w:name w:val="Balloon Text"/>
    <w:basedOn w:val="Normal"/>
    <w:link w:val="BalloonTextChar"/>
    <w:uiPriority w:val="99"/>
    <w:semiHidden/>
    <w:rsid w:val="00F92B62"/>
    <w:rPr>
      <w:rFonts w:ascii="Tahoma" w:hAnsi="Tahoma" w:cs="Tahoma"/>
      <w:sz w:val="16"/>
      <w:szCs w:val="16"/>
    </w:rPr>
  </w:style>
  <w:style w:type="paragraph" w:styleId="DocumentMap">
    <w:name w:val="Document Map"/>
    <w:basedOn w:val="Normal"/>
    <w:semiHidden/>
    <w:rsid w:val="00613CEF"/>
    <w:pPr>
      <w:shd w:val="clear" w:color="auto" w:fill="000080"/>
    </w:pPr>
    <w:rPr>
      <w:rFonts w:ascii="Tahoma" w:hAnsi="Tahoma" w:cs="Tahoma"/>
      <w:sz w:val="20"/>
      <w:szCs w:val="20"/>
    </w:rPr>
  </w:style>
  <w:style w:type="character" w:customStyle="1" w:styleId="Heading3Char">
    <w:name w:val="Heading 3 Char"/>
    <w:aliases w:val="h:3 Char,x.x.x Char,H3 Char,(a) Char,h3 Char,Table Attribute Heading Char,H31 Char,H32 Char,H33 Char,H311 Char,Subhead B Char,Heading C Char,H34 Char,H312 Char,H321 Char,H331 Char,H3111 Char,H35 Char,H313 Char,H322 Char,H332 Char,H36 Char"/>
    <w:link w:val="Heading3"/>
    <w:rsid w:val="00E100BB"/>
    <w:rPr>
      <w:rFonts w:ascii="Arial" w:hAnsi="Arial" w:cs="Arial"/>
      <w:b/>
      <w:bCs/>
      <w:sz w:val="24"/>
      <w:szCs w:val="26"/>
      <w:lang w:eastAsia="en-US"/>
    </w:rPr>
  </w:style>
  <w:style w:type="character" w:customStyle="1" w:styleId="Heading7Char">
    <w:name w:val="Heading 7 Char"/>
    <w:link w:val="Heading7"/>
    <w:rsid w:val="00E14B33"/>
    <w:rPr>
      <w:rFonts w:ascii="Arial" w:hAnsi="Arial"/>
      <w:b/>
      <w:bCs/>
      <w:sz w:val="28"/>
      <w:lang w:eastAsia="en-US"/>
    </w:rPr>
  </w:style>
  <w:style w:type="character" w:customStyle="1" w:styleId="FooterChar">
    <w:name w:val="Footer Char"/>
    <w:link w:val="Footer"/>
    <w:uiPriority w:val="99"/>
    <w:rsid w:val="00E14B33"/>
    <w:rPr>
      <w:rFonts w:ascii="Arial" w:hAnsi="Arial"/>
      <w:sz w:val="24"/>
      <w:lang w:eastAsia="en-US"/>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FN"/>
    <w:basedOn w:val="Normal"/>
    <w:link w:val="FootnoteTextChar"/>
    <w:uiPriority w:val="99"/>
    <w:qFormat/>
    <w:rsid w:val="00E14B33"/>
    <w:rPr>
      <w:sz w:val="20"/>
      <w:szCs w:val="20"/>
    </w:rPr>
  </w:style>
  <w:style w:type="character" w:customStyle="1" w:styleId="FootnoteTextChar">
    <w:name w:val="Footnote Text Char"/>
    <w:aliases w:val="Footnote Text Char Char Char Char Char Char Char,Footnote Text Char Char Char Char Char Char Char Char Char Char Char Char Char Char Char Char Char Char,FN Char"/>
    <w:link w:val="FootnoteText"/>
    <w:uiPriority w:val="99"/>
    <w:rsid w:val="00E14B33"/>
    <w:rPr>
      <w:rFonts w:ascii="Arial" w:hAnsi="Arial"/>
      <w:lang w:eastAsia="en-US"/>
    </w:rPr>
  </w:style>
  <w:style w:type="character" w:styleId="FootnoteReference">
    <w:name w:val="footnote reference"/>
    <w:aliases w:val="Footnotes refss,Footnote number,Footnote,Ref,de nota al pie,opcalrc,callout,NO,4_G Char Char Char Char,Footnotes refss Char Char Char Char,ftref Char Char Char Char,BVI fnr Char Char Char Char,BVI fnr Car Car Char Char Char Char,4_G"/>
    <w:link w:val="4GCharCharChar"/>
    <w:uiPriority w:val="99"/>
    <w:rsid w:val="00E14B33"/>
    <w:rPr>
      <w:vertAlign w:val="superscript"/>
    </w:rPr>
  </w:style>
  <w:style w:type="character" w:customStyle="1" w:styleId="apple-converted-space">
    <w:name w:val="apple-converted-space"/>
    <w:rsid w:val="00E14B33"/>
  </w:style>
  <w:style w:type="character" w:styleId="Emphasis">
    <w:name w:val="Emphasis"/>
    <w:uiPriority w:val="20"/>
    <w:qFormat/>
    <w:rsid w:val="00E14B33"/>
    <w:rPr>
      <w:i/>
      <w:iCs/>
    </w:rPr>
  </w:style>
  <w:style w:type="paragraph" w:styleId="ListParagraph">
    <w:name w:val="List Paragraph"/>
    <w:basedOn w:val="Normal"/>
    <w:uiPriority w:val="34"/>
    <w:qFormat/>
    <w:rsid w:val="00E14B33"/>
    <w:pPr>
      <w:ind w:left="720"/>
    </w:pPr>
  </w:style>
  <w:style w:type="character" w:customStyle="1" w:styleId="BalloonTextChar">
    <w:name w:val="Balloon Text Char"/>
    <w:link w:val="BalloonText"/>
    <w:uiPriority w:val="99"/>
    <w:semiHidden/>
    <w:rsid w:val="00E14B33"/>
    <w:rPr>
      <w:rFonts w:ascii="Tahoma" w:hAnsi="Tahoma" w:cs="Tahoma"/>
      <w:sz w:val="16"/>
      <w:szCs w:val="16"/>
      <w:lang w:eastAsia="en-US"/>
    </w:rPr>
  </w:style>
  <w:style w:type="paragraph" w:styleId="TOCHeading">
    <w:name w:val="TOC Heading"/>
    <w:basedOn w:val="Heading1"/>
    <w:next w:val="Normal"/>
    <w:uiPriority w:val="39"/>
    <w:unhideWhenUsed/>
    <w:qFormat/>
    <w:rsid w:val="00E14B33"/>
    <w:pPr>
      <w:keepLines/>
      <w:spacing w:before="480" w:line="276" w:lineRule="auto"/>
      <w:outlineLvl w:val="9"/>
    </w:pPr>
    <w:rPr>
      <w:rFonts w:ascii="Cambria" w:eastAsia="MS Gothic" w:hAnsi="Cambria" w:cs="Times New Roman"/>
      <w:color w:val="365F91"/>
      <w:lang w:val="en-US" w:eastAsia="ja-JP"/>
    </w:rPr>
  </w:style>
  <w:style w:type="character" w:styleId="CommentReference">
    <w:name w:val="annotation reference"/>
    <w:uiPriority w:val="99"/>
    <w:unhideWhenUsed/>
    <w:rsid w:val="00E14B33"/>
    <w:rPr>
      <w:sz w:val="16"/>
      <w:szCs w:val="16"/>
    </w:rPr>
  </w:style>
  <w:style w:type="paragraph" w:styleId="CommentText">
    <w:name w:val="annotation text"/>
    <w:basedOn w:val="Normal"/>
    <w:link w:val="CommentTextChar"/>
    <w:uiPriority w:val="99"/>
    <w:unhideWhenUsed/>
    <w:rsid w:val="00E14B33"/>
    <w:rPr>
      <w:sz w:val="20"/>
      <w:szCs w:val="20"/>
    </w:rPr>
  </w:style>
  <w:style w:type="character" w:customStyle="1" w:styleId="CommentTextChar">
    <w:name w:val="Comment Text Char"/>
    <w:link w:val="CommentText"/>
    <w:uiPriority w:val="99"/>
    <w:rsid w:val="00E14B33"/>
    <w:rPr>
      <w:rFonts w:ascii="Arial" w:hAnsi="Arial"/>
      <w:lang w:eastAsia="en-US"/>
    </w:rPr>
  </w:style>
  <w:style w:type="paragraph" w:styleId="CommentSubject">
    <w:name w:val="annotation subject"/>
    <w:basedOn w:val="CommentText"/>
    <w:next w:val="CommentText"/>
    <w:link w:val="CommentSubjectChar"/>
    <w:uiPriority w:val="99"/>
    <w:unhideWhenUsed/>
    <w:rsid w:val="00E14B33"/>
    <w:rPr>
      <w:b/>
      <w:bCs/>
    </w:rPr>
  </w:style>
  <w:style w:type="character" w:customStyle="1" w:styleId="CommentSubjectChar">
    <w:name w:val="Comment Subject Char"/>
    <w:link w:val="CommentSubject"/>
    <w:uiPriority w:val="99"/>
    <w:rsid w:val="00E14B33"/>
    <w:rPr>
      <w:rFonts w:ascii="Arial" w:hAnsi="Arial"/>
      <w:b/>
      <w:bCs/>
      <w:lang w:eastAsia="en-US"/>
    </w:rPr>
  </w:style>
  <w:style w:type="paragraph" w:styleId="Revision">
    <w:name w:val="Revision"/>
    <w:hidden/>
    <w:uiPriority w:val="99"/>
    <w:semiHidden/>
    <w:rsid w:val="00E14B33"/>
    <w:pPr>
      <w:jc w:val="right"/>
    </w:pPr>
    <w:rPr>
      <w:sz w:val="24"/>
      <w:szCs w:val="24"/>
      <w:lang w:eastAsia="en-US"/>
    </w:rPr>
  </w:style>
  <w:style w:type="paragraph" w:customStyle="1" w:styleId="blockquote">
    <w:name w:val="block quote"/>
    <w:basedOn w:val="Normal"/>
    <w:link w:val="blockquoteChar"/>
    <w:qFormat/>
    <w:rsid w:val="00154D46"/>
    <w:pPr>
      <w:ind w:left="720" w:right="720"/>
      <w:jc w:val="both"/>
    </w:pPr>
  </w:style>
  <w:style w:type="character" w:customStyle="1" w:styleId="bwf9lq2b37sv">
    <w:name w:val="bwf9lq2b37sv"/>
    <w:rsid w:val="000160B4"/>
  </w:style>
  <w:style w:type="character" w:customStyle="1" w:styleId="blockquoteChar">
    <w:name w:val="block quote Char"/>
    <w:link w:val="blockquote"/>
    <w:rsid w:val="00154D46"/>
    <w:rPr>
      <w:rFonts w:ascii="Arial" w:hAnsi="Arial"/>
      <w:sz w:val="24"/>
      <w:szCs w:val="24"/>
      <w:lang w:eastAsia="en-US"/>
    </w:rPr>
  </w:style>
  <w:style w:type="paragraph" w:styleId="PlainText">
    <w:name w:val="Plain Text"/>
    <w:basedOn w:val="Normal"/>
    <w:link w:val="PlainTextChar"/>
    <w:uiPriority w:val="99"/>
    <w:unhideWhenUsed/>
    <w:rsid w:val="008D7D54"/>
    <w:rPr>
      <w:rFonts w:ascii="Calibri" w:eastAsia="Calibri" w:hAnsi="Calibri" w:cs="Times New Roman"/>
      <w:sz w:val="22"/>
      <w:szCs w:val="21"/>
    </w:rPr>
  </w:style>
  <w:style w:type="character" w:customStyle="1" w:styleId="PlainTextChar">
    <w:name w:val="Plain Text Char"/>
    <w:link w:val="PlainText"/>
    <w:uiPriority w:val="99"/>
    <w:rsid w:val="008D7D54"/>
    <w:rPr>
      <w:rFonts w:ascii="Calibri" w:eastAsia="Calibri" w:hAnsi="Calibri"/>
      <w:sz w:val="22"/>
      <w:szCs w:val="21"/>
      <w:lang w:eastAsia="en-US"/>
    </w:rPr>
  </w:style>
  <w:style w:type="paragraph" w:styleId="EndnoteText">
    <w:name w:val="endnote text"/>
    <w:basedOn w:val="Normal"/>
    <w:link w:val="EndnoteTextChar"/>
    <w:rsid w:val="004C7899"/>
    <w:rPr>
      <w:sz w:val="20"/>
      <w:szCs w:val="20"/>
    </w:rPr>
  </w:style>
  <w:style w:type="character" w:customStyle="1" w:styleId="EndnoteTextChar">
    <w:name w:val="Endnote Text Char"/>
    <w:link w:val="EndnoteText"/>
    <w:rsid w:val="004C7899"/>
    <w:rPr>
      <w:rFonts w:ascii="Arial" w:hAnsi="Arial"/>
      <w:lang w:eastAsia="en-US"/>
    </w:rPr>
  </w:style>
  <w:style w:type="character" w:styleId="EndnoteReference">
    <w:name w:val="endnote reference"/>
    <w:rsid w:val="004C7899"/>
    <w:rPr>
      <w:vertAlign w:val="superscript"/>
    </w:rPr>
  </w:style>
  <w:style w:type="paragraph" w:customStyle="1" w:styleId="pwd">
    <w:name w:val="pwd"/>
    <w:rsid w:val="00123343"/>
    <w:pPr>
      <w:jc w:val="right"/>
    </w:pPr>
    <w:rPr>
      <w:rFonts w:ascii="Futura Bk BT" w:hAnsi="Futura Bk BT"/>
      <w:spacing w:val="6"/>
      <w:sz w:val="14"/>
      <w:szCs w:val="24"/>
      <w:lang w:eastAsia="en-US"/>
    </w:rPr>
  </w:style>
  <w:style w:type="character" w:customStyle="1" w:styleId="Heading4Char">
    <w:name w:val="Heading 4 Char"/>
    <w:basedOn w:val="DefaultParagraphFont"/>
    <w:link w:val="Heading4"/>
    <w:uiPriority w:val="9"/>
    <w:rsid w:val="00FC0D25"/>
    <w:rPr>
      <w:rFonts w:asciiTheme="majorHAnsi" w:eastAsiaTheme="majorEastAsia" w:hAnsiTheme="majorHAnsi" w:cstheme="majorBidi"/>
      <w:i/>
      <w:iCs/>
      <w:color w:val="2E74B5" w:themeColor="accent1" w:themeShade="BF"/>
      <w:sz w:val="22"/>
      <w:lang w:eastAsia="en-US"/>
    </w:rPr>
  </w:style>
  <w:style w:type="numbering" w:customStyle="1" w:styleId="NoList1">
    <w:name w:val="No List1"/>
    <w:next w:val="NoList"/>
    <w:uiPriority w:val="99"/>
    <w:semiHidden/>
    <w:unhideWhenUsed/>
    <w:rsid w:val="00FC0D25"/>
  </w:style>
  <w:style w:type="paragraph" w:customStyle="1" w:styleId="PFParaNumLevel1">
    <w:name w:val="PF (ParaNum) Level 1"/>
    <w:basedOn w:val="Normal"/>
    <w:link w:val="PFParaNumLevel1Char"/>
    <w:rsid w:val="00FC0D25"/>
    <w:pPr>
      <w:tabs>
        <w:tab w:val="left" w:pos="1848"/>
        <w:tab w:val="left" w:pos="2773"/>
        <w:tab w:val="left" w:pos="3697"/>
        <w:tab w:val="left" w:pos="4621"/>
        <w:tab w:val="left" w:pos="5545"/>
        <w:tab w:val="left" w:pos="6469"/>
        <w:tab w:val="left" w:pos="7394"/>
        <w:tab w:val="left" w:pos="8318"/>
        <w:tab w:val="right" w:pos="8930"/>
      </w:tabs>
      <w:spacing w:before="120" w:after="120" w:line="276" w:lineRule="auto"/>
      <w:jc w:val="left"/>
    </w:pPr>
    <w:rPr>
      <w:rFonts w:ascii="Times New Roman" w:hAnsi="Times New Roman" w:cs="Times New Roman"/>
      <w:color w:val="000000"/>
      <w:sz w:val="22"/>
      <w:szCs w:val="20"/>
      <w:lang w:val="x-none" w:eastAsia="en-US"/>
    </w:rPr>
  </w:style>
  <w:style w:type="character" w:customStyle="1" w:styleId="HeaderChar">
    <w:name w:val="Header Char"/>
    <w:basedOn w:val="DefaultParagraphFont"/>
    <w:link w:val="Header"/>
    <w:rsid w:val="00FC0D25"/>
    <w:rPr>
      <w:sz w:val="24"/>
      <w:szCs w:val="24"/>
    </w:rPr>
  </w:style>
  <w:style w:type="paragraph" w:customStyle="1" w:styleId="PFBulletMargin">
    <w:name w:val="PF Bullet Margin"/>
    <w:basedOn w:val="PFParaNumLevel1"/>
    <w:rsid w:val="00FC0D25"/>
    <w:pPr>
      <w:numPr>
        <w:ilvl w:val="1"/>
        <w:numId w:val="2"/>
      </w:numPr>
      <w:tabs>
        <w:tab w:val="clear" w:pos="1848"/>
        <w:tab w:val="clear" w:pos="2773"/>
        <w:tab w:val="clear" w:pos="3697"/>
        <w:tab w:val="clear" w:pos="4621"/>
        <w:tab w:val="clear" w:pos="5545"/>
        <w:tab w:val="clear" w:pos="6469"/>
        <w:tab w:val="clear" w:pos="7394"/>
        <w:tab w:val="clear" w:pos="8318"/>
        <w:tab w:val="clear" w:pos="8930"/>
        <w:tab w:val="num" w:pos="360"/>
      </w:tabs>
      <w:ind w:left="851" w:hanging="851"/>
    </w:pPr>
    <w:rPr>
      <w:rFonts w:ascii="Calibri" w:hAnsi="Calibri" w:cs="Calibri"/>
    </w:rPr>
  </w:style>
  <w:style w:type="paragraph" w:customStyle="1" w:styleId="PFBulletLevel1">
    <w:name w:val="PF Bullet Level 1"/>
    <w:basedOn w:val="Normal"/>
    <w:rsid w:val="00FC0D25"/>
    <w:pPr>
      <w:numPr>
        <w:numId w:val="3"/>
      </w:numPr>
      <w:spacing w:before="120" w:after="120" w:line="276" w:lineRule="auto"/>
      <w:ind w:left="1702" w:hanging="851"/>
      <w:jc w:val="left"/>
    </w:pPr>
    <w:rPr>
      <w:rFonts w:ascii="Calibri" w:hAnsi="Calibri" w:cs="Calibri"/>
      <w:color w:val="000000"/>
      <w:sz w:val="22"/>
      <w:szCs w:val="20"/>
      <w:lang w:eastAsia="en-US"/>
    </w:rPr>
  </w:style>
  <w:style w:type="paragraph" w:customStyle="1" w:styleId="PFNumLevel4">
    <w:name w:val="PF (Num) Level 4"/>
    <w:basedOn w:val="Normal"/>
    <w:rsid w:val="00FC0D25"/>
    <w:pPr>
      <w:numPr>
        <w:ilvl w:val="3"/>
        <w:numId w:val="1"/>
      </w:numPr>
      <w:tabs>
        <w:tab w:val="clear" w:pos="3697"/>
      </w:tabs>
      <w:spacing w:before="120" w:after="120" w:line="276" w:lineRule="auto"/>
      <w:jc w:val="left"/>
    </w:pPr>
    <w:rPr>
      <w:rFonts w:ascii="Calibri" w:hAnsi="Calibri" w:cs="Calibri"/>
      <w:color w:val="000000"/>
      <w:sz w:val="22"/>
      <w:szCs w:val="20"/>
      <w:lang w:eastAsia="en-US"/>
    </w:rPr>
  </w:style>
  <w:style w:type="paragraph" w:customStyle="1" w:styleId="PFNumLevel1">
    <w:name w:val="PF (Num) Level 1"/>
    <w:basedOn w:val="Normal"/>
    <w:rsid w:val="00FC0D25"/>
    <w:pPr>
      <w:numPr>
        <w:numId w:val="1"/>
      </w:numPr>
      <w:tabs>
        <w:tab w:val="clear" w:pos="924"/>
        <w:tab w:val="left" w:pos="851"/>
      </w:tabs>
      <w:spacing w:before="240" w:after="120" w:line="276" w:lineRule="auto"/>
      <w:jc w:val="left"/>
      <w:outlineLvl w:val="0"/>
    </w:pPr>
    <w:rPr>
      <w:rFonts w:ascii="Calibri" w:hAnsi="Calibri" w:cs="Calibri"/>
      <w:color w:val="000000"/>
      <w:kern w:val="28"/>
      <w:sz w:val="22"/>
      <w:szCs w:val="20"/>
      <w:lang w:val="x-none"/>
    </w:rPr>
  </w:style>
  <w:style w:type="character" w:customStyle="1" w:styleId="bodyitalic">
    <w:name w:val="body italic"/>
    <w:uiPriority w:val="99"/>
    <w:rsid w:val="00FC0D25"/>
    <w:rPr>
      <w:rFonts w:ascii="CorporateSBQ-Light" w:hAnsi="CorporateSBQ-Light" w:cs="CorporateSBQ-Light"/>
      <w:i/>
      <w:iCs/>
      <w:color w:val="000000"/>
      <w:spacing w:val="-3"/>
      <w:w w:val="100"/>
      <w:position w:val="0"/>
      <w:sz w:val="20"/>
      <w:szCs w:val="20"/>
      <w:u w:val="none"/>
      <w:vertAlign w:val="baseline"/>
    </w:rPr>
  </w:style>
  <w:style w:type="character" w:customStyle="1" w:styleId="PFParaNumLevel1Char">
    <w:name w:val="PF (ParaNum) Level 1 Char"/>
    <w:link w:val="PFParaNumLevel1"/>
    <w:rsid w:val="00FC0D25"/>
    <w:rPr>
      <w:rFonts w:ascii="Times New Roman" w:hAnsi="Times New Roman" w:cs="Times New Roman"/>
      <w:color w:val="000000"/>
      <w:sz w:val="22"/>
      <w:lang w:val="x-none" w:eastAsia="en-US"/>
    </w:rPr>
  </w:style>
  <w:style w:type="paragraph" w:styleId="NoSpacing">
    <w:name w:val="No Spacing"/>
    <w:uiPriority w:val="1"/>
    <w:qFormat/>
    <w:rsid w:val="00FC0D25"/>
    <w:pPr>
      <w:tabs>
        <w:tab w:val="left" w:pos="924"/>
        <w:tab w:val="left" w:pos="1848"/>
        <w:tab w:val="left" w:pos="2773"/>
        <w:tab w:val="left" w:pos="3697"/>
        <w:tab w:val="left" w:pos="4621"/>
        <w:tab w:val="left" w:pos="5545"/>
        <w:tab w:val="left" w:pos="6469"/>
        <w:tab w:val="left" w:pos="7394"/>
        <w:tab w:val="left" w:pos="8318"/>
        <w:tab w:val="right" w:pos="8930"/>
      </w:tabs>
    </w:pPr>
    <w:rPr>
      <w:rFonts w:ascii="Times New Roman" w:hAnsi="Times New Roman" w:cs="Times New Roman"/>
      <w:color w:val="000000"/>
      <w:sz w:val="22"/>
      <w:lang w:eastAsia="en-US"/>
    </w:rPr>
  </w:style>
  <w:style w:type="character" w:styleId="Strong">
    <w:name w:val="Strong"/>
    <w:basedOn w:val="DefaultParagraphFont"/>
    <w:uiPriority w:val="22"/>
    <w:qFormat/>
    <w:rsid w:val="00FC0D25"/>
    <w:rPr>
      <w:b/>
      <w:bCs/>
    </w:rPr>
  </w:style>
  <w:style w:type="paragraph" w:customStyle="1" w:styleId="sr2">
    <w:name w:val="sr2"/>
    <w:basedOn w:val="PFParaNumLevel1"/>
    <w:link w:val="sr2Char"/>
    <w:qFormat/>
    <w:rsid w:val="00FC0D25"/>
    <w:pPr>
      <w:spacing w:before="240"/>
      <w:ind w:left="924" w:hanging="924"/>
      <w:outlineLvl w:val="0"/>
    </w:pPr>
    <w:rPr>
      <w:rFonts w:ascii="Calibri" w:hAnsi="Calibri"/>
      <w:b/>
    </w:rPr>
  </w:style>
  <w:style w:type="character" w:customStyle="1" w:styleId="sr2Char">
    <w:name w:val="sr2 Char"/>
    <w:link w:val="sr2"/>
    <w:rsid w:val="00FC0D25"/>
    <w:rPr>
      <w:rFonts w:ascii="Calibri" w:hAnsi="Calibri" w:cs="Times New Roman"/>
      <w:b/>
      <w:color w:val="000000"/>
      <w:sz w:val="22"/>
      <w:lang w:val="x-none" w:eastAsia="en-US"/>
    </w:rPr>
  </w:style>
  <w:style w:type="paragraph" w:customStyle="1" w:styleId="SingleTxtG">
    <w:name w:val="_ Single Txt_G"/>
    <w:basedOn w:val="Normal"/>
    <w:link w:val="SingleTxtGChar"/>
    <w:rsid w:val="00FC0D25"/>
    <w:pPr>
      <w:suppressAutoHyphens/>
      <w:spacing w:after="120" w:line="240" w:lineRule="atLeast"/>
      <w:ind w:left="1134" w:right="1134"/>
      <w:jc w:val="both"/>
    </w:pPr>
    <w:rPr>
      <w:rFonts w:ascii="Times New Roman" w:hAnsi="Times New Roman" w:cs="Times New Roman"/>
      <w:sz w:val="20"/>
      <w:szCs w:val="20"/>
      <w:lang w:val="en-GB" w:eastAsia="en-US"/>
    </w:rPr>
  </w:style>
  <w:style w:type="character" w:customStyle="1" w:styleId="SingleTxtGChar">
    <w:name w:val="_ Single Txt_G Char"/>
    <w:link w:val="SingleTxtG"/>
    <w:locked/>
    <w:rsid w:val="00FC0D25"/>
    <w:rPr>
      <w:rFonts w:ascii="Times New Roman" w:hAnsi="Times New Roman" w:cs="Times New Roman"/>
      <w:lang w:val="en-GB"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FC0D25"/>
    <w:pPr>
      <w:spacing w:after="160" w:line="240" w:lineRule="exact"/>
      <w:jc w:val="both"/>
    </w:pPr>
    <w:rPr>
      <w:sz w:val="20"/>
      <w:szCs w:val="20"/>
      <w:vertAlign w:val="superscript"/>
    </w:rPr>
  </w:style>
  <w:style w:type="paragraph" w:customStyle="1" w:styleId="EndnoteText1">
    <w:name w:val="Endnote Text1"/>
    <w:basedOn w:val="Normal"/>
    <w:rsid w:val="00FC0D25"/>
    <w:pPr>
      <w:adjustRightInd w:val="0"/>
      <w:spacing w:after="120"/>
      <w:ind w:left="720" w:hanging="720"/>
      <w:jc w:val="both"/>
    </w:pPr>
    <w:rPr>
      <w:rFonts w:ascii="Times New Roman" w:eastAsia="STZhongsong" w:hAnsi="Times New Roman" w:cs="Times New Roman"/>
      <w:sz w:val="18"/>
      <w:szCs w:val="20"/>
      <w:lang w:val="en-GB" w:eastAsia="zh-CN"/>
    </w:rPr>
  </w:style>
  <w:style w:type="character" w:customStyle="1" w:styleId="citation">
    <w:name w:val="citation"/>
    <w:rsid w:val="00FC0D25"/>
    <w:rPr>
      <w:i w:val="0"/>
      <w:iCs w:val="0"/>
    </w:rPr>
  </w:style>
  <w:style w:type="paragraph" w:customStyle="1" w:styleId="Standard">
    <w:name w:val="Standard"/>
    <w:rsid w:val="00FC0D25"/>
    <w:pPr>
      <w:widowControl w:val="0"/>
      <w:suppressAutoHyphens/>
      <w:autoSpaceDN w:val="0"/>
    </w:pPr>
    <w:rPr>
      <w:rFonts w:ascii="Helvetica" w:eastAsia="Lucida Sans Unicode" w:hAnsi="Helvetica" w:cs="Tahoma"/>
      <w:kern w:val="3"/>
      <w:sz w:val="22"/>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91748">
      <w:bodyDiv w:val="1"/>
      <w:marLeft w:val="0"/>
      <w:marRight w:val="0"/>
      <w:marTop w:val="0"/>
      <w:marBottom w:val="0"/>
      <w:divBdr>
        <w:top w:val="none" w:sz="0" w:space="0" w:color="auto"/>
        <w:left w:val="none" w:sz="0" w:space="0" w:color="auto"/>
        <w:bottom w:val="none" w:sz="0" w:space="0" w:color="auto"/>
        <w:right w:val="none" w:sz="0" w:space="0" w:color="auto"/>
      </w:divBdr>
    </w:div>
    <w:div w:id="502866415">
      <w:bodyDiv w:val="1"/>
      <w:marLeft w:val="0"/>
      <w:marRight w:val="0"/>
      <w:marTop w:val="0"/>
      <w:marBottom w:val="0"/>
      <w:divBdr>
        <w:top w:val="none" w:sz="0" w:space="0" w:color="auto"/>
        <w:left w:val="none" w:sz="0" w:space="0" w:color="auto"/>
        <w:bottom w:val="none" w:sz="0" w:space="0" w:color="auto"/>
        <w:right w:val="none" w:sz="0" w:space="0" w:color="auto"/>
      </w:divBdr>
    </w:div>
    <w:div w:id="515507536">
      <w:bodyDiv w:val="1"/>
      <w:marLeft w:val="0"/>
      <w:marRight w:val="0"/>
      <w:marTop w:val="0"/>
      <w:marBottom w:val="0"/>
      <w:divBdr>
        <w:top w:val="none" w:sz="0" w:space="0" w:color="auto"/>
        <w:left w:val="none" w:sz="0" w:space="0" w:color="auto"/>
        <w:bottom w:val="none" w:sz="0" w:space="0" w:color="auto"/>
        <w:right w:val="none" w:sz="0" w:space="0" w:color="auto"/>
      </w:divBdr>
    </w:div>
    <w:div w:id="1068041121">
      <w:bodyDiv w:val="1"/>
      <w:marLeft w:val="0"/>
      <w:marRight w:val="0"/>
      <w:marTop w:val="0"/>
      <w:marBottom w:val="0"/>
      <w:divBdr>
        <w:top w:val="none" w:sz="0" w:space="0" w:color="auto"/>
        <w:left w:val="none" w:sz="0" w:space="0" w:color="auto"/>
        <w:bottom w:val="none" w:sz="0" w:space="0" w:color="auto"/>
        <w:right w:val="none" w:sz="0" w:space="0" w:color="auto"/>
      </w:divBdr>
    </w:div>
    <w:div w:id="1159882451">
      <w:bodyDiv w:val="1"/>
      <w:marLeft w:val="0"/>
      <w:marRight w:val="0"/>
      <w:marTop w:val="0"/>
      <w:marBottom w:val="0"/>
      <w:divBdr>
        <w:top w:val="none" w:sz="0" w:space="0" w:color="auto"/>
        <w:left w:val="none" w:sz="0" w:space="0" w:color="auto"/>
        <w:bottom w:val="none" w:sz="0" w:space="0" w:color="auto"/>
        <w:right w:val="none" w:sz="0" w:space="0" w:color="auto"/>
      </w:divBdr>
    </w:div>
    <w:div w:id="184019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gilab@pwd.org.au" TargetMode="Externa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www.comlaw.gov.au/Details/C2013A00020" TargetMode="External"/><Relationship Id="rId18" Type="http://schemas.openxmlformats.org/officeDocument/2006/relationships/hyperlink" Target="http://www.abc.net.au/7.30/content/2011/s3219518.htm" TargetMode="External"/><Relationship Id="rId26" Type="http://schemas.openxmlformats.org/officeDocument/2006/relationships/hyperlink" Target="http://www.health.qld.gov.au/mha2000/documents/factsheet3.pdf" TargetMode="External"/><Relationship Id="rId39" Type="http://schemas.openxmlformats.org/officeDocument/2006/relationships/hyperlink" Target="http://www.nswbar.asn.au/docs/resources/lectures/bill_rights.pdf" TargetMode="External"/><Relationship Id="rId21" Type="http://schemas.openxmlformats.org/officeDocument/2006/relationships/hyperlink" Target="http://www.sistersinside.com.au/media/FINAL%20-%20National%20HR%20Submission%20June%202009.pdf" TargetMode="External"/><Relationship Id="rId34" Type="http://schemas.openxmlformats.org/officeDocument/2006/relationships/hyperlink" Target="http://www.theage.com.au/victoria/deaths-in-mental-health-facilities-unexpected-unnatural-and-violent-20110902-1jqdg.html" TargetMode="External"/><Relationship Id="rId42" Type="http://schemas.openxmlformats.org/officeDocument/2006/relationships/hyperlink" Target="http://www.sistersinside.com.au" TargetMode="External"/><Relationship Id="rId47" Type="http://schemas.openxmlformats.org/officeDocument/2006/relationships/hyperlink" Target="http://www.abc.net.au/pm/content/2011/s3368277.htm" TargetMode="External"/><Relationship Id="rId50" Type="http://schemas.openxmlformats.org/officeDocument/2006/relationships/hyperlink" Target="http://www.wwda.org.au/dowsedv07.pdf" TargetMode="External"/><Relationship Id="rId55" Type="http://schemas.openxmlformats.org/officeDocument/2006/relationships/hyperlink" Target="http://www.aifs.gov.au/acssa/pubs/issue/acssa_issues9.pdf" TargetMode="External"/><Relationship Id="rId7" Type="http://schemas.openxmlformats.org/officeDocument/2006/relationships/hyperlink" Target="http://www.hrlrc.org.au/files/WS81VOHT6Y/Fax%20to%20CAT%20-%206%20July%202007.pdf" TargetMode="External"/><Relationship Id="rId12" Type="http://schemas.openxmlformats.org/officeDocument/2006/relationships/hyperlink" Target="http://tbinternet.ohchr.org/_layouts/treatybodyexternal/SessionDetails1.aspx?SessionID=883&amp;Lang=en" TargetMode="External"/><Relationship Id="rId17" Type="http://schemas.openxmlformats.org/officeDocument/2006/relationships/hyperlink" Target="http://www.communities.qld.gov.au/resources/disability/publication/positive-futures-short-term-approvals-faqs.pdf" TargetMode="External"/><Relationship Id="rId25" Type="http://schemas.openxmlformats.org/officeDocument/2006/relationships/hyperlink" Target="http://www.theage.com.au/victoria/deaths-in-mental-health-facilities-unexpected-unnatural-and-violent-20110902-1jqdg.html" TargetMode="External"/><Relationship Id="rId33" Type="http://schemas.openxmlformats.org/officeDocument/2006/relationships/hyperlink" Target="http://www.theage.com.au/victoria/deaths-in-mental-health-facilities-unexpected-unnatural-and-violent-20110902-1jqdg.html" TargetMode="External"/><Relationship Id="rId38" Type="http://schemas.openxmlformats.org/officeDocument/2006/relationships/hyperlink" Target="http://www.aph.gov.au/Parliamentary_Business/Committees/Senate/Community_Affairs/Involuntary_Sterilisation/Sec_Report/index" TargetMode="External"/><Relationship Id="rId46" Type="http://schemas.openxmlformats.org/officeDocument/2006/relationships/hyperlink" Target="http://www.news.com.au/national/quadraplegic-drug-lord-paul-baker-jailed-for-10-years/story-e6frfkvr-1225718692294" TargetMode="External"/><Relationship Id="rId59" Type="http://schemas.openxmlformats.org/officeDocument/2006/relationships/hyperlink" Target="http://www.smh.com.au/nsw/residents-seek-compensation-from-house-of-horrors-boarding-home-20130924-2ub84.html" TargetMode="External"/><Relationship Id="rId2" Type="http://schemas.openxmlformats.org/officeDocument/2006/relationships/hyperlink" Target="http://data.worldbank.org/indicator/NY.GDP.PCAP.PP.CD?order=wbapi_data_value_2013+wbapi_data_value+wbapi_data_value-last&amp;sort=desc" TargetMode="External"/><Relationship Id="rId16" Type="http://schemas.openxmlformats.org/officeDocument/2006/relationships/hyperlink" Target="http://www.dhs.vic.gov.au/__data/assets/pdf_file/0008/608588/osp_experiencesofrestrictivepractices_pdf_0509.pdf" TargetMode="External"/><Relationship Id="rId20" Type="http://schemas.openxmlformats.org/officeDocument/2006/relationships/hyperlink" Target="http://www.hrlrc.org.au/files/4M6OEL69DU/HRLRC%20Report%20to%20CAT.pdf" TargetMode="External"/><Relationship Id="rId29" Type="http://schemas.openxmlformats.org/officeDocument/2006/relationships/hyperlink" Target="http://www.communitylaw.org.au/mentalhealth/cb_pages/images/Lacking_Insight.pdf" TargetMode="External"/><Relationship Id="rId41" Type="http://schemas.openxmlformats.org/officeDocument/2006/relationships/hyperlink" Target="http://www.abc.net.au/rampup/articles/2011/12/09/3387845.htm" TargetMode="External"/><Relationship Id="rId54" Type="http://schemas.openxmlformats.org/officeDocument/2006/relationships/hyperlink" Target="http://www.abc.net.au/pm/content/2011/s3326103.htm" TargetMode="External"/><Relationship Id="rId1" Type="http://schemas.openxmlformats.org/officeDocument/2006/relationships/hyperlink" Target="http://www.disabilityrightsnow.org.au" TargetMode="External"/><Relationship Id="rId6" Type="http://schemas.openxmlformats.org/officeDocument/2006/relationships/hyperlink" Target="http://www.budget.gov.au/2014-15/content/bp2/html/bp2_expense-20.htm" TargetMode="External"/><Relationship Id="rId11" Type="http://schemas.openxmlformats.org/officeDocument/2006/relationships/hyperlink" Target="http://www.alrc.gov.au/publications/disability-dp81" TargetMode="External"/><Relationship Id="rId24" Type="http://schemas.openxmlformats.org/officeDocument/2006/relationships/hyperlink" Target="http://www.fahcsia.gov.au/our-responsibilities/disability-and-carers/publications-articles/policy-research/draft-proposed-national-framework-for-reducing-the-use-of-restrictive-practices-in-the-disability-service-sector" TargetMode="External"/><Relationship Id="rId32" Type="http://schemas.openxmlformats.org/officeDocument/2006/relationships/hyperlink" Target="http://daccess-dds-ny.un.org/doc/UNDOC/GEN/G13/116/31/PDF/G1311631.pdf?OpenElement" TargetMode="External"/><Relationship Id="rId37" Type="http://schemas.openxmlformats.org/officeDocument/2006/relationships/hyperlink" Target="http://www.wwda.org.au/FIGOGuidelines2011.pdf" TargetMode="External"/><Relationship Id="rId40" Type="http://schemas.openxmlformats.org/officeDocument/2006/relationships/hyperlink" Target="http://www.pwd.org.au/systemic/adjc.html" TargetMode="External"/><Relationship Id="rId45" Type="http://schemas.openxmlformats.org/officeDocument/2006/relationships/hyperlink" Target="http://www.aph.gov.au/senate/committee/mentalhealth_ctte/submissions/sub306.pdf" TargetMode="External"/><Relationship Id="rId53" Type="http://schemas.openxmlformats.org/officeDocument/2006/relationships/hyperlink" Target="http://www.childabuseroyalcommission.gov.au/about-us/our-reports/interim-report-html" TargetMode="External"/><Relationship Id="rId58" Type="http://schemas.openxmlformats.org/officeDocument/2006/relationships/hyperlink" Target="http://www.wwda.org.au/wwdahrsub1.pdf" TargetMode="External"/><Relationship Id="rId5" Type="http://schemas.openxmlformats.org/officeDocument/2006/relationships/hyperlink" Target="http://www.coag.org.au" TargetMode="External"/><Relationship Id="rId15" Type="http://schemas.openxmlformats.org/officeDocument/2006/relationships/hyperlink" Target="http://www.nmhccf.org.au/documents/Seclusion%20&amp;%20Restraint.pdf" TargetMode="External"/><Relationship Id="rId23" Type="http://schemas.openxmlformats.org/officeDocument/2006/relationships/hyperlink" Target="http://www.humanrightsconsultation.gov.au/www/nhrcc/submissions.nsf/list/DB51D48972D82AFBCA25761500277B6A/$file/Jane%20Sanders_AGWW-7T26DXAGWW-7T26DX.pdf" TargetMode="External"/><Relationship Id="rId28" Type="http://schemas.openxmlformats.org/officeDocument/2006/relationships/hyperlink" Target="http://www.theage.com.au/national/mentally-ill-mans-human-rights-breached-tribunal-20090423-agtb.html" TargetMode="External"/><Relationship Id="rId36" Type="http://schemas.openxmlformats.org/officeDocument/2006/relationships/hyperlink" Target="http://www.aph.gov.au/Parliamentary_Business/Committees/Senate_Committees?url=clac_ctte/involuntary_sterilisation/first_report/index.htm" TargetMode="External"/><Relationship Id="rId49" Type="http://schemas.openxmlformats.org/officeDocument/2006/relationships/hyperlink" Target="http://www.vicserv.org.au/uploads/documents/general%20docs/Nowhere%20to%20be%20Safe%20Final%20layout.pdf" TargetMode="External"/><Relationship Id="rId57" Type="http://schemas.openxmlformats.org/officeDocument/2006/relationships/hyperlink" Target="http://www.lawfoundation.net.au/report/consultations" TargetMode="External"/><Relationship Id="rId10" Type="http://schemas.openxmlformats.org/officeDocument/2006/relationships/hyperlink" Target="http://www.pwd.org.au/pwda-publications/submissions.html" TargetMode="External"/><Relationship Id="rId19" Type="http://schemas.openxmlformats.org/officeDocument/2006/relationships/hyperlink" Target="http://solitaryconfinement.org/uploads/SpecRapTortureAug2011.pdf%20para.78" TargetMode="External"/><Relationship Id="rId31" Type="http://schemas.openxmlformats.org/officeDocument/2006/relationships/hyperlink" Target="http://www.hrlrc.org.au/year/2009/09-085-2009-vmhrb-23-february-2009/" TargetMode="External"/><Relationship Id="rId44" Type="http://schemas.openxmlformats.org/officeDocument/2006/relationships/hyperlink" Target="http://www.sistersinside.com.au/media/ResearchProposal15KathyEllem.pdf" TargetMode="External"/><Relationship Id="rId52" Type="http://schemas.openxmlformats.org/officeDocument/2006/relationships/hyperlink" Target="http://www.childabuseroyalcommission.gov.au/" TargetMode="External"/><Relationship Id="rId60" Type="http://schemas.openxmlformats.org/officeDocument/2006/relationships/hyperlink" Target="http://www.ombo.nsw.gov.au/publication/PDF/specialreport/SR%20Boarding%20Houses.pdf" TargetMode="External"/><Relationship Id="rId4" Type="http://schemas.openxmlformats.org/officeDocument/2006/relationships/hyperlink" Target="http://www.itu.int/ITU-D/ict/cs/australia/material/AUS_CS.pdf" TargetMode="External"/><Relationship Id="rId9" Type="http://schemas.openxmlformats.org/officeDocument/2006/relationships/hyperlink" Target="http://www.humanrights.gov.au/legal/submissions/2008/080415_torture.html" TargetMode="External"/><Relationship Id="rId14" Type="http://schemas.openxmlformats.org/officeDocument/2006/relationships/hyperlink" Target="http://www.aph.gov.au/Parliamentary_Business/Bills_Legislation/Bills_Search_Results/Result?bId=r5269" TargetMode="External"/><Relationship Id="rId22" Type="http://schemas.openxmlformats.org/officeDocument/2006/relationships/hyperlink" Target="http://www2.ohchr.org/english/bodies/cat/docs/ngos/NSWCCL.Add.1.pdf" TargetMode="External"/><Relationship Id="rId27" Type="http://schemas.openxmlformats.org/officeDocument/2006/relationships/hyperlink" Target="http://www.dhs.vic.gov.au/__data/assets/pdf_file/0005/152663/disact_infosheet15supervisedtreatment_pdf_280607.pdf" TargetMode="External"/><Relationship Id="rId30" Type="http://schemas.openxmlformats.org/officeDocument/2006/relationships/hyperlink" Target="http://health.vic.gov.au/chiefpsychiatrist/documents/annual_report0708.pdf" TargetMode="External"/><Relationship Id="rId35" Type="http://schemas.openxmlformats.org/officeDocument/2006/relationships/hyperlink" Target="http://news.smh.com.au/breaking-news-national/disabled-girl-can-be-sterilised-court-20100309-pu6l.html" TargetMode="External"/><Relationship Id="rId43" Type="http://schemas.openxmlformats.org/officeDocument/2006/relationships/hyperlink" Target="http://www.smh.com.au/nsw/report&#8211;finds&#8211;disability&#8211;and&#8211;disadvantage&#8211;common&#8211;in&#8211;young&#8211;offenders&#8211;20100226&#8211;p95r.html" TargetMode="External"/><Relationship Id="rId48" Type="http://schemas.openxmlformats.org/officeDocument/2006/relationships/hyperlink" Target="http://www.hrlrc.org.au/content/topics/refugees-and-asylum-seekers/refugee-rights-submission-inquiry-immigration-detention/" TargetMode="External"/><Relationship Id="rId56" Type="http://schemas.openxmlformats.org/officeDocument/2006/relationships/hyperlink" Target="http://www.dailytelegraph.com.au/news/son-knocked-out-in-schoolyard-bashing-dad-not-told-for-three-hours/story-e6freuy9-1225828959512" TargetMode="External"/><Relationship Id="rId8" Type="http://schemas.openxmlformats.org/officeDocument/2006/relationships/hyperlink" Target="http://asiapacific.amnesty.org/library/pdf/ASA120012007ENGLISH/$File/ASA1200107.pdf" TargetMode="External"/><Relationship Id="rId51" Type="http://schemas.openxmlformats.org/officeDocument/2006/relationships/hyperlink" Target="http://www.ohchr.org/EN/HRBodies/CRPD/Pages/DGD17April2013.aspx" TargetMode="External"/><Relationship Id="rId3" Type="http://schemas.openxmlformats.org/officeDocument/2006/relationships/hyperlink" Target="http://hdr.undp.org/en/content/table-2-human-development-index-trends-1980-2013"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pwd@pwd.org.au" TargetMode="External"/><Relationship Id="rId1" Type="http://schemas.openxmlformats.org/officeDocument/2006/relationships/hyperlink" Target="mailto:pwd@pwd.org.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X:\templates\PWDA%20SUBMISS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587370-7406-44B9-91B9-C6D586B7F113}"/>
</file>

<file path=customXml/itemProps2.xml><?xml version="1.0" encoding="utf-8"?>
<ds:datastoreItem xmlns:ds="http://schemas.openxmlformats.org/officeDocument/2006/customXml" ds:itemID="{7C248537-5320-431D-A29A-E5C22728437A}"/>
</file>

<file path=customXml/itemProps3.xml><?xml version="1.0" encoding="utf-8"?>
<ds:datastoreItem xmlns:ds="http://schemas.openxmlformats.org/officeDocument/2006/customXml" ds:itemID="{0D97C958-FCE4-44D7-A0CB-1BFF3CD344BD}"/>
</file>

<file path=customXml/itemProps4.xml><?xml version="1.0" encoding="utf-8"?>
<ds:datastoreItem xmlns:ds="http://schemas.openxmlformats.org/officeDocument/2006/customXml" ds:itemID="{CA6622D8-9098-47F7-B4D8-EE2F37D09C34}"/>
</file>

<file path=docProps/app.xml><?xml version="1.0" encoding="utf-8"?>
<Properties xmlns="http://schemas.openxmlformats.org/officeDocument/2006/extended-properties" xmlns:vt="http://schemas.openxmlformats.org/officeDocument/2006/docPropsVTypes">
  <Template>PWDA SUBMISSION</Template>
  <TotalTime>101</TotalTime>
  <Pages>53</Pages>
  <Words>17109</Words>
  <Characters>97524</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Project Proposal</vt:lpstr>
    </vt:vector>
  </TitlesOfParts>
  <Company/>
  <LinksUpToDate>false</LinksUpToDate>
  <CharactersWithSpaces>114405</CharactersWithSpaces>
  <SharedDoc>false</SharedDoc>
  <HLinks>
    <vt:vector size="42" baseType="variant">
      <vt:variant>
        <vt:i4>1638448</vt:i4>
      </vt:variant>
      <vt:variant>
        <vt:i4>32</vt:i4>
      </vt:variant>
      <vt:variant>
        <vt:i4>0</vt:i4>
      </vt:variant>
      <vt:variant>
        <vt:i4>5</vt:i4>
      </vt:variant>
      <vt:variant>
        <vt:lpwstr/>
      </vt:variant>
      <vt:variant>
        <vt:lpwstr>_Toc394304708</vt:lpwstr>
      </vt:variant>
      <vt:variant>
        <vt:i4>1638448</vt:i4>
      </vt:variant>
      <vt:variant>
        <vt:i4>26</vt:i4>
      </vt:variant>
      <vt:variant>
        <vt:i4>0</vt:i4>
      </vt:variant>
      <vt:variant>
        <vt:i4>5</vt:i4>
      </vt:variant>
      <vt:variant>
        <vt:lpwstr/>
      </vt:variant>
      <vt:variant>
        <vt:lpwstr>_Toc394304707</vt:lpwstr>
      </vt:variant>
      <vt:variant>
        <vt:i4>1638448</vt:i4>
      </vt:variant>
      <vt:variant>
        <vt:i4>20</vt:i4>
      </vt:variant>
      <vt:variant>
        <vt:i4>0</vt:i4>
      </vt:variant>
      <vt:variant>
        <vt:i4>5</vt:i4>
      </vt:variant>
      <vt:variant>
        <vt:lpwstr/>
      </vt:variant>
      <vt:variant>
        <vt:lpwstr>_Toc394304706</vt:lpwstr>
      </vt:variant>
      <vt:variant>
        <vt:i4>1638448</vt:i4>
      </vt:variant>
      <vt:variant>
        <vt:i4>14</vt:i4>
      </vt:variant>
      <vt:variant>
        <vt:i4>0</vt:i4>
      </vt:variant>
      <vt:variant>
        <vt:i4>5</vt:i4>
      </vt:variant>
      <vt:variant>
        <vt:lpwstr/>
      </vt:variant>
      <vt:variant>
        <vt:lpwstr>_Toc394304705</vt:lpwstr>
      </vt:variant>
      <vt:variant>
        <vt:i4>1638448</vt:i4>
      </vt:variant>
      <vt:variant>
        <vt:i4>8</vt:i4>
      </vt:variant>
      <vt:variant>
        <vt:i4>0</vt:i4>
      </vt:variant>
      <vt:variant>
        <vt:i4>5</vt:i4>
      </vt:variant>
      <vt:variant>
        <vt:lpwstr/>
      </vt:variant>
      <vt:variant>
        <vt:lpwstr>_Toc394304704</vt:lpwstr>
      </vt:variant>
      <vt:variant>
        <vt:i4>1638448</vt:i4>
      </vt:variant>
      <vt:variant>
        <vt:i4>2</vt:i4>
      </vt:variant>
      <vt:variant>
        <vt:i4>0</vt:i4>
      </vt:variant>
      <vt:variant>
        <vt:i4>5</vt:i4>
      </vt:variant>
      <vt:variant>
        <vt:lpwstr/>
      </vt:variant>
      <vt:variant>
        <vt:lpwstr>_Toc394304703</vt:lpwstr>
      </vt:variant>
      <vt:variant>
        <vt:i4>721016</vt:i4>
      </vt:variant>
      <vt:variant>
        <vt:i4>0</vt:i4>
      </vt:variant>
      <vt:variant>
        <vt:i4>0</vt:i4>
      </vt:variant>
      <vt:variant>
        <vt:i4>5</vt:i4>
      </vt:variant>
      <vt:variant>
        <vt:lpwstr>mailto:pwd@pwd.org.au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
  <dc:creator>Jess Cadwallader</dc:creator>
  <cp:keywords/>
  <cp:lastModifiedBy>Ngila Bevan</cp:lastModifiedBy>
  <cp:revision>40</cp:revision>
  <cp:lastPrinted>2014-10-17T09:36:00Z</cp:lastPrinted>
  <dcterms:created xsi:type="dcterms:W3CDTF">2014-10-17T08:38:00Z</dcterms:created>
  <dcterms:modified xsi:type="dcterms:W3CDTF">2014-10-28T04:24:00Z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