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0AB9D4" w14:textId="77777777" w:rsidR="003015A2" w:rsidRDefault="003015A2" w:rsidP="003015A2">
      <w:pPr>
        <w:spacing w:line="360" w:lineRule="auto"/>
        <w:jc w:val="both"/>
        <w:rPr>
          <w:b/>
          <w:sz w:val="24"/>
          <w:szCs w:val="24"/>
        </w:rPr>
      </w:pPr>
    </w:p>
    <w:tbl>
      <w:tblPr>
        <w:tblW w:w="8930"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0"/>
      </w:tblGrid>
      <w:tr w:rsidR="003015A2" w14:paraId="4CA99BB7" w14:textId="77777777" w:rsidTr="003D2A86">
        <w:trPr>
          <w:trHeight w:val="1092"/>
        </w:trPr>
        <w:tc>
          <w:tcPr>
            <w:tcW w:w="8930" w:type="dxa"/>
            <w:tcBorders>
              <w:top w:val="single" w:sz="18" w:space="0" w:color="365F91" w:themeColor="accent1" w:themeShade="BF"/>
              <w:left w:val="single" w:sz="18" w:space="0" w:color="365F91" w:themeColor="accent1" w:themeShade="BF"/>
              <w:bottom w:val="single" w:sz="18" w:space="0" w:color="365F91" w:themeColor="accent1" w:themeShade="BF"/>
              <w:right w:val="single" w:sz="18" w:space="0" w:color="365F91" w:themeColor="accent1" w:themeShade="BF"/>
            </w:tcBorders>
            <w:shd w:val="clear" w:color="auto" w:fill="DBE5F1" w:themeFill="accent1" w:themeFillTint="33"/>
          </w:tcPr>
          <w:p w14:paraId="33881491" w14:textId="77777777" w:rsidR="003D2A86" w:rsidRDefault="003015A2" w:rsidP="003015A2">
            <w:pPr>
              <w:spacing w:line="360" w:lineRule="auto"/>
              <w:jc w:val="center"/>
              <w:rPr>
                <w:b/>
                <w:sz w:val="24"/>
                <w:szCs w:val="24"/>
              </w:rPr>
            </w:pPr>
            <w:r>
              <w:rPr>
                <w:b/>
                <w:sz w:val="24"/>
                <w:szCs w:val="24"/>
              </w:rPr>
              <w:t xml:space="preserve">Informe sombra Desaparición de mujeres, Alerta Amber y Protocolo Alba: Cuando no hay voluntad para encontrarlas. </w:t>
            </w:r>
          </w:p>
          <w:p w14:paraId="2E4CA02D" w14:textId="684ED681" w:rsidR="003015A2" w:rsidRDefault="003015A2" w:rsidP="003015A2">
            <w:pPr>
              <w:spacing w:line="360" w:lineRule="auto"/>
              <w:jc w:val="center"/>
              <w:rPr>
                <w:b/>
                <w:sz w:val="24"/>
                <w:szCs w:val="24"/>
              </w:rPr>
            </w:pPr>
            <w:r>
              <w:rPr>
                <w:b/>
                <w:sz w:val="24"/>
                <w:szCs w:val="24"/>
              </w:rPr>
              <w:t>En ocasión del X informe de México.</w:t>
            </w:r>
          </w:p>
        </w:tc>
      </w:tr>
    </w:tbl>
    <w:p w14:paraId="0B440C4B" w14:textId="77777777" w:rsidR="003D2A86" w:rsidRDefault="003D2A86" w:rsidP="003D2A86">
      <w:pPr>
        <w:jc w:val="center"/>
        <w:rPr>
          <w:b/>
        </w:rPr>
      </w:pPr>
    </w:p>
    <w:p w14:paraId="584B648D" w14:textId="1CFC0477" w:rsidR="003D2A86" w:rsidRPr="00B60A47" w:rsidRDefault="003D2A86" w:rsidP="003D2A86">
      <w:pPr>
        <w:jc w:val="center"/>
        <w:rPr>
          <w:b/>
        </w:rPr>
      </w:pPr>
      <w:r w:rsidRPr="00B60A47">
        <w:rPr>
          <w:b/>
        </w:rPr>
        <w:t>Este documento puede ser publicado en la página web del ACNUDH</w:t>
      </w:r>
    </w:p>
    <w:p w14:paraId="5F5D6517" w14:textId="77777777" w:rsidR="003D2A86" w:rsidRPr="00B60A47" w:rsidRDefault="003D2A86" w:rsidP="003D2A86">
      <w:pPr>
        <w:jc w:val="center"/>
        <w:rPr>
          <w:b/>
        </w:rPr>
      </w:pPr>
      <w:r w:rsidRPr="00B60A47">
        <w:rPr>
          <w:b/>
        </w:rPr>
        <w:t>relativa a la CEDAW con fines de divulgación pública</w:t>
      </w:r>
    </w:p>
    <w:p w14:paraId="7EDEA213" w14:textId="77777777" w:rsidR="003015A2" w:rsidRPr="003015A2" w:rsidRDefault="003015A2" w:rsidP="003015A2">
      <w:pPr>
        <w:spacing w:line="240" w:lineRule="auto"/>
        <w:rPr>
          <w:rFonts w:ascii="Times New Roman" w:eastAsia="Times New Roman" w:hAnsi="Times New Roman" w:cs="Times New Roman"/>
          <w:sz w:val="24"/>
          <w:szCs w:val="24"/>
          <w:lang w:val="es-MX"/>
        </w:rPr>
      </w:pPr>
    </w:p>
    <w:p w14:paraId="3DFCBD12" w14:textId="728797C8" w:rsidR="003015A2" w:rsidRPr="003015A2" w:rsidRDefault="003015A2" w:rsidP="003015A2">
      <w:pPr>
        <w:spacing w:after="160" w:line="240" w:lineRule="auto"/>
        <w:jc w:val="both"/>
        <w:rPr>
          <w:rFonts w:ascii="Times New Roman" w:eastAsia="Times New Roman" w:hAnsi="Times New Roman" w:cs="Times New Roman"/>
          <w:sz w:val="24"/>
          <w:szCs w:val="24"/>
          <w:lang w:val="es-MX"/>
        </w:rPr>
      </w:pPr>
      <w:r w:rsidRPr="000907FE">
        <w:rPr>
          <w:rFonts w:ascii="Calibri" w:eastAsia="Times New Roman" w:hAnsi="Calibri" w:cs="Times New Roman"/>
          <w:color w:val="000000"/>
          <w:sz w:val="24"/>
          <w:szCs w:val="24"/>
          <w:lang w:val="es-MX"/>
        </w:rPr>
        <w:t>El presente informe lo envía la Cátedra UNESCO</w:t>
      </w:r>
      <w:r w:rsidR="000907FE" w:rsidRPr="000907FE">
        <w:rPr>
          <w:rFonts w:ascii="Calibri" w:eastAsia="Times New Roman" w:hAnsi="Calibri" w:cs="Times New Roman"/>
          <w:color w:val="000000"/>
          <w:sz w:val="24"/>
          <w:szCs w:val="24"/>
          <w:lang w:val="es-MX"/>
        </w:rPr>
        <w:t xml:space="preserve"> de Derechos Humanos de la UNAM en coalición con</w:t>
      </w:r>
      <w:r w:rsidRPr="000907FE">
        <w:rPr>
          <w:rFonts w:ascii="Calibri" w:eastAsia="Times New Roman" w:hAnsi="Calibri" w:cs="Times New Roman"/>
          <w:color w:val="000000"/>
          <w:sz w:val="24"/>
          <w:szCs w:val="24"/>
          <w:lang w:val="es-MX"/>
        </w:rPr>
        <w:t xml:space="preserve"> </w:t>
      </w:r>
      <w:r w:rsidR="000907FE" w:rsidRPr="000907FE">
        <w:rPr>
          <w:rFonts w:ascii="Calibri" w:eastAsia="Times New Roman" w:hAnsi="Calibri" w:cs="Times New Roman"/>
          <w:color w:val="000000"/>
          <w:sz w:val="24"/>
          <w:szCs w:val="24"/>
          <w:lang w:val="es-MX"/>
        </w:rPr>
        <w:t>la Red Nacional de Alertistas, la Red de Profesoras e investigadoras de Derechos Humanos de México, la organización Ius Género y la</w:t>
      </w:r>
      <w:r w:rsidR="002159DA" w:rsidRPr="000907FE">
        <w:rPr>
          <w:rFonts w:ascii="Calibri" w:eastAsia="Times New Roman" w:hAnsi="Calibri" w:cs="Times New Roman"/>
          <w:color w:val="000000"/>
          <w:sz w:val="24"/>
          <w:szCs w:val="24"/>
          <w:lang w:val="es-MX"/>
        </w:rPr>
        <w:t xml:space="preserve"> Federación Mexicana de Universitarias FEMU AC.</w:t>
      </w:r>
      <w:r w:rsidR="002159DA">
        <w:rPr>
          <w:rFonts w:ascii="Calibri" w:eastAsia="Times New Roman" w:hAnsi="Calibri" w:cs="Times New Roman"/>
          <w:color w:val="000000"/>
          <w:sz w:val="24"/>
          <w:szCs w:val="24"/>
          <w:lang w:val="es-MX"/>
        </w:rPr>
        <w:t xml:space="preserve"> </w:t>
      </w:r>
    </w:p>
    <w:p w14:paraId="54F6CC50" w14:textId="77777777" w:rsidR="000907FE" w:rsidRDefault="000907FE" w:rsidP="003015A2">
      <w:pPr>
        <w:spacing w:line="360" w:lineRule="auto"/>
        <w:jc w:val="both"/>
        <w:rPr>
          <w:b/>
        </w:rPr>
      </w:pPr>
    </w:p>
    <w:p w14:paraId="77D43FD6" w14:textId="7DB99E31" w:rsidR="002159DA" w:rsidRPr="002159DA" w:rsidRDefault="002159DA" w:rsidP="003015A2">
      <w:pPr>
        <w:spacing w:line="360" w:lineRule="auto"/>
        <w:jc w:val="both"/>
        <w:rPr>
          <w:b/>
        </w:rPr>
      </w:pPr>
      <w:r w:rsidRPr="002159DA">
        <w:rPr>
          <w:b/>
        </w:rPr>
        <w:t>Coordinación:</w:t>
      </w:r>
    </w:p>
    <w:p w14:paraId="30160DC6" w14:textId="77777777" w:rsidR="00152ABD" w:rsidRDefault="002159DA" w:rsidP="003015A2">
      <w:pPr>
        <w:spacing w:line="360" w:lineRule="auto"/>
        <w:jc w:val="both"/>
      </w:pPr>
      <w:r>
        <w:t xml:space="preserve">Dra. Gloria Ramírez Hernández. </w:t>
      </w:r>
    </w:p>
    <w:p w14:paraId="7A931687" w14:textId="591B40A4" w:rsidR="002159DA" w:rsidRPr="000907FE" w:rsidRDefault="002159DA" w:rsidP="003015A2">
      <w:pPr>
        <w:spacing w:line="360" w:lineRule="auto"/>
        <w:jc w:val="both"/>
        <w:rPr>
          <w:b/>
        </w:rPr>
      </w:pPr>
      <w:r w:rsidRPr="002159DA">
        <w:rPr>
          <w:b/>
        </w:rPr>
        <w:t xml:space="preserve">Cátedra UNESCO de Derechos Humanos de la UNAM/Federación Mexicana de Universitarias A.C. </w:t>
      </w:r>
    </w:p>
    <w:p w14:paraId="6FFB7AE9" w14:textId="77777777" w:rsidR="00152ABD" w:rsidRDefault="002159DA" w:rsidP="003015A2">
      <w:pPr>
        <w:spacing w:line="360" w:lineRule="auto"/>
        <w:jc w:val="both"/>
      </w:pPr>
      <w:r>
        <w:t>Lic. Marina Reyna Aguilar, Lic. Leticia Burgos Ochoa y Lic. Evangelina Flores Ceceña.</w:t>
      </w:r>
    </w:p>
    <w:p w14:paraId="2D7D6D70" w14:textId="1C43CC25" w:rsidR="002159DA" w:rsidRDefault="002159DA" w:rsidP="003015A2">
      <w:pPr>
        <w:spacing w:line="360" w:lineRule="auto"/>
        <w:jc w:val="both"/>
        <w:rPr>
          <w:b/>
        </w:rPr>
      </w:pPr>
      <w:r>
        <w:t xml:space="preserve"> </w:t>
      </w:r>
      <w:r w:rsidRPr="002159DA">
        <w:rPr>
          <w:b/>
        </w:rPr>
        <w:t>Red Nacional de Alertistas</w:t>
      </w:r>
    </w:p>
    <w:p w14:paraId="3A80CB0C" w14:textId="77777777" w:rsidR="002159DA" w:rsidRDefault="002159DA" w:rsidP="003015A2">
      <w:pPr>
        <w:spacing w:line="360" w:lineRule="auto"/>
        <w:jc w:val="both"/>
      </w:pPr>
    </w:p>
    <w:p w14:paraId="4644A372" w14:textId="65ED53CC" w:rsidR="002159DA" w:rsidRPr="000C1A4B" w:rsidRDefault="002159DA" w:rsidP="003015A2">
      <w:pPr>
        <w:spacing w:line="360" w:lineRule="auto"/>
        <w:jc w:val="both"/>
        <w:rPr>
          <w:b/>
        </w:rPr>
      </w:pPr>
      <w:r w:rsidRPr="000C1A4B">
        <w:rPr>
          <w:b/>
        </w:rPr>
        <w:t xml:space="preserve">Con la </w:t>
      </w:r>
      <w:r w:rsidR="000907FE">
        <w:rPr>
          <w:b/>
        </w:rPr>
        <w:t xml:space="preserve">participación </w:t>
      </w:r>
      <w:r w:rsidRPr="000C1A4B">
        <w:rPr>
          <w:b/>
        </w:rPr>
        <w:t xml:space="preserve">de: </w:t>
      </w:r>
    </w:p>
    <w:p w14:paraId="1DB5F0C0" w14:textId="11614738" w:rsidR="002159DA" w:rsidRDefault="002159DA" w:rsidP="003015A2">
      <w:pPr>
        <w:spacing w:line="360" w:lineRule="auto"/>
        <w:jc w:val="both"/>
      </w:pPr>
      <w:r>
        <w:t>Azucena Enríquez</w:t>
      </w:r>
      <w:r w:rsidR="003D2A86">
        <w:t xml:space="preserve"> García</w:t>
      </w:r>
      <w:r>
        <w:t xml:space="preserve">, Secretaria </w:t>
      </w:r>
      <w:r w:rsidR="000C1A4B">
        <w:t>académica</w:t>
      </w:r>
      <w:r>
        <w:t xml:space="preserve"> de la CUDH-UNAM</w:t>
      </w:r>
    </w:p>
    <w:p w14:paraId="06FAFF71" w14:textId="675417E6" w:rsidR="003015A2" w:rsidRDefault="002159DA" w:rsidP="003015A2">
      <w:pPr>
        <w:spacing w:line="360" w:lineRule="auto"/>
        <w:jc w:val="both"/>
        <w:rPr>
          <w:b/>
          <w:sz w:val="24"/>
          <w:szCs w:val="24"/>
        </w:rPr>
      </w:pPr>
      <w:r>
        <w:t>Naomi Caracheo Pedraza y Fátima Jiménez Santos</w:t>
      </w:r>
      <w:r w:rsidR="000C1A4B">
        <w:t>, becarias de la CUDH-UNAM</w:t>
      </w:r>
    </w:p>
    <w:p w14:paraId="322C7200" w14:textId="77777777" w:rsidR="000C1A4B" w:rsidRDefault="000C1A4B" w:rsidP="000C1A4B">
      <w:pPr>
        <w:spacing w:line="360" w:lineRule="auto"/>
        <w:rPr>
          <w:sz w:val="20"/>
          <w:szCs w:val="20"/>
        </w:rPr>
      </w:pPr>
    </w:p>
    <w:p w14:paraId="42AB1134" w14:textId="77777777" w:rsidR="00DF587C" w:rsidRDefault="00DF587C" w:rsidP="000C1A4B">
      <w:pPr>
        <w:spacing w:line="360" w:lineRule="auto"/>
        <w:rPr>
          <w:sz w:val="20"/>
          <w:szCs w:val="20"/>
        </w:rPr>
      </w:pPr>
    </w:p>
    <w:p w14:paraId="16A8269D" w14:textId="77777777" w:rsidR="00DF587C" w:rsidRPr="000C1A4B" w:rsidRDefault="00DF587C" w:rsidP="000C1A4B">
      <w:pPr>
        <w:spacing w:line="360" w:lineRule="auto"/>
        <w:rPr>
          <w:sz w:val="20"/>
          <w:szCs w:val="20"/>
        </w:rPr>
      </w:pPr>
    </w:p>
    <w:p w14:paraId="0C2B4A04" w14:textId="4C986287" w:rsidR="000C1A4B" w:rsidRDefault="00F35C73" w:rsidP="003D2A86">
      <w:pPr>
        <w:spacing w:line="360" w:lineRule="auto"/>
        <w:jc w:val="both"/>
        <w:rPr>
          <w:rStyle w:val="Hipervnculo"/>
        </w:rPr>
      </w:pPr>
      <w:r>
        <w:t xml:space="preserve">Comunicación: </w:t>
      </w:r>
      <w:hyperlink r:id="rId7" w:history="1">
        <w:r w:rsidR="00152ABD" w:rsidRPr="00DC70BB">
          <w:rPr>
            <w:rStyle w:val="Hipervnculo"/>
          </w:rPr>
          <w:t>cedawciudadanas@gmail.com</w:t>
        </w:r>
      </w:hyperlink>
    </w:p>
    <w:p w14:paraId="0D08A140" w14:textId="79516E37" w:rsidR="003D2A86" w:rsidRDefault="003D2A86" w:rsidP="003D2A86">
      <w:pPr>
        <w:spacing w:line="360" w:lineRule="auto"/>
        <w:jc w:val="both"/>
      </w:pPr>
      <w:r w:rsidRPr="003D2A86">
        <w:t>https://catedraunescodh.unam.mx/catedra/catedra/</w:t>
      </w:r>
    </w:p>
    <w:p w14:paraId="22A025BE" w14:textId="1D26781A" w:rsidR="003D2A86" w:rsidRDefault="003D2A86" w:rsidP="003D2A86">
      <w:pPr>
        <w:spacing w:before="200" w:line="360" w:lineRule="auto"/>
        <w:jc w:val="center"/>
      </w:pPr>
    </w:p>
    <w:p w14:paraId="67DA5017" w14:textId="77777777" w:rsidR="003D2A86" w:rsidRDefault="003D2A86" w:rsidP="003D2A86">
      <w:pPr>
        <w:spacing w:before="200" w:line="360" w:lineRule="auto"/>
        <w:jc w:val="center"/>
      </w:pPr>
    </w:p>
    <w:p w14:paraId="26349403" w14:textId="4A1F0218" w:rsidR="003D2A86" w:rsidRDefault="003D2A86" w:rsidP="003D2A86">
      <w:pPr>
        <w:spacing w:before="200" w:line="360" w:lineRule="auto"/>
        <w:jc w:val="center"/>
      </w:pPr>
      <w:r>
        <w:t>Con apoyo del Proyecto PAPIIT IN302023 “25 años de informes ante la CEDAW en México. Balance, evaluación, resultados y avances”</w:t>
      </w:r>
    </w:p>
    <w:p w14:paraId="2A9F13AD" w14:textId="27286F44" w:rsidR="000C1A4B" w:rsidRDefault="000C1A4B" w:rsidP="003015A2">
      <w:pPr>
        <w:spacing w:before="200" w:line="360" w:lineRule="auto"/>
        <w:jc w:val="both"/>
        <w:rPr>
          <w:sz w:val="24"/>
          <w:szCs w:val="24"/>
          <w:highlight w:val="cyan"/>
        </w:rPr>
      </w:pPr>
    </w:p>
    <w:p w14:paraId="0C2FD966" w14:textId="74D4A763" w:rsidR="003D2A86" w:rsidRPr="001A2919" w:rsidRDefault="003D2A86" w:rsidP="003015A2">
      <w:pPr>
        <w:spacing w:before="200" w:line="360" w:lineRule="auto"/>
        <w:jc w:val="both"/>
        <w:rPr>
          <w:sz w:val="24"/>
          <w:szCs w:val="24"/>
          <w:highlight w:val="cyan"/>
        </w:rPr>
      </w:pPr>
    </w:p>
    <w:p w14:paraId="356764E4" w14:textId="22B3D714" w:rsidR="000907FE" w:rsidRDefault="003D2A86" w:rsidP="003D2A86">
      <w:pPr>
        <w:spacing w:line="360" w:lineRule="auto"/>
        <w:jc w:val="center"/>
        <w:rPr>
          <w:sz w:val="24"/>
          <w:szCs w:val="24"/>
        </w:rPr>
      </w:pPr>
      <w:r>
        <w:rPr>
          <w:sz w:val="24"/>
          <w:szCs w:val="24"/>
        </w:rPr>
        <w:t>México</w:t>
      </w:r>
      <w:r>
        <w:rPr>
          <w:sz w:val="24"/>
          <w:szCs w:val="24"/>
        </w:rPr>
        <w:t xml:space="preserve"> 17 mayo 2025</w:t>
      </w:r>
    </w:p>
    <w:tbl>
      <w:tblPr>
        <w:tblW w:w="9456" w:type="dxa"/>
        <w:tblInd w:w="-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56"/>
      </w:tblGrid>
      <w:tr w:rsidR="00F35C73" w14:paraId="5BD74B09" w14:textId="77777777" w:rsidTr="00F35C73">
        <w:trPr>
          <w:trHeight w:val="1251"/>
        </w:trPr>
        <w:tc>
          <w:tcPr>
            <w:tcW w:w="9456" w:type="dxa"/>
            <w:tcBorders>
              <w:top w:val="single" w:sz="18" w:space="0" w:color="365F91" w:themeColor="accent1" w:themeShade="BF"/>
              <w:left w:val="single" w:sz="18" w:space="0" w:color="365F91" w:themeColor="accent1" w:themeShade="BF"/>
              <w:bottom w:val="single" w:sz="18" w:space="0" w:color="365F91" w:themeColor="accent1" w:themeShade="BF"/>
              <w:right w:val="single" w:sz="18" w:space="0" w:color="365F91" w:themeColor="accent1" w:themeShade="BF"/>
            </w:tcBorders>
            <w:shd w:val="clear" w:color="auto" w:fill="DBE5F1" w:themeFill="accent1" w:themeFillTint="33"/>
          </w:tcPr>
          <w:p w14:paraId="0FF7D08C" w14:textId="77777777" w:rsidR="00F35C73" w:rsidRDefault="00F35C73" w:rsidP="00F35C73">
            <w:pPr>
              <w:spacing w:line="360" w:lineRule="auto"/>
              <w:ind w:left="228" w:firstLine="720"/>
              <w:jc w:val="both"/>
              <w:rPr>
                <w:b/>
                <w:sz w:val="24"/>
                <w:szCs w:val="24"/>
              </w:rPr>
            </w:pPr>
          </w:p>
          <w:p w14:paraId="72A70795" w14:textId="77777777" w:rsidR="00DF587C" w:rsidRPr="00DF587C" w:rsidRDefault="00F35C73" w:rsidP="00DF587C">
            <w:pPr>
              <w:spacing w:line="360" w:lineRule="auto"/>
              <w:ind w:left="228"/>
              <w:jc w:val="center"/>
              <w:rPr>
                <w:b/>
                <w:i/>
                <w:iCs/>
                <w:sz w:val="24"/>
                <w:szCs w:val="24"/>
              </w:rPr>
            </w:pPr>
            <w:r>
              <w:rPr>
                <w:b/>
                <w:sz w:val="24"/>
                <w:szCs w:val="24"/>
              </w:rPr>
              <w:t xml:space="preserve">Informe sombra Desaparición de mujeres, Alerta Amber y Protocolo Alba: </w:t>
            </w:r>
            <w:r w:rsidRPr="00DF587C">
              <w:rPr>
                <w:b/>
                <w:i/>
                <w:iCs/>
                <w:sz w:val="24"/>
                <w:szCs w:val="24"/>
              </w:rPr>
              <w:t>Cuando no hay voluntad para encontrarlas.</w:t>
            </w:r>
          </w:p>
          <w:p w14:paraId="2DDA2FF0" w14:textId="4C331FB3" w:rsidR="00F35C73" w:rsidRDefault="00F35C73" w:rsidP="00DF587C">
            <w:pPr>
              <w:spacing w:line="360" w:lineRule="auto"/>
              <w:ind w:left="228"/>
              <w:jc w:val="center"/>
              <w:rPr>
                <w:b/>
                <w:sz w:val="24"/>
                <w:szCs w:val="24"/>
              </w:rPr>
            </w:pPr>
            <w:r>
              <w:rPr>
                <w:b/>
                <w:sz w:val="24"/>
                <w:szCs w:val="24"/>
              </w:rPr>
              <w:t>En ocasión del X informe de México.</w:t>
            </w:r>
          </w:p>
          <w:p w14:paraId="01FCD72B" w14:textId="23AB4229" w:rsidR="00F35C73" w:rsidRDefault="00F35C73" w:rsidP="00F35C73">
            <w:pPr>
              <w:spacing w:line="360" w:lineRule="auto"/>
              <w:ind w:left="228"/>
              <w:jc w:val="both"/>
              <w:rPr>
                <w:b/>
                <w:sz w:val="24"/>
                <w:szCs w:val="24"/>
              </w:rPr>
            </w:pPr>
          </w:p>
        </w:tc>
      </w:tr>
    </w:tbl>
    <w:p w14:paraId="00000002" w14:textId="77777777" w:rsidR="00500A59" w:rsidRPr="00F35C73" w:rsidRDefault="002962DE" w:rsidP="003015A2">
      <w:pPr>
        <w:spacing w:before="200" w:line="360" w:lineRule="auto"/>
        <w:jc w:val="both"/>
        <w:rPr>
          <w:b/>
          <w:sz w:val="24"/>
          <w:szCs w:val="24"/>
        </w:rPr>
      </w:pPr>
      <w:r w:rsidRPr="00F35C73">
        <w:rPr>
          <w:b/>
          <w:sz w:val="24"/>
          <w:szCs w:val="24"/>
        </w:rPr>
        <w:t>Recomendación 24 inciso d) al Noveno informe Periódico de México sobre violencia de género contra las mujeres.</w:t>
      </w:r>
    </w:p>
    <w:p w14:paraId="00000003" w14:textId="77777777" w:rsidR="00500A59" w:rsidRPr="003015A2" w:rsidRDefault="002962DE" w:rsidP="003015A2">
      <w:pPr>
        <w:spacing w:before="200" w:line="360" w:lineRule="auto"/>
        <w:ind w:left="426"/>
        <w:jc w:val="both"/>
      </w:pPr>
      <w:r w:rsidRPr="003015A2">
        <w:t xml:space="preserve">24. El Comité recuerda su recomendación general núm. 35 (2017) sobre la violencia por razón de género contra la mujer, por la que se actualiza la recomendación general núm. 19, y reitera su recomendación al Estado parte de que: </w:t>
      </w:r>
    </w:p>
    <w:p w14:paraId="00000004" w14:textId="77777777" w:rsidR="00500A59" w:rsidRPr="003015A2" w:rsidRDefault="002962DE" w:rsidP="003015A2">
      <w:pPr>
        <w:spacing w:before="200" w:line="360" w:lineRule="auto"/>
        <w:ind w:left="426"/>
        <w:jc w:val="both"/>
      </w:pPr>
      <w:r w:rsidRPr="003015A2">
        <w:t>c) Simplifique y armonice en los estados los procedimientos de activación del Programa Alerta AMBER y el Protocolo Alba, agilice la búsqueda de las mujeres y niñas desaparecidas, adopte políticas y protocolos específicamente orientados a mitigar los riesgos asociados con la desaparición de mujeres y niñas, como el feminicidio y la trata de mujeres y niñas con fines de explotación sexual y trabajo forzoso, y vele por que la Comisión Ejecutiva de Atención a Víctimas refuerce su perspectiva de género</w:t>
      </w:r>
    </w:p>
    <w:p w14:paraId="00000005" w14:textId="77777777" w:rsidR="00500A59" w:rsidRDefault="002962DE" w:rsidP="000C1A4B">
      <w:pPr>
        <w:spacing w:before="200" w:line="360" w:lineRule="auto"/>
        <w:jc w:val="both"/>
        <w:rPr>
          <w:sz w:val="24"/>
          <w:szCs w:val="24"/>
        </w:rPr>
      </w:pPr>
      <w:r>
        <w:rPr>
          <w:sz w:val="24"/>
          <w:szCs w:val="24"/>
        </w:rPr>
        <w:t xml:space="preserve">Según datos del Registro Nacional de Personas Desaparecidas y No Localizadas (RNPDNO) hasta el 24 de abril de 2025, el total de personas desaparecidas y no localizadas es de 358,207 personas, de las cuales 145,070 son mujeres representando el 40.50% del total. De ese total, cerca del 59.3% son mujeres y niñas menores de 19 años, o sea de las 358,207 mujeres desaparecidas, 86,040 son menores de edad. </w:t>
      </w:r>
      <w:r>
        <w:rPr>
          <w:sz w:val="24"/>
          <w:szCs w:val="24"/>
          <w:vertAlign w:val="superscript"/>
        </w:rPr>
        <w:footnoteReference w:id="1"/>
      </w:r>
    </w:p>
    <w:p w14:paraId="00000006" w14:textId="77777777" w:rsidR="00500A59" w:rsidRDefault="002962DE" w:rsidP="000C1A4B">
      <w:pPr>
        <w:spacing w:before="200" w:line="360" w:lineRule="auto"/>
        <w:jc w:val="both"/>
        <w:rPr>
          <w:sz w:val="24"/>
          <w:szCs w:val="24"/>
        </w:rPr>
      </w:pPr>
      <w:r>
        <w:rPr>
          <w:sz w:val="24"/>
          <w:szCs w:val="24"/>
        </w:rPr>
        <w:t>Durante el año 2024, se registraron 12,906 mujeres desaparecidas y no localizadas, mientras que en lo que va del año 2025 se han contabilizado 3,699 casos. En comparación con el primer trimestre de 2024 el total de mujeres desaparecidas y no localizadas correspondía a 816, mientras que en 2025 la cifra es de 1,101, siendo un incremento del 34.93% en comparación con el mismo periodo del año anterior. Los datos revelan una crisis alarmante en términos de desaparición de mujeres y niñas en México.</w:t>
      </w:r>
    </w:p>
    <w:p w14:paraId="00000007" w14:textId="24EEA01C" w:rsidR="00500A59" w:rsidRDefault="002962DE" w:rsidP="000C1A4B">
      <w:pPr>
        <w:spacing w:before="200" w:line="360" w:lineRule="auto"/>
        <w:jc w:val="both"/>
        <w:rPr>
          <w:sz w:val="24"/>
          <w:szCs w:val="24"/>
        </w:rPr>
      </w:pPr>
      <w:r>
        <w:rPr>
          <w:sz w:val="24"/>
          <w:szCs w:val="24"/>
        </w:rPr>
        <w:lastRenderedPageBreak/>
        <w:t>De igual manera, en 2024, del total de mujeres desaparecidas y no localizadas, 211 fueron localizadas sin vida, y en 2025, hasta la fecha, esta cifra asciende a 3</w:t>
      </w:r>
      <w:r w:rsidRPr="0001725B">
        <w:rPr>
          <w:sz w:val="24"/>
          <w:szCs w:val="24"/>
        </w:rPr>
        <w:t>9.</w:t>
      </w:r>
      <w:r w:rsidR="0001725B" w:rsidRPr="0001725B">
        <w:rPr>
          <w:rStyle w:val="Refdenotaalpie"/>
          <w:sz w:val="24"/>
          <w:szCs w:val="24"/>
        </w:rPr>
        <w:footnoteReference w:id="2"/>
      </w:r>
    </w:p>
    <w:p w14:paraId="00000008" w14:textId="77777777" w:rsidR="00500A59" w:rsidRDefault="002962DE" w:rsidP="000C1A4B">
      <w:pPr>
        <w:spacing w:before="200" w:line="360" w:lineRule="auto"/>
        <w:jc w:val="both"/>
        <w:rPr>
          <w:sz w:val="24"/>
          <w:szCs w:val="24"/>
        </w:rPr>
      </w:pPr>
      <w:r>
        <w:rPr>
          <w:sz w:val="24"/>
          <w:szCs w:val="24"/>
        </w:rPr>
        <w:t>De acuerdo con las tendencias de 2018 a 2024 según datos del RNPDNO, los estados con mayor número de personas desaparecidas y no localizadas son: Jalisco: 6,724; Estado de México (Edomex): 5,425; Michoacán: 3,758; Ciudad de México (CDMX): 3,655; Tamaulipas: 3,351: Nuevo León: 3,256. En contraste, las entidades con las cifras más bajas fueron: Campeche (67), Yucatán (82), Puebla (100), Colima (357) y Oaxaca (374).</w:t>
      </w:r>
    </w:p>
    <w:p w14:paraId="00000009" w14:textId="77777777" w:rsidR="00500A59" w:rsidRDefault="002962DE" w:rsidP="000C1A4B">
      <w:pPr>
        <w:spacing w:before="200" w:line="360" w:lineRule="auto"/>
        <w:jc w:val="both"/>
        <w:rPr>
          <w:sz w:val="24"/>
          <w:szCs w:val="24"/>
        </w:rPr>
      </w:pPr>
      <w:r>
        <w:rPr>
          <w:sz w:val="24"/>
          <w:szCs w:val="24"/>
        </w:rPr>
        <w:t>Cabe mencionar que, de acuerdo con la RED Lupa, el 88% de los casos de personas desaparecidas se sitúan entre el año 2000 y mayo 16 de 2024.</w:t>
      </w:r>
      <w:r>
        <w:rPr>
          <w:sz w:val="24"/>
          <w:szCs w:val="24"/>
          <w:vertAlign w:val="superscript"/>
        </w:rPr>
        <w:footnoteReference w:id="3"/>
      </w:r>
      <w:r>
        <w:rPr>
          <w:sz w:val="24"/>
          <w:szCs w:val="24"/>
        </w:rPr>
        <w:t xml:space="preserve"> Así mismo, durante los primeros 100 días del gobierno de Claudia Sheinbaum se documentó un promedio diario de 40 desapariciones, lo que supone un incremento del 60 % respecto al promedio de 25 casos diarios registrados en el sexenio anterior. </w:t>
      </w:r>
      <w:r>
        <w:rPr>
          <w:sz w:val="24"/>
          <w:szCs w:val="24"/>
          <w:vertAlign w:val="superscript"/>
        </w:rPr>
        <w:footnoteReference w:id="4"/>
      </w:r>
    </w:p>
    <w:p w14:paraId="0000000B" w14:textId="1084BF71" w:rsidR="00500A59" w:rsidRDefault="002962DE" w:rsidP="000C1A4B">
      <w:pPr>
        <w:spacing w:before="200" w:line="360" w:lineRule="auto"/>
        <w:jc w:val="both"/>
        <w:rPr>
          <w:sz w:val="24"/>
          <w:szCs w:val="24"/>
        </w:rPr>
      </w:pPr>
      <w:r>
        <w:rPr>
          <w:sz w:val="24"/>
          <w:szCs w:val="24"/>
        </w:rPr>
        <w:t xml:space="preserve">Durante los primeros 100 días del sexenio, </w:t>
      </w:r>
      <w:r w:rsidR="0083375C">
        <w:rPr>
          <w:sz w:val="24"/>
          <w:szCs w:val="24"/>
        </w:rPr>
        <w:t>desaparecieron 1 259 mujeres; Puebla ocupó el tercer lugar con 149 casos, solo por debajo del Estado de México (278) y de la Ciudad de México (252).</w:t>
      </w:r>
      <w:r w:rsidR="0083375C">
        <w:rPr>
          <w:sz w:val="24"/>
          <w:szCs w:val="24"/>
          <w:vertAlign w:val="superscript"/>
        </w:rPr>
        <w:footnoteReference w:id="5"/>
      </w:r>
    </w:p>
    <w:p w14:paraId="0000000C" w14:textId="77777777" w:rsidR="00500A59" w:rsidRDefault="002962DE" w:rsidP="000C1A4B">
      <w:pPr>
        <w:spacing w:before="200" w:line="360" w:lineRule="auto"/>
        <w:jc w:val="both"/>
        <w:rPr>
          <w:b/>
          <w:sz w:val="24"/>
          <w:szCs w:val="24"/>
        </w:rPr>
      </w:pPr>
      <w:r>
        <w:rPr>
          <w:b/>
          <w:sz w:val="24"/>
          <w:szCs w:val="24"/>
        </w:rPr>
        <w:t xml:space="preserve">Protocolo Alba </w:t>
      </w:r>
    </w:p>
    <w:p w14:paraId="0000000D" w14:textId="66657AB4" w:rsidR="00500A59" w:rsidRDefault="002962DE">
      <w:pPr>
        <w:spacing w:before="200" w:line="360" w:lineRule="auto"/>
        <w:ind w:firstLine="720"/>
        <w:jc w:val="both"/>
        <w:rPr>
          <w:sz w:val="24"/>
          <w:szCs w:val="24"/>
        </w:rPr>
      </w:pPr>
      <w:r>
        <w:rPr>
          <w:sz w:val="24"/>
          <w:szCs w:val="24"/>
        </w:rPr>
        <w:t>De acuerdo con el Informe que el Estado Mexicano entregó en noviembre del 2024 al Comité CEDAW, se activaron alrededor de 2, 988 Protocolos Alba en 18 fiscalías, lográndose la localización de 1,910 mujeres desaparecidas.</w:t>
      </w:r>
      <w:r>
        <w:rPr>
          <w:sz w:val="24"/>
          <w:szCs w:val="24"/>
          <w:vertAlign w:val="superscript"/>
        </w:rPr>
        <w:footnoteReference w:id="6"/>
      </w:r>
      <w:r>
        <w:rPr>
          <w:sz w:val="24"/>
          <w:szCs w:val="24"/>
        </w:rPr>
        <w:t xml:space="preserve"> </w:t>
      </w:r>
      <w:r w:rsidR="00DF587C">
        <w:rPr>
          <w:sz w:val="24"/>
          <w:szCs w:val="24"/>
        </w:rPr>
        <w:t xml:space="preserve">Mientras que </w:t>
      </w:r>
      <w:r>
        <w:rPr>
          <w:sz w:val="24"/>
          <w:szCs w:val="24"/>
        </w:rPr>
        <w:t>conforme  investigación coordinada por la CUDH-UNAM, se identificó que, de las 33 entidades federativas, 30 cuentan con dicho protocolo en operación</w:t>
      </w:r>
      <w:r w:rsidR="00DF587C">
        <w:rPr>
          <w:sz w:val="24"/>
          <w:szCs w:val="24"/>
        </w:rPr>
        <w:t xml:space="preserve">, pero su aplicación y </w:t>
      </w:r>
      <w:r w:rsidR="00943E2C">
        <w:rPr>
          <w:sz w:val="24"/>
          <w:szCs w:val="24"/>
        </w:rPr>
        <w:t>resultados</w:t>
      </w:r>
      <w:r w:rsidR="00DF587C">
        <w:rPr>
          <w:sz w:val="24"/>
          <w:szCs w:val="24"/>
        </w:rPr>
        <w:t xml:space="preserve"> varía:</w:t>
      </w:r>
      <w:r>
        <w:rPr>
          <w:sz w:val="24"/>
          <w:szCs w:val="24"/>
        </w:rPr>
        <w:t xml:space="preserve"> Aguascalientes, Baja California, Baja California Sur, Campeche, Chiapas, Chihuahua, Ciudad de México, Coahuila, Colima, Durango, Estado de México, Guanajuato, Guerrero, Jalisco, Michoacán, Morelos, Nayarit, </w:t>
      </w:r>
      <w:r>
        <w:rPr>
          <w:sz w:val="24"/>
          <w:szCs w:val="24"/>
        </w:rPr>
        <w:lastRenderedPageBreak/>
        <w:t>Nuevo León, Puebla, Querétaro, Quintana Roo, Sinaloa, Sonora, Tabasco, Tamaulipas, Tlaxcala, Veracruz, Yucatán y Zacatecas.</w:t>
      </w:r>
    </w:p>
    <w:p w14:paraId="0000000E" w14:textId="77777777" w:rsidR="00500A59" w:rsidRDefault="002962DE" w:rsidP="000C1A4B">
      <w:pPr>
        <w:spacing w:before="200" w:line="360" w:lineRule="auto"/>
        <w:jc w:val="both"/>
        <w:rPr>
          <w:sz w:val="24"/>
          <w:szCs w:val="24"/>
        </w:rPr>
      </w:pPr>
      <w:r>
        <w:rPr>
          <w:sz w:val="24"/>
          <w:szCs w:val="24"/>
        </w:rPr>
        <w:t>No obstante, en tres entidades federativas (Hidalgo, San Luis Potosí, Oaxaca) el Protocolo Alba no ha sido implementado, aunque existen procesos políticos y sociales orientados a su pronta activación. En el caso particular de Oaxaca, si bien no se ha adoptado dicho protocolo, se ha establecido un mecanismo alternativo denominado Alerta Rosa, destinado a la búsqueda de mujeres desaparecidas.</w:t>
      </w:r>
    </w:p>
    <w:p w14:paraId="0000000F" w14:textId="7C1BEB3F" w:rsidR="00500A59" w:rsidRDefault="00DF587C" w:rsidP="000C1A4B">
      <w:pPr>
        <w:spacing w:before="200" w:line="360" w:lineRule="auto"/>
        <w:jc w:val="both"/>
        <w:rPr>
          <w:sz w:val="24"/>
          <w:szCs w:val="24"/>
        </w:rPr>
      </w:pPr>
      <w:r>
        <w:rPr>
          <w:sz w:val="24"/>
          <w:szCs w:val="24"/>
        </w:rPr>
        <w:t>Se observan diferencias en cuando a su operación,</w:t>
      </w:r>
      <w:r w:rsidR="006B5C16">
        <w:rPr>
          <w:sz w:val="24"/>
          <w:szCs w:val="24"/>
        </w:rPr>
        <w:t xml:space="preserve"> </w:t>
      </w:r>
      <w:r>
        <w:rPr>
          <w:sz w:val="24"/>
          <w:szCs w:val="24"/>
        </w:rPr>
        <w:t xml:space="preserve">por ejemplo, </w:t>
      </w:r>
      <w:r w:rsidR="006B5C16">
        <w:rPr>
          <w:sz w:val="24"/>
          <w:szCs w:val="24"/>
        </w:rPr>
        <w:t xml:space="preserve">respecto a </w:t>
      </w:r>
      <w:r w:rsidR="002962DE">
        <w:rPr>
          <w:sz w:val="24"/>
          <w:szCs w:val="24"/>
        </w:rPr>
        <w:t>los Comités técnicos de colaboración</w:t>
      </w:r>
      <w:r w:rsidR="006B5C16">
        <w:rPr>
          <w:sz w:val="24"/>
          <w:szCs w:val="24"/>
        </w:rPr>
        <w:t xml:space="preserve"> que deben de instalarse</w:t>
      </w:r>
      <w:r w:rsidR="002962DE">
        <w:rPr>
          <w:sz w:val="24"/>
          <w:szCs w:val="24"/>
        </w:rPr>
        <w:t>, destaca una desigualdad en el funcionamiento del Protocolo Alba, ya que hay estados que no cuentan con comités técnicos como Durango y Puebla lo cual no permite su correcta implementación. Por otro lado, en Nuevo León y Sinaloa, la alerta ha sido incorporada a la legislación en materia de acceso de las mujeres a una vida libre de violencia, modelo que se busca replicar en Morelos y San Luis Potosí (este último sin protocolo vigente). En Zacatecas, el Protocolo Alba opera como un complemento al protocolo unificado de búsqueda de personas en la entidad.</w:t>
      </w:r>
    </w:p>
    <w:p w14:paraId="00000010" w14:textId="47A8A2EF" w:rsidR="00500A59" w:rsidRDefault="002962DE" w:rsidP="000C1A4B">
      <w:pPr>
        <w:spacing w:before="200" w:line="360" w:lineRule="auto"/>
        <w:jc w:val="both"/>
        <w:rPr>
          <w:sz w:val="24"/>
          <w:szCs w:val="24"/>
        </w:rPr>
      </w:pPr>
      <w:r>
        <w:rPr>
          <w:sz w:val="24"/>
          <w:szCs w:val="24"/>
        </w:rPr>
        <w:t xml:space="preserve">Respecto a los mecanismos de activación, en 29 de los estados donde el Protocolo Alba está vigente, su implementación inicia al momento de recibir el reporte de desaparición en el Ministerio Público o en el sistema </w:t>
      </w:r>
      <w:proofErr w:type="spellStart"/>
      <w:r>
        <w:rPr>
          <w:sz w:val="24"/>
          <w:szCs w:val="24"/>
        </w:rPr>
        <w:t>Locatel</w:t>
      </w:r>
      <w:proofErr w:type="spellEnd"/>
      <w:r>
        <w:rPr>
          <w:sz w:val="24"/>
          <w:szCs w:val="24"/>
        </w:rPr>
        <w:t xml:space="preserve">. Sin embargo, en Aguascalientes, Baja California Sur, Campeche, Chiapas, Chihuahua, Ciudad de México, Coahuila, Yucatán, Colima, </w:t>
      </w:r>
      <w:r w:rsidR="000C1A4B">
        <w:rPr>
          <w:sz w:val="24"/>
          <w:szCs w:val="24"/>
        </w:rPr>
        <w:t>viole</w:t>
      </w:r>
      <w:r>
        <w:rPr>
          <w:sz w:val="24"/>
          <w:szCs w:val="24"/>
        </w:rPr>
        <w:t xml:space="preserve">, Morelos, Nayarit, Nuevo León, Oaxaca y Tlaxcala, se requiere una solicitud expresa por parte del Ministerio Público, un procurador especializado o una subdivisión de búsqueda </w:t>
      </w:r>
      <w:r w:rsidR="004B5501">
        <w:rPr>
          <w:sz w:val="24"/>
          <w:szCs w:val="24"/>
        </w:rPr>
        <w:t>necesitan levantar el repor</w:t>
      </w:r>
      <w:r w:rsidR="00851249">
        <w:rPr>
          <w:sz w:val="24"/>
          <w:szCs w:val="24"/>
        </w:rPr>
        <w:t>t</w:t>
      </w:r>
      <w:r w:rsidR="004B5501">
        <w:rPr>
          <w:sz w:val="24"/>
          <w:szCs w:val="24"/>
        </w:rPr>
        <w:t xml:space="preserve">e </w:t>
      </w:r>
      <w:r>
        <w:rPr>
          <w:sz w:val="24"/>
          <w:szCs w:val="24"/>
        </w:rPr>
        <w:t xml:space="preserve">para proceder a su activación. </w:t>
      </w:r>
    </w:p>
    <w:p w14:paraId="027F768C" w14:textId="6D39B5E6" w:rsidR="00C52093" w:rsidRPr="00C52093" w:rsidRDefault="002962DE" w:rsidP="000C1A4B">
      <w:pPr>
        <w:spacing w:before="200" w:line="360" w:lineRule="auto"/>
        <w:jc w:val="both"/>
        <w:rPr>
          <w:sz w:val="24"/>
          <w:szCs w:val="24"/>
        </w:rPr>
      </w:pPr>
      <w:r>
        <w:rPr>
          <w:sz w:val="24"/>
          <w:szCs w:val="24"/>
        </w:rPr>
        <w:t>En Tabasco, el proceso se divide en dos etapas: primero se emite una Pre-alerta, mediante la cual se difunde la ficha de búsqueda en medios de comunicación durante las primeras 24 horas posteriores al reporte; una vez cumplido este plazo, se procede a la activación formal del Protocolo Alba. En Querétaro, la alerta solo se activa después de realizar una búsqueda preliminar a través de cámaras de vigilancia en los lugares frecuentados por la mujer, niña o adolescente desaparecida</w:t>
      </w:r>
      <w:r w:rsidR="00986EE0">
        <w:rPr>
          <w:sz w:val="24"/>
          <w:szCs w:val="24"/>
        </w:rPr>
        <w:t xml:space="preserve"> y </w:t>
      </w:r>
      <w:r w:rsidR="003D2A86">
        <w:rPr>
          <w:sz w:val="24"/>
          <w:szCs w:val="24"/>
        </w:rPr>
        <w:t>explícitamente</w:t>
      </w:r>
      <w:r w:rsidR="004A3A45">
        <w:rPr>
          <w:sz w:val="24"/>
          <w:szCs w:val="24"/>
        </w:rPr>
        <w:t xml:space="preserve"> </w:t>
      </w:r>
      <w:r w:rsidR="004A3A45">
        <w:rPr>
          <w:sz w:val="24"/>
          <w:szCs w:val="24"/>
        </w:rPr>
        <w:lastRenderedPageBreak/>
        <w:t xml:space="preserve">en su página </w:t>
      </w:r>
      <w:proofErr w:type="spellStart"/>
      <w:r w:rsidR="004A3A45">
        <w:rPr>
          <w:sz w:val="24"/>
          <w:szCs w:val="24"/>
        </w:rPr>
        <w:t>refiereque</w:t>
      </w:r>
      <w:proofErr w:type="spellEnd"/>
      <w:r w:rsidR="004A3A45">
        <w:rPr>
          <w:sz w:val="24"/>
          <w:szCs w:val="24"/>
        </w:rPr>
        <w:t xml:space="preserve"> </w:t>
      </w:r>
      <w:r w:rsidR="003D2A86">
        <w:rPr>
          <w:sz w:val="24"/>
          <w:szCs w:val="24"/>
        </w:rPr>
        <w:t xml:space="preserve"> </w:t>
      </w:r>
      <w:r w:rsidR="00986EE0">
        <w:rPr>
          <w:sz w:val="24"/>
          <w:szCs w:val="24"/>
        </w:rPr>
        <w:t xml:space="preserve">la difusión de la ficha de </w:t>
      </w:r>
      <w:r w:rsidR="00E40CFD">
        <w:rPr>
          <w:sz w:val="24"/>
          <w:szCs w:val="24"/>
        </w:rPr>
        <w:t>búsqueda</w:t>
      </w:r>
      <w:r w:rsidR="00986EE0">
        <w:rPr>
          <w:sz w:val="24"/>
          <w:szCs w:val="24"/>
        </w:rPr>
        <w:t xml:space="preserve"> </w:t>
      </w:r>
      <w:r w:rsidR="00E40CFD">
        <w:rPr>
          <w:sz w:val="24"/>
          <w:szCs w:val="24"/>
        </w:rPr>
        <w:t>es de máximo 72 horas</w:t>
      </w:r>
      <w:r w:rsidR="004A3A45" w:rsidRPr="004A3A45">
        <w:rPr>
          <w:sz w:val="24"/>
          <w:szCs w:val="24"/>
        </w:rPr>
        <w:t xml:space="preserve"> </w:t>
      </w:r>
      <w:r w:rsidR="004A3A45" w:rsidRPr="003D2A86">
        <w:rPr>
          <w:sz w:val="24"/>
          <w:szCs w:val="24"/>
        </w:rPr>
        <w:t xml:space="preserve">después de ese tiempo se </w:t>
      </w:r>
      <w:r w:rsidR="004A3A45">
        <w:rPr>
          <w:sz w:val="24"/>
          <w:szCs w:val="24"/>
        </w:rPr>
        <w:t>cancela la difusión de la ficha</w:t>
      </w:r>
      <w:r w:rsidR="00E40CFD">
        <w:rPr>
          <w:sz w:val="24"/>
          <w:szCs w:val="24"/>
        </w:rPr>
        <w:t>.</w:t>
      </w:r>
      <w:r w:rsidR="007E22A4">
        <w:rPr>
          <w:rStyle w:val="Refdenotaalpie"/>
          <w:sz w:val="24"/>
          <w:szCs w:val="24"/>
        </w:rPr>
        <w:footnoteReference w:id="7"/>
      </w:r>
      <w:r w:rsidR="003D2A86">
        <w:rPr>
          <w:sz w:val="24"/>
          <w:szCs w:val="24"/>
        </w:rPr>
        <w:t xml:space="preserve"> </w:t>
      </w:r>
      <w:bookmarkStart w:id="0" w:name="_GoBack"/>
      <w:bookmarkEnd w:id="0"/>
    </w:p>
    <w:p w14:paraId="3E0D72F8" w14:textId="4D669391" w:rsidR="00F37477" w:rsidRDefault="00F37477" w:rsidP="000C1A4B">
      <w:pPr>
        <w:spacing w:before="200" w:line="360" w:lineRule="auto"/>
        <w:jc w:val="both"/>
        <w:rPr>
          <w:sz w:val="24"/>
          <w:szCs w:val="24"/>
        </w:rPr>
      </w:pPr>
      <w:r w:rsidRPr="00F37477">
        <w:rPr>
          <w:sz w:val="24"/>
          <w:szCs w:val="24"/>
        </w:rPr>
        <w:t>En la mayoría de los estados, la activación de las fases uno y dos del Protocolo Alba debe realizarse dentro de un plazo máximo de 24 a 72 horas a partir del momento de la desaparición, antes de pasar a la fase tres. No obstante, en los estados de Quintana Roo y Sinaloa este plazo es más corto: se establece un máximo de 48 horas en el primer caso y de 36 horas en el segundo para proceder a la tercera fase.</w:t>
      </w:r>
    </w:p>
    <w:p w14:paraId="00000013" w14:textId="6D505659" w:rsidR="00500A59" w:rsidRDefault="002962DE" w:rsidP="000C1A4B">
      <w:pPr>
        <w:spacing w:before="200" w:line="360" w:lineRule="auto"/>
        <w:jc w:val="both"/>
        <w:rPr>
          <w:sz w:val="24"/>
          <w:szCs w:val="24"/>
        </w:rPr>
      </w:pPr>
      <w:r>
        <w:rPr>
          <w:sz w:val="24"/>
          <w:szCs w:val="24"/>
        </w:rPr>
        <w:t>No existe homologación en relación al momento para iniciar la búsqueda inmediata de mujeres extraviadas o desaparecidas, por lo que es urgente que el Estado mexicano exija a los estados faltantes de Protocolo y de Comité Técnico instalarlos e implementarlos</w:t>
      </w:r>
      <w:r w:rsidR="00105C16">
        <w:rPr>
          <w:sz w:val="24"/>
          <w:szCs w:val="24"/>
        </w:rPr>
        <w:t xml:space="preserve"> y revisar los plazos para activar la Alerta.</w:t>
      </w:r>
    </w:p>
    <w:p w14:paraId="00000014" w14:textId="77777777" w:rsidR="00500A59" w:rsidRDefault="002962DE" w:rsidP="000C1A4B">
      <w:pPr>
        <w:spacing w:before="200" w:line="360" w:lineRule="auto"/>
        <w:jc w:val="both"/>
        <w:rPr>
          <w:sz w:val="24"/>
          <w:szCs w:val="24"/>
        </w:rPr>
      </w:pPr>
      <w:r>
        <w:rPr>
          <w:sz w:val="24"/>
          <w:szCs w:val="24"/>
        </w:rPr>
        <w:t>Sobre la transparencia y acceso a la información, únicamente 19 entidades han hecho públicos los documentos relacionados con el Protocolo Alba, siendo que la mayoría de los registros recuperados por la CUDH-UNAM provienen de diarios o periódicos oficiales estatales. Asimismo, solo 12 estados (</w:t>
      </w:r>
      <w:hyperlink r:id="rId8">
        <w:r>
          <w:rPr>
            <w:color w:val="1155CC"/>
            <w:sz w:val="24"/>
            <w:szCs w:val="24"/>
            <w:u w:val="single"/>
          </w:rPr>
          <w:t>Chiapas</w:t>
        </w:r>
      </w:hyperlink>
      <w:r>
        <w:rPr>
          <w:sz w:val="24"/>
          <w:szCs w:val="24"/>
        </w:rPr>
        <w:t xml:space="preserve">, </w:t>
      </w:r>
      <w:hyperlink r:id="rId9">
        <w:r>
          <w:rPr>
            <w:color w:val="1155CC"/>
            <w:sz w:val="24"/>
            <w:szCs w:val="24"/>
            <w:u w:val="single"/>
          </w:rPr>
          <w:t>Chihuahua</w:t>
        </w:r>
      </w:hyperlink>
      <w:r>
        <w:rPr>
          <w:sz w:val="24"/>
          <w:szCs w:val="24"/>
        </w:rPr>
        <w:t xml:space="preserve">, </w:t>
      </w:r>
      <w:hyperlink r:id="rId10">
        <w:r>
          <w:rPr>
            <w:color w:val="1155CC"/>
            <w:sz w:val="24"/>
            <w:szCs w:val="24"/>
            <w:u w:val="single"/>
          </w:rPr>
          <w:t>Colima</w:t>
        </w:r>
      </w:hyperlink>
      <w:r>
        <w:rPr>
          <w:sz w:val="24"/>
          <w:szCs w:val="24"/>
        </w:rPr>
        <w:t xml:space="preserve">, </w:t>
      </w:r>
      <w:hyperlink r:id="rId11">
        <w:r>
          <w:rPr>
            <w:color w:val="1155CC"/>
            <w:sz w:val="24"/>
            <w:szCs w:val="24"/>
            <w:u w:val="single"/>
          </w:rPr>
          <w:t>Guanajuato</w:t>
        </w:r>
      </w:hyperlink>
      <w:r>
        <w:rPr>
          <w:sz w:val="24"/>
          <w:szCs w:val="24"/>
        </w:rPr>
        <w:t xml:space="preserve">, </w:t>
      </w:r>
      <w:hyperlink r:id="rId12">
        <w:r>
          <w:rPr>
            <w:color w:val="1155CC"/>
            <w:sz w:val="24"/>
            <w:szCs w:val="24"/>
            <w:u w:val="single"/>
          </w:rPr>
          <w:t>Jalisco</w:t>
        </w:r>
      </w:hyperlink>
      <w:r>
        <w:rPr>
          <w:sz w:val="24"/>
          <w:szCs w:val="24"/>
        </w:rPr>
        <w:t xml:space="preserve">, </w:t>
      </w:r>
      <w:hyperlink r:id="rId13">
        <w:r>
          <w:rPr>
            <w:color w:val="1155CC"/>
            <w:sz w:val="24"/>
            <w:szCs w:val="24"/>
            <w:u w:val="single"/>
          </w:rPr>
          <w:t>Nayarit</w:t>
        </w:r>
      </w:hyperlink>
      <w:r>
        <w:rPr>
          <w:sz w:val="24"/>
          <w:szCs w:val="24"/>
        </w:rPr>
        <w:t xml:space="preserve">, </w:t>
      </w:r>
      <w:hyperlink r:id="rId14">
        <w:r>
          <w:rPr>
            <w:color w:val="1155CC"/>
            <w:sz w:val="24"/>
            <w:szCs w:val="24"/>
            <w:u w:val="single"/>
          </w:rPr>
          <w:t>Querétaro</w:t>
        </w:r>
      </w:hyperlink>
      <w:r>
        <w:rPr>
          <w:sz w:val="24"/>
          <w:szCs w:val="24"/>
        </w:rPr>
        <w:t xml:space="preserve">, </w:t>
      </w:r>
      <w:hyperlink r:id="rId15">
        <w:r>
          <w:rPr>
            <w:color w:val="1155CC"/>
            <w:sz w:val="24"/>
            <w:szCs w:val="24"/>
            <w:u w:val="single"/>
          </w:rPr>
          <w:t>Quintana Roo</w:t>
        </w:r>
      </w:hyperlink>
      <w:r>
        <w:rPr>
          <w:sz w:val="24"/>
          <w:szCs w:val="24"/>
        </w:rPr>
        <w:t xml:space="preserve">, </w:t>
      </w:r>
      <w:hyperlink r:id="rId16">
        <w:r>
          <w:rPr>
            <w:color w:val="1155CC"/>
            <w:sz w:val="24"/>
            <w:szCs w:val="24"/>
            <w:u w:val="single"/>
          </w:rPr>
          <w:t>Tabasco</w:t>
        </w:r>
      </w:hyperlink>
      <w:r>
        <w:rPr>
          <w:sz w:val="24"/>
          <w:szCs w:val="24"/>
        </w:rPr>
        <w:t xml:space="preserve">, </w:t>
      </w:r>
      <w:hyperlink r:id="rId17">
        <w:r>
          <w:rPr>
            <w:color w:val="1155CC"/>
            <w:sz w:val="24"/>
            <w:szCs w:val="24"/>
            <w:u w:val="single"/>
          </w:rPr>
          <w:t>Tamaulipas</w:t>
        </w:r>
      </w:hyperlink>
      <w:r>
        <w:rPr>
          <w:sz w:val="24"/>
          <w:szCs w:val="24"/>
        </w:rPr>
        <w:t xml:space="preserve">, </w:t>
      </w:r>
      <w:hyperlink r:id="rId18">
        <w:r>
          <w:rPr>
            <w:color w:val="1155CC"/>
            <w:sz w:val="24"/>
            <w:szCs w:val="24"/>
            <w:u w:val="single"/>
          </w:rPr>
          <w:t>Veracruz</w:t>
        </w:r>
      </w:hyperlink>
      <w:r>
        <w:rPr>
          <w:sz w:val="24"/>
          <w:szCs w:val="24"/>
        </w:rPr>
        <w:t xml:space="preserve">, </w:t>
      </w:r>
      <w:hyperlink r:id="rId19">
        <w:r>
          <w:rPr>
            <w:color w:val="1155CC"/>
            <w:sz w:val="24"/>
            <w:szCs w:val="24"/>
            <w:u w:val="single"/>
          </w:rPr>
          <w:t>Yucatán</w:t>
        </w:r>
      </w:hyperlink>
      <w:r>
        <w:rPr>
          <w:sz w:val="24"/>
          <w:szCs w:val="24"/>
        </w:rPr>
        <w:t>) cuentan con páginas web oficiales vinculadas a las fiscalías locales; sin embargo, en ninguna de ellas se proporcionan los documentos normativos completos, limitándose a infografías explicativas y fichas de búsqueda.</w:t>
      </w:r>
    </w:p>
    <w:p w14:paraId="00000015" w14:textId="77777777" w:rsidR="00500A59" w:rsidRDefault="002962DE" w:rsidP="000C1A4B">
      <w:pPr>
        <w:spacing w:before="200" w:line="360" w:lineRule="auto"/>
        <w:jc w:val="both"/>
        <w:rPr>
          <w:sz w:val="24"/>
          <w:szCs w:val="24"/>
        </w:rPr>
      </w:pPr>
      <w:r>
        <w:rPr>
          <w:sz w:val="24"/>
          <w:szCs w:val="24"/>
        </w:rPr>
        <w:t>Cabe mencionar que, en Campeche, el sitio web correspondiente es administrado por una ONG y no por la fiscalía estatal. En contraste, Guanajuato destaca por incluir gráficos y mapas interactivos sobre desapariciones, mientras que Yucatán publica fichas de búsqueda que incluyen a varones. En Quintana Roo, adicionalmente, se elaboran fichas en lengua maya cuando así se solicita.</w:t>
      </w:r>
    </w:p>
    <w:p w14:paraId="665D2A98" w14:textId="73544142" w:rsidR="00F60497" w:rsidRDefault="002962DE" w:rsidP="000C1A4B">
      <w:pPr>
        <w:spacing w:before="200" w:line="360" w:lineRule="auto"/>
        <w:jc w:val="both"/>
        <w:rPr>
          <w:sz w:val="24"/>
          <w:szCs w:val="24"/>
        </w:rPr>
      </w:pPr>
      <w:r>
        <w:rPr>
          <w:sz w:val="24"/>
          <w:szCs w:val="24"/>
        </w:rPr>
        <w:t>Finalmente, solo</w:t>
      </w:r>
      <w:r w:rsidR="00EC7579">
        <w:rPr>
          <w:sz w:val="24"/>
          <w:szCs w:val="24"/>
        </w:rPr>
        <w:t xml:space="preserve"> dos</w:t>
      </w:r>
      <w:r>
        <w:rPr>
          <w:sz w:val="24"/>
          <w:szCs w:val="24"/>
        </w:rPr>
        <w:t xml:space="preserve"> entidades</w:t>
      </w:r>
      <w:r w:rsidR="00F60497">
        <w:rPr>
          <w:sz w:val="24"/>
          <w:szCs w:val="24"/>
        </w:rPr>
        <w:t xml:space="preserve"> </w:t>
      </w:r>
      <w:r w:rsidR="00256700">
        <w:rPr>
          <w:sz w:val="24"/>
          <w:szCs w:val="24"/>
        </w:rPr>
        <w:t>(</w:t>
      </w:r>
      <w:hyperlink r:id="rId20" w:history="1">
        <w:r w:rsidR="00256700" w:rsidRPr="00256700">
          <w:rPr>
            <w:rStyle w:val="Hipervnculo"/>
            <w:sz w:val="24"/>
            <w:szCs w:val="24"/>
          </w:rPr>
          <w:t>Guanajuato</w:t>
        </w:r>
      </w:hyperlink>
      <w:r w:rsidR="00256700">
        <w:rPr>
          <w:sz w:val="24"/>
          <w:szCs w:val="24"/>
        </w:rPr>
        <w:t xml:space="preserve"> y </w:t>
      </w:r>
      <w:hyperlink r:id="rId21" w:history="1">
        <w:r w:rsidR="00256700" w:rsidRPr="00256700">
          <w:rPr>
            <w:rStyle w:val="Hipervnculo"/>
            <w:sz w:val="24"/>
            <w:szCs w:val="24"/>
          </w:rPr>
          <w:t>Michoacán</w:t>
        </w:r>
      </w:hyperlink>
      <w:r w:rsidR="00256700">
        <w:rPr>
          <w:sz w:val="24"/>
          <w:szCs w:val="24"/>
        </w:rPr>
        <w:t>)</w:t>
      </w:r>
      <w:r w:rsidR="0034323D">
        <w:rPr>
          <w:sz w:val="24"/>
          <w:szCs w:val="24"/>
        </w:rPr>
        <w:t xml:space="preserve"> </w:t>
      </w:r>
      <w:r w:rsidR="0034323D" w:rsidRPr="0034323D">
        <w:rPr>
          <w:sz w:val="24"/>
          <w:szCs w:val="24"/>
        </w:rPr>
        <w:t>han habilitado una página oficial en Facebook como medio para difundir las fichas de búsqueda.</w:t>
      </w:r>
      <w:r w:rsidR="0034323D">
        <w:rPr>
          <w:sz w:val="24"/>
          <w:szCs w:val="24"/>
        </w:rPr>
        <w:t xml:space="preserve"> En el caso de </w:t>
      </w:r>
      <w:hyperlink r:id="rId22" w:history="1">
        <w:r w:rsidR="0053388D" w:rsidRPr="00FE1015">
          <w:rPr>
            <w:rStyle w:val="Hipervnculo"/>
            <w:sz w:val="24"/>
            <w:szCs w:val="24"/>
          </w:rPr>
          <w:t>Quintana Roo</w:t>
        </w:r>
      </w:hyperlink>
      <w:r w:rsidR="0053388D">
        <w:rPr>
          <w:sz w:val="24"/>
          <w:szCs w:val="24"/>
        </w:rPr>
        <w:t xml:space="preserve"> </w:t>
      </w:r>
      <w:r w:rsidR="00491988" w:rsidRPr="00491988">
        <w:rPr>
          <w:sz w:val="24"/>
          <w:szCs w:val="24"/>
        </w:rPr>
        <w:t xml:space="preserve">también existe una página en esta red social, pero su administración </w:t>
      </w:r>
      <w:r w:rsidR="00491988" w:rsidRPr="00491988">
        <w:rPr>
          <w:sz w:val="24"/>
          <w:szCs w:val="24"/>
        </w:rPr>
        <w:lastRenderedPageBreak/>
        <w:t xml:space="preserve">es independiente y no está vinculada oficialmente a las </w:t>
      </w:r>
      <w:r w:rsidR="00491988">
        <w:rPr>
          <w:sz w:val="24"/>
          <w:szCs w:val="24"/>
        </w:rPr>
        <w:t>autoridades ni a la Fiscalía del estado.</w:t>
      </w:r>
    </w:p>
    <w:p w14:paraId="00000016" w14:textId="71C6EE32" w:rsidR="00500A59" w:rsidRDefault="002962DE" w:rsidP="000C1A4B">
      <w:pPr>
        <w:spacing w:before="200" w:line="360" w:lineRule="auto"/>
        <w:jc w:val="both"/>
        <w:rPr>
          <w:sz w:val="24"/>
          <w:szCs w:val="24"/>
        </w:rPr>
      </w:pPr>
      <w:r>
        <w:rPr>
          <w:sz w:val="24"/>
          <w:szCs w:val="24"/>
        </w:rPr>
        <w:t>No obstante, es en Ciudad Juárez donde este mecanismo ha demostrado mayor eficacia, alcanzando un 98% de efectividad en la localización de mujeres desaparecidas, lo que refuerza la necesidad de su implementación estandarizada a nivel nacional.</w:t>
      </w:r>
      <w:r>
        <w:rPr>
          <w:sz w:val="24"/>
          <w:szCs w:val="24"/>
          <w:vertAlign w:val="superscript"/>
        </w:rPr>
        <w:footnoteReference w:id="8"/>
      </w:r>
    </w:p>
    <w:p w14:paraId="00000017" w14:textId="47B5AFB4" w:rsidR="00500A59" w:rsidRDefault="002962DE">
      <w:pPr>
        <w:spacing w:before="200" w:line="360" w:lineRule="auto"/>
        <w:jc w:val="both"/>
        <w:rPr>
          <w:b/>
          <w:sz w:val="24"/>
          <w:szCs w:val="24"/>
        </w:rPr>
      </w:pPr>
      <w:r>
        <w:rPr>
          <w:b/>
          <w:sz w:val="24"/>
          <w:szCs w:val="24"/>
        </w:rPr>
        <w:t>Alerta Amber</w:t>
      </w:r>
    </w:p>
    <w:p w14:paraId="00000018" w14:textId="2A764AF4" w:rsidR="00500A59" w:rsidRDefault="002962DE">
      <w:pPr>
        <w:spacing w:before="200" w:line="360" w:lineRule="auto"/>
        <w:ind w:firstLine="720"/>
        <w:jc w:val="both"/>
        <w:rPr>
          <w:sz w:val="24"/>
          <w:szCs w:val="24"/>
        </w:rPr>
      </w:pPr>
      <w:r>
        <w:rPr>
          <w:sz w:val="24"/>
          <w:szCs w:val="24"/>
        </w:rPr>
        <w:t>De acuerdo con el Informe que el Estado Mexicano entregó en noviembre del 2024 al Comité CEDAW, a lo largo de 2024 se activaron 871 Alertas Amber en 20 fiscalías locales</w:t>
      </w:r>
      <w:r>
        <w:rPr>
          <w:sz w:val="24"/>
          <w:szCs w:val="24"/>
          <w:vertAlign w:val="superscript"/>
        </w:rPr>
        <w:footnoteReference w:id="9"/>
      </w:r>
      <w:r>
        <w:rPr>
          <w:sz w:val="24"/>
          <w:szCs w:val="24"/>
        </w:rPr>
        <w:t xml:space="preserve">. </w:t>
      </w:r>
      <w:r w:rsidR="00C42B18">
        <w:rPr>
          <w:sz w:val="24"/>
          <w:szCs w:val="24"/>
        </w:rPr>
        <w:t xml:space="preserve">Mientras que, </w:t>
      </w:r>
      <w:r>
        <w:rPr>
          <w:sz w:val="24"/>
          <w:szCs w:val="24"/>
        </w:rPr>
        <w:t xml:space="preserve">conforme a la investigación </w:t>
      </w:r>
      <w:r w:rsidR="00C42B18">
        <w:rPr>
          <w:sz w:val="24"/>
          <w:szCs w:val="24"/>
        </w:rPr>
        <w:t xml:space="preserve">realizada </w:t>
      </w:r>
      <w:r>
        <w:rPr>
          <w:sz w:val="24"/>
          <w:szCs w:val="24"/>
        </w:rPr>
        <w:t xml:space="preserve">por la CUDH-UNAM, las 32 entidades federativas disponen de fichas de búsqueda asociadas a este mecanismo, </w:t>
      </w:r>
      <w:r w:rsidR="00C42B18">
        <w:rPr>
          <w:sz w:val="24"/>
          <w:szCs w:val="24"/>
        </w:rPr>
        <w:t xml:space="preserve">pero </w:t>
      </w:r>
      <w:r>
        <w:rPr>
          <w:sz w:val="24"/>
          <w:szCs w:val="24"/>
        </w:rPr>
        <w:t>únicamente 11 cuentan con un Protocolo Estatal formalmente establecido: Colima, Ciudad de México, Guerrero, Hidalgo, Estado de México, Michoacán, Morelos, Oaxaca, Quintana Roo, Tabasco y Tlaxcala.</w:t>
      </w:r>
    </w:p>
    <w:p w14:paraId="00000019" w14:textId="77777777" w:rsidR="00500A59" w:rsidRDefault="002962DE" w:rsidP="000C1A4B">
      <w:pPr>
        <w:spacing w:before="200" w:line="360" w:lineRule="auto"/>
        <w:jc w:val="both"/>
        <w:rPr>
          <w:sz w:val="24"/>
          <w:szCs w:val="24"/>
        </w:rPr>
      </w:pPr>
      <w:r>
        <w:rPr>
          <w:sz w:val="24"/>
          <w:szCs w:val="24"/>
        </w:rPr>
        <w:t xml:space="preserve">Adicionalmente, se identificó que tres entidades (Durango, Guanajuato y Jalisco) mantienen operativos programas de Alerta AMBER sin contar con un protocolo estatal formalizado. En contraste, Aguascalientes carece de </w:t>
      </w:r>
      <w:proofErr w:type="gramStart"/>
      <w:r>
        <w:rPr>
          <w:sz w:val="24"/>
          <w:szCs w:val="24"/>
        </w:rPr>
        <w:t>protocolo</w:t>
      </w:r>
      <w:proofErr w:type="gramEnd"/>
      <w:r>
        <w:rPr>
          <w:sz w:val="24"/>
          <w:szCs w:val="24"/>
        </w:rPr>
        <w:t xml:space="preserve"> pero ha implementado un "Instructivo Alerta AMBER", mientras que Coahuila, pese a no poseer un instrumento estatal específico, ha adoptado el Protocolo Nacional de Alerta AMBER mediante adhesión. Por otro lado, 12 entidades federativas (Baja California Sur, Chiapas, Chihuahua, Nuevo León, Querétaro, San Luis Potosí, Sinaloa, Sonora, Yucatán, Tamaulipas, Veracruz y Zacatecas) no disponen de protocolo estatal ni instructivo alguno.</w:t>
      </w:r>
    </w:p>
    <w:p w14:paraId="0000001A" w14:textId="77777777" w:rsidR="00500A59" w:rsidRDefault="002962DE" w:rsidP="000C1A4B">
      <w:pPr>
        <w:spacing w:before="200" w:line="360" w:lineRule="auto"/>
        <w:jc w:val="both"/>
        <w:rPr>
          <w:sz w:val="24"/>
          <w:szCs w:val="24"/>
        </w:rPr>
      </w:pPr>
      <w:r>
        <w:rPr>
          <w:sz w:val="24"/>
          <w:szCs w:val="24"/>
        </w:rPr>
        <w:t xml:space="preserve">La mayoría de las entidades cuentan con un sitio oficial de ‘’Alerta Amber’’ y otros cuentan con páginas oficiales en redes sociales como Twitter, a través de las cuales dan a conocer las Alertas emitidas buscando una mayor difusión, sin embargo, en </w:t>
      </w:r>
      <w:r>
        <w:rPr>
          <w:sz w:val="24"/>
          <w:szCs w:val="24"/>
        </w:rPr>
        <w:lastRenderedPageBreak/>
        <w:t>estas redes y sitios web no hay documentos que permitan conocer los resultados de la implementación de la Alerta Amber.</w:t>
      </w:r>
    </w:p>
    <w:p w14:paraId="0000001B" w14:textId="77777777" w:rsidR="00500A59" w:rsidRDefault="002962DE" w:rsidP="000C1A4B">
      <w:pPr>
        <w:spacing w:before="200" w:line="360" w:lineRule="auto"/>
        <w:jc w:val="both"/>
        <w:rPr>
          <w:sz w:val="24"/>
          <w:szCs w:val="24"/>
        </w:rPr>
      </w:pPr>
      <w:r>
        <w:rPr>
          <w:sz w:val="24"/>
          <w:szCs w:val="24"/>
        </w:rPr>
        <w:t>En cuanto a los sitios web, 21 entidades federativas mantienen sitios web oficiales dedicados a la Alerta AMBER. Entre estas, nueve (</w:t>
      </w:r>
      <w:hyperlink r:id="rId23">
        <w:r>
          <w:rPr>
            <w:color w:val="1155CC"/>
            <w:sz w:val="24"/>
            <w:szCs w:val="24"/>
            <w:u w:val="single"/>
          </w:rPr>
          <w:t>Aguascalientes</w:t>
        </w:r>
      </w:hyperlink>
      <w:r>
        <w:rPr>
          <w:sz w:val="24"/>
          <w:szCs w:val="24"/>
        </w:rPr>
        <w:t xml:space="preserve">, </w:t>
      </w:r>
      <w:hyperlink r:id="rId24" w:anchor=":~:text=La%20alerta%20AMBER%20se%20basa,caso%20la%20del%20presunto%20responsable">
        <w:r>
          <w:rPr>
            <w:color w:val="1155CC"/>
            <w:sz w:val="24"/>
            <w:szCs w:val="24"/>
            <w:u w:val="single"/>
          </w:rPr>
          <w:t>Chiapas</w:t>
        </w:r>
      </w:hyperlink>
      <w:r>
        <w:rPr>
          <w:sz w:val="24"/>
          <w:szCs w:val="24"/>
        </w:rPr>
        <w:t xml:space="preserve">, </w:t>
      </w:r>
      <w:hyperlink r:id="rId25">
        <w:r>
          <w:rPr>
            <w:color w:val="1155CC"/>
            <w:sz w:val="24"/>
            <w:szCs w:val="24"/>
            <w:u w:val="single"/>
          </w:rPr>
          <w:t>Colima</w:t>
        </w:r>
      </w:hyperlink>
      <w:r>
        <w:rPr>
          <w:sz w:val="24"/>
          <w:szCs w:val="24"/>
        </w:rPr>
        <w:t xml:space="preserve">, </w:t>
      </w:r>
      <w:hyperlink r:id="rId26">
        <w:r>
          <w:rPr>
            <w:color w:val="1155CC"/>
            <w:sz w:val="24"/>
            <w:szCs w:val="24"/>
            <w:u w:val="single"/>
          </w:rPr>
          <w:t>Chihuahua</w:t>
        </w:r>
      </w:hyperlink>
      <w:r>
        <w:rPr>
          <w:sz w:val="24"/>
          <w:szCs w:val="24"/>
        </w:rPr>
        <w:t xml:space="preserve">, </w:t>
      </w:r>
      <w:hyperlink r:id="rId27">
        <w:r>
          <w:rPr>
            <w:color w:val="1155CC"/>
            <w:sz w:val="24"/>
            <w:szCs w:val="24"/>
            <w:u w:val="single"/>
          </w:rPr>
          <w:t>Jalisco</w:t>
        </w:r>
      </w:hyperlink>
      <w:r>
        <w:rPr>
          <w:sz w:val="24"/>
          <w:szCs w:val="24"/>
        </w:rPr>
        <w:t xml:space="preserve">, </w:t>
      </w:r>
      <w:hyperlink r:id="rId28">
        <w:r>
          <w:rPr>
            <w:color w:val="1155CC"/>
            <w:sz w:val="24"/>
            <w:szCs w:val="24"/>
            <w:u w:val="single"/>
          </w:rPr>
          <w:t>Morelos</w:t>
        </w:r>
      </w:hyperlink>
      <w:r>
        <w:rPr>
          <w:sz w:val="24"/>
          <w:szCs w:val="24"/>
        </w:rPr>
        <w:t xml:space="preserve">, </w:t>
      </w:r>
      <w:hyperlink r:id="rId29">
        <w:r>
          <w:rPr>
            <w:color w:val="1155CC"/>
            <w:sz w:val="24"/>
            <w:szCs w:val="24"/>
            <w:u w:val="single"/>
          </w:rPr>
          <w:t>Nayarit</w:t>
        </w:r>
      </w:hyperlink>
      <w:r>
        <w:rPr>
          <w:sz w:val="24"/>
          <w:szCs w:val="24"/>
        </w:rPr>
        <w:t xml:space="preserve">, </w:t>
      </w:r>
      <w:hyperlink r:id="rId30">
        <w:r>
          <w:rPr>
            <w:color w:val="1155CC"/>
            <w:sz w:val="24"/>
            <w:szCs w:val="24"/>
            <w:u w:val="single"/>
          </w:rPr>
          <w:t>Yucatán</w:t>
        </w:r>
      </w:hyperlink>
      <w:r>
        <w:rPr>
          <w:sz w:val="24"/>
          <w:szCs w:val="24"/>
        </w:rPr>
        <w:t xml:space="preserve"> y </w:t>
      </w:r>
      <w:hyperlink r:id="rId31">
        <w:r>
          <w:rPr>
            <w:color w:val="1155CC"/>
            <w:sz w:val="24"/>
            <w:szCs w:val="24"/>
            <w:u w:val="single"/>
          </w:rPr>
          <w:t>Querétaro</w:t>
        </w:r>
      </w:hyperlink>
      <w:r>
        <w:rPr>
          <w:sz w:val="24"/>
          <w:szCs w:val="24"/>
        </w:rPr>
        <w:t>) cuentan con secciones organizadas de información y archivan fichas de búsqueda actualizadas hasta 2024. Seis estados (</w:t>
      </w:r>
      <w:hyperlink r:id="rId32">
        <w:r>
          <w:rPr>
            <w:color w:val="1155CC"/>
            <w:sz w:val="24"/>
            <w:szCs w:val="24"/>
            <w:u w:val="single"/>
          </w:rPr>
          <w:t>Ciudad de México</w:t>
        </w:r>
      </w:hyperlink>
      <w:r>
        <w:rPr>
          <w:sz w:val="24"/>
          <w:szCs w:val="24"/>
        </w:rPr>
        <w:t xml:space="preserve"> </w:t>
      </w:r>
      <w:hyperlink r:id="rId33">
        <w:r>
          <w:rPr>
            <w:color w:val="1155CC"/>
            <w:sz w:val="24"/>
            <w:szCs w:val="24"/>
            <w:u w:val="single"/>
          </w:rPr>
          <w:t>Guerrero</w:t>
        </w:r>
      </w:hyperlink>
      <w:r>
        <w:rPr>
          <w:sz w:val="24"/>
          <w:szCs w:val="24"/>
        </w:rPr>
        <w:t xml:space="preserve">, </w:t>
      </w:r>
      <w:hyperlink r:id="rId34">
        <w:r>
          <w:rPr>
            <w:color w:val="1155CC"/>
            <w:sz w:val="24"/>
            <w:szCs w:val="24"/>
            <w:u w:val="single"/>
          </w:rPr>
          <w:t>Nuevo León</w:t>
        </w:r>
      </w:hyperlink>
      <w:r>
        <w:rPr>
          <w:sz w:val="24"/>
          <w:szCs w:val="24"/>
        </w:rPr>
        <w:t xml:space="preserve">, </w:t>
      </w:r>
      <w:hyperlink r:id="rId35">
        <w:r>
          <w:rPr>
            <w:color w:val="1155CC"/>
            <w:sz w:val="24"/>
            <w:szCs w:val="24"/>
            <w:u w:val="single"/>
          </w:rPr>
          <w:t>Quintana Roo</w:t>
        </w:r>
      </w:hyperlink>
      <w:r>
        <w:rPr>
          <w:sz w:val="24"/>
          <w:szCs w:val="24"/>
        </w:rPr>
        <w:t xml:space="preserve">, </w:t>
      </w:r>
      <w:hyperlink r:id="rId36">
        <w:r>
          <w:rPr>
            <w:color w:val="1155CC"/>
            <w:sz w:val="24"/>
            <w:szCs w:val="24"/>
            <w:u w:val="single"/>
          </w:rPr>
          <w:t>Tabasco</w:t>
        </w:r>
      </w:hyperlink>
      <w:r>
        <w:rPr>
          <w:sz w:val="24"/>
          <w:szCs w:val="24"/>
        </w:rPr>
        <w:t xml:space="preserve"> y </w:t>
      </w:r>
      <w:hyperlink r:id="rId37">
        <w:r>
          <w:rPr>
            <w:color w:val="1155CC"/>
            <w:sz w:val="24"/>
            <w:szCs w:val="24"/>
            <w:u w:val="single"/>
          </w:rPr>
          <w:t>Tamaulipas</w:t>
        </w:r>
      </w:hyperlink>
      <w:r>
        <w:rPr>
          <w:sz w:val="24"/>
          <w:szCs w:val="24"/>
        </w:rPr>
        <w:t>) limitan su contenido a la publicación de fichas de búsqueda, mientras que seis (</w:t>
      </w:r>
      <w:hyperlink r:id="rId38">
        <w:r>
          <w:rPr>
            <w:color w:val="1155CC"/>
            <w:sz w:val="24"/>
            <w:szCs w:val="24"/>
            <w:u w:val="single"/>
          </w:rPr>
          <w:t>Coahuila</w:t>
        </w:r>
      </w:hyperlink>
      <w:r>
        <w:rPr>
          <w:sz w:val="24"/>
          <w:szCs w:val="24"/>
        </w:rPr>
        <w:t xml:space="preserve">, </w:t>
      </w:r>
      <w:hyperlink r:id="rId39">
        <w:r>
          <w:rPr>
            <w:color w:val="1155CC"/>
            <w:sz w:val="24"/>
            <w:szCs w:val="24"/>
            <w:u w:val="single"/>
          </w:rPr>
          <w:t>San Luis Potosí</w:t>
        </w:r>
      </w:hyperlink>
      <w:r>
        <w:rPr>
          <w:sz w:val="24"/>
          <w:szCs w:val="24"/>
        </w:rPr>
        <w:t xml:space="preserve">, </w:t>
      </w:r>
      <w:hyperlink r:id="rId40">
        <w:r>
          <w:rPr>
            <w:color w:val="1155CC"/>
            <w:sz w:val="24"/>
            <w:szCs w:val="24"/>
            <w:u w:val="single"/>
          </w:rPr>
          <w:t>Durango</w:t>
        </w:r>
      </w:hyperlink>
      <w:r>
        <w:rPr>
          <w:sz w:val="24"/>
          <w:szCs w:val="24"/>
        </w:rPr>
        <w:t xml:space="preserve"> ,</w:t>
      </w:r>
      <w:hyperlink r:id="rId41">
        <w:r>
          <w:rPr>
            <w:color w:val="1155CC"/>
            <w:sz w:val="24"/>
            <w:szCs w:val="24"/>
            <w:u w:val="single"/>
          </w:rPr>
          <w:t>Guanajuato</w:t>
        </w:r>
      </w:hyperlink>
      <w:r>
        <w:rPr>
          <w:sz w:val="24"/>
          <w:szCs w:val="24"/>
        </w:rPr>
        <w:t xml:space="preserve">, </w:t>
      </w:r>
      <w:hyperlink r:id="rId42">
        <w:r>
          <w:rPr>
            <w:color w:val="1155CC"/>
            <w:sz w:val="24"/>
            <w:szCs w:val="24"/>
            <w:u w:val="single"/>
          </w:rPr>
          <w:t>Estado de México</w:t>
        </w:r>
      </w:hyperlink>
      <w:r>
        <w:rPr>
          <w:sz w:val="24"/>
          <w:szCs w:val="24"/>
        </w:rPr>
        <w:t xml:space="preserve">, y </w:t>
      </w:r>
      <w:hyperlink r:id="rId43">
        <w:r>
          <w:rPr>
            <w:color w:val="1155CC"/>
            <w:sz w:val="24"/>
            <w:szCs w:val="24"/>
            <w:u w:val="single"/>
          </w:rPr>
          <w:t>Sinaloa</w:t>
        </w:r>
      </w:hyperlink>
      <w:r>
        <w:rPr>
          <w:sz w:val="24"/>
          <w:szCs w:val="24"/>
        </w:rPr>
        <w:t xml:space="preserve">) sólo proporcionan información general sobre criterios de activación. En el caso de </w:t>
      </w:r>
      <w:hyperlink r:id="rId44" w:anchor=":~:text=Alerta%20AMBER%3A%20Es%20relativa%20a,grave%20a%20su%20integridad%20personal">
        <w:r>
          <w:rPr>
            <w:color w:val="1155CC"/>
            <w:sz w:val="24"/>
            <w:szCs w:val="24"/>
            <w:u w:val="single"/>
          </w:rPr>
          <w:t xml:space="preserve">Michoacán </w:t>
        </w:r>
      </w:hyperlink>
      <w:r>
        <w:rPr>
          <w:sz w:val="24"/>
          <w:szCs w:val="24"/>
        </w:rPr>
        <w:t xml:space="preserve">cuenta con un sistema de consulta de personas desaparecidas, pero no es de Alerta Amber. </w:t>
      </w:r>
    </w:p>
    <w:p w14:paraId="0000001C" w14:textId="77777777" w:rsidR="00500A59" w:rsidRDefault="002962DE" w:rsidP="000C1A4B">
      <w:pPr>
        <w:spacing w:before="200" w:line="360" w:lineRule="auto"/>
        <w:jc w:val="both"/>
        <w:rPr>
          <w:sz w:val="24"/>
          <w:szCs w:val="24"/>
        </w:rPr>
      </w:pPr>
      <w:r>
        <w:rPr>
          <w:sz w:val="24"/>
          <w:szCs w:val="24"/>
        </w:rPr>
        <w:t>Resulta preocupante que, a excepción de Morelos - cuyo apartado de protocolo carece de documentos accesibles -, la totalidad de los protocolos identificados fueron recuperados mediante búsquedas en diarios o periódicos oficiales. Es particularmente significativo que ninguna entidad federativa proporcione datos estadísticos desagregados sobre niñas y adolescentes desaparecidas, localizadas o casos desactivados, lo que limita severamente la evaluación de resultados.</w:t>
      </w:r>
    </w:p>
    <w:p w14:paraId="0000001D" w14:textId="77777777" w:rsidR="00500A59" w:rsidRDefault="002962DE" w:rsidP="000C1A4B">
      <w:pPr>
        <w:spacing w:before="200" w:line="360" w:lineRule="auto"/>
        <w:jc w:val="both"/>
        <w:rPr>
          <w:sz w:val="24"/>
          <w:szCs w:val="24"/>
        </w:rPr>
      </w:pPr>
      <w:r>
        <w:rPr>
          <w:sz w:val="24"/>
          <w:szCs w:val="24"/>
        </w:rPr>
        <w:t>Respecto a los procedimientos de activación, ocho entidades (Campeche, Estado de México, Michoacán, Morelos, Quintana Roo, Tabasco, Tlaxcala y Veracruz) establecen la activación inmediata de la alerta. No obstante, 16 estados no especifican los criterios temporales para su implementación: Baja California Norte, Baja California Sur, Coahuila, Chiapas, Chihuahua, Durango, Guanajuato, Jalisco, Nayarit, Nuevo León, Oaxaca, Puebla, Sinaloa, Sonora, Tamaulipas, Zacatecas</w:t>
      </w:r>
    </w:p>
    <w:p w14:paraId="0000001E" w14:textId="1E8408F5" w:rsidR="00500A59" w:rsidRDefault="002962DE" w:rsidP="000C1A4B">
      <w:pPr>
        <w:spacing w:before="200" w:line="360" w:lineRule="auto"/>
        <w:jc w:val="both"/>
        <w:rPr>
          <w:sz w:val="24"/>
          <w:szCs w:val="24"/>
        </w:rPr>
      </w:pPr>
      <w:r>
        <w:rPr>
          <w:sz w:val="24"/>
          <w:szCs w:val="24"/>
        </w:rPr>
        <w:t>Casos particulares como Aguascalientes, Ciudad de México, Hidalgo y Querétaro condicionan la activación a la valoración de un coordinador estatal, mientras que Colima, Guerrero y Yucatán exigen una evaluación previa de las circunstancias del caso sin precisar los responsables de dicha determinación.</w:t>
      </w:r>
    </w:p>
    <w:p w14:paraId="0000001F" w14:textId="77777777" w:rsidR="00500A59" w:rsidRDefault="002962DE" w:rsidP="000C1A4B">
      <w:pPr>
        <w:spacing w:before="200" w:line="360" w:lineRule="auto"/>
        <w:jc w:val="both"/>
        <w:rPr>
          <w:sz w:val="24"/>
          <w:szCs w:val="24"/>
        </w:rPr>
      </w:pPr>
      <w:r>
        <w:rPr>
          <w:sz w:val="24"/>
          <w:szCs w:val="24"/>
        </w:rPr>
        <w:t xml:space="preserve">Se debe contar con un protocolo estatal para la aplicación de la Alerta Amber en cada entidad federativa, sin embargo, hay entidades que no cuentan con uno o no es de dominio público, lo cual refleja la falta de armonización jurídica. No hay información </w:t>
      </w:r>
      <w:r>
        <w:rPr>
          <w:sz w:val="24"/>
          <w:szCs w:val="24"/>
        </w:rPr>
        <w:lastRenderedPageBreak/>
        <w:t>sobre los resultados de la implementación a nivel nacional y estatal de la activación de las alertas, además solo se informa de la localización de las niñas, niños y adolescentes localizados sin especificar la situación y estado de localización.</w:t>
      </w:r>
    </w:p>
    <w:p w14:paraId="00000020" w14:textId="77777777" w:rsidR="00500A59" w:rsidRDefault="002962DE" w:rsidP="000C1A4B">
      <w:pPr>
        <w:spacing w:before="200" w:line="360" w:lineRule="auto"/>
        <w:jc w:val="both"/>
        <w:rPr>
          <w:b/>
          <w:sz w:val="24"/>
          <w:szCs w:val="24"/>
        </w:rPr>
      </w:pPr>
      <w:r>
        <w:rPr>
          <w:b/>
          <w:sz w:val="24"/>
          <w:szCs w:val="24"/>
        </w:rPr>
        <w:t xml:space="preserve">Otras políticas y Protocolos para la investigación de Desaparición Forzada </w:t>
      </w:r>
    </w:p>
    <w:p w14:paraId="00000022" w14:textId="0815C7CD" w:rsidR="00500A59" w:rsidRPr="00AB4804" w:rsidRDefault="009B373A">
      <w:pPr>
        <w:spacing w:before="200" w:line="360" w:lineRule="auto"/>
        <w:jc w:val="both"/>
        <w:rPr>
          <w:sz w:val="24"/>
          <w:szCs w:val="24"/>
        </w:rPr>
      </w:pPr>
      <w:r>
        <w:rPr>
          <w:sz w:val="24"/>
          <w:szCs w:val="24"/>
        </w:rPr>
        <w:t>Cabe destacar que hay</w:t>
      </w:r>
      <w:r w:rsidR="002962DE">
        <w:rPr>
          <w:sz w:val="24"/>
          <w:szCs w:val="24"/>
        </w:rPr>
        <w:t xml:space="preserve"> estados</w:t>
      </w:r>
      <w:r>
        <w:rPr>
          <w:sz w:val="24"/>
          <w:szCs w:val="24"/>
        </w:rPr>
        <w:t xml:space="preserve"> que</w:t>
      </w:r>
      <w:r w:rsidR="002962DE">
        <w:rPr>
          <w:sz w:val="24"/>
          <w:szCs w:val="24"/>
        </w:rPr>
        <w:t xml:space="preserve"> han desarrollado mecanismos alternativos: Baja California implementó un "Protocolo especializado en investigación de casos de desaparición de niñas, niños, adolescentes y mujeres", mientras que Nayarit cuenta con un "Protocolo para la Búsqueda de Personas Desaparecidas y la Investigación del </w:t>
      </w:r>
      <w:r>
        <w:rPr>
          <w:sz w:val="24"/>
          <w:szCs w:val="24"/>
        </w:rPr>
        <w:t xml:space="preserve">Delito de Desaparición Forzada" y en </w:t>
      </w:r>
      <w:r w:rsidRPr="009B373A">
        <w:rPr>
          <w:sz w:val="24"/>
          <w:szCs w:val="24"/>
        </w:rPr>
        <w:t xml:space="preserve">Guerrero </w:t>
      </w:r>
      <w:r>
        <w:rPr>
          <w:sz w:val="24"/>
          <w:szCs w:val="24"/>
        </w:rPr>
        <w:t xml:space="preserve">se </w:t>
      </w:r>
      <w:r w:rsidRPr="009B373A">
        <w:rPr>
          <w:sz w:val="24"/>
          <w:szCs w:val="24"/>
        </w:rPr>
        <w:t xml:space="preserve">crea el "protocolo violeta", puesto en operación el 18 de julio del 2022, como una estrategia integral para prevenir, atender y erradicar la violencia de género en todas sus dimensiones. </w:t>
      </w:r>
      <w:r>
        <w:rPr>
          <w:sz w:val="24"/>
          <w:szCs w:val="24"/>
        </w:rPr>
        <w:t>El protocolo violeta r</w:t>
      </w:r>
      <w:r w:rsidRPr="009B373A">
        <w:rPr>
          <w:sz w:val="24"/>
          <w:szCs w:val="24"/>
        </w:rPr>
        <w:t>ealiza la búsqueda con prontitud de mujeres y niñas desaparecidas con solo presentar el reporte al 911, para que la persona sea localizada durante las primeras 48 horas, sin presentar denuncia presencial en el Ministerio Público. Derivado de este protocolo se presenta la Alerta Violeta que tiene como objetivos establecer mecanismos eficientes y eficaces de reacción inmediata para coadyuvar en la búsqueda y pronta localización de niñas, adolescentes y mujeres que se encuentren en riesgo de sufrir un daño a su integridad personal por motivo de ausencia, desaparición o extravío.</w:t>
      </w:r>
    </w:p>
    <w:p w14:paraId="6533763A" w14:textId="77777777" w:rsidR="00C42B18" w:rsidRDefault="002962DE">
      <w:pPr>
        <w:spacing w:before="200" w:line="360" w:lineRule="auto"/>
        <w:jc w:val="both"/>
        <w:rPr>
          <w:sz w:val="24"/>
          <w:szCs w:val="24"/>
        </w:rPr>
      </w:pPr>
      <w:r>
        <w:rPr>
          <w:sz w:val="24"/>
          <w:szCs w:val="24"/>
        </w:rPr>
        <w:tab/>
      </w:r>
      <w:r w:rsidR="00C42B18" w:rsidRPr="00C42B18">
        <w:rPr>
          <w:bCs/>
          <w:sz w:val="24"/>
          <w:szCs w:val="24"/>
        </w:rPr>
        <w:t>En resumen</w:t>
      </w:r>
      <w:r w:rsidR="00C42B18">
        <w:rPr>
          <w:sz w:val="24"/>
          <w:szCs w:val="24"/>
        </w:rPr>
        <w:t xml:space="preserve">, </w:t>
      </w:r>
      <w:r>
        <w:rPr>
          <w:sz w:val="24"/>
          <w:szCs w:val="24"/>
        </w:rPr>
        <w:t xml:space="preserve">A pesar de que las entidades cuentan con el </w:t>
      </w:r>
      <w:r w:rsidR="00C42B18">
        <w:rPr>
          <w:sz w:val="24"/>
          <w:szCs w:val="24"/>
        </w:rPr>
        <w:t>P</w:t>
      </w:r>
      <w:r>
        <w:rPr>
          <w:sz w:val="24"/>
          <w:szCs w:val="24"/>
        </w:rPr>
        <w:t xml:space="preserve">rotocolo </w:t>
      </w:r>
      <w:r w:rsidR="00C42B18">
        <w:rPr>
          <w:sz w:val="24"/>
          <w:szCs w:val="24"/>
        </w:rPr>
        <w:t>A</w:t>
      </w:r>
      <w:r>
        <w:rPr>
          <w:sz w:val="24"/>
          <w:szCs w:val="24"/>
        </w:rPr>
        <w:t xml:space="preserve">lba y </w:t>
      </w:r>
      <w:r w:rsidR="00C42B18">
        <w:rPr>
          <w:sz w:val="24"/>
          <w:szCs w:val="24"/>
        </w:rPr>
        <w:t>A</w:t>
      </w:r>
      <w:r>
        <w:rPr>
          <w:sz w:val="24"/>
          <w:szCs w:val="24"/>
        </w:rPr>
        <w:t xml:space="preserve">lerta </w:t>
      </w:r>
      <w:proofErr w:type="gramStart"/>
      <w:r w:rsidR="00C42B18">
        <w:rPr>
          <w:sz w:val="24"/>
          <w:szCs w:val="24"/>
        </w:rPr>
        <w:t>A</w:t>
      </w:r>
      <w:r>
        <w:rPr>
          <w:sz w:val="24"/>
          <w:szCs w:val="24"/>
        </w:rPr>
        <w:t>mber  éstos</w:t>
      </w:r>
      <w:proofErr w:type="gramEnd"/>
      <w:r>
        <w:rPr>
          <w:sz w:val="24"/>
          <w:szCs w:val="24"/>
        </w:rPr>
        <w:t xml:space="preserve"> no son aplicados de forma correcta en ninguna entidad, ya que, entre sus principales obstáculos destacan: </w:t>
      </w:r>
    </w:p>
    <w:p w14:paraId="00000023" w14:textId="799508EB" w:rsidR="00500A59" w:rsidRDefault="002962DE">
      <w:pPr>
        <w:spacing w:before="200" w:line="360" w:lineRule="auto"/>
        <w:jc w:val="both"/>
        <w:rPr>
          <w:sz w:val="24"/>
          <w:szCs w:val="24"/>
        </w:rPr>
      </w:pPr>
      <w:r>
        <w:rPr>
          <w:sz w:val="24"/>
          <w:szCs w:val="24"/>
        </w:rPr>
        <w:t>1) La activación de las fichas de búsqueda tarda hasta 72 horas, 2) Falta de difusión, actualización y de seguimiento a las investigaciones, 3) No existen campañas de información sobre la activación de los protocolos, 4) Existe una revictimización y estigmatización de las víctimas, 5) Falta de acceso a la información sobre el seguimiento de la búsqueda de las mujeres y niñas desaparecidas, 6) las activaciones no son clasificadas adecuadamente y no se investigan, 7) No hay capacitación y sensibilización de las y los operadores de dichos instrumentos 8) Ausencia de un acompañamiento a las víctimas de familiares de personas desaparecidas y 9) No hay coordinación en la aplicación efectiva de los mecanismos.</w:t>
      </w:r>
    </w:p>
    <w:p w14:paraId="00000025" w14:textId="467CA572" w:rsidR="00500A59" w:rsidRPr="00C42B18" w:rsidRDefault="002962DE">
      <w:pPr>
        <w:spacing w:before="200" w:line="360" w:lineRule="auto"/>
        <w:jc w:val="both"/>
        <w:rPr>
          <w:b/>
          <w:sz w:val="24"/>
          <w:szCs w:val="24"/>
        </w:rPr>
      </w:pPr>
      <w:r>
        <w:rPr>
          <w:sz w:val="24"/>
          <w:szCs w:val="24"/>
        </w:rPr>
        <w:lastRenderedPageBreak/>
        <w:tab/>
      </w:r>
      <w:r>
        <w:rPr>
          <w:b/>
          <w:sz w:val="24"/>
          <w:szCs w:val="24"/>
        </w:rPr>
        <w:t xml:space="preserve">Recomendaciones al Estado Mexicano </w:t>
      </w:r>
    </w:p>
    <w:p w14:paraId="5C102055" w14:textId="2D8B7A0F" w:rsidR="00616030" w:rsidRDefault="00616030" w:rsidP="00616030">
      <w:pPr>
        <w:spacing w:before="200" w:line="360" w:lineRule="auto"/>
        <w:jc w:val="both"/>
      </w:pPr>
      <w:r>
        <w:t>1.</w:t>
      </w:r>
      <w:r>
        <w:tab/>
        <w:t xml:space="preserve">Armonizar el Protocolo Alba y la Alerta </w:t>
      </w:r>
      <w:r w:rsidR="00C42B18">
        <w:t>A</w:t>
      </w:r>
      <w:r>
        <w:t>mber en todos los estados de la República y de igual forma</w:t>
      </w:r>
      <w:r w:rsidR="00C42B18">
        <w:t>,</w:t>
      </w:r>
      <w:r>
        <w:t xml:space="preserve"> conformar los Comités Técnicos de colaboración a nivel nacional e informar de los resultados de la implementación de forma periódica y pública</w:t>
      </w:r>
    </w:p>
    <w:p w14:paraId="71B553CA" w14:textId="77777777" w:rsidR="00616030" w:rsidRDefault="00616030" w:rsidP="00616030">
      <w:pPr>
        <w:spacing w:before="200" w:line="360" w:lineRule="auto"/>
        <w:jc w:val="both"/>
      </w:pPr>
      <w:r>
        <w:t>2.</w:t>
      </w:r>
      <w:r>
        <w:tab/>
        <w:t>Homologar los criterios de activación tanto para el Protocolo Alba como para la Alerta Amber, eliminando requisitos discrecionales y estableciendo un plazo máximo de 24 horas para iniciar la búsqueda.</w:t>
      </w:r>
    </w:p>
    <w:p w14:paraId="00000026" w14:textId="545C5056" w:rsidR="00500A59" w:rsidRDefault="00616030" w:rsidP="00616030">
      <w:pPr>
        <w:spacing w:before="200" w:line="360" w:lineRule="auto"/>
        <w:jc w:val="both"/>
      </w:pPr>
      <w:r>
        <w:t>3.</w:t>
      </w:r>
      <w:r>
        <w:tab/>
        <w:t>Fortalecer la transparencia y acceso a la información, exigiendo que todas las fiscalías publiquen en sus portales oficiales: Estadísticas desagregadas (edad, género, estatus de localización), informes periódicos sobre casos resueltos y pendientes y los documentos normativos completos de la Alerta Amber y Protocolo Alba.</w:t>
      </w:r>
    </w:p>
    <w:sectPr w:rsidR="00500A59">
      <w:headerReference w:type="default" r:id="rId4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D802A" w14:textId="77777777" w:rsidR="000B7626" w:rsidRDefault="000B7626">
      <w:pPr>
        <w:spacing w:line="240" w:lineRule="auto"/>
      </w:pPr>
      <w:r>
        <w:separator/>
      </w:r>
    </w:p>
  </w:endnote>
  <w:endnote w:type="continuationSeparator" w:id="0">
    <w:p w14:paraId="61AC3F9D" w14:textId="77777777" w:rsidR="000B7626" w:rsidRDefault="000B76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altName w:val="Times New Roman"/>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70490" w14:textId="77777777" w:rsidR="000B7626" w:rsidRDefault="000B7626">
      <w:pPr>
        <w:spacing w:line="240" w:lineRule="auto"/>
      </w:pPr>
      <w:r>
        <w:separator/>
      </w:r>
    </w:p>
  </w:footnote>
  <w:footnote w:type="continuationSeparator" w:id="0">
    <w:p w14:paraId="2BA1AE1D" w14:textId="77777777" w:rsidR="000B7626" w:rsidRDefault="000B7626">
      <w:pPr>
        <w:spacing w:line="240" w:lineRule="auto"/>
      </w:pPr>
      <w:r>
        <w:continuationSeparator/>
      </w:r>
    </w:p>
  </w:footnote>
  <w:footnote w:id="1">
    <w:p w14:paraId="00000029" w14:textId="77777777" w:rsidR="00500A59" w:rsidRDefault="002962DE">
      <w:pPr>
        <w:spacing w:line="240" w:lineRule="auto"/>
        <w:rPr>
          <w:sz w:val="20"/>
          <w:szCs w:val="20"/>
        </w:rPr>
      </w:pPr>
      <w:r>
        <w:rPr>
          <w:vertAlign w:val="superscript"/>
        </w:rPr>
        <w:footnoteRef/>
      </w:r>
      <w:r>
        <w:rPr>
          <w:sz w:val="20"/>
          <w:szCs w:val="20"/>
        </w:rPr>
        <w:t xml:space="preserve"> </w:t>
      </w:r>
      <w:r>
        <w:rPr>
          <w:rFonts w:ascii="Aptos" w:eastAsia="Aptos" w:hAnsi="Aptos" w:cs="Aptos"/>
          <w:sz w:val="20"/>
          <w:szCs w:val="20"/>
        </w:rPr>
        <w:t xml:space="preserve">Secretaría de Gobernación. (2025). Registro Nacional de Personas Desaparecidas y No Localizadas. Comisión Nacional de Búsqueda. Obtenido de </w:t>
      </w:r>
      <w:hyperlink r:id="rId1">
        <w:r>
          <w:rPr>
            <w:rFonts w:ascii="Aptos" w:eastAsia="Aptos" w:hAnsi="Aptos" w:cs="Aptos"/>
            <w:color w:val="467886"/>
            <w:sz w:val="20"/>
            <w:szCs w:val="20"/>
            <w:u w:val="single"/>
          </w:rPr>
          <w:t>https://versionpublicarnpdno.segob.gob.mx/Dashboard/ContextoGeneral</w:t>
        </w:r>
      </w:hyperlink>
      <w:r>
        <w:rPr>
          <w:rFonts w:ascii="Aptos" w:eastAsia="Aptos" w:hAnsi="Aptos" w:cs="Aptos"/>
          <w:sz w:val="20"/>
          <w:szCs w:val="20"/>
        </w:rPr>
        <w:t xml:space="preserve"> </w:t>
      </w:r>
    </w:p>
  </w:footnote>
  <w:footnote w:id="2">
    <w:p w14:paraId="336DE43A" w14:textId="2239F812" w:rsidR="0001725B" w:rsidRPr="0001725B" w:rsidRDefault="0001725B">
      <w:pPr>
        <w:pStyle w:val="Textonotapie"/>
        <w:rPr>
          <w:lang w:val="es-MX"/>
        </w:rPr>
      </w:pPr>
      <w:r>
        <w:rPr>
          <w:rStyle w:val="Refdenotaalpie"/>
        </w:rPr>
        <w:footnoteRef/>
      </w:r>
      <w:r>
        <w:t xml:space="preserve"> </w:t>
      </w:r>
      <w:r>
        <w:rPr>
          <w:i/>
          <w:iCs/>
          <w:lang w:val="es-MX"/>
        </w:rPr>
        <w:t>Ibidem.</w:t>
      </w:r>
    </w:p>
  </w:footnote>
  <w:footnote w:id="3">
    <w:p w14:paraId="00000027" w14:textId="77777777" w:rsidR="00500A59" w:rsidRDefault="002962DE">
      <w:pPr>
        <w:spacing w:line="240" w:lineRule="auto"/>
        <w:rPr>
          <w:sz w:val="20"/>
          <w:szCs w:val="20"/>
        </w:rPr>
      </w:pPr>
      <w:r>
        <w:rPr>
          <w:vertAlign w:val="superscript"/>
        </w:rPr>
        <w:footnoteRef/>
      </w:r>
      <w:r>
        <w:rPr>
          <w:sz w:val="20"/>
          <w:szCs w:val="20"/>
        </w:rPr>
        <w:t xml:space="preserve"> </w:t>
      </w:r>
      <w:r>
        <w:rPr>
          <w:rFonts w:ascii="Aptos" w:eastAsia="Aptos" w:hAnsi="Aptos" w:cs="Aptos"/>
          <w:sz w:val="20"/>
          <w:szCs w:val="20"/>
        </w:rPr>
        <w:t xml:space="preserve">Red Lupa, </w:t>
      </w:r>
      <w:r>
        <w:rPr>
          <w:rFonts w:ascii="Aptos" w:eastAsia="Aptos" w:hAnsi="Aptos" w:cs="Aptos"/>
          <w:i/>
          <w:sz w:val="20"/>
          <w:szCs w:val="20"/>
        </w:rPr>
        <w:t xml:space="preserve">Informe Nacional 2024, </w:t>
      </w:r>
      <w:r>
        <w:rPr>
          <w:rFonts w:ascii="Aptos" w:eastAsia="Aptos" w:hAnsi="Aptos" w:cs="Aptos"/>
          <w:sz w:val="20"/>
          <w:szCs w:val="20"/>
        </w:rPr>
        <w:t xml:space="preserve">16 de mayo de 2024, </w:t>
      </w:r>
      <w:hyperlink r:id="rId2">
        <w:r>
          <w:rPr>
            <w:rFonts w:ascii="Aptos" w:eastAsia="Aptos" w:hAnsi="Aptos" w:cs="Aptos"/>
            <w:color w:val="467886"/>
            <w:sz w:val="20"/>
            <w:szCs w:val="20"/>
            <w:u w:val="single"/>
          </w:rPr>
          <w:t>https://imdhd.org/redlupa/wp-content/uploads/2024/05/Informe-Nacional-2024.pdf</w:t>
        </w:r>
      </w:hyperlink>
      <w:r>
        <w:rPr>
          <w:rFonts w:ascii="Aptos" w:eastAsia="Aptos" w:hAnsi="Aptos" w:cs="Aptos"/>
          <w:sz w:val="20"/>
          <w:szCs w:val="20"/>
        </w:rPr>
        <w:t xml:space="preserve"> </w:t>
      </w:r>
    </w:p>
  </w:footnote>
  <w:footnote w:id="4">
    <w:p w14:paraId="0000002A" w14:textId="77777777" w:rsidR="00500A59" w:rsidRDefault="002962DE">
      <w:pPr>
        <w:spacing w:line="240" w:lineRule="auto"/>
        <w:rPr>
          <w:sz w:val="20"/>
          <w:szCs w:val="20"/>
        </w:rPr>
      </w:pPr>
      <w:r>
        <w:rPr>
          <w:vertAlign w:val="superscript"/>
        </w:rPr>
        <w:footnoteRef/>
      </w:r>
      <w:r>
        <w:rPr>
          <w:sz w:val="20"/>
          <w:szCs w:val="20"/>
        </w:rPr>
        <w:t xml:space="preserve"> </w:t>
      </w:r>
      <w:r>
        <w:rPr>
          <w:rFonts w:ascii="Aptos" w:eastAsia="Aptos" w:hAnsi="Aptos" w:cs="Aptos"/>
          <w:sz w:val="20"/>
          <w:szCs w:val="20"/>
        </w:rPr>
        <w:t xml:space="preserve">Cesar Martínez, </w:t>
      </w:r>
      <w:r>
        <w:rPr>
          <w:rFonts w:ascii="Aptos" w:eastAsia="Aptos" w:hAnsi="Aptos" w:cs="Aptos"/>
          <w:i/>
          <w:sz w:val="20"/>
          <w:szCs w:val="20"/>
        </w:rPr>
        <w:t>Sheinbaum, 100 días y 4,000 desapariciones, A dónde van los desaparecidos</w:t>
      </w:r>
      <w:r>
        <w:rPr>
          <w:rFonts w:ascii="Aptos" w:eastAsia="Aptos" w:hAnsi="Aptos" w:cs="Aptos"/>
          <w:sz w:val="20"/>
          <w:szCs w:val="20"/>
        </w:rPr>
        <w:t xml:space="preserve">, 14 enero, 2025. </w:t>
      </w:r>
      <w:hyperlink r:id="rId3">
        <w:r>
          <w:rPr>
            <w:rFonts w:ascii="Aptos" w:eastAsia="Aptos" w:hAnsi="Aptos" w:cs="Aptos"/>
            <w:color w:val="467886"/>
            <w:sz w:val="20"/>
            <w:szCs w:val="20"/>
            <w:u w:val="single"/>
          </w:rPr>
          <w:t>https://adondevanlosdesaparecidos.org/2025/01/14/sheinbaum-100-dias-y-4000-desapariciones/</w:t>
        </w:r>
      </w:hyperlink>
      <w:r>
        <w:rPr>
          <w:rFonts w:ascii="Aptos" w:eastAsia="Aptos" w:hAnsi="Aptos" w:cs="Aptos"/>
          <w:sz w:val="20"/>
          <w:szCs w:val="20"/>
        </w:rPr>
        <w:t xml:space="preserve"> </w:t>
      </w:r>
    </w:p>
  </w:footnote>
  <w:footnote w:id="5">
    <w:p w14:paraId="35617096" w14:textId="77777777" w:rsidR="0083375C" w:rsidRDefault="0083375C" w:rsidP="0083375C">
      <w:pPr>
        <w:spacing w:line="240" w:lineRule="auto"/>
        <w:rPr>
          <w:sz w:val="20"/>
          <w:szCs w:val="20"/>
        </w:rPr>
      </w:pPr>
      <w:r>
        <w:rPr>
          <w:vertAlign w:val="superscript"/>
        </w:rPr>
        <w:footnoteRef/>
      </w:r>
      <w:r>
        <w:rPr>
          <w:sz w:val="20"/>
          <w:szCs w:val="20"/>
        </w:rPr>
        <w:t xml:space="preserve"> </w:t>
      </w:r>
      <w:r>
        <w:rPr>
          <w:rFonts w:ascii="Aptos" w:eastAsia="Aptos" w:hAnsi="Aptos" w:cs="Aptos"/>
          <w:i/>
          <w:sz w:val="20"/>
          <w:szCs w:val="20"/>
        </w:rPr>
        <w:t>Ibidem.</w:t>
      </w:r>
    </w:p>
  </w:footnote>
  <w:footnote w:id="6">
    <w:p w14:paraId="0000002C" w14:textId="77777777" w:rsidR="00500A59" w:rsidRDefault="002962DE">
      <w:pPr>
        <w:spacing w:line="240" w:lineRule="auto"/>
        <w:rPr>
          <w:sz w:val="20"/>
          <w:szCs w:val="20"/>
        </w:rPr>
      </w:pPr>
      <w:r>
        <w:rPr>
          <w:vertAlign w:val="superscript"/>
        </w:rPr>
        <w:footnoteRef/>
      </w:r>
      <w:r>
        <w:rPr>
          <w:sz w:val="20"/>
          <w:szCs w:val="20"/>
        </w:rPr>
        <w:t xml:space="preserve"> </w:t>
      </w:r>
      <w:r>
        <w:rPr>
          <w:rFonts w:ascii="Aptos" w:eastAsia="Aptos" w:hAnsi="Aptos" w:cs="Aptos"/>
          <w:sz w:val="20"/>
          <w:szCs w:val="20"/>
        </w:rPr>
        <w:t xml:space="preserve">CEDAW, </w:t>
      </w:r>
      <w:r>
        <w:rPr>
          <w:rFonts w:ascii="Aptos" w:eastAsia="Aptos" w:hAnsi="Aptos" w:cs="Aptos"/>
          <w:i/>
          <w:sz w:val="20"/>
          <w:szCs w:val="20"/>
        </w:rPr>
        <w:t xml:space="preserve">Décimo informe periódico que México debía presentar en 2024 en virtud del artículo 18 de la Convención, </w:t>
      </w:r>
      <w:r>
        <w:rPr>
          <w:rFonts w:ascii="Aptos" w:eastAsia="Aptos" w:hAnsi="Aptos" w:cs="Aptos"/>
          <w:sz w:val="20"/>
          <w:szCs w:val="20"/>
        </w:rPr>
        <w:t xml:space="preserve">8 de noviembre de 2024. </w:t>
      </w:r>
      <w:hyperlink r:id="rId4">
        <w:r>
          <w:rPr>
            <w:rFonts w:ascii="Aptos" w:eastAsia="Aptos" w:hAnsi="Aptos" w:cs="Aptos"/>
            <w:color w:val="467886"/>
            <w:sz w:val="20"/>
            <w:szCs w:val="20"/>
            <w:u w:val="single"/>
          </w:rPr>
          <w:t>https://n9.cl/rumryq</w:t>
        </w:r>
      </w:hyperlink>
      <w:r>
        <w:rPr>
          <w:rFonts w:ascii="Aptos" w:eastAsia="Aptos" w:hAnsi="Aptos" w:cs="Aptos"/>
          <w:sz w:val="20"/>
          <w:szCs w:val="20"/>
        </w:rPr>
        <w:t xml:space="preserve"> </w:t>
      </w:r>
    </w:p>
  </w:footnote>
  <w:footnote w:id="7">
    <w:p w14:paraId="70234315" w14:textId="13604D68" w:rsidR="00C61070" w:rsidRPr="007E1424" w:rsidRDefault="007E22A4" w:rsidP="00C61070">
      <w:pPr>
        <w:rPr>
          <w:sz w:val="20"/>
          <w:szCs w:val="20"/>
          <w:lang w:val="es-MX"/>
        </w:rPr>
      </w:pPr>
      <w:r>
        <w:rPr>
          <w:rStyle w:val="Refdenotaalpie"/>
        </w:rPr>
        <w:footnoteRef/>
      </w:r>
      <w:r>
        <w:t xml:space="preserve"> </w:t>
      </w:r>
      <w:r w:rsidR="00C61070" w:rsidRPr="007E1424">
        <w:rPr>
          <w:sz w:val="20"/>
          <w:szCs w:val="20"/>
          <w:lang w:val="es-MX"/>
        </w:rPr>
        <w:t xml:space="preserve">Fiscalía General de Querétaro, </w:t>
      </w:r>
      <w:r w:rsidR="00C61070" w:rsidRPr="007E1424">
        <w:rPr>
          <w:i/>
          <w:iCs/>
          <w:sz w:val="20"/>
          <w:szCs w:val="20"/>
          <w:lang w:val="es-MX"/>
        </w:rPr>
        <w:t xml:space="preserve">¿Qué es la Cédula de Identidad del Protocolo Alba?, </w:t>
      </w:r>
      <w:r w:rsidR="00C61070" w:rsidRPr="007E1424">
        <w:rPr>
          <w:sz w:val="20"/>
          <w:szCs w:val="20"/>
          <w:lang w:val="es-MX"/>
        </w:rPr>
        <w:t xml:space="preserve">Protocolo Alba. </w:t>
      </w:r>
      <w:hyperlink r:id="rId5" w:history="1">
        <w:r w:rsidR="00697695" w:rsidRPr="007E1424">
          <w:rPr>
            <w:rStyle w:val="Hipervnculo"/>
            <w:sz w:val="20"/>
            <w:szCs w:val="20"/>
            <w:lang w:val="es-MX"/>
          </w:rPr>
          <w:t>https://fiscaliageneralqro.gob.mx/ProtocoloALBA/Secc-Cedula.html</w:t>
        </w:r>
      </w:hyperlink>
      <w:r w:rsidR="00697695" w:rsidRPr="007E1424">
        <w:rPr>
          <w:sz w:val="20"/>
          <w:szCs w:val="20"/>
          <w:lang w:val="es-MX"/>
        </w:rPr>
        <w:t xml:space="preserve"> </w:t>
      </w:r>
    </w:p>
    <w:p w14:paraId="0E71A508" w14:textId="13D166CE" w:rsidR="007E22A4" w:rsidRPr="00C61070" w:rsidRDefault="007E22A4">
      <w:pPr>
        <w:pStyle w:val="Textonotapie"/>
        <w:rPr>
          <w:i/>
          <w:iCs/>
          <w:lang w:val="es-MX"/>
        </w:rPr>
      </w:pPr>
    </w:p>
  </w:footnote>
  <w:footnote w:id="8">
    <w:p w14:paraId="0000002D" w14:textId="77777777" w:rsidR="00500A59" w:rsidRDefault="002962DE">
      <w:pPr>
        <w:spacing w:line="240" w:lineRule="auto"/>
        <w:rPr>
          <w:sz w:val="20"/>
          <w:szCs w:val="20"/>
        </w:rPr>
      </w:pPr>
      <w:r>
        <w:rPr>
          <w:vertAlign w:val="superscript"/>
        </w:rPr>
        <w:footnoteRef/>
      </w:r>
      <w:r>
        <w:rPr>
          <w:sz w:val="20"/>
          <w:szCs w:val="20"/>
        </w:rPr>
        <w:t xml:space="preserve"> Gobierno de México, Protocolo Alba: la búsqueda inmediata de mujeres y niñas desaparecidas, 26 de enero de 2021. </w:t>
      </w:r>
      <w:hyperlink r:id="rId6" w:anchor=":~:text=A%20m%C3%A1s%20de%2015%20a%C3%B1os,su%20implementaci%C3%B3n%20a%20nivel%20nacional">
        <w:r>
          <w:rPr>
            <w:color w:val="1155CC"/>
            <w:sz w:val="20"/>
            <w:szCs w:val="20"/>
            <w:u w:val="single"/>
          </w:rPr>
          <w:t>https://www.gob.mx/conavim/articulos/protocolo-alba-la-busqueda-inmediata-de-mujeres-y-ninas-desaparecidas-262178#:~:text=A%20m%C3%A1s%20de%2015%20a%C3%B1os,su%20implementaci%C3%B3n%20a%20nivel%20nacional</w:t>
        </w:r>
      </w:hyperlink>
      <w:r>
        <w:rPr>
          <w:sz w:val="20"/>
          <w:szCs w:val="20"/>
        </w:rPr>
        <w:t xml:space="preserve">. </w:t>
      </w:r>
    </w:p>
  </w:footnote>
  <w:footnote w:id="9">
    <w:p w14:paraId="0000002E" w14:textId="77777777" w:rsidR="00500A59" w:rsidRDefault="002962DE">
      <w:pPr>
        <w:spacing w:line="240" w:lineRule="auto"/>
        <w:rPr>
          <w:i/>
          <w:sz w:val="20"/>
          <w:szCs w:val="20"/>
        </w:rPr>
      </w:pPr>
      <w:r>
        <w:rPr>
          <w:vertAlign w:val="superscript"/>
        </w:rPr>
        <w:footnoteRef/>
      </w:r>
      <w:r>
        <w:rPr>
          <w:sz w:val="20"/>
          <w:szCs w:val="20"/>
        </w:rPr>
        <w:t xml:space="preserve"> </w:t>
      </w:r>
      <w:r>
        <w:rPr>
          <w:i/>
          <w:sz w:val="20"/>
          <w:szCs w:val="20"/>
        </w:rPr>
        <w:t xml:space="preserve">Ibidem.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B8237" w14:textId="50F76BE2" w:rsidR="003015A2" w:rsidRDefault="00521775" w:rsidP="00EA19E6">
    <w:pPr>
      <w:pStyle w:val="Encabezado"/>
      <w:tabs>
        <w:tab w:val="clear" w:pos="4419"/>
        <w:tab w:val="clear" w:pos="8838"/>
        <w:tab w:val="center" w:pos="4514"/>
      </w:tabs>
    </w:pPr>
    <w:r>
      <w:rPr>
        <w:noProof/>
        <w:lang w:val="es-MX"/>
      </w:rPr>
      <w:drawing>
        <wp:anchor distT="0" distB="0" distL="114300" distR="114300" simplePos="0" relativeHeight="251661312" behindDoc="0" locked="0" layoutInCell="1" allowOverlap="1" wp14:anchorId="3640E2D8" wp14:editId="5A3E6FEC">
          <wp:simplePos x="0" y="0"/>
          <wp:positionH relativeFrom="margin">
            <wp:posOffset>3283527</wp:posOffset>
          </wp:positionH>
          <wp:positionV relativeFrom="paragraph">
            <wp:posOffset>-360218</wp:posOffset>
          </wp:positionV>
          <wp:extent cx="727363" cy="72736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RDI-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8955" cy="72895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color w:val="000000"/>
        <w:bdr w:val="none" w:sz="0" w:space="0" w:color="auto" w:frame="1"/>
        <w:lang w:val="es-MX"/>
      </w:rPr>
      <w:drawing>
        <wp:anchor distT="0" distB="0" distL="114300" distR="114300" simplePos="0" relativeHeight="251660288" behindDoc="0" locked="0" layoutInCell="1" allowOverlap="1" wp14:anchorId="17340067" wp14:editId="57C7EFF0">
          <wp:simplePos x="0" y="0"/>
          <wp:positionH relativeFrom="margin">
            <wp:posOffset>1730259</wp:posOffset>
          </wp:positionH>
          <wp:positionV relativeFrom="paragraph">
            <wp:posOffset>-366280</wp:posOffset>
          </wp:positionV>
          <wp:extent cx="729239" cy="720436"/>
          <wp:effectExtent l="0" t="0" r="0" b="381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RNA-Transparente (1) (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29239" cy="720436"/>
                  </a:xfrm>
                  <a:prstGeom prst="rect">
                    <a:avLst/>
                  </a:prstGeom>
                </pic:spPr>
              </pic:pic>
            </a:graphicData>
          </a:graphic>
          <wp14:sizeRelH relativeFrom="margin">
            <wp14:pctWidth>0</wp14:pctWidth>
          </wp14:sizeRelH>
          <wp14:sizeRelV relativeFrom="margin">
            <wp14:pctHeight>0</wp14:pctHeight>
          </wp14:sizeRelV>
        </wp:anchor>
      </w:drawing>
    </w:r>
    <w:r w:rsidR="000907FE">
      <w:rPr>
        <w:noProof/>
        <w:bdr w:val="none" w:sz="0" w:space="0" w:color="auto" w:frame="1"/>
        <w:lang w:val="es-MX"/>
      </w:rPr>
      <w:drawing>
        <wp:anchor distT="0" distB="0" distL="114300" distR="114300" simplePos="0" relativeHeight="251659264" behindDoc="0" locked="0" layoutInCell="1" allowOverlap="1" wp14:anchorId="65A04903" wp14:editId="4DEFC982">
          <wp:simplePos x="0" y="0"/>
          <wp:positionH relativeFrom="margin">
            <wp:posOffset>-353291</wp:posOffset>
          </wp:positionH>
          <wp:positionV relativeFrom="paragraph">
            <wp:posOffset>-295159</wp:posOffset>
          </wp:positionV>
          <wp:extent cx="1491552" cy="624840"/>
          <wp:effectExtent l="0" t="0" r="0" b="0"/>
          <wp:wrapNone/>
          <wp:docPr id="2" name="Imagen 2" descr="LogoUNESCO_1406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UNESCO_1406202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491552" cy="624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07FE">
      <w:rPr>
        <w:rFonts w:ascii="Calibri" w:hAnsi="Calibri" w:cs="Calibri"/>
        <w:noProof/>
        <w:color w:val="000000"/>
        <w:bdr w:val="none" w:sz="0" w:space="0" w:color="auto" w:frame="1"/>
        <w:lang w:val="es-MX"/>
      </w:rPr>
      <w:drawing>
        <wp:anchor distT="0" distB="0" distL="114300" distR="114300" simplePos="0" relativeHeight="251658240" behindDoc="0" locked="0" layoutInCell="1" allowOverlap="1" wp14:anchorId="3458C9EA" wp14:editId="0C81C142">
          <wp:simplePos x="0" y="0"/>
          <wp:positionH relativeFrom="margin">
            <wp:posOffset>4771390</wp:posOffset>
          </wp:positionH>
          <wp:positionV relativeFrom="paragraph">
            <wp:posOffset>-464820</wp:posOffset>
          </wp:positionV>
          <wp:extent cx="906780" cy="906780"/>
          <wp:effectExtent l="0" t="0" r="7620" b="0"/>
          <wp:wrapNone/>
          <wp:docPr id="1" name="Imagen 1" descr="FEMU A.C. (@FEMUAC)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MU A.C. (@FEMUAC) / X"/>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anchor>
      </w:drawing>
    </w:r>
    <w:r w:rsidR="00EA19E6">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A59"/>
    <w:rsid w:val="0001725B"/>
    <w:rsid w:val="00057709"/>
    <w:rsid w:val="00086952"/>
    <w:rsid w:val="000907FE"/>
    <w:rsid w:val="000A297C"/>
    <w:rsid w:val="000B5683"/>
    <w:rsid w:val="000B7626"/>
    <w:rsid w:val="000C1A4B"/>
    <w:rsid w:val="00103F15"/>
    <w:rsid w:val="00105C16"/>
    <w:rsid w:val="00140529"/>
    <w:rsid w:val="00152ABD"/>
    <w:rsid w:val="00181404"/>
    <w:rsid w:val="001A2919"/>
    <w:rsid w:val="002159DA"/>
    <w:rsid w:val="00256700"/>
    <w:rsid w:val="0028615A"/>
    <w:rsid w:val="002962DE"/>
    <w:rsid w:val="003015A2"/>
    <w:rsid w:val="0034323D"/>
    <w:rsid w:val="00357B92"/>
    <w:rsid w:val="003D2A86"/>
    <w:rsid w:val="00491988"/>
    <w:rsid w:val="004A3A45"/>
    <w:rsid w:val="004B5501"/>
    <w:rsid w:val="00500A59"/>
    <w:rsid w:val="00521775"/>
    <w:rsid w:val="0053388D"/>
    <w:rsid w:val="005A2269"/>
    <w:rsid w:val="005E4CB3"/>
    <w:rsid w:val="0061365A"/>
    <w:rsid w:val="00616030"/>
    <w:rsid w:val="00697695"/>
    <w:rsid w:val="006B5C16"/>
    <w:rsid w:val="007E1424"/>
    <w:rsid w:val="007E22A4"/>
    <w:rsid w:val="0083375C"/>
    <w:rsid w:val="00851249"/>
    <w:rsid w:val="0089268E"/>
    <w:rsid w:val="00943E2C"/>
    <w:rsid w:val="00986EE0"/>
    <w:rsid w:val="009B373A"/>
    <w:rsid w:val="009F62AB"/>
    <w:rsid w:val="00AB4804"/>
    <w:rsid w:val="00AD5440"/>
    <w:rsid w:val="00B00F68"/>
    <w:rsid w:val="00B75836"/>
    <w:rsid w:val="00BB7462"/>
    <w:rsid w:val="00C10DA0"/>
    <w:rsid w:val="00C42B18"/>
    <w:rsid w:val="00C52093"/>
    <w:rsid w:val="00C61070"/>
    <w:rsid w:val="00C8116D"/>
    <w:rsid w:val="00CD3A7F"/>
    <w:rsid w:val="00D71FBA"/>
    <w:rsid w:val="00DF587C"/>
    <w:rsid w:val="00E40CFD"/>
    <w:rsid w:val="00E56D40"/>
    <w:rsid w:val="00EA19E6"/>
    <w:rsid w:val="00EC7579"/>
    <w:rsid w:val="00ED07AD"/>
    <w:rsid w:val="00ED10E6"/>
    <w:rsid w:val="00F0087C"/>
    <w:rsid w:val="00F04BA0"/>
    <w:rsid w:val="00F35C73"/>
    <w:rsid w:val="00F37477"/>
    <w:rsid w:val="00F60497"/>
    <w:rsid w:val="00FE10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BE076"/>
  <w15:docId w15:val="{D3FEB3D6-741F-4B43-970A-720425866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8116D"/>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Encabezado">
    <w:name w:val="header"/>
    <w:basedOn w:val="Normal"/>
    <w:link w:val="EncabezadoCar"/>
    <w:uiPriority w:val="99"/>
    <w:unhideWhenUsed/>
    <w:rsid w:val="003015A2"/>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015A2"/>
  </w:style>
  <w:style w:type="paragraph" w:styleId="Piedepgina">
    <w:name w:val="footer"/>
    <w:basedOn w:val="Normal"/>
    <w:link w:val="PiedepginaCar"/>
    <w:uiPriority w:val="99"/>
    <w:unhideWhenUsed/>
    <w:rsid w:val="003015A2"/>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015A2"/>
  </w:style>
  <w:style w:type="paragraph" w:styleId="NormalWeb">
    <w:name w:val="Normal (Web)"/>
    <w:basedOn w:val="Normal"/>
    <w:uiPriority w:val="99"/>
    <w:semiHidden/>
    <w:unhideWhenUsed/>
    <w:rsid w:val="003015A2"/>
    <w:pPr>
      <w:spacing w:before="100" w:beforeAutospacing="1" w:after="100" w:afterAutospacing="1" w:line="240" w:lineRule="auto"/>
    </w:pPr>
    <w:rPr>
      <w:rFonts w:ascii="Times New Roman" w:eastAsia="Times New Roman" w:hAnsi="Times New Roman" w:cs="Times New Roman"/>
      <w:sz w:val="24"/>
      <w:szCs w:val="24"/>
      <w:lang w:val="es-MX"/>
    </w:rPr>
  </w:style>
  <w:style w:type="character" w:styleId="Hipervnculo">
    <w:name w:val="Hyperlink"/>
    <w:basedOn w:val="Fuentedeprrafopredeter"/>
    <w:uiPriority w:val="99"/>
    <w:unhideWhenUsed/>
    <w:rsid w:val="000C1A4B"/>
    <w:rPr>
      <w:color w:val="0000FF" w:themeColor="hyperlink"/>
      <w:u w:val="single"/>
    </w:rPr>
  </w:style>
  <w:style w:type="character" w:customStyle="1" w:styleId="UnresolvedMention">
    <w:name w:val="Unresolved Mention"/>
    <w:basedOn w:val="Fuentedeprrafopredeter"/>
    <w:uiPriority w:val="99"/>
    <w:semiHidden/>
    <w:unhideWhenUsed/>
    <w:rsid w:val="00152ABD"/>
    <w:rPr>
      <w:color w:val="605E5C"/>
      <w:shd w:val="clear" w:color="auto" w:fill="E1DFDD"/>
    </w:rPr>
  </w:style>
  <w:style w:type="paragraph" w:styleId="Textonotapie">
    <w:name w:val="footnote text"/>
    <w:basedOn w:val="Normal"/>
    <w:link w:val="TextonotapieCar"/>
    <w:uiPriority w:val="99"/>
    <w:semiHidden/>
    <w:unhideWhenUsed/>
    <w:rsid w:val="0001725B"/>
    <w:pPr>
      <w:spacing w:line="240" w:lineRule="auto"/>
    </w:pPr>
    <w:rPr>
      <w:sz w:val="20"/>
      <w:szCs w:val="20"/>
    </w:rPr>
  </w:style>
  <w:style w:type="character" w:customStyle="1" w:styleId="TextonotapieCar">
    <w:name w:val="Texto nota pie Car"/>
    <w:basedOn w:val="Fuentedeprrafopredeter"/>
    <w:link w:val="Textonotapie"/>
    <w:uiPriority w:val="99"/>
    <w:semiHidden/>
    <w:rsid w:val="0001725B"/>
    <w:rPr>
      <w:sz w:val="20"/>
      <w:szCs w:val="20"/>
    </w:rPr>
  </w:style>
  <w:style w:type="character" w:styleId="Refdenotaalpie">
    <w:name w:val="footnote reference"/>
    <w:basedOn w:val="Fuentedeprrafopredeter"/>
    <w:uiPriority w:val="99"/>
    <w:semiHidden/>
    <w:unhideWhenUsed/>
    <w:rsid w:val="000172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719479">
      <w:bodyDiv w:val="1"/>
      <w:marLeft w:val="0"/>
      <w:marRight w:val="0"/>
      <w:marTop w:val="0"/>
      <w:marBottom w:val="0"/>
      <w:divBdr>
        <w:top w:val="none" w:sz="0" w:space="0" w:color="auto"/>
        <w:left w:val="none" w:sz="0" w:space="0" w:color="auto"/>
        <w:bottom w:val="none" w:sz="0" w:space="0" w:color="auto"/>
        <w:right w:val="none" w:sz="0" w:space="0" w:color="auto"/>
      </w:divBdr>
    </w:div>
    <w:div w:id="1583375210">
      <w:bodyDiv w:val="1"/>
      <w:marLeft w:val="0"/>
      <w:marRight w:val="0"/>
      <w:marTop w:val="0"/>
      <w:marBottom w:val="0"/>
      <w:divBdr>
        <w:top w:val="none" w:sz="0" w:space="0" w:color="auto"/>
        <w:left w:val="none" w:sz="0" w:space="0" w:color="auto"/>
        <w:bottom w:val="none" w:sz="0" w:space="0" w:color="auto"/>
        <w:right w:val="none" w:sz="0" w:space="0" w:color="auto"/>
      </w:divBdr>
    </w:div>
    <w:div w:id="1772507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fiscaliageneral.nayarit.gob.mx/web/container.php?page=alba&amp;ttl=33" TargetMode="External"/><Relationship Id="rId18" Type="http://schemas.openxmlformats.org/officeDocument/2006/relationships/hyperlink" Target="https://fiscaliaveracruz.gob.mx/category/protocolo-alba/" TargetMode="External"/><Relationship Id="rId26" Type="http://schemas.openxmlformats.org/officeDocument/2006/relationships/hyperlink" Target="https://fiscalia.chihuahua.gob.mx/alerta-amber/" TargetMode="External"/><Relationship Id="rId39" Type="http://schemas.openxmlformats.org/officeDocument/2006/relationships/hyperlink" Target="https://fiscaliaslp.gob.mx/vi/alerta-amber/" TargetMode="External"/><Relationship Id="rId21" Type="http://schemas.openxmlformats.org/officeDocument/2006/relationships/hyperlink" Target="https://www.facebook.com/AlertaAlbaMichoacan/?locale=es_LA" TargetMode="External"/><Relationship Id="rId34" Type="http://schemas.openxmlformats.org/officeDocument/2006/relationships/hyperlink" Target="https://fiscalianl.gob.mx/AlertaAmber?condicion=2" TargetMode="External"/><Relationship Id="rId42" Type="http://schemas.openxmlformats.org/officeDocument/2006/relationships/hyperlink" Target="https://edomex.gob.mx/AlertaAMBER" TargetMode="External"/><Relationship Id="rId47" Type="http://schemas.openxmlformats.org/officeDocument/2006/relationships/theme" Target="theme/theme1.xml"/><Relationship Id="rId7" Type="http://schemas.openxmlformats.org/officeDocument/2006/relationships/hyperlink" Target="mailto:cedawciudadanas@gmail.com" TargetMode="External"/><Relationship Id="rId2" Type="http://schemas.openxmlformats.org/officeDocument/2006/relationships/styles" Target="styles.xml"/><Relationship Id="rId16" Type="http://schemas.openxmlformats.org/officeDocument/2006/relationships/hyperlink" Target="https://www.fiscaliatabasco.gob.mx/AtencionVictimas/AlertaAlba" TargetMode="External"/><Relationship Id="rId29" Type="http://schemas.openxmlformats.org/officeDocument/2006/relationships/hyperlink" Target="https://fiscaliageneral.nayarit.gob.mx/web/container.php?page=amber&amp;ttl=2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ortal.fgeguanajuato.gob.mx/PortalWebEstatal/ProtocoloAlba" TargetMode="External"/><Relationship Id="rId24" Type="http://schemas.openxmlformats.org/officeDocument/2006/relationships/hyperlink" Target="https://www.amberchiapas.org.mx/" TargetMode="External"/><Relationship Id="rId32" Type="http://schemas.openxmlformats.org/officeDocument/2006/relationships/hyperlink" Target="https://www.fgjcdmx.gob.mx/nuestros-servicios/servicios-la-ciudadania/alerta-amber-df" TargetMode="External"/><Relationship Id="rId37" Type="http://schemas.openxmlformats.org/officeDocument/2006/relationships/hyperlink" Target="https://www.fgjtam.gob.mx/boletin_busqueda/alerta-amber-6/" TargetMode="External"/><Relationship Id="rId40" Type="http://schemas.openxmlformats.org/officeDocument/2006/relationships/hyperlink" Target="https://fiscalia.durango.gob.mx/alerta-amber/"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fgeqroo.gob.mx/protocolos/Alba" TargetMode="External"/><Relationship Id="rId23" Type="http://schemas.openxmlformats.org/officeDocument/2006/relationships/hyperlink" Target="https://www.fiscalia-aguascalientes.gob.mx/Alerta_Amber.aspx" TargetMode="External"/><Relationship Id="rId28" Type="http://schemas.openxmlformats.org/officeDocument/2006/relationships/hyperlink" Target="https://fiscaliamorelos.gob.mx/alerta-amber-morelos/" TargetMode="External"/><Relationship Id="rId36" Type="http://schemas.openxmlformats.org/officeDocument/2006/relationships/hyperlink" Target="https://www.fiscaliatabasco.gob.mx/AtencionVictimas/AlertaAmber" TargetMode="External"/><Relationship Id="rId10" Type="http://schemas.openxmlformats.org/officeDocument/2006/relationships/hyperlink" Target="http://www.fgecolima.mx/fge_alba_colima.php" TargetMode="External"/><Relationship Id="rId19" Type="http://schemas.openxmlformats.org/officeDocument/2006/relationships/hyperlink" Target="https://fge.yucatan.gob.mx/micrositios/protocolo-alba" TargetMode="External"/><Relationship Id="rId31" Type="http://schemas.openxmlformats.org/officeDocument/2006/relationships/hyperlink" Target="https://fiscaliageneralqro.gob.mx/alertaamber/services/" TargetMode="External"/><Relationship Id="rId44" Type="http://schemas.openxmlformats.org/officeDocument/2006/relationships/hyperlink" Target="https://hasvistoa.fiscaliamichoacan.gob.mx/" TargetMode="External"/><Relationship Id="rId4" Type="http://schemas.openxmlformats.org/officeDocument/2006/relationships/webSettings" Target="webSettings.xml"/><Relationship Id="rId9" Type="http://schemas.openxmlformats.org/officeDocument/2006/relationships/hyperlink" Target="https://fiscalia.chihuahua.gob.mx/protocolo-alba/" TargetMode="External"/><Relationship Id="rId14" Type="http://schemas.openxmlformats.org/officeDocument/2006/relationships/hyperlink" Target="https://fiscaliageneralqro.gob.mx/ProtocoloALBA/Secc-QueEs.html" TargetMode="External"/><Relationship Id="rId22" Type="http://schemas.openxmlformats.org/officeDocument/2006/relationships/hyperlink" Target="https://www.facebook.com/media/set/?set=a.384426855655598&amp;amp%3Btype=3" TargetMode="External"/><Relationship Id="rId27" Type="http://schemas.openxmlformats.org/officeDocument/2006/relationships/hyperlink" Target="https://fiscaliaenpersonasdesaparecidas.jalisco.gob.mx/alerta-amber-jalisco" TargetMode="External"/><Relationship Id="rId30" Type="http://schemas.openxmlformats.org/officeDocument/2006/relationships/hyperlink" Target="https://fge.yucatan.gob.mx/micrositios/alerta-amber" TargetMode="External"/><Relationship Id="rId35" Type="http://schemas.openxmlformats.org/officeDocument/2006/relationships/hyperlink" Target="https://www.fgeqroo.gob.mx/alertas/Amber" TargetMode="External"/><Relationship Id="rId43" Type="http://schemas.openxmlformats.org/officeDocument/2006/relationships/hyperlink" Target="https://fiscaliasinaloa.mx/index.php/servicios-y-tramites/busqueda-de-personas/alerta-amber" TargetMode="External"/><Relationship Id="rId8" Type="http://schemas.openxmlformats.org/officeDocument/2006/relationships/hyperlink" Target="https://www.fge.chiapas.gob.mx/protocoloalba" TargetMode="External"/><Relationship Id="rId3" Type="http://schemas.openxmlformats.org/officeDocument/2006/relationships/settings" Target="settings.xml"/><Relationship Id="rId12" Type="http://schemas.openxmlformats.org/officeDocument/2006/relationships/hyperlink" Target="https://fiscaliaenpersonasdesaparecidas.jalisco.gob.mx/protocolo-alba-jalisco/" TargetMode="External"/><Relationship Id="rId17" Type="http://schemas.openxmlformats.org/officeDocument/2006/relationships/hyperlink" Target="https://www.fgjtam.gob.mx/protocoloalbatam/" TargetMode="External"/><Relationship Id="rId25" Type="http://schemas.openxmlformats.org/officeDocument/2006/relationships/hyperlink" Target="https://www.fgecolima.mx/fge_amber_colima.php" TargetMode="External"/><Relationship Id="rId33" Type="http://schemas.openxmlformats.org/officeDocument/2006/relationships/hyperlink" Target="https://www.guerrero.gob.mx/articulo/alerta-amber-guerrero/" TargetMode="External"/><Relationship Id="rId38" Type="http://schemas.openxmlformats.org/officeDocument/2006/relationships/hyperlink" Target="http://amberalerta.pgjecoahuila.gob.mx/contacto.html" TargetMode="External"/><Relationship Id="rId46" Type="http://schemas.openxmlformats.org/officeDocument/2006/relationships/fontTable" Target="fontTable.xml"/><Relationship Id="rId20" Type="http://schemas.openxmlformats.org/officeDocument/2006/relationships/hyperlink" Target="https://www.facebook.com/ProtocoloALBAgto" TargetMode="External"/><Relationship Id="rId41" Type="http://schemas.openxmlformats.org/officeDocument/2006/relationships/hyperlink" Target="https://portal.fgeguanajuato.gob.mx/PortalWebEstatal/AlertaAmber/Formularios/index.aspx"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dondevanlosdesaparecidos.org/2025/01/14/sheinbaum-100-dias-y-4000-desapariciones/" TargetMode="External"/><Relationship Id="rId2" Type="http://schemas.openxmlformats.org/officeDocument/2006/relationships/hyperlink" Target="https://imdhd.org/redlupa/wp-content/uploads/2024/05/Informe-Nacional-2024.pdf" TargetMode="External"/><Relationship Id="rId1" Type="http://schemas.openxmlformats.org/officeDocument/2006/relationships/hyperlink" Target="https://versionpublicarnpdno.segob.gob.mx/Dashboard/ContextoGeneral" TargetMode="External"/><Relationship Id="rId6" Type="http://schemas.openxmlformats.org/officeDocument/2006/relationships/hyperlink" Target="https://www.gob.mx/conavim/articulos/protocolo-alba-la-busqueda-inmediata-de-mujeres-y-ninas-desaparecidas-262178" TargetMode="External"/><Relationship Id="rId5" Type="http://schemas.openxmlformats.org/officeDocument/2006/relationships/hyperlink" Target="https://fiscaliageneralqro.gob.mx/ProtocoloALBA/Secc-Cedula.html" TargetMode="External"/><Relationship Id="rId4" Type="http://schemas.openxmlformats.org/officeDocument/2006/relationships/hyperlink" Target="https://n9.cl/rumryq"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E90BD-AD0D-405C-B9D5-67507A856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3040</Words>
  <Characters>16721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CUDH</dc:creator>
  <cp:lastModifiedBy>CUDH</cp:lastModifiedBy>
  <cp:revision>2</cp:revision>
  <dcterms:created xsi:type="dcterms:W3CDTF">2025-05-17T18:44:00Z</dcterms:created>
  <dcterms:modified xsi:type="dcterms:W3CDTF">2025-05-17T18:44:00Z</dcterms:modified>
</cp:coreProperties>
</file>