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7000A6">
      <w:pPr>
        <w:pStyle w:val="Title"/>
        <w:rPr>
          <w:b w:val="0"/>
          <w:u w:val="none"/>
        </w:rPr>
      </w:pPr>
      <w:r w:rsidRPr="007000A6">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837361">
        <w:rPr>
          <w:b/>
          <w:sz w:val="28"/>
          <w:szCs w:val="28"/>
          <w:u w:val="single"/>
        </w:rPr>
        <w:t>JAMAICA</w:t>
      </w:r>
      <w:r w:rsidR="007000A6" w:rsidRPr="007000A6">
        <w:rPr>
          <w:b/>
          <w:sz w:val="28"/>
          <w:szCs w:val="28"/>
        </w:rPr>
        <w:t xml:space="preserve"> </w:t>
      </w:r>
      <w:r w:rsidRPr="007000A6">
        <w:rPr>
          <w:b/>
          <w:sz w:val="28"/>
          <w:szCs w:val="28"/>
        </w:rPr>
        <w:t>FOR THE COMMITTEE ON ECONOMIC, SOCIAL AND CULTURAL RIGHTS, PRE-SESSIONAL WORKING GROUP</w:t>
      </w:r>
      <w:r w:rsidR="00E015BF" w:rsidRPr="007000A6">
        <w:rPr>
          <w:b/>
          <w:sz w:val="28"/>
          <w:szCs w:val="28"/>
        </w:rPr>
        <w:t xml:space="preserve"> – </w:t>
      </w:r>
      <w:r w:rsidR="008F10FD" w:rsidRPr="007000A6">
        <w:rPr>
          <w:b/>
          <w:sz w:val="28"/>
          <w:szCs w:val="28"/>
          <w:u w:val="single"/>
        </w:rPr>
        <w:t>21</w:t>
      </w:r>
      <w:r w:rsidR="00A76009" w:rsidRPr="007000A6">
        <w:rPr>
          <w:b/>
          <w:sz w:val="28"/>
          <w:szCs w:val="28"/>
          <w:u w:val="single"/>
        </w:rPr>
        <w:t>-</w:t>
      </w:r>
      <w:r w:rsidR="008F10FD" w:rsidRPr="007000A6">
        <w:rPr>
          <w:b/>
          <w:sz w:val="28"/>
          <w:szCs w:val="28"/>
          <w:u w:val="single"/>
        </w:rPr>
        <w:t>25</w:t>
      </w:r>
      <w:r w:rsidR="00A76009" w:rsidRPr="007000A6">
        <w:rPr>
          <w:b/>
          <w:sz w:val="28"/>
          <w:szCs w:val="28"/>
          <w:u w:val="single"/>
        </w:rPr>
        <w:t xml:space="preserve"> </w:t>
      </w:r>
      <w:r w:rsidR="008F10FD" w:rsidRPr="007000A6">
        <w:rPr>
          <w:b/>
          <w:sz w:val="28"/>
          <w:szCs w:val="28"/>
          <w:u w:val="single"/>
        </w:rPr>
        <w:t>May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8F10FD" w:rsidP="009A4DF8">
      <w:pPr>
        <w:spacing w:after="120"/>
        <w:rPr>
          <w:b/>
          <w:u w:val="single"/>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837361">
                    <w:rPr>
                      <w:b/>
                      <w:sz w:val="26"/>
                      <w:szCs w:val="26"/>
                    </w:rPr>
                    <w:t>Jamaica</w:t>
                  </w:r>
                  <w:r w:rsidRPr="0050346D">
                    <w:rPr>
                      <w:b/>
                      <w:sz w:val="26"/>
                      <w:szCs w:val="26"/>
                    </w:rPr>
                    <w:t xml:space="preserve">. In light of the obligation under international human rights law to prohibit all corporal punishment of children, the recommendations of the UN Secretary-General’s Study on Violence against Children, </w:t>
                  </w:r>
                  <w:r w:rsidR="00015F34">
                    <w:rPr>
                      <w:b/>
                      <w:sz w:val="26"/>
                      <w:szCs w:val="26"/>
                    </w:rPr>
                    <w:t xml:space="preserve">and </w:t>
                  </w:r>
                  <w:r w:rsidRPr="0050346D">
                    <w:rPr>
                      <w:b/>
                      <w:sz w:val="26"/>
                      <w:szCs w:val="26"/>
                    </w:rPr>
                    <w:t>the repeated recommendations of human rights treaty monitoring bodies</w:t>
                  </w:r>
                  <w:r>
                    <w:rPr>
                      <w:b/>
                      <w:sz w:val="26"/>
                      <w:szCs w:val="26"/>
                    </w:rPr>
                    <w:t xml:space="preserve"> and 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B902F0">
                    <w:rPr>
                      <w:b/>
                      <w:sz w:val="26"/>
                      <w:szCs w:val="26"/>
                    </w:rPr>
                    <w:t>Jamaica</w:t>
                  </w:r>
                  <w:r w:rsidRPr="0050346D">
                    <w:rPr>
                      <w:b/>
                      <w:sz w:val="26"/>
                      <w:szCs w:val="26"/>
                    </w:rPr>
                    <w:t>, in particular asking what measures have been taken to ensure 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proofErr w:type="gramStart"/>
                  <w:r w:rsidRPr="0050346D">
                    <w:rPr>
                      <w:b/>
                      <w:sz w:val="26"/>
                      <w:szCs w:val="26"/>
                    </w:rPr>
                    <w:t>recommend</w:t>
                  </w:r>
                  <w:proofErr w:type="gramEnd"/>
                  <w:r w:rsidRPr="0050346D">
                    <w:rPr>
                      <w:b/>
                      <w:sz w:val="26"/>
                      <w:szCs w:val="26"/>
                    </w:rPr>
                    <w:t xml:space="preserve"> to </w:t>
                  </w:r>
                  <w:r w:rsidR="00B902F0">
                    <w:rPr>
                      <w:b/>
                      <w:sz w:val="26"/>
                      <w:szCs w:val="26"/>
                    </w:rPr>
                    <w:t>Jamaica</w:t>
                  </w:r>
                  <w:r w:rsidRPr="0050346D">
                    <w:rPr>
                      <w:b/>
                      <w:sz w:val="26"/>
                      <w:szCs w:val="26"/>
                    </w:rPr>
                    <w:t xml:space="preserve">, in the concluding observations on the </w:t>
                  </w:r>
                  <w:r w:rsidR="00B902F0">
                    <w:rPr>
                      <w:b/>
                      <w:sz w:val="26"/>
                      <w:szCs w:val="26"/>
                    </w:rPr>
                    <w:t xml:space="preserve">third/fourth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7000A6" w:rsidRDefault="007000A6" w:rsidP="008467B3">
      <w:pPr>
        <w:spacing w:after="120"/>
        <w:rPr>
          <w:b/>
          <w:sz w:val="28"/>
          <w:szCs w:val="28"/>
        </w:rPr>
      </w:pPr>
    </w:p>
    <w:p w:rsidR="008467B3" w:rsidRPr="00F01BFF" w:rsidRDefault="00837361" w:rsidP="008467B3">
      <w:pPr>
        <w:spacing w:after="120"/>
        <w:rPr>
          <w:b/>
          <w:sz w:val="28"/>
          <w:szCs w:val="28"/>
        </w:rPr>
      </w:pPr>
      <w:r>
        <w:rPr>
          <w:b/>
          <w:sz w:val="28"/>
          <w:szCs w:val="28"/>
        </w:rPr>
        <w:t>Jamaica</w:t>
      </w:r>
      <w:r w:rsidR="008467B3">
        <w:rPr>
          <w:b/>
          <w:sz w:val="28"/>
          <w:szCs w:val="28"/>
        </w:rPr>
        <w:t>’s</w:t>
      </w:r>
      <w:r w:rsidR="008467B3" w:rsidRPr="00F01BFF">
        <w:rPr>
          <w:b/>
          <w:sz w:val="28"/>
          <w:szCs w:val="28"/>
        </w:rPr>
        <w:t xml:space="preserve"> report to the Committee</w:t>
      </w:r>
      <w:r w:rsidR="008467B3">
        <w:rPr>
          <w:b/>
          <w:sz w:val="28"/>
          <w:szCs w:val="28"/>
        </w:rPr>
        <w:t xml:space="preserve"> on Economic, Social and Cultural Rights</w:t>
      </w:r>
    </w:p>
    <w:p w:rsidR="008467B3" w:rsidRDefault="008467B3" w:rsidP="00837361">
      <w:pPr>
        <w:pStyle w:val="Header"/>
        <w:spacing w:after="120"/>
      </w:pPr>
      <w:r w:rsidRPr="00E549CD">
        <w:t xml:space="preserve">The </w:t>
      </w:r>
      <w:r w:rsidR="00837361">
        <w:t xml:space="preserve">third/fourth </w:t>
      </w:r>
      <w:r w:rsidRPr="00E549CD">
        <w:t xml:space="preserve">state party report to the </w:t>
      </w:r>
      <w:r>
        <w:t>Committee on Economic, Social and Cultural Rights</w:t>
      </w:r>
      <w:r w:rsidR="00837361">
        <w:t xml:space="preserve"> describes a number of measures aimed at safeguarding children’s physical and mental health and protecting them from abuse. However, it makes no reference to the violence that may lawfully be inflicted on children under the guise of “discipline” in childrearing and education.</w:t>
      </w:r>
    </w:p>
    <w:p w:rsidR="008467B3" w:rsidRDefault="008467B3" w:rsidP="008467B3">
      <w:pPr>
        <w:pStyle w:val="Header"/>
        <w:spacing w:after="120"/>
      </w:pPr>
    </w:p>
    <w:p w:rsidR="00B902F0" w:rsidRDefault="00B902F0" w:rsidP="008467B3">
      <w:pPr>
        <w:spacing w:after="120"/>
        <w:rPr>
          <w:b/>
          <w:sz w:val="28"/>
          <w:szCs w:val="28"/>
        </w:rPr>
      </w:pPr>
    </w:p>
    <w:p w:rsidR="00B902F0" w:rsidRDefault="00B902F0" w:rsidP="008467B3">
      <w:pPr>
        <w:spacing w:after="120"/>
        <w:rPr>
          <w:b/>
          <w:sz w:val="28"/>
          <w:szCs w:val="28"/>
        </w:rPr>
      </w:pPr>
    </w:p>
    <w:p w:rsidR="008467B3" w:rsidRPr="00F01BFF" w:rsidRDefault="008467B3" w:rsidP="008467B3">
      <w:pPr>
        <w:spacing w:after="120"/>
        <w:rPr>
          <w:sz w:val="28"/>
          <w:szCs w:val="28"/>
        </w:rPr>
      </w:pPr>
      <w:r w:rsidRPr="00F01BFF">
        <w:rPr>
          <w:b/>
          <w:sz w:val="28"/>
          <w:szCs w:val="28"/>
        </w:rPr>
        <w:lastRenderedPageBreak/>
        <w:t xml:space="preserve">Corporal punishment of children in </w:t>
      </w:r>
      <w:r w:rsidR="00837361">
        <w:rPr>
          <w:b/>
          <w:sz w:val="28"/>
          <w:szCs w:val="28"/>
        </w:rPr>
        <w:t>Jamaica</w:t>
      </w:r>
    </w:p>
    <w:p w:rsidR="00837361" w:rsidRDefault="00837361" w:rsidP="00837361">
      <w:pPr>
        <w:spacing w:after="120"/>
        <w:rPr>
          <w:sz w:val="23"/>
          <w:szCs w:val="23"/>
        </w:rPr>
      </w:pPr>
      <w:r>
        <w:t xml:space="preserve">In Jamaica, corporal punishment is lawful in the home, schools and penal system; it is unlawful in alternative care settings. </w:t>
      </w:r>
    </w:p>
    <w:p w:rsidR="00837361" w:rsidRPr="00CB49EE" w:rsidRDefault="00837361" w:rsidP="00837361">
      <w:pPr>
        <w:spacing w:after="120"/>
      </w:pPr>
      <w:r w:rsidRPr="00CB49EE">
        <w:t xml:space="preserve">Corporal punishment is lawful in the home under the common law right to inflict “reasonable and moderate” punishment. The Child Care and Protection Act (2004) does not confirm a right to administer punishment or similar, but provisions against violence and abuse in </w:t>
      </w:r>
      <w:r>
        <w:t>the</w:t>
      </w:r>
      <w:r w:rsidRPr="00CB49EE">
        <w:t xml:space="preserve"> Act and in the Offences Against the Person Act (1864), the Domestic Violence Act (1996) and the Constitution (1962) are not interpreted as prohibiting corporal punishment in childrearing.</w:t>
      </w:r>
    </w:p>
    <w:p w:rsidR="00837361" w:rsidRDefault="00837361" w:rsidP="00837361">
      <w:pPr>
        <w:spacing w:after="120"/>
      </w:pPr>
      <w:r>
        <w:t>Similarly in schools, there is no provision for corporal punishment in the Education Act (1965) or in the Education Regulations (1980), but a teacher is justified in administering “moderate and reasonable” corporal punishment under common law (</w:t>
      </w:r>
      <w:r>
        <w:rPr>
          <w:i/>
        </w:rPr>
        <w:t xml:space="preserve">Ryan v </w:t>
      </w:r>
      <w:proofErr w:type="spellStart"/>
      <w:r>
        <w:rPr>
          <w:i/>
        </w:rPr>
        <w:t>Fildes</w:t>
      </w:r>
      <w:proofErr w:type="spellEnd"/>
      <w:r>
        <w:rPr>
          <w:i/>
        </w:rPr>
        <w:t xml:space="preserve"> </w:t>
      </w:r>
      <w:r>
        <w:t>[1983] 3 All E.R.517). In 2011, the Government stated it was seeking law reform to abolish corporal punishment through the development of a safe school policy to be tabled in Parliament for approval.</w:t>
      </w:r>
      <w:r>
        <w:rPr>
          <w:rStyle w:val="FootnoteReference"/>
        </w:rPr>
        <w:footnoteReference w:id="1"/>
      </w:r>
      <w:r>
        <w:t xml:space="preserve"> It is not clear whether this would lead to prohibition in law, including repeal of the common law defence, or remain at the level of policy.</w:t>
      </w:r>
    </w:p>
    <w:p w:rsidR="00837361" w:rsidRDefault="00837361" w:rsidP="00837361">
      <w:pPr>
        <w:spacing w:after="120"/>
      </w:pPr>
      <w:r>
        <w:t xml:space="preserve">In the penal system, corporal punishment is unlawful </w:t>
      </w:r>
      <w:r w:rsidRPr="00CB49EE">
        <w:t>as a sentence for crime</w:t>
      </w:r>
      <w:r>
        <w:t xml:space="preserve"> and as a disciplinary </w:t>
      </w:r>
      <w:proofErr w:type="gramStart"/>
      <w:r>
        <w:t>measure</w:t>
      </w:r>
      <w:proofErr w:type="gramEnd"/>
      <w:r>
        <w:t xml:space="preserve"> in penal institutions, though some legislation is still to be repealed.</w:t>
      </w:r>
    </w:p>
    <w:p w:rsidR="00837361" w:rsidRDefault="00837361" w:rsidP="00837361">
      <w:pPr>
        <w:spacing w:after="120"/>
      </w:pPr>
      <w:r>
        <w:t>With regard to alternative care, c</w:t>
      </w:r>
      <w:r w:rsidRPr="004910F5">
        <w:t xml:space="preserve">orporal punishment in early childhood institutions </w:t>
      </w:r>
      <w:r>
        <w:t xml:space="preserve">(“basic schools”) for children under 6 </w:t>
      </w:r>
      <w:r w:rsidRPr="004910F5">
        <w:t>is prohibited under the Act to Provide for the Regulation and Management of Early Childhood Institutions and for other Connected Matters, passed in January 2005. It is prohibited in other institutions and forms of childcare (places of safety) under article 62 of the Child Care and Protection Act</w:t>
      </w:r>
      <w:r>
        <w:t xml:space="preserve"> and in children’s homes under article 17 of </w:t>
      </w:r>
      <w:r w:rsidRPr="004910F5">
        <w:t>the Child Care and Protection (Children’s Homes) Regulations (No. 22 of 2005)</w:t>
      </w:r>
      <w:r>
        <w:t>.</w:t>
      </w:r>
    </w:p>
    <w:p w:rsidR="00837361" w:rsidRPr="005B29C4" w:rsidRDefault="00837361" w:rsidP="00837361">
      <w:pPr>
        <w:spacing w:after="120"/>
      </w:pPr>
      <w:r>
        <w:t>A great deal of research has been carried out on corporal punishment of children in Jamaica, an</w:t>
      </w:r>
      <w:bookmarkStart w:id="0" w:name="_GoBack"/>
      <w:bookmarkEnd w:id="0"/>
      <w:r>
        <w:t>d the issue is a popular choice for media polls. For example, UNICEF’s 2010 analysis reports that in 2005-2006, 89% of children aged 2-14 experienced violent discipline (</w:t>
      </w:r>
      <w:r w:rsidRPr="00FB7E2D">
        <w:t>physical punishment and/or psychological aggression</w:t>
      </w:r>
      <w:r>
        <w:t>)</w:t>
      </w:r>
      <w:r w:rsidRPr="00FB7E2D">
        <w:t xml:space="preserve"> in </w:t>
      </w:r>
      <w:r>
        <w:t>the home.</w:t>
      </w:r>
      <w:r>
        <w:rPr>
          <w:rStyle w:val="FootnoteReference"/>
        </w:rPr>
        <w:footnoteReference w:id="2"/>
      </w:r>
      <w:r>
        <w:t xml:space="preserve"> </w:t>
      </w:r>
      <w:r w:rsidRPr="008C61A7">
        <w:t xml:space="preserve">A 2010 </w:t>
      </w:r>
      <w:r>
        <w:t>Government-</w:t>
      </w:r>
      <w:r w:rsidRPr="008C61A7">
        <w:t>sponsored attitudinal survey of 1,000 adults, carried out by Market Research Services Limited, revealed that the majority – regardless of socio-economic status – believe beating a child is necessary in correcting bad behaviour</w:t>
      </w:r>
      <w:r>
        <w:t xml:space="preserve">: 52% </w:t>
      </w:r>
      <w:r w:rsidRPr="008C61A7">
        <w:t>did not agree that acts such as pinching, hitting the head, biting, kicking and thumping a child constituted corporal punishment</w:t>
      </w:r>
      <w:r>
        <w:t>;</w:t>
      </w:r>
      <w:r w:rsidRPr="008C61A7">
        <w:t xml:space="preserve"> 51% said they had physically punished a child.</w:t>
      </w:r>
      <w:r>
        <w:rPr>
          <w:rStyle w:val="FootnoteReference"/>
        </w:rPr>
        <w:footnoteReference w:id="3"/>
      </w:r>
      <w:r>
        <w:t xml:space="preserve"> I</w:t>
      </w:r>
      <w:r w:rsidRPr="00693454">
        <w:t xml:space="preserve">n a survey of </w:t>
      </w:r>
      <w:r>
        <w:t xml:space="preserve">primary school </w:t>
      </w:r>
      <w:r w:rsidRPr="00693454">
        <w:t xml:space="preserve">teachers </w:t>
      </w:r>
      <w:r>
        <w:t xml:space="preserve">reported in 2007, </w:t>
      </w:r>
      <w:r w:rsidRPr="00693454">
        <w:t>one in four admitted to flogging students often and one in three to pinching and thumping them.</w:t>
      </w:r>
      <w:r>
        <w:rPr>
          <w:rStyle w:val="FootnoteReference"/>
        </w:rPr>
        <w:footnoteReference w:id="4"/>
      </w:r>
      <w:r w:rsidRPr="00D44CE9">
        <w:t xml:space="preserve"> </w:t>
      </w:r>
      <w:r w:rsidRPr="008C61A7">
        <w:t xml:space="preserve">A </w:t>
      </w:r>
      <w:r>
        <w:t xml:space="preserve">2006 </w:t>
      </w:r>
      <w:r w:rsidRPr="008C61A7">
        <w:t xml:space="preserve">survey for </w:t>
      </w:r>
      <w:r w:rsidRPr="008C61A7">
        <w:rPr>
          <w:i/>
        </w:rPr>
        <w:t>The Gleaner</w:t>
      </w:r>
      <w:r w:rsidRPr="008C61A7">
        <w:t xml:space="preserve"> found that 60% of respondents were in favour of spanking and caning in schools</w:t>
      </w:r>
      <w:r>
        <w:t>.</w:t>
      </w:r>
      <w:r>
        <w:rPr>
          <w:rStyle w:val="FootnoteReference"/>
        </w:rPr>
        <w:footnoteReference w:id="5"/>
      </w:r>
      <w:r>
        <w:t xml:space="preserve"> </w:t>
      </w:r>
      <w:r w:rsidRPr="00CF1344">
        <w:rPr>
          <w:lang w:val="en-US"/>
        </w:rPr>
        <w:t xml:space="preserve">In a focus group with twenty children aged 10-18 </w:t>
      </w:r>
      <w:r>
        <w:rPr>
          <w:lang w:val="en-US"/>
        </w:rPr>
        <w:t>and</w:t>
      </w:r>
      <w:r w:rsidRPr="00CF1344">
        <w:rPr>
          <w:lang w:val="en-US"/>
        </w:rPr>
        <w:t xml:space="preserve"> living in children’s homes and “places of safety” in Jamaica, a common thread that ran through their conversations was </w:t>
      </w:r>
      <w:r w:rsidRPr="00CF1344">
        <w:t>the beatings giv</w:t>
      </w:r>
      <w:r>
        <w:t>en by Housemothers and “Aunties”</w:t>
      </w:r>
      <w:r w:rsidRPr="00CF1344">
        <w:rPr>
          <w:lang w:val="en-US"/>
        </w:rPr>
        <w:t>.</w:t>
      </w:r>
      <w:r>
        <w:rPr>
          <w:rStyle w:val="FootnoteReference"/>
          <w:lang w:val="en-US"/>
        </w:rPr>
        <w:footnoteReference w:id="6"/>
      </w:r>
    </w:p>
    <w:p w:rsidR="00837361" w:rsidRDefault="00837361" w:rsidP="00837361">
      <w:pPr>
        <w:spacing w:after="120"/>
      </w:pPr>
    </w:p>
    <w:p w:rsidR="00837361" w:rsidRPr="00B902F0" w:rsidRDefault="00837361" w:rsidP="00B902F0">
      <w:pPr>
        <w:spacing w:after="120"/>
        <w:rPr>
          <w:b/>
          <w:sz w:val="28"/>
          <w:szCs w:val="28"/>
        </w:rPr>
      </w:pPr>
      <w:r w:rsidRPr="00B902F0">
        <w:rPr>
          <w:b/>
          <w:sz w:val="28"/>
          <w:szCs w:val="28"/>
        </w:rPr>
        <w:t>Recommendations by human rights treaty bodies</w:t>
      </w:r>
      <w:r w:rsidR="00B902F0" w:rsidRPr="00B902F0">
        <w:rPr>
          <w:b/>
          <w:sz w:val="28"/>
          <w:szCs w:val="28"/>
        </w:rPr>
        <w:t xml:space="preserve"> and during the UPR</w:t>
      </w:r>
    </w:p>
    <w:p w:rsidR="00B902F0" w:rsidRPr="00B902F0" w:rsidRDefault="00837361" w:rsidP="00B902F0">
      <w:pPr>
        <w:spacing w:after="120"/>
        <w:rPr>
          <w:bCs/>
        </w:rPr>
      </w:pPr>
      <w:r w:rsidRPr="00B902F0">
        <w:rPr>
          <w:bCs/>
        </w:rPr>
        <w:t xml:space="preserve">The </w:t>
      </w:r>
      <w:r w:rsidRPr="00B902F0">
        <w:rPr>
          <w:b/>
          <w:bCs/>
        </w:rPr>
        <w:t>Committee on the Rights of the Child</w:t>
      </w:r>
      <w:r w:rsidRPr="00B902F0">
        <w:rPr>
          <w:bCs/>
        </w:rPr>
        <w:t xml:space="preserve"> first expressed concern at corporal punishment of children in Jamaica in 1995, in its concluding observations on the initial report (CRC/C/15/Add.32, para. 7). In </w:t>
      </w:r>
      <w:r w:rsidRPr="00B902F0">
        <w:rPr>
          <w:bCs/>
        </w:rPr>
        <w:lastRenderedPageBreak/>
        <w:t xml:space="preserve">2003, following examination of the second report, the Committee again expressed concern and recommended prohibition in all settings (CRC/C/15/Add.210, paras. 33, 48 and 49). </w:t>
      </w:r>
    </w:p>
    <w:p w:rsidR="00B902F0" w:rsidRPr="00B902F0" w:rsidRDefault="00837361" w:rsidP="00B902F0">
      <w:pPr>
        <w:spacing w:after="120"/>
        <w:rPr>
          <w:bCs/>
        </w:rPr>
      </w:pPr>
      <w:r w:rsidRPr="00B902F0">
        <w:rPr>
          <w:bCs/>
        </w:rPr>
        <w:t xml:space="preserve">In 2001, the </w:t>
      </w:r>
      <w:r w:rsidRPr="00B902F0">
        <w:rPr>
          <w:b/>
          <w:bCs/>
        </w:rPr>
        <w:t>Committee on Economic, Social and Cultural Rights</w:t>
      </w:r>
      <w:r w:rsidRPr="00B902F0">
        <w:rPr>
          <w:bCs/>
        </w:rPr>
        <w:t xml:space="preserve"> stated that corporal punishment of children in homes and schools constituted a serious violation by Jamaica of its obligations under the Covenant (E/C.12/1/Add.75, Concluding observations on second report, para. 14). </w:t>
      </w:r>
    </w:p>
    <w:p w:rsidR="00837361" w:rsidRPr="00B902F0" w:rsidRDefault="00837361" w:rsidP="00B902F0">
      <w:pPr>
        <w:spacing w:after="120"/>
        <w:rPr>
          <w:bCs/>
        </w:rPr>
      </w:pPr>
      <w:r w:rsidRPr="00B902F0">
        <w:rPr>
          <w:bCs/>
        </w:rPr>
        <w:t xml:space="preserve">In 1997, the </w:t>
      </w:r>
      <w:r w:rsidRPr="00B902F0">
        <w:rPr>
          <w:b/>
          <w:bCs/>
        </w:rPr>
        <w:t>Human Rights Committee</w:t>
      </w:r>
      <w:r w:rsidRPr="00B902F0">
        <w:rPr>
          <w:bCs/>
        </w:rPr>
        <w:t xml:space="preserve"> addressed corporal punishment in the penal system (CCPR/C/79/Add.83, Concluding observations on second report, para. 15).</w:t>
      </w:r>
      <w:r w:rsidR="00B902F0" w:rsidRPr="00B902F0">
        <w:rPr>
          <w:bCs/>
        </w:rPr>
        <w:t xml:space="preserve"> In 2011, the Committee recommended measures to address corporal punishment in all settings, including through the promotion of non-violent forms of discipline and public campaigns on the negative effects of corporal punishment (CCPR/C/JAM/CO/3, Concluding observations on third report, para. 20).</w:t>
      </w:r>
    </w:p>
    <w:p w:rsidR="00B902F0" w:rsidRPr="00B902F0" w:rsidRDefault="00B902F0" w:rsidP="00B902F0">
      <w:pPr>
        <w:pStyle w:val="NormalWeb"/>
        <w:spacing w:before="0" w:beforeAutospacing="0" w:after="120" w:afterAutospacing="0"/>
        <w:rPr>
          <w:rFonts w:ascii="Times New Roman" w:hAnsi="Times New Roman" w:cs="Times New Roman"/>
        </w:rPr>
      </w:pPr>
      <w:r w:rsidRPr="00B902F0">
        <w:rPr>
          <w:rFonts w:ascii="Times New Roman" w:hAnsi="Times New Roman" w:cs="Times New Roman"/>
        </w:rPr>
        <w:t xml:space="preserve">Jamaica was examined in the first cycle of the </w:t>
      </w:r>
      <w:r w:rsidRPr="00B902F0">
        <w:rPr>
          <w:rFonts w:ascii="Times New Roman" w:hAnsi="Times New Roman" w:cs="Times New Roman"/>
          <w:b/>
        </w:rPr>
        <w:t>Universal Periodic Review</w:t>
      </w:r>
      <w:r w:rsidRPr="00B902F0">
        <w:rPr>
          <w:rFonts w:ascii="Times New Roman" w:hAnsi="Times New Roman" w:cs="Times New Roman"/>
        </w:rPr>
        <w:t xml:space="preserve"> in 2010. The Government accepted the recommendation to prohibit corporal punishment of children in detention centres (A/HRC/WG.6/9/L.12, Report of the Working Group, para. 99(10)).</w:t>
      </w:r>
    </w:p>
    <w:p w:rsidR="00837361" w:rsidRDefault="00837361" w:rsidP="00837361">
      <w:pPr>
        <w:spacing w:after="120"/>
        <w:rPr>
          <w:bCs/>
        </w:rPr>
      </w:pPr>
    </w:p>
    <w:p w:rsidR="005E798C" w:rsidRDefault="005E798C" w:rsidP="005E798C">
      <w:pPr>
        <w:rPr>
          <w:i/>
        </w:rPr>
      </w:pPr>
      <w:bookmarkStart w:id="1" w:name="OLE_LINK16"/>
      <w:bookmarkStart w:id="2" w:name="OLE_LINK17"/>
      <w:r>
        <w:rPr>
          <w:i/>
        </w:rPr>
        <w:t>Briefing prepared by the Global Initiative to End All Corporal Punishment of Children</w:t>
      </w:r>
    </w:p>
    <w:p w:rsidR="005E798C" w:rsidRDefault="007C41C0"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1"/>
    <w:bookmarkEnd w:id="2"/>
    <w:p w:rsidR="005E798C" w:rsidRPr="005E798C" w:rsidRDefault="008F10FD" w:rsidP="005E798C">
      <w:pPr>
        <w:rPr>
          <w:i/>
        </w:rPr>
      </w:pPr>
      <w:r>
        <w:rPr>
          <w:i/>
        </w:rPr>
        <w:t>April 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1C0" w:rsidRDefault="007C41C0">
      <w:r>
        <w:separator/>
      </w:r>
    </w:p>
  </w:endnote>
  <w:endnote w:type="continuationSeparator" w:id="0">
    <w:p w:rsidR="007C41C0" w:rsidRDefault="007C4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6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1C0" w:rsidRDefault="007C41C0">
      <w:r>
        <w:separator/>
      </w:r>
    </w:p>
  </w:footnote>
  <w:footnote w:type="continuationSeparator" w:id="0">
    <w:p w:rsidR="007C41C0" w:rsidRDefault="007C41C0">
      <w:r>
        <w:continuationSeparator/>
      </w:r>
    </w:p>
  </w:footnote>
  <w:footnote w:id="1">
    <w:p w:rsidR="00837361" w:rsidRPr="00837361" w:rsidRDefault="00837361" w:rsidP="00837361">
      <w:pPr>
        <w:pStyle w:val="FootnoteText"/>
        <w:spacing w:after="120"/>
        <w:rPr>
          <w:lang w:val="en-GB"/>
        </w:rPr>
      </w:pPr>
      <w:r w:rsidRPr="00E83855">
        <w:rPr>
          <w:rStyle w:val="FootnoteReference"/>
        </w:rPr>
        <w:footnoteRef/>
      </w:r>
      <w:r w:rsidRPr="00837361">
        <w:rPr>
          <w:lang w:val="en-GB"/>
        </w:rPr>
        <w:t xml:space="preserve"> 11 July 2011, CCPR/C/JAM/Q/3/Add.1, </w:t>
      </w:r>
      <w:r w:rsidRPr="00837361">
        <w:rPr>
          <w:i/>
          <w:lang w:val="en-GB"/>
        </w:rPr>
        <w:t>Written reply to Human Rights Committee list of issues</w:t>
      </w:r>
      <w:r w:rsidRPr="00837361">
        <w:rPr>
          <w:lang w:val="en-GB"/>
        </w:rPr>
        <w:t>, para. 83</w:t>
      </w:r>
    </w:p>
  </w:footnote>
  <w:footnote w:id="2">
    <w:p w:rsidR="00837361" w:rsidRPr="00E83855" w:rsidRDefault="00837361" w:rsidP="00837361">
      <w:pPr>
        <w:pStyle w:val="FootnoteText"/>
        <w:spacing w:after="120"/>
        <w:rPr>
          <w:lang w:val="en-GB"/>
        </w:rPr>
      </w:pPr>
      <w:r w:rsidRPr="00E83855">
        <w:rPr>
          <w:rStyle w:val="FootnoteReference"/>
        </w:rPr>
        <w:footnoteRef/>
      </w:r>
      <w:r w:rsidRPr="00837361">
        <w:rPr>
          <w:lang w:val="en-GB"/>
        </w:rPr>
        <w:t xml:space="preserve"> </w:t>
      </w:r>
      <w:r w:rsidRPr="00837361">
        <w:rPr>
          <w:lang w:val="en-GB" w:eastAsia="en-GB"/>
        </w:rPr>
        <w:t xml:space="preserve">UNICEF (2010), </w:t>
      </w:r>
      <w:r w:rsidRPr="00837361">
        <w:rPr>
          <w:i/>
          <w:lang w:val="en-GB" w:eastAsia="en-GB"/>
        </w:rPr>
        <w:t>Child Disciplinary Practices at Home: Evidence from a Range of Low- and Middle-Income Countries</w:t>
      </w:r>
      <w:r w:rsidRPr="00837361">
        <w:rPr>
          <w:lang w:val="en-GB" w:eastAsia="en-GB"/>
        </w:rPr>
        <w:t>, NY: UNICEF</w:t>
      </w:r>
    </w:p>
  </w:footnote>
  <w:footnote w:id="3">
    <w:p w:rsidR="00837361" w:rsidRPr="00E83855" w:rsidRDefault="00837361" w:rsidP="00837361">
      <w:pPr>
        <w:pStyle w:val="FootnoteText"/>
        <w:spacing w:after="120"/>
        <w:rPr>
          <w:lang w:val="en-GB"/>
        </w:rPr>
      </w:pPr>
      <w:r w:rsidRPr="00E83855">
        <w:rPr>
          <w:rStyle w:val="FootnoteReference"/>
        </w:rPr>
        <w:footnoteRef/>
      </w:r>
      <w:r w:rsidRPr="00837361">
        <w:rPr>
          <w:lang w:val="en-GB"/>
        </w:rPr>
        <w:t xml:space="preserve"> Reported in </w:t>
      </w:r>
      <w:r w:rsidRPr="00837361">
        <w:rPr>
          <w:i/>
          <w:iCs/>
          <w:lang w:val="en-GB"/>
        </w:rPr>
        <w:t>The Gleaner</w:t>
      </w:r>
      <w:r w:rsidRPr="00837361">
        <w:rPr>
          <w:lang w:val="en-GB"/>
        </w:rPr>
        <w:t>, 17 February 2010</w:t>
      </w:r>
    </w:p>
  </w:footnote>
  <w:footnote w:id="4">
    <w:p w:rsidR="00837361" w:rsidRPr="00E83855" w:rsidRDefault="00837361" w:rsidP="00837361">
      <w:pPr>
        <w:pStyle w:val="FootnoteText"/>
        <w:spacing w:after="120"/>
        <w:rPr>
          <w:lang w:val="en-GB"/>
        </w:rPr>
      </w:pPr>
      <w:r w:rsidRPr="00E83855">
        <w:rPr>
          <w:rStyle w:val="FootnoteReference"/>
        </w:rPr>
        <w:footnoteRef/>
      </w:r>
      <w:r w:rsidRPr="00837361">
        <w:rPr>
          <w:lang w:val="en-GB"/>
        </w:rPr>
        <w:t xml:space="preserve"> Reported in </w:t>
      </w:r>
      <w:r w:rsidRPr="00837361">
        <w:rPr>
          <w:i/>
          <w:lang w:val="en-GB"/>
        </w:rPr>
        <w:t>Jamaica Gleaner Online</w:t>
      </w:r>
      <w:r w:rsidRPr="00837361">
        <w:rPr>
          <w:lang w:val="en-GB"/>
        </w:rPr>
        <w:t>, 21 March 2007</w:t>
      </w:r>
    </w:p>
  </w:footnote>
  <w:footnote w:id="5">
    <w:p w:rsidR="00837361" w:rsidRPr="00E83855" w:rsidRDefault="00837361" w:rsidP="00837361">
      <w:pPr>
        <w:pStyle w:val="FootnoteText"/>
        <w:spacing w:after="120"/>
        <w:rPr>
          <w:lang w:val="en-GB"/>
        </w:rPr>
      </w:pPr>
      <w:r w:rsidRPr="00E83855">
        <w:rPr>
          <w:rStyle w:val="FootnoteReference"/>
        </w:rPr>
        <w:footnoteRef/>
      </w:r>
      <w:r w:rsidRPr="00837361">
        <w:rPr>
          <w:lang w:val="en-GB"/>
        </w:rPr>
        <w:t xml:space="preserve"> Reported in </w:t>
      </w:r>
      <w:r w:rsidRPr="00837361">
        <w:rPr>
          <w:i/>
          <w:lang w:val="en-GB"/>
        </w:rPr>
        <w:t>Jamaica Gleaner Online</w:t>
      </w:r>
      <w:r w:rsidRPr="00837361">
        <w:rPr>
          <w:lang w:val="en-GB"/>
        </w:rPr>
        <w:t>, 19 August 2006</w:t>
      </w:r>
    </w:p>
  </w:footnote>
  <w:footnote w:id="6">
    <w:p w:rsidR="00837361" w:rsidRPr="00E83855" w:rsidRDefault="00837361" w:rsidP="00837361">
      <w:pPr>
        <w:pStyle w:val="FootnoteText"/>
        <w:spacing w:after="120"/>
        <w:rPr>
          <w:lang w:val="en-GB"/>
        </w:rPr>
      </w:pPr>
      <w:r w:rsidRPr="00E83855">
        <w:rPr>
          <w:rStyle w:val="FootnoteReference"/>
        </w:rPr>
        <w:footnoteRef/>
      </w:r>
      <w:r w:rsidRPr="00837361">
        <w:rPr>
          <w:lang w:val="en-GB"/>
        </w:rPr>
        <w:t xml:space="preserve"> </w:t>
      </w:r>
      <w:r w:rsidRPr="00E83855">
        <w:rPr>
          <w:iCs/>
          <w:lang w:val="en-US"/>
        </w:rPr>
        <w:t xml:space="preserve">Keating, S. (2003), </w:t>
      </w:r>
      <w:r w:rsidRPr="00E83855">
        <w:rPr>
          <w:i/>
          <w:lang w:val="en-US"/>
        </w:rPr>
        <w:t>A Review of Children’s Homes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0"/>
  </w:num>
  <w:num w:numId="4">
    <w:abstractNumId w:val="25"/>
  </w:num>
  <w:num w:numId="5">
    <w:abstractNumId w:val="10"/>
  </w:num>
  <w:num w:numId="6">
    <w:abstractNumId w:val="12"/>
  </w:num>
  <w:num w:numId="7">
    <w:abstractNumId w:val="24"/>
  </w:num>
  <w:num w:numId="8">
    <w:abstractNumId w:val="8"/>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
  </w:num>
  <w:num w:numId="20">
    <w:abstractNumId w:val="22"/>
  </w:num>
  <w:num w:numId="21">
    <w:abstractNumId w:val="21"/>
  </w:num>
  <w:num w:numId="22">
    <w:abstractNumId w:val="4"/>
  </w:num>
  <w:num w:numId="23">
    <w:abstractNumId w:val="23"/>
  </w:num>
  <w:num w:numId="24">
    <w:abstractNumId w:val="5"/>
  </w:num>
  <w:num w:numId="25">
    <w:abstractNumId w:val="27"/>
  </w:num>
  <w:num w:numId="26">
    <w:abstractNumId w:val="15"/>
  </w:num>
  <w:num w:numId="27">
    <w:abstractNumId w:val="1"/>
  </w:num>
  <w:num w:numId="2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9"/>
  </w:num>
  <w:num w:numId="30">
    <w:abstractNumId w:val="13"/>
  </w:num>
  <w:num w:numId="31">
    <w:abstractNumId w:val="16"/>
  </w:num>
  <w:num w:numId="32">
    <w:abstractNumId w:val="17"/>
  </w:num>
  <w:num w:numId="33">
    <w:abstractNumId w:val="9"/>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C718C"/>
    <w:rsid w:val="0010682F"/>
    <w:rsid w:val="00107CF6"/>
    <w:rsid w:val="00117F0F"/>
    <w:rsid w:val="001A7CC5"/>
    <w:rsid w:val="001B0E10"/>
    <w:rsid w:val="001D3BCB"/>
    <w:rsid w:val="002049D3"/>
    <w:rsid w:val="002153F5"/>
    <w:rsid w:val="00265C98"/>
    <w:rsid w:val="002826D8"/>
    <w:rsid w:val="00293A27"/>
    <w:rsid w:val="00294720"/>
    <w:rsid w:val="002A3C6B"/>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522A4"/>
    <w:rsid w:val="00452997"/>
    <w:rsid w:val="00463053"/>
    <w:rsid w:val="00464016"/>
    <w:rsid w:val="004640D9"/>
    <w:rsid w:val="0049523D"/>
    <w:rsid w:val="00495D13"/>
    <w:rsid w:val="004A1623"/>
    <w:rsid w:val="005055FC"/>
    <w:rsid w:val="00514287"/>
    <w:rsid w:val="005243C9"/>
    <w:rsid w:val="0053166A"/>
    <w:rsid w:val="0058326F"/>
    <w:rsid w:val="005E798C"/>
    <w:rsid w:val="005F0533"/>
    <w:rsid w:val="005F1D6C"/>
    <w:rsid w:val="0062121F"/>
    <w:rsid w:val="00637B76"/>
    <w:rsid w:val="0066205C"/>
    <w:rsid w:val="00664D69"/>
    <w:rsid w:val="00670043"/>
    <w:rsid w:val="00690D2A"/>
    <w:rsid w:val="00695C05"/>
    <w:rsid w:val="006A2A06"/>
    <w:rsid w:val="006A7FD6"/>
    <w:rsid w:val="006D5472"/>
    <w:rsid w:val="006F70EE"/>
    <w:rsid w:val="007000A6"/>
    <w:rsid w:val="00733FE4"/>
    <w:rsid w:val="00735255"/>
    <w:rsid w:val="00736F96"/>
    <w:rsid w:val="007A2191"/>
    <w:rsid w:val="007C41C0"/>
    <w:rsid w:val="007E43D1"/>
    <w:rsid w:val="007E68FF"/>
    <w:rsid w:val="007F0C6D"/>
    <w:rsid w:val="007F7310"/>
    <w:rsid w:val="00806840"/>
    <w:rsid w:val="00837361"/>
    <w:rsid w:val="008467B3"/>
    <w:rsid w:val="008716D9"/>
    <w:rsid w:val="0088646B"/>
    <w:rsid w:val="008B476A"/>
    <w:rsid w:val="008B6355"/>
    <w:rsid w:val="008C677C"/>
    <w:rsid w:val="008F10FD"/>
    <w:rsid w:val="008F5DBA"/>
    <w:rsid w:val="00935CF3"/>
    <w:rsid w:val="00964D9F"/>
    <w:rsid w:val="00965F4E"/>
    <w:rsid w:val="009909E6"/>
    <w:rsid w:val="00997763"/>
    <w:rsid w:val="009A26BC"/>
    <w:rsid w:val="009A4DF8"/>
    <w:rsid w:val="009D778F"/>
    <w:rsid w:val="00A077F7"/>
    <w:rsid w:val="00A36851"/>
    <w:rsid w:val="00A562E2"/>
    <w:rsid w:val="00A62797"/>
    <w:rsid w:val="00A629C9"/>
    <w:rsid w:val="00A6491F"/>
    <w:rsid w:val="00A76009"/>
    <w:rsid w:val="00AA09E7"/>
    <w:rsid w:val="00AC502E"/>
    <w:rsid w:val="00AE243C"/>
    <w:rsid w:val="00AE5677"/>
    <w:rsid w:val="00B868FE"/>
    <w:rsid w:val="00B902F0"/>
    <w:rsid w:val="00BC4562"/>
    <w:rsid w:val="00BE5640"/>
    <w:rsid w:val="00C1753A"/>
    <w:rsid w:val="00C40886"/>
    <w:rsid w:val="00C930FA"/>
    <w:rsid w:val="00C95DFD"/>
    <w:rsid w:val="00D76C4E"/>
    <w:rsid w:val="00DA7807"/>
    <w:rsid w:val="00DE60A9"/>
    <w:rsid w:val="00DF1FC6"/>
    <w:rsid w:val="00E015BF"/>
    <w:rsid w:val="00E1152D"/>
    <w:rsid w:val="00E12D78"/>
    <w:rsid w:val="00E30F52"/>
    <w:rsid w:val="00E4286C"/>
    <w:rsid w:val="00E82DAD"/>
    <w:rsid w:val="00E90091"/>
    <w:rsid w:val="00EB5617"/>
    <w:rsid w:val="00EC6CBB"/>
    <w:rsid w:val="00ED7D40"/>
    <w:rsid w:val="00EF11F9"/>
    <w:rsid w:val="00EF3961"/>
    <w:rsid w:val="00EF4A2B"/>
    <w:rsid w:val="00F640B3"/>
    <w:rsid w:val="00F812AD"/>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624E7-4BDF-417E-8DD0-9622D8D8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5603</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3</cp:revision>
  <cp:lastPrinted>2008-04-11T08:34:00Z</cp:lastPrinted>
  <dcterms:created xsi:type="dcterms:W3CDTF">2012-04-03T08:46:00Z</dcterms:created>
  <dcterms:modified xsi:type="dcterms:W3CDTF">2012-04-03T09:00:00Z</dcterms:modified>
</cp:coreProperties>
</file>