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F528E" w14:textId="79B1F9F3" w:rsidR="00C6281B" w:rsidRDefault="00C6281B" w:rsidP="00644A54">
      <w:pPr>
        <w:rPr>
          <w:rFonts w:ascii="Arial" w:hAnsi="Arial"/>
          <w:sz w:val="26"/>
          <w:szCs w:val="26"/>
          <w:lang w:bidi="ar-EG"/>
        </w:rPr>
      </w:pPr>
    </w:p>
    <w:p w14:paraId="3BCEE40D" w14:textId="5F5FCD5F" w:rsidR="005255F3" w:rsidRDefault="005255F3" w:rsidP="00644A54">
      <w:pPr>
        <w:rPr>
          <w:rFonts w:ascii="Arial" w:hAnsi="Arial"/>
          <w:sz w:val="26"/>
          <w:szCs w:val="26"/>
          <w:lang w:bidi="ar-EG"/>
        </w:rPr>
      </w:pPr>
    </w:p>
    <w:p w14:paraId="795690B2" w14:textId="77777777" w:rsidR="005255F3" w:rsidRPr="001A70C3" w:rsidRDefault="005255F3" w:rsidP="00644A54">
      <w:pPr>
        <w:rPr>
          <w:rFonts w:ascii="Arial" w:hAnsi="Arial"/>
          <w:sz w:val="26"/>
          <w:szCs w:val="26"/>
          <w:lang w:bidi="ar-EG"/>
        </w:rPr>
      </w:pPr>
    </w:p>
    <w:p w14:paraId="62DED22C" w14:textId="77777777" w:rsidR="00C6281B" w:rsidRPr="001A70C3" w:rsidRDefault="00C6281B" w:rsidP="00644A54">
      <w:pPr>
        <w:rPr>
          <w:rFonts w:ascii="Arial" w:hAnsi="Arial"/>
          <w:sz w:val="26"/>
          <w:szCs w:val="26"/>
          <w:lang w:bidi="ar-EG"/>
        </w:rPr>
      </w:pPr>
    </w:p>
    <w:p w14:paraId="1931D1DB" w14:textId="77777777" w:rsidR="00C6281B" w:rsidRPr="001A70C3" w:rsidRDefault="005255F3" w:rsidP="00644A54">
      <w:pPr>
        <w:spacing w:line="240" w:lineRule="auto"/>
        <w:jc w:val="center"/>
        <w:rPr>
          <w:rFonts w:ascii="Arial" w:hAnsi="Arial"/>
          <w:sz w:val="26"/>
          <w:szCs w:val="26"/>
          <w:lang w:bidi="ar-EG"/>
        </w:rPr>
      </w:pPr>
      <w:r>
        <w:rPr>
          <w:rFonts w:ascii="Arial" w:hAnsi="Arial"/>
          <w:noProof/>
          <w:sz w:val="26"/>
          <w:szCs w:val="26"/>
        </w:rPr>
        <w:pict w14:anchorId="30E7E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20pt;height:88.5pt;visibility:visible">
            <v:imagedata r:id="rId6" o:title=""/>
          </v:shape>
        </w:pict>
      </w:r>
    </w:p>
    <w:p w14:paraId="274C794E" w14:textId="08F9FF0B" w:rsidR="00C6281B" w:rsidRDefault="00C6281B" w:rsidP="00644A54">
      <w:pPr>
        <w:jc w:val="center"/>
        <w:rPr>
          <w:rFonts w:ascii="Arial" w:hAnsi="Arial"/>
          <w:sz w:val="26"/>
          <w:szCs w:val="26"/>
        </w:rPr>
      </w:pPr>
    </w:p>
    <w:p w14:paraId="79B9FE91" w14:textId="6F67FC01" w:rsidR="005255F3" w:rsidRDefault="005255F3" w:rsidP="00644A54">
      <w:pPr>
        <w:jc w:val="center"/>
        <w:rPr>
          <w:rFonts w:ascii="Arial" w:hAnsi="Arial"/>
          <w:sz w:val="26"/>
          <w:szCs w:val="26"/>
        </w:rPr>
      </w:pPr>
    </w:p>
    <w:p w14:paraId="033BB1F8" w14:textId="77777777" w:rsidR="005255F3" w:rsidRPr="001A70C3" w:rsidRDefault="005255F3" w:rsidP="00644A54">
      <w:pPr>
        <w:jc w:val="center"/>
        <w:rPr>
          <w:rFonts w:ascii="Arial" w:hAnsi="Arial"/>
          <w:sz w:val="26"/>
          <w:szCs w:val="26"/>
        </w:rPr>
      </w:pPr>
    </w:p>
    <w:p w14:paraId="7FFEBA7F" w14:textId="77777777" w:rsidR="001A70C3" w:rsidRPr="001A70C3" w:rsidRDefault="00C6281B" w:rsidP="00BB435C">
      <w:pPr>
        <w:jc w:val="center"/>
        <w:rPr>
          <w:rFonts w:ascii="Arial" w:hAnsi="Arial"/>
          <w:b/>
          <w:bCs/>
          <w:sz w:val="26"/>
          <w:szCs w:val="26"/>
        </w:rPr>
      </w:pPr>
      <w:r w:rsidRPr="001A70C3">
        <w:rPr>
          <w:rFonts w:ascii="Arial" w:hAnsi="Arial"/>
          <w:b/>
          <w:bCs/>
          <w:sz w:val="26"/>
          <w:szCs w:val="26"/>
        </w:rPr>
        <w:t xml:space="preserve">Parallel Report Submitted by </w:t>
      </w:r>
      <w:smartTag w:uri="urn:schemas-microsoft-com:office:smarttags" w:element="country-region">
        <w:r w:rsidRPr="001A70C3">
          <w:rPr>
            <w:rFonts w:ascii="Arial" w:hAnsi="Arial"/>
            <w:b/>
            <w:bCs/>
            <w:sz w:val="26"/>
            <w:szCs w:val="26"/>
          </w:rPr>
          <w:t>Kuwait</w:t>
        </w:r>
      </w:smartTag>
      <w:r w:rsidRPr="001A70C3">
        <w:rPr>
          <w:rFonts w:ascii="Arial" w:hAnsi="Arial"/>
          <w:b/>
          <w:bCs/>
          <w:sz w:val="26"/>
          <w:szCs w:val="26"/>
        </w:rPr>
        <w:t xml:space="preserve"> </w:t>
      </w:r>
      <w:smartTag w:uri="urn:schemas-microsoft-com:office:smarttags" w:element="place">
        <w:r w:rsidRPr="001A70C3">
          <w:rPr>
            <w:rFonts w:ascii="Arial" w:hAnsi="Arial"/>
            <w:b/>
            <w:bCs/>
            <w:sz w:val="26"/>
            <w:szCs w:val="26"/>
          </w:rPr>
          <w:t>Union</w:t>
        </w:r>
      </w:smartTag>
      <w:r w:rsidRPr="001A70C3">
        <w:rPr>
          <w:rFonts w:ascii="Arial" w:hAnsi="Arial"/>
          <w:b/>
          <w:bCs/>
          <w:sz w:val="26"/>
          <w:szCs w:val="26"/>
        </w:rPr>
        <w:t xml:space="preserve"> of Women's Associations to the </w:t>
      </w:r>
    </w:p>
    <w:p w14:paraId="0BD446A1" w14:textId="77777777" w:rsidR="001A70C3" w:rsidRPr="001A70C3" w:rsidRDefault="001A70C3" w:rsidP="00644A54">
      <w:pPr>
        <w:jc w:val="center"/>
        <w:rPr>
          <w:rFonts w:ascii="Arial" w:hAnsi="Arial"/>
          <w:b/>
          <w:bCs/>
          <w:sz w:val="26"/>
          <w:szCs w:val="26"/>
        </w:rPr>
      </w:pPr>
    </w:p>
    <w:p w14:paraId="3BD66866" w14:textId="65D615AE" w:rsidR="00C6281B" w:rsidRPr="001A70C3" w:rsidRDefault="00C6281B" w:rsidP="00644A54">
      <w:pPr>
        <w:jc w:val="center"/>
        <w:rPr>
          <w:rFonts w:ascii="Arial" w:hAnsi="Arial"/>
          <w:b/>
          <w:bCs/>
          <w:sz w:val="26"/>
          <w:szCs w:val="26"/>
        </w:rPr>
      </w:pPr>
      <w:r w:rsidRPr="001A70C3">
        <w:rPr>
          <w:rFonts w:ascii="Arial" w:hAnsi="Arial"/>
          <w:b/>
          <w:bCs/>
          <w:sz w:val="26"/>
          <w:szCs w:val="26"/>
        </w:rPr>
        <w:t>Committee on the Elimination of Discrimination against Women (CEDAW)</w:t>
      </w:r>
    </w:p>
    <w:p w14:paraId="610A8FB2" w14:textId="77777777" w:rsidR="001A70C3" w:rsidRPr="001A70C3" w:rsidRDefault="001A70C3" w:rsidP="00644A54">
      <w:pPr>
        <w:jc w:val="center"/>
        <w:rPr>
          <w:rFonts w:ascii="Arial" w:hAnsi="Arial"/>
          <w:b/>
          <w:bCs/>
          <w:sz w:val="26"/>
          <w:szCs w:val="26"/>
        </w:rPr>
      </w:pPr>
    </w:p>
    <w:p w14:paraId="2B6FDA56" w14:textId="77777777" w:rsidR="00C6281B" w:rsidRPr="001A70C3" w:rsidRDefault="00C6281B" w:rsidP="00644A54">
      <w:pPr>
        <w:jc w:val="center"/>
        <w:rPr>
          <w:rFonts w:ascii="Arial" w:hAnsi="Arial"/>
          <w:b/>
          <w:bCs/>
          <w:sz w:val="26"/>
          <w:szCs w:val="26"/>
        </w:rPr>
      </w:pPr>
      <w:r w:rsidRPr="001A70C3">
        <w:rPr>
          <w:rFonts w:ascii="Arial" w:hAnsi="Arial"/>
          <w:b/>
          <w:bCs/>
          <w:sz w:val="26"/>
          <w:szCs w:val="26"/>
        </w:rPr>
        <w:t>Eighty-Sixth Session of CEDAW Working Group</w:t>
      </w:r>
    </w:p>
    <w:p w14:paraId="7D17E171" w14:textId="77777777" w:rsidR="00C6281B" w:rsidRPr="001A70C3" w:rsidRDefault="00C6281B" w:rsidP="00644A54">
      <w:pPr>
        <w:jc w:val="center"/>
        <w:rPr>
          <w:rFonts w:ascii="Arial" w:hAnsi="Arial"/>
          <w:b/>
          <w:bCs/>
          <w:sz w:val="26"/>
          <w:szCs w:val="26"/>
        </w:rPr>
      </w:pPr>
    </w:p>
    <w:p w14:paraId="1830A1D7" w14:textId="77777777" w:rsidR="00C6281B" w:rsidRPr="001A70C3" w:rsidRDefault="00C6281B" w:rsidP="00644A54">
      <w:pPr>
        <w:jc w:val="center"/>
        <w:rPr>
          <w:rFonts w:ascii="Arial" w:hAnsi="Arial"/>
          <w:b/>
          <w:bCs/>
          <w:sz w:val="26"/>
          <w:szCs w:val="26"/>
        </w:rPr>
      </w:pPr>
      <w:r w:rsidRPr="001A70C3">
        <w:rPr>
          <w:rFonts w:ascii="Arial" w:hAnsi="Arial"/>
          <w:b/>
          <w:bCs/>
          <w:sz w:val="26"/>
          <w:szCs w:val="26"/>
        </w:rPr>
        <w:t>27 February - 03 March 2023 AD</w:t>
      </w:r>
    </w:p>
    <w:p w14:paraId="1CBD7D44" w14:textId="77777777" w:rsidR="00C6281B" w:rsidRPr="001A70C3" w:rsidRDefault="00C6281B" w:rsidP="00644A54">
      <w:pPr>
        <w:jc w:val="center"/>
        <w:rPr>
          <w:rFonts w:ascii="Arial" w:hAnsi="Arial"/>
          <w:sz w:val="26"/>
          <w:szCs w:val="26"/>
        </w:rPr>
      </w:pPr>
    </w:p>
    <w:p w14:paraId="2C7B4A1C" w14:textId="77777777" w:rsidR="00C6281B" w:rsidRPr="00410D39" w:rsidRDefault="00C6281B" w:rsidP="00644A54">
      <w:pPr>
        <w:jc w:val="center"/>
        <w:rPr>
          <w:rFonts w:ascii="Arial" w:hAnsi="Arial"/>
          <w:b/>
          <w:bCs/>
          <w:sz w:val="26"/>
          <w:szCs w:val="26"/>
        </w:rPr>
      </w:pPr>
      <w:r w:rsidRPr="00410D39">
        <w:rPr>
          <w:rFonts w:ascii="Arial" w:hAnsi="Arial"/>
          <w:b/>
          <w:bCs/>
          <w:sz w:val="26"/>
          <w:szCs w:val="26"/>
        </w:rPr>
        <w:t>31 December 2022 AD</w:t>
      </w:r>
    </w:p>
    <w:p w14:paraId="4692D52F" w14:textId="08BDC7AE" w:rsidR="00C6281B" w:rsidRPr="001A70C3" w:rsidRDefault="00C6281B" w:rsidP="001A70C3">
      <w:pPr>
        <w:rPr>
          <w:rFonts w:ascii="Arial" w:hAnsi="Arial"/>
          <w:b/>
          <w:bCs/>
          <w:sz w:val="26"/>
          <w:szCs w:val="26"/>
          <w:u w:val="single"/>
        </w:rPr>
      </w:pPr>
      <w:r w:rsidRPr="001A70C3">
        <w:rPr>
          <w:rFonts w:ascii="Arial" w:hAnsi="Arial"/>
          <w:sz w:val="26"/>
          <w:szCs w:val="26"/>
        </w:rPr>
        <w:br w:type="page"/>
      </w:r>
      <w:r w:rsidRPr="001A70C3">
        <w:rPr>
          <w:rFonts w:ascii="Arial" w:hAnsi="Arial"/>
          <w:b/>
          <w:bCs/>
          <w:sz w:val="26"/>
          <w:szCs w:val="26"/>
          <w:u w:val="single"/>
        </w:rPr>
        <w:lastRenderedPageBreak/>
        <w:t>Preface:</w:t>
      </w:r>
    </w:p>
    <w:p w14:paraId="0A095521" w14:textId="77777777" w:rsidR="00C6281B" w:rsidRPr="00410D39" w:rsidRDefault="00C6281B" w:rsidP="004B4AFD">
      <w:pPr>
        <w:spacing w:after="0" w:line="180" w:lineRule="exact"/>
        <w:jc w:val="both"/>
        <w:rPr>
          <w:rFonts w:ascii="Arial" w:hAnsi="Arial"/>
          <w:b/>
          <w:bCs/>
          <w:sz w:val="20"/>
          <w:szCs w:val="20"/>
          <w:u w:val="single"/>
        </w:rPr>
      </w:pPr>
    </w:p>
    <w:p w14:paraId="2313796E" w14:textId="77777777" w:rsidR="00C6281B" w:rsidRPr="001A70C3" w:rsidRDefault="00C6281B" w:rsidP="00EA2950">
      <w:pPr>
        <w:jc w:val="both"/>
        <w:rPr>
          <w:rFonts w:ascii="Arial" w:hAnsi="Arial"/>
          <w:sz w:val="26"/>
          <w:szCs w:val="26"/>
        </w:rPr>
      </w:pPr>
      <w:r w:rsidRPr="001A70C3">
        <w:rPr>
          <w:rFonts w:ascii="Arial" w:hAnsi="Arial"/>
          <w:sz w:val="26"/>
          <w:szCs w:val="26"/>
        </w:rPr>
        <w:t xml:space="preserve">Stemming from Kuwait Union of Women’s Associations’ belief in the importance of cooperating with United Nations’ contractual mechanisms and the recommendations issued thereby to evaluate governments’ performance and urge them to improve human rights status in their states, as well as to fulfill their commitments to save no effort to enable their citizens and residents to enjoy their basic rights, we present this Report to help evaluating the performance of Kuwait government in implementing the Convention on the Elimination of All Forms of Discrimination Against Women. We also aim to assist </w:t>
      </w:r>
      <w:smartTag w:uri="urn:schemas-microsoft-com:office:smarttags" w:element="country-region">
        <w:r w:rsidRPr="001A70C3">
          <w:rPr>
            <w:rFonts w:ascii="Arial" w:hAnsi="Arial"/>
            <w:sz w:val="26"/>
            <w:szCs w:val="26"/>
          </w:rPr>
          <w:t>Kuwait</w:t>
        </w:r>
      </w:smartTag>
      <w:r w:rsidRPr="001A70C3">
        <w:rPr>
          <w:rFonts w:ascii="Arial" w:hAnsi="Arial"/>
          <w:sz w:val="26"/>
          <w:szCs w:val="26"/>
        </w:rPr>
        <w:t xml:space="preserve"> government reviewing our observations and recommendations on the occasion of submitting the Sixth Periodic National Report, shedding further light on our role and recommendations and </w:t>
      </w:r>
      <w:r w:rsidRPr="001A70C3">
        <w:rPr>
          <w:rFonts w:ascii="Arial" w:hAnsi="Arial"/>
          <w:color w:val="0070C0"/>
          <w:sz w:val="26"/>
          <w:szCs w:val="26"/>
        </w:rPr>
        <w:t xml:space="preserve">taking into account the </w:t>
      </w:r>
      <w:smartTag w:uri="urn:schemas-microsoft-com:office:smarttags" w:element="place">
        <w:r w:rsidRPr="001A70C3">
          <w:rPr>
            <w:rFonts w:ascii="Arial" w:hAnsi="Arial"/>
            <w:color w:val="0070C0"/>
            <w:sz w:val="26"/>
            <w:szCs w:val="26"/>
          </w:rPr>
          <w:t>Union</w:t>
        </w:r>
      </w:smartTag>
      <w:r w:rsidRPr="001A70C3">
        <w:rPr>
          <w:rFonts w:ascii="Arial" w:hAnsi="Arial"/>
          <w:color w:val="0070C0"/>
          <w:sz w:val="26"/>
          <w:szCs w:val="26"/>
        </w:rPr>
        <w:t>'s commitment in terms of recommendations’ compliance with the provisions of Islamic Sharia</w:t>
      </w:r>
      <w:r w:rsidRPr="001A70C3">
        <w:rPr>
          <w:rFonts w:ascii="Arial" w:hAnsi="Arial"/>
          <w:sz w:val="26"/>
          <w:szCs w:val="26"/>
        </w:rPr>
        <w:t>.</w:t>
      </w:r>
    </w:p>
    <w:p w14:paraId="3D262B68" w14:textId="77777777" w:rsidR="00C6281B" w:rsidRPr="001A70C3" w:rsidRDefault="00C6281B" w:rsidP="004B4AFD">
      <w:pPr>
        <w:spacing w:after="0" w:line="180" w:lineRule="exact"/>
        <w:jc w:val="both"/>
        <w:rPr>
          <w:rFonts w:ascii="Arial" w:hAnsi="Arial"/>
          <w:sz w:val="26"/>
          <w:szCs w:val="26"/>
        </w:rPr>
      </w:pPr>
    </w:p>
    <w:p w14:paraId="7C5C0254"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Methodology:</w:t>
      </w:r>
    </w:p>
    <w:p w14:paraId="70D250A4" w14:textId="77777777" w:rsidR="00C6281B" w:rsidRPr="001A70C3" w:rsidRDefault="00C6281B" w:rsidP="004B4AFD">
      <w:pPr>
        <w:spacing w:after="0" w:line="180" w:lineRule="exact"/>
        <w:jc w:val="both"/>
        <w:rPr>
          <w:rFonts w:ascii="Arial" w:hAnsi="Arial"/>
          <w:b/>
          <w:bCs/>
          <w:sz w:val="26"/>
          <w:szCs w:val="26"/>
          <w:u w:val="single"/>
        </w:rPr>
      </w:pPr>
    </w:p>
    <w:p w14:paraId="4F6C94CB" w14:textId="77777777" w:rsidR="00C6281B" w:rsidRPr="001A70C3" w:rsidRDefault="00C6281B" w:rsidP="00EA2950">
      <w:pPr>
        <w:jc w:val="both"/>
        <w:rPr>
          <w:rFonts w:ascii="Arial" w:hAnsi="Arial"/>
          <w:sz w:val="26"/>
          <w:szCs w:val="26"/>
        </w:rPr>
      </w:pPr>
      <w:r w:rsidRPr="001A70C3">
        <w:rPr>
          <w:rFonts w:ascii="Arial" w:hAnsi="Arial"/>
          <w:sz w:val="26"/>
          <w:szCs w:val="26"/>
        </w:rPr>
        <w:t xml:space="preserve">Current Report has been developed after reviewing </w:t>
      </w:r>
      <w:smartTag w:uri="urn:schemas-microsoft-com:office:smarttags" w:element="country-region">
        <w:r w:rsidRPr="001A70C3">
          <w:rPr>
            <w:rFonts w:ascii="Arial" w:hAnsi="Arial"/>
            <w:sz w:val="26"/>
            <w:szCs w:val="26"/>
          </w:rPr>
          <w:t>Kuwait</w:t>
        </w:r>
      </w:smartTag>
      <w:r w:rsidRPr="001A70C3">
        <w:rPr>
          <w:rFonts w:ascii="Arial" w:hAnsi="Arial"/>
          <w:sz w:val="26"/>
          <w:szCs w:val="26"/>
        </w:rPr>
        <w:t xml:space="preserve">’s Fifth Periodic Report on the implementation of the Convention on the Elimination of All Forms of Discrimination Against Women and reviewing the concluding observations on the </w:t>
      </w:r>
      <w:smartTag w:uri="urn:schemas-microsoft-com:office:smarttags" w:element="country-region">
        <w:r w:rsidRPr="001A70C3">
          <w:rPr>
            <w:rFonts w:ascii="Arial" w:hAnsi="Arial"/>
            <w:sz w:val="26"/>
            <w:szCs w:val="26"/>
          </w:rPr>
          <w:t>Kuwait</w:t>
        </w:r>
      </w:smartTag>
      <w:r w:rsidRPr="001A70C3">
        <w:rPr>
          <w:rFonts w:ascii="Arial" w:hAnsi="Arial"/>
          <w:sz w:val="26"/>
          <w:szCs w:val="26"/>
        </w:rPr>
        <w:t xml:space="preserve">’s Fourth and Fifth Periodic Reports, as well as </w:t>
      </w:r>
      <w:smartTag w:uri="urn:schemas-microsoft-com:office:smarttags" w:element="place">
        <w:smartTag w:uri="urn:schemas-microsoft-com:office:smarttags" w:element="country-region">
          <w:r w:rsidRPr="001A70C3">
            <w:rPr>
              <w:rFonts w:ascii="Arial" w:hAnsi="Arial"/>
              <w:sz w:val="26"/>
              <w:szCs w:val="26"/>
            </w:rPr>
            <w:t>Kuwait</w:t>
          </w:r>
        </w:smartTag>
      </w:smartTag>
      <w:r w:rsidRPr="001A70C3">
        <w:rPr>
          <w:rFonts w:ascii="Arial" w:hAnsi="Arial"/>
          <w:sz w:val="26"/>
          <w:szCs w:val="26"/>
        </w:rPr>
        <w:t>’s legislation, laws, regulations, and on-ground practices related to women.</w:t>
      </w:r>
    </w:p>
    <w:p w14:paraId="13951B45" w14:textId="77777777" w:rsidR="00C6281B" w:rsidRPr="001A70C3" w:rsidRDefault="00C6281B" w:rsidP="00EA2950">
      <w:pPr>
        <w:jc w:val="both"/>
        <w:rPr>
          <w:rFonts w:ascii="Arial" w:hAnsi="Arial"/>
          <w:sz w:val="26"/>
          <w:szCs w:val="26"/>
        </w:rPr>
      </w:pPr>
      <w:r w:rsidRPr="001A70C3">
        <w:rPr>
          <w:rFonts w:ascii="Arial" w:hAnsi="Arial"/>
          <w:sz w:val="26"/>
          <w:szCs w:val="26"/>
        </w:rPr>
        <w:t>The Report focuses on the developments witnessed by the State of Kuwait since 2017 to date, avoiding, as possible, the repetition of general information included in the government report. Information supported by data available to us is presented in the form of paragraphs selected based on our vision of priorities, followed by recommendations for each paragraph. The Report then concludes with comprehensive and general recommendations.</w:t>
      </w:r>
    </w:p>
    <w:p w14:paraId="5A43F2A4" w14:textId="73A20E63" w:rsidR="00C6281B" w:rsidRPr="001A70C3" w:rsidRDefault="00C6281B" w:rsidP="004B4AFD">
      <w:pPr>
        <w:spacing w:after="0" w:line="180" w:lineRule="exact"/>
        <w:jc w:val="both"/>
        <w:rPr>
          <w:rFonts w:ascii="Arial" w:hAnsi="Arial"/>
          <w:sz w:val="26"/>
          <w:szCs w:val="26"/>
        </w:rPr>
      </w:pPr>
    </w:p>
    <w:p w14:paraId="7BC06FD7"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Introduction:</w:t>
      </w:r>
    </w:p>
    <w:p w14:paraId="208F8B63" w14:textId="77777777" w:rsidR="00C6281B" w:rsidRPr="001A70C3" w:rsidRDefault="00C6281B" w:rsidP="004B4AFD">
      <w:pPr>
        <w:spacing w:after="0" w:line="180" w:lineRule="exact"/>
        <w:jc w:val="both"/>
        <w:rPr>
          <w:rFonts w:ascii="Arial" w:hAnsi="Arial"/>
          <w:b/>
          <w:bCs/>
          <w:sz w:val="26"/>
          <w:szCs w:val="26"/>
          <w:u w:val="single"/>
        </w:rPr>
      </w:pPr>
    </w:p>
    <w:p w14:paraId="3DE3073E" w14:textId="77777777" w:rsidR="00C6281B" w:rsidRPr="001A70C3" w:rsidRDefault="00C6281B" w:rsidP="00EA2950">
      <w:pPr>
        <w:jc w:val="both"/>
        <w:rPr>
          <w:rFonts w:ascii="Arial" w:hAnsi="Arial"/>
          <w:sz w:val="26"/>
          <w:szCs w:val="26"/>
        </w:rPr>
      </w:pPr>
      <w:r w:rsidRPr="001A70C3">
        <w:rPr>
          <w:rFonts w:ascii="Arial" w:hAnsi="Arial"/>
          <w:sz w:val="26"/>
          <w:szCs w:val="26"/>
        </w:rPr>
        <w:t xml:space="preserve">This Parallel Report is submitted by Kuwait Union of Women’s Associations, which is a Kuwaiti civil society institution established in 1994 with the aim of unifying voluntary work efforts in areas concerned with women’s affairs, unifying their word, defending their rights and raising awareness of their duties. The </w:t>
      </w:r>
      <w:smartTag w:uri="urn:schemas-microsoft-com:office:smarttags" w:element="place">
        <w:r w:rsidRPr="001A70C3">
          <w:rPr>
            <w:rFonts w:ascii="Arial" w:hAnsi="Arial"/>
            <w:sz w:val="26"/>
            <w:szCs w:val="26"/>
          </w:rPr>
          <w:t>Union</w:t>
        </w:r>
      </w:smartTag>
      <w:r w:rsidRPr="001A70C3">
        <w:rPr>
          <w:rFonts w:ascii="Arial" w:hAnsi="Arial"/>
          <w:sz w:val="26"/>
          <w:szCs w:val="26"/>
        </w:rPr>
        <w:t xml:space="preserve"> is also specialized in empowering and raising women’s awareness of their rights, enhancing their self-confidence and their capabilities, coordinating efforts for the advancement of Kuwaiti and non-Kuwaiti women and enhancing their energy in all fields and events at all local, regional and international levels.</w:t>
      </w:r>
    </w:p>
    <w:p w14:paraId="2739FC59" w14:textId="47A9BF37" w:rsidR="00C6281B" w:rsidRPr="001A70C3" w:rsidRDefault="00410D39" w:rsidP="00EA2950">
      <w:pPr>
        <w:jc w:val="both"/>
        <w:rPr>
          <w:rFonts w:ascii="Arial" w:hAnsi="Arial"/>
          <w:b/>
          <w:bCs/>
          <w:sz w:val="26"/>
          <w:szCs w:val="26"/>
          <w:u w:val="single"/>
        </w:rPr>
      </w:pPr>
      <w:r>
        <w:rPr>
          <w:rFonts w:ascii="Arial" w:hAnsi="Arial"/>
          <w:b/>
          <w:bCs/>
          <w:sz w:val="26"/>
          <w:szCs w:val="26"/>
          <w:u w:val="single"/>
        </w:rPr>
        <w:br w:type="page"/>
      </w:r>
      <w:r w:rsidR="00C6281B" w:rsidRPr="001A70C3">
        <w:rPr>
          <w:rFonts w:ascii="Arial" w:hAnsi="Arial"/>
          <w:b/>
          <w:bCs/>
          <w:sz w:val="26"/>
          <w:szCs w:val="26"/>
          <w:u w:val="single"/>
        </w:rPr>
        <w:lastRenderedPageBreak/>
        <w:t>Executive Summary:</w:t>
      </w:r>
    </w:p>
    <w:p w14:paraId="73A6340C"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1.</w:t>
      </w:r>
      <w:r w:rsidRPr="001A70C3">
        <w:rPr>
          <w:rFonts w:ascii="Arial" w:hAnsi="Arial"/>
          <w:sz w:val="26"/>
          <w:szCs w:val="26"/>
        </w:rPr>
        <w:tab/>
        <w:t xml:space="preserve">Kuwait Union of Women’s Associations believes that improving the status of women is imperative for the reform of any society and that integration based on social justice leads to societal stability and results in a productive relationship and a conscious generation that preserves the values of family and society alike, where any imbalance in this relationship leads to a social imbalance. This Report focuses on the main issues raised in </w:t>
      </w:r>
      <w:smartTag w:uri="urn:schemas-microsoft-com:office:smarttags" w:element="country-region">
        <w:r w:rsidRPr="001A70C3">
          <w:rPr>
            <w:rFonts w:ascii="Arial" w:hAnsi="Arial"/>
            <w:sz w:val="26"/>
            <w:szCs w:val="26"/>
          </w:rPr>
          <w:t>Kuwait</w:t>
        </w:r>
      </w:smartTag>
      <w:r w:rsidRPr="001A70C3">
        <w:rPr>
          <w:rFonts w:ascii="Arial" w:hAnsi="Arial"/>
          <w:sz w:val="26"/>
          <w:szCs w:val="26"/>
        </w:rPr>
        <w:t xml:space="preserve">’s Sixth Periodic Report and deals with some of the concluding observations issued by CEDAW following reviewing </w:t>
      </w:r>
      <w:smartTag w:uri="urn:schemas-microsoft-com:office:smarttags" w:element="country-region">
        <w:smartTag w:uri="urn:schemas-microsoft-com:office:smarttags" w:element="place">
          <w:r w:rsidRPr="001A70C3">
            <w:rPr>
              <w:rFonts w:ascii="Arial" w:hAnsi="Arial"/>
              <w:sz w:val="26"/>
              <w:szCs w:val="26"/>
            </w:rPr>
            <w:t>Kuwait</w:t>
          </w:r>
        </w:smartTag>
      </w:smartTag>
      <w:r w:rsidRPr="001A70C3">
        <w:rPr>
          <w:rFonts w:ascii="Arial" w:hAnsi="Arial"/>
          <w:sz w:val="26"/>
          <w:szCs w:val="26"/>
        </w:rPr>
        <w:t>’s Fourth Periodic Report in 2011 and the Fifth Periodic Report in 2017.</w:t>
      </w:r>
    </w:p>
    <w:p w14:paraId="4A279331"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2.</w:t>
      </w:r>
      <w:r w:rsidRPr="001A70C3">
        <w:rPr>
          <w:rFonts w:ascii="Arial" w:hAnsi="Arial"/>
          <w:sz w:val="26"/>
          <w:szCs w:val="26"/>
        </w:rPr>
        <w:tab/>
        <w:t>Since the time of reviewing Kuwait’s Fifth Periodic Report, several political, legislative and executive measures have been taken at the national level, with a view to enhance women's enjoyment of their rights.</w:t>
      </w:r>
    </w:p>
    <w:p w14:paraId="6B4688C1" w14:textId="26E9B556" w:rsidR="00C6281B"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3.</w:t>
      </w:r>
      <w:r w:rsidRPr="001A70C3">
        <w:rPr>
          <w:rFonts w:ascii="Arial" w:hAnsi="Arial"/>
          <w:sz w:val="26"/>
          <w:szCs w:val="26"/>
        </w:rPr>
        <w:tab/>
        <w:t>At the level of political participation and the assumption of leadership positions by Kuwaiti women, the period covered by the Report witnessed the accession of two Kuwaiti women to the membership of the National Assembly, the state’s legislative body, in the elections run in September 2022. Also, many Kuwaiti women have assumed leadership positions in the diplomatic corps, amounting to 57 positions, along with 55 prosecutors and 15 judges.</w:t>
      </w:r>
    </w:p>
    <w:p w14:paraId="0BF938AC"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4.</w:t>
      </w:r>
      <w:r w:rsidRPr="001A70C3">
        <w:rPr>
          <w:rFonts w:ascii="Arial" w:hAnsi="Arial"/>
          <w:sz w:val="26"/>
          <w:szCs w:val="26"/>
        </w:rPr>
        <w:tab/>
        <w:t>At legislative level, many laws were issued, e.g., Law No. 14 of 2019 on Mental Health and the adoption of Law No. 16 of 2020 on Protection from Domestic Violence, which provides guarantees for protection from violence in all forms, emphasizing the importance of providing victims with the necessary support and care to victims.</w:t>
      </w:r>
    </w:p>
    <w:p w14:paraId="72FFC8F7"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5.</w:t>
      </w:r>
      <w:r w:rsidRPr="001A70C3">
        <w:rPr>
          <w:rFonts w:ascii="Arial" w:hAnsi="Arial"/>
          <w:sz w:val="26"/>
          <w:szCs w:val="26"/>
        </w:rPr>
        <w:tab/>
        <w:t>However, despite these positive measures taken by the state, there are still many challenges facing the full implementation of the provisions of the Convention at national level. Kuwaiti women are still on the sidelines of political action and decision-making positions. This Report will address a number of these challenges, stating the recommended actions.</w:t>
      </w:r>
    </w:p>
    <w:p w14:paraId="423B624B" w14:textId="77777777" w:rsidR="00C6281B" w:rsidRPr="001A70C3" w:rsidRDefault="00C6281B" w:rsidP="001A70C3">
      <w:pPr>
        <w:spacing w:after="0" w:line="240" w:lineRule="auto"/>
        <w:jc w:val="both"/>
        <w:rPr>
          <w:rFonts w:ascii="Arial" w:hAnsi="Arial"/>
          <w:b/>
          <w:bCs/>
          <w:sz w:val="26"/>
          <w:szCs w:val="26"/>
          <w:u w:val="single"/>
        </w:rPr>
      </w:pPr>
      <w:r w:rsidRPr="001A70C3">
        <w:rPr>
          <w:rFonts w:ascii="Arial" w:hAnsi="Arial"/>
          <w:b/>
          <w:bCs/>
          <w:sz w:val="26"/>
          <w:szCs w:val="26"/>
          <w:u w:val="single"/>
        </w:rPr>
        <w:t>Spreading awareness of the rights stipulated in the Convention:</w:t>
      </w:r>
    </w:p>
    <w:p w14:paraId="7B36ACD0" w14:textId="77777777" w:rsidR="00C6281B" w:rsidRPr="001A70C3" w:rsidRDefault="00C6281B" w:rsidP="001A70C3">
      <w:pPr>
        <w:spacing w:after="0" w:line="240" w:lineRule="auto"/>
        <w:jc w:val="both"/>
        <w:rPr>
          <w:rFonts w:ascii="Arial" w:hAnsi="Arial"/>
          <w:b/>
          <w:bCs/>
          <w:sz w:val="24"/>
          <w:szCs w:val="24"/>
          <w:u w:val="single"/>
        </w:rPr>
      </w:pPr>
    </w:p>
    <w:p w14:paraId="7B909208" w14:textId="69DDC7CD"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6.</w:t>
      </w:r>
      <w:r w:rsidRPr="001A70C3">
        <w:rPr>
          <w:rFonts w:ascii="Arial" w:hAnsi="Arial"/>
          <w:sz w:val="26"/>
          <w:szCs w:val="26"/>
        </w:rPr>
        <w:tab/>
        <w:t xml:space="preserve">In its concluding observations on </w:t>
      </w:r>
      <w:smartTag w:uri="urn:schemas-microsoft-com:office:smarttags" w:element="place">
        <w:smartTag w:uri="urn:schemas-microsoft-com:office:smarttags" w:element="country-region">
          <w:r w:rsidRPr="001A70C3">
            <w:rPr>
              <w:rFonts w:ascii="Arial" w:hAnsi="Arial"/>
              <w:sz w:val="26"/>
              <w:szCs w:val="26"/>
            </w:rPr>
            <w:t>Kuwait</w:t>
          </w:r>
        </w:smartTag>
      </w:smartTag>
      <w:r w:rsidRPr="001A70C3">
        <w:rPr>
          <w:rFonts w:ascii="Arial" w:hAnsi="Arial"/>
          <w:sz w:val="26"/>
          <w:szCs w:val="26"/>
        </w:rPr>
        <w:t>’s Fifth Report, CEDAW recommended to enhance women's awareness of their rights and ensure providing them with information on the Convention on the Elimination of Discrimination against Women, in addition to CEDAW’s general recommendations.</w:t>
      </w:r>
    </w:p>
    <w:p w14:paraId="7C46EAF2" w14:textId="77777777" w:rsidR="001A70C3" w:rsidRPr="001A70C3" w:rsidRDefault="001A70C3" w:rsidP="001A70C3">
      <w:pPr>
        <w:spacing w:after="0" w:line="240" w:lineRule="auto"/>
        <w:ind w:left="720" w:hanging="720"/>
        <w:jc w:val="both"/>
        <w:rPr>
          <w:rFonts w:ascii="Arial" w:hAnsi="Arial"/>
          <w:sz w:val="14"/>
          <w:szCs w:val="14"/>
        </w:rPr>
      </w:pPr>
    </w:p>
    <w:p w14:paraId="743F4174"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7.</w:t>
      </w:r>
      <w:r w:rsidRPr="001A70C3">
        <w:rPr>
          <w:rFonts w:ascii="Arial" w:hAnsi="Arial"/>
          <w:sz w:val="26"/>
          <w:szCs w:val="26"/>
        </w:rPr>
        <w:tab/>
        <w:t>In this regard, we recommend to continue the efforts that aim at raising awareness of the Convention’s provisions through the implementation of training programs and building the capabilities of target groups, in addition to the use of various media, especially social media, to achieve that purpose.</w:t>
      </w:r>
    </w:p>
    <w:p w14:paraId="7656B9A0" w14:textId="77777777" w:rsidR="004B4AFD" w:rsidRDefault="004B4AFD" w:rsidP="001A70C3">
      <w:pPr>
        <w:spacing w:after="0" w:line="240" w:lineRule="auto"/>
        <w:jc w:val="both"/>
        <w:rPr>
          <w:rFonts w:ascii="Arial" w:hAnsi="Arial"/>
          <w:b/>
          <w:bCs/>
          <w:sz w:val="26"/>
          <w:szCs w:val="26"/>
          <w:u w:val="single"/>
        </w:rPr>
      </w:pPr>
      <w:r>
        <w:rPr>
          <w:rFonts w:ascii="Arial" w:hAnsi="Arial"/>
          <w:b/>
          <w:bCs/>
          <w:sz w:val="26"/>
          <w:szCs w:val="26"/>
          <w:u w:val="single"/>
        </w:rPr>
        <w:br/>
      </w:r>
    </w:p>
    <w:p w14:paraId="6B741176" w14:textId="781C200A" w:rsidR="00C6281B" w:rsidRPr="001A70C3" w:rsidRDefault="004B4AFD" w:rsidP="001A70C3">
      <w:pPr>
        <w:spacing w:after="0" w:line="240" w:lineRule="auto"/>
        <w:jc w:val="both"/>
        <w:rPr>
          <w:rFonts w:ascii="Arial" w:hAnsi="Arial"/>
          <w:b/>
          <w:bCs/>
          <w:sz w:val="26"/>
          <w:szCs w:val="26"/>
          <w:u w:val="single"/>
        </w:rPr>
      </w:pPr>
      <w:r>
        <w:rPr>
          <w:rFonts w:ascii="Arial" w:hAnsi="Arial"/>
          <w:b/>
          <w:bCs/>
          <w:sz w:val="26"/>
          <w:szCs w:val="26"/>
          <w:u w:val="single"/>
        </w:rPr>
        <w:br w:type="page"/>
      </w:r>
      <w:r w:rsidR="00C6281B" w:rsidRPr="001A70C3">
        <w:rPr>
          <w:rFonts w:ascii="Arial" w:hAnsi="Arial"/>
          <w:b/>
          <w:bCs/>
          <w:sz w:val="26"/>
          <w:szCs w:val="26"/>
          <w:u w:val="single"/>
        </w:rPr>
        <w:lastRenderedPageBreak/>
        <w:t>Definition of discrimination against women:</w:t>
      </w:r>
    </w:p>
    <w:p w14:paraId="5ECEC2AB" w14:textId="77777777" w:rsidR="00C6281B" w:rsidRPr="001A70C3" w:rsidRDefault="00C6281B" w:rsidP="001A70C3">
      <w:pPr>
        <w:spacing w:after="0" w:line="240" w:lineRule="auto"/>
        <w:jc w:val="both"/>
        <w:rPr>
          <w:rFonts w:ascii="Arial" w:hAnsi="Arial"/>
          <w:b/>
          <w:bCs/>
          <w:sz w:val="20"/>
          <w:szCs w:val="20"/>
          <w:u w:val="single"/>
        </w:rPr>
      </w:pPr>
    </w:p>
    <w:p w14:paraId="3D0EFC0E" w14:textId="32D46442" w:rsidR="00C6281B" w:rsidRPr="001A70C3" w:rsidRDefault="00C6281B" w:rsidP="001A70C3">
      <w:pPr>
        <w:spacing w:after="0" w:line="240" w:lineRule="auto"/>
        <w:ind w:left="720" w:hanging="720"/>
        <w:jc w:val="both"/>
        <w:rPr>
          <w:rFonts w:ascii="Arial" w:hAnsi="Arial"/>
          <w:sz w:val="26"/>
          <w:szCs w:val="26"/>
        </w:rPr>
      </w:pPr>
      <w:r w:rsidRPr="001A70C3">
        <w:rPr>
          <w:rFonts w:ascii="Arial" w:hAnsi="Arial"/>
          <w:sz w:val="26"/>
          <w:szCs w:val="26"/>
        </w:rPr>
        <w:t xml:space="preserve">8. </w:t>
      </w:r>
      <w:r w:rsidRPr="001A70C3">
        <w:rPr>
          <w:rFonts w:ascii="Arial" w:hAnsi="Arial"/>
          <w:sz w:val="26"/>
          <w:szCs w:val="26"/>
        </w:rPr>
        <w:tab/>
        <w:t>Article (7) of the Constitution stipulates that “Justice, freedom and equality are the pillars of society”. Article (29) states that “People are equal in human dignity and are equal before the law in public rights and duties, without discrimination because of gender, origin, language, or religion”. Hence, there should be no discrimination on the basis of gender and all citizens are equal in general rights and duties. However, it is noted that national legislations lack a definition of discrimination in accordance with Article (1) of the Convention on the Elimination of All Forms of Discrimination against Women and an explicit prohibition of discrimination against women.</w:t>
      </w:r>
    </w:p>
    <w:p w14:paraId="191709BA" w14:textId="77777777" w:rsidR="001A70C3" w:rsidRPr="001A70C3" w:rsidRDefault="001A70C3" w:rsidP="004B4AFD">
      <w:pPr>
        <w:spacing w:after="0" w:line="140" w:lineRule="exact"/>
        <w:jc w:val="both"/>
        <w:rPr>
          <w:rFonts w:ascii="Arial" w:hAnsi="Arial"/>
          <w:sz w:val="18"/>
          <w:szCs w:val="18"/>
        </w:rPr>
      </w:pPr>
    </w:p>
    <w:p w14:paraId="02E86813"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 xml:space="preserve">9. </w:t>
      </w:r>
      <w:r w:rsidRPr="001A70C3">
        <w:rPr>
          <w:rFonts w:ascii="Arial" w:hAnsi="Arial"/>
          <w:sz w:val="26"/>
          <w:szCs w:val="26"/>
        </w:rPr>
        <w:tab/>
        <w:t>Accordingly, we recommend that a definition of discrimination against women should be included, comprehensive of direct and indirect discrimination, in the relevant national legislations, in line with the Constitution and Article (1) of the Convention, taking into account the initial reservations expressed by the State of Kuwait to some provisions of the Convention.</w:t>
      </w:r>
    </w:p>
    <w:p w14:paraId="3604054F"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Discriminatory Laws:</w:t>
      </w:r>
    </w:p>
    <w:p w14:paraId="534C6763" w14:textId="77777777" w:rsidR="00C6281B" w:rsidRPr="001A70C3" w:rsidRDefault="00C6281B" w:rsidP="004B4AFD">
      <w:pPr>
        <w:spacing w:after="0" w:line="140" w:lineRule="exact"/>
        <w:jc w:val="both"/>
        <w:rPr>
          <w:rFonts w:ascii="Arial" w:hAnsi="Arial"/>
          <w:b/>
          <w:bCs/>
          <w:sz w:val="26"/>
          <w:szCs w:val="26"/>
          <w:u w:val="single"/>
        </w:rPr>
      </w:pPr>
    </w:p>
    <w:p w14:paraId="352729F1" w14:textId="77777777" w:rsidR="00C6281B" w:rsidRPr="001A70C3" w:rsidRDefault="00C6281B" w:rsidP="004B4AFD">
      <w:pPr>
        <w:spacing w:line="280" w:lineRule="exact"/>
        <w:ind w:left="720" w:hanging="720"/>
        <w:jc w:val="both"/>
        <w:rPr>
          <w:rFonts w:ascii="Arial" w:hAnsi="Arial"/>
          <w:sz w:val="26"/>
          <w:szCs w:val="26"/>
        </w:rPr>
      </w:pPr>
      <w:r w:rsidRPr="001A70C3">
        <w:rPr>
          <w:rFonts w:ascii="Arial" w:hAnsi="Arial"/>
          <w:sz w:val="26"/>
          <w:szCs w:val="26"/>
        </w:rPr>
        <w:t>10.</w:t>
      </w:r>
      <w:r w:rsidRPr="001A70C3">
        <w:rPr>
          <w:rFonts w:ascii="Arial" w:hAnsi="Arial"/>
          <w:sz w:val="26"/>
          <w:szCs w:val="26"/>
        </w:rPr>
        <w:tab/>
        <w:t>Discriminatory provisions are still outstanding in Kuwaiti legislations, such as Personal Status Law, Criminal Law, Prisons Law, Civil Law, Nationality Law, Education Law and Labor in Private Sector Law, in contradiction with the obligations of the State of Kuwait under the Convention and other international human rights instruments.</w:t>
      </w:r>
    </w:p>
    <w:p w14:paraId="3A80C862" w14:textId="77777777" w:rsidR="00C6281B" w:rsidRPr="001A70C3" w:rsidRDefault="00C6281B" w:rsidP="004B4AFD">
      <w:pPr>
        <w:spacing w:line="280" w:lineRule="exact"/>
        <w:ind w:left="720" w:hanging="720"/>
        <w:jc w:val="both"/>
        <w:rPr>
          <w:rFonts w:ascii="Arial" w:hAnsi="Arial"/>
          <w:sz w:val="26"/>
          <w:szCs w:val="26"/>
        </w:rPr>
      </w:pPr>
      <w:r w:rsidRPr="001A70C3">
        <w:rPr>
          <w:rFonts w:ascii="Arial" w:hAnsi="Arial"/>
          <w:sz w:val="26"/>
          <w:szCs w:val="26"/>
        </w:rPr>
        <w:t>11.</w:t>
      </w:r>
      <w:r w:rsidRPr="001A70C3">
        <w:rPr>
          <w:rFonts w:ascii="Arial" w:hAnsi="Arial"/>
          <w:sz w:val="26"/>
          <w:szCs w:val="26"/>
        </w:rPr>
        <w:tab/>
        <w:t xml:space="preserve">We recommend urging </w:t>
      </w:r>
      <w:smartTag w:uri="urn:schemas-microsoft-com:office:smarttags" w:element="country-region">
        <w:smartTag w:uri="urn:schemas-microsoft-com:office:smarttags" w:element="place">
          <w:r w:rsidRPr="001A70C3">
            <w:rPr>
              <w:rFonts w:ascii="Arial" w:hAnsi="Arial"/>
              <w:sz w:val="26"/>
              <w:szCs w:val="26"/>
            </w:rPr>
            <w:t>Kuwait</w:t>
          </w:r>
        </w:smartTag>
      </w:smartTag>
      <w:r w:rsidRPr="001A70C3">
        <w:rPr>
          <w:rFonts w:ascii="Arial" w:hAnsi="Arial"/>
          <w:sz w:val="26"/>
          <w:szCs w:val="26"/>
        </w:rPr>
        <w:t xml:space="preserve"> to methodologically review its laws and regulations in order to amend or nullify any discriminatory provisions based on gender and gender differences in its legislation, in line with the provisions of the Kuwaiti Constitution.</w:t>
      </w:r>
    </w:p>
    <w:p w14:paraId="79943C87" w14:textId="77777777" w:rsidR="00C6281B" w:rsidRPr="001A70C3" w:rsidRDefault="00C6281B" w:rsidP="004B4AFD">
      <w:pPr>
        <w:spacing w:after="0" w:line="140" w:lineRule="exact"/>
        <w:jc w:val="both"/>
        <w:rPr>
          <w:rFonts w:ascii="Arial" w:hAnsi="Arial"/>
          <w:sz w:val="26"/>
          <w:szCs w:val="26"/>
        </w:rPr>
      </w:pPr>
    </w:p>
    <w:p w14:paraId="46E2FA95"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National Diwan for Human Rights:</w:t>
      </w:r>
    </w:p>
    <w:p w14:paraId="0CB40391" w14:textId="77777777" w:rsidR="00C6281B" w:rsidRPr="001A70C3" w:rsidRDefault="00C6281B" w:rsidP="004B4AFD">
      <w:pPr>
        <w:spacing w:after="0" w:line="140" w:lineRule="exact"/>
        <w:jc w:val="both"/>
        <w:rPr>
          <w:rFonts w:ascii="Arial" w:hAnsi="Arial"/>
          <w:b/>
          <w:bCs/>
          <w:sz w:val="26"/>
          <w:szCs w:val="26"/>
          <w:u w:val="single"/>
        </w:rPr>
      </w:pPr>
    </w:p>
    <w:p w14:paraId="70F9988E" w14:textId="77777777" w:rsidR="00C6281B" w:rsidRPr="001A70C3" w:rsidRDefault="00C6281B" w:rsidP="004B4AFD">
      <w:pPr>
        <w:spacing w:line="280" w:lineRule="exact"/>
        <w:ind w:left="720" w:hanging="720"/>
        <w:jc w:val="both"/>
        <w:rPr>
          <w:rFonts w:ascii="Arial" w:hAnsi="Arial"/>
          <w:sz w:val="26"/>
          <w:szCs w:val="26"/>
        </w:rPr>
      </w:pPr>
      <w:r w:rsidRPr="001A70C3">
        <w:rPr>
          <w:rFonts w:ascii="Arial" w:hAnsi="Arial"/>
          <w:sz w:val="26"/>
          <w:szCs w:val="26"/>
        </w:rPr>
        <w:t>12.</w:t>
      </w:r>
      <w:r w:rsidRPr="001A70C3">
        <w:rPr>
          <w:rFonts w:ascii="Arial" w:hAnsi="Arial"/>
          <w:sz w:val="26"/>
          <w:szCs w:val="26"/>
        </w:rPr>
        <w:tab/>
        <w:t>National Diwan for Human Rights was established under Law No. 67 of 2015 as a permanent national body concerned with human rights and freedoms, However, unfortunately, it was placed under the supervision of the Council of Ministers, thus limiting its independence.</w:t>
      </w:r>
    </w:p>
    <w:p w14:paraId="325E7958" w14:textId="77777777" w:rsidR="00C6281B" w:rsidRPr="001A70C3" w:rsidRDefault="00C6281B" w:rsidP="004B4AFD">
      <w:pPr>
        <w:spacing w:line="280" w:lineRule="exact"/>
        <w:ind w:left="720" w:hanging="720"/>
        <w:jc w:val="both"/>
        <w:rPr>
          <w:rFonts w:ascii="Arial" w:hAnsi="Arial"/>
          <w:sz w:val="26"/>
          <w:szCs w:val="26"/>
        </w:rPr>
      </w:pPr>
      <w:r w:rsidRPr="001A70C3">
        <w:rPr>
          <w:rFonts w:ascii="Arial" w:hAnsi="Arial"/>
          <w:sz w:val="26"/>
          <w:szCs w:val="26"/>
        </w:rPr>
        <w:t>13.</w:t>
      </w:r>
      <w:r w:rsidRPr="001A70C3">
        <w:rPr>
          <w:rFonts w:ascii="Arial" w:hAnsi="Arial"/>
          <w:sz w:val="26"/>
          <w:szCs w:val="26"/>
        </w:rPr>
        <w:tab/>
        <w:t>We recommend ensuring the independence of the National Diwan for Human Rights, in accordance with the Principles Relating to the Status of National Human Rights Institutions, known as (Paris Principles), nullifying its subordination to the Council of Ministers.</w:t>
      </w:r>
    </w:p>
    <w:p w14:paraId="647051BF" w14:textId="55556D51" w:rsidR="00C6281B" w:rsidRPr="001A70C3" w:rsidRDefault="00DB3484" w:rsidP="00EA2950">
      <w:pPr>
        <w:jc w:val="both"/>
        <w:rPr>
          <w:rFonts w:ascii="Arial" w:hAnsi="Arial"/>
          <w:b/>
          <w:bCs/>
          <w:sz w:val="26"/>
          <w:szCs w:val="26"/>
          <w:u w:val="single"/>
        </w:rPr>
      </w:pPr>
      <w:r>
        <w:rPr>
          <w:rFonts w:ascii="Arial" w:hAnsi="Arial"/>
          <w:b/>
          <w:bCs/>
          <w:sz w:val="26"/>
          <w:szCs w:val="26"/>
          <w:u w:val="single"/>
        </w:rPr>
        <w:br w:type="page"/>
      </w:r>
      <w:r w:rsidR="00C6281B" w:rsidRPr="001A70C3">
        <w:rPr>
          <w:rFonts w:ascii="Arial" w:hAnsi="Arial"/>
          <w:b/>
          <w:bCs/>
          <w:sz w:val="26"/>
          <w:szCs w:val="26"/>
          <w:u w:val="single"/>
        </w:rPr>
        <w:lastRenderedPageBreak/>
        <w:t>Kuwaiti Nationality:</w:t>
      </w:r>
    </w:p>
    <w:p w14:paraId="5C68DF14"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14.</w:t>
      </w:r>
      <w:r w:rsidRPr="001A70C3">
        <w:rPr>
          <w:rFonts w:ascii="Arial" w:hAnsi="Arial"/>
          <w:sz w:val="26"/>
          <w:szCs w:val="26"/>
        </w:rPr>
        <w:tab/>
        <w:t xml:space="preserve">Article (2) of Emiri Decree No. 15 of 1959 of the Kuwaiti Nationality Law stipulates that “Kuwaiti nationality is acquired by any person born in </w:t>
      </w:r>
      <w:smartTag w:uri="urn:schemas-microsoft-com:office:smarttags" w:element="place">
        <w:smartTag w:uri="urn:schemas-microsoft-com:office:smarttags" w:element="country-region">
          <w:r w:rsidRPr="001A70C3">
            <w:rPr>
              <w:rFonts w:ascii="Arial" w:hAnsi="Arial"/>
              <w:sz w:val="26"/>
              <w:szCs w:val="26"/>
            </w:rPr>
            <w:t>Kuwait</w:t>
          </w:r>
        </w:smartTag>
      </w:smartTag>
      <w:r w:rsidRPr="001A70C3">
        <w:rPr>
          <w:rFonts w:ascii="Arial" w:hAnsi="Arial"/>
          <w:sz w:val="26"/>
          <w:szCs w:val="26"/>
        </w:rPr>
        <w:t xml:space="preserve"> or abroad for a Kuwaiti father”. However, shortcomings pertaining to Kuwaiti women married to non-Kuwaitis still exist in laws related to their children from non-Kuwaiti husbands.</w:t>
      </w:r>
    </w:p>
    <w:p w14:paraId="3E42F86E"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15.</w:t>
      </w:r>
      <w:r w:rsidRPr="001A70C3">
        <w:rPr>
          <w:rFonts w:ascii="Arial" w:hAnsi="Arial"/>
          <w:sz w:val="26"/>
          <w:szCs w:val="26"/>
        </w:rPr>
        <w:tab/>
        <w:t>In this regard, we recommend that Kuwaiti laws should be amended and reviewed so as to grant the children of Kuwaiti women from non-Kuwaiti husbands a permanent residence and priority in appointment, in addition to providing them with several job opportunities in all fields and improving their salaries on par with Kuwaiti individual.</w:t>
      </w:r>
    </w:p>
    <w:p w14:paraId="27F0A7BF"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Violence Against Women:</w:t>
      </w:r>
    </w:p>
    <w:p w14:paraId="3DD6DF39" w14:textId="2A91290A"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16.</w:t>
      </w:r>
      <w:r w:rsidRPr="001A70C3">
        <w:rPr>
          <w:rFonts w:ascii="Arial" w:hAnsi="Arial"/>
          <w:sz w:val="26"/>
          <w:szCs w:val="26"/>
        </w:rPr>
        <w:tab/>
        <w:t>Despite the issuance of Law No. 16 of 2020 on Protection from Domestic Violence, the establishment of a protection framework for all family members and establishment of shelters for victims of family violence, in addition to stipulating that any person exposed to violence by a family member must submit report to the concerned department or the competent investigation authority, where full legal protection thereto is guaranteed, confidentiality is maintained in terms of his/her identity and any communications, correspondence and procedures related to domestic violence cases t considered before any relevant party, including courts, yet, despite all of e aforementioned measures, it is noted that gaps exist in the system of complete protection of women from all forms of violence. In this regard, we recommend that additional measures should be taken, including the following:</w:t>
      </w:r>
    </w:p>
    <w:p w14:paraId="773E58A2" w14:textId="3F30F4F9"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17.</w:t>
      </w:r>
      <w:r w:rsidRPr="001A70C3">
        <w:rPr>
          <w:rFonts w:ascii="Arial" w:hAnsi="Arial"/>
          <w:sz w:val="26"/>
          <w:szCs w:val="26"/>
        </w:rPr>
        <w:tab/>
        <w:t>We recommend that capabilities of judges, prosecutors, lawyers and law enforcement personnel be enhanced through appropriate training courses on identifying women victims of violence and providing them with appropriate assistance.</w:t>
      </w:r>
    </w:p>
    <w:p w14:paraId="2DDB3145"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18.</w:t>
      </w:r>
      <w:r w:rsidRPr="001A70C3">
        <w:rPr>
          <w:rFonts w:ascii="Arial" w:hAnsi="Arial"/>
          <w:sz w:val="26"/>
          <w:szCs w:val="26"/>
        </w:rPr>
        <w:tab/>
        <w:t>We recommend the provision of adequate legal and health assistance to women victims of violence, creating a database on cases of violence against women, classified according to age and the relationship between the victim and the perpetrator, in order to monitor those cases and take appropriate measures to eliminate them.</w:t>
      </w:r>
    </w:p>
    <w:p w14:paraId="4CFDE5A1"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19.</w:t>
      </w:r>
      <w:r w:rsidRPr="001A70C3">
        <w:rPr>
          <w:rFonts w:ascii="Arial" w:hAnsi="Arial"/>
          <w:sz w:val="26"/>
          <w:szCs w:val="26"/>
        </w:rPr>
        <w:tab/>
        <w:t>We recommend that effective measures should be taken as a matter of priority to ensure that perpetrators of violence are held accountable.</w:t>
      </w:r>
    </w:p>
    <w:p w14:paraId="34AF2B75"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Participation in Political and Public Life:</w:t>
      </w:r>
    </w:p>
    <w:p w14:paraId="3A485D8D"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20.</w:t>
      </w:r>
      <w:r w:rsidRPr="001A70C3">
        <w:rPr>
          <w:rFonts w:ascii="Arial" w:hAnsi="Arial"/>
          <w:sz w:val="26"/>
          <w:szCs w:val="26"/>
        </w:rPr>
        <w:tab/>
        <w:t>Kuwait Union of Women’s Associations welcomes the efforts exerted by the government and the measures taken to enhance women’s participation in political and public life by issuing Decree No. 191 of 2022 Ministerial Formation, dated 16 October 2022, which includes the appointment of two women in the aforementioned ministerial formation, namely: Minister of Public Works and the Minister of Electricity, Water and Renewable Energy, Minister of Social Affairs and Community Development and Minister of State for Women and Childhood Affairs.</w:t>
      </w:r>
    </w:p>
    <w:p w14:paraId="0539B71A" w14:textId="4069E04C" w:rsidR="00C6281B" w:rsidRPr="001A70C3" w:rsidRDefault="00C6281B" w:rsidP="004B4AFD">
      <w:pPr>
        <w:shd w:val="clear" w:color="auto" w:fill="FFFFFF"/>
        <w:ind w:left="720" w:hanging="720"/>
        <w:jc w:val="center"/>
        <w:rPr>
          <w:rFonts w:ascii="Arial" w:hAnsi="Arial"/>
          <w:sz w:val="26"/>
          <w:szCs w:val="26"/>
        </w:rPr>
      </w:pPr>
      <w:r w:rsidRPr="001A70C3">
        <w:rPr>
          <w:rFonts w:ascii="Arial" w:hAnsi="Arial"/>
          <w:sz w:val="26"/>
          <w:szCs w:val="26"/>
        </w:rPr>
        <w:lastRenderedPageBreak/>
        <w:t>21.</w:t>
      </w:r>
      <w:r w:rsidRPr="001A70C3">
        <w:rPr>
          <w:rFonts w:ascii="Arial" w:hAnsi="Arial"/>
          <w:sz w:val="26"/>
          <w:szCs w:val="26"/>
        </w:rPr>
        <w:tab/>
        <w:t>Number of women in leadership positions in government sector in the period 2020-2022:</w:t>
      </w:r>
      <w:r w:rsidR="00365011">
        <w:rPr>
          <w:rFonts w:ascii="Arial" w:hAnsi="Arial"/>
          <w:sz w:val="26"/>
          <w:szCs w:val="26"/>
        </w:rPr>
        <w:t xml:space="preserve"> </w:t>
      </w:r>
      <w:r w:rsidR="00365011" w:rsidRPr="00365011">
        <w:rPr>
          <w:rFonts w:ascii="Arial" w:hAnsi="Arial"/>
          <w:b/>
          <w:bCs/>
          <w:sz w:val="32"/>
          <w:szCs w:val="3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90"/>
        <w:gridCol w:w="1148"/>
        <w:gridCol w:w="1418"/>
      </w:tblGrid>
      <w:tr w:rsidR="00C6281B" w:rsidRPr="001A70C3" w14:paraId="31AE44ED" w14:textId="77777777" w:rsidTr="007F0369">
        <w:tc>
          <w:tcPr>
            <w:tcW w:w="6745" w:type="dxa"/>
          </w:tcPr>
          <w:p w14:paraId="123221DC" w14:textId="77777777" w:rsidR="00C6281B" w:rsidRPr="001A70C3" w:rsidRDefault="00C6281B" w:rsidP="004B4AFD">
            <w:pPr>
              <w:shd w:val="clear" w:color="auto" w:fill="DDD9C3"/>
              <w:spacing w:after="0" w:line="240" w:lineRule="auto"/>
              <w:jc w:val="center"/>
              <w:rPr>
                <w:rFonts w:ascii="Arial" w:hAnsi="Arial"/>
                <w:b/>
                <w:bCs/>
                <w:sz w:val="26"/>
                <w:szCs w:val="26"/>
              </w:rPr>
            </w:pPr>
            <w:r w:rsidRPr="001A70C3">
              <w:rPr>
                <w:rFonts w:ascii="Arial" w:hAnsi="Arial"/>
                <w:b/>
                <w:bCs/>
                <w:sz w:val="26"/>
                <w:szCs w:val="26"/>
              </w:rPr>
              <w:t>Position</w:t>
            </w:r>
          </w:p>
        </w:tc>
        <w:tc>
          <w:tcPr>
            <w:tcW w:w="1170" w:type="dxa"/>
          </w:tcPr>
          <w:p w14:paraId="2849BE5A" w14:textId="77777777" w:rsidR="00C6281B" w:rsidRPr="001A70C3" w:rsidRDefault="00C6281B" w:rsidP="004B4AFD">
            <w:pPr>
              <w:shd w:val="clear" w:color="auto" w:fill="DDD9C3"/>
              <w:spacing w:after="0" w:line="240" w:lineRule="auto"/>
              <w:jc w:val="center"/>
              <w:rPr>
                <w:rFonts w:ascii="Arial" w:hAnsi="Arial"/>
                <w:b/>
                <w:bCs/>
                <w:sz w:val="26"/>
                <w:szCs w:val="26"/>
              </w:rPr>
            </w:pPr>
            <w:r w:rsidRPr="001A70C3">
              <w:rPr>
                <w:rFonts w:ascii="Arial" w:hAnsi="Arial"/>
                <w:b/>
                <w:bCs/>
                <w:sz w:val="26"/>
                <w:szCs w:val="26"/>
              </w:rPr>
              <w:t>Males</w:t>
            </w:r>
          </w:p>
        </w:tc>
        <w:tc>
          <w:tcPr>
            <w:tcW w:w="1435" w:type="dxa"/>
          </w:tcPr>
          <w:p w14:paraId="30185CD6" w14:textId="77777777" w:rsidR="00C6281B" w:rsidRPr="001A70C3" w:rsidRDefault="00C6281B" w:rsidP="004B4AFD">
            <w:pPr>
              <w:shd w:val="clear" w:color="auto" w:fill="DDD9C3"/>
              <w:spacing w:after="0" w:line="240" w:lineRule="auto"/>
              <w:jc w:val="center"/>
              <w:rPr>
                <w:rFonts w:ascii="Arial" w:hAnsi="Arial"/>
                <w:b/>
                <w:bCs/>
                <w:sz w:val="26"/>
                <w:szCs w:val="26"/>
              </w:rPr>
            </w:pPr>
            <w:r w:rsidRPr="001A70C3">
              <w:rPr>
                <w:rFonts w:ascii="Arial" w:hAnsi="Arial"/>
                <w:b/>
                <w:bCs/>
                <w:sz w:val="26"/>
                <w:szCs w:val="26"/>
              </w:rPr>
              <w:t>Females</w:t>
            </w:r>
          </w:p>
        </w:tc>
      </w:tr>
      <w:tr w:rsidR="00C6281B" w:rsidRPr="001A70C3" w14:paraId="17954777" w14:textId="77777777" w:rsidTr="007F0369">
        <w:tc>
          <w:tcPr>
            <w:tcW w:w="6745" w:type="dxa"/>
          </w:tcPr>
          <w:p w14:paraId="05970102"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Minister</w:t>
            </w:r>
          </w:p>
        </w:tc>
        <w:tc>
          <w:tcPr>
            <w:tcW w:w="1170" w:type="dxa"/>
          </w:tcPr>
          <w:p w14:paraId="0D0E5317"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51</w:t>
            </w:r>
          </w:p>
        </w:tc>
        <w:tc>
          <w:tcPr>
            <w:tcW w:w="1435" w:type="dxa"/>
          </w:tcPr>
          <w:p w14:paraId="79965705"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3</w:t>
            </w:r>
          </w:p>
        </w:tc>
      </w:tr>
      <w:tr w:rsidR="00C6281B" w:rsidRPr="001A70C3" w14:paraId="189FADE1" w14:textId="77777777" w:rsidTr="007F0369">
        <w:tc>
          <w:tcPr>
            <w:tcW w:w="6745" w:type="dxa"/>
          </w:tcPr>
          <w:p w14:paraId="54E36264"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Undersecretary of the Ministry</w:t>
            </w:r>
          </w:p>
        </w:tc>
        <w:tc>
          <w:tcPr>
            <w:tcW w:w="1170" w:type="dxa"/>
          </w:tcPr>
          <w:p w14:paraId="32427F14"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56</w:t>
            </w:r>
          </w:p>
        </w:tc>
        <w:tc>
          <w:tcPr>
            <w:tcW w:w="1435" w:type="dxa"/>
          </w:tcPr>
          <w:p w14:paraId="3C11F98F"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6</w:t>
            </w:r>
          </w:p>
        </w:tc>
      </w:tr>
      <w:tr w:rsidR="00C6281B" w:rsidRPr="001A70C3" w14:paraId="46EB4B2F" w14:textId="77777777" w:rsidTr="007F0369">
        <w:tc>
          <w:tcPr>
            <w:tcW w:w="6745" w:type="dxa"/>
          </w:tcPr>
          <w:p w14:paraId="40DE5CCA"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General Manager with the rank of Assistant Undersecretary</w:t>
            </w:r>
          </w:p>
        </w:tc>
        <w:tc>
          <w:tcPr>
            <w:tcW w:w="1170" w:type="dxa"/>
          </w:tcPr>
          <w:p w14:paraId="2D9A993C"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2</w:t>
            </w:r>
          </w:p>
        </w:tc>
        <w:tc>
          <w:tcPr>
            <w:tcW w:w="1435" w:type="dxa"/>
          </w:tcPr>
          <w:p w14:paraId="1EF56333"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1</w:t>
            </w:r>
          </w:p>
        </w:tc>
      </w:tr>
      <w:tr w:rsidR="00C6281B" w:rsidRPr="001A70C3" w14:paraId="59CE4DB2" w14:textId="77777777" w:rsidTr="007F0369">
        <w:tc>
          <w:tcPr>
            <w:tcW w:w="6745" w:type="dxa"/>
          </w:tcPr>
          <w:p w14:paraId="4BB011A1"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Assistant Secretary General</w:t>
            </w:r>
          </w:p>
        </w:tc>
        <w:tc>
          <w:tcPr>
            <w:tcW w:w="1170" w:type="dxa"/>
          </w:tcPr>
          <w:p w14:paraId="3CA1393C"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3</w:t>
            </w:r>
          </w:p>
        </w:tc>
        <w:tc>
          <w:tcPr>
            <w:tcW w:w="1435" w:type="dxa"/>
          </w:tcPr>
          <w:p w14:paraId="101D9448"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3</w:t>
            </w:r>
          </w:p>
        </w:tc>
      </w:tr>
      <w:tr w:rsidR="00C6281B" w:rsidRPr="001A70C3" w14:paraId="4E87845D" w14:textId="77777777" w:rsidTr="007F0369">
        <w:tc>
          <w:tcPr>
            <w:tcW w:w="6745" w:type="dxa"/>
          </w:tcPr>
          <w:p w14:paraId="5A8780B3"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Ambassador</w:t>
            </w:r>
          </w:p>
        </w:tc>
        <w:tc>
          <w:tcPr>
            <w:tcW w:w="1170" w:type="dxa"/>
          </w:tcPr>
          <w:p w14:paraId="1B614778"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62</w:t>
            </w:r>
          </w:p>
        </w:tc>
        <w:tc>
          <w:tcPr>
            <w:tcW w:w="1435" w:type="dxa"/>
          </w:tcPr>
          <w:p w14:paraId="7DFF8468"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1</w:t>
            </w:r>
          </w:p>
        </w:tc>
      </w:tr>
      <w:tr w:rsidR="00C6281B" w:rsidRPr="001A70C3" w14:paraId="31E140C2" w14:textId="77777777" w:rsidTr="007F0369">
        <w:tc>
          <w:tcPr>
            <w:tcW w:w="6745" w:type="dxa"/>
          </w:tcPr>
          <w:p w14:paraId="3FEDC3EB"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Minister Delegate</w:t>
            </w:r>
          </w:p>
        </w:tc>
        <w:tc>
          <w:tcPr>
            <w:tcW w:w="1170" w:type="dxa"/>
          </w:tcPr>
          <w:p w14:paraId="1F81E9F0"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88</w:t>
            </w:r>
          </w:p>
        </w:tc>
        <w:tc>
          <w:tcPr>
            <w:tcW w:w="1435" w:type="dxa"/>
          </w:tcPr>
          <w:p w14:paraId="55F84E50"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1</w:t>
            </w:r>
          </w:p>
        </w:tc>
      </w:tr>
      <w:tr w:rsidR="00C6281B" w:rsidRPr="001A70C3" w14:paraId="0719D913" w14:textId="77777777" w:rsidTr="007F0369">
        <w:tc>
          <w:tcPr>
            <w:tcW w:w="6745" w:type="dxa"/>
          </w:tcPr>
          <w:p w14:paraId="297E2952"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Prosecutor (B)</w:t>
            </w:r>
          </w:p>
        </w:tc>
        <w:tc>
          <w:tcPr>
            <w:tcW w:w="1170" w:type="dxa"/>
          </w:tcPr>
          <w:p w14:paraId="6803F645"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82</w:t>
            </w:r>
          </w:p>
        </w:tc>
        <w:tc>
          <w:tcPr>
            <w:tcW w:w="1435" w:type="dxa"/>
          </w:tcPr>
          <w:p w14:paraId="7B0B99D7"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21</w:t>
            </w:r>
          </w:p>
        </w:tc>
      </w:tr>
      <w:tr w:rsidR="00C6281B" w:rsidRPr="001A70C3" w14:paraId="1803CA21" w14:textId="77777777" w:rsidTr="007F0369">
        <w:tc>
          <w:tcPr>
            <w:tcW w:w="6745" w:type="dxa"/>
          </w:tcPr>
          <w:p w14:paraId="05A96D12"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Prosecutor (C)</w:t>
            </w:r>
          </w:p>
        </w:tc>
        <w:tc>
          <w:tcPr>
            <w:tcW w:w="1170" w:type="dxa"/>
          </w:tcPr>
          <w:p w14:paraId="4FCA03BC"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332</w:t>
            </w:r>
          </w:p>
        </w:tc>
        <w:tc>
          <w:tcPr>
            <w:tcW w:w="1435" w:type="dxa"/>
          </w:tcPr>
          <w:p w14:paraId="13FE25FB"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42</w:t>
            </w:r>
          </w:p>
        </w:tc>
      </w:tr>
      <w:tr w:rsidR="00C6281B" w:rsidRPr="001A70C3" w14:paraId="0CEF7972" w14:textId="77777777" w:rsidTr="007F0369">
        <w:tc>
          <w:tcPr>
            <w:tcW w:w="6745" w:type="dxa"/>
          </w:tcPr>
          <w:p w14:paraId="646E1373"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Fatwa and Legislation Advisor Member</w:t>
            </w:r>
          </w:p>
        </w:tc>
        <w:tc>
          <w:tcPr>
            <w:tcW w:w="1170" w:type="dxa"/>
          </w:tcPr>
          <w:p w14:paraId="6DED1D35"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80</w:t>
            </w:r>
          </w:p>
        </w:tc>
        <w:tc>
          <w:tcPr>
            <w:tcW w:w="1435" w:type="dxa"/>
          </w:tcPr>
          <w:p w14:paraId="3C8672D0"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88</w:t>
            </w:r>
          </w:p>
        </w:tc>
      </w:tr>
      <w:tr w:rsidR="00C6281B" w:rsidRPr="001A70C3" w14:paraId="46316E3C" w14:textId="77777777" w:rsidTr="007F0369">
        <w:tc>
          <w:tcPr>
            <w:tcW w:w="6745" w:type="dxa"/>
          </w:tcPr>
          <w:p w14:paraId="5A12C2C2"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Member of Fatwa and Legislation and Deputy Director</w:t>
            </w:r>
          </w:p>
        </w:tc>
        <w:tc>
          <w:tcPr>
            <w:tcW w:w="1170" w:type="dxa"/>
          </w:tcPr>
          <w:p w14:paraId="1CC67D19"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19</w:t>
            </w:r>
          </w:p>
        </w:tc>
        <w:tc>
          <w:tcPr>
            <w:tcW w:w="1435" w:type="dxa"/>
          </w:tcPr>
          <w:p w14:paraId="05B9DBC9"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19</w:t>
            </w:r>
          </w:p>
        </w:tc>
      </w:tr>
      <w:tr w:rsidR="00C6281B" w:rsidRPr="001A70C3" w14:paraId="0B10E4FC" w14:textId="77777777" w:rsidTr="007F0369">
        <w:tc>
          <w:tcPr>
            <w:tcW w:w="6745" w:type="dxa"/>
          </w:tcPr>
          <w:p w14:paraId="715EC0D2" w14:textId="77777777" w:rsidR="00C6281B" w:rsidRPr="001A70C3" w:rsidRDefault="00C6281B" w:rsidP="00EA2950">
            <w:pPr>
              <w:spacing w:after="0" w:line="240" w:lineRule="auto"/>
              <w:jc w:val="both"/>
              <w:rPr>
                <w:rFonts w:ascii="Arial" w:hAnsi="Arial"/>
                <w:sz w:val="26"/>
                <w:szCs w:val="26"/>
              </w:rPr>
            </w:pPr>
            <w:r w:rsidRPr="001A70C3">
              <w:rPr>
                <w:rFonts w:ascii="Arial" w:hAnsi="Arial"/>
                <w:sz w:val="26"/>
                <w:szCs w:val="26"/>
              </w:rPr>
              <w:t xml:space="preserve">Competition Protection Authority Board Member </w:t>
            </w:r>
          </w:p>
        </w:tc>
        <w:tc>
          <w:tcPr>
            <w:tcW w:w="1170" w:type="dxa"/>
          </w:tcPr>
          <w:p w14:paraId="5B182E00"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2</w:t>
            </w:r>
          </w:p>
        </w:tc>
        <w:tc>
          <w:tcPr>
            <w:tcW w:w="1435" w:type="dxa"/>
          </w:tcPr>
          <w:p w14:paraId="49A99DA0" w14:textId="77777777" w:rsidR="00C6281B" w:rsidRPr="001A70C3" w:rsidRDefault="00C6281B" w:rsidP="001A70C3">
            <w:pPr>
              <w:spacing w:after="0" w:line="240" w:lineRule="auto"/>
              <w:jc w:val="center"/>
              <w:rPr>
                <w:rFonts w:ascii="Arial" w:hAnsi="Arial"/>
                <w:sz w:val="26"/>
                <w:szCs w:val="26"/>
              </w:rPr>
            </w:pPr>
            <w:r w:rsidRPr="001A70C3">
              <w:rPr>
                <w:rFonts w:ascii="Arial" w:hAnsi="Arial"/>
                <w:sz w:val="26"/>
                <w:szCs w:val="26"/>
              </w:rPr>
              <w:t>2</w:t>
            </w:r>
          </w:p>
        </w:tc>
      </w:tr>
    </w:tbl>
    <w:p w14:paraId="222D5391" w14:textId="77777777" w:rsidR="00C6281B" w:rsidRPr="0002182C" w:rsidRDefault="00C6281B" w:rsidP="00365011">
      <w:pPr>
        <w:spacing w:after="0" w:line="180" w:lineRule="exact"/>
        <w:jc w:val="both"/>
        <w:rPr>
          <w:rFonts w:ascii="Arial" w:hAnsi="Arial"/>
        </w:rPr>
      </w:pPr>
    </w:p>
    <w:p w14:paraId="3FEBA81C" w14:textId="77777777" w:rsidR="00C6281B" w:rsidRPr="001A70C3" w:rsidRDefault="00C6281B" w:rsidP="004B4AFD">
      <w:pPr>
        <w:spacing w:after="0" w:line="280" w:lineRule="exact"/>
        <w:ind w:left="720"/>
        <w:jc w:val="both"/>
        <w:rPr>
          <w:rFonts w:ascii="Arial" w:hAnsi="Arial"/>
          <w:sz w:val="26"/>
          <w:szCs w:val="26"/>
        </w:rPr>
      </w:pPr>
      <w:r w:rsidRPr="001A70C3">
        <w:rPr>
          <w:rFonts w:ascii="Arial" w:hAnsi="Arial"/>
          <w:sz w:val="26"/>
          <w:szCs w:val="26"/>
        </w:rPr>
        <w:t xml:space="preserve">Low representation of women in leadership positions is noted, including executive positions and the limited number of positions held thereby in ambassador, </w:t>
      </w:r>
      <w:proofErr w:type="gramStart"/>
      <w:r w:rsidRPr="001A70C3">
        <w:rPr>
          <w:rFonts w:ascii="Arial" w:hAnsi="Arial"/>
          <w:sz w:val="26"/>
          <w:szCs w:val="26"/>
        </w:rPr>
        <w:t>minister</w:t>
      </w:r>
      <w:proofErr w:type="gramEnd"/>
      <w:r w:rsidRPr="001A70C3">
        <w:rPr>
          <w:rFonts w:ascii="Arial" w:hAnsi="Arial"/>
          <w:sz w:val="26"/>
          <w:szCs w:val="26"/>
        </w:rPr>
        <w:t xml:space="preserve"> or parliament member positions.</w:t>
      </w:r>
    </w:p>
    <w:p w14:paraId="4E9D0A1F" w14:textId="77777777"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22.</w:t>
      </w:r>
      <w:r w:rsidRPr="001A70C3">
        <w:rPr>
          <w:rFonts w:ascii="Arial" w:hAnsi="Arial"/>
          <w:sz w:val="26"/>
          <w:szCs w:val="26"/>
        </w:rPr>
        <w:tab/>
        <w:t>We recommend the establishment of a specialized center to support women to enhance their participation in political life, where that center shall train women on the skills of political participation, on the one hand, and to spread and raise media awareness of the importance of women's participation in political life, on the other hand, in addition to working to mobilize support for women’s participation, especially involving men in supporting that participation, and the provision of advises to the women wishing to participate in that field.</w:t>
      </w:r>
    </w:p>
    <w:p w14:paraId="799A19D4" w14:textId="77777777" w:rsidR="00C6281B" w:rsidRPr="001A70C3" w:rsidRDefault="00C6281B" w:rsidP="00365011">
      <w:pPr>
        <w:spacing w:after="0" w:line="100" w:lineRule="exact"/>
        <w:jc w:val="both"/>
        <w:rPr>
          <w:rFonts w:ascii="Arial" w:hAnsi="Arial"/>
          <w:sz w:val="26"/>
          <w:szCs w:val="26"/>
        </w:rPr>
      </w:pPr>
    </w:p>
    <w:p w14:paraId="27DDE0AA"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Marriage and Family Relations:</w:t>
      </w:r>
    </w:p>
    <w:p w14:paraId="06009CF9" w14:textId="77777777" w:rsidR="00C6281B" w:rsidRPr="001A70C3" w:rsidRDefault="00C6281B" w:rsidP="00365011">
      <w:pPr>
        <w:spacing w:after="0" w:line="100" w:lineRule="exact"/>
        <w:jc w:val="both"/>
        <w:rPr>
          <w:rFonts w:ascii="Arial" w:hAnsi="Arial"/>
          <w:b/>
          <w:bCs/>
          <w:sz w:val="26"/>
          <w:szCs w:val="26"/>
          <w:u w:val="single"/>
        </w:rPr>
      </w:pPr>
    </w:p>
    <w:p w14:paraId="6092AD4F" w14:textId="63A94E55" w:rsidR="00C6281B" w:rsidRPr="001A70C3"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23.</w:t>
      </w:r>
      <w:r w:rsidRPr="001A70C3">
        <w:rPr>
          <w:rFonts w:ascii="Arial" w:hAnsi="Arial"/>
          <w:sz w:val="26"/>
          <w:szCs w:val="26"/>
        </w:rPr>
        <w:tab/>
        <w:t>Despite the efforts exerted by the state to raise awareness and support positive</w:t>
      </w:r>
      <w:r w:rsidR="00B415ED">
        <w:rPr>
          <w:rFonts w:ascii="Arial" w:hAnsi="Arial"/>
          <w:sz w:val="26"/>
          <w:szCs w:val="26"/>
        </w:rPr>
        <w:t xml:space="preserve"> </w:t>
      </w:r>
      <w:r w:rsidRPr="001A70C3">
        <w:rPr>
          <w:rFonts w:ascii="Arial" w:hAnsi="Arial"/>
          <w:sz w:val="26"/>
          <w:szCs w:val="26"/>
        </w:rPr>
        <w:t>marriage, yet the minimum age of marriage for girls is still 15 years, according to Article 26 of the Personal Status Law. Also, these efforts are not sufficient to inform women of their rights.</w:t>
      </w:r>
    </w:p>
    <w:p w14:paraId="760F9A05" w14:textId="14EAB0DA" w:rsidR="00C6281B" w:rsidRDefault="00C6281B" w:rsidP="004B4AFD">
      <w:pPr>
        <w:spacing w:after="0" w:line="280" w:lineRule="exact"/>
        <w:ind w:left="720" w:hanging="720"/>
        <w:jc w:val="both"/>
        <w:rPr>
          <w:rFonts w:ascii="Arial" w:hAnsi="Arial"/>
          <w:sz w:val="26"/>
          <w:szCs w:val="26"/>
        </w:rPr>
      </w:pPr>
      <w:r w:rsidRPr="001A70C3">
        <w:rPr>
          <w:rFonts w:ascii="Arial" w:hAnsi="Arial"/>
          <w:sz w:val="26"/>
          <w:szCs w:val="26"/>
        </w:rPr>
        <w:t>24.</w:t>
      </w:r>
      <w:r w:rsidRPr="001A70C3">
        <w:rPr>
          <w:rFonts w:ascii="Arial" w:hAnsi="Arial"/>
          <w:sz w:val="26"/>
          <w:szCs w:val="26"/>
        </w:rPr>
        <w:tab/>
        <w:t>In this regard, we recommend reviewing the Personal Status Law and raising the age of marriage for girls to 18 years in accordance with the Convention on the Rights of the Child, organizing awareness campaigns targeting girls and women to inform them of their rights in relation to family relations and marriage, in addition to taking all necessary measures to reduce early marriage in all segments of society in the state.</w:t>
      </w:r>
    </w:p>
    <w:p w14:paraId="0A8F4EAD" w14:textId="77777777" w:rsidR="00365011" w:rsidRDefault="00365011" w:rsidP="00365011">
      <w:pPr>
        <w:spacing w:after="0"/>
        <w:ind w:left="720" w:hanging="720"/>
        <w:jc w:val="both"/>
        <w:rPr>
          <w:rFonts w:ascii="Arial" w:hAnsi="Arial"/>
          <w:sz w:val="26"/>
          <w:szCs w:val="26"/>
        </w:rPr>
      </w:pPr>
    </w:p>
    <w:p w14:paraId="65DA5CCE" w14:textId="208E6332" w:rsidR="00365011" w:rsidRPr="004B4AFD" w:rsidRDefault="005255F3" w:rsidP="00365011">
      <w:pPr>
        <w:ind w:left="720"/>
        <w:jc w:val="both"/>
        <w:rPr>
          <w:rFonts w:ascii="Arial" w:hAnsi="Arial"/>
          <w:color w:val="365F91"/>
          <w:sz w:val="20"/>
          <w:szCs w:val="20"/>
          <w:rtl/>
          <w:lang w:bidi="ar-KW"/>
        </w:rPr>
      </w:pPr>
      <w:r>
        <w:rPr>
          <w:rFonts w:ascii="Arial" w:hAnsi="Arial"/>
          <w:b/>
          <w:bCs/>
          <w:noProof/>
          <w:color w:val="365F91"/>
          <w:sz w:val="36"/>
          <w:szCs w:val="36"/>
          <w:rtl/>
        </w:rPr>
        <w:pict w14:anchorId="4EE26F1B">
          <v:rect id="_x0000_s1027" style="position:absolute;left:0;text-align:left;margin-left:47.25pt;margin-top:48.45pt;width:390pt;height:28.5pt;z-index:251658240" filled="f" stroked="f">
            <v:textbox>
              <w:txbxContent>
                <w:p w14:paraId="1A218ED9" w14:textId="6C18C8F9" w:rsidR="004B4AFD" w:rsidRDefault="004B4AFD">
                  <w:r w:rsidRPr="004B4AFD">
                    <w:rPr>
                      <w:rFonts w:ascii="Arial" w:hAnsi="Arial"/>
                      <w:b/>
                      <w:bCs/>
                      <w:color w:val="365F91"/>
                      <w:sz w:val="36"/>
                      <w:szCs w:val="36"/>
                    </w:rPr>
                    <w:t>*</w:t>
                  </w:r>
                  <w:r w:rsidRPr="004B4AFD">
                    <w:rPr>
                      <w:rFonts w:ascii="Arial" w:hAnsi="Arial"/>
                      <w:b/>
                      <w:bCs/>
                      <w:color w:val="365F91"/>
                    </w:rPr>
                    <w:t xml:space="preserve"> Periodic report of the General Secretariat for Planning and Follow-up</w:t>
                  </w:r>
                </w:p>
              </w:txbxContent>
            </v:textbox>
          </v:rect>
        </w:pict>
      </w:r>
    </w:p>
    <w:p w14:paraId="150B6C53"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lastRenderedPageBreak/>
        <w:t>Legal Status of the Convention on the Elimination of All Forms of Discrimination Against Women (CEDAW) in the national legal system:</w:t>
      </w:r>
    </w:p>
    <w:p w14:paraId="724767A5" w14:textId="77777777" w:rsidR="00C6281B" w:rsidRPr="001A70C3" w:rsidRDefault="00C6281B" w:rsidP="0002182C">
      <w:pPr>
        <w:spacing w:after="0" w:line="160" w:lineRule="exact"/>
        <w:jc w:val="both"/>
        <w:rPr>
          <w:rFonts w:ascii="Arial" w:hAnsi="Arial"/>
          <w:b/>
          <w:bCs/>
          <w:sz w:val="26"/>
          <w:szCs w:val="26"/>
          <w:u w:val="single"/>
        </w:rPr>
      </w:pPr>
    </w:p>
    <w:p w14:paraId="38600753"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25.</w:t>
      </w:r>
      <w:r w:rsidRPr="001A70C3">
        <w:rPr>
          <w:rFonts w:ascii="Arial" w:hAnsi="Arial"/>
          <w:sz w:val="26"/>
          <w:szCs w:val="26"/>
        </w:rPr>
        <w:tab/>
        <w:t>Although the Constitution of the State of Kuwait stipulates in Article 70 that international agreements and conventions to which the State of Kuwait accedes take on the force of law once they are ratified and published in the Official Gazette, yet it is noted that activating the provisions of the Convention in the executive, legislative and judicial measures is not sufficient in line with this Constitutional text.</w:t>
      </w:r>
    </w:p>
    <w:p w14:paraId="5705C1A9"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26.</w:t>
      </w:r>
      <w:r w:rsidRPr="001A70C3">
        <w:rPr>
          <w:rFonts w:ascii="Arial" w:hAnsi="Arial"/>
          <w:sz w:val="26"/>
          <w:szCs w:val="26"/>
        </w:rPr>
        <w:tab/>
        <w:t>In this regard, we recommend working on clarifying the status of the Convention in the national legal system by harmonizing the relevant national legislations with the provisions of the Convention on the Elimination of All Forms of Discrimination Against Women and the inclusion of the basic conventions on human rights in the training curricula for members of the judiciary, public prosecution, lawyers and law executors. It is also recommended that the action plan for human rights, which is being worked on, should include in national laws any specific clauses on how to activate the principles of human rights as included in the international covenants to which the State of Kuwait, in order to allow further implementation of Kuwait’s obligations under these covenants, taking into account the legislative harmonization of the state’s reservations.</w:t>
      </w:r>
    </w:p>
    <w:p w14:paraId="12E34750" w14:textId="77777777" w:rsidR="00C6281B" w:rsidRPr="001A70C3" w:rsidRDefault="00C6281B" w:rsidP="0002182C">
      <w:pPr>
        <w:spacing w:after="0" w:line="160" w:lineRule="exact"/>
        <w:jc w:val="both"/>
        <w:rPr>
          <w:rFonts w:ascii="Arial" w:hAnsi="Arial"/>
          <w:sz w:val="26"/>
          <w:szCs w:val="26"/>
        </w:rPr>
      </w:pPr>
    </w:p>
    <w:p w14:paraId="34339683"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Work</w:t>
      </w:r>
    </w:p>
    <w:p w14:paraId="3A22003F" w14:textId="77777777" w:rsidR="00C6281B" w:rsidRPr="001A70C3" w:rsidRDefault="00C6281B" w:rsidP="0002182C">
      <w:pPr>
        <w:spacing w:after="0" w:line="160" w:lineRule="exact"/>
        <w:jc w:val="both"/>
        <w:rPr>
          <w:rFonts w:ascii="Arial" w:hAnsi="Arial"/>
          <w:b/>
          <w:bCs/>
          <w:sz w:val="26"/>
          <w:szCs w:val="26"/>
          <w:u w:val="single"/>
        </w:rPr>
      </w:pPr>
    </w:p>
    <w:p w14:paraId="457056DD"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27.</w:t>
      </w:r>
      <w:r w:rsidRPr="001A70C3">
        <w:rPr>
          <w:rFonts w:ascii="Arial" w:hAnsi="Arial"/>
          <w:sz w:val="26"/>
          <w:szCs w:val="26"/>
        </w:rPr>
        <w:tab/>
        <w:t>When discussing Kuwait’s Fifth Periodic Report, CEDAW raised several work-related issues, including the large disparity in wages between both genders in public and private sectors, as well as the discriminatory legal provisions, including Article 23 of the law related to work in the private sector, the de facto exclusion of women from working in some public sector services, e.g., in the Army, National Guard, Police, Fire Service Department, Environment Public Authority and Kuwait Institute for Scientific Research, in addition to migrant female workers’ continued exposition to abuse, sexual harassment and forced labor.</w:t>
      </w:r>
    </w:p>
    <w:p w14:paraId="01C13E4C" w14:textId="19D1DCD1" w:rsidR="00C6281B" w:rsidRDefault="004B4AFD" w:rsidP="004B4AFD">
      <w:pPr>
        <w:spacing w:after="0" w:line="260" w:lineRule="exact"/>
        <w:ind w:left="720" w:hanging="720"/>
        <w:jc w:val="both"/>
        <w:rPr>
          <w:rFonts w:ascii="Arial" w:hAnsi="Arial"/>
          <w:sz w:val="26"/>
          <w:szCs w:val="26"/>
        </w:rPr>
      </w:pPr>
      <w:r>
        <w:rPr>
          <w:rFonts w:ascii="Arial" w:hAnsi="Arial"/>
          <w:sz w:val="26"/>
          <w:szCs w:val="26"/>
        </w:rPr>
        <w:t xml:space="preserve">          </w:t>
      </w:r>
      <w:r w:rsidR="00C6281B" w:rsidRPr="001A70C3">
        <w:rPr>
          <w:rFonts w:ascii="Arial" w:hAnsi="Arial"/>
          <w:sz w:val="26"/>
          <w:szCs w:val="26"/>
        </w:rPr>
        <w:t>What CEDAW has raised about the existence of a danger in Article 23 of the Law on Working in Private Sector, regarding the exclusion of women from work in some public sector services, is limited to dangerous, arduous or harmful work, in terms of health and morals, while the scope for women’s work is wide in all service and professional sectors in the state’s service and professional sectors, including the military and police services, along with the civilian professions.</w:t>
      </w:r>
    </w:p>
    <w:p w14:paraId="6D7F8D33" w14:textId="77777777" w:rsidR="00C6281B" w:rsidRPr="001A70C3" w:rsidRDefault="00C6281B" w:rsidP="004B4AFD">
      <w:pPr>
        <w:spacing w:after="0" w:line="260" w:lineRule="exact"/>
        <w:ind w:left="720" w:hanging="720"/>
        <w:jc w:val="both"/>
        <w:rPr>
          <w:rFonts w:ascii="Arial" w:hAnsi="Arial"/>
          <w:sz w:val="26"/>
          <w:szCs w:val="26"/>
        </w:rPr>
      </w:pPr>
      <w:r w:rsidRPr="001A70C3">
        <w:rPr>
          <w:rFonts w:ascii="Arial" w:hAnsi="Arial"/>
          <w:sz w:val="26"/>
          <w:szCs w:val="26"/>
        </w:rPr>
        <w:t>28.</w:t>
      </w:r>
      <w:r w:rsidRPr="001A70C3">
        <w:rPr>
          <w:rFonts w:ascii="Arial" w:hAnsi="Arial"/>
          <w:sz w:val="26"/>
          <w:szCs w:val="26"/>
        </w:rPr>
        <w:tab/>
        <w:t>Hence, we recommend Kuwait’s accession to the ILO Equal Remuneration Convention (No. 100), ensuring that Kuwaiti domestic legislations are in full compliance with the provisions of that Convention. This is in addition to removing barriers that prevent women from being recruited in public sector positions, including in the Army, National Guard, Police, Fire Service Department, Environment Public Authority and Kuwait Institute for Scientific Research.</w:t>
      </w:r>
    </w:p>
    <w:p w14:paraId="5158C215" w14:textId="77777777" w:rsidR="00C6281B" w:rsidRPr="001A70C3" w:rsidRDefault="00C6281B" w:rsidP="00EA2950">
      <w:pPr>
        <w:jc w:val="both"/>
        <w:rPr>
          <w:rFonts w:ascii="Arial" w:hAnsi="Arial"/>
          <w:sz w:val="26"/>
          <w:szCs w:val="26"/>
        </w:rPr>
      </w:pPr>
    </w:p>
    <w:p w14:paraId="551A8767"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lastRenderedPageBreak/>
        <w:t>Domestic Workers:</w:t>
      </w:r>
    </w:p>
    <w:p w14:paraId="4AFC73C1"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29.</w:t>
      </w:r>
      <w:r w:rsidRPr="001A70C3">
        <w:rPr>
          <w:rFonts w:ascii="Arial" w:hAnsi="Arial"/>
          <w:sz w:val="26"/>
          <w:szCs w:val="26"/>
        </w:rPr>
        <w:tab/>
        <w:t>The State of Kuwait issued Law No. 68 of 2015 on the Protection of Domestic Workers, yet it includes a number of legal gaps that guarantee their effective protection against abuse, exploitation and violence, including the following: Lack of mechanisms to check work conditions; weak penalties imposed on employers for their abusive practices, linking the residence of a domestic worker to a single employer or agent, committing the Ministry of Interior to deport the “escaping” worker; lack of penalties imposed on employers who keep domestic workers’ passports or do not provide them with the necessary housing food, medical expenses, daily work breaks or weekly rest days; absence of a requirement for the employer to attend dispute settlement sessions between the employer and the domestic worker and absence of complaints mechanisms. Also, the law does not provide legal protection for domestic workers in a manner consistent with the provisions of ILO Convention No. (189) on decent work for domestic workers and applicable international standards.</w:t>
      </w:r>
    </w:p>
    <w:p w14:paraId="51F1A0BC"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30.</w:t>
      </w:r>
      <w:r w:rsidRPr="001A70C3">
        <w:rPr>
          <w:rFonts w:ascii="Arial" w:hAnsi="Arial"/>
          <w:sz w:val="26"/>
          <w:szCs w:val="26"/>
        </w:rPr>
        <w:tab/>
        <w:t>We recommend joining ILO Convention No. 189 of 2011 on decent work for domestic workers and applicable international standards, ensuring full consistency of Law No. 68 of 2015 on Domestic Workers with the provisions of this Convention, publishing it widely and in a number of languages, so that the beneficiaries may directly access it and know their rights and duties in accordance with the Law.</w:t>
      </w:r>
    </w:p>
    <w:p w14:paraId="3DB01C2C"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31.</w:t>
      </w:r>
      <w:r w:rsidRPr="001A70C3">
        <w:rPr>
          <w:rFonts w:ascii="Arial" w:hAnsi="Arial"/>
          <w:sz w:val="26"/>
          <w:szCs w:val="26"/>
        </w:rPr>
        <w:tab/>
        <w:t>We also recommend that the embassies of the domestic workers’ homelands should provide legal and social assistance and support services for those domestic workers.</w:t>
      </w:r>
    </w:p>
    <w:p w14:paraId="28358F97" w14:textId="77777777" w:rsidR="00C6281B" w:rsidRPr="001A70C3" w:rsidRDefault="00C6281B" w:rsidP="004B4AFD">
      <w:pPr>
        <w:spacing w:after="0" w:line="160" w:lineRule="exact"/>
        <w:ind w:left="720" w:hanging="720"/>
        <w:jc w:val="both"/>
        <w:rPr>
          <w:rFonts w:ascii="Arial" w:hAnsi="Arial"/>
          <w:sz w:val="26"/>
          <w:szCs w:val="26"/>
        </w:rPr>
      </w:pPr>
    </w:p>
    <w:p w14:paraId="29D251E6" w14:textId="77777777" w:rsidR="00C6281B" w:rsidRPr="001A70C3" w:rsidRDefault="00C6281B" w:rsidP="00EA2950">
      <w:pPr>
        <w:jc w:val="both"/>
        <w:rPr>
          <w:rFonts w:ascii="Arial" w:hAnsi="Arial"/>
          <w:b/>
          <w:bCs/>
          <w:sz w:val="26"/>
          <w:szCs w:val="26"/>
          <w:u w:val="single"/>
        </w:rPr>
      </w:pPr>
      <w:r w:rsidRPr="001A70C3">
        <w:rPr>
          <w:rFonts w:ascii="Arial" w:hAnsi="Arial"/>
          <w:b/>
          <w:bCs/>
          <w:sz w:val="26"/>
          <w:szCs w:val="26"/>
          <w:u w:val="single"/>
        </w:rPr>
        <w:t>Recommendations:</w:t>
      </w:r>
    </w:p>
    <w:p w14:paraId="08CBA233"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 xml:space="preserve">(1) </w:t>
      </w:r>
      <w:r w:rsidRPr="001A70C3">
        <w:rPr>
          <w:rFonts w:ascii="Arial" w:hAnsi="Arial"/>
          <w:sz w:val="26"/>
          <w:szCs w:val="26"/>
        </w:rPr>
        <w:tab/>
        <w:t>Harmonization of national legislation with the Convention on the Elimination of All Forms of Discrimination against Women, as well as all international covenants and agreements on human rights, to which the Sharia-compliant state has acceded.</w:t>
      </w:r>
    </w:p>
    <w:p w14:paraId="071A34DB" w14:textId="77777777" w:rsidR="00C6281B" w:rsidRPr="001A70C3" w:rsidRDefault="00C6281B" w:rsidP="00EA2950">
      <w:pPr>
        <w:jc w:val="both"/>
        <w:rPr>
          <w:rFonts w:ascii="Arial" w:hAnsi="Arial"/>
          <w:sz w:val="26"/>
          <w:szCs w:val="26"/>
        </w:rPr>
      </w:pPr>
      <w:r w:rsidRPr="001A70C3">
        <w:rPr>
          <w:rFonts w:ascii="Arial" w:hAnsi="Arial"/>
          <w:sz w:val="26"/>
          <w:szCs w:val="26"/>
        </w:rPr>
        <w:t xml:space="preserve">(2) </w:t>
      </w:r>
      <w:r w:rsidRPr="001A70C3">
        <w:rPr>
          <w:rFonts w:ascii="Arial" w:hAnsi="Arial"/>
          <w:sz w:val="26"/>
          <w:szCs w:val="26"/>
        </w:rPr>
        <w:tab/>
        <w:t>Enacting legislation to combat violence against women.</w:t>
      </w:r>
    </w:p>
    <w:p w14:paraId="136A5D20"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 xml:space="preserve">(3) </w:t>
      </w:r>
      <w:r w:rsidRPr="001A70C3">
        <w:rPr>
          <w:rFonts w:ascii="Arial" w:hAnsi="Arial"/>
          <w:sz w:val="26"/>
          <w:szCs w:val="26"/>
        </w:rPr>
        <w:tab/>
        <w:t>Developing a mechanism for collecting data on violence against women and early marriage.</w:t>
      </w:r>
    </w:p>
    <w:p w14:paraId="72834480" w14:textId="77777777" w:rsidR="00C6281B" w:rsidRPr="001A70C3" w:rsidRDefault="00C6281B" w:rsidP="00EA2950">
      <w:pPr>
        <w:ind w:left="720" w:hanging="720"/>
        <w:jc w:val="both"/>
        <w:rPr>
          <w:rFonts w:ascii="Arial" w:hAnsi="Arial"/>
          <w:sz w:val="26"/>
          <w:szCs w:val="26"/>
        </w:rPr>
      </w:pPr>
      <w:r w:rsidRPr="001A70C3">
        <w:rPr>
          <w:rFonts w:ascii="Arial" w:hAnsi="Arial"/>
          <w:sz w:val="26"/>
          <w:szCs w:val="26"/>
        </w:rPr>
        <w:t xml:space="preserve">(4) </w:t>
      </w:r>
      <w:r w:rsidRPr="001A70C3">
        <w:rPr>
          <w:rFonts w:ascii="Arial" w:hAnsi="Arial"/>
          <w:sz w:val="26"/>
          <w:szCs w:val="26"/>
        </w:rPr>
        <w:tab/>
        <w:t>Increasing the percentage of women's political participation and their involvement in decision-making places.</w:t>
      </w:r>
    </w:p>
    <w:sectPr w:rsidR="00C6281B" w:rsidRPr="001A70C3" w:rsidSect="004B4AFD">
      <w:footerReference w:type="default" r:id="rId7"/>
      <w:pgSz w:w="12240" w:h="15840"/>
      <w:pgMar w:top="117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78D6D" w14:textId="77777777" w:rsidR="001A70C3" w:rsidRDefault="001A70C3" w:rsidP="001A70C3">
      <w:pPr>
        <w:spacing w:after="0" w:line="240" w:lineRule="auto"/>
      </w:pPr>
      <w:r>
        <w:separator/>
      </w:r>
    </w:p>
  </w:endnote>
  <w:endnote w:type="continuationSeparator" w:id="0">
    <w:p w14:paraId="75E3E0B1" w14:textId="77777777" w:rsidR="001A70C3" w:rsidRDefault="001A70C3" w:rsidP="001A7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E8424" w14:textId="77777777" w:rsidR="004B4AFD" w:rsidRDefault="004B4AFD" w:rsidP="004B4AFD">
    <w:pPr>
      <w:pStyle w:val="Footer"/>
      <w:pBdr>
        <w:top w:val="single" w:sz="4" w:space="1" w:color="D9D9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sidRPr="004B4AFD">
      <w:rPr>
        <w:color w:val="7F7F7F"/>
        <w:spacing w:val="60"/>
      </w:rPr>
      <w:t>Page</w:t>
    </w:r>
  </w:p>
  <w:p w14:paraId="236E60CF" w14:textId="77777777" w:rsidR="004B4AFD" w:rsidRDefault="004B4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76A6A" w14:textId="77777777" w:rsidR="001A70C3" w:rsidRDefault="001A70C3" w:rsidP="001A70C3">
      <w:pPr>
        <w:spacing w:after="0" w:line="240" w:lineRule="auto"/>
      </w:pPr>
      <w:r>
        <w:separator/>
      </w:r>
    </w:p>
  </w:footnote>
  <w:footnote w:type="continuationSeparator" w:id="0">
    <w:p w14:paraId="0852E071" w14:textId="77777777" w:rsidR="001A70C3" w:rsidRDefault="001A70C3" w:rsidP="001A70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30B4"/>
    <w:rsid w:val="0001104F"/>
    <w:rsid w:val="00013259"/>
    <w:rsid w:val="00020879"/>
    <w:rsid w:val="0002182C"/>
    <w:rsid w:val="00071C8C"/>
    <w:rsid w:val="000C6A8A"/>
    <w:rsid w:val="001051C4"/>
    <w:rsid w:val="00107E99"/>
    <w:rsid w:val="00130951"/>
    <w:rsid w:val="00133E82"/>
    <w:rsid w:val="00156A59"/>
    <w:rsid w:val="001861AB"/>
    <w:rsid w:val="00192198"/>
    <w:rsid w:val="00197BDF"/>
    <w:rsid w:val="001A39B8"/>
    <w:rsid w:val="001A70C3"/>
    <w:rsid w:val="001B738C"/>
    <w:rsid w:val="001D5869"/>
    <w:rsid w:val="002161D4"/>
    <w:rsid w:val="002732C0"/>
    <w:rsid w:val="00290F44"/>
    <w:rsid w:val="002C373F"/>
    <w:rsid w:val="002D6514"/>
    <w:rsid w:val="002E4975"/>
    <w:rsid w:val="00312B5D"/>
    <w:rsid w:val="00331A98"/>
    <w:rsid w:val="0034415A"/>
    <w:rsid w:val="003545B1"/>
    <w:rsid w:val="00365011"/>
    <w:rsid w:val="003B6112"/>
    <w:rsid w:val="003C3442"/>
    <w:rsid w:val="003D7824"/>
    <w:rsid w:val="003F5F56"/>
    <w:rsid w:val="00410D39"/>
    <w:rsid w:val="00411ADA"/>
    <w:rsid w:val="0041726C"/>
    <w:rsid w:val="004321D0"/>
    <w:rsid w:val="004479A4"/>
    <w:rsid w:val="00454F73"/>
    <w:rsid w:val="00474792"/>
    <w:rsid w:val="00483B10"/>
    <w:rsid w:val="00495918"/>
    <w:rsid w:val="004A25C1"/>
    <w:rsid w:val="004A5B27"/>
    <w:rsid w:val="004A7B2F"/>
    <w:rsid w:val="004B4AFD"/>
    <w:rsid w:val="004C2D66"/>
    <w:rsid w:val="004E74C6"/>
    <w:rsid w:val="005221B7"/>
    <w:rsid w:val="00523652"/>
    <w:rsid w:val="005255F3"/>
    <w:rsid w:val="00546A55"/>
    <w:rsid w:val="00582DB7"/>
    <w:rsid w:val="0058445A"/>
    <w:rsid w:val="005855D5"/>
    <w:rsid w:val="00590D0B"/>
    <w:rsid w:val="005D3F8D"/>
    <w:rsid w:val="006223DD"/>
    <w:rsid w:val="00644A54"/>
    <w:rsid w:val="00647133"/>
    <w:rsid w:val="00660E1E"/>
    <w:rsid w:val="00676573"/>
    <w:rsid w:val="006966A6"/>
    <w:rsid w:val="006A0E4F"/>
    <w:rsid w:val="006A30B4"/>
    <w:rsid w:val="006A42DD"/>
    <w:rsid w:val="006D2ABF"/>
    <w:rsid w:val="006E3B95"/>
    <w:rsid w:val="006E515A"/>
    <w:rsid w:val="00717E4E"/>
    <w:rsid w:val="00751A4A"/>
    <w:rsid w:val="00771234"/>
    <w:rsid w:val="00777A0A"/>
    <w:rsid w:val="00780E7F"/>
    <w:rsid w:val="007B5556"/>
    <w:rsid w:val="007C1663"/>
    <w:rsid w:val="007C4357"/>
    <w:rsid w:val="007C46F7"/>
    <w:rsid w:val="007E4073"/>
    <w:rsid w:val="007F0369"/>
    <w:rsid w:val="00823CCE"/>
    <w:rsid w:val="00827FA9"/>
    <w:rsid w:val="00837767"/>
    <w:rsid w:val="008475DC"/>
    <w:rsid w:val="00847E36"/>
    <w:rsid w:val="008644FC"/>
    <w:rsid w:val="008A1B97"/>
    <w:rsid w:val="008B61BA"/>
    <w:rsid w:val="008E7D71"/>
    <w:rsid w:val="009306BC"/>
    <w:rsid w:val="00933707"/>
    <w:rsid w:val="00954575"/>
    <w:rsid w:val="00975B8B"/>
    <w:rsid w:val="009818BC"/>
    <w:rsid w:val="009960F9"/>
    <w:rsid w:val="009A3BC6"/>
    <w:rsid w:val="009A46BD"/>
    <w:rsid w:val="009B6BD3"/>
    <w:rsid w:val="009B764D"/>
    <w:rsid w:val="009D59EF"/>
    <w:rsid w:val="009E2479"/>
    <w:rsid w:val="009F503E"/>
    <w:rsid w:val="00A02651"/>
    <w:rsid w:val="00A335FE"/>
    <w:rsid w:val="00A71D04"/>
    <w:rsid w:val="00A85608"/>
    <w:rsid w:val="00A97FAC"/>
    <w:rsid w:val="00B00ECF"/>
    <w:rsid w:val="00B209CA"/>
    <w:rsid w:val="00B26FD6"/>
    <w:rsid w:val="00B379AC"/>
    <w:rsid w:val="00B415ED"/>
    <w:rsid w:val="00B760D1"/>
    <w:rsid w:val="00B84F08"/>
    <w:rsid w:val="00BB435C"/>
    <w:rsid w:val="00BC6D26"/>
    <w:rsid w:val="00BF76EF"/>
    <w:rsid w:val="00C11AC2"/>
    <w:rsid w:val="00C1322D"/>
    <w:rsid w:val="00C14A9A"/>
    <w:rsid w:val="00C20EB0"/>
    <w:rsid w:val="00C409C8"/>
    <w:rsid w:val="00C6281B"/>
    <w:rsid w:val="00C8090E"/>
    <w:rsid w:val="00CC1834"/>
    <w:rsid w:val="00D20BB6"/>
    <w:rsid w:val="00D35A04"/>
    <w:rsid w:val="00D839C7"/>
    <w:rsid w:val="00DB3484"/>
    <w:rsid w:val="00DB7C61"/>
    <w:rsid w:val="00DC6379"/>
    <w:rsid w:val="00DE3182"/>
    <w:rsid w:val="00E0464F"/>
    <w:rsid w:val="00E179D3"/>
    <w:rsid w:val="00E25858"/>
    <w:rsid w:val="00E404B2"/>
    <w:rsid w:val="00E5768F"/>
    <w:rsid w:val="00EA2950"/>
    <w:rsid w:val="00EC4E75"/>
    <w:rsid w:val="00F066EE"/>
    <w:rsid w:val="00F15CA4"/>
    <w:rsid w:val="00F17B56"/>
    <w:rsid w:val="00F21211"/>
    <w:rsid w:val="00F3466C"/>
    <w:rsid w:val="00F3651E"/>
    <w:rsid w:val="00F51A6A"/>
    <w:rsid w:val="00F82414"/>
    <w:rsid w:val="00FA5467"/>
    <w:rsid w:val="00FB7A41"/>
    <w:rsid w:val="00FC39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30">
      <o:colormenu v:ext="edit" fillcolor="none" strokecolor="none"/>
    </o:shapedefaults>
    <o:shapelayout v:ext="edit">
      <o:idmap v:ext="edit" data="1"/>
    </o:shapelayout>
  </w:shapeDefaults>
  <w:decimalSymbol w:val="."/>
  <w:listSeparator w:val=","/>
  <w14:docId w14:val="2A36AA1E"/>
  <w15:docId w15:val="{B6CF40D9-5DAA-4019-949B-64D49819F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858"/>
    <w:pPr>
      <w:spacing w:after="120" w:line="320" w:lineRule="exact"/>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97FAC"/>
    <w:pPr>
      <w:ind w:left="720"/>
      <w:contextualSpacing/>
    </w:pPr>
  </w:style>
  <w:style w:type="character" w:customStyle="1" w:styleId="jpfdse">
    <w:name w:val="jpfdse"/>
    <w:uiPriority w:val="99"/>
    <w:rsid w:val="003D7824"/>
    <w:rPr>
      <w:rFonts w:cs="Times New Roman"/>
    </w:rPr>
  </w:style>
  <w:style w:type="table" w:styleId="TableGrid">
    <w:name w:val="Table Grid"/>
    <w:basedOn w:val="TableNormal"/>
    <w:uiPriority w:val="99"/>
    <w:rsid w:val="00827F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70C3"/>
    <w:pPr>
      <w:tabs>
        <w:tab w:val="center" w:pos="4320"/>
        <w:tab w:val="right" w:pos="8640"/>
      </w:tabs>
    </w:pPr>
  </w:style>
  <w:style w:type="character" w:customStyle="1" w:styleId="HeaderChar">
    <w:name w:val="Header Char"/>
    <w:basedOn w:val="DefaultParagraphFont"/>
    <w:link w:val="Header"/>
    <w:uiPriority w:val="99"/>
    <w:rsid w:val="001A70C3"/>
  </w:style>
  <w:style w:type="paragraph" w:styleId="Footer">
    <w:name w:val="footer"/>
    <w:basedOn w:val="Normal"/>
    <w:link w:val="FooterChar"/>
    <w:uiPriority w:val="99"/>
    <w:unhideWhenUsed/>
    <w:rsid w:val="001A70C3"/>
    <w:pPr>
      <w:tabs>
        <w:tab w:val="center" w:pos="4320"/>
        <w:tab w:val="right" w:pos="8640"/>
      </w:tabs>
    </w:pPr>
  </w:style>
  <w:style w:type="character" w:customStyle="1" w:styleId="FooterChar">
    <w:name w:val="Footer Char"/>
    <w:basedOn w:val="DefaultParagraphFont"/>
    <w:link w:val="Footer"/>
    <w:uiPriority w:val="99"/>
    <w:rsid w:val="001A7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8</Pages>
  <Words>2640</Words>
  <Characters>15048</Characters>
  <Application>Microsoft Office Word</Application>
  <DocSecurity>0</DocSecurity>
  <Lines>125</Lines>
  <Paragraphs>35</Paragraphs>
  <ScaleCrop>false</ScaleCrop>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Rasha Gamal</dc:creator>
  <cp:keywords/>
  <dc:description/>
  <cp:lastModifiedBy>Helga Diab</cp:lastModifiedBy>
  <cp:revision>161</cp:revision>
  <dcterms:created xsi:type="dcterms:W3CDTF">2023-01-17T20:03:00Z</dcterms:created>
  <dcterms:modified xsi:type="dcterms:W3CDTF">2023-01-18T09:45:00Z</dcterms:modified>
</cp:coreProperties>
</file>