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C219A4" w14:textId="77777777" w:rsidR="002864AE" w:rsidRPr="00E9716F" w:rsidRDefault="002864AE" w:rsidP="002864AE">
      <w:pPr>
        <w:spacing w:after="0" w:line="240" w:lineRule="auto"/>
        <w:jc w:val="center"/>
        <w:rPr>
          <w:rFonts w:cs="Arial"/>
          <w:b/>
        </w:rPr>
      </w:pPr>
      <w:bookmarkStart w:id="0" w:name="_GoBack"/>
      <w:bookmarkEnd w:id="0"/>
      <w:r>
        <w:rPr>
          <w:rFonts w:cs="Arial"/>
          <w:b/>
        </w:rPr>
        <w:t>Observations</w:t>
      </w:r>
    </w:p>
    <w:p w14:paraId="1C5E9873" w14:textId="77777777" w:rsidR="002864AE" w:rsidRPr="00E9716F" w:rsidRDefault="002864AE" w:rsidP="002864AE">
      <w:pPr>
        <w:spacing w:after="0" w:line="240" w:lineRule="auto"/>
        <w:jc w:val="center"/>
        <w:rPr>
          <w:rFonts w:cs="Arial"/>
          <w:b/>
        </w:rPr>
      </w:pPr>
      <w:r>
        <w:rPr>
          <w:rFonts w:cs="Arial"/>
          <w:b/>
        </w:rPr>
        <w:t>of the Republic of Austria</w:t>
      </w:r>
    </w:p>
    <w:p w14:paraId="740B2E85" w14:textId="7D108C1C" w:rsidR="002864AE" w:rsidRPr="00E9716F" w:rsidRDefault="002864AE" w:rsidP="002864AE">
      <w:pPr>
        <w:spacing w:after="0" w:line="240" w:lineRule="auto"/>
        <w:jc w:val="center"/>
        <w:rPr>
          <w:rFonts w:cs="Arial"/>
          <w:b/>
        </w:rPr>
      </w:pPr>
      <w:r>
        <w:rPr>
          <w:rFonts w:cs="Arial"/>
          <w:b/>
        </w:rPr>
        <w:t>as part of the follow-up proce</w:t>
      </w:r>
      <w:r w:rsidR="00A2736D">
        <w:rPr>
          <w:rFonts w:cs="Arial"/>
          <w:b/>
        </w:rPr>
        <w:t>dure</w:t>
      </w:r>
      <w:r>
        <w:rPr>
          <w:rFonts w:cs="Arial"/>
          <w:b/>
        </w:rPr>
        <w:t xml:space="preserve"> regarding the</w:t>
      </w:r>
    </w:p>
    <w:p w14:paraId="6C048DBD" w14:textId="7EDC168A" w:rsidR="002864AE" w:rsidRPr="00E9716F" w:rsidRDefault="002864AE" w:rsidP="002864AE">
      <w:pPr>
        <w:spacing w:after="0" w:line="240" w:lineRule="auto"/>
        <w:jc w:val="center"/>
        <w:rPr>
          <w:rFonts w:cs="Arial"/>
          <w:b/>
        </w:rPr>
      </w:pPr>
      <w:r>
        <w:rPr>
          <w:rFonts w:cs="Arial"/>
          <w:b/>
        </w:rPr>
        <w:t xml:space="preserve">examination of Austria's fifth </w:t>
      </w:r>
      <w:r w:rsidR="003719B0">
        <w:rPr>
          <w:rFonts w:cs="Arial"/>
          <w:b/>
        </w:rPr>
        <w:t>periodic</w:t>
      </w:r>
      <w:r>
        <w:rPr>
          <w:rFonts w:cs="Arial"/>
          <w:b/>
        </w:rPr>
        <w:t xml:space="preserve"> Report</w:t>
      </w:r>
    </w:p>
    <w:p w14:paraId="05BE7B62" w14:textId="77777777" w:rsidR="002864AE" w:rsidRPr="00E9716F" w:rsidRDefault="002864AE" w:rsidP="002864AE">
      <w:pPr>
        <w:spacing w:after="0" w:line="240" w:lineRule="auto"/>
        <w:jc w:val="center"/>
        <w:rPr>
          <w:rFonts w:cs="Arial"/>
          <w:b/>
        </w:rPr>
      </w:pPr>
      <w:r>
        <w:rPr>
          <w:rFonts w:cs="Arial"/>
          <w:b/>
        </w:rPr>
        <w:t>pursuant to the International Covenant on Civil and Political Rights</w:t>
      </w:r>
    </w:p>
    <w:p w14:paraId="77900B7B" w14:textId="77777777" w:rsidR="002864AE" w:rsidRPr="00E9716F" w:rsidRDefault="002864AE" w:rsidP="002864AE">
      <w:pPr>
        <w:spacing w:before="120" w:line="360" w:lineRule="auto"/>
        <w:jc w:val="center"/>
        <w:rPr>
          <w:b/>
        </w:rPr>
      </w:pPr>
    </w:p>
    <w:p w14:paraId="6C156651" w14:textId="7C558972" w:rsidR="002864AE" w:rsidRDefault="009C1BBD" w:rsidP="002864AE">
      <w:pPr>
        <w:spacing w:line="360" w:lineRule="atLeast"/>
        <w:jc w:val="both"/>
        <w:rPr>
          <w:rFonts w:cs="Arial"/>
        </w:rPr>
      </w:pPr>
      <w:r>
        <w:rPr>
          <w:rFonts w:cs="Arial"/>
        </w:rPr>
        <w:t xml:space="preserve">In its concluding </w:t>
      </w:r>
      <w:r w:rsidR="003719B0">
        <w:rPr>
          <w:rFonts w:cs="Arial"/>
        </w:rPr>
        <w:t>observations</w:t>
      </w:r>
      <w:r>
        <w:rPr>
          <w:rFonts w:cs="Arial"/>
        </w:rPr>
        <w:t xml:space="preserve"> on Austria's fifth </w:t>
      </w:r>
      <w:r w:rsidR="003719B0">
        <w:rPr>
          <w:rFonts w:cs="Arial"/>
        </w:rPr>
        <w:t>periodic r</w:t>
      </w:r>
      <w:r>
        <w:rPr>
          <w:rFonts w:cs="Arial"/>
        </w:rPr>
        <w:t xml:space="preserve">eport pursuant to the International Covenant on Civil and Political Rights, dated 3 November 2015, the United Nations Human Rights Committee invited Austria to submit additional information regarding the implementation of the measures recommended in paragraphs 20, 22 and 30 within one year. In its letter of 1 April 2019, the Committee confirmed that it had received this information in due time and requested that Austria submit further information on the implementation of the recommendations in paragraphs 20, 22 and 30 by November 2021.  </w:t>
      </w:r>
    </w:p>
    <w:p w14:paraId="0C031C5A" w14:textId="7886C855" w:rsidR="002864AE" w:rsidRPr="00E9716F" w:rsidRDefault="002864AE" w:rsidP="002864AE">
      <w:pPr>
        <w:spacing w:line="360" w:lineRule="atLeast"/>
        <w:jc w:val="both"/>
        <w:rPr>
          <w:rFonts w:cs="Arial"/>
        </w:rPr>
      </w:pPr>
      <w:r>
        <w:rPr>
          <w:rFonts w:cs="Arial"/>
        </w:rPr>
        <w:t>The Republic of Austria wishes to make the following observations:</w:t>
      </w:r>
    </w:p>
    <w:p w14:paraId="6E6363F6" w14:textId="1DE4CB8E" w:rsidR="002864AE" w:rsidRPr="00E9716F" w:rsidRDefault="00B21367" w:rsidP="002864AE">
      <w:pPr>
        <w:spacing w:before="120" w:line="360" w:lineRule="auto"/>
        <w:jc w:val="both"/>
        <w:rPr>
          <w:u w:val="single"/>
        </w:rPr>
      </w:pPr>
      <w:r>
        <w:rPr>
          <w:u w:val="single"/>
        </w:rPr>
        <w:t>I.</w:t>
      </w:r>
      <w:r>
        <w:rPr>
          <w:u w:val="single"/>
        </w:rPr>
        <w:tab/>
        <w:t xml:space="preserve"> </w:t>
      </w:r>
      <w:r w:rsidR="00A2736D">
        <w:rPr>
          <w:u w:val="single"/>
        </w:rPr>
        <w:t>As to</w:t>
      </w:r>
      <w:r>
        <w:rPr>
          <w:u w:val="single"/>
        </w:rPr>
        <w:t xml:space="preserve"> para. 20: </w:t>
      </w:r>
      <w:r>
        <w:rPr>
          <w:i/>
          <w:u w:val="single"/>
        </w:rPr>
        <w:t>Racial profiling</w:t>
      </w:r>
      <w:r>
        <w:rPr>
          <w:u w:val="single"/>
        </w:rPr>
        <w:t xml:space="preserve"> and police misconduct</w:t>
      </w:r>
    </w:p>
    <w:p w14:paraId="75FEC834" w14:textId="77777777" w:rsidR="002864AE" w:rsidRDefault="002864AE" w:rsidP="00792DA4">
      <w:pPr>
        <w:pStyle w:val="SingleTxtG"/>
        <w:tabs>
          <w:tab w:val="left" w:pos="9072"/>
        </w:tabs>
        <w:spacing w:before="120" w:after="360" w:line="240" w:lineRule="auto"/>
        <w:ind w:left="0" w:right="0"/>
        <w:rPr>
          <w:bCs/>
          <w:i/>
          <w:sz w:val="22"/>
          <w:szCs w:val="22"/>
        </w:rPr>
      </w:pPr>
      <w:r>
        <w:rPr>
          <w:i/>
          <w:sz w:val="22"/>
        </w:rPr>
        <w:t>The State party should ensure that its legislation clearly prohibits racial profiling by the police and prevent investigation, arbitrary detention, searches and interrogation on the basis of physical appearance, colour, ethnic or national origin. It should also continue providing all law enforcement personnel with racial sensitivity training in order to curb racial profiling and police misbehaviour towards ethnic minorities. Law enforcement personnel who commit offences against persons belonging to ethnic minorities should be held accountable. The AOB should take steps to raise awareness about its new competence to receive complaints and consider making use of its ex-officio powers to open investigations into allegations of racial discrimination and racially motivated misconduct by the police.</w:t>
      </w:r>
    </w:p>
    <w:p w14:paraId="4A536C33" w14:textId="1B894688" w:rsidR="000374B4" w:rsidRDefault="00792DA4" w:rsidP="000374B4">
      <w:pPr>
        <w:spacing w:line="360" w:lineRule="atLeast"/>
        <w:jc w:val="both"/>
        <w:rPr>
          <w:rFonts w:cs="Arial"/>
        </w:rPr>
      </w:pPr>
      <w:r>
        <w:rPr>
          <w:rFonts w:cstheme="minorHAnsi"/>
        </w:rPr>
        <w:t>1.1.</w:t>
      </w:r>
      <w:r>
        <w:rPr>
          <w:rFonts w:cstheme="minorHAnsi"/>
        </w:rPr>
        <w:tab/>
      </w:r>
      <w:r>
        <w:rPr>
          <w:rFonts w:cstheme="minorHAnsi"/>
          <w:b/>
        </w:rPr>
        <w:t>Preventing and protecting against racism, xenophobia, intolerance and discrimination</w:t>
      </w:r>
      <w:r>
        <w:rPr>
          <w:rFonts w:cstheme="minorHAnsi"/>
        </w:rPr>
        <w:t xml:space="preserve"> is a high priority for Austria. With this in mind, Austria is constantly working to ensure further progress in this area. </w:t>
      </w:r>
      <w:r w:rsidR="00346788">
        <w:rPr>
          <w:rFonts w:cstheme="minorHAnsi"/>
          <w:szCs w:val="24"/>
          <w14:numForm w14:val="lining"/>
        </w:rPr>
        <w:t>According to the government program for the legislative period 2020-2024</w:t>
      </w:r>
      <w:r w:rsidR="00947E53">
        <w:rPr>
          <w:rFonts w:cstheme="minorHAnsi"/>
          <w:szCs w:val="24"/>
          <w14:numForm w14:val="lining"/>
        </w:rPr>
        <w:t>,</w:t>
      </w:r>
      <w:r w:rsidR="00346788">
        <w:rPr>
          <w:rFonts w:cstheme="minorHAnsi"/>
          <w:szCs w:val="24"/>
          <w14:numForm w14:val="lining"/>
        </w:rPr>
        <w:t xml:space="preserve"> a </w:t>
      </w:r>
      <w:r>
        <w:rPr>
          <w:rFonts w:cstheme="minorHAnsi"/>
          <w:u w:val="single"/>
        </w:rPr>
        <w:t>National Action Plan against Discrimination and Racism</w:t>
      </w:r>
      <w:r w:rsidR="00346788">
        <w:rPr>
          <w:rFonts w:cstheme="minorHAnsi"/>
          <w:u w:val="single"/>
        </w:rPr>
        <w:t xml:space="preserve"> is to be drafted, </w:t>
      </w:r>
      <w:r w:rsidR="00346788">
        <w:rPr>
          <w:rFonts w:cstheme="minorHAnsi"/>
        </w:rPr>
        <w:t xml:space="preserve">involving a wide range of stakeholders. It will </w:t>
      </w:r>
      <w:r>
        <w:rPr>
          <w:rFonts w:cstheme="minorHAnsi"/>
        </w:rPr>
        <w:t>set out a roadmap towards the overall objective of a cross-government strategy to combat racism, racial discrimination and ideologies predicated on inequality</w:t>
      </w:r>
      <w:r w:rsidR="00346788">
        <w:rPr>
          <w:rFonts w:cstheme="minorHAnsi"/>
        </w:rPr>
        <w:t>.</w:t>
      </w:r>
      <w:r>
        <w:rPr>
          <w:rFonts w:cstheme="minorHAnsi"/>
        </w:rPr>
        <w:t xml:space="preserve"> </w:t>
      </w:r>
      <w:r>
        <w:rPr>
          <w:rFonts w:cstheme="minorHAnsi"/>
          <w:u w:val="single"/>
        </w:rPr>
        <w:t>Fighting hate crimes of all kinds</w:t>
      </w:r>
      <w:r>
        <w:rPr>
          <w:rFonts w:cstheme="minorHAnsi"/>
        </w:rPr>
        <w:t xml:space="preserve">, and hate on the Internet in particular, is already a priority for the Austrian Federal Government. A raft of measures have been taken to address this issue in recent years. The </w:t>
      </w:r>
      <w:r>
        <w:rPr>
          <w:rFonts w:cstheme="minorHAnsi"/>
          <w:i/>
        </w:rPr>
        <w:t>Sonderreferate für extremistische Straftaten</w:t>
      </w:r>
      <w:r>
        <w:rPr>
          <w:rFonts w:cstheme="minorHAnsi"/>
        </w:rPr>
        <w:t xml:space="preserve"> (Special Offices for Extremist Crime), which were set up within public prosecutors' offices in 2017 to enable more effective prosecutions, and the </w:t>
      </w:r>
      <w:r>
        <w:rPr>
          <w:rFonts w:cstheme="minorHAnsi"/>
          <w:i/>
        </w:rPr>
        <w:t>Hass-im-Netz-Bekämpfungs-Gesetz</w:t>
      </w:r>
      <w:r>
        <w:rPr>
          <w:rFonts w:cstheme="minorHAnsi"/>
        </w:rPr>
        <w:t xml:space="preserve"> (Act to Combat Hatred on the Internet), which entered into force on 1</w:t>
      </w:r>
      <w:r w:rsidR="00234380">
        <w:rPr>
          <w:rFonts w:cstheme="minorHAnsi"/>
        </w:rPr>
        <w:t> </w:t>
      </w:r>
      <w:r>
        <w:rPr>
          <w:rFonts w:cstheme="minorHAnsi"/>
        </w:rPr>
        <w:t xml:space="preserve">January 2021, are particularly noteworthy in this regard. The new Act further strengthened the material criminal law in this area, especially with regard to infringements of image rights, hate postings </w:t>
      </w:r>
      <w:r>
        <w:rPr>
          <w:rFonts w:cstheme="minorHAnsi"/>
        </w:rPr>
        <w:lastRenderedPageBreak/>
        <w:t xml:space="preserve">and cyber-bullying. It also made it easier to trace perpetrators, included further provisions to improve the protection provided to victims, and introduced comprehensive changes to Austrian civil law, notably making </w:t>
      </w:r>
      <w:r w:rsidR="00761DC0">
        <w:rPr>
          <w:rFonts w:cstheme="minorHAnsi"/>
        </w:rPr>
        <w:t xml:space="preserve">law enforcement </w:t>
      </w:r>
      <w:r>
        <w:rPr>
          <w:rFonts w:cstheme="minorHAnsi"/>
        </w:rPr>
        <w:t xml:space="preserve">easier </w:t>
      </w:r>
      <w:r w:rsidR="00761DC0">
        <w:rPr>
          <w:rFonts w:cstheme="minorHAnsi"/>
        </w:rPr>
        <w:t xml:space="preserve">in case of a violation of the </w:t>
      </w:r>
      <w:r>
        <w:rPr>
          <w:rFonts w:cstheme="minorHAnsi"/>
        </w:rPr>
        <w:t>right</w:t>
      </w:r>
      <w:r w:rsidR="00761DC0">
        <w:rPr>
          <w:rFonts w:cstheme="minorHAnsi"/>
        </w:rPr>
        <w:t xml:space="preserve"> to privacy</w:t>
      </w:r>
      <w:r>
        <w:rPr>
          <w:rFonts w:cstheme="minorHAnsi"/>
        </w:rPr>
        <w:t xml:space="preserve">.   </w:t>
      </w:r>
    </w:p>
    <w:p w14:paraId="7D6ABD5C" w14:textId="7FC4FEDD" w:rsidR="000050EF" w:rsidRDefault="001059C8" w:rsidP="000374B4">
      <w:pPr>
        <w:spacing w:line="360" w:lineRule="atLeast"/>
        <w:jc w:val="both"/>
        <w:rPr>
          <w:rFonts w:cstheme="minorHAnsi"/>
          <w:szCs w:val="24"/>
          <w14:numForm w14:val="lining"/>
        </w:rPr>
      </w:pPr>
      <w:r>
        <w:rPr>
          <w:rFonts w:cstheme="minorHAnsi"/>
        </w:rPr>
        <w:t>1.2.</w:t>
      </w:r>
      <w:r>
        <w:rPr>
          <w:rFonts w:cstheme="minorHAnsi"/>
        </w:rPr>
        <w:tab/>
        <w:t xml:space="preserve">The way </w:t>
      </w:r>
      <w:r>
        <w:rPr>
          <w:rFonts w:cstheme="minorHAnsi"/>
          <w:b/>
        </w:rPr>
        <w:t>sensitive data is processed</w:t>
      </w:r>
      <w:r>
        <w:rPr>
          <w:rFonts w:cstheme="minorHAnsi"/>
        </w:rPr>
        <w:t xml:space="preserve"> in the course of </w:t>
      </w:r>
      <w:r>
        <w:rPr>
          <w:rFonts w:cstheme="minorHAnsi"/>
          <w:u w:val="single"/>
        </w:rPr>
        <w:t xml:space="preserve">investigatory </w:t>
      </w:r>
      <w:r w:rsidR="00761DC0">
        <w:rPr>
          <w:rFonts w:cstheme="minorHAnsi"/>
          <w:u w:val="single"/>
        </w:rPr>
        <w:t>measures</w:t>
      </w:r>
      <w:r>
        <w:rPr>
          <w:rFonts w:cstheme="minorHAnsi"/>
          <w:u w:val="single"/>
        </w:rPr>
        <w:t xml:space="preserve"> by the public prosecutor's office</w:t>
      </w:r>
      <w:r>
        <w:rPr>
          <w:rFonts w:cstheme="minorHAnsi"/>
        </w:rPr>
        <w:t xml:space="preserve"> is subject to the requirements set out in the Austrian Code of Criminal Procedure (</w:t>
      </w:r>
      <w:r>
        <w:rPr>
          <w:rFonts w:cstheme="minorHAnsi"/>
          <w:i/>
        </w:rPr>
        <w:t>Strafprozessordnung - StPO)</w:t>
      </w:r>
      <w:r>
        <w:rPr>
          <w:rFonts w:cstheme="minorHAnsi"/>
        </w:rPr>
        <w:t xml:space="preserve"> and the Austrian Data Protection Act (</w:t>
      </w:r>
      <w:r>
        <w:rPr>
          <w:rFonts w:cstheme="minorHAnsi"/>
          <w:i/>
        </w:rPr>
        <w:t>Datenschutzgesetz</w:t>
      </w:r>
      <w:r>
        <w:rPr>
          <w:rFonts w:cstheme="minorHAnsi"/>
        </w:rPr>
        <w:t xml:space="preserve">). </w:t>
      </w:r>
    </w:p>
    <w:p w14:paraId="02EF74A7" w14:textId="370D3D04" w:rsidR="000374B4" w:rsidRDefault="000050EF" w:rsidP="000374B4">
      <w:pPr>
        <w:spacing w:line="360" w:lineRule="atLeast"/>
        <w:jc w:val="both"/>
        <w:rPr>
          <w:rFonts w:cstheme="minorHAnsi"/>
        </w:rPr>
      </w:pPr>
      <w:r>
        <w:rPr>
          <w:rFonts w:cstheme="minorHAnsi"/>
        </w:rPr>
        <w:t>1.3.</w:t>
      </w:r>
      <w:r>
        <w:rPr>
          <w:rFonts w:cstheme="minorHAnsi"/>
        </w:rPr>
        <w:tab/>
        <w:t xml:space="preserve">Section 41 para. 3 of the Austrian Data Protection Act (BGBI. I no. 165/1999, as amended) </w:t>
      </w:r>
      <w:r w:rsidR="0053222A">
        <w:rPr>
          <w:rFonts w:cstheme="minorHAnsi"/>
        </w:rPr>
        <w:t xml:space="preserve">provides for </w:t>
      </w:r>
      <w:r>
        <w:rPr>
          <w:rFonts w:cstheme="minorHAnsi"/>
        </w:rPr>
        <w:t xml:space="preserve">an explicit </w:t>
      </w:r>
      <w:r w:rsidR="0053222A">
        <w:rPr>
          <w:rFonts w:cstheme="minorHAnsi"/>
          <w:b/>
        </w:rPr>
        <w:t>prohibition of</w:t>
      </w:r>
      <w:r>
        <w:rPr>
          <w:rFonts w:cstheme="minorHAnsi"/>
          <w:b/>
        </w:rPr>
        <w:t xml:space="preserve"> discrimination </w:t>
      </w:r>
      <w:r w:rsidR="0053222A">
        <w:rPr>
          <w:rFonts w:cstheme="minorHAnsi"/>
          <w:b/>
        </w:rPr>
        <w:t>in relation to</w:t>
      </w:r>
      <w:r>
        <w:rPr>
          <w:rFonts w:cstheme="minorHAnsi"/>
          <w:b/>
        </w:rPr>
        <w:t xml:space="preserve"> "profiling" when personal data is processed for the purposes of the security </w:t>
      </w:r>
      <w:r w:rsidR="0053222A">
        <w:rPr>
          <w:rFonts w:cstheme="minorHAnsi"/>
          <w:b/>
        </w:rPr>
        <w:t>police</w:t>
      </w:r>
      <w:r>
        <w:rPr>
          <w:rFonts w:cstheme="minorHAnsi"/>
        </w:rPr>
        <w:t xml:space="preserve">. However, this </w:t>
      </w:r>
      <w:r w:rsidR="0053222A">
        <w:rPr>
          <w:rFonts w:cstheme="minorHAnsi"/>
        </w:rPr>
        <w:t>prohibition</w:t>
      </w:r>
      <w:r>
        <w:rPr>
          <w:rFonts w:cstheme="minorHAnsi"/>
        </w:rPr>
        <w:t xml:space="preserve"> does not exclude the possibility that profiling </w:t>
      </w:r>
      <w:r w:rsidR="0053222A">
        <w:rPr>
          <w:rFonts w:cstheme="minorHAnsi"/>
        </w:rPr>
        <w:t xml:space="preserve">by using special categories of personal data </w:t>
      </w:r>
      <w:r>
        <w:rPr>
          <w:rFonts w:cstheme="minorHAnsi"/>
        </w:rPr>
        <w:t xml:space="preserve">may be justified (and therefore permissible) in specific individual cases (such as when an individual is being </w:t>
      </w:r>
      <w:r w:rsidR="00F14032">
        <w:rPr>
          <w:rFonts w:cstheme="minorHAnsi"/>
        </w:rPr>
        <w:t xml:space="preserve">searched for </w:t>
      </w:r>
      <w:r>
        <w:rPr>
          <w:rFonts w:cstheme="minorHAnsi"/>
        </w:rPr>
        <w:t>on the basis of their identifying features). This provision serves to implement the requirements of Article 11 of Directive (EU) 2016/680 of 27 April 2016 on the protection of natural persons with regard to the processing of personal data by competent authorities for the purposes of the prevention, investigation, detection or prosecution of criminal offences or the execution of criminal penalties, and on the free movement of such data, and repealing Council Framework Decision 2008/977/JHA. Pursuant to Article 3 (4) of Directive (EU) 201</w:t>
      </w:r>
      <w:r w:rsidR="00F14032">
        <w:rPr>
          <w:rFonts w:cstheme="minorHAnsi"/>
        </w:rPr>
        <w:t>6</w:t>
      </w:r>
      <w:r>
        <w:rPr>
          <w:rFonts w:cstheme="minorHAnsi"/>
        </w:rPr>
        <w:t>/680, profiling is defined as any form of automated processing of personal data consisting of the use of personal data to evaluate certain personal aspects relating to a natural person, in particular to analyse or predict aspects concerning that natural person's performance at work, economic situation, health, personal preferences, interests, reliability, behaviour, location or movements.</w:t>
      </w:r>
    </w:p>
    <w:p w14:paraId="375AD275" w14:textId="53C5A1EA" w:rsidR="007C50B4" w:rsidRPr="00A82224" w:rsidRDefault="007C50B4" w:rsidP="000374B4">
      <w:pPr>
        <w:spacing w:line="360" w:lineRule="atLeast"/>
        <w:jc w:val="both"/>
        <w:rPr>
          <w:rFonts w:cstheme="minorHAnsi"/>
          <w:szCs w:val="24"/>
          <w14:numForm w14:val="lining"/>
        </w:rPr>
      </w:pPr>
      <w:r>
        <w:rPr>
          <w:rFonts w:cstheme="minorHAnsi"/>
        </w:rPr>
        <w:t>2.1.</w:t>
      </w:r>
      <w:r>
        <w:rPr>
          <w:rFonts w:cstheme="minorHAnsi"/>
        </w:rPr>
        <w:tab/>
      </w:r>
      <w:r w:rsidR="00EA6329">
        <w:rPr>
          <w:rFonts w:cstheme="minorHAnsi"/>
        </w:rPr>
        <w:t xml:space="preserve">As regards executive officials, </w:t>
      </w:r>
      <w:r>
        <w:rPr>
          <w:rFonts w:cstheme="minorHAnsi"/>
        </w:rPr>
        <w:t xml:space="preserve">we </w:t>
      </w:r>
      <w:r>
        <w:rPr>
          <w:rFonts w:cstheme="minorHAnsi"/>
          <w:b/>
        </w:rPr>
        <w:t>work constantly to raise awareness</w:t>
      </w:r>
      <w:r>
        <w:rPr>
          <w:rFonts w:cstheme="minorHAnsi"/>
        </w:rPr>
        <w:t xml:space="preserve"> of </w:t>
      </w:r>
      <w:r>
        <w:rPr>
          <w:rFonts w:cstheme="minorHAnsi"/>
          <w:shd w:val="clear" w:color="auto" w:fill="FFFFFF"/>
        </w:rPr>
        <w:t xml:space="preserve">racial profiling and police misconduct, as well to eliminate bias. These topics have long been a fixture of basic and advanced training for middle-ranking executive officials. </w:t>
      </w:r>
    </w:p>
    <w:p w14:paraId="3248974B" w14:textId="3D0E0975" w:rsidR="001059C8" w:rsidRPr="005D3BA1" w:rsidRDefault="00672A68" w:rsidP="000374B4">
      <w:pPr>
        <w:spacing w:line="360" w:lineRule="atLeast"/>
        <w:jc w:val="both"/>
        <w:rPr>
          <w:rFonts w:cstheme="minorHAnsi"/>
          <w:bCs/>
          <w:szCs w:val="24"/>
          <w14:numForm w14:val="lining"/>
        </w:rPr>
      </w:pPr>
      <w:r>
        <w:rPr>
          <w:rFonts w:cstheme="minorHAnsi"/>
        </w:rPr>
        <w:t>2.2.</w:t>
      </w:r>
      <w:r>
        <w:rPr>
          <w:rFonts w:cstheme="minorHAnsi"/>
        </w:rPr>
        <w:tab/>
        <w:t xml:space="preserve">As far as the </w:t>
      </w:r>
      <w:r>
        <w:rPr>
          <w:rFonts w:cstheme="minorHAnsi"/>
          <w:u w:val="single"/>
        </w:rPr>
        <w:t>justice system</w:t>
      </w:r>
      <w:r>
        <w:rPr>
          <w:rFonts w:cstheme="minorHAnsi"/>
        </w:rPr>
        <w:t xml:space="preserve"> is concerned, officials are made very much aware of the importance of working (and indeed living) with and alongside people from a wide range of ethnic backgrounds in their daily lives, and of the need to ensure everyone is treated appropriately. Specific training on these issues includes a range of education and training </w:t>
      </w:r>
      <w:r>
        <w:rPr>
          <w:rFonts w:cstheme="minorHAnsi"/>
        </w:rPr>
        <w:lastRenderedPageBreak/>
        <w:t>courses on fundamental and human rights (covering topics such as equality and preventing discrimination), as well as dedicated anti-racism training.</w:t>
      </w:r>
    </w:p>
    <w:p w14:paraId="25E0D8FC" w14:textId="45D0CC1C" w:rsidR="001059C8" w:rsidRDefault="003B4792" w:rsidP="000374B4">
      <w:pPr>
        <w:spacing w:line="360" w:lineRule="atLeast"/>
        <w:jc w:val="both"/>
        <w:rPr>
          <w:rFonts w:cstheme="minorHAnsi"/>
          <w:szCs w:val="24"/>
          <w14:numForm w14:val="lining"/>
        </w:rPr>
      </w:pPr>
      <w:r>
        <w:rPr>
          <w:rFonts w:cstheme="minorHAnsi"/>
        </w:rPr>
        <w:t>2.2.1.</w:t>
      </w:r>
      <w:r>
        <w:rPr>
          <w:rFonts w:cstheme="minorHAnsi"/>
        </w:rPr>
        <w:tab/>
      </w:r>
      <w:r w:rsidR="00DC6D6F">
        <w:rPr>
          <w:rFonts w:cstheme="minorHAnsi"/>
          <w:i/>
        </w:rPr>
        <w:t xml:space="preserve">Candidate </w:t>
      </w:r>
      <w:r>
        <w:rPr>
          <w:rFonts w:cstheme="minorHAnsi"/>
          <w:i/>
        </w:rPr>
        <w:t>judges</w:t>
      </w:r>
      <w:r>
        <w:rPr>
          <w:rFonts w:cstheme="minorHAnsi"/>
        </w:rPr>
        <w:t xml:space="preserve"> must complete compulsory additional training on fundamental and human rights, and their knowledge of these topics is tested in the judges' examination. Specifically, they must complete the module on fundamental rights known as the </w:t>
      </w:r>
      <w:r>
        <w:rPr>
          <w:rFonts w:cstheme="minorHAnsi"/>
          <w:i/>
        </w:rPr>
        <w:t>Curriculum Grundrechte</w:t>
      </w:r>
      <w:r>
        <w:rPr>
          <w:rFonts w:cstheme="minorHAnsi"/>
        </w:rPr>
        <w:t xml:space="preserve">, </w:t>
      </w:r>
      <w:r w:rsidR="00552201">
        <w:rPr>
          <w:rFonts w:cstheme="minorHAnsi"/>
        </w:rPr>
        <w:t xml:space="preserve">which is held in cooperation with the </w:t>
      </w:r>
      <w:r w:rsidR="00552201" w:rsidRPr="00A964BC">
        <w:rPr>
          <w:rFonts w:cstheme="minorHAnsi"/>
          <w:szCs w:val="24"/>
          <w14:numForm w14:val="lining"/>
        </w:rPr>
        <w:t>Ludwig Boltzmann Institut</w:t>
      </w:r>
      <w:r w:rsidR="00552201">
        <w:rPr>
          <w:rFonts w:cstheme="minorHAnsi"/>
          <w:szCs w:val="24"/>
          <w14:numForm w14:val="lining"/>
        </w:rPr>
        <w:t>e for Human Rights in Vienna,</w:t>
      </w:r>
      <w:r w:rsidR="00552201" w:rsidRPr="00A964BC">
        <w:rPr>
          <w:rFonts w:cstheme="minorHAnsi"/>
          <w:szCs w:val="24"/>
          <w14:numForm w14:val="lining"/>
        </w:rPr>
        <w:t xml:space="preserve"> </w:t>
      </w:r>
      <w:r>
        <w:rPr>
          <w:rFonts w:cstheme="minorHAnsi"/>
        </w:rPr>
        <w:t xml:space="preserve">the </w:t>
      </w:r>
      <w:r>
        <w:rPr>
          <w:rFonts w:cstheme="minorHAnsi"/>
          <w:i/>
        </w:rPr>
        <w:t>European Training and Research Center for Human Rights and Democracy Graz</w:t>
      </w:r>
      <w:r>
        <w:rPr>
          <w:rFonts w:cstheme="minorHAnsi"/>
        </w:rPr>
        <w:t xml:space="preserve"> and the University of Salzburg's Austrian Institute for Human Rights. </w:t>
      </w:r>
      <w:r w:rsidR="00DC6D6F">
        <w:rPr>
          <w:rFonts w:cstheme="minorHAnsi"/>
        </w:rPr>
        <w:t>Candidate</w:t>
      </w:r>
      <w:r w:rsidR="00552201">
        <w:rPr>
          <w:rFonts w:cstheme="minorHAnsi"/>
        </w:rPr>
        <w:t xml:space="preserve"> judges</w:t>
      </w:r>
      <w:r>
        <w:rPr>
          <w:rFonts w:cstheme="minorHAnsi"/>
        </w:rPr>
        <w:t xml:space="preserve"> also have the opportunity to </w:t>
      </w:r>
      <w:r w:rsidR="00552201">
        <w:rPr>
          <w:rFonts w:cstheme="minorHAnsi"/>
        </w:rPr>
        <w:t>take part in a study-trip to</w:t>
      </w:r>
      <w:r>
        <w:rPr>
          <w:rFonts w:cstheme="minorHAnsi"/>
        </w:rPr>
        <w:t xml:space="preserve"> the European Court of Human Rights at Strasbourg.</w:t>
      </w:r>
    </w:p>
    <w:p w14:paraId="3DF112FD" w14:textId="7741AEE7" w:rsidR="001059C8" w:rsidRDefault="005D3BA1" w:rsidP="000374B4">
      <w:pPr>
        <w:spacing w:line="360" w:lineRule="atLeast"/>
        <w:jc w:val="both"/>
        <w:rPr>
          <w:rFonts w:cstheme="minorHAnsi"/>
          <w:szCs w:val="24"/>
          <w14:numForm w14:val="lining"/>
        </w:rPr>
      </w:pPr>
      <w:r>
        <w:rPr>
          <w:rFonts w:cstheme="minorHAnsi"/>
        </w:rPr>
        <w:t>2.2.2.</w:t>
      </w:r>
      <w:r>
        <w:rPr>
          <w:rFonts w:cstheme="minorHAnsi"/>
        </w:rPr>
        <w:tab/>
        <w:t xml:space="preserve">In order to ensure the justice system operates without prejudice or bias, diversity is also a key component of the professional training provided for </w:t>
      </w:r>
      <w:r>
        <w:rPr>
          <w:rFonts w:cstheme="minorHAnsi"/>
          <w:i/>
        </w:rPr>
        <w:t>judges</w:t>
      </w:r>
      <w:r>
        <w:rPr>
          <w:rFonts w:cstheme="minorHAnsi"/>
        </w:rPr>
        <w:t xml:space="preserve"> and </w:t>
      </w:r>
      <w:r>
        <w:rPr>
          <w:rFonts w:cstheme="minorHAnsi"/>
          <w:i/>
        </w:rPr>
        <w:t>public prosecutors</w:t>
      </w:r>
      <w:r>
        <w:rPr>
          <w:rFonts w:cstheme="minorHAnsi"/>
        </w:rPr>
        <w:t xml:space="preserve">. A dedicated anti-racism training session entitled </w:t>
      </w:r>
      <w:r>
        <w:rPr>
          <w:rFonts w:cstheme="minorHAnsi"/>
          <w:i/>
        </w:rPr>
        <w:t>Umgang mit Vielfalt im Justizalltag</w:t>
      </w:r>
      <w:r>
        <w:rPr>
          <w:rFonts w:cstheme="minorHAnsi"/>
        </w:rPr>
        <w:t xml:space="preserve"> (Dealing with Diversity in the Everyday Justice System) was held in 2021. This training allowed participants to reflect on their own prejudices and biases and those of others, as well as helping them to develop strategies for handling diversity. The issue of neutral language was a major focus of the training session, not least because it is so important in a judicial setting. Plans are in place to continue to deliver this anti-racism training in years to come.</w:t>
      </w:r>
    </w:p>
    <w:p w14:paraId="64724CC6" w14:textId="77777777" w:rsidR="001059C8" w:rsidRDefault="005D3BA1" w:rsidP="000374B4">
      <w:pPr>
        <w:spacing w:line="360" w:lineRule="atLeast"/>
        <w:jc w:val="both"/>
        <w:rPr>
          <w:rFonts w:cstheme="minorHAnsi"/>
          <w:szCs w:val="24"/>
          <w14:numForm w14:val="lining"/>
        </w:rPr>
      </w:pPr>
      <w:r>
        <w:rPr>
          <w:rFonts w:cstheme="minorHAnsi"/>
        </w:rPr>
        <w:t>2.2.3.</w:t>
      </w:r>
      <w:r>
        <w:rPr>
          <w:rFonts w:cstheme="minorHAnsi"/>
        </w:rPr>
        <w:tab/>
        <w:t xml:space="preserve">In addition, a wide range of training on anti-racism in an international context is also available. Examples include </w:t>
      </w:r>
      <w:r>
        <w:rPr>
          <w:rFonts w:cstheme="minorHAnsi"/>
          <w:i/>
        </w:rPr>
        <w:t>Racism - a challenge for the judicial system</w:t>
      </w:r>
      <w:r>
        <w:rPr>
          <w:rFonts w:cstheme="minorHAnsi"/>
        </w:rPr>
        <w:t xml:space="preserve">, </w:t>
      </w:r>
      <w:r>
        <w:rPr>
          <w:rFonts w:cstheme="minorHAnsi"/>
          <w:i/>
        </w:rPr>
        <w:t>EU Migration Law</w:t>
      </w:r>
      <w:r>
        <w:rPr>
          <w:rFonts w:cstheme="minorHAnsi"/>
        </w:rPr>
        <w:t xml:space="preserve"> and </w:t>
      </w:r>
      <w:r>
        <w:rPr>
          <w:rFonts w:cstheme="minorHAnsi"/>
          <w:i/>
        </w:rPr>
        <w:t>Cultural Diversity in the Courtroom</w:t>
      </w:r>
      <w:r>
        <w:rPr>
          <w:rFonts w:cstheme="minorHAnsi"/>
        </w:rPr>
        <w:t>).</w:t>
      </w:r>
    </w:p>
    <w:p w14:paraId="0FF8321B" w14:textId="77777777" w:rsidR="001059C8" w:rsidRDefault="001059C8" w:rsidP="001059C8">
      <w:pPr>
        <w:spacing w:line="360" w:lineRule="atLeast"/>
        <w:jc w:val="both"/>
        <w:rPr>
          <w:rFonts w:cstheme="minorHAnsi"/>
          <w:szCs w:val="24"/>
          <w14:numForm w14:val="lining"/>
        </w:rPr>
      </w:pPr>
      <w:r>
        <w:rPr>
          <w:rFonts w:cstheme="minorHAnsi"/>
        </w:rPr>
        <w:t>3.</w:t>
      </w:r>
      <w:r>
        <w:rPr>
          <w:rFonts w:cstheme="minorHAnsi"/>
        </w:rPr>
        <w:tab/>
        <w:t xml:space="preserve">Where </w:t>
      </w:r>
      <w:r>
        <w:rPr>
          <w:rFonts w:cstheme="minorHAnsi"/>
          <w:b/>
        </w:rPr>
        <w:t>racial profiling results in the commission of an offence punishable by law</w:t>
      </w:r>
      <w:r>
        <w:rPr>
          <w:rFonts w:cstheme="minorHAnsi"/>
        </w:rPr>
        <w:t xml:space="preserve">, such offences </w:t>
      </w:r>
      <w:r>
        <w:rPr>
          <w:rFonts w:cstheme="minorHAnsi"/>
          <w:b/>
        </w:rPr>
        <w:t>are investigated and prosecuted without restriction</w:t>
      </w:r>
      <w:r>
        <w:rPr>
          <w:rFonts w:cstheme="minorHAnsi"/>
        </w:rPr>
        <w:t xml:space="preserve">. </w:t>
      </w:r>
    </w:p>
    <w:p w14:paraId="3FA6F80C" w14:textId="7F9F9D47" w:rsidR="00803252" w:rsidRDefault="00803252" w:rsidP="001059C8">
      <w:pPr>
        <w:spacing w:line="360" w:lineRule="atLeast"/>
        <w:jc w:val="both"/>
      </w:pPr>
      <w:r>
        <w:rPr>
          <w:rFonts w:cstheme="minorHAnsi"/>
        </w:rPr>
        <w:t>4.1.</w:t>
      </w:r>
      <w:r>
        <w:rPr>
          <w:rFonts w:cstheme="minorHAnsi"/>
        </w:rPr>
        <w:tab/>
      </w:r>
      <w:r>
        <w:t xml:space="preserve">Die </w:t>
      </w:r>
      <w:r>
        <w:rPr>
          <w:b/>
        </w:rPr>
        <w:t>Austrian Ombudsman Board (AOB</w:t>
      </w:r>
      <w:r w:rsidRPr="00947E53">
        <w:rPr>
          <w:b/>
        </w:rPr>
        <w:t>)</w:t>
      </w:r>
      <w:r w:rsidRPr="00381A46">
        <w:rPr>
          <w:b/>
        </w:rPr>
        <w:t xml:space="preserve"> </w:t>
      </w:r>
      <w:r w:rsidR="00381A46">
        <w:rPr>
          <w:b/>
        </w:rPr>
        <w:t xml:space="preserve">actively carries out public relations work </w:t>
      </w:r>
      <w:r>
        <w:t xml:space="preserve">and, in so doing, continually raises public awareness of its </w:t>
      </w:r>
      <w:r w:rsidR="00381A46">
        <w:t xml:space="preserve">tasks </w:t>
      </w:r>
      <w:r>
        <w:t xml:space="preserve">and </w:t>
      </w:r>
      <w:r w:rsidR="00381A46">
        <w:t>opportunities</w:t>
      </w:r>
      <w:r>
        <w:t xml:space="preserve">. The most important tools available to the AOB in its </w:t>
      </w:r>
      <w:r w:rsidR="00381A46">
        <w:t xml:space="preserve">public relations work </w:t>
      </w:r>
      <w:r>
        <w:t>include an comprehensive online presence (including a monthly newsletter), and the television programme "Bürgeranwalt“ (Citizen Advocate), which is broadcast once a week on Austrian state television. The variety of the AOB's public</w:t>
      </w:r>
      <w:r w:rsidR="007B71DE">
        <w:t xml:space="preserve"> relations </w:t>
      </w:r>
      <w:r>
        <w:t>work is reflected in the large number of media reports about the Ombudsman Board. In 2019, the AOB was featured in around 5,670</w:t>
      </w:r>
      <w:r w:rsidR="00947E53">
        <w:t> </w:t>
      </w:r>
      <w:r>
        <w:t xml:space="preserve">reports by Austrian news agencies, in print, online, on radio and on television. In spring </w:t>
      </w:r>
      <w:r>
        <w:lastRenderedPageBreak/>
        <w:t xml:space="preserve">2020, the market research institute IMAS conducted a survey to measure public awareness of the AOB across Austria, commissioned by the Ombudsman Board itself. The results showed that three out of four of those surveyed were aware of the AOB, and that a majority of respondents were well informed about its work. 52% of those who said they knew about the AOB also knew that it investigates complaints about </w:t>
      </w:r>
      <w:r w:rsidR="007B71DE">
        <w:t xml:space="preserve">the </w:t>
      </w:r>
      <w:r>
        <w:t>administrati</w:t>
      </w:r>
      <w:r w:rsidR="007B71DE">
        <w:t>on</w:t>
      </w:r>
      <w:r>
        <w:t xml:space="preserve">. The high level of awareness of the AOB is also reflected in the number of </w:t>
      </w:r>
      <w:r w:rsidR="007B71DE">
        <w:t>annually received complaints</w:t>
      </w:r>
      <w:r>
        <w:t xml:space="preserve">; in 2020, it received </w:t>
      </w:r>
      <w:r w:rsidR="007B71DE">
        <w:t xml:space="preserve">almost </w:t>
      </w:r>
      <w:r>
        <w:t>18,000 complaints.</w:t>
      </w:r>
    </w:p>
    <w:p w14:paraId="0386ADB8" w14:textId="585CAB8B" w:rsidR="00552E63" w:rsidRDefault="00552E63" w:rsidP="001059C8">
      <w:pPr>
        <w:spacing w:line="360" w:lineRule="atLeast"/>
        <w:jc w:val="both"/>
        <w:rPr>
          <w:rFonts w:cstheme="minorHAnsi"/>
          <w:szCs w:val="24"/>
          <w14:numForm w14:val="lining"/>
        </w:rPr>
      </w:pPr>
      <w:r>
        <w:t>4.2.</w:t>
      </w:r>
      <w:r>
        <w:tab/>
        <w:t xml:space="preserve">The AOB </w:t>
      </w:r>
      <w:r w:rsidR="001B2C8A">
        <w:t xml:space="preserve">conducts </w:t>
      </w:r>
      <w:r w:rsidR="001B2C8A" w:rsidRPr="00947E53">
        <w:rPr>
          <w:i/>
        </w:rPr>
        <w:t>ex officio</w:t>
      </w:r>
      <w:r w:rsidR="001B2C8A">
        <w:t xml:space="preserve"> investigations </w:t>
      </w:r>
      <w:r>
        <w:t xml:space="preserve">where there is evidence of racially discriminatory behaviour or racially motivated misconduct by </w:t>
      </w:r>
      <w:r w:rsidR="001B2C8A">
        <w:t xml:space="preserve">executive </w:t>
      </w:r>
      <w:r>
        <w:t xml:space="preserve">officials. This evidence may come from media reports, observations by the Commissions of the AOB, or following tip-offs from individuals who are not immediately involved in the case concerned. For example, in 2018, observations made by an AOB Commission as part of the National Preventative Mechanism (NPM) raised suspicions that an executive official </w:t>
      </w:r>
      <w:r w:rsidR="00ED4D80">
        <w:t xml:space="preserve">made racist remarks </w:t>
      </w:r>
      <w:r>
        <w:t>in a</w:t>
      </w:r>
      <w:r w:rsidR="00ED4D80">
        <w:t xml:space="preserve"> facility</w:t>
      </w:r>
      <w:r>
        <w:t xml:space="preserve"> providing basic </w:t>
      </w:r>
      <w:r w:rsidR="00ED4D80">
        <w:t>care</w:t>
      </w:r>
      <w:r>
        <w:t xml:space="preserve"> to </w:t>
      </w:r>
      <w:r w:rsidR="00ED4D80">
        <w:t>refugees (</w:t>
      </w:r>
      <w:r w:rsidR="00ED4D80" w:rsidRPr="00947E53">
        <w:rPr>
          <w:i/>
        </w:rPr>
        <w:t>Grundversorgungseinrichtung</w:t>
      </w:r>
      <w:r w:rsidR="00ED4D80">
        <w:t>)</w:t>
      </w:r>
      <w:r>
        <w:t xml:space="preserve">. The AOB </w:t>
      </w:r>
      <w:r w:rsidR="008A27C0">
        <w:t xml:space="preserve">therefore opened </w:t>
      </w:r>
      <w:r w:rsidR="008A27C0" w:rsidRPr="00947E53">
        <w:rPr>
          <w:i/>
        </w:rPr>
        <w:t>ex officio</w:t>
      </w:r>
      <w:r>
        <w:t xml:space="preserve"> investigation</w:t>
      </w:r>
      <w:r w:rsidR="008A27C0">
        <w:t>s</w:t>
      </w:r>
      <w:r>
        <w:t xml:space="preserve"> into the matter. </w:t>
      </w:r>
      <w:r w:rsidR="008A27C0">
        <w:t>Subsequently</w:t>
      </w:r>
      <w:r>
        <w:t xml:space="preserve">, the Federal Ministry of the Interior admitted that </w:t>
      </w:r>
      <w:r w:rsidR="008A27C0">
        <w:t xml:space="preserve">an </w:t>
      </w:r>
      <w:r>
        <w:t xml:space="preserve">executive official had made a xenophobic remark </w:t>
      </w:r>
      <w:r w:rsidR="008A27C0">
        <w:t xml:space="preserve">during a </w:t>
      </w:r>
      <w:r>
        <w:t xml:space="preserve">challenging </w:t>
      </w:r>
      <w:r w:rsidR="008A27C0">
        <w:t>official act</w:t>
      </w:r>
      <w:r>
        <w:t>. The police officer concerned was called into a meeting, where he was reminded that his behaviour had been unacceptable. He then underwent further training to emphasise the importance of correct, non-discriminatory behaviour at all times while on duty.</w:t>
      </w:r>
    </w:p>
    <w:p w14:paraId="60C318A6" w14:textId="5413BA33" w:rsidR="00973DAB" w:rsidRPr="00E9716F" w:rsidRDefault="00973DAB" w:rsidP="00973DAB">
      <w:pPr>
        <w:spacing w:before="240" w:line="360" w:lineRule="auto"/>
        <w:jc w:val="both"/>
        <w:rPr>
          <w:u w:val="single"/>
        </w:rPr>
      </w:pPr>
      <w:r>
        <w:rPr>
          <w:u w:val="single"/>
        </w:rPr>
        <w:t>II.</w:t>
      </w:r>
      <w:r>
        <w:rPr>
          <w:u w:val="single"/>
        </w:rPr>
        <w:tab/>
      </w:r>
      <w:r w:rsidR="008A27C0">
        <w:rPr>
          <w:u w:val="single"/>
        </w:rPr>
        <w:t>As to p</w:t>
      </w:r>
      <w:r>
        <w:rPr>
          <w:u w:val="single"/>
        </w:rPr>
        <w:t xml:space="preserve">aragraph 22: Ill-treatment of </w:t>
      </w:r>
      <w:r w:rsidR="00AD7539">
        <w:rPr>
          <w:u w:val="single"/>
        </w:rPr>
        <w:t>persons</w:t>
      </w:r>
      <w:r>
        <w:rPr>
          <w:u w:val="single"/>
        </w:rPr>
        <w:t xml:space="preserve"> </w:t>
      </w:r>
      <w:r w:rsidR="00B06F0C">
        <w:rPr>
          <w:u w:val="single"/>
        </w:rPr>
        <w:t>deprived of their liberty</w:t>
      </w:r>
    </w:p>
    <w:p w14:paraId="379589F9" w14:textId="77777777" w:rsidR="00973DAB" w:rsidRDefault="00973DAB" w:rsidP="00973DAB">
      <w:pPr>
        <w:pStyle w:val="SingleTxtG"/>
        <w:spacing w:before="120" w:line="240" w:lineRule="auto"/>
        <w:ind w:left="0" w:right="0"/>
        <w:rPr>
          <w:i/>
          <w:sz w:val="22"/>
          <w:szCs w:val="22"/>
          <w:lang w:eastAsia="en-GB"/>
        </w:rPr>
      </w:pPr>
      <w:r>
        <w:rPr>
          <w:i/>
          <w:sz w:val="22"/>
        </w:rPr>
        <w:t>The State party should undertake an independent investigation into the reasons underlying the discrepancy between the low number of criminal convictions for ill-treatment in police custody and the relatively high number of allegations. It should also ensure prompt, thorough and impartial investigations and documentation, in accordance with the Istanbul Protocol, into all allegations of torture and ill-treatment. Perpetrators prosecuted and convicted should be subjected to sanctions commensurate with the gravity of their acts, and victims provided with effective remedies. The State party should also collect and make public information on the number and nature of reported incidents of torture and ill-treatment of detainees, disaggregated by age, gender and ethnic origin of victims, as well as on the convictions and types of sentences/sanctions imposed on perpetrators of such acts.</w:t>
      </w:r>
    </w:p>
    <w:p w14:paraId="2D830628" w14:textId="26EA3B0B" w:rsidR="00E80C57" w:rsidRDefault="00E80C57" w:rsidP="00E80C57">
      <w:pPr>
        <w:spacing w:line="360" w:lineRule="atLeast"/>
        <w:jc w:val="both"/>
        <w:rPr>
          <w:rFonts w:cstheme="minorHAnsi"/>
          <w:szCs w:val="24"/>
          <w14:numForm w14:val="lining"/>
        </w:rPr>
      </w:pPr>
      <w:r>
        <w:t>1.1.</w:t>
      </w:r>
      <w:r>
        <w:tab/>
      </w:r>
      <w:r>
        <w:rPr>
          <w:rFonts w:cstheme="minorHAnsi"/>
          <w:shd w:val="clear" w:color="auto" w:fill="FFFFFF"/>
        </w:rPr>
        <w:t xml:space="preserve">Procedures for investigating potential instances of ill-treatment by the police are comprehensively regulated </w:t>
      </w:r>
      <w:r w:rsidR="00B06F0C">
        <w:rPr>
          <w:rFonts w:cstheme="minorHAnsi"/>
          <w:shd w:val="clear" w:color="auto" w:fill="FFFFFF"/>
        </w:rPr>
        <w:t>by</w:t>
      </w:r>
      <w:r>
        <w:rPr>
          <w:rFonts w:cstheme="minorHAnsi"/>
          <w:shd w:val="clear" w:color="auto" w:fill="FFFFFF"/>
        </w:rPr>
        <w:t xml:space="preserve"> Austrian criminal law and </w:t>
      </w:r>
      <w:r w:rsidR="00B06F0C">
        <w:rPr>
          <w:rFonts w:cstheme="minorHAnsi"/>
          <w:shd w:val="clear" w:color="auto" w:fill="FFFFFF"/>
        </w:rPr>
        <w:t>decrees</w:t>
      </w:r>
      <w:r>
        <w:rPr>
          <w:rFonts w:cstheme="minorHAnsi"/>
          <w:shd w:val="clear" w:color="auto" w:fill="FFFFFF"/>
        </w:rPr>
        <w:t xml:space="preserve"> issued by the </w:t>
      </w:r>
      <w:r>
        <w:rPr>
          <w:rFonts w:cstheme="minorHAnsi"/>
        </w:rPr>
        <w:t>Federal Ministry of Justice (</w:t>
      </w:r>
      <w:r>
        <w:rPr>
          <w:rFonts w:cstheme="minorHAnsi"/>
          <w:shd w:val="clear" w:color="auto" w:fill="FFFFFF"/>
        </w:rPr>
        <w:t>BMJ) and the Federal Ministry of the Interior (BMI).</w:t>
      </w:r>
      <w:r>
        <w:t xml:space="preserve"> </w:t>
      </w:r>
      <w:r>
        <w:rPr>
          <w:rFonts w:cstheme="minorHAnsi"/>
        </w:rPr>
        <w:t xml:space="preserve">In 2017, the BMJ commissioned the </w:t>
      </w:r>
      <w:r>
        <w:rPr>
          <w:rFonts w:cstheme="minorHAnsi"/>
          <w:i/>
        </w:rPr>
        <w:t>Austrian Center for Law Enforcement Sciences (ALES)</w:t>
      </w:r>
      <w:r>
        <w:rPr>
          <w:rFonts w:cstheme="minorHAnsi"/>
        </w:rPr>
        <w:t xml:space="preserve"> to carry out a </w:t>
      </w:r>
      <w:r>
        <w:rPr>
          <w:rFonts w:cstheme="minorHAnsi"/>
          <w:b/>
        </w:rPr>
        <w:t>study</w:t>
      </w:r>
      <w:r>
        <w:t xml:space="preserve"> </w:t>
      </w:r>
      <w:r>
        <w:rPr>
          <w:rFonts w:cstheme="minorHAnsi"/>
          <w:b/>
        </w:rPr>
        <w:t>of the</w:t>
      </w:r>
      <w:r>
        <w:t xml:space="preserve"> </w:t>
      </w:r>
      <w:r>
        <w:rPr>
          <w:rFonts w:cstheme="minorHAnsi"/>
          <w:b/>
        </w:rPr>
        <w:t xml:space="preserve">approach taken by public prosecutors and criminal police when dealing with accusations of ill-treatment made against executive </w:t>
      </w:r>
      <w:r w:rsidR="00B06F0C">
        <w:rPr>
          <w:rFonts w:cstheme="minorHAnsi"/>
          <w:b/>
        </w:rPr>
        <w:t>officials</w:t>
      </w:r>
      <w:r w:rsidR="00947E53">
        <w:rPr>
          <w:rFonts w:cstheme="minorHAnsi"/>
        </w:rPr>
        <w:t>. The study considered 772 </w:t>
      </w:r>
      <w:r>
        <w:rPr>
          <w:rFonts w:cstheme="minorHAnsi"/>
        </w:rPr>
        <w:t xml:space="preserve">files </w:t>
      </w:r>
      <w:r>
        <w:rPr>
          <w:rFonts w:cstheme="minorHAnsi"/>
        </w:rPr>
        <w:lastRenderedPageBreak/>
        <w:t xml:space="preserve">from the public prosecutors' offices in Vienna and Salzburg, dating from the period 2012 to 2015 and covering 1,518 allegations of ill-treatment made against executive officials. </w:t>
      </w:r>
    </w:p>
    <w:p w14:paraId="69FD5365" w14:textId="08CA4807" w:rsidR="00E80C57" w:rsidRPr="007A7B10" w:rsidRDefault="00E80C57" w:rsidP="00E80C57">
      <w:pPr>
        <w:spacing w:line="360" w:lineRule="atLeast"/>
        <w:jc w:val="both"/>
        <w:rPr>
          <w:rFonts w:cstheme="minorHAnsi"/>
          <w:szCs w:val="24"/>
          <w14:numForm w14:val="lining"/>
        </w:rPr>
      </w:pPr>
      <w:r>
        <w:rPr>
          <w:rFonts w:cstheme="minorHAnsi"/>
        </w:rPr>
        <w:t>1.2.</w:t>
      </w:r>
      <w:r>
        <w:rPr>
          <w:rFonts w:cstheme="minorHAnsi"/>
        </w:rPr>
        <w:tab/>
        <w:t xml:space="preserve">On the basis of an analysis of these files and subsequent interviews, the authors of the study </w:t>
      </w:r>
      <w:r w:rsidR="00324646">
        <w:rPr>
          <w:rFonts w:cstheme="minorHAnsi"/>
        </w:rPr>
        <w:t xml:space="preserve">made recommendations for action </w:t>
      </w:r>
      <w:r>
        <w:rPr>
          <w:rFonts w:cstheme="minorHAnsi"/>
        </w:rPr>
        <w:t xml:space="preserve">and </w:t>
      </w:r>
      <w:r w:rsidR="00324646">
        <w:rPr>
          <w:rFonts w:cstheme="minorHAnsi"/>
        </w:rPr>
        <w:t xml:space="preserve">provided </w:t>
      </w:r>
      <w:r>
        <w:rPr>
          <w:rFonts w:cstheme="minorHAnsi"/>
        </w:rPr>
        <w:t xml:space="preserve">a detailed phenomenology of a 'typical' accusation of ill-treatment in order to distinguish more effectively between justified and unjustified allegations made against executive officials. Its provisional final report was published in February 2018 and included a total of six recommendations for action. Some of these were directed at the BMI, some at the BMJ, and some at both </w:t>
      </w:r>
      <w:r w:rsidR="00324646">
        <w:rPr>
          <w:rFonts w:cstheme="minorHAnsi"/>
        </w:rPr>
        <w:t xml:space="preserve">ministries </w:t>
      </w:r>
      <w:r>
        <w:rPr>
          <w:rFonts w:cstheme="minorHAnsi"/>
        </w:rPr>
        <w:t xml:space="preserve">(see </w:t>
      </w:r>
      <w:r>
        <w:rPr>
          <w:rFonts w:cstheme="minorHAnsi"/>
          <w:u w:val="single"/>
        </w:rPr>
        <w:t>Enclosure</w:t>
      </w:r>
      <w:r w:rsidR="00947E53">
        <w:rPr>
          <w:rFonts w:cstheme="minorHAnsi"/>
          <w:u w:val="single"/>
        </w:rPr>
        <w:t> </w:t>
      </w:r>
      <w:r>
        <w:rPr>
          <w:rFonts w:cstheme="minorHAnsi"/>
          <w:u w:val="single"/>
        </w:rPr>
        <w:t>A</w:t>
      </w:r>
      <w:r>
        <w:rPr>
          <w:rFonts w:cstheme="minorHAnsi"/>
        </w:rPr>
        <w:t xml:space="preserve">). </w:t>
      </w:r>
      <w:r w:rsidR="00324646">
        <w:rPr>
          <w:rFonts w:cstheme="minorHAnsi"/>
        </w:rPr>
        <w:t>I</w:t>
      </w:r>
      <w:r>
        <w:rPr>
          <w:rFonts w:cstheme="minorHAnsi"/>
        </w:rPr>
        <w:t>t was</w:t>
      </w:r>
      <w:r w:rsidR="00324646">
        <w:rPr>
          <w:rFonts w:cstheme="minorHAnsi"/>
        </w:rPr>
        <w:t xml:space="preserve">, </w:t>
      </w:r>
      <w:r w:rsidR="00324646" w:rsidRPr="00947E53">
        <w:rPr>
          <w:rFonts w:cstheme="minorHAnsi"/>
          <w:i/>
        </w:rPr>
        <w:t>inter alia</w:t>
      </w:r>
      <w:r w:rsidR="00324646">
        <w:rPr>
          <w:rFonts w:cstheme="minorHAnsi"/>
        </w:rPr>
        <w:t>,</w:t>
      </w:r>
      <w:r>
        <w:rPr>
          <w:rFonts w:cstheme="minorHAnsi"/>
        </w:rPr>
        <w:t xml:space="preserve"> </w:t>
      </w:r>
      <w:r w:rsidR="00324646">
        <w:rPr>
          <w:rFonts w:cstheme="minorHAnsi"/>
        </w:rPr>
        <w:t>noted</w:t>
      </w:r>
      <w:r>
        <w:rPr>
          <w:rFonts w:cstheme="minorHAnsi"/>
        </w:rPr>
        <w:t xml:space="preserve"> that the 24-hour deadline for reporting incidents to the public prosecutor's office was too short for an investigation to be carried out, and that face-to-face or telephone conversations involving the criminal police and the public prosecutor's office should be recorded in writing and added to the relevant file to improve the traceability of investigative proceedings. In light of these recommendations, public prosecutors and judges are also required to ensure all documents are correctly referenced in the electronic judicial register to facilitate the collection of reliable data. The study also emphasised the importance of avoiding duplication in the conduct of proceedings.</w:t>
      </w:r>
    </w:p>
    <w:p w14:paraId="36753F2E" w14:textId="3C61FC20" w:rsidR="00260D2A" w:rsidRDefault="00B84014" w:rsidP="00E80C57">
      <w:pPr>
        <w:spacing w:line="360" w:lineRule="atLeast"/>
        <w:jc w:val="both"/>
        <w:rPr>
          <w:rFonts w:cstheme="minorHAnsi"/>
          <w:szCs w:val="24"/>
          <w14:numForm w14:val="lining"/>
        </w:rPr>
      </w:pPr>
      <w:r>
        <w:rPr>
          <w:rFonts w:cstheme="minorHAnsi"/>
        </w:rPr>
        <w:t>1.3.</w:t>
      </w:r>
      <w:r>
        <w:rPr>
          <w:rFonts w:cstheme="minorHAnsi"/>
        </w:rPr>
        <w:tab/>
      </w:r>
      <w:r w:rsidR="001E0610">
        <w:rPr>
          <w:rFonts w:cstheme="minorHAnsi"/>
        </w:rPr>
        <w:t>Subsequently</w:t>
      </w:r>
      <w:r>
        <w:rPr>
          <w:rFonts w:cstheme="minorHAnsi"/>
        </w:rPr>
        <w:t xml:space="preserve">, both the BMJ and BMI amended their </w:t>
      </w:r>
      <w:r w:rsidR="001E0610">
        <w:rPr>
          <w:rFonts w:cstheme="minorHAnsi"/>
        </w:rPr>
        <w:t>decrees</w:t>
      </w:r>
      <w:r>
        <w:rPr>
          <w:rFonts w:cstheme="minorHAnsi"/>
        </w:rPr>
        <w:t xml:space="preserve">to take account of the recommendations (see </w:t>
      </w:r>
      <w:r>
        <w:rPr>
          <w:rFonts w:cstheme="minorHAnsi"/>
          <w:u w:val="single"/>
        </w:rPr>
        <w:t>Enclosure B</w:t>
      </w:r>
      <w:r>
        <w:rPr>
          <w:rFonts w:cstheme="minorHAnsi"/>
        </w:rPr>
        <w:t xml:space="preserve"> [Erlass des BMVRDJ vom 25. Juni 2018 über das Vorgehen bei Misshandlungsvorwürfen gegen Organe der Sicherheitsbehörden und Strafvollzugs</w:t>
      </w:r>
      <w:r>
        <w:rPr>
          <w:rFonts w:cstheme="minorHAnsi"/>
        </w:rPr>
        <w:softHyphen/>
        <w:t>bediensteten, GZ BMVRDJ-S880.014/0013-IV/2018</w:t>
      </w:r>
      <w:r w:rsidR="001E0610">
        <w:rPr>
          <w:rFonts w:cstheme="minorHAnsi"/>
        </w:rPr>
        <w:t xml:space="preserve"> – </w:t>
      </w:r>
      <w:r>
        <w:rPr>
          <w:rFonts w:cstheme="minorHAnsi"/>
        </w:rPr>
        <w:t>BMVRDJ D</w:t>
      </w:r>
      <w:r w:rsidR="001E0610">
        <w:rPr>
          <w:rFonts w:cstheme="minorHAnsi"/>
        </w:rPr>
        <w:t>ecree</w:t>
      </w:r>
      <w:r>
        <w:rPr>
          <w:rFonts w:cstheme="minorHAnsi"/>
        </w:rPr>
        <w:t xml:space="preserve"> of 25 June 2018 on conduct in the event of allegations of ill-treatment against </w:t>
      </w:r>
      <w:r w:rsidR="00A11870">
        <w:rPr>
          <w:rFonts w:cstheme="minorHAnsi"/>
        </w:rPr>
        <w:t xml:space="preserve">organs of the </w:t>
      </w:r>
      <w:r>
        <w:rPr>
          <w:rFonts w:cstheme="minorHAnsi"/>
        </w:rPr>
        <w:t xml:space="preserve">security </w:t>
      </w:r>
      <w:r w:rsidR="00A11870">
        <w:rPr>
          <w:rFonts w:cstheme="minorHAnsi"/>
        </w:rPr>
        <w:t>authorities</w:t>
      </w:r>
      <w:r>
        <w:rPr>
          <w:rFonts w:cstheme="minorHAnsi"/>
        </w:rPr>
        <w:t xml:space="preserve"> and </w:t>
      </w:r>
      <w:r w:rsidR="00AD7539">
        <w:rPr>
          <w:rFonts w:cstheme="minorHAnsi"/>
        </w:rPr>
        <w:t xml:space="preserve">law </w:t>
      </w:r>
      <w:r>
        <w:rPr>
          <w:rFonts w:cstheme="minorHAnsi"/>
        </w:rPr>
        <w:t xml:space="preserve">enforcement officials] and </w:t>
      </w:r>
      <w:r>
        <w:rPr>
          <w:rFonts w:cstheme="minorHAnsi"/>
          <w:u w:val="single"/>
        </w:rPr>
        <w:t>Enclosure C</w:t>
      </w:r>
      <w:r>
        <w:rPr>
          <w:rFonts w:cstheme="minorHAnsi"/>
        </w:rPr>
        <w:t xml:space="preserve"> [Erlass des BMI vom 19. Juni 2018; </w:t>
      </w:r>
      <w:r>
        <w:t>Misshandlungsvorwürfe, Dokumentation, Sachverhaltserhebung und Beurteilung; NEUVERLAUTBARUNG; Organisation; Dienstbetrieb; GZ BMI-OA1305/0147-II/1/c/2018</w:t>
      </w:r>
      <w:r w:rsidR="001E0610">
        <w:t xml:space="preserve"> – </w:t>
      </w:r>
      <w:r>
        <w:t>D</w:t>
      </w:r>
      <w:r w:rsidR="001E0610">
        <w:t>ecree</w:t>
      </w:r>
      <w:r>
        <w:t xml:space="preserve"> of the BM</w:t>
      </w:r>
      <w:r w:rsidR="001E0610">
        <w:t>I</w:t>
      </w:r>
      <w:r>
        <w:t xml:space="preserve"> of 19 June 2018; Allegations of ill-treatment, record-keeping, </w:t>
      </w:r>
      <w:r w:rsidR="001E0610">
        <w:t xml:space="preserve">establishing </w:t>
      </w:r>
      <w:r>
        <w:t xml:space="preserve"> facts and assessment; </w:t>
      </w:r>
      <w:r w:rsidR="001E0610">
        <w:t>NEW PROMULGATION</w:t>
      </w:r>
      <w:r>
        <w:t xml:space="preserve">; Organisation; </w:t>
      </w:r>
      <w:r w:rsidR="00A11870">
        <w:t>Operation of service])</w:t>
      </w:r>
      <w:r>
        <w:t>.</w:t>
      </w:r>
    </w:p>
    <w:p w14:paraId="4B059A5B" w14:textId="3754E0CC" w:rsidR="00E80C57" w:rsidRPr="00070520" w:rsidRDefault="00B84014" w:rsidP="00E80C57">
      <w:pPr>
        <w:spacing w:line="360" w:lineRule="atLeast"/>
        <w:jc w:val="both"/>
        <w:rPr>
          <w:rFonts w:cstheme="minorHAnsi"/>
          <w:szCs w:val="24"/>
          <w14:numForm w14:val="lining"/>
        </w:rPr>
      </w:pPr>
      <w:r>
        <w:rPr>
          <w:rFonts w:cstheme="minorHAnsi"/>
        </w:rPr>
        <w:t>1.4.</w:t>
      </w:r>
      <w:r>
        <w:rPr>
          <w:rFonts w:cstheme="minorHAnsi"/>
        </w:rPr>
        <w:tab/>
        <w:t xml:space="preserve">ALES' supplementary report, dated 30 August 2018 (see </w:t>
      </w:r>
      <w:r>
        <w:rPr>
          <w:rFonts w:cstheme="minorHAnsi"/>
          <w:u w:val="single"/>
        </w:rPr>
        <w:t>Enclosure D</w:t>
      </w:r>
      <w:r>
        <w:rPr>
          <w:rFonts w:cstheme="minorHAnsi"/>
        </w:rPr>
        <w:t xml:space="preserve">) concluded that, by updating their </w:t>
      </w:r>
      <w:r w:rsidR="00AD7539">
        <w:rPr>
          <w:rFonts w:cstheme="minorHAnsi"/>
        </w:rPr>
        <w:t>decrees</w:t>
      </w:r>
      <w:r>
        <w:rPr>
          <w:rFonts w:cstheme="minorHAnsi"/>
        </w:rPr>
        <w:t>, the BMJ and BMI were implementing the recommendations made in the study. Indeed, this supplementary report explicitly stated that the amended d</w:t>
      </w:r>
      <w:r w:rsidR="00AD7539">
        <w:rPr>
          <w:rFonts w:cstheme="minorHAnsi"/>
        </w:rPr>
        <w:t>ecrees</w:t>
      </w:r>
      <w:r>
        <w:rPr>
          <w:rFonts w:cstheme="minorHAnsi"/>
        </w:rPr>
        <w:t xml:space="preserve"> took all the recommendations made by ALES into account and set out </w:t>
      </w:r>
      <w:r w:rsidR="00246593">
        <w:rPr>
          <w:rFonts w:cstheme="minorHAnsi"/>
        </w:rPr>
        <w:t xml:space="preserve">in a clear and comprehensive way </w:t>
      </w:r>
      <w:r>
        <w:rPr>
          <w:rFonts w:cstheme="minorHAnsi"/>
        </w:rPr>
        <w:t xml:space="preserve">how </w:t>
      </w:r>
      <w:r w:rsidR="00246593">
        <w:rPr>
          <w:rFonts w:cstheme="minorHAnsi"/>
        </w:rPr>
        <w:t xml:space="preserve">– also in view of international standards – </w:t>
      </w:r>
      <w:r>
        <w:rPr>
          <w:rFonts w:cstheme="minorHAnsi"/>
        </w:rPr>
        <w:t xml:space="preserve">executive </w:t>
      </w:r>
      <w:r w:rsidR="00AD7539">
        <w:rPr>
          <w:rFonts w:cstheme="minorHAnsi"/>
        </w:rPr>
        <w:t>officials</w:t>
      </w:r>
      <w:r>
        <w:rPr>
          <w:rFonts w:cstheme="minorHAnsi"/>
        </w:rPr>
        <w:t xml:space="preserve"> and public prosecutors should handle accusations of ill-treatment </w:t>
      </w:r>
      <w:r w:rsidR="00AD7539">
        <w:rPr>
          <w:rFonts w:cstheme="minorHAnsi"/>
        </w:rPr>
        <w:t xml:space="preserve">against </w:t>
      </w:r>
      <w:r>
        <w:rPr>
          <w:rFonts w:cstheme="minorHAnsi"/>
        </w:rPr>
        <w:t>executive officials.</w:t>
      </w:r>
    </w:p>
    <w:p w14:paraId="5450C814" w14:textId="6B6A6D43" w:rsidR="006948EF" w:rsidRDefault="00991F80" w:rsidP="00E80C57">
      <w:pPr>
        <w:spacing w:line="360" w:lineRule="atLeast"/>
        <w:jc w:val="both"/>
        <w:rPr>
          <w:rFonts w:cstheme="minorHAnsi"/>
          <w:szCs w:val="24"/>
        </w:rPr>
      </w:pPr>
      <w:r>
        <w:rPr>
          <w:rFonts w:cstheme="minorHAnsi"/>
        </w:rPr>
        <w:lastRenderedPageBreak/>
        <w:t>2.</w:t>
      </w:r>
      <w:r>
        <w:rPr>
          <w:rFonts w:cstheme="minorHAnsi"/>
        </w:rPr>
        <w:tab/>
      </w:r>
      <w:r>
        <w:t xml:space="preserve">In September 2016, a </w:t>
      </w:r>
      <w:r>
        <w:rPr>
          <w:b/>
        </w:rPr>
        <w:t>central reporting office for complaints and allegations of ill</w:t>
      </w:r>
      <w:r w:rsidR="00947E53">
        <w:rPr>
          <w:b/>
        </w:rPr>
        <w:noBreakHyphen/>
      </w:r>
      <w:r>
        <w:rPr>
          <w:b/>
        </w:rPr>
        <w:t>treatment within the BMI</w:t>
      </w:r>
      <w:r>
        <w:t xml:space="preserve"> was set up in order to improve the collection of meaningful statistical data regarding complaints, investigations and proceedings against executive officials. In September 2018, the central reporting office was also assigned responsibility for collecting, categorising and assessing allegations of ill-treatment, the use of disproportionate methods of coercion or breaches of Article 3 ECHR</w:t>
      </w:r>
      <w:r>
        <w:rPr>
          <w:rFonts w:cstheme="minorHAnsi"/>
        </w:rPr>
        <w:t>.</w:t>
      </w:r>
    </w:p>
    <w:p w14:paraId="3A6F5478" w14:textId="791B6FB3" w:rsidR="00991F80" w:rsidRDefault="00991F80" w:rsidP="00E80C57">
      <w:pPr>
        <w:spacing w:line="360" w:lineRule="atLeast"/>
        <w:jc w:val="both"/>
        <w:rPr>
          <w:rFonts w:cstheme="minorHAnsi"/>
          <w:szCs w:val="24"/>
          <w14:numForm w14:val="lining"/>
        </w:rPr>
      </w:pPr>
      <w:r>
        <w:rPr>
          <w:rFonts w:cstheme="minorHAnsi"/>
        </w:rPr>
        <w:t>3.</w:t>
      </w:r>
      <w:r>
        <w:rPr>
          <w:rFonts w:cstheme="minorHAnsi"/>
        </w:rPr>
        <w:tab/>
        <w:t xml:space="preserve">With regard to the </w:t>
      </w:r>
      <w:r w:rsidR="0099580A">
        <w:rPr>
          <w:rFonts w:cstheme="minorHAnsi"/>
        </w:rPr>
        <w:t>enforcement of prison sentences and preventive measures</w:t>
      </w:r>
      <w:r>
        <w:rPr>
          <w:rFonts w:cstheme="minorHAnsi"/>
        </w:rPr>
        <w:t xml:space="preserve">, </w:t>
      </w:r>
      <w:r w:rsidR="0099580A">
        <w:rPr>
          <w:rFonts w:cstheme="minorHAnsi"/>
        </w:rPr>
        <w:t>a collection of</w:t>
      </w:r>
      <w:r>
        <w:rPr>
          <w:rFonts w:cstheme="minorHAnsi"/>
        </w:rPr>
        <w:t xml:space="preserve"> </w:t>
      </w:r>
      <w:r>
        <w:rPr>
          <w:rFonts w:cstheme="minorHAnsi"/>
          <w:b/>
        </w:rPr>
        <w:t xml:space="preserve">statistics on accusations of ill-treatment made against </w:t>
      </w:r>
      <w:r w:rsidR="0099580A">
        <w:rPr>
          <w:rFonts w:cstheme="minorHAnsi"/>
          <w:b/>
        </w:rPr>
        <w:t>law enforcement officials</w:t>
      </w:r>
      <w:r w:rsidR="0085262B">
        <w:rPr>
          <w:rFonts w:cstheme="minorHAnsi"/>
          <w:b/>
        </w:rPr>
        <w:t xml:space="preserve"> </w:t>
      </w:r>
      <w:r w:rsidR="0085262B">
        <w:rPr>
          <w:rFonts w:cstheme="minorHAnsi"/>
        </w:rPr>
        <w:t>has been started</w:t>
      </w:r>
      <w:r>
        <w:rPr>
          <w:rFonts w:cstheme="minorHAnsi"/>
        </w:rPr>
        <w:t>.</w:t>
      </w:r>
    </w:p>
    <w:p w14:paraId="6C0BF849" w14:textId="166AF8B2" w:rsidR="00991F80" w:rsidRDefault="00991F80" w:rsidP="00E80C57">
      <w:pPr>
        <w:spacing w:line="360" w:lineRule="atLeast"/>
        <w:jc w:val="both"/>
        <w:rPr>
          <w:rFonts w:cstheme="minorHAnsi"/>
          <w:szCs w:val="24"/>
        </w:rPr>
      </w:pPr>
      <w:r>
        <w:rPr>
          <w:rFonts w:cstheme="minorHAnsi"/>
        </w:rPr>
        <w:t>3.1.</w:t>
      </w:r>
      <w:r>
        <w:rPr>
          <w:rFonts w:cstheme="minorHAnsi"/>
        </w:rPr>
        <w:tab/>
        <w:t xml:space="preserve">In </w:t>
      </w:r>
      <w:r>
        <w:rPr>
          <w:rFonts w:cstheme="minorHAnsi"/>
          <w:u w:val="single"/>
        </w:rPr>
        <w:t>2015</w:t>
      </w:r>
      <w:r w:rsidR="00947E53">
        <w:rPr>
          <w:rFonts w:cstheme="minorHAnsi"/>
          <w:u w:val="single"/>
        </w:rPr>
        <w:t>,</w:t>
      </w:r>
      <w:r>
        <w:rPr>
          <w:rFonts w:cstheme="minorHAnsi"/>
        </w:rPr>
        <w:t xml:space="preserve"> the Permanent Disciplinary Committee received one report of an allegation of ill-treatment, although no disciplinary proceedings were initiated in that specific case.</w:t>
      </w:r>
    </w:p>
    <w:p w14:paraId="53BD1DBF" w14:textId="7A48DBE3" w:rsidR="00991F80" w:rsidRPr="000B3F25" w:rsidRDefault="00991F80" w:rsidP="00991F80">
      <w:pPr>
        <w:spacing w:line="360" w:lineRule="atLeast"/>
        <w:jc w:val="both"/>
        <w:rPr>
          <w:rFonts w:cstheme="minorHAnsi"/>
          <w:szCs w:val="24"/>
        </w:rPr>
      </w:pPr>
      <w:r>
        <w:rPr>
          <w:rFonts w:cstheme="minorHAnsi"/>
        </w:rPr>
        <w:t>3.2.</w:t>
      </w:r>
      <w:r>
        <w:rPr>
          <w:rFonts w:cstheme="minorHAnsi"/>
        </w:rPr>
        <w:tab/>
        <w:t xml:space="preserve">In </w:t>
      </w:r>
      <w:r>
        <w:rPr>
          <w:rFonts w:cstheme="minorHAnsi"/>
          <w:u w:val="single"/>
        </w:rPr>
        <w:t>2016</w:t>
      </w:r>
      <w:r w:rsidR="00947E53">
        <w:rPr>
          <w:rFonts w:cstheme="minorHAnsi"/>
          <w:u w:val="single"/>
        </w:rPr>
        <w:t>,</w:t>
      </w:r>
      <w:r>
        <w:rPr>
          <w:rFonts w:cstheme="minorHAnsi"/>
        </w:rPr>
        <w:t xml:space="preserve"> the Directorate General for Law Enforcement and the Enforcement of Custodial </w:t>
      </w:r>
      <w:r w:rsidR="0099580A">
        <w:rPr>
          <w:rFonts w:cstheme="minorHAnsi"/>
        </w:rPr>
        <w:t>Measures</w:t>
      </w:r>
      <w:r>
        <w:rPr>
          <w:rFonts w:cstheme="minorHAnsi"/>
        </w:rPr>
        <w:t xml:space="preserve"> (hereinafter referred to as the Directorate-General) filed two disciplinary charges. In one further case, disciplinary proceedings resulted in </w:t>
      </w:r>
      <w:r w:rsidR="00DE237F">
        <w:rPr>
          <w:rFonts w:cstheme="minorHAnsi"/>
        </w:rPr>
        <w:t xml:space="preserve">a dismissal from their post after the final criminal conviction of the individual concerned. </w:t>
      </w:r>
    </w:p>
    <w:p w14:paraId="63484A33" w14:textId="361D2C32" w:rsidR="00991F80" w:rsidRPr="000B3F25" w:rsidRDefault="00991F80" w:rsidP="00991F80">
      <w:pPr>
        <w:spacing w:line="360" w:lineRule="atLeast"/>
        <w:jc w:val="both"/>
        <w:rPr>
          <w:rFonts w:cstheme="minorHAnsi"/>
          <w:szCs w:val="24"/>
        </w:rPr>
      </w:pPr>
      <w:r>
        <w:rPr>
          <w:rFonts w:cstheme="minorHAnsi"/>
        </w:rPr>
        <w:t>3.3.</w:t>
      </w:r>
      <w:r>
        <w:rPr>
          <w:rFonts w:cstheme="minorHAnsi"/>
        </w:rPr>
        <w:tab/>
        <w:t xml:space="preserve">In </w:t>
      </w:r>
      <w:r>
        <w:rPr>
          <w:rFonts w:cstheme="minorHAnsi"/>
          <w:u w:val="single"/>
        </w:rPr>
        <w:t>2017</w:t>
      </w:r>
      <w:r>
        <w:rPr>
          <w:rFonts w:cstheme="minorHAnsi"/>
        </w:rPr>
        <w:t xml:space="preserve">, 80 allegations of mistreatment by </w:t>
      </w:r>
      <w:r w:rsidR="00C20AC8">
        <w:rPr>
          <w:rFonts w:cstheme="minorHAnsi"/>
        </w:rPr>
        <w:t xml:space="preserve">law </w:t>
      </w:r>
      <w:r>
        <w:rPr>
          <w:rFonts w:cstheme="minorHAnsi"/>
        </w:rPr>
        <w:t>enforcement</w:t>
      </w:r>
      <w:r w:rsidR="00C20AC8">
        <w:rPr>
          <w:rFonts w:cstheme="minorHAnsi"/>
        </w:rPr>
        <w:t xml:space="preserve"> officials</w:t>
      </w:r>
      <w:r>
        <w:rPr>
          <w:rFonts w:cstheme="minorHAnsi"/>
        </w:rPr>
        <w:t xml:space="preserve"> were reported to the relevant higher public prosecutors' offices (</w:t>
      </w:r>
      <w:r>
        <w:rPr>
          <w:rFonts w:cstheme="minorHAnsi"/>
          <w:i/>
        </w:rPr>
        <w:t>Oberstaatsanwaltschaften)</w:t>
      </w:r>
      <w:r>
        <w:rPr>
          <w:rFonts w:cstheme="minorHAnsi"/>
        </w:rPr>
        <w:t>. The Directorate General filed two disciplinary charges.</w:t>
      </w:r>
    </w:p>
    <w:p w14:paraId="46C95AD6" w14:textId="1835597A" w:rsidR="00991F80" w:rsidRPr="000B3F25" w:rsidRDefault="00991F80" w:rsidP="00991F80">
      <w:pPr>
        <w:spacing w:line="360" w:lineRule="atLeast"/>
        <w:jc w:val="both"/>
        <w:rPr>
          <w:rFonts w:cstheme="minorHAnsi"/>
          <w:szCs w:val="24"/>
        </w:rPr>
      </w:pPr>
      <w:r>
        <w:rPr>
          <w:rFonts w:cstheme="minorHAnsi"/>
        </w:rPr>
        <w:t>3.4.</w:t>
      </w:r>
      <w:r>
        <w:rPr>
          <w:rFonts w:cstheme="minorHAnsi"/>
        </w:rPr>
        <w:tab/>
        <w:t xml:space="preserve">In </w:t>
      </w:r>
      <w:r>
        <w:rPr>
          <w:rFonts w:cstheme="minorHAnsi"/>
          <w:u w:val="single"/>
        </w:rPr>
        <w:t>2018</w:t>
      </w:r>
      <w:r>
        <w:rPr>
          <w:rFonts w:cstheme="minorHAnsi"/>
        </w:rPr>
        <w:t xml:space="preserve">, 61 allegations of mistreatment by </w:t>
      </w:r>
      <w:r w:rsidR="00C20AC8">
        <w:rPr>
          <w:rFonts w:cstheme="minorHAnsi"/>
        </w:rPr>
        <w:t xml:space="preserve">law </w:t>
      </w:r>
      <w:r>
        <w:rPr>
          <w:rFonts w:cstheme="minorHAnsi"/>
        </w:rPr>
        <w:t>enforcement</w:t>
      </w:r>
      <w:r w:rsidR="00C20AC8">
        <w:rPr>
          <w:rFonts w:cstheme="minorHAnsi"/>
        </w:rPr>
        <w:t xml:space="preserve"> officials</w:t>
      </w:r>
      <w:r>
        <w:rPr>
          <w:rFonts w:cstheme="minorHAnsi"/>
        </w:rPr>
        <w:t xml:space="preserve"> (24 of which referred to the individuals concerned by name) were reported to the relevant higher public prosecutors' offices. In two cases, the officials concerned received official cautions/reprimands.</w:t>
      </w:r>
    </w:p>
    <w:p w14:paraId="38F627A2" w14:textId="7E749F30" w:rsidR="00991F80" w:rsidRPr="000B3F25" w:rsidRDefault="00991F80" w:rsidP="00991F80">
      <w:pPr>
        <w:spacing w:line="360" w:lineRule="atLeast"/>
        <w:jc w:val="both"/>
        <w:rPr>
          <w:rFonts w:cstheme="minorHAnsi"/>
          <w:szCs w:val="24"/>
        </w:rPr>
      </w:pPr>
      <w:r>
        <w:rPr>
          <w:rFonts w:cstheme="minorHAnsi"/>
        </w:rPr>
        <w:t>3.5.</w:t>
      </w:r>
      <w:r>
        <w:rPr>
          <w:rFonts w:cstheme="minorHAnsi"/>
        </w:rPr>
        <w:tab/>
        <w:t xml:space="preserve">In </w:t>
      </w:r>
      <w:r>
        <w:rPr>
          <w:rFonts w:cstheme="minorHAnsi"/>
          <w:u w:val="single"/>
        </w:rPr>
        <w:t>2019</w:t>
      </w:r>
      <w:r>
        <w:rPr>
          <w:rFonts w:cstheme="minorHAnsi"/>
        </w:rPr>
        <w:t xml:space="preserve">, 41 allegations of mistreatment by </w:t>
      </w:r>
      <w:r w:rsidR="0038145D">
        <w:rPr>
          <w:rFonts w:cstheme="minorHAnsi"/>
        </w:rPr>
        <w:t xml:space="preserve">law </w:t>
      </w:r>
      <w:r>
        <w:rPr>
          <w:rFonts w:cstheme="minorHAnsi"/>
        </w:rPr>
        <w:t>enforcement</w:t>
      </w:r>
      <w:r w:rsidR="0038145D">
        <w:rPr>
          <w:rFonts w:cstheme="minorHAnsi"/>
        </w:rPr>
        <w:t xml:space="preserve"> officials</w:t>
      </w:r>
      <w:r>
        <w:rPr>
          <w:rFonts w:cstheme="minorHAnsi"/>
        </w:rPr>
        <w:t xml:space="preserve"> (39 of which referred to the individuals concerned by name) were reported to the relevant higher public prosecutors' offices. In 31 cases, preliminary proceedings against the individuals concerned were discontinued pursuant to Section 190 para. 1 (in six cases) or Section 190 para. 2 (in 25</w:t>
      </w:r>
      <w:r w:rsidR="00947E53">
        <w:rPr>
          <w:rFonts w:cstheme="minorHAnsi"/>
        </w:rPr>
        <w:t> </w:t>
      </w:r>
      <w:r>
        <w:rPr>
          <w:rFonts w:cstheme="minorHAnsi"/>
        </w:rPr>
        <w:t>cases) of the Austrian Code of Criminal Procedure 1975 (StPO), BGBl. no</w:t>
      </w:r>
      <w:r w:rsidR="00DE237F">
        <w:rPr>
          <w:rFonts w:cstheme="minorHAnsi"/>
        </w:rPr>
        <w:t>. </w:t>
      </w:r>
      <w:r>
        <w:rPr>
          <w:rFonts w:cstheme="minorHAnsi"/>
        </w:rPr>
        <w:t>631/1975, as amended.</w:t>
      </w:r>
      <w:r>
        <w:rPr>
          <w:rStyle w:val="Funotenzeichen"/>
          <w:rFonts w:cstheme="minorHAnsi"/>
        </w:rPr>
        <w:footnoteReference w:id="1"/>
      </w:r>
      <w:r>
        <w:rPr>
          <w:rFonts w:cstheme="minorHAnsi"/>
        </w:rPr>
        <w:t xml:space="preserve"> In nine cases, the public prosecutor decided against initiating preliminary </w:t>
      </w:r>
      <w:r>
        <w:rPr>
          <w:rFonts w:cstheme="minorHAnsi"/>
        </w:rPr>
        <w:lastRenderedPageBreak/>
        <w:t xml:space="preserve">proceedings on the basis that there were no grounds to suspect an offence had been committed. In one case, the individual concerned was charged </w:t>
      </w:r>
      <w:r w:rsidR="00947E53">
        <w:rPr>
          <w:rFonts w:cstheme="minorHAnsi"/>
        </w:rPr>
        <w:t>for taking part in a brawl</w:t>
      </w:r>
      <w:r w:rsidR="00ED22E7">
        <w:rPr>
          <w:rFonts w:cstheme="minorHAnsi"/>
        </w:rPr>
        <w:t xml:space="preserve"> </w:t>
      </w:r>
      <w:r>
        <w:rPr>
          <w:rFonts w:cstheme="minorHAnsi"/>
        </w:rPr>
        <w:t>in the exercise of a public office; they were prosecuted and acquitted. In one case, a disciplinary complaint was pursued despite preliminary criminal proceedings being discontinued pursuant to Section 190 para. 2 StPO; the disciplinary proceedings culminated in the imposition of a fine amounting to 3,000 euros. In one further case, the relevant public service disciplinary authorities issued the individual concerned with a written reprimand despite the fact that legal proceedings had been discontinued pursuant to Section 190 para. 2 StPO.</w:t>
      </w:r>
    </w:p>
    <w:p w14:paraId="6529F5B6" w14:textId="174EF358" w:rsidR="00991F80" w:rsidRDefault="00991F80" w:rsidP="00991F80">
      <w:pPr>
        <w:spacing w:line="360" w:lineRule="atLeast"/>
        <w:jc w:val="both"/>
        <w:rPr>
          <w:rFonts w:cstheme="minorHAnsi"/>
          <w:szCs w:val="24"/>
          <w14:numForm w14:val="lining"/>
        </w:rPr>
      </w:pPr>
      <w:r>
        <w:rPr>
          <w:rFonts w:cstheme="minorHAnsi"/>
        </w:rPr>
        <w:t xml:space="preserve">3.6. In </w:t>
      </w:r>
      <w:r>
        <w:rPr>
          <w:rFonts w:cstheme="minorHAnsi"/>
          <w:u w:val="single"/>
        </w:rPr>
        <w:t>2020</w:t>
      </w:r>
      <w:r>
        <w:rPr>
          <w:rFonts w:cstheme="minorHAnsi"/>
        </w:rPr>
        <w:t>, the Directorate General formally recorded a total of 60 accusations of ill</w:t>
      </w:r>
      <w:r w:rsidR="00947E53">
        <w:rPr>
          <w:rFonts w:cstheme="minorHAnsi"/>
        </w:rPr>
        <w:noBreakHyphen/>
      </w:r>
      <w:r>
        <w:rPr>
          <w:rFonts w:cstheme="minorHAnsi"/>
        </w:rPr>
        <w:t xml:space="preserve">treatment by </w:t>
      </w:r>
      <w:r w:rsidR="0038145D">
        <w:rPr>
          <w:rFonts w:cstheme="minorHAnsi"/>
        </w:rPr>
        <w:t xml:space="preserve">law </w:t>
      </w:r>
      <w:r>
        <w:rPr>
          <w:rFonts w:cstheme="minorHAnsi"/>
        </w:rPr>
        <w:t>enforcement</w:t>
      </w:r>
      <w:r w:rsidR="0038145D">
        <w:rPr>
          <w:rFonts w:cstheme="minorHAnsi"/>
        </w:rPr>
        <w:t xml:space="preserve"> officials</w:t>
      </w:r>
      <w:r>
        <w:rPr>
          <w:rFonts w:cstheme="minorHAnsi"/>
        </w:rPr>
        <w:t xml:space="preserve">. 58 of the individuals concerned were prison </w:t>
      </w:r>
      <w:r w:rsidR="0038145D">
        <w:rPr>
          <w:rFonts w:cstheme="minorHAnsi"/>
        </w:rPr>
        <w:t>wards</w:t>
      </w:r>
      <w:r>
        <w:rPr>
          <w:rFonts w:cstheme="minorHAnsi"/>
        </w:rPr>
        <w:t>, 44 of whom were referred to by name. The other two cases involved a qualified social worker and a doctor. All 60 cases were reported to the relevant higher state prosecutors' offices. In 42 of these cases, preliminary proceedings were discontinued pursuant to Section 190, para. 1 StPO (in six cases) or Section 190 para. 2 StPO (in 36 cases). In 13 cases, the public prosecutor decided not to pursue preliminary proceedings as there were no grounds to suspect an offence had been committed. In two cases, proceedings against unidentified perpetrators were abandoned, while criminal proceedings are still ongoing in another three cases. In one case in which the public prosecutor's office decided not to initiate preliminary proceedings as there were no grounds to suspect an offence had been committed, the relevant public service disciplinary authorities nevertheless issued the individual concerned with a written reprimand and ordered them to undergo anger management training.</w:t>
      </w:r>
    </w:p>
    <w:p w14:paraId="2FBFCAED" w14:textId="3514B42D" w:rsidR="00991F80" w:rsidRPr="000B3F25" w:rsidRDefault="00991F80" w:rsidP="00991F80">
      <w:pPr>
        <w:spacing w:line="360" w:lineRule="atLeast"/>
        <w:jc w:val="both"/>
        <w:rPr>
          <w:rFonts w:cstheme="minorHAnsi"/>
          <w:szCs w:val="24"/>
          <w:u w:val="single"/>
        </w:rPr>
      </w:pPr>
      <w:r>
        <w:rPr>
          <w:rFonts w:cstheme="minorHAnsi"/>
        </w:rPr>
        <w:t>3.7.</w:t>
      </w:r>
      <w:r>
        <w:rPr>
          <w:rFonts w:cstheme="minorHAnsi"/>
        </w:rPr>
        <w:tab/>
        <w:t xml:space="preserve">In </w:t>
      </w:r>
      <w:r>
        <w:rPr>
          <w:rFonts w:eastAsia="Calibri" w:cstheme="minorHAnsi"/>
          <w:u w:val="single"/>
        </w:rPr>
        <w:t>2021</w:t>
      </w:r>
      <w:r>
        <w:rPr>
          <w:rFonts w:eastAsia="Calibri" w:cstheme="minorHAnsi"/>
        </w:rPr>
        <w:t>, the</w:t>
      </w:r>
      <w:r>
        <w:rPr>
          <w:rFonts w:cstheme="minorHAnsi"/>
        </w:rPr>
        <w:t xml:space="preserve"> Directorate General</w:t>
      </w:r>
      <w:r>
        <w:rPr>
          <w:rFonts w:eastAsia="Calibri" w:cstheme="minorHAnsi"/>
        </w:rPr>
        <w:t xml:space="preserve"> formally recorded a total of 49 allegations of mistreatment made against </w:t>
      </w:r>
      <w:r w:rsidR="00D445CE">
        <w:rPr>
          <w:rFonts w:eastAsia="Calibri" w:cstheme="minorHAnsi"/>
        </w:rPr>
        <w:t xml:space="preserve">law </w:t>
      </w:r>
      <w:r>
        <w:rPr>
          <w:rFonts w:eastAsia="Calibri" w:cstheme="minorHAnsi"/>
        </w:rPr>
        <w:t>enforcement</w:t>
      </w:r>
      <w:r w:rsidR="00D445CE">
        <w:rPr>
          <w:rFonts w:eastAsia="Calibri" w:cstheme="minorHAnsi"/>
        </w:rPr>
        <w:t xml:space="preserve"> officials</w:t>
      </w:r>
      <w:r>
        <w:rPr>
          <w:rFonts w:eastAsia="Calibri" w:cstheme="minorHAnsi"/>
        </w:rPr>
        <w:t xml:space="preserve">. 48 of the cases involved prison </w:t>
      </w:r>
      <w:r w:rsidR="00D445CE">
        <w:rPr>
          <w:rFonts w:eastAsia="Calibri" w:cstheme="minorHAnsi"/>
        </w:rPr>
        <w:t>wards</w:t>
      </w:r>
      <w:r>
        <w:rPr>
          <w:rFonts w:eastAsia="Calibri" w:cstheme="minorHAnsi"/>
        </w:rPr>
        <w:t xml:space="preserve"> (22 of whom were referred to by name). The other case involved a qualified health professional. All of these cases were reported to the relevant higher public prosecutors' offices. In five cases, preliminary proceedings were discontinued pursuant to Section 190 para. 2 StPO. In a further five cases, the public prosecutor's office decided not to pursue preliminary proceedings as there were no grounds to suspect an offence had been committed</w:t>
      </w:r>
      <w:r>
        <w:rPr>
          <w:rFonts w:cstheme="minorHAnsi"/>
        </w:rPr>
        <w:t xml:space="preserve">. </w:t>
      </w:r>
      <w:r>
        <w:rPr>
          <w:rFonts w:eastAsia="Calibri" w:cstheme="minorHAnsi"/>
        </w:rPr>
        <w:t xml:space="preserve">Preliminary proceedings are ongoing in 29 cases. In eight cases, a decision on whether to initiate preliminary proceedings is still pending. In one case, proceedings </w:t>
      </w:r>
      <w:r>
        <w:rPr>
          <w:rFonts w:cstheme="minorHAnsi"/>
        </w:rPr>
        <w:t xml:space="preserve">against unidentified perpetrators </w:t>
      </w:r>
      <w:r>
        <w:rPr>
          <w:rFonts w:eastAsia="Calibri" w:cstheme="minorHAnsi"/>
        </w:rPr>
        <w:t xml:space="preserve">were abandoned. In one case, criminal proceedings against a prison </w:t>
      </w:r>
      <w:r w:rsidR="00D445CE">
        <w:rPr>
          <w:rFonts w:eastAsia="Calibri" w:cstheme="minorHAnsi"/>
        </w:rPr>
        <w:t>ward</w:t>
      </w:r>
      <w:r>
        <w:rPr>
          <w:rFonts w:eastAsia="Calibri" w:cstheme="minorHAnsi"/>
        </w:rPr>
        <w:t xml:space="preserve"> </w:t>
      </w:r>
      <w:r>
        <w:rPr>
          <w:rFonts w:eastAsia="Calibri" w:cstheme="minorHAnsi"/>
        </w:rPr>
        <w:lastRenderedPageBreak/>
        <w:t xml:space="preserve">suspected of negligently causing physical injury in the exercise of a public office </w:t>
      </w:r>
      <w:r w:rsidR="00ED22E7">
        <w:rPr>
          <w:rFonts w:eastAsia="Calibri" w:cstheme="minorHAnsi"/>
        </w:rPr>
        <w:t xml:space="preserve">ended by diversion </w:t>
      </w:r>
      <w:r>
        <w:rPr>
          <w:rFonts w:eastAsia="Calibri" w:cstheme="minorHAnsi"/>
        </w:rPr>
        <w:t xml:space="preserve">following the payment of 2,400 euros. </w:t>
      </w:r>
      <w:r>
        <w:rPr>
          <w:rFonts w:cstheme="minorHAnsi"/>
        </w:rPr>
        <w:t>Disciplinary proceedings in that case are still ongoing.</w:t>
      </w:r>
    </w:p>
    <w:p w14:paraId="3A1877E4" w14:textId="05BA5081" w:rsidR="00CD6B03" w:rsidRPr="00E9716F" w:rsidRDefault="00CD6B03" w:rsidP="00CD6B03">
      <w:pPr>
        <w:spacing w:before="240" w:line="360" w:lineRule="auto"/>
        <w:jc w:val="both"/>
        <w:rPr>
          <w:u w:val="single"/>
        </w:rPr>
      </w:pPr>
      <w:r>
        <w:rPr>
          <w:u w:val="single"/>
        </w:rPr>
        <w:t xml:space="preserve">III. </w:t>
      </w:r>
      <w:r>
        <w:rPr>
          <w:u w:val="single"/>
        </w:rPr>
        <w:tab/>
      </w:r>
      <w:r w:rsidR="00ED22E7">
        <w:rPr>
          <w:u w:val="single"/>
        </w:rPr>
        <w:t>As to</w:t>
      </w:r>
      <w:r>
        <w:rPr>
          <w:u w:val="single"/>
        </w:rPr>
        <w:t xml:space="preserve"> </w:t>
      </w:r>
      <w:r w:rsidR="00ED22E7">
        <w:rPr>
          <w:u w:val="single"/>
        </w:rPr>
        <w:t>p</w:t>
      </w:r>
      <w:r>
        <w:rPr>
          <w:u w:val="single"/>
        </w:rPr>
        <w:t xml:space="preserve">aragraph 30: </w:t>
      </w:r>
      <w:r w:rsidR="00ED22E7">
        <w:rPr>
          <w:u w:val="single"/>
        </w:rPr>
        <w:t>Detention of</w:t>
      </w:r>
      <w:r>
        <w:rPr>
          <w:u w:val="single"/>
        </w:rPr>
        <w:t xml:space="preserve"> asylum-seekers and refugees</w:t>
      </w:r>
    </w:p>
    <w:p w14:paraId="57BC2A63" w14:textId="77777777" w:rsidR="00CD6B03" w:rsidRPr="00E9716F" w:rsidRDefault="00CD6B03" w:rsidP="00CD6B03">
      <w:pPr>
        <w:spacing w:before="120" w:after="120"/>
        <w:jc w:val="both"/>
        <w:rPr>
          <w:rFonts w:ascii="Times New Roman" w:hAnsi="Times New Roman"/>
          <w:i/>
          <w:sz w:val="22"/>
          <w:szCs w:val="22"/>
        </w:rPr>
      </w:pPr>
      <w:r>
        <w:rPr>
          <w:rFonts w:ascii="Times New Roman" w:hAnsi="Times New Roman"/>
          <w:i/>
          <w:sz w:val="22"/>
        </w:rPr>
        <w:t>The State party should pursue its efforts to ensure that detention pending deportation is applied only after due consideration of less invasive means, with special regard being given to the needs of particularly vulnerable persons, and that individuals detained for immigration-related reasons are held in facilities specifically designed for this purpose. The State party should review its detention policy with regard to children above 14 years to ensure that children are not deprived of their liberty, except as a measure of last resort and for the shortest appropriate period of time.</w:t>
      </w:r>
    </w:p>
    <w:p w14:paraId="68B2F985" w14:textId="4B54E9FE" w:rsidR="00CB3C1C" w:rsidRDefault="00676D38" w:rsidP="00772471">
      <w:pPr>
        <w:spacing w:line="360" w:lineRule="atLeast"/>
        <w:jc w:val="both"/>
        <w:rPr>
          <w:rFonts w:cs="Arial"/>
        </w:rPr>
      </w:pPr>
      <w:r>
        <w:t>1.</w:t>
      </w:r>
      <w:r>
        <w:tab/>
        <w:t xml:space="preserve">Pursuant to Sections 76ff of the </w:t>
      </w:r>
      <w:r w:rsidR="00ED22E7">
        <w:t>Aliens</w:t>
      </w:r>
      <w:r w:rsidR="00947E53">
        <w:t xml:space="preserve"> </w:t>
      </w:r>
      <w:r>
        <w:t>Polic</w:t>
      </w:r>
      <w:r w:rsidR="00ED22E7">
        <w:t>e</w:t>
      </w:r>
      <w:r>
        <w:t xml:space="preserve"> Act (</w:t>
      </w:r>
      <w:r>
        <w:rPr>
          <w:i/>
        </w:rPr>
        <w:t>Fremdenpolizeigesetz)</w:t>
      </w:r>
      <w:r>
        <w:t xml:space="preserve"> 2005, BGBl. I no. 100/2005, as amended, detention </w:t>
      </w:r>
      <w:r w:rsidR="0042720F">
        <w:t>pending</w:t>
      </w:r>
      <w:r>
        <w:t xml:space="preserve">deportation should, generally speaking, only be imposed </w:t>
      </w:r>
      <w:r>
        <w:rPr>
          <w:i/>
        </w:rPr>
        <w:t>ultima ratio</w:t>
      </w:r>
      <w:r w:rsidR="0042720F">
        <w:t xml:space="preserve"> and</w:t>
      </w:r>
      <w:r>
        <w:t xml:space="preserve"> only in respect of minors over the age of 14</w:t>
      </w:r>
      <w:r w:rsidR="0042720F">
        <w:t>, if</w:t>
      </w:r>
      <w:r>
        <w:t xml:space="preserve"> an examination of the </w:t>
      </w:r>
      <w:r w:rsidR="0042720F">
        <w:t xml:space="preserve">individual </w:t>
      </w:r>
      <w:r>
        <w:t xml:space="preserve">casehas demonstrated that </w:t>
      </w:r>
      <w:r w:rsidR="0042720F">
        <w:t xml:space="preserve">there is </w:t>
      </w:r>
      <w:r>
        <w:t xml:space="preserve">a clear flight risk and </w:t>
      </w:r>
      <w:r w:rsidR="0042720F">
        <w:t xml:space="preserve">that it is necessary </w:t>
      </w:r>
      <w:r>
        <w:t xml:space="preserve">to ensure that proceedings to bring their stay in the country to an end can be successfully completed. Detention </w:t>
      </w:r>
      <w:r w:rsidR="0042720F">
        <w:t xml:space="preserve">pending </w:t>
      </w:r>
      <w:r>
        <w:t>deportation must also be proportionate. If the overall aim behind the detention can be achieved by</w:t>
      </w:r>
      <w:r w:rsidR="0042720F">
        <w:t xml:space="preserve"> less invasive</w:t>
      </w:r>
      <w:r>
        <w:t xml:space="preserve"> means (</w:t>
      </w:r>
      <w:r>
        <w:rPr>
          <w:i/>
        </w:rPr>
        <w:t>"gelindere Mittel"</w:t>
      </w:r>
      <w:r>
        <w:t>, such as providing accommodation for the individual(s) concerned, ordering them to report regularly to the authorities</w:t>
      </w:r>
      <w:r>
        <w:rPr>
          <w:rFonts w:cs="Arial"/>
        </w:rPr>
        <w:t xml:space="preserve">, and/or depositing an appropriate financial surety with the Federal Office for Immigration and Asylum, these measures should be used. </w:t>
      </w:r>
    </w:p>
    <w:p w14:paraId="351B5030" w14:textId="1AF1707E" w:rsidR="00947E53" w:rsidRDefault="00CB3C1C" w:rsidP="00CB3C1C">
      <w:pPr>
        <w:spacing w:line="360" w:lineRule="atLeast"/>
        <w:jc w:val="both"/>
      </w:pPr>
      <w:r>
        <w:rPr>
          <w:rFonts w:cs="Arial"/>
        </w:rPr>
        <w:t>2.</w:t>
      </w:r>
      <w:r>
        <w:rPr>
          <w:rFonts w:cs="Arial"/>
        </w:rPr>
        <w:tab/>
      </w:r>
      <w:r>
        <w:t>Where individuals are detained p</w:t>
      </w:r>
      <w:r w:rsidR="00F55983">
        <w:t>ending</w:t>
      </w:r>
      <w:r>
        <w:t xml:space="preserve"> deportation, the needs of vulnerable individuals, including minors over the age of 14, are met in specialist facilities, such as the modern detention centre at Vordernberg. Unaccompanied minors over the age of 14 are accommodated separately from adults. Where minors are travelling with their families, with at least one of their parents, or with a guardian, they will be accommodated together with them unless this is inappropriate for reasons of child welfare.</w:t>
      </w:r>
    </w:p>
    <w:p w14:paraId="3B7545ED" w14:textId="77777777" w:rsidR="00947E53" w:rsidRDefault="00947E53">
      <w:r>
        <w:br w:type="page"/>
      </w:r>
    </w:p>
    <w:p w14:paraId="2B0C8906" w14:textId="77777777" w:rsidR="00CB3C1C" w:rsidRDefault="00CB3C1C" w:rsidP="00CB3C1C">
      <w:pPr>
        <w:spacing w:line="360" w:lineRule="atLeast"/>
        <w:jc w:val="both"/>
      </w:pPr>
    </w:p>
    <w:p w14:paraId="73E0185A" w14:textId="18F3861A" w:rsidR="00772471" w:rsidRDefault="00B84014" w:rsidP="00772471">
      <w:pPr>
        <w:spacing w:line="360" w:lineRule="atLeast"/>
        <w:jc w:val="both"/>
      </w:pPr>
      <w:r>
        <w:rPr>
          <w:rFonts w:cs="Arial"/>
        </w:rPr>
        <w:t>3.</w:t>
      </w:r>
      <w:r>
        <w:rPr>
          <w:rFonts w:cs="Arial"/>
        </w:rPr>
        <w:tab/>
      </w:r>
      <w:r>
        <w:t>The number of minors detained p</w:t>
      </w:r>
      <w:r w:rsidR="00F55983">
        <w:t>ending</w:t>
      </w:r>
      <w:r>
        <w:t xml:space="preserve"> deportation in Austria is very small: </w:t>
      </w:r>
    </w:p>
    <w:tbl>
      <w:tblPr>
        <w:tblStyle w:val="Tabellenraster"/>
        <w:tblW w:w="0" w:type="auto"/>
        <w:tblLook w:val="04A0" w:firstRow="1" w:lastRow="0" w:firstColumn="1" w:lastColumn="0" w:noHBand="0" w:noVBand="1"/>
      </w:tblPr>
      <w:tblGrid>
        <w:gridCol w:w="1413"/>
        <w:gridCol w:w="2055"/>
        <w:gridCol w:w="2056"/>
        <w:gridCol w:w="1769"/>
        <w:gridCol w:w="1769"/>
      </w:tblGrid>
      <w:tr w:rsidR="00972CFE" w:rsidRPr="00972CFE" w14:paraId="056C9F09" w14:textId="77777777" w:rsidTr="003814DC">
        <w:tc>
          <w:tcPr>
            <w:tcW w:w="1413" w:type="dxa"/>
            <w:vMerge w:val="restart"/>
          </w:tcPr>
          <w:p w14:paraId="77132981" w14:textId="77777777" w:rsidR="00972CFE" w:rsidRPr="00972CFE" w:rsidRDefault="00972CFE" w:rsidP="00972CFE">
            <w:pPr>
              <w:spacing w:line="360" w:lineRule="atLeast"/>
              <w:jc w:val="center"/>
              <w:rPr>
                <w:rFonts w:cstheme="minorHAnsi"/>
                <w:sz w:val="20"/>
                <w:szCs w:val="20"/>
                <w14:numForm w14:val="lining"/>
              </w:rPr>
            </w:pPr>
          </w:p>
        </w:tc>
        <w:tc>
          <w:tcPr>
            <w:tcW w:w="4111" w:type="dxa"/>
            <w:gridSpan w:val="2"/>
            <w:vAlign w:val="center"/>
          </w:tcPr>
          <w:p w14:paraId="352C40F6" w14:textId="516C4413" w:rsidR="00972CFE" w:rsidRPr="00972CFE" w:rsidRDefault="00972CFE" w:rsidP="00972CFE">
            <w:pPr>
              <w:spacing w:line="360" w:lineRule="atLeast"/>
              <w:jc w:val="center"/>
              <w:rPr>
                <w:rFonts w:cstheme="minorHAnsi"/>
                <w:sz w:val="20"/>
                <w:szCs w:val="20"/>
                <w14:numForm w14:val="lining"/>
              </w:rPr>
            </w:pPr>
            <w:r>
              <w:rPr>
                <w:rFonts w:cstheme="minorHAnsi"/>
                <w:sz w:val="20"/>
              </w:rPr>
              <w:t>Number of detention</w:t>
            </w:r>
            <w:r w:rsidR="00F55983">
              <w:rPr>
                <w:rFonts w:cstheme="minorHAnsi"/>
                <w:sz w:val="20"/>
              </w:rPr>
              <w:t xml:space="preserve"> decisions</w:t>
            </w:r>
          </w:p>
        </w:tc>
        <w:tc>
          <w:tcPr>
            <w:tcW w:w="3538" w:type="dxa"/>
            <w:gridSpan w:val="2"/>
          </w:tcPr>
          <w:p w14:paraId="7DC4E405" w14:textId="417C6252" w:rsidR="00972CFE" w:rsidRPr="00972CFE" w:rsidRDefault="00F55983" w:rsidP="00972CFE">
            <w:pPr>
              <w:spacing w:line="360" w:lineRule="atLeast"/>
              <w:jc w:val="center"/>
              <w:rPr>
                <w:rFonts w:cstheme="minorHAnsi"/>
                <w:sz w:val="20"/>
                <w:szCs w:val="20"/>
                <w14:numForm w14:val="lining"/>
              </w:rPr>
            </w:pPr>
            <w:r>
              <w:rPr>
                <w:rFonts w:cstheme="minorHAnsi"/>
                <w:sz w:val="20"/>
              </w:rPr>
              <w:t>Number of less invasive means</w:t>
            </w:r>
          </w:p>
        </w:tc>
      </w:tr>
      <w:tr w:rsidR="00972CFE" w:rsidRPr="00972CFE" w14:paraId="0C016941" w14:textId="77777777" w:rsidTr="00246593">
        <w:tc>
          <w:tcPr>
            <w:tcW w:w="1413" w:type="dxa"/>
            <w:vMerge/>
          </w:tcPr>
          <w:p w14:paraId="331DE2A1" w14:textId="77777777" w:rsidR="00972CFE" w:rsidRPr="00972CFE" w:rsidRDefault="00972CFE" w:rsidP="00972CFE">
            <w:pPr>
              <w:spacing w:line="360" w:lineRule="atLeast"/>
              <w:jc w:val="center"/>
              <w:rPr>
                <w:rFonts w:cstheme="minorHAnsi"/>
                <w:sz w:val="20"/>
                <w:szCs w:val="20"/>
                <w14:numForm w14:val="lining"/>
              </w:rPr>
            </w:pPr>
          </w:p>
        </w:tc>
        <w:tc>
          <w:tcPr>
            <w:tcW w:w="2055" w:type="dxa"/>
            <w:vAlign w:val="center"/>
          </w:tcPr>
          <w:p w14:paraId="1C8C0379"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14-16 years old</w:t>
            </w:r>
          </w:p>
        </w:tc>
        <w:tc>
          <w:tcPr>
            <w:tcW w:w="2056" w:type="dxa"/>
            <w:vAlign w:val="center"/>
          </w:tcPr>
          <w:p w14:paraId="426DE949"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16-18 years old</w:t>
            </w:r>
          </w:p>
        </w:tc>
        <w:tc>
          <w:tcPr>
            <w:tcW w:w="1769" w:type="dxa"/>
          </w:tcPr>
          <w:p w14:paraId="0D9B756E"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14-16 years old</w:t>
            </w:r>
          </w:p>
        </w:tc>
        <w:tc>
          <w:tcPr>
            <w:tcW w:w="1769" w:type="dxa"/>
          </w:tcPr>
          <w:p w14:paraId="1FF4C39F"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16-18 years old</w:t>
            </w:r>
          </w:p>
        </w:tc>
      </w:tr>
      <w:tr w:rsidR="003814DC" w:rsidRPr="00972CFE" w14:paraId="332222E9" w14:textId="77777777" w:rsidTr="00246593">
        <w:tc>
          <w:tcPr>
            <w:tcW w:w="1413" w:type="dxa"/>
          </w:tcPr>
          <w:p w14:paraId="2D2FA8D3" w14:textId="77777777" w:rsidR="003814DC" w:rsidRPr="00972CFE" w:rsidRDefault="003814DC" w:rsidP="00972CFE">
            <w:pPr>
              <w:spacing w:line="360" w:lineRule="atLeast"/>
              <w:jc w:val="center"/>
              <w:rPr>
                <w:rFonts w:cstheme="minorHAnsi"/>
                <w:sz w:val="20"/>
                <w:szCs w:val="20"/>
                <w14:numForm w14:val="lining"/>
              </w:rPr>
            </w:pPr>
            <w:r>
              <w:rPr>
                <w:rFonts w:cstheme="minorHAnsi"/>
                <w:sz w:val="20"/>
              </w:rPr>
              <w:t>2016</w:t>
            </w:r>
          </w:p>
        </w:tc>
        <w:tc>
          <w:tcPr>
            <w:tcW w:w="2055" w:type="dxa"/>
            <w:vAlign w:val="center"/>
          </w:tcPr>
          <w:p w14:paraId="186C61B3" w14:textId="77777777" w:rsidR="003814DC" w:rsidRPr="00972CFE" w:rsidRDefault="00972CFE" w:rsidP="00972CFE">
            <w:pPr>
              <w:spacing w:line="360" w:lineRule="atLeast"/>
              <w:jc w:val="center"/>
              <w:rPr>
                <w:rFonts w:cstheme="minorHAnsi"/>
                <w:sz w:val="20"/>
                <w:szCs w:val="20"/>
                <w14:numForm w14:val="lining"/>
              </w:rPr>
            </w:pPr>
            <w:r>
              <w:rPr>
                <w:rFonts w:cstheme="minorHAnsi"/>
                <w:sz w:val="20"/>
              </w:rPr>
              <w:t>1</w:t>
            </w:r>
          </w:p>
        </w:tc>
        <w:tc>
          <w:tcPr>
            <w:tcW w:w="2056" w:type="dxa"/>
            <w:vAlign w:val="center"/>
          </w:tcPr>
          <w:p w14:paraId="10ECC89A" w14:textId="77777777" w:rsidR="003814DC" w:rsidRPr="00972CFE" w:rsidRDefault="00972CFE" w:rsidP="00972CFE">
            <w:pPr>
              <w:spacing w:line="360" w:lineRule="atLeast"/>
              <w:jc w:val="center"/>
              <w:rPr>
                <w:rFonts w:cstheme="minorHAnsi"/>
                <w:sz w:val="20"/>
                <w:szCs w:val="20"/>
                <w14:numForm w14:val="lining"/>
              </w:rPr>
            </w:pPr>
            <w:r>
              <w:rPr>
                <w:rFonts w:cstheme="minorHAnsi"/>
                <w:sz w:val="20"/>
              </w:rPr>
              <w:t>9</w:t>
            </w:r>
          </w:p>
        </w:tc>
        <w:tc>
          <w:tcPr>
            <w:tcW w:w="1769" w:type="dxa"/>
          </w:tcPr>
          <w:p w14:paraId="66D874BD" w14:textId="77777777" w:rsidR="003814DC" w:rsidRPr="00972CFE" w:rsidRDefault="00972CFE" w:rsidP="00972CFE">
            <w:pPr>
              <w:spacing w:line="360" w:lineRule="atLeast"/>
              <w:jc w:val="center"/>
              <w:rPr>
                <w:rFonts w:cstheme="minorHAnsi"/>
                <w:sz w:val="20"/>
                <w:szCs w:val="20"/>
                <w14:numForm w14:val="lining"/>
              </w:rPr>
            </w:pPr>
            <w:r>
              <w:rPr>
                <w:rFonts w:cstheme="minorHAnsi"/>
                <w:sz w:val="20"/>
              </w:rPr>
              <w:t>7</w:t>
            </w:r>
          </w:p>
        </w:tc>
        <w:tc>
          <w:tcPr>
            <w:tcW w:w="1769" w:type="dxa"/>
          </w:tcPr>
          <w:p w14:paraId="19036ABA" w14:textId="77777777" w:rsidR="003814DC" w:rsidRPr="00972CFE" w:rsidRDefault="00972CFE" w:rsidP="00972CFE">
            <w:pPr>
              <w:spacing w:line="360" w:lineRule="atLeast"/>
              <w:jc w:val="center"/>
              <w:rPr>
                <w:rFonts w:cstheme="minorHAnsi"/>
                <w:sz w:val="20"/>
                <w:szCs w:val="20"/>
                <w14:numForm w14:val="lining"/>
              </w:rPr>
            </w:pPr>
            <w:r>
              <w:rPr>
                <w:rFonts w:cstheme="minorHAnsi"/>
                <w:sz w:val="20"/>
              </w:rPr>
              <w:t>24</w:t>
            </w:r>
          </w:p>
        </w:tc>
      </w:tr>
      <w:tr w:rsidR="003814DC" w:rsidRPr="00972CFE" w14:paraId="4C7BB2FE" w14:textId="77777777" w:rsidTr="00246593">
        <w:tc>
          <w:tcPr>
            <w:tcW w:w="1413" w:type="dxa"/>
          </w:tcPr>
          <w:p w14:paraId="3FA2071B" w14:textId="77777777" w:rsidR="003814DC" w:rsidRPr="00972CFE" w:rsidRDefault="003814DC" w:rsidP="00972CFE">
            <w:pPr>
              <w:spacing w:line="360" w:lineRule="atLeast"/>
              <w:jc w:val="center"/>
              <w:rPr>
                <w:rFonts w:cstheme="minorHAnsi"/>
                <w:sz w:val="20"/>
                <w:szCs w:val="20"/>
                <w14:numForm w14:val="lining"/>
              </w:rPr>
            </w:pPr>
            <w:r>
              <w:rPr>
                <w:rFonts w:cstheme="minorHAnsi"/>
                <w:sz w:val="20"/>
              </w:rPr>
              <w:t>2017</w:t>
            </w:r>
          </w:p>
        </w:tc>
        <w:tc>
          <w:tcPr>
            <w:tcW w:w="2055" w:type="dxa"/>
            <w:vAlign w:val="center"/>
          </w:tcPr>
          <w:p w14:paraId="45F77511" w14:textId="77777777" w:rsidR="003814DC" w:rsidRPr="00972CFE" w:rsidRDefault="00972CFE" w:rsidP="00972CFE">
            <w:pPr>
              <w:spacing w:line="360" w:lineRule="atLeast"/>
              <w:jc w:val="center"/>
              <w:rPr>
                <w:rFonts w:cstheme="minorHAnsi"/>
                <w:sz w:val="20"/>
                <w:szCs w:val="20"/>
                <w14:numForm w14:val="lining"/>
              </w:rPr>
            </w:pPr>
            <w:r>
              <w:rPr>
                <w:rFonts w:cstheme="minorHAnsi"/>
                <w:sz w:val="20"/>
              </w:rPr>
              <w:t>-</w:t>
            </w:r>
          </w:p>
        </w:tc>
        <w:tc>
          <w:tcPr>
            <w:tcW w:w="2056" w:type="dxa"/>
            <w:vAlign w:val="center"/>
          </w:tcPr>
          <w:p w14:paraId="4152FA59" w14:textId="77777777" w:rsidR="003814DC" w:rsidRPr="00972CFE" w:rsidRDefault="00972CFE" w:rsidP="00972CFE">
            <w:pPr>
              <w:spacing w:line="360" w:lineRule="atLeast"/>
              <w:jc w:val="center"/>
              <w:rPr>
                <w:rFonts w:cstheme="minorHAnsi"/>
                <w:sz w:val="20"/>
                <w:szCs w:val="20"/>
                <w14:numForm w14:val="lining"/>
              </w:rPr>
            </w:pPr>
            <w:r>
              <w:rPr>
                <w:rFonts w:cstheme="minorHAnsi"/>
                <w:sz w:val="20"/>
              </w:rPr>
              <w:t>9</w:t>
            </w:r>
          </w:p>
        </w:tc>
        <w:tc>
          <w:tcPr>
            <w:tcW w:w="1769" w:type="dxa"/>
          </w:tcPr>
          <w:p w14:paraId="275AF4C3" w14:textId="77777777" w:rsidR="003814DC" w:rsidRPr="00972CFE" w:rsidRDefault="00972CFE" w:rsidP="00972CFE">
            <w:pPr>
              <w:spacing w:line="360" w:lineRule="atLeast"/>
              <w:jc w:val="center"/>
              <w:rPr>
                <w:rFonts w:cstheme="minorHAnsi"/>
                <w:sz w:val="20"/>
                <w:szCs w:val="20"/>
                <w14:numForm w14:val="lining"/>
              </w:rPr>
            </w:pPr>
            <w:r>
              <w:rPr>
                <w:rFonts w:cstheme="minorHAnsi"/>
                <w:sz w:val="20"/>
              </w:rPr>
              <w:t>2</w:t>
            </w:r>
          </w:p>
        </w:tc>
        <w:tc>
          <w:tcPr>
            <w:tcW w:w="1769" w:type="dxa"/>
          </w:tcPr>
          <w:p w14:paraId="676C9ACE" w14:textId="77777777" w:rsidR="003814DC" w:rsidRPr="00972CFE" w:rsidRDefault="00972CFE" w:rsidP="00972CFE">
            <w:pPr>
              <w:spacing w:line="360" w:lineRule="atLeast"/>
              <w:jc w:val="center"/>
              <w:rPr>
                <w:rFonts w:cstheme="minorHAnsi"/>
                <w:sz w:val="20"/>
                <w:szCs w:val="20"/>
                <w14:numForm w14:val="lining"/>
              </w:rPr>
            </w:pPr>
            <w:r>
              <w:rPr>
                <w:rFonts w:cstheme="minorHAnsi"/>
                <w:sz w:val="20"/>
              </w:rPr>
              <w:t>51</w:t>
            </w:r>
          </w:p>
        </w:tc>
      </w:tr>
      <w:tr w:rsidR="003814DC" w:rsidRPr="00972CFE" w14:paraId="0473944A" w14:textId="77777777" w:rsidTr="00246593">
        <w:tc>
          <w:tcPr>
            <w:tcW w:w="1413" w:type="dxa"/>
          </w:tcPr>
          <w:p w14:paraId="408E922A" w14:textId="77777777" w:rsidR="003814DC" w:rsidRPr="00972CFE" w:rsidRDefault="003814DC" w:rsidP="00972CFE">
            <w:pPr>
              <w:spacing w:line="360" w:lineRule="atLeast"/>
              <w:jc w:val="center"/>
              <w:rPr>
                <w:rFonts w:cstheme="minorHAnsi"/>
                <w:sz w:val="20"/>
                <w:szCs w:val="20"/>
                <w14:numForm w14:val="lining"/>
              </w:rPr>
            </w:pPr>
            <w:r>
              <w:rPr>
                <w:rFonts w:cstheme="minorHAnsi"/>
                <w:sz w:val="20"/>
              </w:rPr>
              <w:t>2018</w:t>
            </w:r>
          </w:p>
        </w:tc>
        <w:tc>
          <w:tcPr>
            <w:tcW w:w="2055" w:type="dxa"/>
            <w:vAlign w:val="center"/>
          </w:tcPr>
          <w:p w14:paraId="388A3192" w14:textId="77777777" w:rsidR="003814DC" w:rsidRPr="00972CFE" w:rsidRDefault="00972CFE" w:rsidP="00972CFE">
            <w:pPr>
              <w:spacing w:line="360" w:lineRule="atLeast"/>
              <w:jc w:val="center"/>
              <w:rPr>
                <w:rFonts w:cstheme="minorHAnsi"/>
                <w:sz w:val="20"/>
                <w:szCs w:val="20"/>
                <w14:numForm w14:val="lining"/>
              </w:rPr>
            </w:pPr>
            <w:r>
              <w:rPr>
                <w:rFonts w:cstheme="minorHAnsi"/>
                <w:sz w:val="20"/>
              </w:rPr>
              <w:t>-</w:t>
            </w:r>
          </w:p>
        </w:tc>
        <w:tc>
          <w:tcPr>
            <w:tcW w:w="2056" w:type="dxa"/>
            <w:vAlign w:val="center"/>
          </w:tcPr>
          <w:p w14:paraId="289C7F7D" w14:textId="77777777" w:rsidR="003814DC" w:rsidRPr="00972CFE" w:rsidRDefault="00972CFE" w:rsidP="00972CFE">
            <w:pPr>
              <w:spacing w:line="360" w:lineRule="atLeast"/>
              <w:jc w:val="center"/>
              <w:rPr>
                <w:rFonts w:cstheme="minorHAnsi"/>
                <w:sz w:val="20"/>
                <w:szCs w:val="20"/>
                <w14:numForm w14:val="lining"/>
              </w:rPr>
            </w:pPr>
            <w:r>
              <w:rPr>
                <w:rFonts w:cstheme="minorHAnsi"/>
                <w:sz w:val="20"/>
              </w:rPr>
              <w:t>16</w:t>
            </w:r>
          </w:p>
        </w:tc>
        <w:tc>
          <w:tcPr>
            <w:tcW w:w="1769" w:type="dxa"/>
          </w:tcPr>
          <w:p w14:paraId="16D3A2E6" w14:textId="77777777" w:rsidR="003814DC" w:rsidRPr="00972CFE" w:rsidRDefault="00972CFE" w:rsidP="00972CFE">
            <w:pPr>
              <w:spacing w:line="360" w:lineRule="atLeast"/>
              <w:jc w:val="center"/>
              <w:rPr>
                <w:rFonts w:cstheme="minorHAnsi"/>
                <w:sz w:val="20"/>
                <w:szCs w:val="20"/>
                <w14:numForm w14:val="lining"/>
              </w:rPr>
            </w:pPr>
            <w:r>
              <w:rPr>
                <w:rFonts w:cstheme="minorHAnsi"/>
                <w:sz w:val="20"/>
              </w:rPr>
              <w:t>3</w:t>
            </w:r>
          </w:p>
        </w:tc>
        <w:tc>
          <w:tcPr>
            <w:tcW w:w="1769" w:type="dxa"/>
          </w:tcPr>
          <w:p w14:paraId="501D05C7" w14:textId="77777777" w:rsidR="003814DC" w:rsidRPr="00972CFE" w:rsidRDefault="00972CFE" w:rsidP="00972CFE">
            <w:pPr>
              <w:spacing w:line="360" w:lineRule="atLeast"/>
              <w:jc w:val="center"/>
              <w:rPr>
                <w:rFonts w:cstheme="minorHAnsi"/>
                <w:sz w:val="20"/>
                <w:szCs w:val="20"/>
                <w14:numForm w14:val="lining"/>
              </w:rPr>
            </w:pPr>
            <w:r>
              <w:rPr>
                <w:rFonts w:cstheme="minorHAnsi"/>
                <w:sz w:val="20"/>
              </w:rPr>
              <w:t>41</w:t>
            </w:r>
          </w:p>
        </w:tc>
      </w:tr>
      <w:tr w:rsidR="00972CFE" w:rsidRPr="00972CFE" w14:paraId="1B7BD04C" w14:textId="77777777" w:rsidTr="00246593">
        <w:tc>
          <w:tcPr>
            <w:tcW w:w="1413" w:type="dxa"/>
          </w:tcPr>
          <w:p w14:paraId="610C8B0F"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2019</w:t>
            </w:r>
          </w:p>
        </w:tc>
        <w:tc>
          <w:tcPr>
            <w:tcW w:w="2055" w:type="dxa"/>
            <w:vAlign w:val="center"/>
          </w:tcPr>
          <w:p w14:paraId="393FB6C9"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w:t>
            </w:r>
          </w:p>
        </w:tc>
        <w:tc>
          <w:tcPr>
            <w:tcW w:w="2056" w:type="dxa"/>
            <w:vAlign w:val="center"/>
          </w:tcPr>
          <w:p w14:paraId="5C540BEB"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19</w:t>
            </w:r>
          </w:p>
        </w:tc>
        <w:tc>
          <w:tcPr>
            <w:tcW w:w="1769" w:type="dxa"/>
          </w:tcPr>
          <w:p w14:paraId="1F5A1A7A"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3</w:t>
            </w:r>
          </w:p>
        </w:tc>
        <w:tc>
          <w:tcPr>
            <w:tcW w:w="1769" w:type="dxa"/>
          </w:tcPr>
          <w:p w14:paraId="5EB68792"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18</w:t>
            </w:r>
          </w:p>
        </w:tc>
      </w:tr>
      <w:tr w:rsidR="00972CFE" w:rsidRPr="00972CFE" w14:paraId="59D98C27" w14:textId="77777777" w:rsidTr="00246593">
        <w:tc>
          <w:tcPr>
            <w:tcW w:w="1413" w:type="dxa"/>
          </w:tcPr>
          <w:p w14:paraId="77F2A86E"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2020</w:t>
            </w:r>
          </w:p>
        </w:tc>
        <w:tc>
          <w:tcPr>
            <w:tcW w:w="2055" w:type="dxa"/>
            <w:vAlign w:val="center"/>
          </w:tcPr>
          <w:p w14:paraId="33348656"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2</w:t>
            </w:r>
          </w:p>
        </w:tc>
        <w:tc>
          <w:tcPr>
            <w:tcW w:w="2056" w:type="dxa"/>
            <w:vAlign w:val="center"/>
          </w:tcPr>
          <w:p w14:paraId="01126D2F"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15</w:t>
            </w:r>
          </w:p>
        </w:tc>
        <w:tc>
          <w:tcPr>
            <w:tcW w:w="1769" w:type="dxa"/>
          </w:tcPr>
          <w:p w14:paraId="3AF352AE"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1</w:t>
            </w:r>
          </w:p>
        </w:tc>
        <w:tc>
          <w:tcPr>
            <w:tcW w:w="1769" w:type="dxa"/>
          </w:tcPr>
          <w:p w14:paraId="23B7B64E"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12</w:t>
            </w:r>
          </w:p>
        </w:tc>
      </w:tr>
      <w:tr w:rsidR="00972CFE" w:rsidRPr="00972CFE" w14:paraId="35C94AE0" w14:textId="77777777" w:rsidTr="00246593">
        <w:tc>
          <w:tcPr>
            <w:tcW w:w="1413" w:type="dxa"/>
          </w:tcPr>
          <w:p w14:paraId="09E28864"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2021</w:t>
            </w:r>
          </w:p>
        </w:tc>
        <w:tc>
          <w:tcPr>
            <w:tcW w:w="2055" w:type="dxa"/>
            <w:vAlign w:val="center"/>
          </w:tcPr>
          <w:p w14:paraId="52971E19"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1</w:t>
            </w:r>
          </w:p>
        </w:tc>
        <w:tc>
          <w:tcPr>
            <w:tcW w:w="2056" w:type="dxa"/>
            <w:vAlign w:val="center"/>
          </w:tcPr>
          <w:p w14:paraId="0A6A80A6"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4</w:t>
            </w:r>
          </w:p>
        </w:tc>
        <w:tc>
          <w:tcPr>
            <w:tcW w:w="1769" w:type="dxa"/>
          </w:tcPr>
          <w:p w14:paraId="32D6126F"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w:t>
            </w:r>
          </w:p>
        </w:tc>
        <w:tc>
          <w:tcPr>
            <w:tcW w:w="1769" w:type="dxa"/>
          </w:tcPr>
          <w:p w14:paraId="598DF3A8" w14:textId="77777777" w:rsidR="00972CFE" w:rsidRPr="00972CFE" w:rsidRDefault="00972CFE" w:rsidP="00972CFE">
            <w:pPr>
              <w:spacing w:line="360" w:lineRule="atLeast"/>
              <w:jc w:val="center"/>
              <w:rPr>
                <w:rFonts w:cstheme="minorHAnsi"/>
                <w:sz w:val="20"/>
                <w:szCs w:val="20"/>
                <w14:numForm w14:val="lining"/>
              </w:rPr>
            </w:pPr>
            <w:r>
              <w:rPr>
                <w:rFonts w:cstheme="minorHAnsi"/>
                <w:sz w:val="20"/>
              </w:rPr>
              <w:t>15</w:t>
            </w:r>
          </w:p>
        </w:tc>
      </w:tr>
    </w:tbl>
    <w:p w14:paraId="064A3ADC" w14:textId="77777777" w:rsidR="001B39A6" w:rsidRDefault="001B39A6" w:rsidP="001B39A6">
      <w:pPr>
        <w:spacing w:after="120" w:line="360" w:lineRule="atLeast"/>
        <w:jc w:val="both"/>
      </w:pPr>
    </w:p>
    <w:p w14:paraId="68C0C856" w14:textId="5A4380D7" w:rsidR="00CB3C1C" w:rsidRDefault="00CB3C1C" w:rsidP="00972CFE">
      <w:pPr>
        <w:spacing w:line="360" w:lineRule="atLeast"/>
        <w:jc w:val="both"/>
      </w:pPr>
      <w:r>
        <w:t>4.</w:t>
      </w:r>
      <w:r>
        <w:tab/>
        <w:t xml:space="preserve">Pursuant to Section 80 (2) para. 1 of the </w:t>
      </w:r>
      <w:r w:rsidR="00F55983">
        <w:t>Aliens</w:t>
      </w:r>
      <w:r>
        <w:t xml:space="preserve"> Polic</w:t>
      </w:r>
      <w:r w:rsidR="00F55983">
        <w:t>e</w:t>
      </w:r>
      <w:r>
        <w:t xml:space="preserve"> Act 2005, where a minor over the age of 14 is detained p</w:t>
      </w:r>
      <w:r w:rsidR="00F55983">
        <w:t>ending</w:t>
      </w:r>
      <w:r>
        <w:t xml:space="preserve"> deport</w:t>
      </w:r>
      <w:r w:rsidR="00F55983">
        <w:t>ation</w:t>
      </w:r>
      <w:r>
        <w:t>, they must not be held for longer than three</w:t>
      </w:r>
      <w:r w:rsidR="00947E53">
        <w:t> </w:t>
      </w:r>
      <w:r>
        <w:t>(3)</w:t>
      </w:r>
      <w:r w:rsidR="00947E53">
        <w:t> </w:t>
      </w:r>
      <w:r>
        <w:t>months. In 2020, the average length of time for which minors were detained p</w:t>
      </w:r>
      <w:r w:rsidR="00E000C1">
        <w:t>ending</w:t>
      </w:r>
      <w:r>
        <w:t xml:space="preserve"> deportation was 9.4 calendar days.</w:t>
      </w:r>
    </w:p>
    <w:p w14:paraId="46D270D8" w14:textId="77777777" w:rsidR="00CD6B03" w:rsidRPr="00E9716F" w:rsidRDefault="00972CFE" w:rsidP="00CB3C1C">
      <w:pPr>
        <w:spacing w:line="360" w:lineRule="atLeast"/>
        <w:jc w:val="both"/>
      </w:pPr>
      <w:r>
        <w:tab/>
      </w:r>
    </w:p>
    <w:p w14:paraId="123FF400" w14:textId="77777777" w:rsidR="00CD6B03" w:rsidRPr="009C3563" w:rsidRDefault="00CD6B03" w:rsidP="00CD6B03">
      <w:pPr>
        <w:spacing w:before="120" w:line="360" w:lineRule="auto"/>
        <w:jc w:val="both"/>
      </w:pPr>
    </w:p>
    <w:p w14:paraId="3A805C32" w14:textId="77777777" w:rsidR="00CD6B03" w:rsidRPr="00E9716F" w:rsidRDefault="00CD6B03" w:rsidP="002864AE">
      <w:pPr>
        <w:spacing w:before="240" w:line="360" w:lineRule="auto"/>
        <w:jc w:val="both"/>
        <w:rPr>
          <w:lang w:eastAsia="de-AT" w:bidi="de-AT"/>
        </w:rPr>
      </w:pPr>
    </w:p>
    <w:p w14:paraId="695DCCD8" w14:textId="77777777" w:rsidR="00A868CD" w:rsidRPr="00520587" w:rsidRDefault="00A868CD" w:rsidP="009927DB"/>
    <w:sectPr w:rsidR="00A868CD" w:rsidRPr="00520587" w:rsidSect="00947E53">
      <w:footerReference w:type="default" r:id="rId8"/>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0AB11" w14:textId="77777777" w:rsidR="003E5619" w:rsidRDefault="003E5619" w:rsidP="0014637B">
      <w:pPr>
        <w:spacing w:after="0" w:line="240" w:lineRule="auto"/>
      </w:pPr>
      <w:r>
        <w:separator/>
      </w:r>
    </w:p>
  </w:endnote>
  <w:endnote w:type="continuationSeparator" w:id="0">
    <w:p w14:paraId="163D3670" w14:textId="77777777" w:rsidR="003E5619" w:rsidRDefault="003E5619" w:rsidP="00146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Yi Baiti">
    <w:panose1 w:val="03000500000000000000"/>
    <w:charset w:val="00"/>
    <w:family w:val="script"/>
    <w:pitch w:val="variable"/>
    <w:sig w:usb0="80000003" w:usb1="00010402" w:usb2="00080002" w:usb3="00000000" w:csb0="00000001" w:csb1="00000000"/>
  </w:font>
  <w:font w:name="Microsoft Uighur">
    <w:panose1 w:val="02000000000000000000"/>
    <w:charset w:val="00"/>
    <w:family w:val="auto"/>
    <w:pitch w:val="variable"/>
    <w:sig w:usb0="8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3138846"/>
      <w:docPartObj>
        <w:docPartGallery w:val="Page Numbers (Bottom of Page)"/>
        <w:docPartUnique/>
      </w:docPartObj>
    </w:sdtPr>
    <w:sdtEndPr/>
    <w:sdtContent>
      <w:p w14:paraId="52E9AE1A" w14:textId="6459403B" w:rsidR="00DC6D6F" w:rsidRDefault="00DC6D6F">
        <w:pPr>
          <w:pStyle w:val="Fuzeile"/>
          <w:jc w:val="center"/>
        </w:pPr>
        <w:r>
          <w:fldChar w:fldCharType="begin"/>
        </w:r>
        <w:r>
          <w:instrText>PAGE   \* MERGEFORMAT</w:instrText>
        </w:r>
        <w:r>
          <w:fldChar w:fldCharType="separate"/>
        </w:r>
        <w:r w:rsidR="0063713C" w:rsidRPr="0063713C">
          <w:rPr>
            <w:noProof/>
            <w:lang w:val="de-DE"/>
          </w:rPr>
          <w:t>9</w:t>
        </w:r>
        <w:r>
          <w:fldChar w:fldCharType="end"/>
        </w:r>
      </w:p>
    </w:sdtContent>
  </w:sdt>
  <w:p w14:paraId="0892C5F4" w14:textId="77777777" w:rsidR="00DC6D6F" w:rsidRDefault="00DC6D6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F567CE" w14:textId="77777777" w:rsidR="003E5619" w:rsidRDefault="003E5619" w:rsidP="0014637B">
      <w:pPr>
        <w:spacing w:after="0" w:line="240" w:lineRule="auto"/>
      </w:pPr>
      <w:r>
        <w:separator/>
      </w:r>
    </w:p>
  </w:footnote>
  <w:footnote w:type="continuationSeparator" w:id="0">
    <w:p w14:paraId="6A3C6811" w14:textId="77777777" w:rsidR="003E5619" w:rsidRDefault="003E5619" w:rsidP="0014637B">
      <w:pPr>
        <w:spacing w:after="0" w:line="240" w:lineRule="auto"/>
      </w:pPr>
      <w:r>
        <w:continuationSeparator/>
      </w:r>
    </w:p>
  </w:footnote>
  <w:footnote w:id="1">
    <w:p w14:paraId="4218E747" w14:textId="11F587F4" w:rsidR="00246593" w:rsidRDefault="00246593">
      <w:pPr>
        <w:pStyle w:val="Funotentext"/>
      </w:pPr>
      <w:r>
        <w:rPr>
          <w:rStyle w:val="Funotenzeichen"/>
        </w:rPr>
        <w:footnoteRef/>
      </w:r>
      <w:r>
        <w:t xml:space="preserve"> </w:t>
      </w:r>
      <w:r>
        <w:rPr>
          <w:b/>
        </w:rPr>
        <w:t>Section 190</w:t>
      </w:r>
      <w:r>
        <w:t>. The public prosecutor's office must cease prosecution of an offence and, accordingly, discontinue preliminary proceedings, if:</w:t>
      </w:r>
    </w:p>
    <w:p w14:paraId="136D489A" w14:textId="30D70569" w:rsidR="00246593" w:rsidRDefault="00246593">
      <w:pPr>
        <w:pStyle w:val="Funotentext"/>
      </w:pPr>
      <w:r>
        <w:tab/>
        <w:t>1. The act underlying the preliminary proceedings is not a punishable act, or further prosecution of the accused is otherwise inadmissible for legal reasons, or;</w:t>
      </w:r>
    </w:p>
    <w:p w14:paraId="43F7621D" w14:textId="10F05B36" w:rsidR="00246593" w:rsidRDefault="00246593">
      <w:pPr>
        <w:pStyle w:val="Funotentext"/>
      </w:pPr>
      <w:r>
        <w:tab/>
        <w:t xml:space="preserve">2. There are no material grounds to proceed with the prosecution of the accused. </w:t>
      </w:r>
    </w:p>
    <w:p w14:paraId="3545D299" w14:textId="77777777" w:rsidR="00246593" w:rsidRPr="0014637B" w:rsidRDefault="00246593" w:rsidP="0014637B">
      <w:pPr>
        <w:pStyle w:val="Funotentext"/>
        <w:jc w:val="both"/>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CC3"/>
    <w:rsid w:val="000050EF"/>
    <w:rsid w:val="000374B4"/>
    <w:rsid w:val="00041CD6"/>
    <w:rsid w:val="0005112F"/>
    <w:rsid w:val="00070520"/>
    <w:rsid w:val="000A76C5"/>
    <w:rsid w:val="000B3F25"/>
    <w:rsid w:val="000B76B1"/>
    <w:rsid w:val="001059C8"/>
    <w:rsid w:val="001177D9"/>
    <w:rsid w:val="00144341"/>
    <w:rsid w:val="0014637B"/>
    <w:rsid w:val="00185C5F"/>
    <w:rsid w:val="00193410"/>
    <w:rsid w:val="001B2C8A"/>
    <w:rsid w:val="001B39A6"/>
    <w:rsid w:val="001C11DB"/>
    <w:rsid w:val="001E0610"/>
    <w:rsid w:val="001F06F2"/>
    <w:rsid w:val="00223CC3"/>
    <w:rsid w:val="00234380"/>
    <w:rsid w:val="00246593"/>
    <w:rsid w:val="00260D2A"/>
    <w:rsid w:val="002864AE"/>
    <w:rsid w:val="0029426E"/>
    <w:rsid w:val="002F5422"/>
    <w:rsid w:val="00302BEA"/>
    <w:rsid w:val="00306152"/>
    <w:rsid w:val="00324646"/>
    <w:rsid w:val="00346788"/>
    <w:rsid w:val="00350BCA"/>
    <w:rsid w:val="00355C41"/>
    <w:rsid w:val="003719B0"/>
    <w:rsid w:val="00372E7B"/>
    <w:rsid w:val="0038145D"/>
    <w:rsid w:val="003814DC"/>
    <w:rsid w:val="00381A46"/>
    <w:rsid w:val="003A085A"/>
    <w:rsid w:val="003A0B8E"/>
    <w:rsid w:val="003B4792"/>
    <w:rsid w:val="003B549C"/>
    <w:rsid w:val="003C1BD3"/>
    <w:rsid w:val="003E5619"/>
    <w:rsid w:val="003F4AC4"/>
    <w:rsid w:val="004114F8"/>
    <w:rsid w:val="004265DC"/>
    <w:rsid w:val="0042720F"/>
    <w:rsid w:val="00464198"/>
    <w:rsid w:val="004717D2"/>
    <w:rsid w:val="004B091D"/>
    <w:rsid w:val="004C67F8"/>
    <w:rsid w:val="004E1FD3"/>
    <w:rsid w:val="004F31F2"/>
    <w:rsid w:val="00520587"/>
    <w:rsid w:val="0053222A"/>
    <w:rsid w:val="005504B4"/>
    <w:rsid w:val="00552201"/>
    <w:rsid w:val="00552E63"/>
    <w:rsid w:val="005C37F6"/>
    <w:rsid w:val="005D3BA1"/>
    <w:rsid w:val="005E3E69"/>
    <w:rsid w:val="006370A5"/>
    <w:rsid w:val="0063713C"/>
    <w:rsid w:val="00641AB9"/>
    <w:rsid w:val="00672A68"/>
    <w:rsid w:val="00676D38"/>
    <w:rsid w:val="006948EF"/>
    <w:rsid w:val="007047E3"/>
    <w:rsid w:val="00706731"/>
    <w:rsid w:val="00726A27"/>
    <w:rsid w:val="00742F49"/>
    <w:rsid w:val="00761DC0"/>
    <w:rsid w:val="00772471"/>
    <w:rsid w:val="00781E48"/>
    <w:rsid w:val="00792DA4"/>
    <w:rsid w:val="007A7B10"/>
    <w:rsid w:val="007B71DE"/>
    <w:rsid w:val="007C50B4"/>
    <w:rsid w:val="007F0CDA"/>
    <w:rsid w:val="00803252"/>
    <w:rsid w:val="0085262B"/>
    <w:rsid w:val="008754C2"/>
    <w:rsid w:val="0088453A"/>
    <w:rsid w:val="008A27C0"/>
    <w:rsid w:val="008A3C34"/>
    <w:rsid w:val="008F47A9"/>
    <w:rsid w:val="009129E6"/>
    <w:rsid w:val="00920264"/>
    <w:rsid w:val="009419A6"/>
    <w:rsid w:val="00947E53"/>
    <w:rsid w:val="00953726"/>
    <w:rsid w:val="00972CFE"/>
    <w:rsid w:val="00973DAB"/>
    <w:rsid w:val="0097419F"/>
    <w:rsid w:val="00983DA8"/>
    <w:rsid w:val="00991F80"/>
    <w:rsid w:val="009927DB"/>
    <w:rsid w:val="0099580A"/>
    <w:rsid w:val="009A17E5"/>
    <w:rsid w:val="009B2DAE"/>
    <w:rsid w:val="009C1BBD"/>
    <w:rsid w:val="00A11870"/>
    <w:rsid w:val="00A15975"/>
    <w:rsid w:val="00A16749"/>
    <w:rsid w:val="00A2736D"/>
    <w:rsid w:val="00A27626"/>
    <w:rsid w:val="00A410FD"/>
    <w:rsid w:val="00A57FB7"/>
    <w:rsid w:val="00A82224"/>
    <w:rsid w:val="00A845EB"/>
    <w:rsid w:val="00A868CD"/>
    <w:rsid w:val="00A964BC"/>
    <w:rsid w:val="00AB6B45"/>
    <w:rsid w:val="00AD2B8D"/>
    <w:rsid w:val="00AD7539"/>
    <w:rsid w:val="00AF376F"/>
    <w:rsid w:val="00AF63B6"/>
    <w:rsid w:val="00AF73DB"/>
    <w:rsid w:val="00B04817"/>
    <w:rsid w:val="00B06F0C"/>
    <w:rsid w:val="00B105AE"/>
    <w:rsid w:val="00B21367"/>
    <w:rsid w:val="00B407F4"/>
    <w:rsid w:val="00B55565"/>
    <w:rsid w:val="00B83DFD"/>
    <w:rsid w:val="00B84014"/>
    <w:rsid w:val="00BA47D5"/>
    <w:rsid w:val="00BC764B"/>
    <w:rsid w:val="00C00D6E"/>
    <w:rsid w:val="00C20AC8"/>
    <w:rsid w:val="00C506FE"/>
    <w:rsid w:val="00C77C24"/>
    <w:rsid w:val="00C839B9"/>
    <w:rsid w:val="00C84936"/>
    <w:rsid w:val="00CB3C1C"/>
    <w:rsid w:val="00CD6B03"/>
    <w:rsid w:val="00D02ADE"/>
    <w:rsid w:val="00D3043E"/>
    <w:rsid w:val="00D445CE"/>
    <w:rsid w:val="00D96B7F"/>
    <w:rsid w:val="00DA7909"/>
    <w:rsid w:val="00DC6D6F"/>
    <w:rsid w:val="00DE237F"/>
    <w:rsid w:val="00E000C1"/>
    <w:rsid w:val="00E173C4"/>
    <w:rsid w:val="00E37765"/>
    <w:rsid w:val="00E44DD5"/>
    <w:rsid w:val="00E80C57"/>
    <w:rsid w:val="00EA6329"/>
    <w:rsid w:val="00EC01D5"/>
    <w:rsid w:val="00ED22E7"/>
    <w:rsid w:val="00ED4D80"/>
    <w:rsid w:val="00F14032"/>
    <w:rsid w:val="00F4162A"/>
    <w:rsid w:val="00F55983"/>
    <w:rsid w:val="00FB059C"/>
    <w:rsid w:val="00FB315B"/>
    <w:rsid w:val="00FD7935"/>
    <w:rsid w:val="00FE27EB"/>
  </w:rsids>
  <m:mathPr>
    <m:mathFont m:val="Cambria Math"/>
    <m:brkBin m:val="before"/>
    <m:brkBinSub m:val="--"/>
    <m:smallFrac m:val="0"/>
    <m:dispDef/>
    <m:lMargin m:val="0"/>
    <m:rMargin m:val="0"/>
    <m:defJc m:val="centerGroup"/>
    <m:wrapIndent m:val="1440"/>
    <m:intLim m:val="subSup"/>
    <m:naryLim m:val="undOvr"/>
  </m:mathPr>
  <w:themeFontLang w:val="de-DE" w:eastAsia="ii-CN" w:bidi="ug-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66B58F"/>
  <w15:chartTrackingRefBased/>
  <w15:docId w15:val="{2569A408-A45F-4D82-8D30-0CEC90E7D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rbel" w:eastAsia="Times New Roman" w:hAnsi="Corbel" w:cs="Times New Roman"/>
        <w:sz w:val="23"/>
        <w:szCs w:val="23"/>
        <w:lang w:val="en-GB" w:eastAsia="de-DE" w:bidi="ar-SA"/>
        <w14:numForm w14:val="lining"/>
      </w:rPr>
    </w:rPrDefault>
    <w:pPrDefault>
      <w:pPr>
        <w:spacing w:after="360" w:line="300"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927DB"/>
    <w:rPr>
      <w:rFonts w:asciiTheme="minorHAnsi" w:hAnsiTheme="minorHAnsi"/>
      <w:sz w:val="24"/>
      <w14:numForm w14:val="default"/>
    </w:rPr>
  </w:style>
  <w:style w:type="paragraph" w:styleId="berschrift1">
    <w:name w:val="heading 1"/>
    <w:basedOn w:val="Standard"/>
    <w:next w:val="Standard"/>
    <w:link w:val="berschrift1Zchn"/>
    <w:qFormat/>
    <w:rsid w:val="00FB315B"/>
    <w:pPr>
      <w:keepNext/>
      <w:keepLines/>
      <w:spacing w:before="360" w:line="264" w:lineRule="auto"/>
      <w:outlineLvl w:val="0"/>
    </w:pPr>
    <w:rPr>
      <w:rFonts w:asciiTheme="majorHAnsi" w:eastAsiaTheme="majorEastAsia" w:hAnsiTheme="majorHAnsi" w:cstheme="majorBidi"/>
      <w:b/>
      <w:sz w:val="32"/>
      <w:szCs w:val="32"/>
    </w:rPr>
  </w:style>
  <w:style w:type="paragraph" w:styleId="berschrift2">
    <w:name w:val="heading 2"/>
    <w:basedOn w:val="berschrift1"/>
    <w:next w:val="Standard"/>
    <w:link w:val="berschrift2Zchn"/>
    <w:unhideWhenUsed/>
    <w:qFormat/>
    <w:rsid w:val="00FB315B"/>
    <w:pPr>
      <w:outlineLvl w:val="1"/>
    </w:pPr>
    <w:rPr>
      <w:sz w:val="28"/>
      <w:szCs w:val="26"/>
    </w:rPr>
  </w:style>
  <w:style w:type="paragraph" w:styleId="berschrift3">
    <w:name w:val="heading 3"/>
    <w:basedOn w:val="berschrift2"/>
    <w:next w:val="Standard"/>
    <w:link w:val="berschrift3Zchn"/>
    <w:unhideWhenUsed/>
    <w:qFormat/>
    <w:rsid w:val="00C84936"/>
    <w:pPr>
      <w:spacing w:after="0"/>
      <w:outlineLvl w:val="2"/>
    </w:pPr>
    <w:rPr>
      <w:sz w:val="24"/>
      <w:szCs w:val="24"/>
    </w:rPr>
  </w:style>
  <w:style w:type="paragraph" w:styleId="berschrift4">
    <w:name w:val="heading 4"/>
    <w:basedOn w:val="Standard"/>
    <w:next w:val="Standard"/>
    <w:link w:val="berschrift4Zchn"/>
    <w:semiHidden/>
    <w:unhideWhenUsed/>
    <w:qFormat/>
    <w:rsid w:val="009B2DA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berschrift5">
    <w:name w:val="heading 5"/>
    <w:basedOn w:val="Standard"/>
    <w:next w:val="Standard"/>
    <w:link w:val="berschrift5Zchn"/>
    <w:uiPriority w:val="9"/>
    <w:unhideWhenUsed/>
    <w:qFormat/>
    <w:rsid w:val="0014637B"/>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nrede">
    <w:name w:val="Salutation"/>
    <w:basedOn w:val="Standard"/>
    <w:next w:val="Standard"/>
  </w:style>
  <w:style w:type="paragraph" w:styleId="Fuzeile">
    <w:name w:val="footer"/>
    <w:basedOn w:val="Standard"/>
    <w:link w:val="FuzeileZchn"/>
    <w:uiPriority w:val="99"/>
    <w:pPr>
      <w:tabs>
        <w:tab w:val="center" w:pos="4536"/>
        <w:tab w:val="right" w:pos="9072"/>
      </w:tabs>
    </w:pPr>
  </w:style>
  <w:style w:type="paragraph" w:styleId="Kopfzeile">
    <w:name w:val="header"/>
    <w:basedOn w:val="Standard"/>
    <w:pPr>
      <w:tabs>
        <w:tab w:val="center" w:pos="4536"/>
        <w:tab w:val="right" w:pos="9072"/>
      </w:tabs>
    </w:pPr>
  </w:style>
  <w:style w:type="character" w:styleId="Seitenzahl">
    <w:name w:val="page number"/>
    <w:basedOn w:val="Absatz-Standardschriftart"/>
  </w:style>
  <w:style w:type="paragraph" w:styleId="KeinLeerraum">
    <w:name w:val="No Spacing"/>
    <w:basedOn w:val="Standard"/>
    <w:uiPriority w:val="1"/>
    <w:qFormat/>
    <w:rsid w:val="00464198"/>
    <w:pPr>
      <w:spacing w:after="0"/>
    </w:pPr>
  </w:style>
  <w:style w:type="character" w:customStyle="1" w:styleId="berschrift1Zchn">
    <w:name w:val="Überschrift 1 Zchn"/>
    <w:basedOn w:val="Absatz-Standardschriftart"/>
    <w:link w:val="berschrift1"/>
    <w:rsid w:val="00FB315B"/>
    <w:rPr>
      <w:rFonts w:asciiTheme="majorHAnsi" w:eastAsiaTheme="majorEastAsia" w:hAnsiTheme="majorHAnsi" w:cstheme="majorBidi"/>
      <w:b/>
      <w:sz w:val="32"/>
      <w:szCs w:val="32"/>
      <w14:numForm w14:val="default"/>
    </w:rPr>
  </w:style>
  <w:style w:type="character" w:customStyle="1" w:styleId="berschrift2Zchn">
    <w:name w:val="Überschrift 2 Zchn"/>
    <w:basedOn w:val="Absatz-Standardschriftart"/>
    <w:link w:val="berschrift2"/>
    <w:rsid w:val="00FB315B"/>
    <w:rPr>
      <w:rFonts w:asciiTheme="majorHAnsi" w:eastAsiaTheme="majorEastAsia" w:hAnsiTheme="majorHAnsi" w:cstheme="majorBidi"/>
      <w:b/>
      <w:sz w:val="28"/>
      <w:szCs w:val="26"/>
      <w14:numForm w14:val="default"/>
    </w:rPr>
  </w:style>
  <w:style w:type="character" w:customStyle="1" w:styleId="berschrift3Zchn">
    <w:name w:val="Überschrift 3 Zchn"/>
    <w:basedOn w:val="Absatz-Standardschriftart"/>
    <w:link w:val="berschrift3"/>
    <w:rsid w:val="00C84936"/>
    <w:rPr>
      <w:rFonts w:asciiTheme="majorHAnsi" w:eastAsiaTheme="majorEastAsia" w:hAnsiTheme="majorHAnsi" w:cstheme="majorBidi"/>
      <w:b/>
      <w:sz w:val="24"/>
      <w:szCs w:val="24"/>
      <w14:numForm w14:val="default"/>
    </w:rPr>
  </w:style>
  <w:style w:type="character" w:customStyle="1" w:styleId="berschrift4Zchn">
    <w:name w:val="Überschrift 4 Zchn"/>
    <w:basedOn w:val="Absatz-Standardschriftart"/>
    <w:link w:val="berschrift4"/>
    <w:semiHidden/>
    <w:rsid w:val="009B2DAE"/>
    <w:rPr>
      <w:rFonts w:asciiTheme="majorHAnsi" w:eastAsiaTheme="majorEastAsia" w:hAnsiTheme="majorHAnsi" w:cstheme="majorBidi"/>
      <w:i/>
      <w:iCs/>
      <w:color w:val="365F91" w:themeColor="accent1" w:themeShade="BF"/>
      <w:sz w:val="24"/>
      <w14:numForm w14:val="default"/>
    </w:rPr>
  </w:style>
  <w:style w:type="paragraph" w:customStyle="1" w:styleId="SingleTxtG">
    <w:name w:val="_ Single Txt_G"/>
    <w:basedOn w:val="Standard"/>
    <w:link w:val="SingleTxtGChar"/>
    <w:qFormat/>
    <w:rsid w:val="002864AE"/>
    <w:pPr>
      <w:suppressAutoHyphens/>
      <w:spacing w:after="120" w:line="240" w:lineRule="atLeast"/>
      <w:ind w:left="1134" w:right="1134"/>
      <w:jc w:val="both"/>
    </w:pPr>
    <w:rPr>
      <w:rFonts w:ascii="Times New Roman" w:hAnsi="Times New Roman"/>
      <w:sz w:val="20"/>
      <w:szCs w:val="20"/>
      <w:lang w:eastAsia="de-AT" w:bidi="de-AT"/>
    </w:rPr>
  </w:style>
  <w:style w:type="character" w:customStyle="1" w:styleId="SingleTxtGChar">
    <w:name w:val="_ Single Txt_G Char"/>
    <w:link w:val="SingleTxtG"/>
    <w:rsid w:val="002864AE"/>
    <w:rPr>
      <w:rFonts w:ascii="Times New Roman" w:hAnsi="Times New Roman"/>
      <w:sz w:val="20"/>
      <w:szCs w:val="20"/>
      <w:lang w:val="en-GB" w:eastAsia="de-AT" w:bidi="de-AT"/>
      <w14:numForm w14:val="default"/>
    </w:rPr>
  </w:style>
  <w:style w:type="table" w:styleId="Tabellenraster">
    <w:name w:val="Table Grid"/>
    <w:basedOn w:val="NormaleTabelle"/>
    <w:rsid w:val="003814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semiHidden/>
    <w:unhideWhenUsed/>
    <w:rsid w:val="006370A5"/>
    <w:rPr>
      <w:sz w:val="16"/>
      <w:szCs w:val="16"/>
    </w:rPr>
  </w:style>
  <w:style w:type="paragraph" w:styleId="Kommentartext">
    <w:name w:val="annotation text"/>
    <w:basedOn w:val="Standard"/>
    <w:link w:val="KommentartextZchn"/>
    <w:semiHidden/>
    <w:unhideWhenUsed/>
    <w:rsid w:val="006370A5"/>
    <w:pPr>
      <w:spacing w:line="240" w:lineRule="auto"/>
    </w:pPr>
    <w:rPr>
      <w:sz w:val="20"/>
      <w:szCs w:val="20"/>
    </w:rPr>
  </w:style>
  <w:style w:type="character" w:customStyle="1" w:styleId="KommentartextZchn">
    <w:name w:val="Kommentartext Zchn"/>
    <w:basedOn w:val="Absatz-Standardschriftart"/>
    <w:link w:val="Kommentartext"/>
    <w:semiHidden/>
    <w:rsid w:val="006370A5"/>
    <w:rPr>
      <w:rFonts w:asciiTheme="minorHAnsi" w:hAnsiTheme="minorHAnsi"/>
      <w:sz w:val="20"/>
      <w:szCs w:val="20"/>
      <w14:numForm w14:val="default"/>
    </w:rPr>
  </w:style>
  <w:style w:type="paragraph" w:styleId="Kommentarthema">
    <w:name w:val="annotation subject"/>
    <w:basedOn w:val="Kommentartext"/>
    <w:next w:val="Kommentartext"/>
    <w:link w:val="KommentarthemaZchn"/>
    <w:semiHidden/>
    <w:unhideWhenUsed/>
    <w:rsid w:val="006370A5"/>
    <w:rPr>
      <w:b/>
      <w:bCs/>
    </w:rPr>
  </w:style>
  <w:style w:type="character" w:customStyle="1" w:styleId="KommentarthemaZchn">
    <w:name w:val="Kommentarthema Zchn"/>
    <w:basedOn w:val="KommentartextZchn"/>
    <w:link w:val="Kommentarthema"/>
    <w:semiHidden/>
    <w:rsid w:val="006370A5"/>
    <w:rPr>
      <w:rFonts w:asciiTheme="minorHAnsi" w:hAnsiTheme="minorHAnsi"/>
      <w:b/>
      <w:bCs/>
      <w:sz w:val="20"/>
      <w:szCs w:val="20"/>
      <w14:numForm w14:val="default"/>
    </w:rPr>
  </w:style>
  <w:style w:type="paragraph" w:styleId="Sprechblasentext">
    <w:name w:val="Balloon Text"/>
    <w:basedOn w:val="Standard"/>
    <w:link w:val="SprechblasentextZchn"/>
    <w:semiHidden/>
    <w:unhideWhenUsed/>
    <w:rsid w:val="006370A5"/>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semiHidden/>
    <w:rsid w:val="006370A5"/>
    <w:rPr>
      <w:rFonts w:ascii="Segoe UI" w:hAnsi="Segoe UI" w:cs="Segoe UI"/>
      <w:sz w:val="18"/>
      <w:szCs w:val="18"/>
      <w14:numForm w14:val="default"/>
    </w:rPr>
  </w:style>
  <w:style w:type="paragraph" w:customStyle="1" w:styleId="Default">
    <w:name w:val="Default"/>
    <w:rsid w:val="001F06F2"/>
    <w:pPr>
      <w:autoSpaceDE w:val="0"/>
      <w:autoSpaceDN w:val="0"/>
      <w:adjustRightInd w:val="0"/>
      <w:spacing w:after="0" w:line="240" w:lineRule="auto"/>
    </w:pPr>
    <w:rPr>
      <w:rFonts w:ascii="Calibri" w:hAnsi="Calibri" w:cs="Calibri"/>
      <w:color w:val="000000"/>
      <w:sz w:val="24"/>
      <w:szCs w:val="24"/>
    </w:rPr>
  </w:style>
  <w:style w:type="paragraph" w:styleId="Funotentext">
    <w:name w:val="footnote text"/>
    <w:basedOn w:val="Standard"/>
    <w:link w:val="FunotentextZchn"/>
    <w:semiHidden/>
    <w:unhideWhenUsed/>
    <w:rsid w:val="0014637B"/>
    <w:pPr>
      <w:spacing w:after="0" w:line="240" w:lineRule="auto"/>
    </w:pPr>
    <w:rPr>
      <w:sz w:val="20"/>
      <w:szCs w:val="20"/>
    </w:rPr>
  </w:style>
  <w:style w:type="character" w:customStyle="1" w:styleId="FunotentextZchn">
    <w:name w:val="Fußnotentext Zchn"/>
    <w:basedOn w:val="Absatz-Standardschriftart"/>
    <w:link w:val="Funotentext"/>
    <w:semiHidden/>
    <w:rsid w:val="0014637B"/>
    <w:rPr>
      <w:rFonts w:asciiTheme="minorHAnsi" w:hAnsiTheme="minorHAnsi"/>
      <w:sz w:val="20"/>
      <w:szCs w:val="20"/>
      <w14:numForm w14:val="default"/>
    </w:rPr>
  </w:style>
  <w:style w:type="character" w:styleId="Funotenzeichen">
    <w:name w:val="footnote reference"/>
    <w:basedOn w:val="Absatz-Standardschriftart"/>
    <w:semiHidden/>
    <w:unhideWhenUsed/>
    <w:rsid w:val="0014637B"/>
    <w:rPr>
      <w:vertAlign w:val="superscript"/>
    </w:rPr>
  </w:style>
  <w:style w:type="character" w:customStyle="1" w:styleId="berschrift5Zchn">
    <w:name w:val="Überschrift 5 Zchn"/>
    <w:basedOn w:val="Absatz-Standardschriftart"/>
    <w:link w:val="berschrift5"/>
    <w:uiPriority w:val="9"/>
    <w:rsid w:val="0014637B"/>
    <w:rPr>
      <w:rFonts w:asciiTheme="majorHAnsi" w:eastAsiaTheme="majorEastAsia" w:hAnsiTheme="majorHAnsi" w:cstheme="majorBidi"/>
      <w:color w:val="365F91" w:themeColor="accent1" w:themeShade="BF"/>
      <w:sz w:val="24"/>
      <w14:numForm w14:val="default"/>
    </w:rPr>
  </w:style>
  <w:style w:type="paragraph" w:customStyle="1" w:styleId="abs">
    <w:name w:val="abs"/>
    <w:basedOn w:val="Standard"/>
    <w:rsid w:val="0014637B"/>
    <w:pPr>
      <w:spacing w:before="100" w:beforeAutospacing="1" w:after="100" w:afterAutospacing="1" w:line="240" w:lineRule="auto"/>
    </w:pPr>
    <w:rPr>
      <w:rFonts w:ascii="Times New Roman" w:hAnsi="Times New Roman"/>
      <w:szCs w:val="24"/>
      <w:lang w:eastAsia="de-AT"/>
    </w:rPr>
  </w:style>
  <w:style w:type="paragraph" w:customStyle="1" w:styleId="ziffere1">
    <w:name w:val="ziffere1"/>
    <w:basedOn w:val="Standard"/>
    <w:rsid w:val="0014637B"/>
    <w:pPr>
      <w:spacing w:before="100" w:beforeAutospacing="1" w:after="100" w:afterAutospacing="1" w:line="240" w:lineRule="auto"/>
    </w:pPr>
    <w:rPr>
      <w:rFonts w:ascii="Times New Roman" w:hAnsi="Times New Roman"/>
      <w:szCs w:val="24"/>
      <w:lang w:eastAsia="de-AT"/>
    </w:rPr>
  </w:style>
  <w:style w:type="character" w:customStyle="1" w:styleId="FuzeileZchn">
    <w:name w:val="Fußzeile Zchn"/>
    <w:basedOn w:val="Absatz-Standardschriftart"/>
    <w:link w:val="Fuzeile"/>
    <w:uiPriority w:val="99"/>
    <w:rsid w:val="00DC6D6F"/>
    <w:rPr>
      <w:rFonts w:asciiTheme="minorHAnsi" w:hAnsiTheme="minorHAnsi"/>
      <w:sz w:val="24"/>
      <w14:numForm w14:val="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484569">
      <w:bodyDiv w:val="1"/>
      <w:marLeft w:val="0"/>
      <w:marRight w:val="0"/>
      <w:marTop w:val="0"/>
      <w:marBottom w:val="0"/>
      <w:divBdr>
        <w:top w:val="none" w:sz="0" w:space="0" w:color="auto"/>
        <w:left w:val="none" w:sz="0" w:space="0" w:color="auto"/>
        <w:bottom w:val="none" w:sz="0" w:space="0" w:color="auto"/>
        <w:right w:val="none" w:sz="0" w:space="0" w:color="auto"/>
      </w:divBdr>
      <w:divsChild>
        <w:div w:id="957488275">
          <w:marLeft w:val="0"/>
          <w:marRight w:val="0"/>
          <w:marTop w:val="80"/>
          <w:marBottom w:val="0"/>
          <w:divBdr>
            <w:top w:val="none" w:sz="0" w:space="0" w:color="auto"/>
            <w:left w:val="none" w:sz="0" w:space="0" w:color="auto"/>
            <w:bottom w:val="none" w:sz="0" w:space="0" w:color="auto"/>
            <w:right w:val="none" w:sz="0" w:space="0" w:color="auto"/>
          </w:divBdr>
        </w:div>
      </w:divsChild>
    </w:div>
    <w:div w:id="1304657760">
      <w:bodyDiv w:val="1"/>
      <w:marLeft w:val="0"/>
      <w:marRight w:val="0"/>
      <w:marTop w:val="0"/>
      <w:marBottom w:val="0"/>
      <w:divBdr>
        <w:top w:val="none" w:sz="0" w:space="0" w:color="auto"/>
        <w:left w:val="none" w:sz="0" w:space="0" w:color="auto"/>
        <w:bottom w:val="none" w:sz="0" w:space="0" w:color="auto"/>
        <w:right w:val="none" w:sz="0" w:space="0" w:color="auto"/>
      </w:divBdr>
    </w:div>
    <w:div w:id="2000572121">
      <w:bodyDiv w:val="1"/>
      <w:marLeft w:val="0"/>
      <w:marRight w:val="0"/>
      <w:marTop w:val="0"/>
      <w:marBottom w:val="0"/>
      <w:divBdr>
        <w:top w:val="none" w:sz="0" w:space="0" w:color="auto"/>
        <w:left w:val="none" w:sz="0" w:space="0" w:color="auto"/>
        <w:bottom w:val="none" w:sz="0" w:space="0" w:color="auto"/>
        <w:right w:val="none" w:sz="0" w:space="0" w:color="auto"/>
      </w:divBdr>
      <w:divsChild>
        <w:div w:id="91248980">
          <w:marLeft w:val="0"/>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fields xmlns:f="http://schemas.fabasoft.com/folio/2007/fields" autoupdate="false" catsources="">
  <f:record>
    <f:field ref="BMFCONFIG_3000_109_BMFDocProperty" text=""/>
    <f:field ref="doc_FSCFOLIO_1_1001_FieldDocumentNumber" text=""/>
    <f:field ref="doc_FSCFOLIO_1_1001_FieldSubject" text="" edit="true"/>
    <f:field ref="FSCFOLIO_1_1001_SignaturesFldCtx_FSCFOLIO_1_1001_FieldLastSignature" text="Genehmigt"/>
    <f:field ref="FSCFOLIO_1_1001_SignaturesFldCtx_FSCFOLIO_1_1001_FieldLastSignatureBy" text="Ohms, Brigitte, Dr."/>
    <f:field ref="FSCFOLIO_1_1001_SignaturesFldCtx_FSCFOLIO_1_1001_FieldLastSignatureAt" date="2022-04-11T16:34:47" text="11.04.2022 18:34:47"/>
    <f:field ref="FSCFOLIO_1_1001_SignaturesFldCtx_FSCFOLIO_1_1001_FieldLastSignatureRemark" text=""/>
    <f:field ref="FSCFOLIO_1_1001_FieldCurrentUser" text="Christian Schreiner"/>
    <f:field ref="FSCFOLIO_1_1001_FieldCurrentDate" text="11.04.2022 16:45"/>
    <f:field ref="objvalidfrom" date="" text="" edit="true"/>
    <f:field ref="objvalidto" date="" text="" edit="true"/>
    <f:field ref="FSCFOLIO_1_1001_FieldReleasedVersionDate" text=""/>
    <f:field ref="FSCFOLIO_1_1001_FieldReleasedVersionNr" text=""/>
    <f:field ref="CCAPRECONFIG_15_1001_Objektname" text="CCPR, follow up on the 5th periodic report of Austria, response 2022" edit="true"/>
    <f:field ref="CCAPRECONFIG_15_1001_Objektname" text="CCPR, follow up on the 5th periodic report of Austria, response 2022" edit="true"/>
    <f:field ref="EIBPRECONFIG_1_1001_FieldEIBAttachments" text="" multiline="true"/>
    <f:field ref="EIBPRECONFIG_1_1001_FieldEIBNextFiles" text="" multiline="true"/>
    <f:field ref="EIBPRECONFIG_1_1001_FieldEIBPreviousFiles" text="2021-0.893.414 (BKA/CCPR - Allgemein)" multiline="true"/>
    <f:field ref="EIBPRECONFIG_1_1001_FieldEIBRelatedFiles" text="" multiline="true"/>
    <f:field ref="EIBPRECONFIG_1_1001_FieldEIBCompletedOrdinals" text="" multiline="true"/>
    <f:field ref="EIBPRECONFIG_1_1001_FieldEIBOUAddr" text="Ballhausplatz 2, 1010 Wien" multiline="true"/>
    <f:field ref="EIBPRECONFIG_1_1001_FieldEIBRecipients" text="" multiline="true"/>
    <f:field ref="EIBPRECONFIG_1_1001_FieldEIBSignatures" text="Abzeichnen&#10;Genehmigt" multiline="true"/>
    <f:field ref="EIBPRECONFIG_1_1001_FieldCCAAddrAbschriftsbemerkung" text="" multiline="true"/>
    <f:field ref="EIBPRECONFIG_1_1001_FieldCCAAddrAdresse" text="" multiline="true"/>
    <f:field ref="EIBPRECONFIG_1_1001_FieldCCAAddrPostalischeAdresse" text="" multiline="true"/>
    <f:field ref="EIBPRECONFIG_1_1001_FieldCCAIncomingSubject" text="Ergänzung - BMI Beiträge - BKA Anfrage - CCPR UN-Pakt polit/zivil R" multiline="true"/>
    <f:field ref="EIBPRECONFIG_1_1001_FieldCCAPersonalSubjAddress" text="" multiline="true"/>
    <f:field ref="EIBPRECONFIG_1_1001_FieldCCASubfileSubject" text="" multiline="true"/>
    <f:field ref="EIBPRECONFIG_1_1001_FieldCCASubject" text="UN, CCPR, 2. Follow-up zur 5. österr. Staatenprüfung, Information zur Umsetzung von drei Empfehlungen betr BMI und BMJ, 670.422" multiline="true"/>
    <f:field ref="EIBVFGH_15_1700_FieldPartPlaintiffList" text="" multiline="true"/>
    <f:field ref="EIBVFGH_15_1700_FieldGoesOutToList" text="" multiline="true"/>
    <f:field ref="CUSTOMIZATIONRESSORTBMF_103_2800_FieldRecipientsEmailBMF" text="" multiline="true"/>
    <f:field ref="objname" text="CCPR, follow up on the 5th periodic report of Austria, response 2022" edit="true"/>
    <f:field ref="objsubject" text="" edit="true"/>
    <f:field ref="objcreatedby" text="Handl-Petz, Elisabeth, Dr., LLM"/>
    <f:field ref="objcreatedat" date="2022-04-11T13:23:58" text="11.04.2022 13:23:58"/>
    <f:field ref="objchangedby" text="Schreiner, Christian"/>
    <f:field ref="objmodifiedat" date="2022-04-11T16:43:50" text="11.04.2022 16:43:50"/>
  </f:record>
  <f:display text="Allgemein">
    <f:field ref="BMFCONFIG_3000_109_BMFDocProperty" text="BMFMailEmpfänger"/>
    <f:field ref="FSCFOLIO_1_1001_FieldCurrentUser" text="Aktueller Benutzer"/>
    <f:field ref="FSCFOLIO_1_1001_FieldCurrentDate" text="Aktueller Zeitpunkt"/>
    <f:field ref="objvalidfrom" text="Gültig ab" dateonly="true"/>
    <f:field ref="objvalidto" text="Gültig bis" dateonly="true"/>
    <f:field ref="FSCFOLIO_1_1001_FieldReleasedVersionDate" text="Freigegebene Version vom"/>
    <f:field ref="FSCFOLIO_1_1001_FieldReleasedVersionNr" text="Freigegebene Versionsnummer"/>
    <f:field ref="CCAPRECONFIG_15_1001_Objektname" text="Objektname"/>
    <f:field ref="EIBPRECONFIG_1_1001_FieldEIBAttachments" text="Beilagen"/>
    <f:field ref="EIBPRECONFIG_1_1001_FieldEIBNextFiles" text="Nachzahlen"/>
    <f:field ref="EIBPRECONFIG_1_1001_FieldEIBPreviousFiles" text="Vorzahlen"/>
    <f:field ref="EIBPRECONFIG_1_1001_FieldEIBRelatedFiles" text="Bezugszahlen"/>
    <f:field ref="EIBPRECONFIG_1_1001_FieldEIBCompletedOrdinals" text="Miterledigte Akten"/>
    <f:field ref="EIBPRECONFIG_1_1001_FieldEIBOUAddr" text="Adresse der OE"/>
    <f:field ref="EIBPRECONFIG_1_1001_FieldEIBRecipients" text="Empfänger"/>
    <f:field ref="EIBPRECONFIG_1_1001_FieldEIBSignatures" text="Unterschriften"/>
    <f:field ref="EIBPRECONFIG_1_1001_FieldCCAAddrAbschriftsbemerkung" text="Abschriftsbemerkung"/>
    <f:field ref="EIBPRECONFIG_1_1001_FieldCCAAddrAdresse" text="Adresse"/>
    <f:field ref="EIBPRECONFIG_1_1001_FieldCCAAddrPostalischeAdresse" text="PostalischeAdresse"/>
    <f:field ref="EIBPRECONFIG_1_1001_FieldCCAIncomingSubject" text="EST-Betreff"/>
    <f:field ref="EIBPRECONFIG_1_1001_FieldCCAPersonalSubjAddress" text="Adresse (Namenszahl)"/>
    <f:field ref="EIBPRECONFIG_1_1001_FieldCCASubfileSubject" text="Betreff des Geschäftsstücks"/>
    <f:field ref="EIBPRECONFIG_1_1001_FieldCCASubject" text="Gegenstand"/>
    <f:field ref="EIBVFGH_15_1700_FieldPartPlaintiffList" text="Liste der Antragsteller"/>
    <f:field ref="EIBVFGH_15_1700_FieldGoesOutToList" text="Ergeht an Liste"/>
    <f:field ref="CUSTOMIZATIONRESSORTBMF_103_2800_FieldRecipientsEmailBMF" text="Empfänger Mail BMF"/>
    <f:field ref="objname" text="Name"/>
    <f:field ref="objsubject" text="Anmerkungen"/>
    <f:field ref="objcreatedby" text="Erzeugt von"/>
    <f:field ref="objcreatedat" text="Erzeugt am/um"/>
    <f:field ref="objchangedby" text="Letzte Änderung von"/>
    <f:field ref="objmodifiedat" text="Letzte Änderung am/um"/>
  </f:display>
  <f:display text="Serienbrief">
    <f:field ref="doc_FSCFOLIO_1_1001_FieldDocumentNumber" text="Dokument Nummer"/>
    <f:field ref="doc_FSCFOLIO_1_1001_FieldSubject" text="Betreff"/>
  </f:display>
  <f:display text="Unterschriften">
    <f:field ref="FSCFOLIO_1_1001_SignaturesFldCtx_FSCFOLIO_1_1001_FieldLastSignature" text="Letzte Unterschrift"/>
    <f:field ref="FSCFOLIO_1_1001_SignaturesFldCtx_FSCFOLIO_1_1001_FieldLastSignatureBy" text="Letzte Unterschrift von"/>
    <f:field ref="FSCFOLIO_1_1001_SignaturesFldCtx_FSCFOLIO_1_1001_FieldLastSignatureAt" text="Letzte Unterschrift am/um"/>
    <f:field ref="FSCFOLIO_1_1001_SignaturesFldCtx_FSCFOLIO_1_1001_FieldLastSignatureRemark" text="Bemerkung der letzten Unterschrift"/>
  </f:display>
</f:fields>
</file>

<file path=customXml/item2.xml><?xml version="1.0" encoding="utf-8"?>
<b:Sources xmlns="http://schemas.openxmlformats.org/officeDocument/2006/bibliography" xmlns:b="http://schemas.openxmlformats.org/officeDocument/2006/bibliography" xmlns:star_td="http://www.star-group.net/schemas/transit/filters/textdata"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6449BAEC-D708-40A9-B3FC-B2281DCD4801}">
  <ds:schemaRefs>
    <ds:schemaRef ds:uri="http://schemas.openxmlformats.org/officeDocument/2006/bibliography"/>
    <ds:schemaRef ds:uri="http://www.star-group.net/schemas/transit/filters/textdata"/>
  </ds:schemaRefs>
</ds:datastoreItem>
</file>

<file path=customXml/itemProps3.xml><?xml version="1.0" encoding="utf-8"?>
<ds:datastoreItem xmlns:ds="http://schemas.openxmlformats.org/officeDocument/2006/customXml" ds:itemID="{EBB27912-67E6-42E1-9B34-0B4BF1EA9093}"/>
</file>

<file path=customXml/itemProps4.xml><?xml version="1.0" encoding="utf-8"?>
<ds:datastoreItem xmlns:ds="http://schemas.openxmlformats.org/officeDocument/2006/customXml" ds:itemID="{070F010C-CEFE-447C-952A-D4B9BCC1F651}"/>
</file>

<file path=customXml/itemProps5.xml><?xml version="1.0" encoding="utf-8"?>
<ds:datastoreItem xmlns:ds="http://schemas.openxmlformats.org/officeDocument/2006/customXml" ds:itemID="{098C2160-7017-4438-9F7E-88A1F3C59D65}"/>
</file>

<file path=docProps/app.xml><?xml version="1.0" encoding="utf-8"?>
<Properties xmlns="http://schemas.openxmlformats.org/officeDocument/2006/extended-properties" xmlns:vt="http://schemas.openxmlformats.org/officeDocument/2006/docPropsVTypes">
  <Template>Normal</Template>
  <TotalTime>0</TotalTime>
  <Pages>9</Pages>
  <Words>3323</Words>
  <Characters>18774</Characters>
  <Application>Microsoft Office Word</Application>
  <DocSecurity>4</DocSecurity>
  <Lines>156</Lines>
  <Paragraphs>44</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Bundeskanzleramt</Company>
  <LinksUpToDate>false</LinksUpToDate>
  <CharactersWithSpaces>22053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SCHMIDT, Manfred</dc:creator>
  <cp:keywords/>
  <dc:description/>
  <cp:lastModifiedBy>JOVANOVIC Laura &lt;BMEIA/I.7 Support&gt;</cp:lastModifiedBy>
  <cp:revision>2</cp:revision>
  <cp:lastPrinted>2022-04-11T14:27:00Z</cp:lastPrinted>
  <dcterms:created xsi:type="dcterms:W3CDTF">2022-07-18T14:14:00Z</dcterms:created>
  <dcterms:modified xsi:type="dcterms:W3CDTF">2022-07-18T14:14:00Z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APConfigSettingsSC@101.9800:FMM_EXT_KEY">
    <vt:lpwstr/>
  </property>
  <property fmtid="{D5CDD505-2E9C-101B-9397-08002B2CF9AE}" pid="3" name="FSC#SAPConfigSettingsSC@101.9800:FMM_CONTACT_PERSON">
    <vt:lpwstr/>
  </property>
  <property fmtid="{D5CDD505-2E9C-101B-9397-08002B2CF9AE}" pid="4" name="FSC#SAPConfigSettingsSC@101.9800:FMM_GESAMTBETRAG">
    <vt:lpwstr/>
  </property>
  <property fmtid="{D5CDD505-2E9C-101B-9397-08002B2CF9AE}" pid="5" name="FSC#SAPConfigSettingsSC@101.9800:FMM_GESAMTBETRAG_WORT">
    <vt:lpwstr/>
  </property>
  <property fmtid="{D5CDD505-2E9C-101B-9397-08002B2CF9AE}" pid="6" name="FSC#SAPConfigSettingsSC@101.9800:FMM_ANZAHL_DER_POS_BEWILLIGUNG">
    <vt:lpwstr/>
  </property>
  <property fmtid="{D5CDD505-2E9C-101B-9397-08002B2CF9AE}" pid="7" name="FSC#SAPConfigSettingsSC@101.9800:FMM_POSITIONS_AGREEMENT">
    <vt:lpwstr/>
  </property>
  <property fmtid="{D5CDD505-2E9C-101B-9397-08002B2CF9AE}" pid="8" name="FSC#SAPConfigSettingsSC@101.9800:FMM_POSITIONS">
    <vt:lpwstr/>
  </property>
  <property fmtid="{D5CDD505-2E9C-101B-9397-08002B2CF9AE}" pid="9" name="FSC#SAPConfigSettingsSC@101.9800:FMM_BIC_ALTERNATIV">
    <vt:lpwstr/>
  </property>
  <property fmtid="{D5CDD505-2E9C-101B-9397-08002B2CF9AE}" pid="10" name="FSC#SAPConfigSettingsSC@101.9800:FMM_IBAN_ALTERNATIV">
    <vt:lpwstr/>
  </property>
  <property fmtid="{D5CDD505-2E9C-101B-9397-08002B2CF9AE}" pid="11" name="FSC#SAPConfigSettingsSC@101.9800:FMM_ABLEHNGRUND">
    <vt:lpwstr/>
  </property>
  <property fmtid="{D5CDD505-2E9C-101B-9397-08002B2CF9AE}" pid="12" name="FSC#SAPConfigSettingsSC@101.9800:FMM_ABLEHNGRUND_SONSTIGES_TXT">
    <vt:lpwstr/>
  </property>
  <property fmtid="{D5CDD505-2E9C-101B-9397-08002B2CF9AE}" pid="13" name="FSC#SAPConfigSettingsSC@101.9800:FMM_ANTRAGSBESCHREIBUNG">
    <vt:lpwstr/>
  </property>
  <property fmtid="{D5CDD505-2E9C-101B-9397-08002B2CF9AE}" pid="14" name="FSC#SAPConfigSettingsSC@101.9800:FMM_ABP_NUMMER">
    <vt:lpwstr/>
  </property>
  <property fmtid="{D5CDD505-2E9C-101B-9397-08002B2CF9AE}" pid="15" name="FSC#SAPConfigSettingsSC@101.9800:FMM_TURNUSARZT">
    <vt:lpwstr/>
  </property>
  <property fmtid="{D5CDD505-2E9C-101B-9397-08002B2CF9AE}" pid="16" name="FSC#SAPConfigSettingsSC@101.9800:FMM_GRM_VAL_FROM">
    <vt:lpwstr/>
  </property>
  <property fmtid="{D5CDD505-2E9C-101B-9397-08002B2CF9AE}" pid="17" name="FSC#SAPConfigSettingsSC@101.9800:FMM_GRM_VAL_TO">
    <vt:lpwstr/>
  </property>
  <property fmtid="{D5CDD505-2E9C-101B-9397-08002B2CF9AE}" pid="18" name="FSC#SAPConfigSettingsSC@101.9800:FMM_VORGESCHLAGENER_BETRAG">
    <vt:lpwstr/>
  </property>
  <property fmtid="{D5CDD505-2E9C-101B-9397-08002B2CF9AE}" pid="19" name="FSC#SAPConfigSettingsSC@101.9800:FMM_GESAMTPROJEKTSUMME">
    <vt:lpwstr/>
  </property>
  <property fmtid="{D5CDD505-2E9C-101B-9397-08002B2CF9AE}" pid="20" name="FSC#SAPConfigSettingsSC@101.9800:FMM_BEANTRAGTER_BETRAG">
    <vt:lpwstr/>
  </property>
  <property fmtid="{D5CDD505-2E9C-101B-9397-08002B2CF9AE}" pid="21" name="FSC#SAPConfigSettingsSC@101.9800:FMM_BILL_DATE">
    <vt:lpwstr/>
  </property>
  <property fmtid="{D5CDD505-2E9C-101B-9397-08002B2CF9AE}" pid="22" name="FSC#SAPConfigSettingsSC@101.9800:FMM_SERVICE_ORG_ID">
    <vt:lpwstr/>
  </property>
  <property fmtid="{D5CDD505-2E9C-101B-9397-08002B2CF9AE}" pid="23" name="FSC#SAPConfigSettingsSC@101.9800:FMM_SERVICE_ORG_SHORT">
    <vt:lpwstr/>
  </property>
  <property fmtid="{D5CDD505-2E9C-101B-9397-08002B2CF9AE}" pid="24" name="FSC#SAPConfigSettingsSC@101.9800:FMM_SERVICE_ORG_TEXT">
    <vt:lpwstr/>
  </property>
  <property fmtid="{D5CDD505-2E9C-101B-9397-08002B2CF9AE}" pid="25" name="FSC#SAPConfigSettingsSC@101.9800:FMM_GESAMTPROJEKTSUMME_WORT">
    <vt:lpwstr/>
  </property>
  <property fmtid="{D5CDD505-2E9C-101B-9397-08002B2CF9AE}" pid="26" name="FSC#SAPConfigSettingsSC@101.9800:FMM_BEANTRAGTER_BETRAG_WORT">
    <vt:lpwstr/>
  </property>
  <property fmtid="{D5CDD505-2E9C-101B-9397-08002B2CF9AE}" pid="27" name="FSC#SAPConfigSettingsSC@101.9800:FMM_VORGESCHLAGENER_BETRAG_WORT">
    <vt:lpwstr/>
  </property>
  <property fmtid="{D5CDD505-2E9C-101B-9397-08002B2CF9AE}" pid="28" name="FSC#SAPConfigSettingsSC@101.9800:FMM_ANZAHL_DER_POS_ANTRAG">
    <vt:lpwstr/>
  </property>
  <property fmtid="{D5CDD505-2E9C-101B-9397-08002B2CF9AE}" pid="29" name="FSC#SAPConfigSettingsSC@101.9800:FMM_SWIFT_BIC">
    <vt:lpwstr/>
  </property>
  <property fmtid="{D5CDD505-2E9C-101B-9397-08002B2CF9AE}" pid="30" name="FSC#SAPConfigSettingsSC@101.9800:FMM_VERTRAG_FOERDERBARE_KOSTEN">
    <vt:lpwstr/>
  </property>
  <property fmtid="{D5CDD505-2E9C-101B-9397-08002B2CF9AE}" pid="31" name="FSC#SAPConfigSettingsSC@101.9800:FMM_VERTRAG_NICHT_FOERDERBARE_KOSTEN">
    <vt:lpwstr/>
  </property>
  <property fmtid="{D5CDD505-2E9C-101B-9397-08002B2CF9AE}" pid="32" name="FSC#SAPConfigSettingsSC@101.9800:FMM_RUECKFORDERUNGSGRUND">
    <vt:lpwstr/>
  </property>
  <property fmtid="{D5CDD505-2E9C-101B-9397-08002B2CF9AE}" pid="33" name="FSC#SAPConfigSettingsSC@101.9800:FMM_WIRKUNGSZIELE_EVALUIERUNG">
    <vt:lpwstr/>
  </property>
  <property fmtid="{D5CDD505-2E9C-101B-9397-08002B2CF9AE}" pid="34" name="FSC#SAPConfigSettingsSC@101.9800:FMM_VERTRAG_PROJEKTBESCHREIBUNG">
    <vt:lpwstr/>
  </property>
  <property fmtid="{D5CDD505-2E9C-101B-9397-08002B2CF9AE}" pid="35" name="FSC#SAPConfigSettingsSC@101.9800:FMM_FREITEXT_ALLGEMEINES_SCHREIBEN">
    <vt:lpwstr/>
  </property>
  <property fmtid="{D5CDD505-2E9C-101B-9397-08002B2CF9AE}" pid="36" name="FSC#SAPConfigSettingsSC@101.9800:FMM_ERGEBNIS_DER_ANTRAGSPRUEFUNG">
    <vt:lpwstr/>
  </property>
  <property fmtid="{D5CDD505-2E9C-101B-9397-08002B2CF9AE}" pid="37" name="FSC#SAPConfigSettingsSC@101.9800:FMM_ADRESSE_ALLGEMEINES_SCHREIBEN">
    <vt:lpwstr/>
  </property>
  <property fmtid="{D5CDD505-2E9C-101B-9397-08002B2CF9AE}" pid="38" name="FSC#SAPConfigSettingsSC@101.9800:FMM_PROJEKTZEITRAUM_BIS_PLUS_1M">
    <vt:lpwstr/>
  </property>
  <property fmtid="{D5CDD505-2E9C-101B-9397-08002B2CF9AE}" pid="39" name="FSC#SAPConfigSettingsSC@101.9800:FMM_PROJEKTZEITRAUM_BIS_PLUS_3M">
    <vt:lpwstr/>
  </property>
  <property fmtid="{D5CDD505-2E9C-101B-9397-08002B2CF9AE}" pid="40" name="FSC#SAPConfigSettingsSC@101.9800:FMM_ERSTELLUNGSDATUM_PLUS_35T">
    <vt:lpwstr/>
  </property>
  <property fmtid="{D5CDD505-2E9C-101B-9397-08002B2CF9AE}" pid="41" name="FSC#SAPConfigSettingsSC@101.9800:FMM_VETRAG_SPEZIELLE_FOEDERBEDG">
    <vt:lpwstr/>
  </property>
  <property fmtid="{D5CDD505-2E9C-101B-9397-08002B2CF9AE}" pid="42" name="FSC#SAPConfigSettingsSC@101.9800:FMM_RUECK_FV">
    <vt:lpwstr/>
  </property>
  <property fmtid="{D5CDD505-2E9C-101B-9397-08002B2CF9AE}" pid="43" name="FSC#SAPConfigSettingsSC@101.9800:FMM_ZANTRAGDATUM">
    <vt:lpwstr/>
  </property>
  <property fmtid="{D5CDD505-2E9C-101B-9397-08002B2CF9AE}" pid="44" name="FSC#SAPConfigSettingsSC@101.9800:FMM_DATUM_DES_ANSUCHENS">
    <vt:lpwstr/>
  </property>
  <property fmtid="{D5CDD505-2E9C-101B-9397-08002B2CF9AE}" pid="45" name="FSC#SAPConfigSettingsSC@101.9800:FMM_1_NACHTRAG">
    <vt:lpwstr/>
  </property>
  <property fmtid="{D5CDD505-2E9C-101B-9397-08002B2CF9AE}" pid="46" name="FSC#SAPConfigSettingsSC@101.9800:FMM_2_NACHTRAG">
    <vt:lpwstr/>
  </property>
  <property fmtid="{D5CDD505-2E9C-101B-9397-08002B2CF9AE}" pid="47" name="FSC#SAPConfigSettingsSC@101.9800:FMM_PROJEKTZEITRAUM_VON">
    <vt:lpwstr/>
  </property>
  <property fmtid="{D5CDD505-2E9C-101B-9397-08002B2CF9AE}" pid="48" name="FSC#SAPConfigSettingsSC@101.9800:FMM_PROJEKTZEITRAUM_BIS">
    <vt:lpwstr/>
  </property>
  <property fmtid="{D5CDD505-2E9C-101B-9397-08002B2CF9AE}" pid="49" name="FSC#SAPConfigSettingsSC@101.9800:FMM_IBAN">
    <vt:lpwstr/>
  </property>
  <property fmtid="{D5CDD505-2E9C-101B-9397-08002B2CF9AE}" pid="50" name="FSC#SAPConfigSettingsSC@101.9800:FMM_RECHTSGRUNDLAGE">
    <vt:lpwstr/>
  </property>
  <property fmtid="{D5CDD505-2E9C-101B-9397-08002B2CF9AE}" pid="51" name="FSC#SAPConfigSettingsSC@101.9800:FMM_POSITIONS_APPLICATION">
    <vt:lpwstr/>
  </property>
  <property fmtid="{D5CDD505-2E9C-101B-9397-08002B2CF9AE}" pid="52" name="FSC#SAPConfigSettingsSC@101.9800:FMM_AUFWANDSART_ID">
    <vt:lpwstr/>
  </property>
  <property fmtid="{D5CDD505-2E9C-101B-9397-08002B2CF9AE}" pid="53" name="FSC#SAPConfigSettingsSC@101.9800:FMM_AUFWANDSART_TEXT">
    <vt:lpwstr/>
  </property>
  <property fmtid="{D5CDD505-2E9C-101B-9397-08002B2CF9AE}" pid="54" name="FSC#SAPConfigSettingsSC@101.9800:FMM_GRANTOR_ADDRESS">
    <vt:lpwstr/>
  </property>
  <property fmtid="{D5CDD505-2E9C-101B-9397-08002B2CF9AE}" pid="55" name="FSC#SAPConfigSettingsSC@101.9800:FMM_GRANTOR">
    <vt:lpwstr/>
  </property>
  <property fmtid="{D5CDD505-2E9C-101B-9397-08002B2CF9AE}" pid="56" name="FSC#SAPConfigSettingsSC@101.9800:FMM_GRANTOR_ID">
    <vt:lpwstr/>
  </property>
  <property fmtid="{D5CDD505-2E9C-101B-9397-08002B2CF9AE}" pid="57" name="FSC#SAPConfigSettingsSC@101.9800:FMM_GESCHAEFTSZAHL">
    <vt:lpwstr/>
  </property>
  <property fmtid="{D5CDD505-2E9C-101B-9397-08002B2CF9AE}" pid="58" name="FSC#SAPConfigSettingsSC@101.9800:FMM_MITTELVORBINDUNG">
    <vt:lpwstr/>
  </property>
  <property fmtid="{D5CDD505-2E9C-101B-9397-08002B2CF9AE}" pid="59" name="FSC#SAPConfigSettingsSC@101.9800:FMM_MITTELBINDUNG">
    <vt:lpwstr/>
  </property>
  <property fmtid="{D5CDD505-2E9C-101B-9397-08002B2CF9AE}" pid="60" name="FSC#SAPConfigSettingsSC@101.9800:FMM_PROGRAM_NAME">
    <vt:lpwstr/>
  </property>
  <property fmtid="{D5CDD505-2E9C-101B-9397-08002B2CF9AE}" pid="61" name="FSC#SAPConfigSettingsSC@101.9800:FMM_PROGRAM_ID">
    <vt:lpwstr/>
  </property>
  <property fmtid="{D5CDD505-2E9C-101B-9397-08002B2CF9AE}" pid="62" name="FSC#SAPConfigSettingsSC@101.9800:FMM_TRADEID">
    <vt:lpwstr/>
  </property>
  <property fmtid="{D5CDD505-2E9C-101B-9397-08002B2CF9AE}" pid="63" name="FSC#SAPConfigSettingsSC@101.9800:FMM_VEREINSREGISTERNUMMER">
    <vt:lpwstr/>
  </property>
  <property fmtid="{D5CDD505-2E9C-101B-9397-08002B2CF9AE}" pid="64" name="FSC#SAPConfigSettingsSC@101.9800:FMM_10_MONATLICHE_RATE">
    <vt:lpwstr/>
  </property>
  <property fmtid="{D5CDD505-2E9C-101B-9397-08002B2CF9AE}" pid="65" name="FSC#SAPConfigSettingsSC@101.9800:FMM_10_MONATLICHE_RATE_WAER">
    <vt:lpwstr/>
  </property>
  <property fmtid="{D5CDD505-2E9C-101B-9397-08002B2CF9AE}" pid="66" name="FSC#SAPConfigSettingsSC@101.9800:FMM_10_GP_DETAILBEZ">
    <vt:lpwstr/>
  </property>
  <property fmtid="{D5CDD505-2E9C-101B-9397-08002B2CF9AE}" pid="67" name="FSC#SAPConfigSettingsSC@101.9800:FMM_XX_LGS_MULTISELECT">
    <vt:lpwstr/>
  </property>
  <property fmtid="{D5CDD505-2E9C-101B-9397-08002B2CF9AE}" pid="68" name="FSC#SAPConfigSettingsSC@101.9800:FMM_XX_BUNDESLAND_MULTISELECT">
    <vt:lpwstr/>
  </property>
  <property fmtid="{D5CDD505-2E9C-101B-9397-08002B2CF9AE}" pid="69" name="FSC#SAPConfigSettingsSC@101.9800:FMM_GRANTOR_TYPE_TEXT">
    <vt:lpwstr/>
  </property>
  <property fmtid="{D5CDD505-2E9C-101B-9397-08002B2CF9AE}" pid="70" name="FSC#SAPConfigSettingsSC@101.9800:FMM_GRANTOR_TYPE">
    <vt:lpwstr/>
  </property>
  <property fmtid="{D5CDD505-2E9C-101B-9397-08002B2CF9AE}" pid="71" name="FSC#SAPConfigSettingsSC@101.9800:FMM_SCHWERPUNKT">
    <vt:lpwstr/>
  </property>
  <property fmtid="{D5CDD505-2E9C-101B-9397-08002B2CF9AE}" pid="72" name="FSC#SAPConfigSettingsSC@101.9800:FMM_PROJEKT_ID">
    <vt:lpwstr/>
  </property>
  <property fmtid="{D5CDD505-2E9C-101B-9397-08002B2CF9AE}" pid="73" name="FSC#SAPConfigSettingsSC@101.9800:FMM_ANMERKUNG_PROJEKT">
    <vt:lpwstr/>
  </property>
  <property fmtid="{D5CDD505-2E9C-101B-9397-08002B2CF9AE}" pid="74" name="FSC#SAPConfigSettingsSC@101.9800:FMM_ANSPRECHPERSON">
    <vt:lpwstr/>
  </property>
  <property fmtid="{D5CDD505-2E9C-101B-9397-08002B2CF9AE}" pid="75" name="FSC#SAPConfigSettingsSC@101.9800:FMM_TELEFON_EMAIL">
    <vt:lpwstr/>
  </property>
  <property fmtid="{D5CDD505-2E9C-101B-9397-08002B2CF9AE}" pid="76" name="FSC#SAPConfigSettingsSC@101.9800:FMM_ANMERKUNG_ABRECHNUNGSFRIST">
    <vt:lpwstr/>
  </property>
  <property fmtid="{D5CDD505-2E9C-101B-9397-08002B2CF9AE}" pid="77" name="FSC#SAPConfigSettingsSC@101.9800:FMM_TEILNEHMERANZAHL">
    <vt:lpwstr/>
  </property>
  <property fmtid="{D5CDD505-2E9C-101B-9397-08002B2CF9AE}" pid="78" name="FSC#SAPConfigSettingsSC@101.9800:FMM_AUSLAND">
    <vt:lpwstr/>
  </property>
  <property fmtid="{D5CDD505-2E9C-101B-9397-08002B2CF9AE}" pid="79" name="FSC#SAPConfigSettingsSC@101.9800:FMM_00_BEANTR_BETRAG">
    <vt:lpwstr/>
  </property>
  <property fmtid="{D5CDD505-2E9C-101B-9397-08002B2CF9AE}" pid="80" name="FSC#SAPConfigSettingsSC@101.9800:FMM_SACHBEARBEITER">
    <vt:lpwstr/>
  </property>
  <property fmtid="{D5CDD505-2E9C-101B-9397-08002B2CF9AE}" pid="81" name="FSC#SAPConfigSettingsSC@101.9800:FMM_ABRECHNUNGSFRIST">
    <vt:lpwstr/>
  </property>
  <property fmtid="{D5CDD505-2E9C-101B-9397-08002B2CF9AE}" pid="82" name="FSC#EIBPRECONFIG@1.1001:EIBInternalApprovedAt">
    <vt:lpwstr/>
  </property>
  <property fmtid="{D5CDD505-2E9C-101B-9397-08002B2CF9AE}" pid="83" name="FSC#EIBPRECONFIG@1.1001:EIBInternalApprovedBy">
    <vt:lpwstr/>
  </property>
  <property fmtid="{D5CDD505-2E9C-101B-9397-08002B2CF9AE}" pid="84" name="FSC#EIBPRECONFIG@1.1001:EIBInternalApprovedByPostTitle">
    <vt:lpwstr/>
  </property>
  <property fmtid="{D5CDD505-2E9C-101B-9397-08002B2CF9AE}" pid="85" name="FSC#EIBPRECONFIG@1.1001:EIBSettlementApprovedBy">
    <vt:lpwstr/>
  </property>
  <property fmtid="{D5CDD505-2E9C-101B-9397-08002B2CF9AE}" pid="86" name="FSC#EIBPRECONFIG@1.1001:EIBSettlementApprovedByFirstnameSurname">
    <vt:lpwstr/>
  </property>
  <property fmtid="{D5CDD505-2E9C-101B-9397-08002B2CF9AE}" pid="87" name="FSC#EIBPRECONFIG@1.1001:EIBSettlementApprovedByPostTitle">
    <vt:lpwstr/>
  </property>
  <property fmtid="{D5CDD505-2E9C-101B-9397-08002B2CF9AE}" pid="88" name="FSC#EIBPRECONFIG@1.1001:EIBApprovedAt">
    <vt:lpwstr>11.04.2022</vt:lpwstr>
  </property>
  <property fmtid="{D5CDD505-2E9C-101B-9397-08002B2CF9AE}" pid="89" name="FSC#EIBPRECONFIG@1.1001:EIBApprovedBy">
    <vt:lpwstr>Ohms</vt:lpwstr>
  </property>
  <property fmtid="{D5CDD505-2E9C-101B-9397-08002B2CF9AE}" pid="90" name="FSC#EIBPRECONFIG@1.1001:EIBApprovedBySubst">
    <vt:lpwstr/>
  </property>
  <property fmtid="{D5CDD505-2E9C-101B-9397-08002B2CF9AE}" pid="91" name="FSC#EIBPRECONFIG@1.1001:EIBApprovedByTitle">
    <vt:lpwstr>Dr. Brigitte Ohms</vt:lpwstr>
  </property>
  <property fmtid="{D5CDD505-2E9C-101B-9397-08002B2CF9AE}" pid="92" name="FSC#EIBPRECONFIG@1.1001:EIBApprovedByPostTitle">
    <vt:lpwstr/>
  </property>
  <property fmtid="{D5CDD505-2E9C-101B-9397-08002B2CF9AE}" pid="93" name="FSC#EIBPRECONFIG@1.1001:EIBDepartment">
    <vt:lpwstr>BKA - V (Verfassungsdienst)</vt:lpwstr>
  </property>
  <property fmtid="{D5CDD505-2E9C-101B-9397-08002B2CF9AE}" pid="94" name="FSC#EIBPRECONFIG@1.1001:EIBDispatchedBy">
    <vt:lpwstr/>
  </property>
  <property fmtid="{D5CDD505-2E9C-101B-9397-08002B2CF9AE}" pid="95" name="FSC#EIBPRECONFIG@1.1001:EIBDispatchedByPostTitle">
    <vt:lpwstr/>
  </property>
  <property fmtid="{D5CDD505-2E9C-101B-9397-08002B2CF9AE}" pid="96" name="FSC#EIBPRECONFIG@1.1001:ExtRefInc">
    <vt:lpwstr/>
  </property>
  <property fmtid="{D5CDD505-2E9C-101B-9397-08002B2CF9AE}" pid="97" name="FSC#EIBPRECONFIG@1.1001:IncomingAddrdate">
    <vt:lpwstr>14.01.2022</vt:lpwstr>
  </property>
  <property fmtid="{D5CDD505-2E9C-101B-9397-08002B2CF9AE}" pid="98" name="FSC#EIBPRECONFIG@1.1001:IncomingDelivery">
    <vt:lpwstr>14.01.2022</vt:lpwstr>
  </property>
  <property fmtid="{D5CDD505-2E9C-101B-9397-08002B2CF9AE}" pid="99" name="FSC#EIBPRECONFIG@1.1001:OwnerEmail">
    <vt:lpwstr>ELISABETH.HANDL-PETZ@BKA.GV.AT</vt:lpwstr>
  </property>
  <property fmtid="{D5CDD505-2E9C-101B-9397-08002B2CF9AE}" pid="100" name="FSC#EIBPRECONFIG@1.1001:FileOUEmail">
    <vt:lpwstr>europarecht@bka.gv.at</vt:lpwstr>
  </property>
  <property fmtid="{D5CDD505-2E9C-101B-9397-08002B2CF9AE}" pid="101" name="FSC#EIBPRECONFIG@1.1001:OUEmail">
    <vt:lpwstr>verfassungsdienst@bka.gv.at</vt:lpwstr>
  </property>
  <property fmtid="{D5CDD505-2E9C-101B-9397-08002B2CF9AE}" pid="102" name="FSC#EIBPRECONFIG@1.1001:OwnerGender">
    <vt:lpwstr>Weiblich</vt:lpwstr>
  </property>
  <property fmtid="{D5CDD505-2E9C-101B-9397-08002B2CF9AE}" pid="103" name="FSC#EIBPRECONFIG@1.1001:Priority">
    <vt:lpwstr>Nein</vt:lpwstr>
  </property>
  <property fmtid="{D5CDD505-2E9C-101B-9397-08002B2CF9AE}" pid="104" name="FSC#EIBPRECONFIG@1.1001:PreviousFiles">
    <vt:lpwstr>2021-0.893.414 (BKA/CCPR - Allgemein)</vt:lpwstr>
  </property>
  <property fmtid="{D5CDD505-2E9C-101B-9397-08002B2CF9AE}" pid="105" name="FSC#EIBPRECONFIG@1.1001:NextFiles">
    <vt:lpwstr/>
  </property>
  <property fmtid="{D5CDD505-2E9C-101B-9397-08002B2CF9AE}" pid="106" name="FSC#EIBPRECONFIG@1.1001:RelatedFiles">
    <vt:lpwstr/>
  </property>
  <property fmtid="{D5CDD505-2E9C-101B-9397-08002B2CF9AE}" pid="107" name="FSC#EIBPRECONFIG@1.1001:CompletedOrdinals">
    <vt:lpwstr/>
  </property>
  <property fmtid="{D5CDD505-2E9C-101B-9397-08002B2CF9AE}" pid="108" name="FSC#EIBPRECONFIG@1.1001:NrAttachments">
    <vt:lpwstr/>
  </property>
  <property fmtid="{D5CDD505-2E9C-101B-9397-08002B2CF9AE}" pid="109" name="FSC#EIBPRECONFIG@1.1001:Attachments">
    <vt:lpwstr/>
  </property>
  <property fmtid="{D5CDD505-2E9C-101B-9397-08002B2CF9AE}" pid="110" name="FSC#EIBPRECONFIG@1.1001:SubjectArea">
    <vt:lpwstr>CCPR - Allgemein</vt:lpwstr>
  </property>
  <property fmtid="{D5CDD505-2E9C-101B-9397-08002B2CF9AE}" pid="111" name="FSC#EIBPRECONFIG@1.1001:Recipients">
    <vt:lpwstr/>
  </property>
  <property fmtid="{D5CDD505-2E9C-101B-9397-08002B2CF9AE}" pid="112" name="FSC#EIBPRECONFIG@1.1001:Classified">
    <vt:lpwstr/>
  </property>
  <property fmtid="{D5CDD505-2E9C-101B-9397-08002B2CF9AE}" pid="113" name="FSC#EIBPRECONFIG@1.1001:Deadline">
    <vt:lpwstr/>
  </property>
  <property fmtid="{D5CDD505-2E9C-101B-9397-08002B2CF9AE}" pid="114" name="FSC#EIBPRECONFIG@1.1001:SettlementSubj">
    <vt:lpwstr/>
  </property>
  <property fmtid="{D5CDD505-2E9C-101B-9397-08002B2CF9AE}" pid="115" name="FSC#EIBPRECONFIG@1.1001:OUAddr">
    <vt:lpwstr>Ballhausplatz 2, 1010 Wien</vt:lpwstr>
  </property>
  <property fmtid="{D5CDD505-2E9C-101B-9397-08002B2CF9AE}" pid="116" name="FSC#EIBPRECONFIG@1.1001:FileOUName">
    <vt:lpwstr>BKA - V/7 (Europäisches und Internationales Recht, Menschenrechtsschutz)</vt:lpwstr>
  </property>
  <property fmtid="{D5CDD505-2E9C-101B-9397-08002B2CF9AE}" pid="117" name="FSC#EIBPRECONFIG@1.1001:FileOUDescr">
    <vt:lpwstr/>
  </property>
  <property fmtid="{D5CDD505-2E9C-101B-9397-08002B2CF9AE}" pid="118" name="FSC#EIBPRECONFIG@1.1001:OUDescr">
    <vt:lpwstr/>
  </property>
  <property fmtid="{D5CDD505-2E9C-101B-9397-08002B2CF9AE}" pid="119" name="FSC#EIBPRECONFIG@1.1001:Signatures">
    <vt:lpwstr>Abzeichnen_x000d_
Genehmigt</vt:lpwstr>
  </property>
  <property fmtid="{D5CDD505-2E9C-101B-9397-08002B2CF9AE}" pid="120" name="FSC#EIBPRECONFIG@1.1001:currentuser">
    <vt:lpwstr>COO.3000.100.1.748915</vt:lpwstr>
  </property>
  <property fmtid="{D5CDD505-2E9C-101B-9397-08002B2CF9AE}" pid="121" name="FSC#EIBPRECONFIG@1.1001:currentuserrolegroup">
    <vt:lpwstr>COO.3000.100.1.634979</vt:lpwstr>
  </property>
  <property fmtid="{D5CDD505-2E9C-101B-9397-08002B2CF9AE}" pid="122" name="FSC#EIBPRECONFIG@1.1001:currentuserroleposition">
    <vt:lpwstr>COO.1.1001.1.4329</vt:lpwstr>
  </property>
  <property fmtid="{D5CDD505-2E9C-101B-9397-08002B2CF9AE}" pid="123" name="FSC#EIBPRECONFIG@1.1001:currentuserroot">
    <vt:lpwstr>COO.3000.101.27.3445282</vt:lpwstr>
  </property>
  <property fmtid="{D5CDD505-2E9C-101B-9397-08002B2CF9AE}" pid="124" name="FSC#EIBPRECONFIG@1.1001:toplevelobject">
    <vt:lpwstr>COO.3000.101.25.8284220</vt:lpwstr>
  </property>
  <property fmtid="{D5CDD505-2E9C-101B-9397-08002B2CF9AE}" pid="125" name="FSC#EIBPRECONFIG@1.1001:objchangedby">
    <vt:lpwstr>Christian Schreiner</vt:lpwstr>
  </property>
  <property fmtid="{D5CDD505-2E9C-101B-9397-08002B2CF9AE}" pid="126" name="FSC#EIBPRECONFIG@1.1001:objchangedbyPostTitle">
    <vt:lpwstr/>
  </property>
  <property fmtid="{D5CDD505-2E9C-101B-9397-08002B2CF9AE}" pid="127" name="FSC#EIBPRECONFIG@1.1001:objchangedat">
    <vt:lpwstr>11.04.2022</vt:lpwstr>
  </property>
  <property fmtid="{D5CDD505-2E9C-101B-9397-08002B2CF9AE}" pid="128" name="FSC#EIBPRECONFIG@1.1001:objname">
    <vt:lpwstr>CCPR, follow up on the 5th periodic report of Austria, response 2022</vt:lpwstr>
  </property>
  <property fmtid="{D5CDD505-2E9C-101B-9397-08002B2CF9AE}" pid="129" name="FSC#EIBPRECONFIG@1.1001:EIBProcessResponsiblePhone">
    <vt:lpwstr>203941</vt:lpwstr>
  </property>
  <property fmtid="{D5CDD505-2E9C-101B-9397-08002B2CF9AE}" pid="130" name="FSC#EIBPRECONFIG@1.1001:EIBProcessResponsibleMail">
    <vt:lpwstr>GUENTER.ZUSCHMANN@BKA.GV.AT</vt:lpwstr>
  </property>
  <property fmtid="{D5CDD505-2E9C-101B-9397-08002B2CF9AE}" pid="131" name="FSC#EIBPRECONFIG@1.1001:EIBProcessResponsibleFax">
    <vt:lpwstr/>
  </property>
  <property fmtid="{D5CDD505-2E9C-101B-9397-08002B2CF9AE}" pid="132" name="FSC#EIBPRECONFIG@1.1001:EIBProcessResponsiblePostTitle">
    <vt:lpwstr/>
  </property>
  <property fmtid="{D5CDD505-2E9C-101B-9397-08002B2CF9AE}" pid="133" name="FSC#EIBPRECONFIG@1.1001:EIBProcessResponsible">
    <vt:lpwstr>Günter Zuschmann</vt:lpwstr>
  </property>
  <property fmtid="{D5CDD505-2E9C-101B-9397-08002B2CF9AE}" pid="134" name="FSC#EIBPRECONFIG@1.1001:FileResponsibleFullName">
    <vt:lpwstr/>
  </property>
  <property fmtid="{D5CDD505-2E9C-101B-9397-08002B2CF9AE}" pid="135" name="FSC#EIBPRECONFIG@1.1001:FileResponsibleFirstnameSurname">
    <vt:lpwstr/>
  </property>
  <property fmtid="{D5CDD505-2E9C-101B-9397-08002B2CF9AE}" pid="136" name="FSC#EIBPRECONFIG@1.1001:FileResponsibleEmail">
    <vt:lpwstr/>
  </property>
  <property fmtid="{D5CDD505-2E9C-101B-9397-08002B2CF9AE}" pid="137" name="FSC#EIBPRECONFIG@1.1001:FileResponsibleExtension">
    <vt:lpwstr/>
  </property>
  <property fmtid="{D5CDD505-2E9C-101B-9397-08002B2CF9AE}" pid="138" name="FSC#EIBPRECONFIG@1.1001:FileResponsibleFaxExtension">
    <vt:lpwstr/>
  </property>
  <property fmtid="{D5CDD505-2E9C-101B-9397-08002B2CF9AE}" pid="139" name="FSC#EIBPRECONFIG@1.1001:FileResponsibleGender">
    <vt:lpwstr/>
  </property>
  <property fmtid="{D5CDD505-2E9C-101B-9397-08002B2CF9AE}" pid="140" name="FSC#EIBPRECONFIG@1.1001:FileResponsibleAddr">
    <vt:lpwstr/>
  </property>
  <property fmtid="{D5CDD505-2E9C-101B-9397-08002B2CF9AE}" pid="141" name="FSC#EIBPRECONFIG@1.1001:OwnerPostTitle">
    <vt:lpwstr>LLM</vt:lpwstr>
  </property>
  <property fmtid="{D5CDD505-2E9C-101B-9397-08002B2CF9AE}" pid="142" name="FSC#EIBPRECONFIG@1.1001:OwnerAddr">
    <vt:lpwstr>Ballhausplatz 2, 1010 Wien</vt:lpwstr>
  </property>
  <property fmtid="{D5CDD505-2E9C-101B-9397-08002B2CF9AE}" pid="143" name="FSC#EIBPRECONFIG@1.1001:IsFileAttachment">
    <vt:lpwstr>Ja</vt:lpwstr>
  </property>
  <property fmtid="{D5CDD505-2E9C-101B-9397-08002B2CF9AE}" pid="144" name="FSC#EIBPRECONFIG@1.1001:AddrTelefon">
    <vt:lpwstr/>
  </property>
  <property fmtid="{D5CDD505-2E9C-101B-9397-08002B2CF9AE}" pid="145" name="FSC#EIBPRECONFIG@1.1001:AddrGeburtsdatum">
    <vt:lpwstr/>
  </property>
  <property fmtid="{D5CDD505-2E9C-101B-9397-08002B2CF9AE}" pid="146" name="FSC#EIBPRECONFIG@1.1001:AddrGeboren_am_2">
    <vt:lpwstr/>
  </property>
  <property fmtid="{D5CDD505-2E9C-101B-9397-08002B2CF9AE}" pid="147" name="FSC#EIBPRECONFIG@1.1001:AddrBundesland">
    <vt:lpwstr/>
  </property>
  <property fmtid="{D5CDD505-2E9C-101B-9397-08002B2CF9AE}" pid="148" name="FSC#EIBPRECONFIG@1.1001:AddrBezeichnung">
    <vt:lpwstr/>
  </property>
  <property fmtid="{D5CDD505-2E9C-101B-9397-08002B2CF9AE}" pid="149" name="FSC#EIBPRECONFIG@1.1001:AddrGruppeName_vollstaendig">
    <vt:lpwstr/>
  </property>
  <property fmtid="{D5CDD505-2E9C-101B-9397-08002B2CF9AE}" pid="150" name="FSC#EIBPRECONFIG@1.1001:AddrAdresseBeschreibung">
    <vt:lpwstr/>
  </property>
  <property fmtid="{D5CDD505-2E9C-101B-9397-08002B2CF9AE}" pid="151" name="FSC#EIBPRECONFIG@1.1001:AddrName_Ergaenzung">
    <vt:lpwstr/>
  </property>
  <property fmtid="{D5CDD505-2E9C-101B-9397-08002B2CF9AE}" pid="152" name="FSC#COOELAK@1.1001:Subject">
    <vt:lpwstr>UN, CCPR, 2. Follow-up zur 5. österr. Staatenprüfung, Information zur Umsetzung von drei Empfehlungen betr BMI und BMJ, 670.422</vt:lpwstr>
  </property>
  <property fmtid="{D5CDD505-2E9C-101B-9397-08002B2CF9AE}" pid="153" name="FSC#COOELAK@1.1001:FileReference">
    <vt:lpwstr>2022-0.032.298</vt:lpwstr>
  </property>
  <property fmtid="{D5CDD505-2E9C-101B-9397-08002B2CF9AE}" pid="154" name="FSC#COOELAK@1.1001:FileRefYear">
    <vt:lpwstr>2022</vt:lpwstr>
  </property>
  <property fmtid="{D5CDD505-2E9C-101B-9397-08002B2CF9AE}" pid="155" name="FSC#COOELAK@1.1001:FileRefOrdinal">
    <vt:lpwstr>32298</vt:lpwstr>
  </property>
  <property fmtid="{D5CDD505-2E9C-101B-9397-08002B2CF9AE}" pid="156" name="FSC#COOELAK@1.1001:FileRefOU">
    <vt:lpwstr>V/7</vt:lpwstr>
  </property>
  <property fmtid="{D5CDD505-2E9C-101B-9397-08002B2CF9AE}" pid="157" name="FSC#COOELAK@1.1001:Organization">
    <vt:lpwstr/>
  </property>
  <property fmtid="{D5CDD505-2E9C-101B-9397-08002B2CF9AE}" pid="158" name="FSC#COOELAK@1.1001:Owner">
    <vt:lpwstr>Dr. Elisabeth Handl-Petz, LLM</vt:lpwstr>
  </property>
  <property fmtid="{D5CDD505-2E9C-101B-9397-08002B2CF9AE}" pid="159" name="FSC#COOELAK@1.1001:OwnerExtension">
    <vt:lpwstr>203915</vt:lpwstr>
  </property>
  <property fmtid="{D5CDD505-2E9C-101B-9397-08002B2CF9AE}" pid="160" name="FSC#COOELAK@1.1001:OwnerFaxExtension">
    <vt:lpwstr/>
  </property>
  <property fmtid="{D5CDD505-2E9C-101B-9397-08002B2CF9AE}" pid="161" name="FSC#COOELAK@1.1001:DispatchedBy">
    <vt:lpwstr/>
  </property>
  <property fmtid="{D5CDD505-2E9C-101B-9397-08002B2CF9AE}" pid="162" name="FSC#COOELAK@1.1001:DispatchedAt">
    <vt:lpwstr/>
  </property>
  <property fmtid="{D5CDD505-2E9C-101B-9397-08002B2CF9AE}" pid="163" name="FSC#COOELAK@1.1001:ApprovedBy">
    <vt:lpwstr/>
  </property>
  <property fmtid="{D5CDD505-2E9C-101B-9397-08002B2CF9AE}" pid="164" name="FSC#COOELAK@1.1001:ApprovedAt">
    <vt:lpwstr/>
  </property>
  <property fmtid="{D5CDD505-2E9C-101B-9397-08002B2CF9AE}" pid="165" name="FSC#COOELAK@1.1001:Department">
    <vt:lpwstr>BKA - V (Verfassungsdienst)</vt:lpwstr>
  </property>
  <property fmtid="{D5CDD505-2E9C-101B-9397-08002B2CF9AE}" pid="166" name="FSC#COOELAK@1.1001:CreatedAt">
    <vt:lpwstr>11.04.2022</vt:lpwstr>
  </property>
  <property fmtid="{D5CDD505-2E9C-101B-9397-08002B2CF9AE}" pid="167" name="FSC#COOELAK@1.1001:OU">
    <vt:lpwstr>BKA - V (Verfassungsdienst)</vt:lpwstr>
  </property>
  <property fmtid="{D5CDD505-2E9C-101B-9397-08002B2CF9AE}" pid="168" name="FSC#COOELAK@1.1001:Priority">
    <vt:lpwstr> ()</vt:lpwstr>
  </property>
  <property fmtid="{D5CDD505-2E9C-101B-9397-08002B2CF9AE}" pid="169" name="FSC#COOELAK@1.1001:ObjBarCode">
    <vt:lpwstr>*COO.3000.101.23.6800466*</vt:lpwstr>
  </property>
  <property fmtid="{D5CDD505-2E9C-101B-9397-08002B2CF9AE}" pid="170" name="FSC#COOELAK@1.1001:RefBarCode">
    <vt:lpwstr/>
  </property>
  <property fmtid="{D5CDD505-2E9C-101B-9397-08002B2CF9AE}" pid="171" name="FSC#COOELAK@1.1001:FileRefBarCode">
    <vt:lpwstr>*2022-0.032.298*</vt:lpwstr>
  </property>
  <property fmtid="{D5CDD505-2E9C-101B-9397-08002B2CF9AE}" pid="172" name="FSC#COOELAK@1.1001:ExternalRef">
    <vt:lpwstr/>
  </property>
  <property fmtid="{D5CDD505-2E9C-101B-9397-08002B2CF9AE}" pid="173" name="FSC#COOELAK@1.1001:IncomingNumber">
    <vt:lpwstr>2022-0.032.298-1-E</vt:lpwstr>
  </property>
  <property fmtid="{D5CDD505-2E9C-101B-9397-08002B2CF9AE}" pid="174" name="FSC#COOELAK@1.1001:IncomingSubject">
    <vt:lpwstr>Ergänzung - BMI Beiträge - BKA Anfrage - CCPR UN-Pakt polit/zivil R</vt:lpwstr>
  </property>
  <property fmtid="{D5CDD505-2E9C-101B-9397-08002B2CF9AE}" pid="175" name="FSC#COOELAK@1.1001:ProcessResponsible">
    <vt:lpwstr/>
  </property>
  <property fmtid="{D5CDD505-2E9C-101B-9397-08002B2CF9AE}" pid="176" name="FSC#COOELAK@1.1001:ProcessResponsiblePhone">
    <vt:lpwstr/>
  </property>
  <property fmtid="{D5CDD505-2E9C-101B-9397-08002B2CF9AE}" pid="177" name="FSC#COOELAK@1.1001:ProcessResponsibleMail">
    <vt:lpwstr/>
  </property>
  <property fmtid="{D5CDD505-2E9C-101B-9397-08002B2CF9AE}" pid="178" name="FSC#COOELAK@1.1001:ProcessResponsibleFax">
    <vt:lpwstr/>
  </property>
  <property fmtid="{D5CDD505-2E9C-101B-9397-08002B2CF9AE}" pid="179" name="FSC#COOELAK@1.1001:ApproverFirstName">
    <vt:lpwstr/>
  </property>
  <property fmtid="{D5CDD505-2E9C-101B-9397-08002B2CF9AE}" pid="180" name="FSC#COOELAK@1.1001:ApproverSurName">
    <vt:lpwstr/>
  </property>
  <property fmtid="{D5CDD505-2E9C-101B-9397-08002B2CF9AE}" pid="181" name="FSC#COOELAK@1.1001:ApproverTitle">
    <vt:lpwstr/>
  </property>
  <property fmtid="{D5CDD505-2E9C-101B-9397-08002B2CF9AE}" pid="182" name="FSC#COOELAK@1.1001:ExternalDate">
    <vt:lpwstr/>
  </property>
  <property fmtid="{D5CDD505-2E9C-101B-9397-08002B2CF9AE}" pid="183" name="FSC#COOELAK@1.1001:SettlementApprovedAt">
    <vt:lpwstr/>
  </property>
  <property fmtid="{D5CDD505-2E9C-101B-9397-08002B2CF9AE}" pid="184" name="FSC#COOELAK@1.1001:BaseNumber">
    <vt:lpwstr>672.702</vt:lpwstr>
  </property>
  <property fmtid="{D5CDD505-2E9C-101B-9397-08002B2CF9AE}" pid="185" name="FSC#COOELAK@1.1001:CurrentUserRolePos">
    <vt:lpwstr>Kanzlist/in</vt:lpwstr>
  </property>
  <property fmtid="{D5CDD505-2E9C-101B-9397-08002B2CF9AE}" pid="186" name="FSC#COOELAK@1.1001:CurrentUserEmail">
    <vt:lpwstr>CHRISTIAN.SCHREINER@BKA.GV.AT</vt:lpwstr>
  </property>
  <property fmtid="{D5CDD505-2E9C-101B-9397-08002B2CF9AE}" pid="187" name="FSC#ELAKGOV@1.1001:PersonalSubjGender">
    <vt:lpwstr/>
  </property>
  <property fmtid="{D5CDD505-2E9C-101B-9397-08002B2CF9AE}" pid="188" name="FSC#ELAKGOV@1.1001:PersonalSubjFirstName">
    <vt:lpwstr/>
  </property>
  <property fmtid="{D5CDD505-2E9C-101B-9397-08002B2CF9AE}" pid="189" name="FSC#ELAKGOV@1.1001:PersonalSubjSurName">
    <vt:lpwstr/>
  </property>
  <property fmtid="{D5CDD505-2E9C-101B-9397-08002B2CF9AE}" pid="190" name="FSC#ELAKGOV@1.1001:PersonalSubjSalutation">
    <vt:lpwstr/>
  </property>
  <property fmtid="{D5CDD505-2E9C-101B-9397-08002B2CF9AE}" pid="191" name="FSC#ELAKGOV@1.1001:PersonalSubjAddress">
    <vt:lpwstr/>
  </property>
  <property fmtid="{D5CDD505-2E9C-101B-9397-08002B2CF9AE}" pid="192" name="FSC#ATSTATECFG@1.1001:Office">
    <vt:lpwstr/>
  </property>
  <property fmtid="{D5CDD505-2E9C-101B-9397-08002B2CF9AE}" pid="193" name="FSC#ATSTATECFG@1.1001:Agent">
    <vt:lpwstr/>
  </property>
  <property fmtid="{D5CDD505-2E9C-101B-9397-08002B2CF9AE}" pid="194" name="FSC#ATSTATECFG@1.1001:AgentPhone">
    <vt:lpwstr/>
  </property>
  <property fmtid="{D5CDD505-2E9C-101B-9397-08002B2CF9AE}" pid="195" name="FSC#ATSTATECFG@1.1001:DepartmentFax">
    <vt:lpwstr/>
  </property>
  <property fmtid="{D5CDD505-2E9C-101B-9397-08002B2CF9AE}" pid="196" name="FSC#ATSTATECFG@1.1001:DepartmentEmail">
    <vt:lpwstr/>
  </property>
  <property fmtid="{D5CDD505-2E9C-101B-9397-08002B2CF9AE}" pid="197" name="FSC#ATSTATECFG@1.1001:SubfileDate">
    <vt:lpwstr/>
  </property>
  <property fmtid="{D5CDD505-2E9C-101B-9397-08002B2CF9AE}" pid="198" name="FSC#ATSTATECFG@1.1001:SubfileSubject">
    <vt:lpwstr/>
  </property>
  <property fmtid="{D5CDD505-2E9C-101B-9397-08002B2CF9AE}" pid="199" name="FSC#ATSTATECFG@1.1001:DepartmentZipCode">
    <vt:lpwstr/>
  </property>
  <property fmtid="{D5CDD505-2E9C-101B-9397-08002B2CF9AE}" pid="200" name="FSC#ATSTATECFG@1.1001:DepartmentCountry">
    <vt:lpwstr/>
  </property>
  <property fmtid="{D5CDD505-2E9C-101B-9397-08002B2CF9AE}" pid="201" name="FSC#ATSTATECFG@1.1001:DepartmentCity">
    <vt:lpwstr/>
  </property>
  <property fmtid="{D5CDD505-2E9C-101B-9397-08002B2CF9AE}" pid="202" name="FSC#ATSTATECFG@1.1001:DepartmentStreet">
    <vt:lpwstr/>
  </property>
  <property fmtid="{D5CDD505-2E9C-101B-9397-08002B2CF9AE}" pid="203" name="FSC#CCAPRECONFIGG@15.1001:DepartmentON">
    <vt:lpwstr/>
  </property>
  <property fmtid="{D5CDD505-2E9C-101B-9397-08002B2CF9AE}" pid="204" name="FSC#ATSTATECFG@1.1001:DepartmentDVR">
    <vt:lpwstr/>
  </property>
  <property fmtid="{D5CDD505-2E9C-101B-9397-08002B2CF9AE}" pid="205" name="FSC#ATSTATECFG@1.1001:DepartmentUID">
    <vt:lpwstr/>
  </property>
  <property fmtid="{D5CDD505-2E9C-101B-9397-08002B2CF9AE}" pid="206" name="FSC#ATSTATECFG@1.1001:SubfileReference">
    <vt:lpwstr/>
  </property>
  <property fmtid="{D5CDD505-2E9C-101B-9397-08002B2CF9AE}" pid="207" name="FSC#ATSTATECFG@1.1001:Clause">
    <vt:lpwstr/>
  </property>
  <property fmtid="{D5CDD505-2E9C-101B-9397-08002B2CF9AE}" pid="208" name="FSC#ATSTATECFG@1.1001:ApprovedSignature">
    <vt:lpwstr/>
  </property>
  <property fmtid="{D5CDD505-2E9C-101B-9397-08002B2CF9AE}" pid="209" name="FSC#ATSTATECFG@1.1001:BankAccount">
    <vt:lpwstr/>
  </property>
  <property fmtid="{D5CDD505-2E9C-101B-9397-08002B2CF9AE}" pid="210" name="FSC#ATSTATECFG@1.1001:BankAccountOwner">
    <vt:lpwstr/>
  </property>
  <property fmtid="{D5CDD505-2E9C-101B-9397-08002B2CF9AE}" pid="211" name="FSC#ATSTATECFG@1.1001:BankInstitute">
    <vt:lpwstr/>
  </property>
  <property fmtid="{D5CDD505-2E9C-101B-9397-08002B2CF9AE}" pid="212" name="FSC#ATSTATECFG@1.1001:BankAccountID">
    <vt:lpwstr/>
  </property>
  <property fmtid="{D5CDD505-2E9C-101B-9397-08002B2CF9AE}" pid="213" name="FSC#ATSTATECFG@1.1001:BankAccountIBAN">
    <vt:lpwstr/>
  </property>
  <property fmtid="{D5CDD505-2E9C-101B-9397-08002B2CF9AE}" pid="214" name="FSC#ATSTATECFG@1.1001:BankAccountBIC">
    <vt:lpwstr/>
  </property>
  <property fmtid="{D5CDD505-2E9C-101B-9397-08002B2CF9AE}" pid="215" name="FSC#ATSTATECFG@1.1001:BankName">
    <vt:lpwstr/>
  </property>
  <property fmtid="{D5CDD505-2E9C-101B-9397-08002B2CF9AE}" pid="216" name="FSC#COOELAK@1.1001:ObjectAddressees">
    <vt:lpwstr/>
  </property>
  <property fmtid="{D5CDD505-2E9C-101B-9397-08002B2CF9AE}" pid="217" name="FSC#COOELAK@1.1001:replyreference">
    <vt:lpwstr/>
  </property>
  <property fmtid="{D5CDD505-2E9C-101B-9397-08002B2CF9AE}" pid="218" name="FSC#ATPRECONFIG@1.1001:ChargePreview">
    <vt:lpwstr/>
  </property>
  <property fmtid="{D5CDD505-2E9C-101B-9397-08002B2CF9AE}" pid="219" name="FSC#ATSTATECFG@1.1001:ExternalFile">
    <vt:lpwstr/>
  </property>
  <property fmtid="{D5CDD505-2E9C-101B-9397-08002B2CF9AE}" pid="220" name="FSC#COOSYSTEM@1.1:Container">
    <vt:lpwstr>COO.3000.101.23.6800466</vt:lpwstr>
  </property>
  <property fmtid="{D5CDD505-2E9C-101B-9397-08002B2CF9AE}" pid="221" name="FSC#FSCFOLIO@1.1001:docpropproject">
    <vt:lpwstr/>
  </property>
  <property fmtid="{D5CDD505-2E9C-101B-9397-08002B2CF9AE}" pid="222" name="FSC#CCAPRECONFIGG@15.1001:DepartmentWebsite">
    <vt:lpwstr/>
  </property>
  <property fmtid="{D5CDD505-2E9C-101B-9397-08002B2CF9AE}" pid="223" name="FSC#COOELAK@1.1001:OfficeHours">
    <vt:lpwstr/>
  </property>
  <property fmtid="{D5CDD505-2E9C-101B-9397-08002B2CF9AE}" pid="224" name="FSC#COOELAK@1.1001:FileRefOULong">
    <vt:lpwstr>Europäisches und Internationales Recht, Menschenrechtsschutz</vt:lpwstr>
  </property>
  <property fmtid="{D5CDD505-2E9C-101B-9397-08002B2CF9AE}" pid="225" name="FSC$NOPARSEFILE">
    <vt:bool>true</vt:bool>
  </property>
  <property fmtid="{D5CDD505-2E9C-101B-9397-08002B2CF9AE}" pid="226" name="ContentTypeId">
    <vt:lpwstr>0x0101001095AF07E9D52746B60E2F270CE938D2</vt:lpwstr>
  </property>
</Properties>
</file>