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D51" w:rsidRPr="006868DA" w:rsidRDefault="004B7D51" w:rsidP="00D76224">
      <w:pPr>
        <w:spacing w:line="240" w:lineRule="auto"/>
        <w:jc w:val="both"/>
        <w:rPr>
          <w:rFonts w:ascii="Arial" w:eastAsia="Times New Roman" w:hAnsi="Arial" w:cs="Arial"/>
          <w:color w:val="000000"/>
          <w:sz w:val="24"/>
          <w:szCs w:val="24"/>
          <w:lang w:eastAsia="el-GR"/>
        </w:rPr>
      </w:pPr>
      <w:r w:rsidRPr="006868DA">
        <w:rPr>
          <w:rFonts w:ascii="Arial" w:eastAsia="Times New Roman" w:hAnsi="Arial" w:cs="Arial"/>
          <w:b/>
          <w:bCs/>
          <w:color w:val="000000"/>
          <w:sz w:val="24"/>
          <w:szCs w:val="24"/>
          <w:lang w:eastAsia="el-GR"/>
        </w:rPr>
        <w:t>(</w:t>
      </w:r>
      <w:r w:rsidRPr="006868DA">
        <w:rPr>
          <w:rFonts w:ascii="Arial" w:eastAsia="Times New Roman" w:hAnsi="Arial" w:cs="Arial"/>
          <w:b/>
          <w:bCs/>
          <w:color w:val="000000"/>
          <w:sz w:val="24"/>
          <w:szCs w:val="24"/>
          <w:lang w:val="en-US" w:eastAsia="el-GR"/>
        </w:rPr>
        <w:t>POLITI</w:t>
      </w:r>
      <w:r w:rsidRPr="006868DA">
        <w:rPr>
          <w:rFonts w:ascii="Arial" w:eastAsia="Times New Roman" w:hAnsi="Arial" w:cs="Arial"/>
          <w:b/>
          <w:bCs/>
          <w:color w:val="000000"/>
          <w:sz w:val="24"/>
          <w:szCs w:val="24"/>
          <w:lang w:eastAsia="el-GR"/>
        </w:rPr>
        <w:t xml:space="preserve">, </w:t>
      </w:r>
      <w:r w:rsidRPr="006868DA">
        <w:rPr>
          <w:rFonts w:ascii="Arial" w:eastAsia="Times New Roman" w:hAnsi="Arial" w:cs="Arial"/>
          <w:b/>
          <w:bCs/>
          <w:color w:val="000000"/>
          <w:sz w:val="24"/>
          <w:szCs w:val="24"/>
          <w:lang w:val="en-US" w:eastAsia="el-GR"/>
        </w:rPr>
        <w:t>Italy</w:t>
      </w:r>
      <w:r w:rsidRPr="006868DA">
        <w:rPr>
          <w:rFonts w:ascii="Arial" w:eastAsia="Times New Roman" w:hAnsi="Arial" w:cs="Arial"/>
          <w:b/>
          <w:bCs/>
          <w:color w:val="000000"/>
          <w:sz w:val="24"/>
          <w:szCs w:val="24"/>
          <w:lang w:eastAsia="el-GR"/>
        </w:rPr>
        <w:t>)</w:t>
      </w:r>
    </w:p>
    <w:p w:rsidR="004B7D51" w:rsidRPr="006868DA" w:rsidRDefault="004B7D51" w:rsidP="004B7D51">
      <w:pPr>
        <w:pStyle w:val="ListParagraph"/>
        <w:spacing w:line="240" w:lineRule="auto"/>
        <w:jc w:val="both"/>
        <w:rPr>
          <w:rFonts w:ascii="Arial" w:eastAsia="Times New Roman" w:hAnsi="Arial" w:cs="Arial"/>
          <w:color w:val="000000"/>
          <w:sz w:val="24"/>
          <w:szCs w:val="24"/>
          <w:lang w:eastAsia="el-GR"/>
        </w:rPr>
      </w:pPr>
    </w:p>
    <w:p w:rsidR="00E6365C" w:rsidRPr="006868DA" w:rsidRDefault="004B7D51" w:rsidP="004B7D51">
      <w:pPr>
        <w:pStyle w:val="ListParagraph"/>
        <w:numPr>
          <w:ilvl w:val="0"/>
          <w:numId w:val="2"/>
        </w:numPr>
        <w:spacing w:line="240" w:lineRule="auto"/>
        <w:jc w:val="both"/>
        <w:rPr>
          <w:rFonts w:ascii="Arial" w:eastAsia="Times New Roman" w:hAnsi="Arial" w:cs="Arial"/>
          <w:color w:val="000000"/>
          <w:sz w:val="24"/>
          <w:szCs w:val="24"/>
          <w:lang w:val="en-US" w:eastAsia="el-GR"/>
        </w:rPr>
      </w:pPr>
      <w:r w:rsidRPr="006868DA">
        <w:rPr>
          <w:rFonts w:ascii="Arial" w:eastAsia="Times New Roman" w:hAnsi="Arial" w:cs="Arial"/>
          <w:i/>
          <w:color w:val="000000"/>
          <w:sz w:val="24"/>
          <w:szCs w:val="24"/>
          <w:lang w:val="en-US" w:eastAsia="el-GR"/>
        </w:rPr>
        <w:t>In case of complicity in the commission of an offence by an adult and a juvenile, in which court would the case be heard?</w:t>
      </w:r>
    </w:p>
    <w:p w:rsidR="004B7D51" w:rsidRPr="006868DA" w:rsidRDefault="00E6365C" w:rsidP="00DE2638">
      <w:pPr>
        <w:spacing w:after="0" w:line="240" w:lineRule="auto"/>
        <w:ind w:left="357"/>
        <w:jc w:val="both"/>
        <w:rPr>
          <w:rFonts w:ascii="Arial" w:eastAsia="Times New Roman" w:hAnsi="Arial" w:cs="Arial"/>
          <w:color w:val="000000"/>
          <w:sz w:val="24"/>
          <w:szCs w:val="24"/>
          <w:lang w:val="en-US" w:eastAsia="el-GR"/>
        </w:rPr>
      </w:pPr>
      <w:r w:rsidRPr="006868DA">
        <w:rPr>
          <w:rFonts w:ascii="Arial" w:eastAsia="Times New Roman" w:hAnsi="Arial" w:cs="Arial"/>
          <w:b/>
          <w:bCs/>
          <w:i/>
          <w:color w:val="000000"/>
          <w:sz w:val="24"/>
          <w:szCs w:val="24"/>
          <w:lang w:val="en-US" w:eastAsia="el-GR"/>
        </w:rPr>
        <w:t xml:space="preserve">    </w:t>
      </w:r>
      <w:r w:rsidR="00DE2638" w:rsidRPr="00DE2638">
        <w:rPr>
          <w:rFonts w:ascii="Arial" w:eastAsia="Times New Roman" w:hAnsi="Arial" w:cs="Arial"/>
          <w:b/>
          <w:bCs/>
          <w:i/>
          <w:color w:val="000000"/>
          <w:sz w:val="24"/>
          <w:szCs w:val="24"/>
          <w:lang w:val="en-US" w:eastAsia="el-GR"/>
        </w:rPr>
        <w:t xml:space="preserve"> </w:t>
      </w:r>
      <w:r w:rsidR="004B7D51" w:rsidRPr="006868DA">
        <w:rPr>
          <w:rFonts w:ascii="Arial" w:eastAsia="Times New Roman" w:hAnsi="Arial" w:cs="Arial"/>
          <w:b/>
          <w:bCs/>
          <w:i/>
          <w:color w:val="000000"/>
          <w:sz w:val="24"/>
          <w:szCs w:val="24"/>
          <w:lang w:val="en-US" w:eastAsia="el-GR"/>
        </w:rPr>
        <w:t> </w:t>
      </w:r>
      <w:r w:rsidR="004B7D51" w:rsidRPr="006868DA">
        <w:rPr>
          <w:rFonts w:ascii="Arial" w:eastAsia="Times New Roman" w:hAnsi="Arial" w:cs="Arial"/>
          <w:bCs/>
          <w:color w:val="000000"/>
          <w:sz w:val="24"/>
          <w:szCs w:val="24"/>
          <w:lang w:val="en-US" w:eastAsia="el-GR"/>
        </w:rPr>
        <w:t>The case will be heard before the District Courts.</w:t>
      </w:r>
    </w:p>
    <w:p w:rsidR="004B7D51" w:rsidRPr="00DE2638" w:rsidRDefault="00DE2638" w:rsidP="00DE2638">
      <w:pPr>
        <w:spacing w:after="0" w:line="240" w:lineRule="auto"/>
        <w:jc w:val="both"/>
        <w:rPr>
          <w:rFonts w:ascii="Arial" w:eastAsia="Times New Roman" w:hAnsi="Arial" w:cs="Arial"/>
          <w:bCs/>
          <w:color w:val="000000"/>
          <w:sz w:val="24"/>
          <w:szCs w:val="24"/>
          <w:lang w:val="en-US" w:eastAsia="el-GR"/>
        </w:rPr>
      </w:pPr>
      <w:r w:rsidRPr="00DE2638">
        <w:rPr>
          <w:rFonts w:ascii="Arial" w:eastAsia="Times New Roman" w:hAnsi="Arial" w:cs="Arial"/>
          <w:bCs/>
          <w:color w:val="000000"/>
          <w:sz w:val="24"/>
          <w:szCs w:val="24"/>
          <w:lang w:val="en-US" w:eastAsia="el-GR"/>
        </w:rPr>
        <w:t xml:space="preserve">           </w:t>
      </w:r>
      <w:r w:rsidR="00842D0F" w:rsidRPr="006868DA">
        <w:rPr>
          <w:rFonts w:ascii="Arial" w:eastAsia="Times New Roman" w:hAnsi="Arial" w:cs="Arial"/>
          <w:bCs/>
          <w:color w:val="000000"/>
          <w:sz w:val="24"/>
          <w:szCs w:val="24"/>
          <w:lang w:val="en-US" w:eastAsia="el-GR"/>
        </w:rPr>
        <w:t>The fact that a person is a juvenile will be a mitigating factor.</w:t>
      </w:r>
    </w:p>
    <w:p w:rsidR="00DE2638" w:rsidRPr="00DE2638" w:rsidRDefault="00DE2638" w:rsidP="00DE2638">
      <w:pPr>
        <w:spacing w:after="0" w:line="240" w:lineRule="auto"/>
        <w:ind w:left="357" w:firstLine="360"/>
        <w:jc w:val="both"/>
        <w:rPr>
          <w:rFonts w:ascii="Arial" w:eastAsia="Times New Roman" w:hAnsi="Arial" w:cs="Arial"/>
          <w:color w:val="000000"/>
          <w:sz w:val="24"/>
          <w:szCs w:val="24"/>
          <w:lang w:val="en-US" w:eastAsia="el-GR"/>
        </w:rPr>
      </w:pPr>
    </w:p>
    <w:p w:rsidR="00E6365C" w:rsidRPr="006868DA" w:rsidRDefault="004B7D51" w:rsidP="004B7D51">
      <w:pPr>
        <w:pStyle w:val="ListParagraph"/>
        <w:numPr>
          <w:ilvl w:val="0"/>
          <w:numId w:val="2"/>
        </w:numPr>
        <w:spacing w:line="240" w:lineRule="auto"/>
        <w:jc w:val="both"/>
        <w:rPr>
          <w:rFonts w:ascii="Arial" w:eastAsia="Times New Roman" w:hAnsi="Arial" w:cs="Arial"/>
          <w:b/>
          <w:color w:val="000000"/>
          <w:sz w:val="24"/>
          <w:szCs w:val="24"/>
          <w:lang w:val="en-US" w:eastAsia="el-GR"/>
        </w:rPr>
      </w:pPr>
      <w:r w:rsidRPr="006868DA">
        <w:rPr>
          <w:rFonts w:ascii="Arial" w:eastAsia="Times New Roman" w:hAnsi="Arial" w:cs="Arial"/>
          <w:i/>
          <w:color w:val="000000"/>
          <w:sz w:val="24"/>
          <w:szCs w:val="24"/>
          <w:lang w:val="en-US" w:eastAsia="el-GR"/>
        </w:rPr>
        <w:t>Would the two defendants be detained together or in separate facilities?</w:t>
      </w:r>
    </w:p>
    <w:p w:rsidR="004B7D51" w:rsidRPr="006868DA" w:rsidRDefault="00E6365C" w:rsidP="00842D0F">
      <w:pPr>
        <w:spacing w:line="240" w:lineRule="auto"/>
        <w:ind w:left="709" w:hanging="349"/>
        <w:jc w:val="both"/>
        <w:rPr>
          <w:rFonts w:ascii="Arial" w:eastAsia="Times New Roman" w:hAnsi="Arial" w:cs="Arial"/>
          <w:bCs/>
          <w:color w:val="000000"/>
          <w:sz w:val="24"/>
          <w:szCs w:val="24"/>
          <w:lang w:val="en-US" w:eastAsia="el-GR"/>
        </w:rPr>
      </w:pPr>
      <w:r w:rsidRPr="006868DA">
        <w:rPr>
          <w:rFonts w:ascii="Arial" w:eastAsia="Times New Roman" w:hAnsi="Arial" w:cs="Arial"/>
          <w:bCs/>
          <w:i/>
          <w:color w:val="000000"/>
          <w:sz w:val="24"/>
          <w:szCs w:val="24"/>
          <w:lang w:val="en-US" w:eastAsia="el-GR"/>
        </w:rPr>
        <w:t xml:space="preserve">    </w:t>
      </w:r>
      <w:r w:rsidR="000E1F6F" w:rsidRPr="006868DA">
        <w:rPr>
          <w:rFonts w:ascii="Arial" w:eastAsia="Times New Roman" w:hAnsi="Arial" w:cs="Arial"/>
          <w:bCs/>
          <w:i/>
          <w:color w:val="000000"/>
          <w:sz w:val="24"/>
          <w:szCs w:val="24"/>
          <w:lang w:val="en-US" w:eastAsia="el-GR"/>
        </w:rPr>
        <w:t xml:space="preserve"> </w:t>
      </w:r>
      <w:r w:rsidR="004B7D51" w:rsidRPr="006868DA">
        <w:rPr>
          <w:rFonts w:ascii="Arial" w:eastAsia="Times New Roman" w:hAnsi="Arial" w:cs="Arial"/>
          <w:bCs/>
          <w:color w:val="000000"/>
          <w:sz w:val="24"/>
          <w:szCs w:val="24"/>
          <w:lang w:val="en-US" w:eastAsia="el-GR"/>
        </w:rPr>
        <w:t>No, they will not be detained together. The adult detainee will be held in the units for the adult detainees and the juvenile will be held separately from adults in a distinct unit for juveniles.</w:t>
      </w:r>
    </w:p>
    <w:p w:rsidR="00D86383" w:rsidRPr="006868DA" w:rsidRDefault="00D86383" w:rsidP="000E1F6F">
      <w:pPr>
        <w:pStyle w:val="ListParagraph"/>
        <w:spacing w:line="240" w:lineRule="auto"/>
        <w:jc w:val="both"/>
        <w:rPr>
          <w:rFonts w:ascii="Arial" w:eastAsia="Times New Roman" w:hAnsi="Arial" w:cs="Arial"/>
          <w:b/>
          <w:bCs/>
          <w:color w:val="000000"/>
          <w:sz w:val="24"/>
          <w:szCs w:val="24"/>
          <w:lang w:val="en-US" w:eastAsia="el-GR"/>
        </w:rPr>
      </w:pPr>
    </w:p>
    <w:p w:rsidR="00E6365C" w:rsidRPr="006868DA" w:rsidRDefault="00E6365C" w:rsidP="00D86383">
      <w:pPr>
        <w:spacing w:after="0" w:line="240" w:lineRule="auto"/>
        <w:contextualSpacing/>
        <w:jc w:val="both"/>
        <w:rPr>
          <w:rFonts w:ascii="Arial" w:hAnsi="Arial" w:cs="Arial"/>
          <w:b/>
          <w:sz w:val="24"/>
          <w:szCs w:val="24"/>
        </w:rPr>
      </w:pPr>
      <w:r w:rsidRPr="006868DA">
        <w:rPr>
          <w:rFonts w:ascii="Arial" w:hAnsi="Arial" w:cs="Arial"/>
          <w:b/>
          <w:sz w:val="24"/>
          <w:szCs w:val="24"/>
          <w:lang w:val="en-US"/>
        </w:rPr>
        <w:t>(CLEVELAND, USA)</w:t>
      </w:r>
    </w:p>
    <w:p w:rsidR="00E6365C" w:rsidRPr="006868DA" w:rsidRDefault="00E6365C" w:rsidP="00D86383">
      <w:pPr>
        <w:spacing w:after="0" w:line="240" w:lineRule="auto"/>
        <w:contextualSpacing/>
        <w:jc w:val="both"/>
        <w:rPr>
          <w:rFonts w:ascii="Arial" w:hAnsi="Arial" w:cs="Arial"/>
          <w:sz w:val="24"/>
          <w:szCs w:val="24"/>
        </w:rPr>
      </w:pPr>
    </w:p>
    <w:p w:rsidR="00D86383" w:rsidRPr="006868DA" w:rsidRDefault="00D86383" w:rsidP="00D86383">
      <w:pPr>
        <w:pStyle w:val="ListParagraph"/>
        <w:numPr>
          <w:ilvl w:val="0"/>
          <w:numId w:val="2"/>
        </w:numPr>
        <w:spacing w:after="0" w:line="240" w:lineRule="auto"/>
        <w:jc w:val="both"/>
        <w:rPr>
          <w:rFonts w:ascii="Arial" w:hAnsi="Arial" w:cs="Arial"/>
          <w:i/>
          <w:sz w:val="24"/>
          <w:szCs w:val="24"/>
        </w:rPr>
      </w:pPr>
      <w:r w:rsidRPr="006868DA">
        <w:rPr>
          <w:rFonts w:ascii="Arial" w:hAnsi="Arial" w:cs="Arial"/>
          <w:i/>
          <w:sz w:val="24"/>
          <w:szCs w:val="24"/>
          <w:lang w:val="en-US"/>
        </w:rPr>
        <w:t xml:space="preserve">Has the law </w:t>
      </w:r>
      <w:proofErr w:type="spellStart"/>
      <w:r w:rsidRPr="006868DA">
        <w:rPr>
          <w:rFonts w:ascii="Arial" w:hAnsi="Arial" w:cs="Arial"/>
          <w:i/>
          <w:sz w:val="24"/>
          <w:szCs w:val="24"/>
          <w:lang w:val="en-US"/>
        </w:rPr>
        <w:t>criminalising</w:t>
      </w:r>
      <w:proofErr w:type="spellEnd"/>
      <w:r w:rsidRPr="006868DA">
        <w:rPr>
          <w:rFonts w:ascii="Arial" w:hAnsi="Arial" w:cs="Arial"/>
          <w:i/>
          <w:sz w:val="24"/>
          <w:szCs w:val="24"/>
          <w:lang w:val="en-US"/>
        </w:rPr>
        <w:t xml:space="preserve"> the use of illegal </w:t>
      </w:r>
      <w:proofErr w:type="spellStart"/>
      <w:r w:rsidRPr="006868DA">
        <w:rPr>
          <w:rFonts w:ascii="Arial" w:hAnsi="Arial" w:cs="Arial"/>
          <w:i/>
          <w:sz w:val="24"/>
          <w:szCs w:val="24"/>
          <w:lang w:val="en-US"/>
        </w:rPr>
        <w:t>toponyms</w:t>
      </w:r>
      <w:proofErr w:type="spellEnd"/>
      <w:r w:rsidRPr="006868DA">
        <w:rPr>
          <w:rFonts w:ascii="Arial" w:hAnsi="Arial" w:cs="Arial"/>
          <w:i/>
          <w:sz w:val="24"/>
          <w:szCs w:val="24"/>
          <w:lang w:val="en-US"/>
        </w:rPr>
        <w:t xml:space="preserve"> been enforced already? </w:t>
      </w:r>
    </w:p>
    <w:p w:rsidR="004C6571" w:rsidRPr="006868DA" w:rsidRDefault="004C6571" w:rsidP="004C6571">
      <w:pPr>
        <w:pStyle w:val="ListParagraph"/>
        <w:spacing w:after="0" w:line="240" w:lineRule="auto"/>
        <w:jc w:val="both"/>
        <w:rPr>
          <w:rFonts w:ascii="Arial" w:hAnsi="Arial" w:cs="Arial"/>
          <w:i/>
          <w:sz w:val="24"/>
          <w:szCs w:val="24"/>
        </w:rPr>
      </w:pPr>
    </w:p>
    <w:p w:rsidR="00D86383" w:rsidRPr="006868DA" w:rsidRDefault="00D86383" w:rsidP="00D86383">
      <w:pPr>
        <w:spacing w:after="0" w:line="240" w:lineRule="auto"/>
        <w:ind w:left="709"/>
        <w:contextualSpacing/>
        <w:jc w:val="both"/>
        <w:rPr>
          <w:rFonts w:ascii="Arial" w:hAnsi="Arial" w:cs="Arial"/>
          <w:sz w:val="24"/>
          <w:szCs w:val="24"/>
        </w:rPr>
      </w:pPr>
      <w:r w:rsidRPr="006868DA">
        <w:rPr>
          <w:rFonts w:ascii="Arial" w:hAnsi="Arial" w:cs="Arial"/>
          <w:sz w:val="24"/>
          <w:szCs w:val="24"/>
        </w:rPr>
        <w:t xml:space="preserve">Law 71(I)/2013 </w:t>
      </w:r>
      <w:proofErr w:type="gramStart"/>
      <w:r w:rsidRPr="006868DA">
        <w:rPr>
          <w:rFonts w:ascii="Arial" w:hAnsi="Arial" w:cs="Arial"/>
          <w:sz w:val="24"/>
          <w:szCs w:val="24"/>
        </w:rPr>
        <w:t>does</w:t>
      </w:r>
      <w:proofErr w:type="gramEnd"/>
      <w:r w:rsidRPr="006868DA">
        <w:rPr>
          <w:rFonts w:ascii="Arial" w:hAnsi="Arial" w:cs="Arial"/>
          <w:sz w:val="24"/>
          <w:szCs w:val="24"/>
        </w:rPr>
        <w:t xml:space="preserve"> not refer to and </w:t>
      </w:r>
      <w:r w:rsidRPr="006868DA">
        <w:rPr>
          <w:rFonts w:ascii="Arial" w:hAnsi="Arial" w:cs="Arial"/>
          <w:sz w:val="24"/>
          <w:szCs w:val="24"/>
          <w:u w:val="single"/>
        </w:rPr>
        <w:t>does not criminalize the use</w:t>
      </w:r>
      <w:r w:rsidRPr="006868DA">
        <w:rPr>
          <w:rFonts w:ascii="Arial" w:hAnsi="Arial" w:cs="Arial"/>
          <w:sz w:val="24"/>
          <w:szCs w:val="24"/>
        </w:rPr>
        <w:t>, but refers to the publication, import, circulation, supply, distribution and trade.</w:t>
      </w:r>
    </w:p>
    <w:p w:rsidR="00D86383" w:rsidRPr="006868DA" w:rsidRDefault="00D86383" w:rsidP="00D86383">
      <w:pPr>
        <w:spacing w:after="0" w:line="240" w:lineRule="auto"/>
        <w:ind w:left="709"/>
        <w:contextualSpacing/>
        <w:jc w:val="both"/>
        <w:rPr>
          <w:rFonts w:ascii="Arial" w:hAnsi="Arial" w:cs="Arial"/>
          <w:sz w:val="24"/>
          <w:szCs w:val="24"/>
        </w:rPr>
      </w:pPr>
    </w:p>
    <w:p w:rsidR="00D86383" w:rsidRPr="006868DA" w:rsidRDefault="00D86383" w:rsidP="00D86383">
      <w:pPr>
        <w:spacing w:after="0" w:line="240" w:lineRule="auto"/>
        <w:ind w:left="709"/>
        <w:contextualSpacing/>
        <w:jc w:val="both"/>
        <w:rPr>
          <w:rFonts w:ascii="Arial" w:hAnsi="Arial" w:cs="Arial"/>
          <w:sz w:val="24"/>
          <w:szCs w:val="24"/>
        </w:rPr>
      </w:pPr>
      <w:r w:rsidRPr="006868DA">
        <w:rPr>
          <w:rFonts w:ascii="Arial" w:hAnsi="Arial" w:cs="Arial"/>
          <w:sz w:val="24"/>
          <w:szCs w:val="24"/>
        </w:rPr>
        <w:t xml:space="preserve">Particularly, it stipulates that a person that publishes, imports, circulates, offers, distributes or trades within the Republic maps, books or other documents, conventionally or digitally presented, on which the geographical names and </w:t>
      </w:r>
      <w:proofErr w:type="spellStart"/>
      <w:r w:rsidRPr="006868DA">
        <w:rPr>
          <w:rFonts w:ascii="Arial" w:hAnsi="Arial" w:cs="Arial"/>
          <w:sz w:val="24"/>
          <w:szCs w:val="24"/>
        </w:rPr>
        <w:t>toponyms</w:t>
      </w:r>
      <w:proofErr w:type="spellEnd"/>
      <w:r w:rsidRPr="006868DA">
        <w:rPr>
          <w:rFonts w:ascii="Arial" w:hAnsi="Arial" w:cs="Arial"/>
          <w:sz w:val="24"/>
          <w:szCs w:val="24"/>
        </w:rPr>
        <w:t xml:space="preserve"> of areas of the Republic are included which are differently presented from those that are included in the </w:t>
      </w:r>
      <w:proofErr w:type="spellStart"/>
      <w:r w:rsidRPr="006868DA">
        <w:rPr>
          <w:rFonts w:ascii="Arial" w:hAnsi="Arial" w:cs="Arial"/>
          <w:sz w:val="24"/>
          <w:szCs w:val="24"/>
        </w:rPr>
        <w:t>Toponymic</w:t>
      </w:r>
      <w:proofErr w:type="spellEnd"/>
      <w:r w:rsidRPr="006868DA">
        <w:rPr>
          <w:rFonts w:ascii="Arial" w:hAnsi="Arial" w:cs="Arial"/>
          <w:sz w:val="24"/>
          <w:szCs w:val="24"/>
        </w:rPr>
        <w:t xml:space="preserve"> Gazetteer, is perpetrating an offence and, in the case of condemnation, this person is subject to an imprisonment penalty which does not exceed three years or does not exceed the fifty thousand Euro (50000) or both penalties and all documents of the offence are subject to attachment and destruction.</w:t>
      </w:r>
    </w:p>
    <w:p w:rsidR="00D86383" w:rsidRPr="006868DA" w:rsidRDefault="00D86383" w:rsidP="00D86383">
      <w:pPr>
        <w:spacing w:after="0" w:line="240" w:lineRule="auto"/>
        <w:ind w:left="709"/>
        <w:contextualSpacing/>
        <w:jc w:val="both"/>
        <w:rPr>
          <w:rFonts w:ascii="Arial" w:hAnsi="Arial" w:cs="Arial"/>
          <w:sz w:val="24"/>
          <w:szCs w:val="24"/>
        </w:rPr>
      </w:pPr>
    </w:p>
    <w:p w:rsidR="00D86383" w:rsidRPr="006868DA" w:rsidRDefault="00D86383" w:rsidP="00D86383">
      <w:pPr>
        <w:ind w:left="709"/>
        <w:jc w:val="both"/>
        <w:rPr>
          <w:rFonts w:ascii="Arial" w:hAnsi="Arial" w:cs="Arial"/>
          <w:sz w:val="24"/>
          <w:szCs w:val="24"/>
          <w:lang w:val="en-US"/>
        </w:rPr>
      </w:pPr>
      <w:r w:rsidRPr="006868DA">
        <w:rPr>
          <w:rFonts w:ascii="Arial" w:hAnsi="Arial" w:cs="Arial"/>
          <w:sz w:val="24"/>
          <w:szCs w:val="24"/>
          <w:lang w:val="en-US"/>
        </w:rPr>
        <w:t xml:space="preserve">Law 71(I)/2013 </w:t>
      </w:r>
      <w:proofErr w:type="gramStart"/>
      <w:r w:rsidRPr="006868DA">
        <w:rPr>
          <w:rFonts w:ascii="Arial" w:hAnsi="Arial" w:cs="Arial"/>
          <w:sz w:val="24"/>
          <w:szCs w:val="24"/>
          <w:lang w:val="en-US"/>
        </w:rPr>
        <w:t>was</w:t>
      </w:r>
      <w:proofErr w:type="gramEnd"/>
      <w:r w:rsidRPr="006868DA">
        <w:rPr>
          <w:rFonts w:ascii="Arial" w:hAnsi="Arial" w:cs="Arial"/>
          <w:sz w:val="24"/>
          <w:szCs w:val="24"/>
          <w:lang w:val="en-US"/>
        </w:rPr>
        <w:t xml:space="preserve"> </w:t>
      </w:r>
      <w:r w:rsidR="0078646C" w:rsidRPr="006868DA">
        <w:rPr>
          <w:rFonts w:ascii="Arial" w:hAnsi="Arial" w:cs="Arial"/>
          <w:sz w:val="24"/>
          <w:szCs w:val="24"/>
          <w:lang w:val="en-US"/>
        </w:rPr>
        <w:t xml:space="preserve">enacted </w:t>
      </w:r>
      <w:r w:rsidRPr="006868DA">
        <w:rPr>
          <w:rFonts w:ascii="Arial" w:hAnsi="Arial" w:cs="Arial"/>
          <w:sz w:val="24"/>
          <w:szCs w:val="24"/>
          <w:lang w:val="en-US"/>
        </w:rPr>
        <w:t>in July 2013.</w:t>
      </w:r>
    </w:p>
    <w:p w:rsidR="00D86383" w:rsidRPr="006868DA" w:rsidRDefault="00D86383" w:rsidP="00D86383">
      <w:pPr>
        <w:pStyle w:val="NormalWeb"/>
        <w:spacing w:before="0" w:beforeAutospacing="0" w:after="0" w:afterAutospacing="0"/>
        <w:ind w:left="709"/>
        <w:jc w:val="both"/>
        <w:textAlignment w:val="top"/>
        <w:rPr>
          <w:rFonts w:ascii="Arial" w:hAnsi="Arial" w:cs="Arial"/>
          <w:lang w:val="en-US"/>
        </w:rPr>
      </w:pPr>
      <w:r w:rsidRPr="006868DA">
        <w:rPr>
          <w:rFonts w:ascii="Arial" w:hAnsi="Arial" w:cs="Arial"/>
          <w:lang w:val="en-US"/>
        </w:rPr>
        <w:t xml:space="preserve">The Cyprus Permanent Committee for the Standardization of Geographical Names (CPCSGN) examined in 2014 a case where the illegal topographical names were </w:t>
      </w:r>
      <w:r w:rsidR="00F43455">
        <w:rPr>
          <w:rFonts w:ascii="Arial" w:hAnsi="Arial" w:cs="Arial"/>
          <w:lang w:val="en-US"/>
        </w:rPr>
        <w:t>pub</w:t>
      </w:r>
      <w:r w:rsidR="00842D0F" w:rsidRPr="006868DA">
        <w:rPr>
          <w:rFonts w:ascii="Arial" w:hAnsi="Arial" w:cs="Arial"/>
          <w:lang w:val="en-US"/>
        </w:rPr>
        <w:t xml:space="preserve">lished on </w:t>
      </w:r>
      <w:r w:rsidRPr="006868DA">
        <w:rPr>
          <w:rFonts w:ascii="Arial" w:hAnsi="Arial" w:cs="Arial"/>
          <w:lang w:val="en-US"/>
        </w:rPr>
        <w:t>a webpage (</w:t>
      </w:r>
      <w:hyperlink r:id="rId7" w:history="1">
        <w:r w:rsidRPr="006868DA">
          <w:rPr>
            <w:rStyle w:val="Hyperlink"/>
            <w:rFonts w:ascii="Arial" w:hAnsi="Arial" w:cs="Arial"/>
            <w:lang w:val="en-US"/>
          </w:rPr>
          <w:t>www.zoomcy.com</w:t>
        </w:r>
      </w:hyperlink>
      <w:r w:rsidRPr="006868DA">
        <w:rPr>
          <w:rFonts w:ascii="Arial" w:hAnsi="Arial" w:cs="Arial"/>
          <w:lang w:val="en-US"/>
        </w:rPr>
        <w:t xml:space="preserve">), which is controlled by a local company in </w:t>
      </w:r>
      <w:proofErr w:type="spellStart"/>
      <w:r w:rsidRPr="006868DA">
        <w:rPr>
          <w:rFonts w:ascii="Arial" w:hAnsi="Arial" w:cs="Arial"/>
          <w:lang w:val="en-US"/>
        </w:rPr>
        <w:t>Pafos</w:t>
      </w:r>
      <w:proofErr w:type="spellEnd"/>
      <w:r w:rsidRPr="006868DA">
        <w:rPr>
          <w:rFonts w:ascii="Arial" w:hAnsi="Arial" w:cs="Arial"/>
          <w:lang w:val="en-US"/>
        </w:rPr>
        <w:t xml:space="preserve"> named “Track and Talk Ltd”. A </w:t>
      </w:r>
      <w:r w:rsidR="00915417" w:rsidRPr="006868DA">
        <w:rPr>
          <w:rFonts w:ascii="Arial" w:hAnsi="Arial" w:cs="Arial"/>
          <w:lang w:val="en-US"/>
        </w:rPr>
        <w:t xml:space="preserve">referral was made </w:t>
      </w:r>
      <w:r w:rsidRPr="006868DA">
        <w:rPr>
          <w:rFonts w:ascii="Arial" w:hAnsi="Arial" w:cs="Arial"/>
          <w:lang w:val="en-US"/>
        </w:rPr>
        <w:t>to the competent authority</w:t>
      </w:r>
      <w:r w:rsidR="00915417" w:rsidRPr="006868DA">
        <w:rPr>
          <w:rFonts w:ascii="Arial" w:hAnsi="Arial" w:cs="Arial"/>
          <w:lang w:val="en-US"/>
        </w:rPr>
        <w:t>,</w:t>
      </w:r>
      <w:r w:rsidRPr="006868DA">
        <w:rPr>
          <w:rFonts w:ascii="Arial" w:hAnsi="Arial" w:cs="Arial"/>
          <w:lang w:val="en-US"/>
        </w:rPr>
        <w:t xml:space="preserve"> the Ministry of Education and Culture</w:t>
      </w:r>
      <w:r w:rsidR="00915417" w:rsidRPr="006868DA">
        <w:rPr>
          <w:rFonts w:ascii="Arial" w:hAnsi="Arial" w:cs="Arial"/>
          <w:lang w:val="en-US"/>
        </w:rPr>
        <w:t>,</w:t>
      </w:r>
      <w:r w:rsidRPr="006868DA">
        <w:rPr>
          <w:rFonts w:ascii="Arial" w:hAnsi="Arial" w:cs="Arial"/>
          <w:lang w:val="en-US"/>
        </w:rPr>
        <w:t xml:space="preserve"> on August 8, 2014, </w:t>
      </w:r>
      <w:proofErr w:type="gramStart"/>
      <w:r w:rsidR="00842D0F" w:rsidRPr="006868DA">
        <w:rPr>
          <w:rFonts w:ascii="Arial" w:hAnsi="Arial" w:cs="Arial"/>
          <w:lang w:val="en-US"/>
        </w:rPr>
        <w:t xml:space="preserve">which  </w:t>
      </w:r>
      <w:r w:rsidR="00915417" w:rsidRPr="006868DA">
        <w:rPr>
          <w:rFonts w:ascii="Arial" w:hAnsi="Arial" w:cs="Arial"/>
          <w:lang w:val="en-US"/>
        </w:rPr>
        <w:t>was</w:t>
      </w:r>
      <w:proofErr w:type="gramEnd"/>
      <w:r w:rsidR="00915417" w:rsidRPr="006868DA">
        <w:rPr>
          <w:rFonts w:ascii="Arial" w:hAnsi="Arial" w:cs="Arial"/>
          <w:lang w:val="en-US"/>
        </w:rPr>
        <w:t xml:space="preserve"> </w:t>
      </w:r>
      <w:r w:rsidRPr="006868DA">
        <w:rPr>
          <w:rFonts w:ascii="Arial" w:hAnsi="Arial" w:cs="Arial"/>
          <w:lang w:val="en-US"/>
        </w:rPr>
        <w:t>forwarded to the Attorney General of the Republ</w:t>
      </w:r>
      <w:r w:rsidR="00842D0F" w:rsidRPr="006868DA">
        <w:rPr>
          <w:rFonts w:ascii="Arial" w:hAnsi="Arial" w:cs="Arial"/>
          <w:lang w:val="en-US"/>
        </w:rPr>
        <w:t>ic of Cyprus for further action</w:t>
      </w:r>
      <w:r w:rsidRPr="006868DA">
        <w:rPr>
          <w:rFonts w:ascii="Arial" w:hAnsi="Arial" w:cs="Arial"/>
          <w:lang w:val="en-US"/>
        </w:rPr>
        <w:t>. This case is still pending.</w:t>
      </w:r>
    </w:p>
    <w:p w:rsidR="00731436" w:rsidRPr="006868DA" w:rsidRDefault="00731436" w:rsidP="00D86383">
      <w:pPr>
        <w:pStyle w:val="NormalWeb"/>
        <w:spacing w:before="0" w:beforeAutospacing="0" w:after="0" w:afterAutospacing="0"/>
        <w:ind w:left="709"/>
        <w:jc w:val="both"/>
        <w:textAlignment w:val="top"/>
        <w:rPr>
          <w:rFonts w:ascii="Arial" w:hAnsi="Arial" w:cs="Arial"/>
          <w:lang w:val="en-US"/>
        </w:rPr>
      </w:pPr>
    </w:p>
    <w:p w:rsidR="00731436" w:rsidRPr="006868DA" w:rsidRDefault="00731436" w:rsidP="00D86383">
      <w:pPr>
        <w:pStyle w:val="NormalWeb"/>
        <w:spacing w:before="0" w:beforeAutospacing="0" w:after="0" w:afterAutospacing="0"/>
        <w:ind w:left="709"/>
        <w:jc w:val="both"/>
        <w:textAlignment w:val="top"/>
        <w:rPr>
          <w:rFonts w:ascii="Arial" w:hAnsi="Arial" w:cs="Arial"/>
          <w:lang w:val="en-US"/>
        </w:rPr>
      </w:pPr>
    </w:p>
    <w:p w:rsidR="00D86383" w:rsidRPr="006868DA" w:rsidRDefault="00731436" w:rsidP="00731436">
      <w:pPr>
        <w:ind w:left="709"/>
        <w:jc w:val="center"/>
        <w:rPr>
          <w:rFonts w:ascii="Arial" w:hAnsi="Arial" w:cs="Arial"/>
          <w:sz w:val="24"/>
          <w:szCs w:val="24"/>
          <w:lang w:val="en-US"/>
        </w:rPr>
      </w:pPr>
      <w:r w:rsidRPr="006868DA">
        <w:rPr>
          <w:rFonts w:ascii="Arial" w:hAnsi="Arial" w:cs="Arial"/>
          <w:sz w:val="24"/>
          <w:szCs w:val="24"/>
          <w:lang w:val="en-US"/>
        </w:rPr>
        <w:t>-1-</w:t>
      </w:r>
    </w:p>
    <w:p w:rsidR="00D86383" w:rsidRPr="006868DA" w:rsidRDefault="00D86383" w:rsidP="00D86383">
      <w:pPr>
        <w:ind w:left="709"/>
        <w:jc w:val="both"/>
        <w:rPr>
          <w:rFonts w:ascii="Arial" w:hAnsi="Arial" w:cs="Arial"/>
          <w:sz w:val="24"/>
          <w:szCs w:val="24"/>
          <w:u w:val="single"/>
          <w:lang w:val="en-US"/>
        </w:rPr>
      </w:pPr>
      <w:r w:rsidRPr="006868DA">
        <w:rPr>
          <w:rFonts w:ascii="Arial" w:hAnsi="Arial" w:cs="Arial"/>
          <w:sz w:val="24"/>
          <w:szCs w:val="24"/>
          <w:lang w:val="en-US"/>
        </w:rPr>
        <w:lastRenderedPageBreak/>
        <w:t xml:space="preserve">The CPCSGN, among other duties, </w:t>
      </w:r>
      <w:r w:rsidRPr="006868DA">
        <w:rPr>
          <w:rFonts w:ascii="Arial" w:hAnsi="Arial" w:cs="Arial"/>
          <w:kern w:val="24"/>
          <w:sz w:val="24"/>
          <w:szCs w:val="24"/>
          <w:lang w:val="en-US"/>
        </w:rPr>
        <w:t>monitors the implementation of the standardization of geographical names and the Greek to Roman alphabet transliteration system of the Greek Organization for Standardization (ELOT 743), which was accepted by the Fifth Conference of the United Nations, as a standard of the International Standardization Organization (ISO 843.3) and was adopted by the Council of Ministers.</w:t>
      </w:r>
    </w:p>
    <w:p w:rsidR="00D86383" w:rsidRPr="006868DA" w:rsidRDefault="00D86383" w:rsidP="00D86383">
      <w:pPr>
        <w:pStyle w:val="NormalWeb"/>
        <w:spacing w:before="0" w:beforeAutospacing="0" w:after="0" w:afterAutospacing="0"/>
        <w:ind w:left="709"/>
        <w:jc w:val="both"/>
        <w:textAlignment w:val="top"/>
        <w:rPr>
          <w:rFonts w:ascii="Arial" w:eastAsiaTheme="minorEastAsia" w:hAnsi="Arial" w:cs="Arial"/>
          <w:kern w:val="24"/>
          <w:lang w:val="en-US"/>
        </w:rPr>
      </w:pPr>
      <w:r w:rsidRPr="006868DA">
        <w:rPr>
          <w:rFonts w:ascii="Arial" w:eastAsiaTheme="minorEastAsia" w:hAnsi="Arial" w:cs="Arial"/>
          <w:kern w:val="24"/>
          <w:lang w:val="en-US"/>
        </w:rPr>
        <w:t>One of the main tasks of the Committee is also to address the Turkish arbitrariness which, illegally tries to impose new geographical names, to erase and eliminate the historical geographical names of Cyprus in the occupied areas of the country.</w:t>
      </w:r>
    </w:p>
    <w:p w:rsidR="00D86383" w:rsidRPr="006868DA" w:rsidRDefault="00D86383" w:rsidP="00D86383">
      <w:pPr>
        <w:pStyle w:val="NormalWeb"/>
        <w:spacing w:before="0" w:beforeAutospacing="0" w:after="0" w:afterAutospacing="0"/>
        <w:ind w:left="709"/>
        <w:jc w:val="both"/>
        <w:textAlignment w:val="top"/>
        <w:rPr>
          <w:rFonts w:ascii="Arial" w:eastAsiaTheme="minorEastAsia" w:hAnsi="Arial" w:cs="Arial"/>
          <w:kern w:val="24"/>
          <w:lang w:val="en-US"/>
        </w:rPr>
      </w:pPr>
    </w:p>
    <w:p w:rsidR="00D86383" w:rsidRPr="006868DA" w:rsidRDefault="00D86383" w:rsidP="00D86383">
      <w:pPr>
        <w:ind w:left="709"/>
        <w:jc w:val="both"/>
        <w:rPr>
          <w:rFonts w:ascii="Arial" w:hAnsi="Arial" w:cs="Arial"/>
          <w:sz w:val="24"/>
          <w:szCs w:val="24"/>
          <w:lang w:val="en-US"/>
        </w:rPr>
      </w:pPr>
      <w:r w:rsidRPr="006868DA">
        <w:rPr>
          <w:rFonts w:ascii="Arial" w:hAnsi="Arial" w:cs="Arial"/>
          <w:sz w:val="24"/>
          <w:szCs w:val="24"/>
          <w:lang w:val="en-US"/>
        </w:rPr>
        <w:t>Turkey, by using military force, occupied the northern part of Cyprus and illegally changed all geographical names, including village names, municipality names, district names, street names etc, thus violating UN Resolutions 111/16 and IV/19.</w:t>
      </w:r>
    </w:p>
    <w:p w:rsidR="00D86383" w:rsidRPr="006868DA" w:rsidRDefault="00D86383" w:rsidP="000E1F6F">
      <w:pPr>
        <w:pStyle w:val="ListParagraph"/>
        <w:spacing w:line="240" w:lineRule="auto"/>
        <w:jc w:val="both"/>
        <w:rPr>
          <w:rFonts w:ascii="Arial" w:eastAsia="Times New Roman" w:hAnsi="Arial" w:cs="Arial"/>
          <w:b/>
          <w:bCs/>
          <w:color w:val="000000"/>
          <w:sz w:val="24"/>
          <w:szCs w:val="24"/>
          <w:lang w:val="en-US" w:eastAsia="el-GR"/>
        </w:rPr>
      </w:pPr>
    </w:p>
    <w:p w:rsidR="00D86383" w:rsidRPr="006868DA" w:rsidRDefault="00AE3029" w:rsidP="00AE3029">
      <w:pPr>
        <w:spacing w:before="100" w:beforeAutospacing="1" w:after="100" w:afterAutospacing="1"/>
        <w:jc w:val="both"/>
        <w:rPr>
          <w:rFonts w:ascii="Arial" w:eastAsia="Times New Roman" w:hAnsi="Arial" w:cs="Arial"/>
          <w:b/>
          <w:sz w:val="24"/>
          <w:szCs w:val="24"/>
          <w:lang w:val="en-US"/>
        </w:rPr>
      </w:pPr>
      <w:r w:rsidRPr="006868DA">
        <w:rPr>
          <w:rFonts w:ascii="Arial" w:eastAsia="Times New Roman" w:hAnsi="Arial" w:cs="Arial"/>
          <w:b/>
          <w:sz w:val="24"/>
          <w:szCs w:val="24"/>
          <w:lang w:val="en-US"/>
        </w:rPr>
        <w:t>(SEETULSINGH, Mauritius)</w:t>
      </w:r>
      <w:r w:rsidR="00D86383" w:rsidRPr="006868DA">
        <w:rPr>
          <w:rFonts w:ascii="Arial" w:eastAsia="Times New Roman" w:hAnsi="Arial" w:cs="Arial"/>
          <w:b/>
          <w:sz w:val="24"/>
          <w:szCs w:val="24"/>
          <w:lang w:val="en-US"/>
        </w:rPr>
        <w:t xml:space="preserve"> </w:t>
      </w:r>
    </w:p>
    <w:p w:rsidR="00AE3029" w:rsidRPr="006868DA" w:rsidRDefault="00AE3029" w:rsidP="00AE3029">
      <w:pPr>
        <w:pStyle w:val="ListParagraph"/>
        <w:numPr>
          <w:ilvl w:val="0"/>
          <w:numId w:val="2"/>
        </w:numPr>
        <w:spacing w:before="100" w:beforeAutospacing="1" w:after="100" w:afterAutospacing="1"/>
        <w:jc w:val="both"/>
        <w:rPr>
          <w:rFonts w:ascii="Arial" w:eastAsia="Times New Roman" w:hAnsi="Arial" w:cs="Arial"/>
          <w:i/>
          <w:sz w:val="24"/>
          <w:szCs w:val="24"/>
          <w:lang w:val="en-US"/>
        </w:rPr>
      </w:pPr>
      <w:r w:rsidRPr="006868DA">
        <w:rPr>
          <w:rFonts w:ascii="Arial" w:eastAsia="Times New Roman" w:hAnsi="Arial" w:cs="Arial"/>
          <w:i/>
          <w:sz w:val="24"/>
          <w:szCs w:val="24"/>
          <w:lang w:val="en-US"/>
        </w:rPr>
        <w:t>Clarifications as to questionnaire in Annex X</w:t>
      </w:r>
    </w:p>
    <w:p w:rsidR="00D86383" w:rsidRPr="006868DA" w:rsidRDefault="00D86383" w:rsidP="00AE3029">
      <w:pPr>
        <w:ind w:left="709"/>
        <w:jc w:val="both"/>
        <w:rPr>
          <w:rFonts w:ascii="Arial" w:hAnsi="Arial" w:cs="Arial"/>
          <w:sz w:val="24"/>
          <w:szCs w:val="24"/>
          <w:lang w:val="en-US"/>
        </w:rPr>
      </w:pPr>
      <w:r w:rsidRPr="006868DA">
        <w:rPr>
          <w:rFonts w:ascii="Arial" w:hAnsi="Arial" w:cs="Arial"/>
          <w:sz w:val="24"/>
          <w:szCs w:val="24"/>
          <w:lang w:val="en-US"/>
        </w:rPr>
        <w:t xml:space="preserve">ANNEX X presents part of the questionnaire used in the framework of the 2011 census. The </w:t>
      </w:r>
      <w:r w:rsidR="00842D0F" w:rsidRPr="006868DA">
        <w:rPr>
          <w:rFonts w:ascii="Arial" w:hAnsi="Arial" w:cs="Arial"/>
          <w:sz w:val="24"/>
          <w:szCs w:val="24"/>
          <w:lang w:val="en-US"/>
        </w:rPr>
        <w:t>said</w:t>
      </w:r>
      <w:r w:rsidRPr="006868DA">
        <w:rPr>
          <w:rFonts w:ascii="Arial" w:hAnsi="Arial" w:cs="Arial"/>
          <w:sz w:val="24"/>
          <w:szCs w:val="24"/>
          <w:lang w:val="en-US"/>
        </w:rPr>
        <w:t xml:space="preserve"> questionnaire was distributed and complete</w:t>
      </w:r>
      <w:r w:rsidR="00842D0F" w:rsidRPr="006868DA">
        <w:rPr>
          <w:rFonts w:ascii="Arial" w:hAnsi="Arial" w:cs="Arial"/>
          <w:sz w:val="24"/>
          <w:szCs w:val="24"/>
          <w:lang w:val="en-US"/>
        </w:rPr>
        <w:t>d by all households in the area</w:t>
      </w:r>
      <w:r w:rsidRPr="006868DA">
        <w:rPr>
          <w:rFonts w:ascii="Arial" w:hAnsi="Arial" w:cs="Arial"/>
          <w:sz w:val="24"/>
          <w:szCs w:val="24"/>
          <w:lang w:val="en-US"/>
        </w:rPr>
        <w:t xml:space="preserve"> under the effective control </w:t>
      </w:r>
      <w:r w:rsidR="007A3B44" w:rsidRPr="006868DA">
        <w:rPr>
          <w:rFonts w:ascii="Arial" w:hAnsi="Arial" w:cs="Arial"/>
          <w:sz w:val="24"/>
          <w:szCs w:val="24"/>
          <w:lang w:val="en-US"/>
        </w:rPr>
        <w:t xml:space="preserve">of the </w:t>
      </w:r>
      <w:r w:rsidR="004C6571" w:rsidRPr="006868DA">
        <w:rPr>
          <w:rFonts w:ascii="Arial" w:hAnsi="Arial" w:cs="Arial"/>
          <w:sz w:val="24"/>
          <w:szCs w:val="24"/>
          <w:lang w:val="en-US"/>
        </w:rPr>
        <w:t>Government of the</w:t>
      </w:r>
      <w:r w:rsidRPr="006868DA">
        <w:rPr>
          <w:rFonts w:ascii="Arial" w:hAnsi="Arial" w:cs="Arial"/>
          <w:sz w:val="24"/>
          <w:szCs w:val="24"/>
          <w:lang w:val="en-US"/>
        </w:rPr>
        <w:t xml:space="preserve"> Republic</w:t>
      </w:r>
      <w:r w:rsidR="007A3B44" w:rsidRPr="006868DA">
        <w:rPr>
          <w:rFonts w:ascii="Arial" w:hAnsi="Arial" w:cs="Arial"/>
          <w:sz w:val="24"/>
          <w:szCs w:val="24"/>
          <w:lang w:val="en-US"/>
        </w:rPr>
        <w:t xml:space="preserve"> of Cyprus</w:t>
      </w:r>
      <w:r w:rsidRPr="006868DA">
        <w:rPr>
          <w:rFonts w:ascii="Arial" w:hAnsi="Arial" w:cs="Arial"/>
          <w:sz w:val="24"/>
          <w:szCs w:val="24"/>
          <w:lang w:val="en-US"/>
        </w:rPr>
        <w:t>.</w:t>
      </w:r>
    </w:p>
    <w:p w:rsidR="00D86383" w:rsidRPr="006868DA" w:rsidRDefault="00D86383" w:rsidP="00D86383">
      <w:pPr>
        <w:jc w:val="both"/>
        <w:rPr>
          <w:rStyle w:val="hps"/>
          <w:rFonts w:ascii="Arial" w:hAnsi="Arial" w:cs="Arial"/>
          <w:color w:val="222222"/>
          <w:sz w:val="24"/>
          <w:szCs w:val="24"/>
          <w:lang w:val="en-US"/>
        </w:rPr>
      </w:pPr>
    </w:p>
    <w:p w:rsidR="007A3B44" w:rsidRPr="006868DA" w:rsidRDefault="007A3B44" w:rsidP="00D86383">
      <w:pPr>
        <w:jc w:val="both"/>
        <w:rPr>
          <w:rStyle w:val="hps"/>
          <w:rFonts w:ascii="Arial" w:hAnsi="Arial" w:cs="Arial"/>
          <w:color w:val="222222"/>
          <w:sz w:val="24"/>
          <w:szCs w:val="24"/>
          <w:lang w:val="en-US"/>
        </w:rPr>
      </w:pPr>
      <w:r w:rsidRPr="006868DA">
        <w:rPr>
          <w:rFonts w:ascii="Arial" w:eastAsia="Times New Roman" w:hAnsi="Arial" w:cs="Arial"/>
          <w:b/>
          <w:sz w:val="24"/>
          <w:szCs w:val="24"/>
          <w:lang w:val="en-US"/>
        </w:rPr>
        <w:t xml:space="preserve">(BOUZID, Algeria) </w:t>
      </w:r>
    </w:p>
    <w:p w:rsidR="00D86383" w:rsidRPr="006868DA" w:rsidRDefault="00D86383" w:rsidP="007A3B44">
      <w:pPr>
        <w:pStyle w:val="ListParagraph"/>
        <w:numPr>
          <w:ilvl w:val="0"/>
          <w:numId w:val="2"/>
        </w:numPr>
        <w:spacing w:before="100" w:beforeAutospacing="1" w:after="100" w:afterAutospacing="1"/>
        <w:jc w:val="both"/>
        <w:rPr>
          <w:rFonts w:ascii="Arial" w:eastAsia="Times New Roman" w:hAnsi="Arial" w:cs="Arial"/>
          <w:i/>
          <w:sz w:val="24"/>
          <w:szCs w:val="24"/>
          <w:lang w:val="en-US"/>
        </w:rPr>
      </w:pPr>
      <w:r w:rsidRPr="006868DA">
        <w:rPr>
          <w:rFonts w:ascii="Arial" w:eastAsia="Times New Roman" w:hAnsi="Arial" w:cs="Arial"/>
          <w:i/>
          <w:sz w:val="24"/>
          <w:szCs w:val="24"/>
          <w:lang w:val="en-US"/>
        </w:rPr>
        <w:t xml:space="preserve">Why out of 30 Muslim (T/Cypriot) cemeteries in the area under the control of the Republic only 3 are in use for burials?  </w:t>
      </w:r>
    </w:p>
    <w:p w:rsidR="00D86383" w:rsidRPr="006868DA" w:rsidRDefault="00D86383" w:rsidP="007A3B44">
      <w:pPr>
        <w:ind w:left="709"/>
        <w:jc w:val="both"/>
        <w:rPr>
          <w:rFonts w:ascii="Arial" w:hAnsi="Arial" w:cs="Arial"/>
          <w:color w:val="222222"/>
          <w:sz w:val="24"/>
          <w:szCs w:val="24"/>
          <w:lang w:val="en-US"/>
        </w:rPr>
      </w:pPr>
      <w:r w:rsidRPr="006868DA">
        <w:rPr>
          <w:rStyle w:val="hps"/>
          <w:rFonts w:ascii="Arial" w:hAnsi="Arial" w:cs="Arial"/>
          <w:color w:val="222222"/>
          <w:sz w:val="24"/>
          <w:szCs w:val="24"/>
          <w:lang w:val="en-US"/>
        </w:rPr>
        <w:t>There</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are</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111</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T/</w:t>
      </w:r>
      <w:r w:rsidRPr="006868DA">
        <w:rPr>
          <w:rFonts w:ascii="Arial" w:hAnsi="Arial" w:cs="Arial"/>
          <w:color w:val="222222"/>
          <w:sz w:val="24"/>
          <w:szCs w:val="24"/>
          <w:lang w:val="en-US"/>
        </w:rPr>
        <w:t xml:space="preserve">C </w:t>
      </w:r>
      <w:r w:rsidR="00842D0F" w:rsidRPr="006868DA">
        <w:rPr>
          <w:rStyle w:val="hps"/>
          <w:rFonts w:ascii="Arial" w:hAnsi="Arial" w:cs="Arial"/>
          <w:color w:val="222222"/>
          <w:sz w:val="24"/>
          <w:szCs w:val="24"/>
          <w:lang w:val="en-US"/>
        </w:rPr>
        <w:t>cemeteries in the area</w:t>
      </w:r>
      <w:r w:rsidR="00F715D7" w:rsidRPr="006868DA">
        <w:rPr>
          <w:rStyle w:val="hps"/>
          <w:rFonts w:ascii="Arial" w:hAnsi="Arial" w:cs="Arial"/>
          <w:color w:val="222222"/>
          <w:sz w:val="24"/>
          <w:szCs w:val="24"/>
          <w:lang w:val="en-US"/>
        </w:rPr>
        <w:t xml:space="preserve"> under the effective</w:t>
      </w:r>
      <w:r w:rsidR="007A3B44" w:rsidRPr="006868DA">
        <w:rPr>
          <w:rStyle w:val="hps"/>
          <w:rFonts w:ascii="Arial" w:hAnsi="Arial" w:cs="Arial"/>
          <w:color w:val="222222"/>
          <w:sz w:val="24"/>
          <w:szCs w:val="24"/>
          <w:lang w:val="en-US"/>
        </w:rPr>
        <w:t xml:space="preserve"> </w:t>
      </w:r>
      <w:r w:rsidR="00F715D7" w:rsidRPr="006868DA">
        <w:rPr>
          <w:rStyle w:val="hps"/>
          <w:rFonts w:ascii="Arial" w:hAnsi="Arial" w:cs="Arial"/>
          <w:color w:val="222222"/>
          <w:sz w:val="24"/>
          <w:szCs w:val="24"/>
          <w:lang w:val="en-US"/>
        </w:rPr>
        <w:t>control</w:t>
      </w:r>
      <w:r w:rsidR="007A3B44" w:rsidRPr="006868DA">
        <w:rPr>
          <w:rStyle w:val="hps"/>
          <w:rFonts w:ascii="Arial" w:hAnsi="Arial" w:cs="Arial"/>
          <w:color w:val="222222"/>
          <w:sz w:val="24"/>
          <w:szCs w:val="24"/>
          <w:lang w:val="en-US"/>
        </w:rPr>
        <w:t xml:space="preserve"> of the</w:t>
      </w:r>
      <w:r w:rsidR="004C6571" w:rsidRPr="006868DA">
        <w:rPr>
          <w:rStyle w:val="hps"/>
          <w:rFonts w:ascii="Arial" w:hAnsi="Arial" w:cs="Arial"/>
          <w:color w:val="222222"/>
          <w:sz w:val="24"/>
          <w:szCs w:val="24"/>
          <w:lang w:val="en-US"/>
        </w:rPr>
        <w:t xml:space="preserve"> Government of</w:t>
      </w:r>
      <w:r w:rsidRPr="006868DA">
        <w:rPr>
          <w:rStyle w:val="hps"/>
          <w:rFonts w:ascii="Arial" w:hAnsi="Arial" w:cs="Arial"/>
          <w:color w:val="222222"/>
          <w:sz w:val="24"/>
          <w:szCs w:val="24"/>
          <w:lang w:val="en-US"/>
        </w:rPr>
        <w:t xml:space="preserve"> the Republic of Cyprus</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The State</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spends significant</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amounts</w:t>
      </w:r>
      <w:r w:rsidRPr="006868DA">
        <w:rPr>
          <w:rFonts w:ascii="Arial" w:hAnsi="Arial" w:cs="Arial"/>
          <w:color w:val="222222"/>
          <w:sz w:val="24"/>
          <w:szCs w:val="24"/>
          <w:lang w:val="en-US"/>
        </w:rPr>
        <w:t xml:space="preserve"> </w:t>
      </w:r>
      <w:r w:rsidR="00F715D7" w:rsidRPr="006868DA">
        <w:rPr>
          <w:rStyle w:val="hps"/>
          <w:rFonts w:ascii="Arial" w:hAnsi="Arial" w:cs="Arial"/>
          <w:color w:val="222222"/>
          <w:sz w:val="24"/>
          <w:szCs w:val="24"/>
          <w:lang w:val="en-US"/>
        </w:rPr>
        <w:t>annually</w:t>
      </w:r>
      <w:r w:rsidRPr="006868DA">
        <w:rPr>
          <w:rStyle w:val="hps"/>
          <w:rFonts w:ascii="Arial" w:hAnsi="Arial" w:cs="Arial"/>
          <w:color w:val="222222"/>
          <w:sz w:val="24"/>
          <w:szCs w:val="24"/>
          <w:lang w:val="en-US"/>
        </w:rPr>
        <w:t xml:space="preserve"> for</w:t>
      </w:r>
      <w:r w:rsidRPr="006868DA">
        <w:rPr>
          <w:rFonts w:ascii="Arial" w:hAnsi="Arial" w:cs="Arial"/>
          <w:color w:val="222222"/>
          <w:sz w:val="24"/>
          <w:szCs w:val="24"/>
          <w:lang w:val="en-US"/>
        </w:rPr>
        <w:t xml:space="preserve"> the </w:t>
      </w:r>
      <w:r w:rsidRPr="006868DA">
        <w:rPr>
          <w:rStyle w:val="hps"/>
          <w:rFonts w:ascii="Arial" w:hAnsi="Arial" w:cs="Arial"/>
          <w:color w:val="222222"/>
          <w:sz w:val="24"/>
          <w:szCs w:val="24"/>
          <w:lang w:val="en-US"/>
        </w:rPr>
        <w:t>maintenance and cleanliness</w:t>
      </w:r>
      <w:r w:rsidRPr="006868DA">
        <w:rPr>
          <w:rFonts w:ascii="Arial" w:hAnsi="Arial" w:cs="Arial"/>
          <w:color w:val="222222"/>
          <w:sz w:val="24"/>
          <w:szCs w:val="24"/>
          <w:lang w:val="en-US"/>
        </w:rPr>
        <w:t xml:space="preserve"> of the cemeteries </w:t>
      </w:r>
      <w:r w:rsidRPr="006868DA">
        <w:rPr>
          <w:rStyle w:val="hps"/>
          <w:rFonts w:ascii="Arial" w:hAnsi="Arial" w:cs="Arial"/>
          <w:color w:val="222222"/>
          <w:sz w:val="24"/>
          <w:szCs w:val="24"/>
          <w:lang w:val="en-US"/>
        </w:rPr>
        <w:t>as well as for the replacement of</w:t>
      </w:r>
      <w:r w:rsidRPr="006868DA">
        <w:rPr>
          <w:rFonts w:ascii="Arial" w:hAnsi="Arial" w:cs="Arial"/>
          <w:color w:val="222222"/>
          <w:sz w:val="24"/>
          <w:szCs w:val="24"/>
          <w:lang w:val="en-US"/>
        </w:rPr>
        <w:t xml:space="preserve"> their </w:t>
      </w:r>
      <w:r w:rsidRPr="006868DA">
        <w:rPr>
          <w:rStyle w:val="hps"/>
          <w:rFonts w:ascii="Arial" w:hAnsi="Arial" w:cs="Arial"/>
          <w:color w:val="222222"/>
          <w:sz w:val="24"/>
          <w:szCs w:val="24"/>
          <w:lang w:val="en-US"/>
        </w:rPr>
        <w:t>fences</w:t>
      </w:r>
      <w:r w:rsidRPr="006868DA">
        <w:rPr>
          <w:rFonts w:ascii="Arial" w:hAnsi="Arial" w:cs="Arial"/>
          <w:color w:val="222222"/>
          <w:sz w:val="24"/>
          <w:szCs w:val="24"/>
          <w:lang w:val="en-US"/>
        </w:rPr>
        <w:t xml:space="preserve">. </w:t>
      </w:r>
    </w:p>
    <w:p w:rsidR="00731436" w:rsidRPr="006868DA" w:rsidRDefault="00D86383" w:rsidP="007A3B44">
      <w:pPr>
        <w:ind w:left="709"/>
        <w:jc w:val="both"/>
        <w:rPr>
          <w:rStyle w:val="hps"/>
          <w:rFonts w:ascii="Arial" w:hAnsi="Arial" w:cs="Arial"/>
          <w:color w:val="222222"/>
          <w:sz w:val="24"/>
          <w:szCs w:val="24"/>
          <w:lang w:val="en-US"/>
        </w:rPr>
      </w:pPr>
      <w:r w:rsidRPr="006868DA">
        <w:rPr>
          <w:rStyle w:val="hps"/>
          <w:rFonts w:ascii="Arial" w:hAnsi="Arial" w:cs="Arial"/>
          <w:color w:val="222222"/>
          <w:sz w:val="24"/>
          <w:szCs w:val="24"/>
          <w:lang w:val="en-US"/>
        </w:rPr>
        <w:t>It is</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possible to use</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any</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T/</w:t>
      </w:r>
      <w:r w:rsidRPr="006868DA">
        <w:rPr>
          <w:rFonts w:ascii="Arial" w:hAnsi="Arial" w:cs="Arial"/>
          <w:color w:val="222222"/>
          <w:sz w:val="24"/>
          <w:szCs w:val="24"/>
          <w:lang w:val="en-US"/>
        </w:rPr>
        <w:t xml:space="preserve">C </w:t>
      </w:r>
      <w:r w:rsidRPr="006868DA">
        <w:rPr>
          <w:rStyle w:val="hps"/>
          <w:rFonts w:ascii="Arial" w:hAnsi="Arial" w:cs="Arial"/>
          <w:color w:val="222222"/>
          <w:sz w:val="24"/>
          <w:szCs w:val="24"/>
          <w:lang w:val="en-US"/>
        </w:rPr>
        <w:t>cemetery</w:t>
      </w:r>
      <w:r w:rsidRPr="006868DA">
        <w:rPr>
          <w:rFonts w:ascii="Arial" w:hAnsi="Arial" w:cs="Arial"/>
          <w:color w:val="222222"/>
          <w:sz w:val="24"/>
          <w:szCs w:val="24"/>
          <w:lang w:val="en-US"/>
        </w:rPr>
        <w:t xml:space="preserve"> for burials </w:t>
      </w:r>
      <w:r w:rsidRPr="006868DA">
        <w:rPr>
          <w:rStyle w:val="hps"/>
          <w:rFonts w:ascii="Arial" w:hAnsi="Arial" w:cs="Arial"/>
          <w:color w:val="222222"/>
          <w:sz w:val="24"/>
          <w:szCs w:val="24"/>
          <w:lang w:val="en-US"/>
        </w:rPr>
        <w:t>with</w:t>
      </w:r>
      <w:r w:rsidRPr="006868DA">
        <w:rPr>
          <w:rFonts w:ascii="Arial" w:hAnsi="Arial" w:cs="Arial"/>
          <w:color w:val="222222"/>
          <w:sz w:val="24"/>
          <w:szCs w:val="24"/>
          <w:lang w:val="en-US"/>
        </w:rPr>
        <w:t xml:space="preserve"> the </w:t>
      </w:r>
      <w:r w:rsidRPr="006868DA">
        <w:rPr>
          <w:rStyle w:val="hps"/>
          <w:rFonts w:ascii="Arial" w:hAnsi="Arial" w:cs="Arial"/>
          <w:color w:val="222222"/>
          <w:sz w:val="24"/>
          <w:szCs w:val="24"/>
          <w:lang w:val="en-US"/>
        </w:rPr>
        <w:t>permission of</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the Minister of Interior, who has been appointed</w:t>
      </w:r>
      <w:r w:rsidRPr="006868DA">
        <w:rPr>
          <w:rFonts w:ascii="Arial" w:hAnsi="Arial" w:cs="Arial"/>
          <w:color w:val="222222"/>
          <w:sz w:val="24"/>
          <w:szCs w:val="24"/>
          <w:lang w:val="en-US"/>
        </w:rPr>
        <w:t xml:space="preserve"> </w:t>
      </w:r>
      <w:r w:rsidRPr="006868DA">
        <w:rPr>
          <w:rStyle w:val="hps"/>
          <w:rFonts w:ascii="Arial" w:hAnsi="Arial" w:cs="Arial"/>
          <w:color w:val="222222"/>
          <w:sz w:val="24"/>
          <w:szCs w:val="24"/>
          <w:lang w:val="en-US"/>
        </w:rPr>
        <w:t>Custodia</w:t>
      </w:r>
      <w:r w:rsidR="00842D0F" w:rsidRPr="006868DA">
        <w:rPr>
          <w:rStyle w:val="hps"/>
          <w:rFonts w:ascii="Arial" w:hAnsi="Arial" w:cs="Arial"/>
          <w:color w:val="222222"/>
          <w:sz w:val="24"/>
          <w:szCs w:val="24"/>
          <w:lang w:val="en-US"/>
        </w:rPr>
        <w:t>n of T/C Properties in the area</w:t>
      </w:r>
      <w:r w:rsidRPr="006868DA">
        <w:rPr>
          <w:rStyle w:val="hps"/>
          <w:rFonts w:ascii="Arial" w:hAnsi="Arial" w:cs="Arial"/>
          <w:color w:val="222222"/>
          <w:sz w:val="24"/>
          <w:szCs w:val="24"/>
          <w:lang w:val="en-US"/>
        </w:rPr>
        <w:t xml:space="preserve"> under the </w:t>
      </w:r>
      <w:r w:rsidR="00842D0F" w:rsidRPr="006868DA">
        <w:rPr>
          <w:rStyle w:val="hps"/>
          <w:rFonts w:ascii="Arial" w:hAnsi="Arial" w:cs="Arial"/>
          <w:color w:val="222222"/>
          <w:sz w:val="24"/>
          <w:szCs w:val="24"/>
          <w:lang w:val="en-US"/>
        </w:rPr>
        <w:t xml:space="preserve">effective </w:t>
      </w:r>
      <w:r w:rsidRPr="006868DA">
        <w:rPr>
          <w:rStyle w:val="hps"/>
          <w:rFonts w:ascii="Arial" w:hAnsi="Arial" w:cs="Arial"/>
          <w:color w:val="222222"/>
          <w:sz w:val="24"/>
          <w:szCs w:val="24"/>
          <w:lang w:val="en-US"/>
        </w:rPr>
        <w:t>control of the</w:t>
      </w:r>
      <w:r w:rsidR="00842D0F" w:rsidRPr="006868DA">
        <w:rPr>
          <w:rStyle w:val="hps"/>
          <w:rFonts w:ascii="Arial" w:hAnsi="Arial" w:cs="Arial"/>
          <w:color w:val="222222"/>
          <w:sz w:val="24"/>
          <w:szCs w:val="24"/>
          <w:lang w:val="en-US"/>
        </w:rPr>
        <w:t xml:space="preserve"> Government of the</w:t>
      </w:r>
      <w:r w:rsidRPr="006868DA">
        <w:rPr>
          <w:rStyle w:val="hps"/>
          <w:rFonts w:ascii="Arial" w:hAnsi="Arial" w:cs="Arial"/>
          <w:color w:val="222222"/>
          <w:sz w:val="24"/>
          <w:szCs w:val="24"/>
          <w:lang w:val="en-US"/>
        </w:rPr>
        <w:t xml:space="preserve"> Republic</w:t>
      </w:r>
      <w:r w:rsidR="00842D0F" w:rsidRPr="006868DA">
        <w:rPr>
          <w:rStyle w:val="hps"/>
          <w:rFonts w:ascii="Arial" w:hAnsi="Arial" w:cs="Arial"/>
          <w:color w:val="222222"/>
          <w:sz w:val="24"/>
          <w:szCs w:val="24"/>
          <w:lang w:val="en-US"/>
        </w:rPr>
        <w:t xml:space="preserve"> of Cyprus</w:t>
      </w:r>
      <w:r w:rsidRPr="006868DA">
        <w:rPr>
          <w:rStyle w:val="hps"/>
          <w:rFonts w:ascii="Arial" w:hAnsi="Arial" w:cs="Arial"/>
          <w:color w:val="222222"/>
          <w:sz w:val="24"/>
          <w:szCs w:val="24"/>
          <w:lang w:val="en-US"/>
        </w:rPr>
        <w:t>.</w:t>
      </w:r>
    </w:p>
    <w:p w:rsidR="00731436" w:rsidRDefault="00731436" w:rsidP="00DE2638">
      <w:pPr>
        <w:ind w:left="709"/>
        <w:jc w:val="center"/>
        <w:rPr>
          <w:rStyle w:val="hps"/>
          <w:rFonts w:ascii="Arial" w:hAnsi="Arial" w:cs="Arial"/>
          <w:color w:val="222222"/>
          <w:sz w:val="24"/>
          <w:szCs w:val="24"/>
        </w:rPr>
      </w:pPr>
      <w:r w:rsidRPr="006868DA">
        <w:rPr>
          <w:rStyle w:val="hps"/>
          <w:rFonts w:ascii="Arial" w:hAnsi="Arial" w:cs="Arial"/>
          <w:color w:val="222222"/>
          <w:sz w:val="24"/>
          <w:szCs w:val="24"/>
          <w:lang w:val="en-US"/>
        </w:rPr>
        <w:t>-2-</w:t>
      </w:r>
    </w:p>
    <w:p w:rsidR="00DE2638" w:rsidRDefault="00DE2638" w:rsidP="00DE2638">
      <w:pPr>
        <w:rPr>
          <w:rFonts w:ascii="Arial" w:hAnsi="Arial" w:cs="Arial"/>
          <w:b/>
          <w:sz w:val="24"/>
          <w:szCs w:val="24"/>
          <w:lang w:val="en-US"/>
        </w:rPr>
      </w:pPr>
      <w:r w:rsidRPr="00DE2638">
        <w:rPr>
          <w:rFonts w:ascii="Arial" w:hAnsi="Arial" w:cs="Arial"/>
          <w:b/>
          <w:sz w:val="24"/>
          <w:szCs w:val="24"/>
        </w:rPr>
        <w:lastRenderedPageBreak/>
        <w:t>(</w:t>
      </w:r>
      <w:r w:rsidRPr="00DE2638">
        <w:rPr>
          <w:rFonts w:ascii="Arial" w:hAnsi="Arial" w:cs="Arial"/>
          <w:b/>
          <w:sz w:val="24"/>
          <w:szCs w:val="24"/>
          <w:lang w:val="en-US"/>
        </w:rPr>
        <w:t>SHANY, Israel)</w:t>
      </w:r>
    </w:p>
    <w:p w:rsidR="00DE2638" w:rsidRPr="00DE2638" w:rsidRDefault="00DE2638" w:rsidP="00DE2638">
      <w:pPr>
        <w:pStyle w:val="ListParagraph"/>
        <w:numPr>
          <w:ilvl w:val="0"/>
          <w:numId w:val="2"/>
        </w:numPr>
        <w:rPr>
          <w:rFonts w:ascii="Arial" w:hAnsi="Arial" w:cs="Arial"/>
          <w:b/>
          <w:i/>
          <w:sz w:val="24"/>
          <w:szCs w:val="24"/>
          <w:lang w:val="en-US"/>
        </w:rPr>
      </w:pPr>
      <w:r w:rsidRPr="00DE2638">
        <w:rPr>
          <w:rFonts w:ascii="Arial" w:hAnsi="Arial" w:cs="Arial"/>
          <w:i/>
          <w:sz w:val="24"/>
          <w:szCs w:val="24"/>
          <w:lang w:val="en-US"/>
        </w:rPr>
        <w:t>European Commission Annual Report 2014</w:t>
      </w:r>
    </w:p>
    <w:p w:rsidR="00DE2638" w:rsidRPr="0049294F" w:rsidRDefault="00DE2638" w:rsidP="0049294F">
      <w:pPr>
        <w:spacing w:before="100" w:after="100" w:line="240" w:lineRule="auto"/>
        <w:ind w:left="709" w:right="720"/>
        <w:jc w:val="both"/>
        <w:rPr>
          <w:rFonts w:ascii="Arial" w:eastAsia="Times New Roman" w:hAnsi="Arial" w:cs="Arial"/>
          <w:color w:val="000000"/>
          <w:sz w:val="24"/>
          <w:szCs w:val="24"/>
          <w:lang w:val="en-US" w:eastAsia="el-GR"/>
        </w:rPr>
      </w:pPr>
      <w:r w:rsidRPr="0049294F">
        <w:rPr>
          <w:rFonts w:ascii="Arial" w:eastAsia="Times New Roman" w:hAnsi="Arial" w:cs="Arial"/>
          <w:color w:val="000000"/>
          <w:sz w:val="24"/>
          <w:szCs w:val="24"/>
          <w:lang w:val="en-US" w:eastAsia="el-GR"/>
        </w:rPr>
        <w:t>Regarding provisional driving licenses issued at the crossing points</w:t>
      </w:r>
      <w:r w:rsidR="0049294F">
        <w:rPr>
          <w:rFonts w:ascii="Arial" w:eastAsia="Times New Roman" w:hAnsi="Arial" w:cs="Arial"/>
          <w:color w:val="000000"/>
          <w:sz w:val="24"/>
          <w:szCs w:val="24"/>
          <w:lang w:val="en-US" w:eastAsia="el-GR"/>
        </w:rPr>
        <w:t>,</w:t>
      </w:r>
      <w:r w:rsidRPr="0049294F">
        <w:rPr>
          <w:rFonts w:ascii="Arial" w:eastAsia="Times New Roman" w:hAnsi="Arial" w:cs="Arial"/>
          <w:color w:val="000000"/>
          <w:sz w:val="24"/>
          <w:szCs w:val="24"/>
          <w:lang w:val="en-US" w:eastAsia="el-GR"/>
        </w:rPr>
        <w:t xml:space="preserve"> a uniform code is applied and as sta</w:t>
      </w:r>
      <w:r w:rsidR="0049294F">
        <w:rPr>
          <w:rFonts w:ascii="Arial" w:eastAsia="Times New Roman" w:hAnsi="Arial" w:cs="Arial"/>
          <w:color w:val="000000"/>
          <w:sz w:val="24"/>
          <w:szCs w:val="24"/>
          <w:lang w:val="en-US" w:eastAsia="el-GR"/>
        </w:rPr>
        <w:t>ted in the European Commission’s Annual R</w:t>
      </w:r>
      <w:r w:rsidRPr="0049294F">
        <w:rPr>
          <w:rFonts w:ascii="Arial" w:eastAsia="Times New Roman" w:hAnsi="Arial" w:cs="Arial"/>
          <w:color w:val="000000"/>
          <w:sz w:val="24"/>
          <w:szCs w:val="24"/>
          <w:lang w:val="en-US" w:eastAsia="el-GR"/>
        </w:rPr>
        <w:t>eport 2014, third country nationals can drive in the government-controlled areas as long as they are h</w:t>
      </w:r>
      <w:r w:rsidR="00F43455">
        <w:rPr>
          <w:rFonts w:ascii="Arial" w:eastAsia="Times New Roman" w:hAnsi="Arial" w:cs="Arial"/>
          <w:color w:val="000000"/>
          <w:sz w:val="24"/>
          <w:szCs w:val="24"/>
          <w:lang w:val="en-US" w:eastAsia="el-GR"/>
        </w:rPr>
        <w:t>olders of a valid driving licens</w:t>
      </w:r>
      <w:r w:rsidRPr="0049294F">
        <w:rPr>
          <w:rFonts w:ascii="Arial" w:eastAsia="Times New Roman" w:hAnsi="Arial" w:cs="Arial"/>
          <w:color w:val="000000"/>
          <w:sz w:val="24"/>
          <w:szCs w:val="24"/>
          <w:lang w:val="en-US" w:eastAsia="el-GR"/>
        </w:rPr>
        <w:t>e from their country of origin or an interna</w:t>
      </w:r>
      <w:r w:rsidR="00F43455">
        <w:rPr>
          <w:rFonts w:ascii="Arial" w:eastAsia="Times New Roman" w:hAnsi="Arial" w:cs="Arial"/>
          <w:color w:val="000000"/>
          <w:sz w:val="24"/>
          <w:szCs w:val="24"/>
          <w:lang w:val="en-US" w:eastAsia="el-GR"/>
        </w:rPr>
        <w:t>tional driver’s licens</w:t>
      </w:r>
      <w:bookmarkStart w:id="0" w:name="_GoBack"/>
      <w:bookmarkEnd w:id="0"/>
      <w:r w:rsidRPr="0049294F">
        <w:rPr>
          <w:rFonts w:ascii="Arial" w:eastAsia="Times New Roman" w:hAnsi="Arial" w:cs="Arial"/>
          <w:color w:val="000000"/>
          <w:sz w:val="24"/>
          <w:szCs w:val="24"/>
          <w:lang w:val="en-US" w:eastAsia="el-GR"/>
        </w:rPr>
        <w:t>e.</w:t>
      </w:r>
    </w:p>
    <w:p w:rsidR="00DE2638" w:rsidRPr="00265E07" w:rsidRDefault="00DE2638"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265E07" w:rsidRDefault="00A63BEC" w:rsidP="0049294F">
      <w:pPr>
        <w:pStyle w:val="ListParagraph"/>
        <w:ind w:left="709"/>
        <w:rPr>
          <w:rFonts w:ascii="Arial" w:hAnsi="Arial" w:cs="Arial"/>
          <w:b/>
          <w:sz w:val="24"/>
          <w:szCs w:val="24"/>
        </w:rPr>
      </w:pPr>
    </w:p>
    <w:p w:rsidR="00A63BEC" w:rsidRPr="008C1194" w:rsidRDefault="00A63BEC" w:rsidP="008C1194">
      <w:pPr>
        <w:pStyle w:val="ListParagraph"/>
        <w:ind w:left="709"/>
        <w:jc w:val="center"/>
        <w:rPr>
          <w:rFonts w:ascii="Arial" w:hAnsi="Arial" w:cs="Arial"/>
          <w:sz w:val="24"/>
          <w:szCs w:val="24"/>
        </w:rPr>
      </w:pPr>
      <w:r w:rsidRPr="008C1194">
        <w:rPr>
          <w:rFonts w:ascii="Arial" w:hAnsi="Arial" w:cs="Arial"/>
          <w:sz w:val="24"/>
          <w:szCs w:val="24"/>
        </w:rPr>
        <w:t>-3-</w:t>
      </w:r>
    </w:p>
    <w:sectPr w:rsidR="00A63BEC" w:rsidRPr="008C1194" w:rsidSect="00E14B0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A7795"/>
    <w:multiLevelType w:val="hybridMultilevel"/>
    <w:tmpl w:val="107817C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4AB37796"/>
    <w:multiLevelType w:val="hybridMultilevel"/>
    <w:tmpl w:val="87568F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7BCB5AEB"/>
    <w:multiLevelType w:val="hybridMultilevel"/>
    <w:tmpl w:val="6268B98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51"/>
    <w:rsid w:val="000D7398"/>
    <w:rsid w:val="000E1F6F"/>
    <w:rsid w:val="001067A1"/>
    <w:rsid w:val="002129DA"/>
    <w:rsid w:val="00223DE7"/>
    <w:rsid w:val="00265E07"/>
    <w:rsid w:val="00321032"/>
    <w:rsid w:val="0049294F"/>
    <w:rsid w:val="004B7D51"/>
    <w:rsid w:val="004C6571"/>
    <w:rsid w:val="004F74D8"/>
    <w:rsid w:val="005A4000"/>
    <w:rsid w:val="00654129"/>
    <w:rsid w:val="006868DA"/>
    <w:rsid w:val="00731436"/>
    <w:rsid w:val="0078646C"/>
    <w:rsid w:val="007A3B44"/>
    <w:rsid w:val="007A779C"/>
    <w:rsid w:val="007C0508"/>
    <w:rsid w:val="007D4174"/>
    <w:rsid w:val="0083741A"/>
    <w:rsid w:val="008378C4"/>
    <w:rsid w:val="00842D0F"/>
    <w:rsid w:val="00846B5F"/>
    <w:rsid w:val="008C1194"/>
    <w:rsid w:val="00915417"/>
    <w:rsid w:val="00991551"/>
    <w:rsid w:val="009B7A9C"/>
    <w:rsid w:val="00A63BEC"/>
    <w:rsid w:val="00AB058D"/>
    <w:rsid w:val="00AE3029"/>
    <w:rsid w:val="00B34FE3"/>
    <w:rsid w:val="00B87AEA"/>
    <w:rsid w:val="00D76224"/>
    <w:rsid w:val="00D86383"/>
    <w:rsid w:val="00DC6907"/>
    <w:rsid w:val="00DE2638"/>
    <w:rsid w:val="00E14B0A"/>
    <w:rsid w:val="00E6365C"/>
    <w:rsid w:val="00EC775D"/>
    <w:rsid w:val="00F43455"/>
    <w:rsid w:val="00F715D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B7D51"/>
    <w:rPr>
      <w:color w:val="0000FF"/>
      <w:u w:val="single"/>
    </w:rPr>
  </w:style>
  <w:style w:type="paragraph" w:styleId="ListParagraph">
    <w:name w:val="List Paragraph"/>
    <w:basedOn w:val="Normal"/>
    <w:uiPriority w:val="34"/>
    <w:qFormat/>
    <w:rsid w:val="004B7D51"/>
    <w:pPr>
      <w:ind w:left="720"/>
      <w:contextualSpacing/>
    </w:pPr>
  </w:style>
  <w:style w:type="character" w:customStyle="1" w:styleId="apple-converted-space">
    <w:name w:val="apple-converted-space"/>
    <w:basedOn w:val="DefaultParagraphFont"/>
    <w:rsid w:val="004B7D51"/>
  </w:style>
  <w:style w:type="character" w:customStyle="1" w:styleId="hps">
    <w:name w:val="hps"/>
    <w:basedOn w:val="DefaultParagraphFont"/>
    <w:rsid w:val="00D86383"/>
  </w:style>
  <w:style w:type="paragraph" w:styleId="NormalWeb">
    <w:name w:val="Normal (Web)"/>
    <w:basedOn w:val="Normal"/>
    <w:uiPriority w:val="99"/>
    <w:semiHidden/>
    <w:unhideWhenUsed/>
    <w:rsid w:val="00D86383"/>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style-span">
    <w:name w:val="apple-style-span"/>
    <w:basedOn w:val="DefaultParagraphFont"/>
    <w:rsid w:val="00DE26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B7D51"/>
    <w:rPr>
      <w:color w:val="0000FF"/>
      <w:u w:val="single"/>
    </w:rPr>
  </w:style>
  <w:style w:type="paragraph" w:styleId="ListParagraph">
    <w:name w:val="List Paragraph"/>
    <w:basedOn w:val="Normal"/>
    <w:uiPriority w:val="34"/>
    <w:qFormat/>
    <w:rsid w:val="004B7D51"/>
    <w:pPr>
      <w:ind w:left="720"/>
      <w:contextualSpacing/>
    </w:pPr>
  </w:style>
  <w:style w:type="character" w:customStyle="1" w:styleId="apple-converted-space">
    <w:name w:val="apple-converted-space"/>
    <w:basedOn w:val="DefaultParagraphFont"/>
    <w:rsid w:val="004B7D51"/>
  </w:style>
  <w:style w:type="character" w:customStyle="1" w:styleId="hps">
    <w:name w:val="hps"/>
    <w:basedOn w:val="DefaultParagraphFont"/>
    <w:rsid w:val="00D86383"/>
  </w:style>
  <w:style w:type="paragraph" w:styleId="NormalWeb">
    <w:name w:val="Normal (Web)"/>
    <w:basedOn w:val="Normal"/>
    <w:uiPriority w:val="99"/>
    <w:semiHidden/>
    <w:unhideWhenUsed/>
    <w:rsid w:val="00D86383"/>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style-span">
    <w:name w:val="apple-style-span"/>
    <w:basedOn w:val="DefaultParagraphFont"/>
    <w:rsid w:val="00DE2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907702">
      <w:bodyDiv w:val="1"/>
      <w:marLeft w:val="0"/>
      <w:marRight w:val="0"/>
      <w:marTop w:val="0"/>
      <w:marBottom w:val="0"/>
      <w:divBdr>
        <w:top w:val="none" w:sz="0" w:space="0" w:color="auto"/>
        <w:left w:val="none" w:sz="0" w:space="0" w:color="auto"/>
        <w:bottom w:val="none" w:sz="0" w:space="0" w:color="auto"/>
        <w:right w:val="none" w:sz="0" w:space="0" w:color="auto"/>
      </w:divBdr>
      <w:divsChild>
        <w:div w:id="13369589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1752174">
              <w:marLeft w:val="0"/>
              <w:marRight w:val="0"/>
              <w:marTop w:val="0"/>
              <w:marBottom w:val="0"/>
              <w:divBdr>
                <w:top w:val="none" w:sz="0" w:space="0" w:color="auto"/>
                <w:left w:val="none" w:sz="0" w:space="0" w:color="auto"/>
                <w:bottom w:val="none" w:sz="0" w:space="0" w:color="auto"/>
                <w:right w:val="none" w:sz="0" w:space="0" w:color="auto"/>
              </w:divBdr>
              <w:divsChild>
                <w:div w:id="1371951357">
                  <w:marLeft w:val="0"/>
                  <w:marRight w:val="0"/>
                  <w:marTop w:val="0"/>
                  <w:marBottom w:val="0"/>
                  <w:divBdr>
                    <w:top w:val="none" w:sz="0" w:space="0" w:color="auto"/>
                    <w:left w:val="none" w:sz="0" w:space="0" w:color="auto"/>
                    <w:bottom w:val="none" w:sz="0" w:space="0" w:color="auto"/>
                    <w:right w:val="none" w:sz="0" w:space="0" w:color="auto"/>
                  </w:divBdr>
                  <w:divsChild>
                    <w:div w:id="174680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774963">
      <w:bodyDiv w:val="1"/>
      <w:marLeft w:val="0"/>
      <w:marRight w:val="0"/>
      <w:marTop w:val="0"/>
      <w:marBottom w:val="0"/>
      <w:divBdr>
        <w:top w:val="none" w:sz="0" w:space="0" w:color="auto"/>
        <w:left w:val="none" w:sz="0" w:space="0" w:color="auto"/>
        <w:bottom w:val="none" w:sz="0" w:space="0" w:color="auto"/>
        <w:right w:val="none" w:sz="0" w:space="0" w:color="auto"/>
      </w:divBdr>
      <w:divsChild>
        <w:div w:id="828866501">
          <w:marLeft w:val="0"/>
          <w:marRight w:val="0"/>
          <w:marTop w:val="0"/>
          <w:marBottom w:val="200"/>
          <w:divBdr>
            <w:top w:val="none" w:sz="0" w:space="0" w:color="auto"/>
            <w:left w:val="none" w:sz="0" w:space="0" w:color="auto"/>
            <w:bottom w:val="none" w:sz="0" w:space="0" w:color="auto"/>
            <w:right w:val="none" w:sz="0" w:space="0" w:color="auto"/>
          </w:divBdr>
        </w:div>
        <w:div w:id="1476800986">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zoomcy.com"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4C3D74-2853-4C33-9A4A-56AD74406951}"/>
</file>

<file path=customXml/itemProps2.xml><?xml version="1.0" encoding="utf-8"?>
<ds:datastoreItem xmlns:ds="http://schemas.openxmlformats.org/officeDocument/2006/customXml" ds:itemID="{C3E26CB1-F0FE-4CBD-88C6-58E90B22CD26}"/>
</file>

<file path=customXml/itemProps3.xml><?xml version="1.0" encoding="utf-8"?>
<ds:datastoreItem xmlns:ds="http://schemas.openxmlformats.org/officeDocument/2006/customXml" ds:itemID="{D6E110EE-D4FF-4883-BFAF-93EF89A24785}"/>
</file>

<file path=customXml/itemProps4.xml><?xml version="1.0" encoding="utf-8"?>
<ds:datastoreItem xmlns:ds="http://schemas.openxmlformats.org/officeDocument/2006/customXml" ds:itemID="{5E5AF86C-1168-4BEE-B205-DA5CF0B2D178}"/>
</file>

<file path=docProps/app.xml><?xml version="1.0" encoding="utf-8"?>
<Properties xmlns="http://schemas.openxmlformats.org/officeDocument/2006/extended-properties" xmlns:vt="http://schemas.openxmlformats.org/officeDocument/2006/docPropsVTypes">
  <Template>Normal</Template>
  <TotalTime>1</TotalTime>
  <Pages>3</Pages>
  <Words>647</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Secretary</cp:lastModifiedBy>
  <cp:revision>4</cp:revision>
  <cp:lastPrinted>2015-03-24T07:35:00Z</cp:lastPrinted>
  <dcterms:created xsi:type="dcterms:W3CDTF">2015-03-24T10:24:00Z</dcterms:created>
  <dcterms:modified xsi:type="dcterms:W3CDTF">2015-03-24T11:09:00Z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