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8F9AF" w14:textId="77777777" w:rsidR="001A59C8" w:rsidRDefault="002A36D5">
      <w:pPr>
        <w:jc w:val="center"/>
        <w:rPr>
          <w:b/>
          <w:bCs/>
        </w:rPr>
      </w:pPr>
      <w:r>
        <w:rPr>
          <w:b/>
          <w:bCs/>
        </w:rPr>
        <w:t>Joint NGO Additional Information Thematic Submission</w:t>
      </w:r>
      <w:r>
        <w:rPr>
          <w:b/>
          <w:bCs/>
          <w:vertAlign w:val="superscript"/>
        </w:rPr>
        <w:footnoteReference w:id="1"/>
      </w:r>
      <w:r>
        <w:rPr>
          <w:b/>
          <w:bCs/>
        </w:rPr>
        <w:t xml:space="preserve"> on FGM/C for the 100th Session on the Convention of the Rights of the Child (CRC): Review of Malaysia  </w:t>
      </w:r>
    </w:p>
    <w:p w14:paraId="571F741B" w14:textId="77777777" w:rsidR="001A59C8" w:rsidRDefault="002A36D5">
      <w:pPr>
        <w:jc w:val="center"/>
      </w:pPr>
      <w:r>
        <w:t xml:space="preserve">Contributed by the Malaysian Chapter of the Asia Network to End FGM/C </w:t>
      </w:r>
    </w:p>
    <w:p w14:paraId="6CB61F39" w14:textId="77777777" w:rsidR="001A59C8" w:rsidRDefault="002A36D5">
      <w:pPr>
        <w:jc w:val="center"/>
      </w:pPr>
      <w:r>
        <w:t>Coordinated by Kemban Kolektif</w:t>
      </w:r>
    </w:p>
    <w:p w14:paraId="21D8D1BC" w14:textId="77777777" w:rsidR="001A59C8" w:rsidRDefault="002A36D5">
      <w:pPr>
        <w:jc w:val="center"/>
      </w:pPr>
      <w:r>
        <w:t>15th December 2025</w:t>
      </w:r>
    </w:p>
    <w:p w14:paraId="15F2CEE0" w14:textId="77777777" w:rsidR="001A59C8" w:rsidRDefault="001A59C8">
      <w:pPr>
        <w:rPr>
          <w:b/>
          <w:bCs/>
        </w:rPr>
      </w:pPr>
    </w:p>
    <w:p w14:paraId="1EF715FC" w14:textId="77777777" w:rsidR="001A59C8" w:rsidRDefault="002A36D5">
      <w:pPr>
        <w:rPr>
          <w:b/>
          <w:bCs/>
        </w:rPr>
      </w:pPr>
      <w:r>
        <w:rPr>
          <w:b/>
          <w:bCs/>
        </w:rPr>
        <w:t>INTRODUCTION</w:t>
      </w:r>
    </w:p>
    <w:p w14:paraId="08131747" w14:textId="77777777" w:rsidR="001A59C8" w:rsidRDefault="001A59C8">
      <w:pPr>
        <w:rPr>
          <w:b/>
          <w:bCs/>
        </w:rPr>
      </w:pPr>
    </w:p>
    <w:p w14:paraId="5F70B125" w14:textId="77777777" w:rsidR="001A59C8" w:rsidRDefault="002A36D5">
      <w:pPr>
        <w:numPr>
          <w:ilvl w:val="0"/>
          <w:numId w:val="1"/>
        </w:numPr>
      </w:pPr>
      <w:r>
        <w:t>This submission is based on the CRC’s committee’s List of Issues (LOI) following the combined second to fourth periodic reports of Malaysia in March 2025 in relation to the following issues:</w:t>
      </w:r>
    </w:p>
    <w:p w14:paraId="0148B4AF" w14:textId="77777777" w:rsidR="001A59C8" w:rsidRDefault="001A59C8">
      <w:pPr>
        <w:ind w:left="1440"/>
      </w:pPr>
    </w:p>
    <w:p w14:paraId="5D4841B0" w14:textId="77777777" w:rsidR="001A59C8" w:rsidRDefault="002A36D5">
      <w:pPr>
        <w:numPr>
          <w:ilvl w:val="1"/>
          <w:numId w:val="1"/>
        </w:numPr>
      </w:pPr>
      <w:r>
        <w:rPr>
          <w:b/>
          <w:bCs/>
        </w:rPr>
        <w:t>The prohibition of female genital mutilation accross all legislation without exception</w:t>
      </w:r>
      <w:r>
        <w:t xml:space="preserve"> (LOI Para 6(c))</w:t>
      </w:r>
    </w:p>
    <w:p w14:paraId="380CEBE9" w14:textId="77777777" w:rsidR="001A59C8" w:rsidRDefault="001A59C8">
      <w:pPr>
        <w:ind w:left="1440"/>
      </w:pPr>
    </w:p>
    <w:p w14:paraId="62C308F5" w14:textId="77777777" w:rsidR="001A59C8" w:rsidRDefault="002A36D5">
      <w:pPr>
        <w:numPr>
          <w:ilvl w:val="1"/>
          <w:numId w:val="1"/>
        </w:numPr>
      </w:pPr>
      <w:r>
        <w:rPr>
          <w:b/>
          <w:bCs/>
        </w:rPr>
        <w:t>Updated statistical data, for the past three years, disaggregated by age, sex, ethnic origin, national origin, geographical location and socioeconomic status, on female genital mutilation</w:t>
      </w:r>
      <w:r>
        <w:t xml:space="preserve"> (LOI Para 15(b))</w:t>
      </w:r>
    </w:p>
    <w:p w14:paraId="6F3B8B7F" w14:textId="77777777" w:rsidR="001A59C8" w:rsidRDefault="001A59C8">
      <w:pPr>
        <w:jc w:val="both"/>
        <w:rPr>
          <w:b/>
          <w:bCs/>
        </w:rPr>
      </w:pPr>
    </w:p>
    <w:p w14:paraId="5A6387F0" w14:textId="77777777" w:rsidR="001A59C8" w:rsidRDefault="002A36D5">
      <w:pPr>
        <w:jc w:val="both"/>
        <w:rPr>
          <w:b/>
          <w:bCs/>
          <w:u w:val="single"/>
        </w:rPr>
      </w:pPr>
      <w:r>
        <w:rPr>
          <w:b/>
          <w:bCs/>
          <w:u w:val="single"/>
        </w:rPr>
        <w:t>ISSUE 1: Failure to prohibition of female genital mutilation without exception across all legislation, including in Shariah law and customary law, and prevention, documentation and addressing such practices in all areas of the country against all children, regardless of their nationality or situation (LOI Para 6(c))</w:t>
      </w:r>
    </w:p>
    <w:p w14:paraId="3762E552" w14:textId="77777777" w:rsidR="001A59C8" w:rsidRDefault="001A59C8">
      <w:pPr>
        <w:jc w:val="both"/>
        <w:rPr>
          <w:b/>
          <w:bCs/>
        </w:rPr>
      </w:pPr>
    </w:p>
    <w:p w14:paraId="68043A2D" w14:textId="77777777" w:rsidR="001A59C8" w:rsidRDefault="002A36D5">
      <w:pPr>
        <w:numPr>
          <w:ilvl w:val="0"/>
          <w:numId w:val="1"/>
        </w:numPr>
        <w:jc w:val="both"/>
      </w:pPr>
      <w:r>
        <w:t xml:space="preserve">Female genital mutilation/cutting (FGM/C) in Malaysia remains a deeply entrenched practice in contravention of </w:t>
      </w:r>
      <w:r>
        <w:rPr>
          <w:b/>
          <w:bCs/>
        </w:rPr>
        <w:t>multiple provisions</w:t>
      </w:r>
      <w:r>
        <w:t xml:space="preserve"> of the Convention on the Rights of the Child including: </w:t>
      </w:r>
    </w:p>
    <w:p w14:paraId="0538C3D1" w14:textId="77777777" w:rsidR="001A59C8" w:rsidRDefault="001A59C8">
      <w:pPr>
        <w:ind w:left="720"/>
        <w:jc w:val="both"/>
      </w:pPr>
    </w:p>
    <w:p w14:paraId="6DBCD8E1" w14:textId="77777777" w:rsidR="001A59C8" w:rsidRDefault="002A36D5">
      <w:pPr>
        <w:numPr>
          <w:ilvl w:val="1"/>
          <w:numId w:val="1"/>
        </w:numPr>
        <w:jc w:val="both"/>
        <w:rPr>
          <w:i/>
          <w:iCs/>
        </w:rPr>
      </w:pPr>
      <w:r>
        <w:rPr>
          <w:i/>
          <w:iCs/>
        </w:rPr>
        <w:t>Article 19: Protection from all forms of physical or mental violence, injury, or abuse.</w:t>
      </w:r>
    </w:p>
    <w:p w14:paraId="00D9132C" w14:textId="77777777" w:rsidR="001A59C8" w:rsidRDefault="002A36D5">
      <w:pPr>
        <w:numPr>
          <w:ilvl w:val="1"/>
          <w:numId w:val="1"/>
        </w:numPr>
        <w:jc w:val="both"/>
        <w:rPr>
          <w:i/>
          <w:iCs/>
        </w:rPr>
      </w:pPr>
      <w:r>
        <w:rPr>
          <w:i/>
          <w:iCs/>
        </w:rPr>
        <w:t>Article 24: The right to the highest attainable standard of health, and protection from traditional practices prejudicial to health.</w:t>
      </w:r>
    </w:p>
    <w:p w14:paraId="22C133F6" w14:textId="77777777" w:rsidR="001A59C8" w:rsidRDefault="002A36D5">
      <w:pPr>
        <w:numPr>
          <w:ilvl w:val="1"/>
          <w:numId w:val="1"/>
        </w:numPr>
        <w:jc w:val="both"/>
        <w:rPr>
          <w:i/>
          <w:iCs/>
        </w:rPr>
      </w:pPr>
      <w:r>
        <w:rPr>
          <w:i/>
          <w:iCs/>
        </w:rPr>
        <w:t>Article 37: Protection from cruel, inhuman, or degrading treatment.</w:t>
      </w:r>
    </w:p>
    <w:p w14:paraId="68F327F4" w14:textId="77777777" w:rsidR="001A59C8" w:rsidRDefault="001A59C8">
      <w:pPr>
        <w:ind w:left="720"/>
        <w:jc w:val="both"/>
      </w:pPr>
    </w:p>
    <w:p w14:paraId="53509AD6" w14:textId="77777777" w:rsidR="001A59C8" w:rsidRDefault="002A36D5">
      <w:pPr>
        <w:numPr>
          <w:ilvl w:val="0"/>
          <w:numId w:val="1"/>
        </w:numPr>
        <w:jc w:val="both"/>
      </w:pPr>
      <w:r>
        <w:t>According to research conducted over the past 25 years consistently demonstrates near-universal prevalence among Malay Muslim</w:t>
      </w:r>
      <w:r>
        <w:rPr>
          <w:vertAlign w:val="superscript"/>
        </w:rPr>
        <w:footnoteReference w:id="2"/>
      </w:r>
      <w:r>
        <w:t>, with the practice overwhelmingly performed in infancy. According to a 2020 study</w:t>
      </w:r>
      <w:r>
        <w:rPr>
          <w:vertAlign w:val="superscript"/>
        </w:rPr>
        <w:footnoteReference w:id="3"/>
      </w:r>
      <w:r>
        <w:t xml:space="preserve"> </w:t>
      </w:r>
      <w:r>
        <w:rPr>
          <w:b/>
          <w:bCs/>
        </w:rPr>
        <w:t>99.3 percent of Malay Muslim infants</w:t>
      </w:r>
      <w:r>
        <w:t xml:space="preserve">—some as young as one to two months—had undergone Type IV FGC, with a median age of six years among older participants. </w:t>
      </w:r>
    </w:p>
    <w:p w14:paraId="5650E825" w14:textId="77777777" w:rsidR="001A59C8" w:rsidRDefault="001A59C8">
      <w:pPr>
        <w:spacing w:after="160"/>
        <w:jc w:val="both"/>
      </w:pPr>
    </w:p>
    <w:p w14:paraId="78E6BC90" w14:textId="77777777" w:rsidR="001A59C8" w:rsidRDefault="002A36D5">
      <w:pPr>
        <w:spacing w:after="160"/>
        <w:jc w:val="both"/>
      </w:pPr>
      <w:r>
        <w:rPr>
          <w:u w:val="single"/>
        </w:rPr>
        <w:lastRenderedPageBreak/>
        <w:t xml:space="preserve">Lack of explicit prohibition of FGM/C in legislation </w:t>
      </w:r>
    </w:p>
    <w:p w14:paraId="46DCDA72" w14:textId="77777777" w:rsidR="001A59C8" w:rsidRDefault="002A36D5">
      <w:pPr>
        <w:numPr>
          <w:ilvl w:val="0"/>
          <w:numId w:val="1"/>
        </w:numPr>
        <w:spacing w:after="160"/>
        <w:jc w:val="both"/>
      </w:pPr>
      <w:r>
        <w:t xml:space="preserve">While certain elements of the practice of FGM/C may amount to an offence under various existing legislation such as, the Penal Code, Child Act and Medical Act 1971, there remains </w:t>
      </w:r>
      <w:r>
        <w:rPr>
          <w:b/>
          <w:bCs/>
        </w:rPr>
        <w:t>no specific law criminalising the offence of FGM/C Malaysia</w:t>
      </w:r>
      <w:r>
        <w:t>.</w:t>
      </w:r>
      <w:r>
        <w:rPr>
          <w:highlight w:val="yellow"/>
        </w:rPr>
        <w:t xml:space="preserve"> </w:t>
      </w:r>
    </w:p>
    <w:p w14:paraId="21B52441" w14:textId="77777777" w:rsidR="001A59C8" w:rsidRDefault="002A36D5">
      <w:pPr>
        <w:numPr>
          <w:ilvl w:val="0"/>
          <w:numId w:val="1"/>
        </w:numPr>
        <w:jc w:val="both"/>
      </w:pPr>
      <w:r>
        <w:t>Furthermore, the practice internationally recognised as female genital mutilation/cutting (FGM/C) is commonly referred to as “female circumcision” (khitan, sunat perempuan, or sunat bayi). This terminology minimises the harm of the practice and misleadingly equates it with male circumcision, thereby obscuring its distinct health risks and human rights implications. The continued use of such terminology by State actors contributes to public misunderstanding and weakens recognition of FGM/C as a form of gende</w:t>
      </w:r>
      <w:r>
        <w:t>r-based violence. The State has relied on this ambiguity to downplay the seriousness of the practice and to avoid accountability. For instance, a Member of Parliament publicly stated that Malaysia’s National Human Rights Institution (SUHAKAM) is “confused” about what constitutes FGM/C and should instead seek clarification from the Department of Islamic Development Malaysia (JAKIM)</w:t>
      </w:r>
      <w:r>
        <w:rPr>
          <w:i/>
          <w:iCs/>
          <w:vertAlign w:val="superscript"/>
        </w:rPr>
        <w:footnoteReference w:id="4"/>
      </w:r>
      <w:r>
        <w:t>. Such statements further entrench confusion between religious classifications and internationally recognised definitions of FGM/C, undermining public awareness and effective prevention.</w:t>
      </w:r>
    </w:p>
    <w:p w14:paraId="3D3C871D" w14:textId="77777777" w:rsidR="001A59C8" w:rsidRDefault="001A59C8">
      <w:pPr>
        <w:ind w:left="720"/>
        <w:jc w:val="both"/>
      </w:pPr>
    </w:p>
    <w:p w14:paraId="56183189" w14:textId="77777777" w:rsidR="001A59C8" w:rsidRDefault="002A36D5">
      <w:pPr>
        <w:numPr>
          <w:ilvl w:val="0"/>
          <w:numId w:val="1"/>
        </w:numPr>
        <w:jc w:val="both"/>
      </w:pPr>
      <w:r>
        <w:t xml:space="preserve">This ambiguity is compounded by the 2009 ruling of the National Fatwa Committee, which declared female circumcision </w:t>
      </w:r>
      <w:r>
        <w:rPr>
          <w:i/>
          <w:iCs/>
        </w:rPr>
        <w:t xml:space="preserve">wajib </w:t>
      </w:r>
      <w:r>
        <w:t>(obligatory) for Muslim women unless it is proven harmful to health. While the State consistently asserts that this fatwa is “legally not binding,” it remains in force and continues to exert significant normative and social influence. To date, the State has taken no substantive measures to review, rescind, or mitigate the impact of the fatwa, nor has it adopted comprehensive policies to effectively prevent and eliminate FGM/C.</w:t>
      </w:r>
    </w:p>
    <w:p w14:paraId="793131FA" w14:textId="77777777" w:rsidR="001A59C8" w:rsidRDefault="001A59C8">
      <w:pPr>
        <w:ind w:left="720"/>
        <w:jc w:val="both"/>
      </w:pPr>
    </w:p>
    <w:p w14:paraId="6F574286" w14:textId="77777777" w:rsidR="001A59C8" w:rsidRDefault="002A36D5">
      <w:pPr>
        <w:numPr>
          <w:ilvl w:val="0"/>
          <w:numId w:val="1"/>
        </w:numPr>
        <w:jc w:val="both"/>
      </w:pPr>
      <w:r>
        <w:t>The fatwa has been widely contested by medical professionals, women’s rights organisations, and human rights groups</w:t>
      </w:r>
      <w:r>
        <w:rPr>
          <w:vertAlign w:val="superscript"/>
        </w:rPr>
        <w:footnoteReference w:id="5"/>
      </w:r>
      <w:r>
        <w:t>. Nevertheless, the State has relied on its purported non-binding status to justify the absence of legislative, regulatory, or policy action. This position is</w:t>
      </w:r>
      <w:r>
        <w:rPr>
          <w:b/>
          <w:bCs/>
        </w:rPr>
        <w:t xml:space="preserve"> inconsistent with the State’s obligation</w:t>
      </w:r>
      <w:r>
        <w:t xml:space="preserve"> to exercise due diligence to prevent harmful practices, including by addressing religious or customary norms that perpetuate gender-based discrimination. Clear and authoritative guidance must be issued to establish that there is no legal, religious, or medical obligation to perform FGM/C, and to ensure that hea</w:t>
      </w:r>
      <w:r>
        <w:t>lthcare workers are not pressured to perform, facilitate, or normalise the practice.</w:t>
      </w:r>
    </w:p>
    <w:p w14:paraId="019FEE84" w14:textId="77777777" w:rsidR="001A59C8" w:rsidRDefault="001A59C8">
      <w:pPr>
        <w:ind w:left="720"/>
        <w:jc w:val="both"/>
      </w:pPr>
    </w:p>
    <w:p w14:paraId="6F8DFDB7" w14:textId="77777777" w:rsidR="001A59C8" w:rsidRDefault="002A36D5">
      <w:pPr>
        <w:numPr>
          <w:ilvl w:val="0"/>
          <w:numId w:val="1"/>
        </w:numPr>
        <w:jc w:val="both"/>
      </w:pPr>
      <w:r>
        <w:t>Civil society and NGO syntheses</w:t>
      </w:r>
      <w:r>
        <w:rPr>
          <w:vertAlign w:val="superscript"/>
        </w:rPr>
        <w:footnoteReference w:id="6"/>
      </w:r>
      <w:r>
        <w:t xml:space="preserve"> estimate that more than 7.5 million Malay Muslim women and girls in Malaysia have undergone FGM/C, with national prevalence estimated at 53–60% when accounting for Malaysia’s multi-ethnic population. These findings highlight the entrenched nature of the practice, the role of religious legitimisation, and the increasing medicalisation of FGM/C, underscoring the State’s failure to take effective and comprehensive measures to fulfil its international human rights obligations.</w:t>
      </w:r>
    </w:p>
    <w:p w14:paraId="354B456D" w14:textId="77777777" w:rsidR="001A59C8" w:rsidRDefault="001A59C8">
      <w:pPr>
        <w:jc w:val="both"/>
      </w:pPr>
    </w:p>
    <w:p w14:paraId="23B333DA" w14:textId="77777777" w:rsidR="001A59C8" w:rsidRDefault="002A36D5">
      <w:pPr>
        <w:jc w:val="both"/>
        <w:rPr>
          <w:u w:val="single"/>
        </w:rPr>
      </w:pPr>
      <w:r>
        <w:rPr>
          <w:u w:val="single"/>
        </w:rPr>
        <w:t>Medicalisation of procedure leading to increased and more invasive forms of FGMC</w:t>
      </w:r>
    </w:p>
    <w:p w14:paraId="2CD8F016" w14:textId="77777777" w:rsidR="001A59C8" w:rsidRDefault="001A59C8">
      <w:pPr>
        <w:jc w:val="both"/>
      </w:pPr>
    </w:p>
    <w:p w14:paraId="197F572F" w14:textId="77777777" w:rsidR="001A59C8" w:rsidRDefault="002A36D5">
      <w:pPr>
        <w:numPr>
          <w:ilvl w:val="0"/>
          <w:numId w:val="1"/>
        </w:numPr>
        <w:jc w:val="both"/>
      </w:pPr>
      <w:r>
        <w:t>Since the 1980s, the performance of FGM/C in Malaysia has incrementally shifted from traditional midwives (</w:t>
      </w:r>
      <w:r>
        <w:rPr>
          <w:i/>
          <w:iCs/>
        </w:rPr>
        <w:t>mak bidan</w:t>
      </w:r>
      <w:r>
        <w:t xml:space="preserve">) to licensed healthcare professionals. Today, the majority of procedures are reportedly carried out in private clinics by doctors, particularly at the request of younger generations. This shift is largely attributed to perceptions of improved hygiene, access to sterile equipment, and confidence in medical expertise. </w:t>
      </w:r>
      <w:r>
        <w:rPr>
          <w:b/>
          <w:bCs/>
        </w:rPr>
        <w:t>Medicalisation is also framed as a “harm reduction” measure</w:t>
      </w:r>
      <w:r>
        <w:t>, based on the belief that clinical settings reduce the risk of infection, and concerns about the physical limitations of tra</w:t>
      </w:r>
      <w:r>
        <w:t>ditional practitioners, including age-related tremors and poor eyesight. Rapid urbanisation has further facilitated the relocation of FGM/C into formal and more accessible healthcare settings.</w:t>
      </w:r>
    </w:p>
    <w:p w14:paraId="45405BB9" w14:textId="77777777" w:rsidR="001A59C8" w:rsidRDefault="001A59C8">
      <w:pPr>
        <w:ind w:left="720"/>
        <w:jc w:val="both"/>
      </w:pPr>
    </w:p>
    <w:p w14:paraId="510BA425" w14:textId="77777777" w:rsidR="001A59C8" w:rsidRDefault="002A36D5">
      <w:pPr>
        <w:numPr>
          <w:ilvl w:val="0"/>
          <w:numId w:val="1"/>
        </w:numPr>
        <w:jc w:val="both"/>
      </w:pPr>
      <w:r>
        <w:t xml:space="preserve">However, far from reducing harm, evidence indicates that medicalisation has </w:t>
      </w:r>
      <w:r>
        <w:rPr>
          <w:b/>
          <w:bCs/>
        </w:rPr>
        <w:t>contributed to more invasive forms of FGM/C</w:t>
      </w:r>
      <w:r>
        <w:t>. Some healthcare providers perform Type I FGM/C, involving cutting of the clitoral prepuce or visible clitoral tissue. Researchers have identified two key developments underlying this trend: first, calls by some actors for “more orthodox” forms of Islamic practice</w:t>
      </w:r>
      <w:r>
        <w:rPr>
          <w:vertAlign w:val="superscript"/>
        </w:rPr>
        <w:footnoteReference w:id="7"/>
      </w:r>
      <w:r>
        <w:t>; and second, the paradoxical effects of medicalisation itself, whereby overconfidence in medical equipment and clinical environments leads to deeper or more extensive cutting, including direct injury to the clitoris rather than the prepuce.</w:t>
      </w:r>
    </w:p>
    <w:p w14:paraId="46A4F469" w14:textId="77777777" w:rsidR="001A59C8" w:rsidRDefault="001A59C8">
      <w:pPr>
        <w:ind w:left="720"/>
        <w:jc w:val="both"/>
      </w:pPr>
    </w:p>
    <w:p w14:paraId="4141393C" w14:textId="77777777" w:rsidR="001A59C8" w:rsidRDefault="002A36D5">
      <w:pPr>
        <w:numPr>
          <w:ilvl w:val="0"/>
          <w:numId w:val="1"/>
        </w:numPr>
        <w:jc w:val="both"/>
      </w:pPr>
      <w:r>
        <w:t xml:space="preserve">Available practitioner data confirms significant risks. Most doctors performing FGM/C do not use anaesthesia, do not screen for bleeding disorders, and frequently report bleeding during procedures. Of particular concern, </w:t>
      </w:r>
      <w:r>
        <w:rPr>
          <w:b/>
          <w:bCs/>
        </w:rPr>
        <w:t>36% of the 20.5% of doctors who reported performing FGM/C stated that they cut clitoral tissue</w:t>
      </w:r>
      <w:r>
        <w:rPr>
          <w:b/>
          <w:bCs/>
          <w:vertAlign w:val="superscript"/>
        </w:rPr>
        <w:footnoteReference w:id="8"/>
      </w:r>
      <w:r>
        <w:rPr>
          <w:b/>
          <w:bCs/>
        </w:rPr>
        <w:t>, constituting Type I FGM/C</w:t>
      </w:r>
      <w:r>
        <w:t>. Global medical evidence links this form to neuroma formation, scarring, altered sensation, and long-term sexual dysfunction</w:t>
      </w:r>
      <w:r>
        <w:rPr>
          <w:vertAlign w:val="superscript"/>
        </w:rPr>
        <w:footnoteReference w:id="9"/>
      </w:r>
      <w:r>
        <w:t>. A Ministry of Health audit in 2018 concluded that FGM/C has no medical benefit and may cause serious harm, citing a case in which an infant’s clitoris was completely removed during the procedure.</w:t>
      </w:r>
    </w:p>
    <w:p w14:paraId="7E3D8B82" w14:textId="77777777" w:rsidR="001A59C8" w:rsidRDefault="001A59C8">
      <w:pPr>
        <w:jc w:val="both"/>
        <w:rPr>
          <w:i/>
          <w:iCs/>
          <w:u w:val="single"/>
        </w:rPr>
      </w:pPr>
    </w:p>
    <w:p w14:paraId="1A1DFCD4" w14:textId="77777777" w:rsidR="001A59C8" w:rsidRDefault="001A59C8">
      <w:pPr>
        <w:ind w:left="720"/>
        <w:jc w:val="both"/>
        <w:rPr>
          <w:i/>
          <w:iCs/>
          <w:u w:val="single"/>
        </w:rPr>
      </w:pPr>
    </w:p>
    <w:p w14:paraId="0B791B93" w14:textId="77777777" w:rsidR="001A59C8" w:rsidRDefault="002A36D5">
      <w:pPr>
        <w:ind w:left="720"/>
        <w:jc w:val="both"/>
        <w:rPr>
          <w:i/>
          <w:iCs/>
          <w:u w:val="single"/>
        </w:rPr>
      </w:pPr>
      <w:r>
        <w:rPr>
          <w:i/>
          <w:iCs/>
          <w:u w:val="single"/>
        </w:rPr>
        <w:t xml:space="preserve">Medicalisation as violation of medical ethics </w:t>
      </w:r>
    </w:p>
    <w:p w14:paraId="40237F9D" w14:textId="77777777" w:rsidR="001A59C8" w:rsidRDefault="002A36D5">
      <w:pPr>
        <w:numPr>
          <w:ilvl w:val="0"/>
          <w:numId w:val="1"/>
        </w:numPr>
        <w:jc w:val="both"/>
      </w:pPr>
      <w:r>
        <w:t xml:space="preserve">The medicalisation of FGM/C constitutes a </w:t>
      </w:r>
      <w:r>
        <w:rPr>
          <w:b/>
          <w:bCs/>
        </w:rPr>
        <w:t>clear violation of medical ethics and professional standards</w:t>
      </w:r>
      <w:r>
        <w:t xml:space="preserve"> under Malaysian law. The Medical Act 1971 requires medical practitioners to be “qualified to practise medicine or surgery according to modern scientific methods.” This standard is reflected in the Malaysian Medical Council (MMC) Code of Professional Conduct</w:t>
      </w:r>
      <w:r>
        <w:rPr>
          <w:vertAlign w:val="superscript"/>
        </w:rPr>
        <w:footnoteReference w:id="10"/>
      </w:r>
      <w:r>
        <w:t>, which affirms the public’s right to expect a high standard of medical care, including appropriate assessment, competent management, and evidence-based medical intervention.</w:t>
      </w:r>
    </w:p>
    <w:p w14:paraId="2CE38021" w14:textId="77777777" w:rsidR="001A59C8" w:rsidRDefault="001A59C8">
      <w:pPr>
        <w:ind w:left="720"/>
        <w:jc w:val="both"/>
      </w:pPr>
    </w:p>
    <w:p w14:paraId="2EB74084" w14:textId="77777777" w:rsidR="001A59C8" w:rsidRDefault="002A36D5">
      <w:pPr>
        <w:numPr>
          <w:ilvl w:val="0"/>
          <w:numId w:val="1"/>
        </w:numPr>
        <w:spacing w:before="240"/>
        <w:jc w:val="both"/>
      </w:pPr>
      <w:r>
        <w:t>FGM/C cannot meet these requirements. It is</w:t>
      </w:r>
      <w:r>
        <w:rPr>
          <w:b/>
          <w:bCs/>
        </w:rPr>
        <w:t xml:space="preserve"> not a recognised medical procedure, has no therapeutic purpose, and offers no health benefit</w:t>
      </w:r>
      <w:r>
        <w:t>. Comparable MMC guidance, including the Aesthetic Medical Practice Guidelines (2015)</w:t>
      </w:r>
      <w:r>
        <w:rPr>
          <w:vertAlign w:val="superscript"/>
        </w:rPr>
        <w:footnoteReference w:id="11"/>
      </w:r>
      <w:r>
        <w:t>, underscores that even non-essential procedures must be grounded in established medical specialties and scientific evidence. FGM/C fails to meet even this threshold.</w:t>
      </w:r>
    </w:p>
    <w:p w14:paraId="4732C937" w14:textId="77777777" w:rsidR="001A59C8" w:rsidRDefault="001A59C8">
      <w:pPr>
        <w:ind w:left="720"/>
        <w:jc w:val="both"/>
      </w:pPr>
    </w:p>
    <w:p w14:paraId="025E24D7" w14:textId="77777777" w:rsidR="001A59C8" w:rsidRDefault="002A36D5">
      <w:pPr>
        <w:numPr>
          <w:ilvl w:val="0"/>
          <w:numId w:val="1"/>
        </w:numPr>
        <w:jc w:val="both"/>
      </w:pPr>
      <w:r>
        <w:t xml:space="preserve">The Malaysian Medical Council is therefore a central stakeholder, as it regulates the registration, training, and professional conduct of doctors. However, any engagement with FGM/C within medical education or guidelines </w:t>
      </w:r>
      <w:r>
        <w:rPr>
          <w:b/>
          <w:bCs/>
        </w:rPr>
        <w:t>must not legitimise or normalise the practice</w:t>
      </w:r>
      <w:r>
        <w:t>. Training must instead emphasise core principles of medical ethics, the right to the highest attainable standard of health, sexual and reproductive health rights, and the prohibition of violence against women and girls. This is particularly critical in the Malaysian context, where FGM/C is predominantly performed on infants and young girls who are incapable of providing informed consent</w:t>
      </w:r>
      <w:r>
        <w:rPr>
          <w:vertAlign w:val="superscript"/>
        </w:rPr>
        <w:footnoteReference w:id="12"/>
      </w:r>
      <w:r>
        <w:t>. The practice therefore clearly constitutes a violation of children’s rights to bodily integrity, health, and protection from harm under the CRC.</w:t>
      </w:r>
    </w:p>
    <w:p w14:paraId="70B8081F" w14:textId="77777777" w:rsidR="001A59C8" w:rsidRDefault="001A59C8">
      <w:pPr>
        <w:ind w:left="720"/>
        <w:jc w:val="both"/>
      </w:pPr>
    </w:p>
    <w:p w14:paraId="5F1C7A0F" w14:textId="77777777" w:rsidR="001A59C8" w:rsidRDefault="002A36D5">
      <w:pPr>
        <w:numPr>
          <w:ilvl w:val="0"/>
          <w:numId w:val="1"/>
        </w:numPr>
        <w:jc w:val="both"/>
      </w:pPr>
      <w:r>
        <w:t xml:space="preserve">Medical training, particularly in primary care settings, must clearly establish that </w:t>
      </w:r>
      <w:r>
        <w:rPr>
          <w:b/>
          <w:bCs/>
        </w:rPr>
        <w:t>FGM/C is not a branch of medicine and lies outside the scope of legitimate medical knowledge, skill, and experience</w:t>
      </w:r>
      <w:r>
        <w:t>. Under the MMC Code</w:t>
      </w:r>
      <w:r>
        <w:rPr>
          <w:vertAlign w:val="superscript"/>
        </w:rPr>
        <w:footnoteReference w:id="13"/>
      </w:r>
      <w:r>
        <w:t>, a practitioner may be found guilty of serious professional misconduct for endangering a patient’s welfare by engaging in a practice for which they lack appropriate knowledge or justification. In this context, performing FGM/C on a child may amount to mistreatment and professional misconduct.</w:t>
      </w:r>
    </w:p>
    <w:p w14:paraId="62837879" w14:textId="77777777" w:rsidR="001A59C8" w:rsidRDefault="001A59C8">
      <w:pPr>
        <w:ind w:left="720"/>
        <w:jc w:val="both"/>
      </w:pPr>
    </w:p>
    <w:p w14:paraId="68B1B0CB" w14:textId="77777777" w:rsidR="001A59C8" w:rsidRDefault="002A36D5">
      <w:pPr>
        <w:numPr>
          <w:ilvl w:val="0"/>
          <w:numId w:val="1"/>
        </w:numPr>
        <w:jc w:val="both"/>
      </w:pPr>
      <w:r>
        <w:t>Doctors must also be equipped to refuse requests to perform FGM/C and to be able to explain such refusals within a rights-based and ethical framework. The MMC Code affirms that while patients or families have the right to complain, practitioners are entitled—and obligated—to act in accordance with professional standards and the best interests of the patient.</w:t>
      </w:r>
    </w:p>
    <w:p w14:paraId="03D838BC" w14:textId="77777777" w:rsidR="001A59C8" w:rsidRDefault="002A36D5">
      <w:pPr>
        <w:numPr>
          <w:ilvl w:val="0"/>
          <w:numId w:val="1"/>
        </w:numPr>
        <w:spacing w:before="240"/>
        <w:jc w:val="both"/>
      </w:pPr>
      <w:r>
        <w:t xml:space="preserve">FGM/C should be </w:t>
      </w:r>
      <w:r>
        <w:rPr>
          <w:b/>
          <w:bCs/>
        </w:rPr>
        <w:t>explicitly recognised as professional misconduct</w:t>
      </w:r>
      <w:r>
        <w:t xml:space="preserve"> under the Medical Act and MMC Codes of Professional Practice. Re-centring existing regulatory language on patient welfare, scientific validity, and ethical practice would make clear that FGM/C is </w:t>
      </w:r>
      <w:r>
        <w:rPr>
          <w:b/>
          <w:bCs/>
        </w:rPr>
        <w:t>incompatible and unacceptable with medical professionalism</w:t>
      </w:r>
      <w:r>
        <w:t xml:space="preserve">. Professional self-regulation is essential, particularly given evidence that some licensed practitioners continue to perform FGM/C while attributing responsibility to “public demand,” despite benefiting from </w:t>
      </w:r>
      <w:r>
        <w:t>the financial and social legitimacy conferred by medicalisation. The State must ensure effective oversight and accountability mechanisms to prevent healthcare providers from perpetuating a harmful practice that violates the rights of children.</w:t>
      </w:r>
    </w:p>
    <w:p w14:paraId="190547BC" w14:textId="77777777" w:rsidR="001A59C8" w:rsidRDefault="001A59C8">
      <w:pPr>
        <w:jc w:val="both"/>
        <w:rPr>
          <w:u w:val="single"/>
        </w:rPr>
      </w:pPr>
    </w:p>
    <w:p w14:paraId="7A9DBD0D" w14:textId="77777777" w:rsidR="001A59C8" w:rsidRDefault="002A36D5">
      <w:pPr>
        <w:jc w:val="both"/>
        <w:rPr>
          <w:u w:val="single"/>
        </w:rPr>
      </w:pPr>
      <w:r>
        <w:rPr>
          <w:u w:val="single"/>
        </w:rPr>
        <w:t>Impact of FGM/C on Young People and Bodily Autonomy</w:t>
      </w:r>
    </w:p>
    <w:p w14:paraId="106AA00D" w14:textId="77777777" w:rsidR="001A59C8" w:rsidRDefault="001A59C8">
      <w:pPr>
        <w:jc w:val="both"/>
        <w:rPr>
          <w:u w:val="single"/>
        </w:rPr>
      </w:pPr>
    </w:p>
    <w:p w14:paraId="658ABDCE" w14:textId="77777777" w:rsidR="001A59C8" w:rsidRDefault="002A36D5">
      <w:pPr>
        <w:ind w:firstLine="720"/>
        <w:jc w:val="both"/>
      </w:pPr>
      <w:r>
        <w:rPr>
          <w:i/>
          <w:iCs/>
          <w:u w:val="single"/>
        </w:rPr>
        <w:t>Denial of bodily autonomy and informed consent</w:t>
      </w:r>
      <w:r>
        <w:rPr>
          <w:u w:val="single"/>
        </w:rPr>
        <w:t xml:space="preserve"> </w:t>
      </w:r>
    </w:p>
    <w:p w14:paraId="16A072B0" w14:textId="77777777" w:rsidR="001A59C8" w:rsidRDefault="002A36D5">
      <w:pPr>
        <w:numPr>
          <w:ilvl w:val="0"/>
          <w:numId w:val="1"/>
        </w:numPr>
        <w:jc w:val="both"/>
      </w:pPr>
      <w:r>
        <w:t>Consultations</w:t>
      </w:r>
      <w:r>
        <w:rPr>
          <w:vertAlign w:val="superscript"/>
        </w:rPr>
        <w:footnoteReference w:id="14"/>
      </w:r>
      <w:r>
        <w:t xml:space="preserve"> with young people indicate that many individuals subjected to FGM/C in Malaysia are </w:t>
      </w:r>
      <w:r>
        <w:rPr>
          <w:b/>
          <w:bCs/>
        </w:rPr>
        <w:t>unaware that the procedure was performed on them in infancy or early childhood</w:t>
      </w:r>
      <w:r>
        <w:t>. In most cases, the only way they learn of this is through disclosure by parents or family members. This lack of knowledge reflects a fundamental denial of bodily autonomy and informed consent. Decisions affecting their bodies are made before they reach consciousness, with parents, religious authorities, and broader social norms exercising contro</w:t>
      </w:r>
      <w:r>
        <w:t>l over their bodily integrity.</w:t>
      </w:r>
    </w:p>
    <w:p w14:paraId="245C7E2A" w14:textId="77777777" w:rsidR="001A59C8" w:rsidRDefault="001A59C8">
      <w:pPr>
        <w:ind w:left="720"/>
        <w:jc w:val="both"/>
        <w:rPr>
          <w:highlight w:val="cyan"/>
        </w:rPr>
      </w:pPr>
    </w:p>
    <w:p w14:paraId="0B60DBE4" w14:textId="77777777" w:rsidR="001A59C8" w:rsidRDefault="002A36D5">
      <w:pPr>
        <w:numPr>
          <w:ilvl w:val="0"/>
          <w:numId w:val="1"/>
        </w:numPr>
        <w:jc w:val="both"/>
      </w:pPr>
      <w:r>
        <w:t xml:space="preserve">Many have expressed feelings of </w:t>
      </w:r>
      <w:r>
        <w:rPr>
          <w:b/>
          <w:bCs/>
        </w:rPr>
        <w:t>violation, confusion, and distress</w:t>
      </w:r>
      <w:r>
        <w:t xml:space="preserve"> upon learning later in life that their bodies were permanently altered without their knowledge or consent. These experiences underscore the profound psychological and emotional impact of FGM/C on children and young people and are incompatible with the child’s right to bodily integrity and protection from harmful practices under the CRC.</w:t>
      </w:r>
    </w:p>
    <w:p w14:paraId="1DE06A02" w14:textId="77777777" w:rsidR="001A59C8" w:rsidRDefault="001A59C8">
      <w:pPr>
        <w:jc w:val="both"/>
      </w:pPr>
    </w:p>
    <w:p w14:paraId="454FA0B3" w14:textId="77777777" w:rsidR="001A59C8" w:rsidRDefault="002A36D5">
      <w:pPr>
        <w:ind w:firstLine="720"/>
        <w:jc w:val="both"/>
        <w:rPr>
          <w:i/>
          <w:iCs/>
          <w:u w:val="single"/>
        </w:rPr>
      </w:pPr>
      <w:r>
        <w:rPr>
          <w:i/>
          <w:iCs/>
          <w:u w:val="single"/>
        </w:rPr>
        <w:t>Lack of access to comprehensive sexuality education (CSE)</w:t>
      </w:r>
    </w:p>
    <w:p w14:paraId="1AD4C1EE" w14:textId="77777777" w:rsidR="001A59C8" w:rsidRDefault="002A36D5">
      <w:pPr>
        <w:numPr>
          <w:ilvl w:val="0"/>
          <w:numId w:val="1"/>
        </w:numPr>
        <w:jc w:val="both"/>
      </w:pPr>
      <w:r>
        <w:t xml:space="preserve">Children and young people in Malaysia face significant barriers in accessing comprehensive sexuality education (CSE). Many lack basic knowledge of vulvar anatomy, making it difficult or impossible to understand whether their bodies have been altered or harmed. The </w:t>
      </w:r>
      <w:r>
        <w:rPr>
          <w:b/>
          <w:bCs/>
        </w:rPr>
        <w:t>absence of quality, gender-affirming, and rights-based information</w:t>
      </w:r>
      <w:r>
        <w:t xml:space="preserve"> prevents young people from developing an informed understanding of their own bodies and health.</w:t>
      </w:r>
    </w:p>
    <w:p w14:paraId="6F208533" w14:textId="77777777" w:rsidR="001A59C8" w:rsidRDefault="001A59C8">
      <w:pPr>
        <w:ind w:left="720"/>
        <w:jc w:val="both"/>
      </w:pPr>
    </w:p>
    <w:p w14:paraId="4DA2E924" w14:textId="77777777" w:rsidR="001A59C8" w:rsidRDefault="002A36D5">
      <w:pPr>
        <w:numPr>
          <w:ilvl w:val="0"/>
          <w:numId w:val="1"/>
        </w:numPr>
        <w:jc w:val="both"/>
      </w:pPr>
      <w:r>
        <w:t>This gap in education further compounds the invisibility of FGM/C and undermines young people’s ability to recognise violations of their rights, seek support, or access appropriate healthcare. The State’s failure to ensure access to CSE directly affects children’s capacity to exercise bodily autonomy and to realise their rights to health, information, and development.</w:t>
      </w:r>
    </w:p>
    <w:p w14:paraId="7DD6EE67" w14:textId="77777777" w:rsidR="001A59C8" w:rsidRDefault="001A59C8">
      <w:pPr>
        <w:jc w:val="both"/>
        <w:rPr>
          <w:u w:val="single"/>
        </w:rPr>
      </w:pPr>
    </w:p>
    <w:p w14:paraId="3984EDF0" w14:textId="77777777" w:rsidR="001A59C8" w:rsidRDefault="002A36D5">
      <w:pPr>
        <w:jc w:val="both"/>
      </w:pPr>
      <w:r>
        <w:rPr>
          <w:u w:val="single"/>
        </w:rPr>
        <w:t>Gendered Impacts of FGM/C on Persons Assigned Female at Birth (AFABs)</w:t>
      </w:r>
      <w:r>
        <w:rPr>
          <w:vertAlign w:val="superscript"/>
        </w:rPr>
        <w:footnoteReference w:id="15"/>
      </w:r>
    </w:p>
    <w:p w14:paraId="3BA8E83B" w14:textId="77777777" w:rsidR="001A59C8" w:rsidRDefault="001A59C8">
      <w:pPr>
        <w:jc w:val="both"/>
      </w:pPr>
    </w:p>
    <w:p w14:paraId="59E1E351" w14:textId="77777777" w:rsidR="001A59C8" w:rsidRDefault="002A36D5">
      <w:pPr>
        <w:numPr>
          <w:ilvl w:val="0"/>
          <w:numId w:val="1"/>
        </w:numPr>
        <w:jc w:val="both"/>
      </w:pPr>
      <w:r>
        <w:t xml:space="preserve">FGM/C has distinct and compounded impacts on transgender and gender-diverse young people assigned female at birth. In an interview with a young trans man, FGM/C was described as </w:t>
      </w:r>
      <w:r>
        <w:rPr>
          <w:b/>
          <w:bCs/>
        </w:rPr>
        <w:t>intensifying gender dysphoria and deepening disconnection from the body</w:t>
      </w:r>
      <w:r>
        <w:t>. In this case, the individual was informed by his mother that he had undergone medicalised female circumcision in which his inner labia and part of his clitoris were removed. This knowledge exacerbated distress related to gender identity and further complicated his relationship with femininity and his body.</w:t>
      </w:r>
    </w:p>
    <w:p w14:paraId="49DA89FE" w14:textId="77777777" w:rsidR="001A59C8" w:rsidRDefault="001A59C8">
      <w:pPr>
        <w:ind w:left="720"/>
        <w:jc w:val="both"/>
      </w:pPr>
    </w:p>
    <w:p w14:paraId="5FECC0DE" w14:textId="77777777" w:rsidR="001A59C8" w:rsidRDefault="002A36D5">
      <w:pPr>
        <w:numPr>
          <w:ilvl w:val="0"/>
          <w:numId w:val="1"/>
        </w:numPr>
        <w:jc w:val="both"/>
      </w:pPr>
      <w:r>
        <w:t>FGM/C may also create additional obstacles for transgender young people seeking gender-affirming care, including hormone replacement therapy (HRT). Physical alterations to genitalia caused by FGM/C raise concerns about how such procedures may affect desired physiological changes associated with medical transition</w:t>
      </w:r>
      <w:r>
        <w:rPr>
          <w:b/>
          <w:bCs/>
        </w:rPr>
        <w:t>. Due to the lack of research and data on the intersection between FGM/C and gender-affirming healthcare, its impact on transitioning identity remains largely unknown</w:t>
      </w:r>
      <w:r>
        <w:t>. One young trans man expressed concern that clitoral growth, a common and desired effect of testosterone therapy, may be impaired due to having undergone clitoral cutting.</w:t>
      </w:r>
    </w:p>
    <w:p w14:paraId="18AFFE8F" w14:textId="77777777" w:rsidR="001A59C8" w:rsidRDefault="001A59C8">
      <w:pPr>
        <w:jc w:val="both"/>
      </w:pPr>
    </w:p>
    <w:p w14:paraId="32C57BBB" w14:textId="77777777" w:rsidR="001A59C8" w:rsidRDefault="002A36D5">
      <w:pPr>
        <w:numPr>
          <w:ilvl w:val="0"/>
          <w:numId w:val="1"/>
        </w:numPr>
        <w:jc w:val="both"/>
      </w:pPr>
      <w:r>
        <w:t>By permitting, legitimising, and medicalising FGM/C, Malaysia fails to uphold its obligations under the Convention on the Rights of the Child to protect all children and young people from harmful practices, discrimination, and violations of bodily autonomy. These failures disproportionately affect girls and gender-diverse children, reinforcing gender inequality and undermining their rights to health, development, and identity.</w:t>
      </w:r>
    </w:p>
    <w:p w14:paraId="5D288F39" w14:textId="77777777" w:rsidR="001A59C8" w:rsidRDefault="001A59C8">
      <w:pPr>
        <w:ind w:left="720"/>
        <w:jc w:val="both"/>
      </w:pP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A59C8" w14:paraId="6454C26D" w14:textId="77777777">
        <w:tc>
          <w:tcPr>
            <w:tcW w:w="9029" w:type="dxa"/>
            <w:tcMar>
              <w:top w:w="100" w:type="dxa"/>
              <w:left w:w="100" w:type="dxa"/>
              <w:bottom w:w="100" w:type="dxa"/>
              <w:right w:w="100" w:type="dxa"/>
            </w:tcMar>
          </w:tcPr>
          <w:p w14:paraId="780B52D3" w14:textId="77777777" w:rsidR="001A59C8" w:rsidRDefault="002A36D5">
            <w:pPr>
              <w:jc w:val="both"/>
              <w:rPr>
                <w:b/>
                <w:bCs/>
              </w:rPr>
            </w:pPr>
            <w:r>
              <w:rPr>
                <w:b/>
                <w:bCs/>
              </w:rPr>
              <w:t>RECOMMENDATIONS</w:t>
            </w:r>
          </w:p>
          <w:p w14:paraId="65754FAD" w14:textId="77777777" w:rsidR="001A59C8" w:rsidRDefault="001A59C8">
            <w:pPr>
              <w:jc w:val="both"/>
            </w:pPr>
          </w:p>
          <w:p w14:paraId="607E96C2" w14:textId="77777777" w:rsidR="001A59C8" w:rsidRDefault="002A36D5">
            <w:pPr>
              <w:numPr>
                <w:ilvl w:val="0"/>
                <w:numId w:val="2"/>
              </w:numPr>
              <w:jc w:val="both"/>
            </w:pPr>
            <w:r>
              <w:t xml:space="preserve">The State should commission and support </w:t>
            </w:r>
            <w:r>
              <w:rPr>
                <w:b/>
                <w:bCs/>
              </w:rPr>
              <w:t>in-depth legal and governance analysis</w:t>
            </w:r>
            <w:r>
              <w:t xml:space="preserve"> examining the interaction between statutory law, child protection frameworks, medical regulations, and Islamic governance structures in relation to FGM/C. This analysis should identify legal gaps, inconsistencies, and areas of regulatory failure that enable the continuation and medicalisation of FGM/C, with a view to informing legislative and policy reform in line with the CRC.</w:t>
            </w:r>
            <w:r>
              <w:br/>
            </w:r>
          </w:p>
          <w:p w14:paraId="736A746E" w14:textId="77777777" w:rsidR="001A59C8" w:rsidRDefault="002A36D5">
            <w:pPr>
              <w:numPr>
                <w:ilvl w:val="0"/>
                <w:numId w:val="2"/>
              </w:numPr>
              <w:jc w:val="both"/>
            </w:pPr>
            <w:r>
              <w:t xml:space="preserve">The State should support </w:t>
            </w:r>
            <w:r>
              <w:rPr>
                <w:b/>
                <w:bCs/>
              </w:rPr>
              <w:t>community-level and practitioner-focused research</w:t>
            </w:r>
            <w:r>
              <w:t xml:space="preserve"> to examine the sociocultural drivers of FGM/C beyond broad or assumed motivations. This should include investigation into why healthcare providers continue to perform FGM/C despite ethical prohibitions and lack of medical justification, using behavioural science and public health frameworks to inform effective prevention strategies.</w:t>
            </w:r>
            <w:r>
              <w:br/>
            </w:r>
          </w:p>
          <w:p w14:paraId="560185A3" w14:textId="77777777" w:rsidR="001A59C8" w:rsidRDefault="002A36D5">
            <w:pPr>
              <w:numPr>
                <w:ilvl w:val="0"/>
                <w:numId w:val="2"/>
              </w:numPr>
              <w:jc w:val="both"/>
            </w:pPr>
            <w:r>
              <w:t xml:space="preserve">The State should adopt a </w:t>
            </w:r>
            <w:r>
              <w:rPr>
                <w:b/>
                <w:bCs/>
              </w:rPr>
              <w:t>coordinated, cross-sectoral policy approach</w:t>
            </w:r>
            <w:r>
              <w:t xml:space="preserve"> integrating health, legal, and social interventions to address FGM/C within broader strategies on harmful practices, including child marriage, and to strengthen protection of girls’ rights to bodily integrity across all jurisdictions. These measures should be aligned with Malaysia’s international reporting and implementation obligations, including under CEDAW and the UPR due in 2026.</w:t>
            </w:r>
          </w:p>
          <w:p w14:paraId="1370AACA" w14:textId="77777777" w:rsidR="001A59C8" w:rsidRDefault="001A59C8">
            <w:pPr>
              <w:widowControl w:val="0"/>
              <w:pBdr>
                <w:top w:val="nil"/>
                <w:left w:val="nil"/>
                <w:bottom w:val="nil"/>
                <w:right w:val="nil"/>
                <w:between w:val="nil"/>
              </w:pBdr>
              <w:spacing w:line="240" w:lineRule="auto"/>
            </w:pPr>
          </w:p>
        </w:tc>
      </w:tr>
    </w:tbl>
    <w:p w14:paraId="22B3AE89" w14:textId="77777777" w:rsidR="001A59C8" w:rsidRDefault="001A59C8">
      <w:pPr>
        <w:jc w:val="both"/>
        <w:rPr>
          <w:i/>
          <w:iCs/>
        </w:rPr>
      </w:pPr>
    </w:p>
    <w:p w14:paraId="623B7690" w14:textId="77777777" w:rsidR="001A59C8" w:rsidRDefault="001A59C8">
      <w:pPr>
        <w:jc w:val="both"/>
      </w:pPr>
    </w:p>
    <w:p w14:paraId="1E406661" w14:textId="77777777" w:rsidR="001A59C8" w:rsidRDefault="002A36D5">
      <w:pPr>
        <w:jc w:val="both"/>
        <w:rPr>
          <w:b/>
          <w:bCs/>
          <w:u w:val="single"/>
        </w:rPr>
      </w:pPr>
      <w:r>
        <w:rPr>
          <w:b/>
          <w:bCs/>
          <w:u w:val="single"/>
        </w:rPr>
        <w:t xml:space="preserve">ISSUE 2: Lack of statistical data, for the past three years, disaggregated by age, sex, ethnic origin, national origin, geographical location and socioeconomic status, on FGM (LOI Para 15(b)): </w:t>
      </w:r>
    </w:p>
    <w:p w14:paraId="27A45894" w14:textId="77777777" w:rsidR="001A59C8" w:rsidRDefault="001A59C8">
      <w:pPr>
        <w:jc w:val="both"/>
        <w:rPr>
          <w:b/>
          <w:bCs/>
        </w:rPr>
      </w:pPr>
    </w:p>
    <w:p w14:paraId="66E6E83A" w14:textId="77777777" w:rsidR="001A59C8" w:rsidRDefault="002A36D5">
      <w:pPr>
        <w:numPr>
          <w:ilvl w:val="0"/>
          <w:numId w:val="1"/>
        </w:numPr>
        <w:jc w:val="both"/>
      </w:pPr>
      <w:r>
        <w:t>There is no official national data on the prevalence of FGM/C in Malaysia. However, small local studies estimate that up to 93% of ethnic Malay women have undergone some form of FGM/C</w:t>
      </w:r>
      <w:r>
        <w:rPr>
          <w:vertAlign w:val="superscript"/>
        </w:rPr>
        <w:footnoteReference w:id="16"/>
      </w:r>
      <w:r>
        <w:rPr>
          <w:vertAlign w:val="superscript"/>
        </w:rPr>
        <w:t>.</w:t>
      </w:r>
      <w:r>
        <w:t xml:space="preserve"> The 2020 census indicates that Malaysia has 8.1 million female Malay-Muslim citizens. Collectively, these figures suggest that more than 7.5 million women and girls are impacted by FGM/C in Malaysia, </w:t>
      </w:r>
      <w:r>
        <w:rPr>
          <w:b/>
          <w:bCs/>
        </w:rPr>
        <w:t>making it one of the highest globally.</w:t>
      </w:r>
      <w:r>
        <w:t xml:space="preserve"> Additionally, verification of FGM/C through physical examination is often difficult, and the absence of documented long-term medical complications, reflects the lack of systematic clinical follow-up and research. </w:t>
      </w:r>
    </w:p>
    <w:p w14:paraId="4367D755" w14:textId="77777777" w:rsidR="001A59C8" w:rsidRDefault="001A59C8">
      <w:pPr>
        <w:ind w:left="720"/>
        <w:jc w:val="both"/>
      </w:pPr>
    </w:p>
    <w:p w14:paraId="01BC9EB1" w14:textId="77777777" w:rsidR="001A59C8" w:rsidRDefault="002A36D5">
      <w:pPr>
        <w:numPr>
          <w:ilvl w:val="0"/>
          <w:numId w:val="1"/>
        </w:numPr>
        <w:jc w:val="both"/>
      </w:pPr>
      <w:r>
        <w:t>The biological plausibility of harm from Malaysian forms of Type IV FGM/C, often described as needling or pricking of the external clitoris, is well established. The clitoral prepuce lies only millimetres above dense networks of nerves and blood vessels in adults</w:t>
      </w:r>
      <w:r>
        <w:rPr>
          <w:vertAlign w:val="superscript"/>
        </w:rPr>
        <w:footnoteReference w:id="17"/>
      </w:r>
      <w:r>
        <w:t xml:space="preserve">, with even smaller margins in infants. Retraction of the clitoral hood in infants is particularly difficult, increasing the risk of deeper cuts or tissue removal. Even minor lacerations may damage neurovascular structures, lead to scarring, disrupt sensory development, and alter sexual responsiveness later in life. </w:t>
      </w:r>
      <w:r>
        <w:rPr>
          <w:b/>
          <w:bCs/>
        </w:rPr>
        <w:t>The absence of longitudinal outcome studies must not be misinterpreted as evidence of harmlessness</w:t>
      </w:r>
      <w:r>
        <w:t>. Under the precautionary principle, the foreseeable risk of irreversible harm renders FGM/C med</w:t>
      </w:r>
      <w:r>
        <w:t>ically unjustifiable and incompatible with the State’s obligation to protect the health, bodily integrity, and well-being of children.</w:t>
      </w:r>
    </w:p>
    <w:p w14:paraId="3C20925D" w14:textId="77777777" w:rsidR="001A59C8" w:rsidRDefault="001A59C8">
      <w:pPr>
        <w:ind w:left="720"/>
        <w:jc w:val="both"/>
      </w:pPr>
    </w:p>
    <w:p w14:paraId="489BDE1E" w14:textId="77777777" w:rsidR="001A59C8" w:rsidRDefault="002A36D5">
      <w:pPr>
        <w:numPr>
          <w:ilvl w:val="0"/>
          <w:numId w:val="1"/>
        </w:numPr>
        <w:jc w:val="both"/>
      </w:pPr>
      <w:r>
        <w:rPr>
          <w:b/>
          <w:bCs/>
        </w:rPr>
        <w:t>Evidence on FGM/C practices among non-Malay populations is extremely limited</w:t>
      </w:r>
      <w:r>
        <w:rPr>
          <w:vertAlign w:val="superscript"/>
        </w:rPr>
        <w:footnoteReference w:id="18"/>
      </w:r>
      <w:r>
        <w:t>. Available information suggests that Orang Asli communities generally do not practise FGM/C, though some Muslim converts may adopt the practice as part of religious identity. No formal prevalence studies exist for Orang Asli or other Indigenous populations in Peninsular Malaysia, Sabah, or Sarawak, and existing accounts remain largely anecdotal. Similarly, migrant and refugee communities, who comprise nearly 9% of Malaysia’s population, are under-researched. While UNHCR data</w:t>
      </w:r>
      <w:r>
        <w:rPr>
          <w:b/>
          <w:bCs/>
          <w:vertAlign w:val="superscript"/>
        </w:rPr>
        <w:footnoteReference w:id="19"/>
      </w:r>
      <w:r>
        <w:t xml:space="preserve"> confirm the presence of large Muslim refugee populations, particularly Rohingya from Myanmar, no studies have documented FGM/C prevalence or practices within these communities. This represents a significant blind spot in child protection and public health policy.</w:t>
      </w:r>
    </w:p>
    <w:p w14:paraId="1EA4F7B2" w14:textId="77777777" w:rsidR="001A59C8" w:rsidRDefault="001A59C8">
      <w:pPr>
        <w:ind w:left="720"/>
        <w:jc w:val="both"/>
      </w:pPr>
    </w:p>
    <w:p w14:paraId="39BF367D" w14:textId="77777777" w:rsidR="001A59C8" w:rsidRDefault="002A36D5">
      <w:pPr>
        <w:numPr>
          <w:ilvl w:val="0"/>
          <w:numId w:val="1"/>
        </w:numPr>
        <w:jc w:val="both"/>
      </w:pPr>
      <w:r>
        <w:t>Despite increasing prevalence of FGM/C and medicalisation, Malaysia lacks the evidence base necessary to inform effective legal, policy, and child-protection responses. Significant research gaps remain, including the absence of systematic studies on short- and long-term health outcomes, limited anatomical and procedural research to map injury pathways, and a lack of comparative regional research - despite Malaysia’s potential to lead Southeast Asian collaboration on addressing FGM/C.</w:t>
      </w:r>
    </w:p>
    <w:p w14:paraId="779A368B" w14:textId="77777777" w:rsidR="001A59C8" w:rsidRDefault="001A59C8">
      <w:pPr>
        <w:ind w:left="720"/>
        <w:jc w:val="both"/>
      </w:pPr>
    </w:p>
    <w:p w14:paraId="722B6A3B" w14:textId="77777777" w:rsidR="001A59C8" w:rsidRDefault="002A36D5">
      <w:pPr>
        <w:numPr>
          <w:ilvl w:val="0"/>
          <w:numId w:val="1"/>
        </w:numPr>
        <w:jc w:val="both"/>
      </w:pPr>
      <w:r>
        <w:t>Survivor-centred and participatory research is urgently needed to document lived experiences, particularly as medicalisation shifts the practice to infancy and early childhood. Addressing these gaps requires coordinated, multidisciplinary research across clinical science, public health, social science, law, and religious studies. Importantly, such efforts must include migrant and refugee populations, who remain largely invisible in existing research and policy discussions.</w:t>
      </w:r>
    </w:p>
    <w:p w14:paraId="06973D77" w14:textId="77777777" w:rsidR="001A59C8" w:rsidRDefault="001A59C8">
      <w:pPr>
        <w:spacing w:after="240"/>
        <w:ind w:left="720"/>
        <w:jc w:val="both"/>
      </w:pPr>
    </w:p>
    <w:p w14:paraId="731DC496" w14:textId="77777777" w:rsidR="001A59C8" w:rsidRDefault="002A36D5">
      <w:pPr>
        <w:numPr>
          <w:ilvl w:val="0"/>
          <w:numId w:val="1"/>
        </w:numPr>
        <w:spacing w:before="240" w:after="240"/>
        <w:jc w:val="both"/>
      </w:pPr>
      <w:r>
        <w:t>Robust, disaggregated data is essential to support evidence-based policymaking, prevention strategies, and rights-based education. Therefore, strengthening the national evidence base is essential to ensuring rights-aligned, preventive, and child-centred policymaking in compliance with the CRC.</w:t>
      </w:r>
    </w:p>
    <w:p w14:paraId="580B9DD6" w14:textId="77777777" w:rsidR="001A59C8" w:rsidRDefault="001A59C8">
      <w:pPr>
        <w:jc w:val="both"/>
      </w:pPr>
    </w:p>
    <w:p w14:paraId="50B2F195" w14:textId="77777777" w:rsidR="001A59C8" w:rsidRDefault="001A59C8">
      <w:pPr>
        <w:jc w:val="both"/>
      </w:pP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A59C8" w14:paraId="77C3AEB5" w14:textId="77777777">
        <w:tc>
          <w:tcPr>
            <w:tcW w:w="9029" w:type="dxa"/>
            <w:tcMar>
              <w:top w:w="100" w:type="dxa"/>
              <w:left w:w="100" w:type="dxa"/>
              <w:bottom w:w="100" w:type="dxa"/>
              <w:right w:w="100" w:type="dxa"/>
            </w:tcMar>
          </w:tcPr>
          <w:p w14:paraId="7BEACEF8" w14:textId="77777777" w:rsidR="001A59C8" w:rsidRDefault="002A36D5">
            <w:pPr>
              <w:jc w:val="both"/>
            </w:pPr>
            <w:r>
              <w:rPr>
                <w:b/>
                <w:bCs/>
              </w:rPr>
              <w:t>RECOMMENDATIONS</w:t>
            </w:r>
            <w:r>
              <w:t xml:space="preserve"> </w:t>
            </w:r>
          </w:p>
          <w:p w14:paraId="7A130B3B" w14:textId="77777777" w:rsidR="001A59C8" w:rsidRDefault="001A59C8">
            <w:pPr>
              <w:jc w:val="both"/>
            </w:pPr>
          </w:p>
          <w:p w14:paraId="47A2E279" w14:textId="77777777" w:rsidR="001A59C8" w:rsidRDefault="002A36D5">
            <w:pPr>
              <w:numPr>
                <w:ilvl w:val="0"/>
                <w:numId w:val="3"/>
              </w:numPr>
              <w:spacing w:after="240"/>
              <w:jc w:val="both"/>
            </w:pPr>
            <w:r>
              <w:t>The State should update</w:t>
            </w:r>
            <w:r>
              <w:rPr>
                <w:b/>
                <w:bCs/>
              </w:rPr>
              <w:t xml:space="preserve"> and publish statistical data for the past three years</w:t>
            </w:r>
            <w:r>
              <w:t xml:space="preserve">, disaggregated by age, sex, ethnic and national origin, geographic location, and socioeconomic status, and table this data before Parliament. </w:t>
            </w:r>
          </w:p>
          <w:p w14:paraId="4ED72887" w14:textId="77777777" w:rsidR="001A59C8" w:rsidRDefault="002A36D5">
            <w:pPr>
              <w:numPr>
                <w:ilvl w:val="0"/>
                <w:numId w:val="3"/>
              </w:numPr>
              <w:spacing w:after="240"/>
              <w:jc w:val="both"/>
            </w:pPr>
            <w:r>
              <w:t xml:space="preserve">The State should establish a </w:t>
            </w:r>
            <w:r>
              <w:rPr>
                <w:b/>
                <w:bCs/>
              </w:rPr>
              <w:t xml:space="preserve">transparent, disaggregated national monitoring system </w:t>
            </w:r>
            <w:r>
              <w:t>to track the prevalence of FGM/C, including trends in medicalisation, age at which the procedure is performed, and involvement of healthcare providers. Data should be regularly collected, published, and used to inform prevention, accountability, and child protection policies.</w:t>
            </w:r>
          </w:p>
          <w:p w14:paraId="2F3AA473" w14:textId="77777777" w:rsidR="001A59C8" w:rsidRDefault="001A59C8">
            <w:pPr>
              <w:widowControl w:val="0"/>
              <w:pBdr>
                <w:top w:val="nil"/>
                <w:left w:val="nil"/>
                <w:bottom w:val="nil"/>
                <w:right w:val="nil"/>
                <w:between w:val="nil"/>
              </w:pBdr>
              <w:spacing w:line="240" w:lineRule="auto"/>
            </w:pPr>
          </w:p>
        </w:tc>
      </w:tr>
    </w:tbl>
    <w:p w14:paraId="29125B47" w14:textId="77777777" w:rsidR="001A59C8" w:rsidRDefault="001A59C8">
      <w:pPr>
        <w:jc w:val="both"/>
      </w:pPr>
    </w:p>
    <w:p w14:paraId="404480A5" w14:textId="77777777" w:rsidR="001A59C8" w:rsidRDefault="001A59C8">
      <w:pPr>
        <w:jc w:val="both"/>
        <w:rPr>
          <w:highlight w:val="yellow"/>
        </w:rPr>
      </w:pPr>
    </w:p>
    <w:p w14:paraId="1F080938" w14:textId="77777777" w:rsidR="001A59C8" w:rsidRDefault="001A59C8">
      <w:pPr>
        <w:jc w:val="both"/>
        <w:rPr>
          <w:highlight w:val="yellow"/>
        </w:rPr>
      </w:pPr>
    </w:p>
    <w:p w14:paraId="12566391" w14:textId="77777777" w:rsidR="001A59C8" w:rsidRDefault="001A59C8">
      <w:pPr>
        <w:jc w:val="both"/>
        <w:rPr>
          <w:highlight w:val="yellow"/>
        </w:rPr>
      </w:pPr>
    </w:p>
    <w:p w14:paraId="17366A53" w14:textId="77777777" w:rsidR="001A59C8" w:rsidRDefault="001A59C8">
      <w:pPr>
        <w:jc w:val="both"/>
        <w:rPr>
          <w:highlight w:val="yellow"/>
        </w:rPr>
      </w:pPr>
    </w:p>
    <w:p w14:paraId="1D99B1EB" w14:textId="77777777" w:rsidR="001A59C8" w:rsidRDefault="001A59C8">
      <w:pPr>
        <w:jc w:val="both"/>
        <w:rPr>
          <w:highlight w:val="yellow"/>
        </w:rPr>
      </w:pPr>
    </w:p>
    <w:p w14:paraId="2C4B4DF4" w14:textId="77777777" w:rsidR="001A59C8" w:rsidRDefault="001A59C8">
      <w:pPr>
        <w:jc w:val="both"/>
        <w:rPr>
          <w:highlight w:val="yellow"/>
        </w:rPr>
      </w:pPr>
    </w:p>
    <w:p w14:paraId="5FFA4B5A" w14:textId="77777777" w:rsidR="001A59C8" w:rsidRDefault="001A59C8">
      <w:pPr>
        <w:jc w:val="both"/>
        <w:rPr>
          <w:highlight w:val="yellow"/>
        </w:rPr>
      </w:pPr>
    </w:p>
    <w:p w14:paraId="2029A100" w14:textId="77777777" w:rsidR="001A59C8" w:rsidRDefault="001A59C8">
      <w:pPr>
        <w:jc w:val="both"/>
        <w:rPr>
          <w:highlight w:val="yellow"/>
        </w:rPr>
      </w:pPr>
    </w:p>
    <w:p w14:paraId="781246A7" w14:textId="77777777" w:rsidR="001A59C8" w:rsidRDefault="001A59C8">
      <w:pPr>
        <w:jc w:val="both"/>
        <w:rPr>
          <w:highlight w:val="yellow"/>
        </w:rPr>
      </w:pPr>
    </w:p>
    <w:p w14:paraId="702D63B6" w14:textId="77777777" w:rsidR="001A59C8" w:rsidRDefault="001A59C8">
      <w:pPr>
        <w:jc w:val="both"/>
        <w:rPr>
          <w:highlight w:val="yellow"/>
        </w:rPr>
      </w:pPr>
    </w:p>
    <w:p w14:paraId="18571E74" w14:textId="77777777" w:rsidR="001A59C8" w:rsidRDefault="001A59C8">
      <w:pPr>
        <w:jc w:val="both"/>
        <w:rPr>
          <w:highlight w:val="yellow"/>
        </w:rPr>
      </w:pPr>
    </w:p>
    <w:p w14:paraId="6137F9D1" w14:textId="77777777" w:rsidR="001A59C8" w:rsidRDefault="001A59C8">
      <w:pPr>
        <w:jc w:val="both"/>
        <w:rPr>
          <w:highlight w:val="yellow"/>
        </w:rPr>
      </w:pPr>
    </w:p>
    <w:p w14:paraId="3B77B12D" w14:textId="77777777" w:rsidR="001A59C8" w:rsidRDefault="001A59C8">
      <w:pPr>
        <w:jc w:val="both"/>
        <w:rPr>
          <w:highlight w:val="yellow"/>
        </w:rPr>
      </w:pPr>
    </w:p>
    <w:p w14:paraId="79D4D48D" w14:textId="77777777" w:rsidR="001A59C8" w:rsidRDefault="001A59C8">
      <w:pPr>
        <w:jc w:val="both"/>
        <w:rPr>
          <w:rFonts w:ascii="Calibri" w:eastAsia="Calibri" w:hAnsi="Calibri" w:cs="Calibri"/>
          <w:sz w:val="24"/>
          <w:szCs w:val="24"/>
        </w:rPr>
      </w:pPr>
    </w:p>
    <w:sectPr w:rsidR="001A59C8">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881BD" w14:textId="77777777" w:rsidR="002A36D5" w:rsidRDefault="002A36D5">
      <w:pPr>
        <w:spacing w:line="240" w:lineRule="auto"/>
      </w:pPr>
      <w:r>
        <w:separator/>
      </w:r>
    </w:p>
  </w:endnote>
  <w:endnote w:type="continuationSeparator" w:id="0">
    <w:p w14:paraId="5A773AC5" w14:textId="77777777" w:rsidR="002A36D5" w:rsidRDefault="002A36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4E1482F-7D97-4DB2-A003-F7771509B147}"/>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7033DDFE-87B6-4078-A315-6F2AEF9BBC3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F193E" w14:textId="77777777" w:rsidR="001A59C8" w:rsidRDefault="001A59C8">
    <w:pPr>
      <w:rPr>
        <w:vertAlign w:val="superscript"/>
      </w:rPr>
    </w:pPr>
  </w:p>
  <w:p w14:paraId="70981193" w14:textId="77777777" w:rsidR="001A59C8" w:rsidRDefault="001A59C8">
    <w:pPr>
      <w:rPr>
        <w:vertAlign w:val="superscript"/>
      </w:rPr>
    </w:pPr>
  </w:p>
  <w:p w14:paraId="14E71B22" w14:textId="77777777" w:rsidR="001A59C8" w:rsidRDefault="002A36D5">
    <w:pPr>
      <w:jc w:val="right"/>
      <w:rPr>
        <w:vertAlign w:val="superscript"/>
      </w:rPr>
    </w:pPr>
    <w:r>
      <w:rPr>
        <w:vertAlign w:val="superscript"/>
      </w:rPr>
      <w:fldChar w:fldCharType="begin"/>
    </w:r>
    <w:r>
      <w:rPr>
        <w:vertAlign w:val="superscript"/>
      </w:rPr>
      <w:instrText>PAGE</w:instrText>
    </w:r>
    <w:r>
      <w:rPr>
        <w:vertAlign w:val="superscript"/>
      </w:rPr>
      <w:fldChar w:fldCharType="separate"/>
    </w:r>
    <w:r>
      <w:rPr>
        <w:noProof/>
        <w:vertAlign w:val="superscript"/>
      </w:rPr>
      <w:t>1</w:t>
    </w:r>
    <w:r>
      <w:rPr>
        <w:vertAlign w:val="superscrip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11BD5" w14:textId="77777777" w:rsidR="002A36D5" w:rsidRDefault="002A36D5">
      <w:pPr>
        <w:spacing w:line="240" w:lineRule="auto"/>
      </w:pPr>
      <w:r>
        <w:separator/>
      </w:r>
    </w:p>
  </w:footnote>
  <w:footnote w:type="continuationSeparator" w:id="0">
    <w:p w14:paraId="3DE1D6EA" w14:textId="77777777" w:rsidR="002A36D5" w:rsidRDefault="002A36D5">
      <w:pPr>
        <w:spacing w:line="240" w:lineRule="auto"/>
      </w:pPr>
      <w:r>
        <w:continuationSeparator/>
      </w:r>
    </w:p>
  </w:footnote>
  <w:footnote w:id="1">
    <w:p w14:paraId="0C773F95" w14:textId="77777777" w:rsidR="001A59C8" w:rsidRDefault="002A36D5">
      <w:pPr>
        <w:spacing w:line="240" w:lineRule="auto"/>
        <w:rPr>
          <w:sz w:val="20"/>
          <w:szCs w:val="20"/>
          <w:vertAlign w:val="superscript"/>
        </w:rPr>
      </w:pPr>
      <w:r>
        <w:rPr>
          <w:vertAlign w:val="superscript"/>
        </w:rPr>
        <w:footnoteRef/>
      </w:r>
      <w:r>
        <w:rPr>
          <w:sz w:val="20"/>
          <w:szCs w:val="20"/>
          <w:vertAlign w:val="superscript"/>
        </w:rPr>
        <w:t xml:space="preserve"> Contributing organisations include ARROW Asia Pacific, SIS Forum, Monsters Among Us, Kemban Kolektif, Reproductive Health Association of Kelantan (ReHAK), University Malaya, Galen Centre for Health and Social Policy, Doctors on the Ground and Malaysian Doctors for Women &amp; Children. Compiled by Jaskirath Kaur Sohanpal and edited by Tham Hui Ying.</w:t>
      </w:r>
    </w:p>
  </w:footnote>
  <w:footnote w:id="2">
    <w:p w14:paraId="55CEF073" w14:textId="77777777" w:rsidR="001A59C8" w:rsidRDefault="002A36D5">
      <w:pPr>
        <w:spacing w:line="240" w:lineRule="auto"/>
        <w:rPr>
          <w:sz w:val="20"/>
          <w:szCs w:val="20"/>
          <w:vertAlign w:val="superscript"/>
        </w:rPr>
      </w:pPr>
      <w:r>
        <w:rPr>
          <w:vertAlign w:val="superscript"/>
        </w:rPr>
        <w:footnoteRef/>
      </w:r>
      <w:r>
        <w:rPr>
          <w:sz w:val="20"/>
          <w:szCs w:val="20"/>
          <w:vertAlign w:val="superscript"/>
        </w:rPr>
        <w:t xml:space="preserve"> Ghani AA. Amalan khatan anak perempuan dalam masyarakat Melayu. Jurnal Syariah. 1995;3(1):73-82. Accessed November 18, 2025. </w:t>
      </w:r>
      <w:hyperlink r:id="rId1">
        <w:r>
          <w:rPr>
            <w:color w:val="1155CC"/>
            <w:sz w:val="20"/>
            <w:szCs w:val="20"/>
            <w:u w:val="single"/>
            <w:vertAlign w:val="superscript"/>
          </w:rPr>
          <w:t>https://ejournal.um.edu.my/index.php/JS/article/view/28483</w:t>
        </w:r>
      </w:hyperlink>
      <w:r>
        <w:rPr>
          <w:sz w:val="20"/>
          <w:szCs w:val="20"/>
          <w:vertAlign w:val="superscript"/>
        </w:rPr>
        <w:t>;  Isa AbR, Shuib R, Othman MS. The practice of female circumcision among Muslims in Kelantan, Malaysia. Reprod Health Matters. 1999;7(13):137-144. doi:10.1016/S0968-8080(99)90125-8</w:t>
      </w:r>
    </w:p>
  </w:footnote>
  <w:footnote w:id="3">
    <w:p w14:paraId="7EEB43E4" w14:textId="77777777" w:rsidR="001A59C8" w:rsidRDefault="002A36D5">
      <w:pPr>
        <w:spacing w:line="240" w:lineRule="auto"/>
        <w:rPr>
          <w:sz w:val="20"/>
          <w:szCs w:val="20"/>
          <w:vertAlign w:val="superscript"/>
        </w:rPr>
      </w:pPr>
      <w:r>
        <w:rPr>
          <w:vertAlign w:val="superscript"/>
        </w:rPr>
        <w:footnoteRef/>
      </w:r>
      <w:r>
        <w:rPr>
          <w:sz w:val="20"/>
          <w:szCs w:val="20"/>
          <w:vertAlign w:val="superscript"/>
        </w:rPr>
        <w:t xml:space="preserve"> Rashid A, Iguchi Y, Afiqah SN. Medicalization of female genital cutting in Malaysia: A mixed methods study. PLoS Med. 2020;17(10):e1003303.</w:t>
      </w:r>
    </w:p>
  </w:footnote>
  <w:footnote w:id="4">
    <w:p w14:paraId="2298730C" w14:textId="77777777" w:rsidR="001A59C8" w:rsidRDefault="002A36D5">
      <w:pPr>
        <w:spacing w:line="240" w:lineRule="auto"/>
        <w:rPr>
          <w:sz w:val="20"/>
          <w:szCs w:val="20"/>
          <w:vertAlign w:val="superscript"/>
        </w:rPr>
      </w:pPr>
      <w:r>
        <w:rPr>
          <w:vertAlign w:val="superscript"/>
        </w:rPr>
        <w:footnoteRef/>
      </w:r>
      <w:r>
        <w:rPr>
          <w:sz w:val="20"/>
          <w:szCs w:val="20"/>
          <w:vertAlign w:val="superscript"/>
        </w:rPr>
        <w:t xml:space="preserve"> Datuk Haji Idris bin Haji Ahmad [Bagan Serai] Hansard July 2025 page 100,</w:t>
      </w:r>
    </w:p>
  </w:footnote>
  <w:footnote w:id="5">
    <w:p w14:paraId="4D825885" w14:textId="77777777" w:rsidR="001A59C8" w:rsidRDefault="002A36D5">
      <w:pPr>
        <w:spacing w:line="240" w:lineRule="auto"/>
        <w:rPr>
          <w:sz w:val="20"/>
          <w:szCs w:val="20"/>
        </w:rPr>
      </w:pPr>
      <w:r>
        <w:rPr>
          <w:vertAlign w:val="superscript"/>
        </w:rPr>
        <w:footnoteRef/>
      </w:r>
      <w:r>
        <w:rPr>
          <w:sz w:val="20"/>
          <w:szCs w:val="20"/>
        </w:rPr>
        <w:t xml:space="preserve"> </w:t>
      </w:r>
      <w:r>
        <w:rPr>
          <w:sz w:val="20"/>
          <w:szCs w:val="20"/>
          <w:vertAlign w:val="superscript"/>
        </w:rPr>
        <w:t>Country Profile Female Genital Muilation/Cutting (FGM/C) In Malaysia, ARROW Asia Pacific 2025, pg 23</w:t>
      </w:r>
    </w:p>
  </w:footnote>
  <w:footnote w:id="6">
    <w:p w14:paraId="1C8AB2E5" w14:textId="77777777" w:rsidR="001A59C8" w:rsidRDefault="002A36D5">
      <w:pPr>
        <w:spacing w:line="240" w:lineRule="auto"/>
        <w:rPr>
          <w:sz w:val="20"/>
          <w:szCs w:val="20"/>
        </w:rPr>
      </w:pPr>
      <w:r>
        <w:rPr>
          <w:vertAlign w:val="superscript"/>
        </w:rPr>
        <w:footnoteRef/>
      </w:r>
      <w:r>
        <w:rPr>
          <w:sz w:val="20"/>
          <w:szCs w:val="20"/>
        </w:rPr>
        <w:t xml:space="preserve"> </w:t>
      </w:r>
      <w:r>
        <w:rPr>
          <w:sz w:val="20"/>
          <w:szCs w:val="20"/>
          <w:vertAlign w:val="superscript"/>
        </w:rPr>
        <w:t>Ibid</w:t>
      </w:r>
    </w:p>
  </w:footnote>
  <w:footnote w:id="7">
    <w:p w14:paraId="0FFDC719" w14:textId="77777777" w:rsidR="001A59C8" w:rsidRDefault="002A36D5">
      <w:pPr>
        <w:spacing w:line="240" w:lineRule="auto"/>
        <w:rPr>
          <w:sz w:val="20"/>
          <w:szCs w:val="20"/>
        </w:rPr>
      </w:pPr>
      <w:r>
        <w:rPr>
          <w:vertAlign w:val="superscript"/>
        </w:rPr>
        <w:footnoteRef/>
      </w:r>
      <w:r>
        <w:rPr>
          <w:sz w:val="20"/>
          <w:szCs w:val="20"/>
        </w:rPr>
        <w:t xml:space="preserve"> </w:t>
      </w:r>
      <w:r>
        <w:rPr>
          <w:i/>
          <w:iCs/>
          <w:sz w:val="20"/>
          <w:szCs w:val="20"/>
          <w:vertAlign w:val="superscript"/>
        </w:rPr>
        <w:t xml:space="preserve"> </w:t>
      </w:r>
      <w:r>
        <w:rPr>
          <w:sz w:val="20"/>
          <w:szCs w:val="20"/>
          <w:vertAlign w:val="superscript"/>
        </w:rPr>
        <w:t>Supra</w:t>
      </w:r>
      <w:r>
        <w:rPr>
          <w:i/>
          <w:iCs/>
          <w:sz w:val="20"/>
          <w:szCs w:val="20"/>
          <w:vertAlign w:val="superscript"/>
        </w:rPr>
        <w:t xml:space="preserve"> </w:t>
      </w:r>
      <w:r>
        <w:rPr>
          <w:sz w:val="20"/>
          <w:szCs w:val="20"/>
          <w:vertAlign w:val="superscript"/>
        </w:rPr>
        <w:t>,Note 2 and 3</w:t>
      </w:r>
    </w:p>
  </w:footnote>
  <w:footnote w:id="8">
    <w:p w14:paraId="15CBBDA3" w14:textId="77777777" w:rsidR="001A59C8" w:rsidRDefault="002A36D5">
      <w:pPr>
        <w:spacing w:line="240" w:lineRule="auto"/>
        <w:rPr>
          <w:sz w:val="14"/>
          <w:szCs w:val="14"/>
        </w:rPr>
      </w:pPr>
      <w:r>
        <w:rPr>
          <w:vertAlign w:val="superscript"/>
        </w:rPr>
        <w:footnoteRef/>
      </w:r>
      <w:r>
        <w:rPr>
          <w:sz w:val="20"/>
          <w:szCs w:val="20"/>
        </w:rPr>
        <w:t xml:space="preserve"> </w:t>
      </w:r>
      <w:r>
        <w:rPr>
          <w:sz w:val="20"/>
          <w:szCs w:val="20"/>
          <w:vertAlign w:val="superscript"/>
        </w:rPr>
        <w:t xml:space="preserve"> Rashid A, Iguchi Y, Afiqah SN. Medicalization of female genital cutting in Malaysia: A mixed methods study. PLoS Med. 2020;17(10):e1003303..</w:t>
      </w:r>
    </w:p>
  </w:footnote>
  <w:footnote w:id="9">
    <w:p w14:paraId="4436C87E" w14:textId="77777777" w:rsidR="001A59C8" w:rsidRDefault="002A36D5">
      <w:pPr>
        <w:spacing w:line="240" w:lineRule="auto"/>
        <w:rPr>
          <w:sz w:val="20"/>
          <w:szCs w:val="20"/>
          <w:vertAlign w:val="superscript"/>
        </w:rPr>
      </w:pPr>
      <w:r>
        <w:rPr>
          <w:vertAlign w:val="superscript"/>
        </w:rPr>
        <w:footnoteRef/>
      </w:r>
      <w:r>
        <w:rPr>
          <w:sz w:val="20"/>
          <w:szCs w:val="20"/>
        </w:rPr>
        <w:t xml:space="preserve"> </w:t>
      </w:r>
      <w:r>
        <w:rPr>
          <w:sz w:val="20"/>
          <w:szCs w:val="20"/>
          <w:vertAlign w:val="superscript"/>
        </w:rPr>
        <w:t>Nazri H, Devaraja J, Arief S, Ruslan R, Azih Z, Singh A. Empowering Healthcare Professionals: Unveiling the Harms of Female Circumcision in Malaysia.; 2023</w:t>
      </w:r>
    </w:p>
  </w:footnote>
  <w:footnote w:id="10">
    <w:p w14:paraId="04B65F0C" w14:textId="77777777" w:rsidR="001A59C8" w:rsidRDefault="002A36D5">
      <w:pPr>
        <w:spacing w:line="240" w:lineRule="auto"/>
        <w:rPr>
          <w:sz w:val="20"/>
          <w:szCs w:val="20"/>
          <w:vertAlign w:val="superscript"/>
        </w:rPr>
      </w:pPr>
      <w:r>
        <w:rPr>
          <w:vertAlign w:val="superscript"/>
        </w:rPr>
        <w:footnoteRef/>
      </w:r>
      <w:r>
        <w:rPr>
          <w:sz w:val="20"/>
          <w:szCs w:val="20"/>
          <w:vertAlign w:val="superscript"/>
        </w:rPr>
        <w:t xml:space="preserve"> Malaysian Medical Council, </w:t>
      </w:r>
      <w:r>
        <w:rPr>
          <w:i/>
          <w:iCs/>
          <w:sz w:val="20"/>
          <w:szCs w:val="20"/>
          <w:vertAlign w:val="superscript"/>
        </w:rPr>
        <w:t xml:space="preserve">Code of Professional Conduct 2019 </w:t>
      </w:r>
      <w:r>
        <w:rPr>
          <w:sz w:val="20"/>
          <w:szCs w:val="20"/>
          <w:vertAlign w:val="superscript"/>
        </w:rPr>
        <w:t xml:space="preserve">at </w:t>
      </w:r>
      <w:hyperlink r:id="rId2">
        <w:r>
          <w:rPr>
            <w:color w:val="1155CC"/>
            <w:sz w:val="20"/>
            <w:szCs w:val="20"/>
            <w:u w:val="single"/>
            <w:vertAlign w:val="superscript"/>
          </w:rPr>
          <w:t>https://mmc.gov.my/wp-content/uploads/2022/04/Code-of-Professional-Conduct-2019.pdf</w:t>
        </w:r>
      </w:hyperlink>
      <w:r>
        <w:rPr>
          <w:sz w:val="20"/>
          <w:szCs w:val="20"/>
          <w:vertAlign w:val="superscript"/>
        </w:rPr>
        <w:t>, accessed on 18 November 2025</w:t>
      </w:r>
    </w:p>
  </w:footnote>
  <w:footnote w:id="11">
    <w:p w14:paraId="6368F798" w14:textId="77777777" w:rsidR="001A59C8" w:rsidRDefault="002A36D5">
      <w:pPr>
        <w:spacing w:line="240" w:lineRule="auto"/>
        <w:rPr>
          <w:sz w:val="12"/>
          <w:szCs w:val="12"/>
          <w:vertAlign w:val="superscript"/>
        </w:rPr>
      </w:pPr>
      <w:r>
        <w:rPr>
          <w:vertAlign w:val="superscript"/>
        </w:rPr>
        <w:footnoteRef/>
      </w:r>
      <w:r>
        <w:rPr>
          <w:vertAlign w:val="superscript"/>
        </w:rPr>
        <w:t xml:space="preserve"> </w:t>
      </w:r>
      <w:r>
        <w:rPr>
          <w:sz w:val="20"/>
          <w:szCs w:val="20"/>
          <w:vertAlign w:val="superscript"/>
        </w:rPr>
        <w:t xml:space="preserve">Guidelines on Aesthetic Medical Practice at </w:t>
      </w:r>
      <w:hyperlink r:id="rId3">
        <w:r>
          <w:rPr>
            <w:color w:val="1155CC"/>
            <w:sz w:val="20"/>
            <w:szCs w:val="20"/>
            <w:u w:val="single"/>
            <w:vertAlign w:val="superscript"/>
          </w:rPr>
          <w:t>https://www.moh.gov.my/moh/images/gallery/Garispanduan/GUIDELINES%20ON%20AESTHETIC%20MEDICAL%20PRACTICE%20FOR%20REGISTERED%20MEDICAL%20PRACTITIONERS.pdf</w:t>
        </w:r>
      </w:hyperlink>
      <w:r>
        <w:rPr>
          <w:sz w:val="20"/>
          <w:szCs w:val="20"/>
          <w:vertAlign w:val="superscript"/>
        </w:rPr>
        <w:t>, accesed on 18 November 2025</w:t>
      </w:r>
    </w:p>
  </w:footnote>
  <w:footnote w:id="12">
    <w:p w14:paraId="4CEF70D0" w14:textId="77777777" w:rsidR="001A59C8" w:rsidRDefault="002A36D5">
      <w:pPr>
        <w:spacing w:line="240" w:lineRule="auto"/>
        <w:rPr>
          <w:sz w:val="20"/>
          <w:szCs w:val="20"/>
          <w:vertAlign w:val="superscript"/>
        </w:rPr>
      </w:pPr>
      <w:r>
        <w:rPr>
          <w:vertAlign w:val="superscript"/>
        </w:rPr>
        <w:footnoteRef/>
      </w:r>
      <w:r>
        <w:rPr>
          <w:sz w:val="20"/>
          <w:szCs w:val="20"/>
          <w:vertAlign w:val="superscript"/>
        </w:rPr>
        <w:t xml:space="preserve"> Supra note 8 at pg16</w:t>
      </w:r>
    </w:p>
  </w:footnote>
  <w:footnote w:id="13">
    <w:p w14:paraId="18C7B94D" w14:textId="77777777" w:rsidR="001A59C8" w:rsidRDefault="002A36D5">
      <w:pPr>
        <w:spacing w:line="240" w:lineRule="auto"/>
        <w:rPr>
          <w:sz w:val="20"/>
          <w:szCs w:val="20"/>
          <w:vertAlign w:val="superscript"/>
        </w:rPr>
      </w:pPr>
      <w:r>
        <w:rPr>
          <w:vertAlign w:val="superscript"/>
        </w:rPr>
        <w:footnoteRef/>
      </w:r>
      <w:r>
        <w:rPr>
          <w:sz w:val="20"/>
          <w:szCs w:val="20"/>
          <w:vertAlign w:val="superscript"/>
        </w:rPr>
        <w:t xml:space="preserve"> Supra note 8 at pg13-14</w:t>
      </w:r>
    </w:p>
  </w:footnote>
  <w:footnote w:id="14">
    <w:p w14:paraId="411C7B5D" w14:textId="77777777" w:rsidR="001A59C8" w:rsidRDefault="002A36D5">
      <w:pPr>
        <w:spacing w:line="240" w:lineRule="auto"/>
        <w:rPr>
          <w:sz w:val="20"/>
          <w:szCs w:val="20"/>
          <w:vertAlign w:val="superscript"/>
        </w:rPr>
      </w:pPr>
      <w:r>
        <w:rPr>
          <w:vertAlign w:val="superscript"/>
        </w:rPr>
        <w:footnoteRef/>
      </w:r>
      <w:r>
        <w:rPr>
          <w:sz w:val="20"/>
          <w:szCs w:val="20"/>
          <w:vertAlign w:val="superscript"/>
        </w:rPr>
        <w:t xml:space="preserve"> Youth consultation and interview on FGM/C and young people. (Monsters Among Us (MAU), December 2025) </w:t>
      </w:r>
    </w:p>
  </w:footnote>
  <w:footnote w:id="15">
    <w:p w14:paraId="7CB5880E" w14:textId="77777777" w:rsidR="001A59C8" w:rsidRDefault="002A36D5">
      <w:pPr>
        <w:spacing w:line="240" w:lineRule="auto"/>
        <w:rPr>
          <w:sz w:val="20"/>
          <w:szCs w:val="20"/>
          <w:vertAlign w:val="superscript"/>
        </w:rPr>
      </w:pPr>
      <w:r>
        <w:rPr>
          <w:vertAlign w:val="superscript"/>
        </w:rPr>
        <w:footnoteRef/>
      </w:r>
      <w:r>
        <w:rPr>
          <w:sz w:val="20"/>
          <w:szCs w:val="20"/>
          <w:vertAlign w:val="superscript"/>
        </w:rPr>
        <w:t xml:space="preserve"> Ibid</w:t>
      </w:r>
    </w:p>
  </w:footnote>
  <w:footnote w:id="16">
    <w:p w14:paraId="5B318928" w14:textId="77777777" w:rsidR="001A59C8" w:rsidRDefault="002A36D5">
      <w:pPr>
        <w:spacing w:line="240" w:lineRule="auto"/>
        <w:rPr>
          <w:sz w:val="12"/>
          <w:szCs w:val="12"/>
          <w:vertAlign w:val="superscript"/>
        </w:rPr>
      </w:pPr>
      <w:r>
        <w:rPr>
          <w:vertAlign w:val="superscript"/>
        </w:rPr>
        <w:footnoteRef/>
      </w:r>
      <w:r>
        <w:rPr>
          <w:sz w:val="20"/>
          <w:szCs w:val="20"/>
          <w:vertAlign w:val="superscript"/>
        </w:rPr>
        <w:t xml:space="preserve"> </w:t>
      </w:r>
      <w:r>
        <w:rPr>
          <w:sz w:val="12"/>
          <w:szCs w:val="12"/>
        </w:rPr>
        <w:t xml:space="preserve">FGM/C Research Initiative, March 2024, Country Profile : FGC in Malaysia,pg 2, n.b.This estimate does not include the Orang Asli, the indigenous people of Sabah and Sarawak, refugees or non-citizens of Malaysia. </w:t>
      </w:r>
    </w:p>
  </w:footnote>
  <w:footnote w:id="17">
    <w:p w14:paraId="166797FA" w14:textId="77777777" w:rsidR="001A59C8" w:rsidRDefault="002A36D5">
      <w:pPr>
        <w:spacing w:line="240" w:lineRule="auto"/>
        <w:rPr>
          <w:sz w:val="12"/>
          <w:szCs w:val="12"/>
        </w:rPr>
      </w:pPr>
      <w:r>
        <w:rPr>
          <w:vertAlign w:val="superscript"/>
        </w:rPr>
        <w:footnoteRef/>
      </w:r>
      <w:r>
        <w:rPr>
          <w:sz w:val="20"/>
          <w:szCs w:val="20"/>
          <w:vertAlign w:val="superscript"/>
        </w:rPr>
        <w:t xml:space="preserve">  Kelling JA, Erickson CR, Pin J, Pin PG. Anatomical dissection of the dorsal nerve of the clitoris. Aesthet Surg J. 2020;40(5):541-547. doi:10.1093/asj/sjz330 </w:t>
      </w:r>
    </w:p>
  </w:footnote>
  <w:footnote w:id="18">
    <w:p w14:paraId="1F3E207F" w14:textId="77777777" w:rsidR="001A59C8" w:rsidRDefault="002A36D5">
      <w:pPr>
        <w:spacing w:line="240" w:lineRule="auto"/>
        <w:rPr>
          <w:sz w:val="14"/>
          <w:szCs w:val="14"/>
        </w:rPr>
      </w:pPr>
      <w:r>
        <w:rPr>
          <w:vertAlign w:val="superscript"/>
        </w:rPr>
        <w:footnoteRef/>
      </w:r>
      <w:r>
        <w:rPr>
          <w:sz w:val="20"/>
          <w:szCs w:val="20"/>
          <w:vertAlign w:val="superscript"/>
        </w:rPr>
        <w:t xml:space="preserve"> IARROW, Orchid Project. Country Profile: Female Genital Mutilation/ Cutting in Malaysia.; 2025.</w:t>
      </w:r>
      <w:r>
        <w:rPr>
          <w:sz w:val="14"/>
          <w:szCs w:val="14"/>
        </w:rPr>
        <w:t xml:space="preserve"> </w:t>
      </w:r>
    </w:p>
  </w:footnote>
  <w:footnote w:id="19">
    <w:p w14:paraId="2D717756" w14:textId="77777777" w:rsidR="001A59C8" w:rsidRDefault="002A36D5">
      <w:pPr>
        <w:spacing w:line="240" w:lineRule="auto"/>
        <w:rPr>
          <w:sz w:val="20"/>
          <w:szCs w:val="20"/>
          <w:vertAlign w:val="superscript"/>
        </w:rPr>
      </w:pPr>
      <w:r>
        <w:rPr>
          <w:vertAlign w:val="superscript"/>
        </w:rPr>
        <w:footnoteRef/>
      </w:r>
      <w:r>
        <w:rPr>
          <w:sz w:val="20"/>
          <w:szCs w:val="20"/>
          <w:vertAlign w:val="superscript"/>
        </w:rPr>
        <w:t xml:space="preserve"> UN IOM. IOM Malaysia Country Profile. Accessed November 24, 2025. https://www.iom.int/countries/malaysia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F2121"/>
    <w:multiLevelType w:val="multilevel"/>
    <w:tmpl w:val="7310B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295E50"/>
    <w:multiLevelType w:val="multilevel"/>
    <w:tmpl w:val="C3BA68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C872721"/>
    <w:multiLevelType w:val="multilevel"/>
    <w:tmpl w:val="CFC09DC0"/>
    <w:lvl w:ilvl="0">
      <w:start w:val="1"/>
      <w:numFmt w:val="decimal"/>
      <w:lvlText w:val="%1."/>
      <w:lvlJc w:val="left"/>
      <w:pPr>
        <w:ind w:left="72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02716300">
    <w:abstractNumId w:val="2"/>
  </w:num>
  <w:num w:numId="2" w16cid:durableId="710032207">
    <w:abstractNumId w:val="0"/>
  </w:num>
  <w:num w:numId="3" w16cid:durableId="291636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9C8"/>
    <w:rsid w:val="001A59C8"/>
    <w:rsid w:val="002A36D5"/>
    <w:rsid w:val="00CA5422"/>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998C3"/>
  <w15:docId w15:val="{F1CC04A8-BA34-473E-B265-54E25A59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paragraph" w:styleId="ListParagraph">
    <w:name w:val="List Paragraph"/>
    <w:basedOn w:val="Normal"/>
    <w:uiPriority w:val="34"/>
    <w:qFormat/>
    <w:rsid w:val="002328E9"/>
    <w:pPr>
      <w:ind w:left="720"/>
      <w:contextualSpacing/>
    </w:p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3" Type="http://schemas.openxmlformats.org/officeDocument/2006/relationships/hyperlink" Target="https://www.moh.gov.my/moh/images/gallery/Garispanduan/GUIDELINES%20ON%20AESTHETIC%20MEDICAL%20PRACTICE%20FOR%20REGISTERED%20MEDICAL%20PRACTITIONERS.pdf" TargetMode="External"/><Relationship Id="rId2" Type="http://schemas.openxmlformats.org/officeDocument/2006/relationships/hyperlink" Target="https://mmc.gov.my/wp-content/uploads/2022/04/Code-of-Professional-Conduct-2019.pdf" TargetMode="External"/><Relationship Id="rId1" Type="http://schemas.openxmlformats.org/officeDocument/2006/relationships/hyperlink" Target="https://ejournal.um.edu.my/index.php/JS/article/view/284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ZgfdXJolqiuTTjMATQqZqANaTQ==">CgMxLjA4AHIhMWhvQzlZR0MwcWpIUWVBdEFHNHlGWHpXbm5lMUJNT3pi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8</Pages>
  <Words>3013</Words>
  <Characters>17175</Characters>
  <Application>Microsoft Office Word</Application>
  <DocSecurity>0</DocSecurity>
  <Lines>143</Lines>
  <Paragraphs>40</Paragraphs>
  <ScaleCrop>false</ScaleCrop>
  <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Boit</dc:creator>
  <cp:lastModifiedBy>James Boit</cp:lastModifiedBy>
  <cp:revision>2</cp:revision>
  <dcterms:created xsi:type="dcterms:W3CDTF">2026-01-07T09:48:00Z</dcterms:created>
  <dcterms:modified xsi:type="dcterms:W3CDTF">2026-01-07T09:48:00Z</dcterms:modified>
</cp:coreProperties>
</file>