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E148AD" w14:textId="7B56819E" w:rsidR="00257383" w:rsidRPr="008D5B26" w:rsidRDefault="00DA6659" w:rsidP="00460BFF">
      <w:pPr>
        <w:ind w:right="-1"/>
        <w:jc w:val="both"/>
        <w:rPr>
          <w:b/>
          <w:color w:val="808080" w:themeColor="background1" w:themeShade="80"/>
          <w:sz w:val="36"/>
          <w:szCs w:val="36"/>
          <w:lang w:val="en-GB"/>
        </w:rPr>
      </w:pPr>
      <w:r w:rsidRPr="008D5B26">
        <w:rPr>
          <w:b/>
          <w:color w:val="808080" w:themeColor="background1" w:themeShade="80"/>
          <w:sz w:val="36"/>
          <w:szCs w:val="36"/>
          <w:lang w:val="en-GB"/>
        </w:rPr>
        <w:t xml:space="preserve">Dialogue with the Committee on Enforced </w:t>
      </w:r>
      <w:r w:rsidR="00953478" w:rsidRPr="008D5B26">
        <w:rPr>
          <w:b/>
          <w:color w:val="808080" w:themeColor="background1" w:themeShade="80"/>
          <w:sz w:val="36"/>
          <w:szCs w:val="36"/>
          <w:lang w:val="en-GB"/>
        </w:rPr>
        <w:t>Disappearances</w:t>
      </w:r>
    </w:p>
    <w:p w14:paraId="4742C32D" w14:textId="5866F807" w:rsidR="00DA6659" w:rsidRPr="008D5B26" w:rsidRDefault="00953478" w:rsidP="00460BFF">
      <w:pPr>
        <w:ind w:right="-1"/>
        <w:jc w:val="both"/>
        <w:rPr>
          <w:b/>
          <w:color w:val="808080" w:themeColor="background1" w:themeShade="80"/>
          <w:sz w:val="36"/>
          <w:szCs w:val="36"/>
          <w:lang w:val="en-GB"/>
        </w:rPr>
      </w:pPr>
      <w:r w:rsidRPr="008D5B26">
        <w:rPr>
          <w:b/>
          <w:color w:val="808080" w:themeColor="background1" w:themeShade="80"/>
          <w:sz w:val="36"/>
          <w:szCs w:val="36"/>
          <w:lang w:val="en-GB"/>
        </w:rPr>
        <w:t>Malta – Opening Remarks by Dr. Fiorella Fenech Vella</w:t>
      </w:r>
    </w:p>
    <w:p w14:paraId="065BFD89" w14:textId="5440368D" w:rsidR="001E24E4" w:rsidRPr="008D5B26" w:rsidRDefault="001E24E4" w:rsidP="00460BFF">
      <w:pPr>
        <w:ind w:right="-1"/>
        <w:jc w:val="both"/>
        <w:rPr>
          <w:b/>
          <w:color w:val="808080" w:themeColor="background1" w:themeShade="80"/>
          <w:sz w:val="36"/>
          <w:szCs w:val="36"/>
          <w:lang w:val="en-GB"/>
        </w:rPr>
      </w:pPr>
      <w:r w:rsidRPr="008D5B26">
        <w:rPr>
          <w:b/>
          <w:color w:val="808080" w:themeColor="background1" w:themeShade="80"/>
          <w:sz w:val="36"/>
          <w:szCs w:val="36"/>
          <w:lang w:val="en-GB"/>
        </w:rPr>
        <w:t>Head of Delegation</w:t>
      </w:r>
    </w:p>
    <w:p w14:paraId="5C61906B" w14:textId="77777777" w:rsidR="001E24E4" w:rsidRPr="008D5B26" w:rsidRDefault="001E24E4" w:rsidP="00460BFF">
      <w:pPr>
        <w:ind w:right="-1"/>
        <w:jc w:val="both"/>
        <w:rPr>
          <w:b/>
          <w:color w:val="808080" w:themeColor="background1" w:themeShade="80"/>
          <w:sz w:val="36"/>
          <w:szCs w:val="36"/>
          <w:lang w:val="en-GB"/>
        </w:rPr>
      </w:pPr>
    </w:p>
    <w:p w14:paraId="0C7EBD1E" w14:textId="76B6C8B6" w:rsidR="00460BFF" w:rsidRPr="008D5B26" w:rsidRDefault="00953478" w:rsidP="00460BFF">
      <w:pPr>
        <w:ind w:right="-1"/>
        <w:jc w:val="both"/>
        <w:rPr>
          <w:b/>
          <w:color w:val="808080" w:themeColor="background1" w:themeShade="80"/>
          <w:sz w:val="36"/>
          <w:szCs w:val="36"/>
          <w:lang w:val="en-GB"/>
        </w:rPr>
      </w:pPr>
      <w:r w:rsidRPr="008D5B26">
        <w:rPr>
          <w:b/>
          <w:color w:val="808080" w:themeColor="background1" w:themeShade="80"/>
          <w:sz w:val="36"/>
          <w:szCs w:val="36"/>
          <w:lang w:val="en-GB"/>
        </w:rPr>
        <w:t>24</w:t>
      </w:r>
      <w:r w:rsidR="00E05870" w:rsidRPr="008D5B26">
        <w:rPr>
          <w:b/>
          <w:color w:val="808080" w:themeColor="background1" w:themeShade="80"/>
          <w:sz w:val="36"/>
          <w:szCs w:val="36"/>
          <w:vertAlign w:val="superscript"/>
          <w:lang w:val="en-GB"/>
        </w:rPr>
        <w:t>th</w:t>
      </w:r>
      <w:r w:rsidR="00E05870" w:rsidRPr="008D5B26">
        <w:rPr>
          <w:b/>
          <w:color w:val="808080" w:themeColor="background1" w:themeShade="80"/>
          <w:sz w:val="36"/>
          <w:szCs w:val="36"/>
          <w:lang w:val="en-GB"/>
        </w:rPr>
        <w:t xml:space="preserve"> March 2025</w:t>
      </w:r>
      <w:r w:rsidR="007A1F76" w:rsidRPr="008D5B26">
        <w:rPr>
          <w:b/>
          <w:color w:val="808080" w:themeColor="background1" w:themeShade="80"/>
          <w:sz w:val="36"/>
          <w:szCs w:val="36"/>
          <w:lang w:val="en-GB"/>
        </w:rPr>
        <w:t xml:space="preserve"> </w:t>
      </w:r>
    </w:p>
    <w:p w14:paraId="195662D5" w14:textId="679FF0B0" w:rsidR="00161F59" w:rsidRPr="008D5B26" w:rsidRDefault="001A275B" w:rsidP="00460BFF">
      <w:pPr>
        <w:ind w:right="-1"/>
        <w:jc w:val="both"/>
        <w:rPr>
          <w:rFonts w:cs="Arial"/>
          <w:b/>
          <w:color w:val="808080" w:themeColor="background1" w:themeShade="80"/>
          <w:sz w:val="36"/>
          <w:lang w:val="en-GB"/>
        </w:rPr>
      </w:pPr>
      <w:r w:rsidRPr="008D5B26">
        <w:rPr>
          <w:b/>
          <w:color w:val="808080" w:themeColor="background1" w:themeShade="80"/>
          <w:sz w:val="36"/>
          <w:szCs w:val="36"/>
          <w:lang w:val="en-GB"/>
        </w:rPr>
        <w:t xml:space="preserve"> </w:t>
      </w:r>
    </w:p>
    <w:p w14:paraId="1F653949" w14:textId="77777777" w:rsidR="00161F59" w:rsidRPr="008D5B26" w:rsidRDefault="00161F59" w:rsidP="009A3B47">
      <w:pPr>
        <w:pBdr>
          <w:bottom w:val="single" w:sz="12" w:space="1" w:color="auto"/>
        </w:pBdr>
        <w:ind w:right="-1"/>
        <w:rPr>
          <w:rFonts w:cs="Arial"/>
          <w:color w:val="818285"/>
          <w:sz w:val="21"/>
          <w:szCs w:val="20"/>
          <w:lang w:val="en-GB"/>
        </w:rPr>
      </w:pPr>
    </w:p>
    <w:p w14:paraId="5627BF4F" w14:textId="652622A8" w:rsidR="00161F59" w:rsidRPr="008D5B26" w:rsidRDefault="00161F59" w:rsidP="00973C4B">
      <w:pPr>
        <w:ind w:right="-1"/>
        <w:rPr>
          <w:color w:val="818285"/>
          <w:sz w:val="20"/>
          <w:szCs w:val="20"/>
          <w:lang w:val="en-GB"/>
        </w:rPr>
      </w:pPr>
    </w:p>
    <w:p w14:paraId="77F1B5CF" w14:textId="77777777" w:rsidR="00CE3CD8" w:rsidRPr="008D5B26" w:rsidRDefault="00CE3CD8" w:rsidP="00CE3CD8">
      <w:pPr>
        <w:spacing w:line="360" w:lineRule="auto"/>
        <w:jc w:val="right"/>
        <w:rPr>
          <w:i/>
          <w:color w:val="000000" w:themeColor="text1"/>
          <w:sz w:val="22"/>
          <w:szCs w:val="22"/>
          <w:u w:val="single"/>
          <w:lang w:val="en-GB"/>
        </w:rPr>
      </w:pPr>
      <w:r w:rsidRPr="008D5B26">
        <w:rPr>
          <w:i/>
          <w:color w:val="000000" w:themeColor="text1"/>
          <w:sz w:val="22"/>
          <w:szCs w:val="22"/>
          <w:u w:val="single"/>
          <w:lang w:val="en-GB"/>
        </w:rPr>
        <w:t>Check against delivery</w:t>
      </w:r>
    </w:p>
    <w:p w14:paraId="2B253761" w14:textId="05ACAFEE" w:rsidR="00CE3CD8" w:rsidRPr="008D5B26" w:rsidRDefault="00CE3CD8" w:rsidP="00CE3CD8">
      <w:pPr>
        <w:jc w:val="both"/>
        <w:rPr>
          <w:lang w:val="en-GB"/>
        </w:rPr>
      </w:pPr>
    </w:p>
    <w:p w14:paraId="393AC2FF" w14:textId="17DA0690" w:rsidR="008D5B26" w:rsidRDefault="008D5B26" w:rsidP="008D5B26">
      <w:pPr>
        <w:spacing w:line="360" w:lineRule="auto"/>
        <w:jc w:val="both"/>
        <w:rPr>
          <w:sz w:val="28"/>
          <w:szCs w:val="28"/>
          <w:lang w:val="en-GB"/>
        </w:rPr>
      </w:pPr>
      <w:r w:rsidRPr="008D5B26">
        <w:rPr>
          <w:sz w:val="28"/>
          <w:szCs w:val="28"/>
          <w:lang w:val="en-GB"/>
        </w:rPr>
        <w:t xml:space="preserve">Distinguished Chairman – Monsieur Olivier de </w:t>
      </w:r>
      <w:proofErr w:type="spellStart"/>
      <w:r w:rsidRPr="008D5B26">
        <w:rPr>
          <w:sz w:val="28"/>
          <w:szCs w:val="28"/>
          <w:lang w:val="en-GB"/>
        </w:rPr>
        <w:t>Frouville</w:t>
      </w:r>
      <w:proofErr w:type="spellEnd"/>
      <w:r w:rsidRPr="008D5B26">
        <w:rPr>
          <w:sz w:val="28"/>
          <w:szCs w:val="28"/>
          <w:lang w:val="en-GB"/>
        </w:rPr>
        <w:t>, esteemed members of the Committee,</w:t>
      </w:r>
    </w:p>
    <w:p w14:paraId="3C32251A" w14:textId="77777777" w:rsidR="00E56E7A" w:rsidRPr="008D5B26" w:rsidRDefault="00E56E7A" w:rsidP="008D5B26">
      <w:pPr>
        <w:spacing w:line="360" w:lineRule="auto"/>
        <w:jc w:val="both"/>
        <w:rPr>
          <w:sz w:val="28"/>
          <w:szCs w:val="28"/>
          <w:lang w:val="en-GB"/>
        </w:rPr>
      </w:pPr>
    </w:p>
    <w:p w14:paraId="1E5771D4" w14:textId="77777777" w:rsidR="008D5B26" w:rsidRPr="008D5B26" w:rsidRDefault="008D5B26" w:rsidP="008D5B26">
      <w:pPr>
        <w:spacing w:line="360" w:lineRule="auto"/>
        <w:jc w:val="both"/>
        <w:rPr>
          <w:sz w:val="28"/>
          <w:szCs w:val="28"/>
          <w:lang w:val="en-GB"/>
        </w:rPr>
      </w:pPr>
      <w:r w:rsidRPr="008D5B26">
        <w:rPr>
          <w:sz w:val="28"/>
          <w:szCs w:val="28"/>
          <w:lang w:val="en-GB"/>
        </w:rPr>
        <w:t xml:space="preserve">I am honoured to lead Malta’s delegation to this dialogue with this esteemed Committee during its 28th session. It provides our delegation with an opportunity to reaffirm Malta's unwavering commitment to the Convention and our unwavering support to the Human Rights Treaty Bodies. </w:t>
      </w:r>
    </w:p>
    <w:p w14:paraId="6DB02652" w14:textId="77777777" w:rsidR="008D5B26" w:rsidRPr="008D5B26" w:rsidRDefault="008D5B26" w:rsidP="008D5B26">
      <w:pPr>
        <w:spacing w:line="360" w:lineRule="auto"/>
        <w:jc w:val="both"/>
        <w:rPr>
          <w:sz w:val="28"/>
          <w:szCs w:val="28"/>
          <w:lang w:val="en-GB"/>
        </w:rPr>
      </w:pPr>
    </w:p>
    <w:p w14:paraId="1BB6868B" w14:textId="77777777" w:rsidR="008D5B26" w:rsidRPr="008D5B26" w:rsidRDefault="008D5B26" w:rsidP="008D5B26">
      <w:pPr>
        <w:spacing w:line="360" w:lineRule="auto"/>
        <w:jc w:val="both"/>
        <w:rPr>
          <w:sz w:val="28"/>
          <w:szCs w:val="28"/>
          <w:lang w:val="en-GB"/>
        </w:rPr>
      </w:pPr>
      <w:r w:rsidRPr="008D5B26">
        <w:rPr>
          <w:sz w:val="28"/>
          <w:szCs w:val="28"/>
          <w:lang w:val="en-GB"/>
        </w:rPr>
        <w:t xml:space="preserve">Malta has consistently viewed enforced disappearance as a crime against humanity even before our accession to the International Convention for the Protection of All Persons from Enforced Disappearances on 27th March 2015. Malta recognises that enforced disappearances constitute crimes under customary international law and that such actions amount to torture, inhuman and degrading treatment, thus also violating the provisions of the 1984 Convention Against Torture and Other Cruel, Inhuman or Degrading Treatment or Punishment, which Malta ratified on 13th September 1990. This aligns with the </w:t>
      </w:r>
      <w:proofErr w:type="spellStart"/>
      <w:r w:rsidRPr="008D5B26">
        <w:rPr>
          <w:i/>
          <w:iCs/>
          <w:sz w:val="28"/>
          <w:szCs w:val="28"/>
          <w:lang w:val="en-GB"/>
        </w:rPr>
        <w:t>aut</w:t>
      </w:r>
      <w:proofErr w:type="spellEnd"/>
      <w:r w:rsidRPr="008D5B26">
        <w:rPr>
          <w:i/>
          <w:iCs/>
          <w:sz w:val="28"/>
          <w:szCs w:val="28"/>
          <w:lang w:val="en-GB"/>
        </w:rPr>
        <w:t xml:space="preserve"> </w:t>
      </w:r>
      <w:proofErr w:type="spellStart"/>
      <w:r w:rsidRPr="008D5B26">
        <w:rPr>
          <w:i/>
          <w:iCs/>
          <w:sz w:val="28"/>
          <w:szCs w:val="28"/>
          <w:lang w:val="en-GB"/>
        </w:rPr>
        <w:t>dedere</w:t>
      </w:r>
      <w:proofErr w:type="spellEnd"/>
      <w:r w:rsidRPr="008D5B26">
        <w:rPr>
          <w:i/>
          <w:iCs/>
          <w:sz w:val="28"/>
          <w:szCs w:val="28"/>
          <w:lang w:val="en-GB"/>
        </w:rPr>
        <w:t xml:space="preserve"> </w:t>
      </w:r>
      <w:proofErr w:type="spellStart"/>
      <w:r w:rsidRPr="008D5B26">
        <w:rPr>
          <w:i/>
          <w:iCs/>
          <w:sz w:val="28"/>
          <w:szCs w:val="28"/>
          <w:lang w:val="en-GB"/>
        </w:rPr>
        <w:t>aut</w:t>
      </w:r>
      <w:proofErr w:type="spellEnd"/>
      <w:r w:rsidRPr="008D5B26">
        <w:rPr>
          <w:i/>
          <w:iCs/>
          <w:sz w:val="28"/>
          <w:szCs w:val="28"/>
          <w:lang w:val="en-GB"/>
        </w:rPr>
        <w:t xml:space="preserve"> </w:t>
      </w:r>
      <w:proofErr w:type="spellStart"/>
      <w:r w:rsidRPr="008D5B26">
        <w:rPr>
          <w:i/>
          <w:iCs/>
          <w:sz w:val="28"/>
          <w:szCs w:val="28"/>
          <w:lang w:val="en-GB"/>
        </w:rPr>
        <w:t>iudicare</w:t>
      </w:r>
      <w:proofErr w:type="spellEnd"/>
      <w:r w:rsidRPr="008D5B26">
        <w:rPr>
          <w:sz w:val="28"/>
          <w:szCs w:val="28"/>
          <w:lang w:val="en-GB"/>
        </w:rPr>
        <w:t xml:space="preserve"> principle of international law. Moreover, Malta has classified enforced disappearances as inhumane acts under the umbrella provision of crimes against humanity since its independence in 1964.</w:t>
      </w:r>
    </w:p>
    <w:p w14:paraId="445442A3" w14:textId="77777777" w:rsidR="008D5B26" w:rsidRPr="008D5B26" w:rsidRDefault="008D5B26" w:rsidP="008D5B26">
      <w:pPr>
        <w:spacing w:line="360" w:lineRule="auto"/>
        <w:jc w:val="both"/>
        <w:rPr>
          <w:sz w:val="28"/>
          <w:szCs w:val="28"/>
          <w:lang w:val="en-GB"/>
        </w:rPr>
      </w:pPr>
      <w:r w:rsidRPr="008D5B26">
        <w:rPr>
          <w:sz w:val="28"/>
          <w:szCs w:val="28"/>
          <w:lang w:val="en-GB"/>
        </w:rPr>
        <w:lastRenderedPageBreak/>
        <w:t>Enforced disappearance constitutes a profound violation of human rights that continues to afflict countless individuals and their societies worldwide. This abhorrent practice, where individuals are forcibly taken against their will—typically by state agents or with their tacit approval—results in devastated families, fragmented communities, and a national moral crisis, violating individuals’ human rights including the right to life, liberty, fair trial, family life, and protection against torture or inhuman or degrading treatment, among others. Protection of these principles have been enshrined in our laws for decades.</w:t>
      </w:r>
    </w:p>
    <w:p w14:paraId="36A03EF5" w14:textId="77777777" w:rsidR="008D5B26" w:rsidRPr="008D5B26" w:rsidRDefault="008D5B26" w:rsidP="008D5B26">
      <w:pPr>
        <w:spacing w:line="360" w:lineRule="auto"/>
        <w:jc w:val="both"/>
        <w:rPr>
          <w:sz w:val="28"/>
          <w:szCs w:val="28"/>
          <w:lang w:val="en-GB"/>
        </w:rPr>
      </w:pPr>
    </w:p>
    <w:p w14:paraId="6F8D2D45" w14:textId="77777777" w:rsidR="008D5B26" w:rsidRDefault="008D5B26" w:rsidP="008D5B26">
      <w:pPr>
        <w:spacing w:line="360" w:lineRule="auto"/>
        <w:jc w:val="both"/>
        <w:rPr>
          <w:sz w:val="28"/>
          <w:szCs w:val="28"/>
          <w:lang w:val="en-GB"/>
        </w:rPr>
      </w:pPr>
      <w:r w:rsidRPr="008D5B26">
        <w:rPr>
          <w:sz w:val="28"/>
          <w:szCs w:val="28"/>
          <w:lang w:val="en-GB"/>
        </w:rPr>
        <w:t xml:space="preserve">Malta has significantly contributed to the progressive development of international criminal law.  Malta was also among the first 60 states that ratified the Rome Statute of the International Criminal Court, playing a pivotal role in ensuring its entry into force. </w:t>
      </w:r>
    </w:p>
    <w:p w14:paraId="634D7368" w14:textId="77777777" w:rsidR="00262FCD" w:rsidRPr="008D5B26" w:rsidRDefault="00262FCD" w:rsidP="008D5B26">
      <w:pPr>
        <w:spacing w:line="360" w:lineRule="auto"/>
        <w:jc w:val="both"/>
        <w:rPr>
          <w:sz w:val="28"/>
          <w:szCs w:val="28"/>
          <w:lang w:val="en-GB"/>
        </w:rPr>
      </w:pPr>
    </w:p>
    <w:p w14:paraId="160EA9E7" w14:textId="7E539702" w:rsidR="008D5B26" w:rsidRPr="008D5B26" w:rsidRDefault="00E31D3B" w:rsidP="008D5B26">
      <w:pPr>
        <w:spacing w:line="360" w:lineRule="auto"/>
        <w:jc w:val="both"/>
        <w:rPr>
          <w:sz w:val="28"/>
          <w:szCs w:val="28"/>
          <w:lang w:val="en-GB"/>
        </w:rPr>
      </w:pPr>
      <w:r>
        <w:rPr>
          <w:sz w:val="28"/>
          <w:szCs w:val="28"/>
          <w:lang w:val="en-GB"/>
        </w:rPr>
        <w:t xml:space="preserve">In its capacity </w:t>
      </w:r>
      <w:r w:rsidR="00196469">
        <w:rPr>
          <w:sz w:val="28"/>
          <w:szCs w:val="28"/>
          <w:lang w:val="en-GB"/>
        </w:rPr>
        <w:t>as EU Presidency</w:t>
      </w:r>
      <w:r w:rsidR="000A6460">
        <w:rPr>
          <w:sz w:val="28"/>
          <w:szCs w:val="28"/>
          <w:lang w:val="en-GB"/>
        </w:rPr>
        <w:t xml:space="preserve"> in the first half of 2017</w:t>
      </w:r>
      <w:r w:rsidR="008D5B26" w:rsidRPr="008D5B26">
        <w:rPr>
          <w:sz w:val="28"/>
          <w:szCs w:val="28"/>
          <w:lang w:val="en-GB"/>
        </w:rPr>
        <w:t xml:space="preserve">, Malta actively sought to consolidate the text of the Rome Statute and its underlying principles, especially the Doctrine of Individual Criminal Responsibility, while facilitating cooperation between those State Parties which ratified the Rome Statute and the International Criminal Court. </w:t>
      </w:r>
    </w:p>
    <w:p w14:paraId="4C86BE3C" w14:textId="77777777" w:rsidR="008D5B26" w:rsidRPr="008D5B26" w:rsidRDefault="008D5B26" w:rsidP="008D5B26">
      <w:pPr>
        <w:spacing w:line="360" w:lineRule="auto"/>
        <w:jc w:val="both"/>
        <w:rPr>
          <w:sz w:val="28"/>
          <w:szCs w:val="28"/>
          <w:lang w:val="en-GB"/>
        </w:rPr>
      </w:pPr>
    </w:p>
    <w:p w14:paraId="4B98C3E1" w14:textId="77777777" w:rsidR="008D5B26" w:rsidRPr="008D5B26" w:rsidRDefault="008D5B26" w:rsidP="008D5B26">
      <w:pPr>
        <w:spacing w:line="360" w:lineRule="auto"/>
        <w:jc w:val="both"/>
        <w:rPr>
          <w:sz w:val="28"/>
          <w:szCs w:val="28"/>
          <w:lang w:val="en-GB"/>
        </w:rPr>
      </w:pPr>
      <w:r w:rsidRPr="008D5B26">
        <w:rPr>
          <w:sz w:val="28"/>
          <w:szCs w:val="28"/>
          <w:lang w:val="en-GB"/>
        </w:rPr>
        <w:t xml:space="preserve">Malta has consistently demonstrated its commitment to promoting human rights and the rule of law. As a signatory to this Convention, we hold its principles in high regard. </w:t>
      </w:r>
      <w:r w:rsidRPr="00172277">
        <w:rPr>
          <w:sz w:val="28"/>
          <w:szCs w:val="28"/>
          <w:highlight w:val="cyan"/>
          <w:lang w:val="en-GB"/>
        </w:rPr>
        <w:t>In addition to the international instruments ratified by Malta as listed on pages 4 to 5 of our Report</w:t>
      </w:r>
      <w:r w:rsidRPr="008D5B26">
        <w:rPr>
          <w:sz w:val="28"/>
          <w:szCs w:val="28"/>
          <w:lang w:val="en-GB"/>
        </w:rPr>
        <w:t xml:space="preserve">, which instruments provide measures for the prevention of enforced disappearances, </w:t>
      </w:r>
      <w:r w:rsidRPr="00172277">
        <w:rPr>
          <w:sz w:val="28"/>
          <w:szCs w:val="28"/>
          <w:highlight w:val="cyan"/>
          <w:lang w:val="en-GB"/>
        </w:rPr>
        <w:t xml:space="preserve">Malta was among the first 34 countries to sign the Ljubljana-Hague Convention on prosecuting war crimes and genocide </w:t>
      </w:r>
      <w:r w:rsidRPr="00172277">
        <w:rPr>
          <w:sz w:val="28"/>
          <w:szCs w:val="28"/>
          <w:highlight w:val="cyan"/>
          <w:lang w:val="en-GB"/>
        </w:rPr>
        <w:lastRenderedPageBreak/>
        <w:t>in February of last year</w:t>
      </w:r>
      <w:r w:rsidRPr="008D5B26">
        <w:rPr>
          <w:sz w:val="28"/>
          <w:szCs w:val="28"/>
          <w:lang w:val="en-GB"/>
        </w:rPr>
        <w:t>. This landmark international treaty will help deliver justice to victims of genocide, crimes against humanity, war crimes, and other international offences, thereby facilitating effective international cooperation in domestic investigations and prosecutions. This empowers national justice systems and states to fulfil their international legal obligations in the fight against impunity for international crimes.</w:t>
      </w:r>
    </w:p>
    <w:p w14:paraId="00C4F6C3" w14:textId="77777777" w:rsidR="008D5B26" w:rsidRPr="008D5B26" w:rsidRDefault="008D5B26" w:rsidP="008D5B26">
      <w:pPr>
        <w:spacing w:line="360" w:lineRule="auto"/>
        <w:jc w:val="both"/>
        <w:rPr>
          <w:sz w:val="28"/>
          <w:szCs w:val="28"/>
          <w:lang w:val="en-GB"/>
        </w:rPr>
      </w:pPr>
    </w:p>
    <w:p w14:paraId="3E9F7B16" w14:textId="77777777" w:rsidR="008D5B26" w:rsidRPr="008D5B26" w:rsidRDefault="008D5B26" w:rsidP="008D5B26">
      <w:pPr>
        <w:spacing w:line="360" w:lineRule="auto"/>
        <w:jc w:val="both"/>
        <w:rPr>
          <w:sz w:val="28"/>
          <w:szCs w:val="28"/>
          <w:lang w:val="en-GB"/>
        </w:rPr>
      </w:pPr>
      <w:r w:rsidRPr="008D5B26">
        <w:rPr>
          <w:sz w:val="28"/>
          <w:szCs w:val="28"/>
          <w:lang w:val="en-GB"/>
        </w:rPr>
        <w:t xml:space="preserve">The Report submitted by Malta in 2022 to this esteemed Committee details the evolution of human rights in Malta. Since the establishment of Malta as an independent state on the </w:t>
      </w:r>
      <w:proofErr w:type="gramStart"/>
      <w:r w:rsidRPr="008D5B26">
        <w:rPr>
          <w:sz w:val="28"/>
          <w:szCs w:val="28"/>
          <w:lang w:val="en-GB"/>
        </w:rPr>
        <w:t>21st</w:t>
      </w:r>
      <w:proofErr w:type="gramEnd"/>
      <w:r w:rsidRPr="008D5B26">
        <w:rPr>
          <w:sz w:val="28"/>
          <w:szCs w:val="28"/>
          <w:lang w:val="en-GB"/>
        </w:rPr>
        <w:t xml:space="preserve"> September 1964, through the entry into force of the 1964 Constitution on the same day, a comprehensive, judicially enforceable Bill of Rights was enacted in Chapter IV of the Constitution, incorporating principles derived from the European Convention on Human Rights.</w:t>
      </w:r>
    </w:p>
    <w:p w14:paraId="4295E078" w14:textId="77777777" w:rsidR="008D5B26" w:rsidRPr="008D5B26" w:rsidRDefault="008D5B26" w:rsidP="008D5B26">
      <w:pPr>
        <w:spacing w:line="360" w:lineRule="auto"/>
        <w:jc w:val="both"/>
        <w:rPr>
          <w:sz w:val="28"/>
          <w:szCs w:val="28"/>
          <w:lang w:val="en-GB"/>
        </w:rPr>
      </w:pPr>
    </w:p>
    <w:p w14:paraId="0741C77F" w14:textId="77777777" w:rsidR="008D5B26" w:rsidRPr="008D5B26" w:rsidRDefault="008D5B26" w:rsidP="008D5B26">
      <w:pPr>
        <w:spacing w:line="360" w:lineRule="auto"/>
        <w:jc w:val="both"/>
        <w:rPr>
          <w:sz w:val="28"/>
          <w:szCs w:val="28"/>
          <w:lang w:val="en-GB"/>
        </w:rPr>
      </w:pPr>
      <w:r w:rsidRPr="008D5B26">
        <w:rPr>
          <w:sz w:val="28"/>
          <w:szCs w:val="28"/>
          <w:lang w:val="en-GB"/>
        </w:rPr>
        <w:t>Key rights enshrined in the Constitution include, foremost among them, the right to life, protection against arbitrary arrest or detention, safeguarding against inhuman treatment, respect for the privacy of home and property, the right to a fair hearing, prohibition against deportation, protection of freedom of movement, safeguards for privacy, and the right to a fair trial, amongst others.</w:t>
      </w:r>
    </w:p>
    <w:p w14:paraId="018F1813" w14:textId="77777777" w:rsidR="008D5B26" w:rsidRDefault="008D5B26" w:rsidP="008D5B26">
      <w:pPr>
        <w:spacing w:line="360" w:lineRule="auto"/>
        <w:jc w:val="both"/>
        <w:rPr>
          <w:sz w:val="28"/>
          <w:szCs w:val="28"/>
          <w:lang w:val="en-GB"/>
        </w:rPr>
      </w:pPr>
      <w:r w:rsidRPr="008D5B26">
        <w:rPr>
          <w:sz w:val="28"/>
          <w:szCs w:val="28"/>
          <w:lang w:val="en-GB"/>
        </w:rPr>
        <w:t>The Maltese Constitution, specifically Article 34, and the European Convention Act both underscore the importance of personal liberty, stipulating that detention may only occur under lawful conditions. Detainees must be presented promptly before a judicial authority, with a guaranteed right to trial or release. The International Criminal Court (ICC) Act (Chapter 453 of the Laws of Malta) has incorporated international crimes, including enforced disappearances categorised as crimes against humanity, into our law, both in Article 7(1)(</w:t>
      </w:r>
      <w:proofErr w:type="spellStart"/>
      <w:r w:rsidRPr="008D5B26">
        <w:rPr>
          <w:sz w:val="28"/>
          <w:szCs w:val="28"/>
          <w:lang w:val="en-GB"/>
        </w:rPr>
        <w:t>i</w:t>
      </w:r>
      <w:proofErr w:type="spellEnd"/>
      <w:r w:rsidRPr="008D5B26">
        <w:rPr>
          <w:sz w:val="28"/>
          <w:szCs w:val="28"/>
          <w:lang w:val="en-GB"/>
        </w:rPr>
        <w:t xml:space="preserve">) of </w:t>
      </w:r>
      <w:r w:rsidRPr="008D5B26">
        <w:rPr>
          <w:sz w:val="28"/>
          <w:szCs w:val="28"/>
          <w:lang w:val="en-GB"/>
        </w:rPr>
        <w:lastRenderedPageBreak/>
        <w:t xml:space="preserve">the First Schedule of the ICC Act and in Malta's Criminal Code (Chapter 9 of the Laws of Malta) as articulated in Article 54C. </w:t>
      </w:r>
    </w:p>
    <w:p w14:paraId="213D935E" w14:textId="77777777" w:rsidR="00060A5E" w:rsidRPr="008D5B26" w:rsidRDefault="00060A5E" w:rsidP="008D5B26">
      <w:pPr>
        <w:spacing w:line="360" w:lineRule="auto"/>
        <w:jc w:val="both"/>
        <w:rPr>
          <w:sz w:val="28"/>
          <w:szCs w:val="28"/>
          <w:lang w:val="en-GB"/>
        </w:rPr>
      </w:pPr>
    </w:p>
    <w:p w14:paraId="699B4892" w14:textId="77777777" w:rsidR="008D5B26" w:rsidRPr="008D5B26" w:rsidRDefault="008D5B26" w:rsidP="008D5B26">
      <w:pPr>
        <w:spacing w:line="360" w:lineRule="auto"/>
        <w:jc w:val="both"/>
        <w:rPr>
          <w:sz w:val="28"/>
          <w:szCs w:val="28"/>
          <w:lang w:val="en-GB"/>
        </w:rPr>
      </w:pPr>
      <w:r w:rsidRPr="006B28B5">
        <w:rPr>
          <w:sz w:val="28"/>
          <w:szCs w:val="28"/>
          <w:highlight w:val="cyan"/>
          <w:lang w:val="en-GB"/>
        </w:rPr>
        <w:t>Malta has ratified several international treaties aimed at preventing enforced disappearances and protecting human rights.</w:t>
      </w:r>
      <w:r w:rsidRPr="008D5B26">
        <w:rPr>
          <w:sz w:val="28"/>
          <w:szCs w:val="28"/>
          <w:lang w:val="en-GB"/>
        </w:rPr>
        <w:t xml:space="preserve">  </w:t>
      </w:r>
    </w:p>
    <w:p w14:paraId="140C06C8" w14:textId="77777777" w:rsidR="008D5B26" w:rsidRPr="008D5B26" w:rsidRDefault="008D5B26" w:rsidP="008D5B26">
      <w:pPr>
        <w:spacing w:line="360" w:lineRule="auto"/>
        <w:jc w:val="both"/>
        <w:rPr>
          <w:sz w:val="28"/>
          <w:szCs w:val="28"/>
          <w:lang w:val="en-GB"/>
        </w:rPr>
      </w:pPr>
    </w:p>
    <w:p w14:paraId="053C07AC" w14:textId="77777777" w:rsidR="008D5B26" w:rsidRPr="008D5B26" w:rsidRDefault="008D5B26" w:rsidP="008D5B26">
      <w:pPr>
        <w:spacing w:line="360" w:lineRule="auto"/>
        <w:jc w:val="both"/>
        <w:rPr>
          <w:sz w:val="28"/>
          <w:szCs w:val="28"/>
          <w:lang w:val="en-GB"/>
        </w:rPr>
      </w:pPr>
      <w:r w:rsidRPr="008D5B26">
        <w:rPr>
          <w:sz w:val="28"/>
          <w:szCs w:val="28"/>
          <w:lang w:val="en-GB"/>
        </w:rPr>
        <w:t>As a member of the Council of Europe, Malta has ratified the European Convention on Human Rights thereby subjecting Malta to the jurisdiction of the European Court of Human Rights. By integrating the European Convention on Human Rights into Maltese law, our legal framework was significantly enhanced and judgments from the European Court of Human Rights were made directly enforceable within the Maltese legal system.</w:t>
      </w:r>
    </w:p>
    <w:p w14:paraId="66E7DCCC" w14:textId="77777777" w:rsidR="008D5B26" w:rsidRPr="008D5B26" w:rsidRDefault="008D5B26" w:rsidP="008D5B26">
      <w:pPr>
        <w:spacing w:line="360" w:lineRule="auto"/>
        <w:jc w:val="both"/>
        <w:rPr>
          <w:sz w:val="28"/>
          <w:szCs w:val="28"/>
          <w:lang w:val="en-GB"/>
        </w:rPr>
      </w:pPr>
    </w:p>
    <w:p w14:paraId="6AFF0F5F" w14:textId="15AC952A" w:rsidR="008D5B26" w:rsidRPr="008D5B26" w:rsidRDefault="002A1CE1" w:rsidP="008D5B26">
      <w:pPr>
        <w:spacing w:line="360" w:lineRule="auto"/>
        <w:jc w:val="both"/>
        <w:rPr>
          <w:sz w:val="28"/>
          <w:szCs w:val="28"/>
          <w:lang w:val="en-GB"/>
        </w:rPr>
      </w:pPr>
      <w:r>
        <w:rPr>
          <w:sz w:val="28"/>
          <w:szCs w:val="28"/>
          <w:lang w:val="en-GB"/>
        </w:rPr>
        <w:t>Under these Conventions, and in addition to Malta’s ratification of various United Nations Human Rights Conventions, t</w:t>
      </w:r>
      <w:r w:rsidR="008D5B26" w:rsidRPr="008D5B26">
        <w:rPr>
          <w:sz w:val="28"/>
          <w:szCs w:val="28"/>
          <w:lang w:val="en-GB"/>
        </w:rPr>
        <w:t xml:space="preserve">he human rights policies and practices in Malta are </w:t>
      </w:r>
      <w:r>
        <w:rPr>
          <w:sz w:val="28"/>
          <w:szCs w:val="28"/>
          <w:lang w:val="en-GB"/>
        </w:rPr>
        <w:t xml:space="preserve">also </w:t>
      </w:r>
      <w:r w:rsidR="008D5B26" w:rsidRPr="008D5B26">
        <w:rPr>
          <w:sz w:val="28"/>
          <w:szCs w:val="28"/>
          <w:lang w:val="en-GB"/>
        </w:rPr>
        <w:t xml:space="preserve">overseen by the Council of Europe Commissioner for Human Rights, who identifies deficiencies in human rights protection, conducts country visits, engages in dialogue with member States, and prepares thematic reports and recommendations concerning human rights obligations. </w:t>
      </w:r>
    </w:p>
    <w:p w14:paraId="0CF42D0D" w14:textId="77777777" w:rsidR="008D5B26" w:rsidRPr="008D5B26" w:rsidRDefault="008D5B26" w:rsidP="008D5B26">
      <w:pPr>
        <w:spacing w:line="360" w:lineRule="auto"/>
        <w:jc w:val="both"/>
        <w:rPr>
          <w:sz w:val="28"/>
          <w:szCs w:val="28"/>
          <w:lang w:val="en-GB"/>
        </w:rPr>
      </w:pPr>
    </w:p>
    <w:p w14:paraId="55FDB110" w14:textId="77777777" w:rsidR="008D5B26" w:rsidRPr="008D5B26" w:rsidRDefault="008D5B26" w:rsidP="008D5B26">
      <w:pPr>
        <w:spacing w:line="360" w:lineRule="auto"/>
        <w:jc w:val="both"/>
        <w:rPr>
          <w:sz w:val="28"/>
          <w:szCs w:val="28"/>
          <w:lang w:val="en-GB"/>
        </w:rPr>
      </w:pPr>
      <w:r w:rsidRPr="008D5B26">
        <w:rPr>
          <w:sz w:val="28"/>
          <w:szCs w:val="28"/>
          <w:lang w:val="en-GB"/>
        </w:rPr>
        <w:t xml:space="preserve">Malta has also ratified the Revised European Social Charter and as a party to the Revised European Social Charter, Malta is required to submit annual reports to the European Committee of Social Rights detailing its implementation of the Charter's provisions. Malta is a signatory to the following regional human rights treaties: </w:t>
      </w:r>
    </w:p>
    <w:p w14:paraId="007E8EE7" w14:textId="77777777" w:rsidR="008D5B26" w:rsidRPr="008D5B26" w:rsidRDefault="008D5B26" w:rsidP="008D5B26">
      <w:pPr>
        <w:numPr>
          <w:ilvl w:val="0"/>
          <w:numId w:val="3"/>
        </w:numPr>
        <w:spacing w:after="160" w:line="360" w:lineRule="auto"/>
        <w:ind w:left="0" w:firstLine="0"/>
        <w:jc w:val="both"/>
        <w:rPr>
          <w:sz w:val="28"/>
          <w:szCs w:val="28"/>
          <w:lang w:val="en-GB"/>
        </w:rPr>
      </w:pPr>
      <w:r w:rsidRPr="008D5B26">
        <w:rPr>
          <w:sz w:val="28"/>
          <w:szCs w:val="28"/>
          <w:lang w:val="en-GB"/>
        </w:rPr>
        <w:t>European Convention on Human Rights and several of its protocols</w:t>
      </w:r>
    </w:p>
    <w:p w14:paraId="123CF077" w14:textId="77777777" w:rsidR="008D5B26" w:rsidRPr="000A5793" w:rsidRDefault="008D5B26" w:rsidP="008D5B26">
      <w:pPr>
        <w:numPr>
          <w:ilvl w:val="0"/>
          <w:numId w:val="3"/>
        </w:numPr>
        <w:spacing w:after="160" w:line="360" w:lineRule="auto"/>
        <w:ind w:left="0" w:firstLine="0"/>
        <w:jc w:val="both"/>
        <w:rPr>
          <w:sz w:val="28"/>
          <w:szCs w:val="28"/>
          <w:highlight w:val="cyan"/>
          <w:lang w:val="en-GB"/>
        </w:rPr>
      </w:pPr>
      <w:r w:rsidRPr="000A5793">
        <w:rPr>
          <w:sz w:val="28"/>
          <w:szCs w:val="28"/>
          <w:highlight w:val="cyan"/>
          <w:lang w:val="en-GB"/>
        </w:rPr>
        <w:lastRenderedPageBreak/>
        <w:t>Revised European Social Charter</w:t>
      </w:r>
    </w:p>
    <w:p w14:paraId="46E1AFB7" w14:textId="77777777" w:rsidR="008D5B26" w:rsidRPr="008D5B26" w:rsidRDefault="008D5B26" w:rsidP="008D5B26">
      <w:pPr>
        <w:numPr>
          <w:ilvl w:val="0"/>
          <w:numId w:val="3"/>
        </w:numPr>
        <w:spacing w:after="160" w:line="360" w:lineRule="auto"/>
        <w:ind w:left="0" w:firstLine="0"/>
        <w:jc w:val="both"/>
        <w:rPr>
          <w:sz w:val="28"/>
          <w:szCs w:val="28"/>
          <w:lang w:val="en-GB"/>
        </w:rPr>
      </w:pPr>
      <w:r w:rsidRPr="008D5B26">
        <w:rPr>
          <w:sz w:val="28"/>
          <w:szCs w:val="28"/>
          <w:lang w:val="en-GB"/>
        </w:rPr>
        <w:t>Council of Europe Convention on Preventing and Combating Violence against Women and Domestic Violence</w:t>
      </w:r>
    </w:p>
    <w:p w14:paraId="5B1EE472" w14:textId="77777777" w:rsidR="008D5B26" w:rsidRPr="008D5B26" w:rsidRDefault="008D5B26" w:rsidP="008D5B26">
      <w:pPr>
        <w:numPr>
          <w:ilvl w:val="0"/>
          <w:numId w:val="3"/>
        </w:numPr>
        <w:spacing w:after="160" w:line="360" w:lineRule="auto"/>
        <w:ind w:left="0" w:firstLine="0"/>
        <w:jc w:val="both"/>
        <w:rPr>
          <w:sz w:val="28"/>
          <w:szCs w:val="28"/>
          <w:lang w:val="en-GB"/>
        </w:rPr>
      </w:pPr>
      <w:r w:rsidRPr="008D5B26">
        <w:rPr>
          <w:sz w:val="28"/>
          <w:szCs w:val="28"/>
          <w:lang w:val="en-GB"/>
        </w:rPr>
        <w:t>Council of Europe Convention on Action against Trafficking in Human Beings</w:t>
      </w:r>
    </w:p>
    <w:p w14:paraId="4B2ECD38" w14:textId="77777777" w:rsidR="008D5B26" w:rsidRPr="008D5B26" w:rsidRDefault="008D5B26" w:rsidP="008D5B26">
      <w:pPr>
        <w:numPr>
          <w:ilvl w:val="0"/>
          <w:numId w:val="3"/>
        </w:numPr>
        <w:spacing w:after="160" w:line="360" w:lineRule="auto"/>
        <w:ind w:left="0" w:firstLine="0"/>
        <w:jc w:val="both"/>
        <w:rPr>
          <w:sz w:val="28"/>
          <w:szCs w:val="28"/>
          <w:lang w:val="en-GB"/>
        </w:rPr>
      </w:pPr>
      <w:r w:rsidRPr="008D5B26">
        <w:rPr>
          <w:sz w:val="28"/>
          <w:szCs w:val="28"/>
          <w:lang w:val="en-GB"/>
        </w:rPr>
        <w:t>European Convention for the Prevention of Torture and Inhuman or Degrading Treatment or Punishment</w:t>
      </w:r>
    </w:p>
    <w:p w14:paraId="5D83B515" w14:textId="77777777" w:rsidR="008D5B26" w:rsidRPr="008D5B26" w:rsidRDefault="008D5B26" w:rsidP="008D5B26">
      <w:pPr>
        <w:numPr>
          <w:ilvl w:val="0"/>
          <w:numId w:val="3"/>
        </w:numPr>
        <w:spacing w:after="160" w:line="360" w:lineRule="auto"/>
        <w:ind w:left="0" w:firstLine="0"/>
        <w:jc w:val="both"/>
        <w:rPr>
          <w:sz w:val="28"/>
          <w:szCs w:val="28"/>
          <w:lang w:val="en-GB"/>
        </w:rPr>
      </w:pPr>
      <w:r w:rsidRPr="008D5B26">
        <w:rPr>
          <w:sz w:val="28"/>
          <w:szCs w:val="28"/>
          <w:lang w:val="en-GB"/>
        </w:rPr>
        <w:t>Framework Convention for the Protection of National Minorities.</w:t>
      </w:r>
    </w:p>
    <w:p w14:paraId="20C6DB5F" w14:textId="77777777" w:rsidR="008D5B26" w:rsidRDefault="008D5B26" w:rsidP="008D5B26">
      <w:pPr>
        <w:spacing w:line="360" w:lineRule="auto"/>
        <w:jc w:val="both"/>
        <w:rPr>
          <w:sz w:val="28"/>
          <w:szCs w:val="28"/>
          <w:lang w:val="en-GB"/>
        </w:rPr>
      </w:pPr>
      <w:r w:rsidRPr="008D5B26">
        <w:rPr>
          <w:sz w:val="28"/>
          <w:szCs w:val="28"/>
          <w:lang w:val="en-GB"/>
        </w:rPr>
        <w:t xml:space="preserve">Malta has ratified several key United Nations human rights treaties, including the International Covenant on Civil and Political Rights, International Covenant on Economic, Social and Cultural Rights, Convention against Torture and Other Cruel, Inhuman or Degrading Treatment or Punishment (already mentioned), Convention on the Elimination of All Forms of Discrimination Against Women, Convention on the Rights of Persons with Disabilities, Convention on the Rights of the Child and the International Convention on the Elimination of All Forms of Racial Discrimination, and the United Nations Convention on Transnational Organised Crime and its Protocol to Prevent, Suppress and Punish Trafficking in Persons, Especially Women and Children (Palermo Protocol); amongst others. </w:t>
      </w:r>
    </w:p>
    <w:p w14:paraId="4457F013" w14:textId="77777777" w:rsidR="002579C7" w:rsidRPr="008D5B26" w:rsidRDefault="002579C7" w:rsidP="008D5B26">
      <w:pPr>
        <w:spacing w:line="360" w:lineRule="auto"/>
        <w:jc w:val="both"/>
        <w:rPr>
          <w:sz w:val="28"/>
          <w:szCs w:val="28"/>
          <w:lang w:val="en-GB"/>
        </w:rPr>
      </w:pPr>
    </w:p>
    <w:p w14:paraId="07DA7ED7" w14:textId="490124FD" w:rsidR="008D5B26" w:rsidRPr="008D5B26" w:rsidRDefault="008D5B26" w:rsidP="008D5B26">
      <w:pPr>
        <w:spacing w:line="360" w:lineRule="auto"/>
        <w:jc w:val="both"/>
        <w:rPr>
          <w:sz w:val="28"/>
          <w:szCs w:val="28"/>
          <w:lang w:val="en-GB"/>
        </w:rPr>
      </w:pPr>
      <w:r w:rsidRPr="008D5B26">
        <w:rPr>
          <w:sz w:val="28"/>
          <w:szCs w:val="28"/>
          <w:lang w:val="en-GB"/>
        </w:rPr>
        <w:t xml:space="preserve">It has </w:t>
      </w:r>
      <w:r w:rsidR="00726D3C">
        <w:rPr>
          <w:sz w:val="28"/>
          <w:szCs w:val="28"/>
          <w:lang w:val="en-GB"/>
        </w:rPr>
        <w:t>ratified</w:t>
      </w:r>
      <w:r w:rsidRPr="008D5B26">
        <w:rPr>
          <w:sz w:val="28"/>
          <w:szCs w:val="28"/>
          <w:lang w:val="en-GB"/>
        </w:rPr>
        <w:t xml:space="preserve"> protocols </w:t>
      </w:r>
      <w:r w:rsidR="00726D3C">
        <w:rPr>
          <w:sz w:val="28"/>
          <w:szCs w:val="28"/>
          <w:lang w:val="en-GB"/>
        </w:rPr>
        <w:t xml:space="preserve">to UN Conventions, including those </w:t>
      </w:r>
      <w:r w:rsidRPr="008D5B26">
        <w:rPr>
          <w:sz w:val="28"/>
          <w:szCs w:val="28"/>
          <w:lang w:val="en-GB"/>
        </w:rPr>
        <w:t>aimed at abolishing the death penalty</w:t>
      </w:r>
      <w:r w:rsidR="00726D3C">
        <w:rPr>
          <w:sz w:val="28"/>
          <w:szCs w:val="28"/>
          <w:lang w:val="en-GB"/>
        </w:rPr>
        <w:t xml:space="preserve"> (under the ICCPR)</w:t>
      </w:r>
      <w:r w:rsidRPr="008D5B26">
        <w:rPr>
          <w:sz w:val="28"/>
          <w:szCs w:val="28"/>
          <w:lang w:val="en-GB"/>
        </w:rPr>
        <w:t xml:space="preserve"> and addressing child rights in conflict situations</w:t>
      </w:r>
      <w:r w:rsidR="00726D3C">
        <w:rPr>
          <w:sz w:val="28"/>
          <w:szCs w:val="28"/>
          <w:lang w:val="en-GB"/>
        </w:rPr>
        <w:t xml:space="preserve"> (under the CRC)</w:t>
      </w:r>
      <w:r w:rsidRPr="008D5B26">
        <w:rPr>
          <w:sz w:val="28"/>
          <w:szCs w:val="28"/>
          <w:lang w:val="en-GB"/>
        </w:rPr>
        <w:t xml:space="preserve">. </w:t>
      </w:r>
      <w:r w:rsidR="001C2968">
        <w:rPr>
          <w:sz w:val="28"/>
          <w:szCs w:val="28"/>
          <w:lang w:val="en-GB"/>
        </w:rPr>
        <w:t xml:space="preserve">Malta has accepted </w:t>
      </w:r>
      <w:r w:rsidR="00C3459D">
        <w:rPr>
          <w:sz w:val="28"/>
          <w:szCs w:val="28"/>
          <w:lang w:val="en-GB"/>
        </w:rPr>
        <w:t xml:space="preserve">a communications procedure under </w:t>
      </w:r>
      <w:proofErr w:type="gramStart"/>
      <w:r w:rsidR="00C3459D">
        <w:rPr>
          <w:sz w:val="28"/>
          <w:szCs w:val="28"/>
          <w:lang w:val="en-GB"/>
        </w:rPr>
        <w:t>a number of</w:t>
      </w:r>
      <w:proofErr w:type="gramEnd"/>
      <w:r w:rsidR="00C3459D">
        <w:rPr>
          <w:sz w:val="28"/>
          <w:szCs w:val="28"/>
          <w:lang w:val="en-GB"/>
        </w:rPr>
        <w:t xml:space="preserve"> UN Conventions, such as the Convention Against Torture and the Convention on the Rights of Persons with Disabilities</w:t>
      </w:r>
      <w:r w:rsidR="00B4708A">
        <w:rPr>
          <w:sz w:val="28"/>
          <w:szCs w:val="28"/>
          <w:lang w:val="en-GB"/>
        </w:rPr>
        <w:t>.</w:t>
      </w:r>
      <w:r w:rsidR="004E5187">
        <w:rPr>
          <w:sz w:val="28"/>
          <w:szCs w:val="28"/>
          <w:lang w:val="en-GB"/>
        </w:rPr>
        <w:t xml:space="preserve"> </w:t>
      </w:r>
      <w:r w:rsidR="00B4708A">
        <w:rPr>
          <w:sz w:val="28"/>
          <w:szCs w:val="28"/>
          <w:lang w:val="en-GB"/>
        </w:rPr>
        <w:t>W</w:t>
      </w:r>
      <w:r w:rsidR="004E5187">
        <w:rPr>
          <w:sz w:val="28"/>
          <w:szCs w:val="28"/>
          <w:lang w:val="en-GB"/>
        </w:rPr>
        <w:t xml:space="preserve">e keep similar mechanisms under other Conventions, including CED, as a matter of constant </w:t>
      </w:r>
      <w:r w:rsidR="004E5187">
        <w:rPr>
          <w:sz w:val="28"/>
          <w:szCs w:val="28"/>
          <w:lang w:val="en-GB"/>
        </w:rPr>
        <w:lastRenderedPageBreak/>
        <w:t>review in reference to CED’s Articles 31 and 32</w:t>
      </w:r>
      <w:r w:rsidR="00B4708A">
        <w:rPr>
          <w:sz w:val="28"/>
          <w:szCs w:val="28"/>
          <w:lang w:val="en-GB"/>
        </w:rPr>
        <w:t xml:space="preserve">, and will keep the Committee updated on any developments. </w:t>
      </w:r>
    </w:p>
    <w:p w14:paraId="2BDFC687" w14:textId="77777777" w:rsidR="008D5B26" w:rsidRPr="008D5B26" w:rsidRDefault="008D5B26" w:rsidP="008D5B26">
      <w:pPr>
        <w:spacing w:line="360" w:lineRule="auto"/>
        <w:jc w:val="both"/>
        <w:rPr>
          <w:sz w:val="28"/>
          <w:szCs w:val="28"/>
          <w:lang w:val="en-GB"/>
        </w:rPr>
      </w:pPr>
    </w:p>
    <w:p w14:paraId="6440C1D7" w14:textId="77777777" w:rsidR="008D5B26" w:rsidRPr="008D5B26" w:rsidRDefault="008D5B26" w:rsidP="008D5B26">
      <w:pPr>
        <w:spacing w:line="360" w:lineRule="auto"/>
        <w:jc w:val="both"/>
        <w:rPr>
          <w:sz w:val="28"/>
          <w:szCs w:val="28"/>
          <w:lang w:val="en-GB"/>
        </w:rPr>
      </w:pPr>
      <w:r w:rsidRPr="008D5B26">
        <w:rPr>
          <w:sz w:val="28"/>
          <w:szCs w:val="28"/>
          <w:lang w:val="en-GB"/>
        </w:rPr>
        <w:t>Esteemed Chair,</w:t>
      </w:r>
    </w:p>
    <w:p w14:paraId="3F875B3C" w14:textId="77777777" w:rsidR="008D5B26" w:rsidRPr="008D5B26" w:rsidRDefault="008D5B26" w:rsidP="008D5B26">
      <w:pPr>
        <w:spacing w:line="360" w:lineRule="auto"/>
        <w:jc w:val="both"/>
        <w:rPr>
          <w:sz w:val="28"/>
          <w:szCs w:val="28"/>
          <w:lang w:val="en-GB"/>
        </w:rPr>
      </w:pPr>
    </w:p>
    <w:p w14:paraId="77A1206A" w14:textId="77777777" w:rsidR="00005F6E" w:rsidRDefault="008D5B26" w:rsidP="008D5B26">
      <w:pPr>
        <w:spacing w:line="360" w:lineRule="auto"/>
        <w:jc w:val="both"/>
        <w:rPr>
          <w:sz w:val="28"/>
          <w:szCs w:val="28"/>
          <w:lang w:val="en-GB"/>
        </w:rPr>
      </w:pPr>
      <w:r w:rsidRPr="008D5B26">
        <w:rPr>
          <w:sz w:val="28"/>
          <w:szCs w:val="28"/>
          <w:lang w:val="en-GB"/>
        </w:rPr>
        <w:t xml:space="preserve">Combating trafficking in persons remains a priority. Malta has launched a National Strategy and Action Plan on Combatting Trafficking in Human Beings in Malta (2024-2030). This Strategy has been drafted with the aim of strengthening the necessary national framework required to prevent human trafficking, protect victims, and prosecute offenders of this crime. Assistance from the Council of Europe and the European Commission has been pivotal in ensuring that this Strategy and its objectives are in line with international standards. The Strategy outlines the Government’s vision of ensuring that the rights of every individual are protected, and that perpetrators of this crime are brought to justice. Anti-trafficking actions are being developed to address root causes, risks, threats, and new methods used by traffickers. </w:t>
      </w:r>
    </w:p>
    <w:p w14:paraId="00CD0C70" w14:textId="77777777" w:rsidR="00005F6E" w:rsidRDefault="00005F6E" w:rsidP="008D5B26">
      <w:pPr>
        <w:spacing w:line="360" w:lineRule="auto"/>
        <w:jc w:val="both"/>
        <w:rPr>
          <w:sz w:val="28"/>
          <w:szCs w:val="28"/>
          <w:lang w:val="en-GB"/>
        </w:rPr>
      </w:pPr>
    </w:p>
    <w:p w14:paraId="235936BD" w14:textId="7B6585DB" w:rsidR="008D5B26" w:rsidRPr="008D5B26" w:rsidRDefault="008D5B26" w:rsidP="008D5B26">
      <w:pPr>
        <w:spacing w:line="360" w:lineRule="auto"/>
        <w:jc w:val="both"/>
        <w:rPr>
          <w:sz w:val="28"/>
          <w:szCs w:val="28"/>
          <w:lang w:val="en-GB"/>
        </w:rPr>
      </w:pPr>
      <w:r w:rsidRPr="008D5B26">
        <w:rPr>
          <w:sz w:val="28"/>
          <w:szCs w:val="28"/>
          <w:lang w:val="en-GB"/>
        </w:rPr>
        <w:t xml:space="preserve">Furthermore, the Strategy also addresses the demand through targeted measures. The 4Ps—Prevention, Protection, Prosecution, and Partnership serve as the foundation for the Strategy's pillars, which shall also take a human rights-focused, gender-sensitive, interdisciplinary, and cross-sectoral approach. </w:t>
      </w:r>
    </w:p>
    <w:p w14:paraId="61858EA4" w14:textId="77777777" w:rsidR="008D5B26" w:rsidRPr="008D5B26" w:rsidRDefault="008D5B26" w:rsidP="008D5B26">
      <w:pPr>
        <w:spacing w:line="360" w:lineRule="auto"/>
        <w:jc w:val="both"/>
        <w:rPr>
          <w:sz w:val="28"/>
          <w:szCs w:val="28"/>
          <w:lang w:val="en-GB"/>
        </w:rPr>
      </w:pPr>
    </w:p>
    <w:p w14:paraId="4532AE6F" w14:textId="77777777" w:rsidR="008E3B00" w:rsidRDefault="008D5B26" w:rsidP="008D5B26">
      <w:pPr>
        <w:spacing w:line="360" w:lineRule="auto"/>
        <w:jc w:val="both"/>
        <w:rPr>
          <w:sz w:val="28"/>
          <w:szCs w:val="28"/>
          <w:lang w:val="en-GB"/>
        </w:rPr>
      </w:pPr>
      <w:r w:rsidRPr="008D5B26">
        <w:rPr>
          <w:sz w:val="28"/>
          <w:szCs w:val="28"/>
          <w:lang w:val="en-GB"/>
        </w:rPr>
        <w:t xml:space="preserve">In executing their mandate, the Police, via the Vulnerable Victims Unit, conducts investigations into human trafficking and collaborates closely with the Financial Crime Investigation Department. This partnership is aimed at effectively targeting traffickers and preventing them from reaping financial gains from their criminal activities. </w:t>
      </w:r>
    </w:p>
    <w:p w14:paraId="3095BE23" w14:textId="7DB75A76" w:rsidR="008D5B26" w:rsidRPr="008D5B26" w:rsidRDefault="00093BD4" w:rsidP="008D5B26">
      <w:pPr>
        <w:spacing w:line="360" w:lineRule="auto"/>
        <w:jc w:val="both"/>
        <w:rPr>
          <w:sz w:val="28"/>
          <w:szCs w:val="28"/>
          <w:lang w:val="en-GB"/>
        </w:rPr>
      </w:pPr>
      <w:r>
        <w:rPr>
          <w:sz w:val="28"/>
          <w:szCs w:val="28"/>
          <w:lang w:val="en-GB"/>
        </w:rPr>
        <w:lastRenderedPageBreak/>
        <w:t>I</w:t>
      </w:r>
      <w:r w:rsidR="008D5B26" w:rsidRPr="008D5B26">
        <w:rPr>
          <w:sz w:val="28"/>
          <w:szCs w:val="28"/>
          <w:lang w:val="en-GB"/>
        </w:rPr>
        <w:t xml:space="preserve">n 2024, Malta initiated two human trafficking </w:t>
      </w:r>
      <w:r w:rsidR="00B52B2E">
        <w:rPr>
          <w:sz w:val="28"/>
          <w:szCs w:val="28"/>
          <w:lang w:val="en-GB"/>
        </w:rPr>
        <w:t>prosecutions</w:t>
      </w:r>
      <w:r w:rsidR="001A0FF8">
        <w:rPr>
          <w:sz w:val="28"/>
          <w:szCs w:val="28"/>
          <w:lang w:val="en-GB"/>
        </w:rPr>
        <w:t>,</w:t>
      </w:r>
      <w:r w:rsidR="00B52B2E">
        <w:rPr>
          <w:sz w:val="28"/>
          <w:szCs w:val="28"/>
          <w:lang w:val="en-GB"/>
        </w:rPr>
        <w:t xml:space="preserve"> </w:t>
      </w:r>
      <w:r w:rsidR="001A3F22">
        <w:rPr>
          <w:sz w:val="28"/>
          <w:szCs w:val="28"/>
          <w:lang w:val="en-GB"/>
        </w:rPr>
        <w:t>which combined</w:t>
      </w:r>
      <w:r>
        <w:rPr>
          <w:sz w:val="28"/>
          <w:szCs w:val="28"/>
          <w:lang w:val="en-GB"/>
        </w:rPr>
        <w:t xml:space="preserve"> </w:t>
      </w:r>
      <w:r w:rsidR="001A3F22">
        <w:rPr>
          <w:sz w:val="28"/>
          <w:szCs w:val="28"/>
          <w:lang w:val="en-GB"/>
        </w:rPr>
        <w:t xml:space="preserve">human trafficking charges with money laundering charges. </w:t>
      </w:r>
      <w:r w:rsidR="008D5B26" w:rsidRPr="008D5B26">
        <w:rPr>
          <w:sz w:val="28"/>
          <w:szCs w:val="28"/>
          <w:lang w:val="en-GB"/>
        </w:rPr>
        <w:t xml:space="preserve">This strategic approach highlights </w:t>
      </w:r>
      <w:r w:rsidR="00930F94">
        <w:rPr>
          <w:sz w:val="28"/>
          <w:szCs w:val="28"/>
          <w:lang w:val="en-GB"/>
        </w:rPr>
        <w:t>our</w:t>
      </w:r>
      <w:r w:rsidR="008D5B26" w:rsidRPr="008D5B26">
        <w:rPr>
          <w:sz w:val="28"/>
          <w:szCs w:val="28"/>
          <w:lang w:val="en-GB"/>
        </w:rPr>
        <w:t xml:space="preserve"> commitment to addressing not only the crimes themselves but also the financial underpinnings that facilitate such activities, with legal proceedings currently underway.</w:t>
      </w:r>
    </w:p>
    <w:p w14:paraId="23BB4FDD" w14:textId="77777777" w:rsidR="008D5B26" w:rsidRPr="008D5B26" w:rsidRDefault="008D5B26" w:rsidP="008D5B26">
      <w:pPr>
        <w:spacing w:line="360" w:lineRule="auto"/>
        <w:jc w:val="both"/>
        <w:rPr>
          <w:sz w:val="28"/>
          <w:szCs w:val="28"/>
          <w:lang w:val="en-GB"/>
        </w:rPr>
      </w:pPr>
    </w:p>
    <w:p w14:paraId="7BAC1782" w14:textId="29720737" w:rsidR="008D5B26" w:rsidRPr="008D5B26" w:rsidRDefault="008D5B26" w:rsidP="008D5B26">
      <w:pPr>
        <w:spacing w:line="360" w:lineRule="auto"/>
        <w:jc w:val="both"/>
        <w:rPr>
          <w:sz w:val="28"/>
          <w:szCs w:val="28"/>
          <w:lang w:val="en-GB"/>
        </w:rPr>
      </w:pPr>
      <w:r w:rsidRPr="008D5B26">
        <w:rPr>
          <w:sz w:val="28"/>
          <w:szCs w:val="28"/>
          <w:lang w:val="en-GB"/>
        </w:rPr>
        <w:t xml:space="preserve">Human rights violations are addressed by the First Hall of the Civil Court in its Constitutional Jurisdiction, with appeals being directed to the Constitutional Court. This </w:t>
      </w:r>
      <w:r w:rsidRPr="008D5B26">
        <w:rPr>
          <w:sz w:val="28"/>
          <w:szCs w:val="28"/>
          <w:shd w:val="clear" w:color="auto" w:fill="FFFFFF"/>
          <w:lang w:val="en-GB"/>
        </w:rPr>
        <w:t>Court may also grant </w:t>
      </w:r>
      <w:r w:rsidRPr="0023586F">
        <w:rPr>
          <w:sz w:val="28"/>
          <w:szCs w:val="28"/>
          <w:shd w:val="clear" w:color="auto" w:fill="FFFFFF"/>
          <w:lang w:val="en-GB"/>
        </w:rPr>
        <w:t>interim measures</w:t>
      </w:r>
      <w:r w:rsidRPr="008D5B26">
        <w:rPr>
          <w:sz w:val="28"/>
          <w:szCs w:val="28"/>
          <w:shd w:val="clear" w:color="auto" w:fill="FFFFFF"/>
          <w:lang w:val="en-GB"/>
        </w:rPr>
        <w:t xml:space="preserve"> to protect people in urgent situations of risk in Malta. </w:t>
      </w:r>
      <w:r w:rsidRPr="008D5B26">
        <w:rPr>
          <w:sz w:val="28"/>
          <w:szCs w:val="28"/>
          <w:lang w:val="en-GB"/>
        </w:rPr>
        <w:t xml:space="preserve">Victims claiming infringement of their rights—including heirs of individuals subjected to enforced disappearances—are entitled to initiate court proceedings against the State Advocate in the First Hall of the Civil Court in its Constitutional Jurisdiction. In Malta, an individual can only be presumed dead when his/her absence has lasted for a continuous period exceeding ten years, as prescribed by Article 223 of the Civil Code (Chapter 16 of the Laws of Malta). </w:t>
      </w:r>
    </w:p>
    <w:p w14:paraId="139FF754" w14:textId="77777777" w:rsidR="008D5B26" w:rsidRPr="008D5B26" w:rsidRDefault="008D5B26" w:rsidP="008D5B26">
      <w:pPr>
        <w:spacing w:line="360" w:lineRule="auto"/>
        <w:jc w:val="both"/>
        <w:rPr>
          <w:sz w:val="28"/>
          <w:szCs w:val="28"/>
          <w:lang w:val="en-GB"/>
        </w:rPr>
      </w:pPr>
    </w:p>
    <w:p w14:paraId="140ECB6B" w14:textId="77777777" w:rsidR="008D5B26" w:rsidRPr="008D5B26" w:rsidRDefault="008D5B26" w:rsidP="008D5B26">
      <w:pPr>
        <w:spacing w:line="360" w:lineRule="auto"/>
        <w:jc w:val="both"/>
        <w:rPr>
          <w:sz w:val="28"/>
          <w:szCs w:val="28"/>
          <w:lang w:val="en-GB"/>
        </w:rPr>
      </w:pPr>
      <w:r w:rsidRPr="008D5B26">
        <w:rPr>
          <w:sz w:val="28"/>
          <w:szCs w:val="28"/>
          <w:lang w:val="en-GB"/>
        </w:rPr>
        <w:t xml:space="preserve">In Malta, the Constitutional Court is endowed with vast and extensive powers and may issue orders, writs, and directives deemed necessary for enforcing the pertinent articles safeguarding the affected individuals' rights and ensuring that any law, entity or individual in breach of the fundamental human rights is held accountable. </w:t>
      </w:r>
    </w:p>
    <w:p w14:paraId="01B318DA" w14:textId="77777777" w:rsidR="008D5B26" w:rsidRPr="008D5B26" w:rsidRDefault="008D5B26" w:rsidP="008D5B26">
      <w:pPr>
        <w:spacing w:line="360" w:lineRule="auto"/>
        <w:jc w:val="both"/>
        <w:rPr>
          <w:sz w:val="28"/>
          <w:szCs w:val="28"/>
          <w:lang w:val="en-GB"/>
        </w:rPr>
      </w:pPr>
    </w:p>
    <w:p w14:paraId="169E7EA6" w14:textId="77777777" w:rsidR="008D5B26" w:rsidRPr="008D5B26" w:rsidRDefault="008D5B26" w:rsidP="008D5B26">
      <w:pPr>
        <w:spacing w:line="360" w:lineRule="auto"/>
        <w:jc w:val="both"/>
        <w:rPr>
          <w:sz w:val="28"/>
          <w:szCs w:val="28"/>
          <w:lang w:val="en-GB"/>
        </w:rPr>
      </w:pPr>
      <w:r w:rsidRPr="008D5B26">
        <w:rPr>
          <w:sz w:val="28"/>
          <w:szCs w:val="28"/>
          <w:lang w:val="en-GB"/>
        </w:rPr>
        <w:t xml:space="preserve">Maltese law also stipulates that state officials are not immune from prosecution; thus, any state official involved in enforced disappearances can be held accountable. Article 5 of the Criminal Code specifies the persons who may be prosecuted. Notably, even the President of Malta can face legal action for acts </w:t>
      </w:r>
      <w:r w:rsidRPr="008D5B26">
        <w:rPr>
          <w:sz w:val="28"/>
          <w:szCs w:val="28"/>
          <w:lang w:val="en-GB"/>
        </w:rPr>
        <w:lastRenderedPageBreak/>
        <w:t xml:space="preserve">committed outside the scope of functions of the Office. This is founded upon the recognition that prosecution of core crimes nullifies the application of any diplomatic privileges and immunities, both </w:t>
      </w:r>
      <w:r w:rsidRPr="008D5B26">
        <w:rPr>
          <w:i/>
          <w:iCs/>
          <w:sz w:val="28"/>
          <w:szCs w:val="28"/>
          <w:lang w:val="en-GB"/>
        </w:rPr>
        <w:t>ratione persona</w:t>
      </w:r>
      <w:r w:rsidRPr="008D5B26">
        <w:rPr>
          <w:sz w:val="28"/>
          <w:szCs w:val="28"/>
          <w:lang w:val="en-GB"/>
        </w:rPr>
        <w:t xml:space="preserve"> and </w:t>
      </w:r>
      <w:r w:rsidRPr="008D5B26">
        <w:rPr>
          <w:i/>
          <w:iCs/>
          <w:sz w:val="28"/>
          <w:szCs w:val="28"/>
          <w:lang w:val="en-GB"/>
        </w:rPr>
        <w:t xml:space="preserve">ratione </w:t>
      </w:r>
      <w:proofErr w:type="spellStart"/>
      <w:r w:rsidRPr="008D5B26">
        <w:rPr>
          <w:i/>
          <w:iCs/>
          <w:sz w:val="28"/>
          <w:szCs w:val="28"/>
          <w:lang w:val="en-GB"/>
        </w:rPr>
        <w:t>materiae</w:t>
      </w:r>
      <w:proofErr w:type="spellEnd"/>
      <w:r w:rsidRPr="008D5B26">
        <w:rPr>
          <w:sz w:val="28"/>
          <w:szCs w:val="28"/>
          <w:lang w:val="en-GB"/>
        </w:rPr>
        <w:t>.</w:t>
      </w:r>
    </w:p>
    <w:p w14:paraId="2BE3220F" w14:textId="77777777" w:rsidR="008D5B26" w:rsidRPr="008D5B26" w:rsidRDefault="008D5B26" w:rsidP="008D5B26">
      <w:pPr>
        <w:spacing w:line="360" w:lineRule="auto"/>
        <w:jc w:val="both"/>
        <w:rPr>
          <w:sz w:val="28"/>
          <w:szCs w:val="28"/>
          <w:lang w:val="en-GB"/>
        </w:rPr>
      </w:pPr>
    </w:p>
    <w:p w14:paraId="596D5150" w14:textId="77777777" w:rsidR="008D5B26" w:rsidRDefault="008D5B26" w:rsidP="008D5B26">
      <w:pPr>
        <w:spacing w:line="360" w:lineRule="auto"/>
        <w:jc w:val="both"/>
        <w:rPr>
          <w:sz w:val="28"/>
          <w:szCs w:val="28"/>
          <w:lang w:val="en-GB"/>
        </w:rPr>
      </w:pPr>
      <w:r w:rsidRPr="008D5B26">
        <w:rPr>
          <w:sz w:val="28"/>
          <w:szCs w:val="28"/>
          <w:lang w:val="en-GB"/>
        </w:rPr>
        <w:t xml:space="preserve">Malta has therefore succeeded in crystallising the </w:t>
      </w:r>
      <w:proofErr w:type="spellStart"/>
      <w:r w:rsidRPr="008D5B26">
        <w:rPr>
          <w:sz w:val="28"/>
          <w:szCs w:val="28"/>
          <w:lang w:val="en-GB"/>
        </w:rPr>
        <w:t>constitutionalisation</w:t>
      </w:r>
      <w:proofErr w:type="spellEnd"/>
      <w:r w:rsidRPr="008D5B26">
        <w:rPr>
          <w:sz w:val="28"/>
          <w:szCs w:val="28"/>
          <w:lang w:val="en-GB"/>
        </w:rPr>
        <w:t xml:space="preserve"> of international law and the internationalisation of its constitutional law through the adoption and application of the principle of an international rule of law. </w:t>
      </w:r>
    </w:p>
    <w:p w14:paraId="0247B7C9" w14:textId="77777777" w:rsidR="004F42C5" w:rsidRPr="008D5B26" w:rsidRDefault="004F42C5" w:rsidP="008D5B26">
      <w:pPr>
        <w:spacing w:line="360" w:lineRule="auto"/>
        <w:jc w:val="both"/>
        <w:rPr>
          <w:sz w:val="28"/>
          <w:szCs w:val="28"/>
          <w:lang w:val="en-GB"/>
        </w:rPr>
      </w:pPr>
    </w:p>
    <w:p w14:paraId="51D54DF1" w14:textId="77777777" w:rsidR="008D5B26" w:rsidRPr="008D5B26" w:rsidRDefault="008D5B26" w:rsidP="008D5B26">
      <w:pPr>
        <w:spacing w:line="360" w:lineRule="auto"/>
        <w:jc w:val="both"/>
        <w:rPr>
          <w:sz w:val="28"/>
          <w:szCs w:val="28"/>
          <w:lang w:val="en-GB"/>
        </w:rPr>
      </w:pPr>
      <w:r w:rsidRPr="008D5B26">
        <w:rPr>
          <w:sz w:val="28"/>
          <w:szCs w:val="28"/>
          <w:lang w:val="en-GB"/>
        </w:rPr>
        <w:t xml:space="preserve">A seminal judgment that established the positive obligations of states to investigate disappearances is the Velásquez Rodríguez v. Honduras case decided by the Inter-American Court of Human Rights in 1988. That Court emphasised the state’s obligation to investigate and hold accountable those responsible for human rights violations, affirming that enforced disappearances constitute a continuous infringement of individual rights. </w:t>
      </w:r>
    </w:p>
    <w:p w14:paraId="2DAEB29A" w14:textId="77777777" w:rsidR="008D5B26" w:rsidRPr="008D5B26" w:rsidRDefault="008D5B26" w:rsidP="008D5B26">
      <w:pPr>
        <w:spacing w:line="360" w:lineRule="auto"/>
        <w:jc w:val="both"/>
        <w:rPr>
          <w:sz w:val="28"/>
          <w:szCs w:val="28"/>
          <w:lang w:val="en-GB"/>
        </w:rPr>
      </w:pPr>
    </w:p>
    <w:p w14:paraId="7F1BF542" w14:textId="3F1C5EAE" w:rsidR="008D5B26" w:rsidRPr="008D5B26" w:rsidRDefault="008D5B26" w:rsidP="008D5B26">
      <w:pPr>
        <w:spacing w:line="360" w:lineRule="auto"/>
        <w:jc w:val="both"/>
        <w:rPr>
          <w:sz w:val="28"/>
          <w:szCs w:val="28"/>
          <w:lang w:val="en-GB"/>
        </w:rPr>
      </w:pPr>
      <w:r w:rsidRPr="008D5B26">
        <w:rPr>
          <w:sz w:val="28"/>
          <w:szCs w:val="28"/>
          <w:lang w:val="en-GB"/>
        </w:rPr>
        <w:t>We recognise the significance of this Court ruling as it sets important precedents regarding state responsibility in cases of enforced disappearances, underscoring the necessity for effective remedies for victims of human rights violations. It also highlighted the critical dimension of state accountability in safeguarding human rights. Our national report exemplifies how Malta incorporated these crucial principles into our legal framework.</w:t>
      </w:r>
    </w:p>
    <w:p w14:paraId="728C6518" w14:textId="77777777" w:rsidR="008D5B26" w:rsidRPr="008D5B26" w:rsidRDefault="008D5B26" w:rsidP="008D5B26">
      <w:pPr>
        <w:spacing w:line="360" w:lineRule="auto"/>
        <w:jc w:val="both"/>
        <w:rPr>
          <w:sz w:val="28"/>
          <w:szCs w:val="28"/>
          <w:lang w:val="en-GB"/>
        </w:rPr>
      </w:pPr>
    </w:p>
    <w:p w14:paraId="6E9CD597" w14:textId="77777777" w:rsidR="008D5B26" w:rsidRPr="008D5B26" w:rsidRDefault="008D5B26" w:rsidP="008D5B26">
      <w:pPr>
        <w:spacing w:line="360" w:lineRule="auto"/>
        <w:jc w:val="both"/>
        <w:rPr>
          <w:sz w:val="28"/>
          <w:szCs w:val="28"/>
          <w:lang w:val="en-GB"/>
        </w:rPr>
      </w:pPr>
      <w:r w:rsidRPr="008D5B26">
        <w:rPr>
          <w:sz w:val="28"/>
          <w:szCs w:val="28"/>
          <w:lang w:val="en-GB"/>
        </w:rPr>
        <w:t>Chair,</w:t>
      </w:r>
    </w:p>
    <w:p w14:paraId="55C234DE" w14:textId="77777777" w:rsidR="008D5B26" w:rsidRPr="008D5B26" w:rsidRDefault="008D5B26" w:rsidP="008D5B26">
      <w:pPr>
        <w:spacing w:line="360" w:lineRule="auto"/>
        <w:jc w:val="both"/>
        <w:rPr>
          <w:sz w:val="28"/>
          <w:szCs w:val="28"/>
          <w:lang w:val="en-GB"/>
        </w:rPr>
      </w:pPr>
    </w:p>
    <w:p w14:paraId="33D0EBBD" w14:textId="77777777" w:rsidR="004738C4" w:rsidRDefault="008D5B26" w:rsidP="008D5B26">
      <w:pPr>
        <w:spacing w:line="360" w:lineRule="auto"/>
        <w:jc w:val="both"/>
        <w:rPr>
          <w:sz w:val="28"/>
          <w:szCs w:val="28"/>
          <w:lang w:val="en-GB"/>
        </w:rPr>
      </w:pPr>
      <w:r w:rsidRPr="008D5B26">
        <w:rPr>
          <w:sz w:val="28"/>
          <w:szCs w:val="28"/>
          <w:lang w:val="en-GB"/>
        </w:rPr>
        <w:t xml:space="preserve">The establishment of an independent National Human Rights Institution (NHRI) in accordance with the Paris Principles remains a high priority for Malta. The </w:t>
      </w:r>
      <w:r w:rsidRPr="00F8291E">
        <w:rPr>
          <w:sz w:val="28"/>
          <w:szCs w:val="28"/>
          <w:highlight w:val="cyan"/>
          <w:lang w:val="en-GB"/>
        </w:rPr>
        <w:lastRenderedPageBreak/>
        <w:t xml:space="preserve">Equality and Human Rights Commission Bill </w:t>
      </w:r>
      <w:r w:rsidR="00D04A98" w:rsidRPr="00F8291E">
        <w:rPr>
          <w:sz w:val="28"/>
          <w:szCs w:val="28"/>
          <w:highlight w:val="cyan"/>
          <w:lang w:val="en-GB"/>
        </w:rPr>
        <w:t>had been</w:t>
      </w:r>
      <w:r w:rsidRPr="00F8291E">
        <w:rPr>
          <w:sz w:val="28"/>
          <w:szCs w:val="28"/>
          <w:highlight w:val="cyan"/>
          <w:lang w:val="en-GB"/>
        </w:rPr>
        <w:t xml:space="preserve"> previously presented to Parliament; however, </w:t>
      </w:r>
      <w:r w:rsidR="00D04A98" w:rsidRPr="00F8291E">
        <w:rPr>
          <w:sz w:val="28"/>
          <w:szCs w:val="28"/>
          <w:highlight w:val="cyan"/>
          <w:lang w:val="en-GB"/>
        </w:rPr>
        <w:t>the legislative process was halted</w:t>
      </w:r>
      <w:r w:rsidRPr="00F8291E">
        <w:rPr>
          <w:sz w:val="28"/>
          <w:szCs w:val="28"/>
          <w:highlight w:val="cyan"/>
          <w:lang w:val="en-GB"/>
        </w:rPr>
        <w:t xml:space="preserve"> due to the dissolution of Parliament </w:t>
      </w:r>
      <w:r w:rsidR="009B4F65" w:rsidRPr="00F8291E">
        <w:rPr>
          <w:sz w:val="28"/>
          <w:szCs w:val="28"/>
          <w:highlight w:val="cyan"/>
          <w:lang w:val="en-GB"/>
        </w:rPr>
        <w:t>upon the proclamation of</w:t>
      </w:r>
      <w:r w:rsidRPr="00F8291E">
        <w:rPr>
          <w:sz w:val="28"/>
          <w:szCs w:val="28"/>
          <w:highlight w:val="cyan"/>
          <w:lang w:val="en-GB"/>
        </w:rPr>
        <w:t xml:space="preserve"> the 2022 General Elections. Since then, efforts are ongoing to further develop the Bill with the goal of enhancing its provisions to ensure full compliance with the Paris Principles and align with recent developments in the European Union</w:t>
      </w:r>
      <w:r w:rsidR="004738C4" w:rsidRPr="00F8291E">
        <w:rPr>
          <w:sz w:val="28"/>
          <w:szCs w:val="28"/>
          <w:highlight w:val="cyan"/>
          <w:lang w:val="en-GB"/>
        </w:rPr>
        <w:t>’s</w:t>
      </w:r>
      <w:r w:rsidRPr="00F8291E">
        <w:rPr>
          <w:sz w:val="28"/>
          <w:szCs w:val="28"/>
          <w:highlight w:val="cyan"/>
          <w:lang w:val="en-GB"/>
        </w:rPr>
        <w:t xml:space="preserve"> legal framework. Significant attention has been placed on reviewing the feedback provided during prior Parliamentary debates, ensuring that potential gaps are addressed to enhance the Bill’s overall effectiveness.</w:t>
      </w:r>
      <w:r w:rsidRPr="008D5B26">
        <w:rPr>
          <w:sz w:val="28"/>
          <w:szCs w:val="28"/>
          <w:lang w:val="en-GB"/>
        </w:rPr>
        <w:t xml:space="preserve"> </w:t>
      </w:r>
    </w:p>
    <w:p w14:paraId="5561337A" w14:textId="77777777" w:rsidR="004738C4" w:rsidRDefault="004738C4" w:rsidP="008D5B26">
      <w:pPr>
        <w:spacing w:line="360" w:lineRule="auto"/>
        <w:jc w:val="both"/>
        <w:rPr>
          <w:sz w:val="28"/>
          <w:szCs w:val="28"/>
          <w:lang w:val="en-GB"/>
        </w:rPr>
      </w:pPr>
    </w:p>
    <w:p w14:paraId="11BB025C" w14:textId="70F07FBC" w:rsidR="008D5B26" w:rsidRPr="008D5B26" w:rsidRDefault="008D5B26" w:rsidP="008D5B26">
      <w:pPr>
        <w:spacing w:line="360" w:lineRule="auto"/>
        <w:jc w:val="both"/>
        <w:rPr>
          <w:sz w:val="28"/>
          <w:szCs w:val="28"/>
          <w:lang w:val="en-GB"/>
        </w:rPr>
      </w:pPr>
      <w:r w:rsidRPr="00F8291E">
        <w:rPr>
          <w:sz w:val="28"/>
          <w:szCs w:val="28"/>
          <w:highlight w:val="cyan"/>
          <w:lang w:val="en-GB"/>
        </w:rPr>
        <w:t>Furthermore, the draft legislation has been revised to reflect the newly adopted EU Directives 2024/1499</w:t>
      </w:r>
      <w:r w:rsidRPr="00F8291E">
        <w:rPr>
          <w:rStyle w:val="FootnoteReference"/>
          <w:sz w:val="28"/>
          <w:szCs w:val="28"/>
          <w:highlight w:val="cyan"/>
          <w:lang w:val="en-GB"/>
        </w:rPr>
        <w:footnoteReference w:id="2"/>
      </w:r>
      <w:r w:rsidRPr="00F8291E">
        <w:rPr>
          <w:sz w:val="28"/>
          <w:szCs w:val="28"/>
          <w:highlight w:val="cyan"/>
          <w:lang w:val="en-GB"/>
        </w:rPr>
        <w:t xml:space="preserve"> and 2024/1500</w:t>
      </w:r>
      <w:r w:rsidRPr="00F8291E">
        <w:rPr>
          <w:rStyle w:val="FootnoteReference"/>
          <w:sz w:val="28"/>
          <w:szCs w:val="28"/>
          <w:highlight w:val="cyan"/>
          <w:lang w:val="en-GB"/>
        </w:rPr>
        <w:footnoteReference w:id="3"/>
      </w:r>
      <w:r w:rsidRPr="00F8291E">
        <w:rPr>
          <w:sz w:val="28"/>
          <w:szCs w:val="28"/>
          <w:highlight w:val="cyan"/>
          <w:lang w:val="en-GB"/>
        </w:rPr>
        <w:t>, which establish minimum standards for equality bodies, particularly regarding their independence, resources, and powers. The proposed NHRI is conceived to function as an independent, well-resourced, and effective entity to be endowed with the necessary legal mandate to promote and protect human rights fervently. This initiative encompasses reinforcing financial and operational autonomy, ensuring pluralism in its composition, and providing clear mechanisms for facilitating access to justice. Our process has involved extensive consultations with key stakeholders, including experts and public authorities, fostering a broad and inclusive approach to shaping the institution’s mandate.</w:t>
      </w:r>
      <w:r w:rsidRPr="008D5B26">
        <w:rPr>
          <w:sz w:val="28"/>
          <w:szCs w:val="28"/>
          <w:lang w:val="en-GB"/>
        </w:rPr>
        <w:t xml:space="preserve"> </w:t>
      </w:r>
    </w:p>
    <w:p w14:paraId="54EB6A50" w14:textId="77777777" w:rsidR="008D5B26" w:rsidRPr="008D5B26" w:rsidRDefault="008D5B26" w:rsidP="008D5B26">
      <w:pPr>
        <w:spacing w:line="360" w:lineRule="auto"/>
        <w:jc w:val="both"/>
        <w:rPr>
          <w:sz w:val="28"/>
          <w:szCs w:val="28"/>
          <w:lang w:val="en-GB"/>
        </w:rPr>
      </w:pPr>
    </w:p>
    <w:p w14:paraId="4E564AAE" w14:textId="77777777" w:rsidR="008D5B26" w:rsidRPr="008D5B26" w:rsidRDefault="008D5B26" w:rsidP="008D5B26">
      <w:pPr>
        <w:spacing w:line="360" w:lineRule="auto"/>
        <w:jc w:val="both"/>
        <w:rPr>
          <w:sz w:val="28"/>
          <w:szCs w:val="28"/>
          <w:lang w:val="en-GB"/>
        </w:rPr>
      </w:pPr>
      <w:r w:rsidRPr="008D5B26">
        <w:rPr>
          <w:sz w:val="28"/>
          <w:szCs w:val="28"/>
          <w:lang w:val="en-GB"/>
        </w:rPr>
        <w:lastRenderedPageBreak/>
        <w:t>Guaranteeing the NHRI's ability to operate independently from the Government remains a priority for the Office of the Prime Minister, European Funds, Equality, Reforms and Social Dialogue (OPM-EES). Specific steps are being taken to ensure legal safeguards that prevent interference, provide adequate funding, and establish an expansive mandate encompassing all human rights issues.</w:t>
      </w:r>
    </w:p>
    <w:p w14:paraId="36F11AF9" w14:textId="77777777" w:rsidR="008D5B26" w:rsidRPr="008D5B26" w:rsidRDefault="008D5B26" w:rsidP="008D5B26">
      <w:pPr>
        <w:spacing w:line="360" w:lineRule="auto"/>
        <w:jc w:val="both"/>
        <w:rPr>
          <w:sz w:val="28"/>
          <w:szCs w:val="28"/>
          <w:lang w:val="en-GB"/>
        </w:rPr>
      </w:pPr>
    </w:p>
    <w:p w14:paraId="5F7BC515" w14:textId="77777777" w:rsidR="008D5B26" w:rsidRPr="008D5B26" w:rsidRDefault="008D5B26" w:rsidP="008D5B26">
      <w:pPr>
        <w:spacing w:line="360" w:lineRule="auto"/>
        <w:jc w:val="both"/>
        <w:rPr>
          <w:sz w:val="28"/>
          <w:szCs w:val="28"/>
          <w:lang w:val="en-GB"/>
        </w:rPr>
      </w:pPr>
      <w:r w:rsidRPr="008D5B26">
        <w:rPr>
          <w:sz w:val="28"/>
          <w:szCs w:val="28"/>
          <w:lang w:val="en-GB"/>
        </w:rPr>
        <w:t>Chair,</w:t>
      </w:r>
    </w:p>
    <w:p w14:paraId="77A28610" w14:textId="77777777" w:rsidR="008D5B26" w:rsidRPr="008D5B26" w:rsidRDefault="008D5B26" w:rsidP="008D5B26">
      <w:pPr>
        <w:spacing w:line="360" w:lineRule="auto"/>
        <w:jc w:val="both"/>
        <w:rPr>
          <w:sz w:val="28"/>
          <w:szCs w:val="28"/>
          <w:lang w:val="en-GB"/>
        </w:rPr>
      </w:pPr>
    </w:p>
    <w:p w14:paraId="2A44A899" w14:textId="77777777" w:rsidR="008D5B26" w:rsidRPr="008D5B26" w:rsidRDefault="008D5B26" w:rsidP="008D5B26">
      <w:pPr>
        <w:spacing w:line="360" w:lineRule="auto"/>
        <w:jc w:val="both"/>
        <w:rPr>
          <w:sz w:val="28"/>
          <w:szCs w:val="28"/>
          <w:lang w:val="en-GB"/>
        </w:rPr>
      </w:pPr>
      <w:r w:rsidRPr="008D5B26">
        <w:rPr>
          <w:sz w:val="28"/>
          <w:szCs w:val="28"/>
          <w:lang w:val="en-GB"/>
        </w:rPr>
        <w:t>Regarding the measures implemented by Malta to safeguard children from all forms of harm, including the serious issue of enforced disappearances, the Minor Protection (Alternative Care) Act (Chapter 602 of the Laws of Malta) plays a pivotal role. This legislation not only emphasises the commitment of the Maltese government to the protection of minors but also establishes a robust framework for mandatory reporting of any concerns related to child welfare.</w:t>
      </w:r>
    </w:p>
    <w:p w14:paraId="1E1C1196" w14:textId="77777777" w:rsidR="008D5B26" w:rsidRPr="008D5B26" w:rsidRDefault="008D5B26" w:rsidP="008D5B26">
      <w:pPr>
        <w:spacing w:line="360" w:lineRule="auto"/>
        <w:jc w:val="both"/>
        <w:rPr>
          <w:sz w:val="28"/>
          <w:szCs w:val="28"/>
          <w:lang w:val="en-GB"/>
        </w:rPr>
      </w:pPr>
    </w:p>
    <w:p w14:paraId="2704B3A0" w14:textId="4C515C43" w:rsidR="008D5B26" w:rsidRPr="008D5B26" w:rsidRDefault="008D5B26" w:rsidP="008D5B26">
      <w:pPr>
        <w:spacing w:line="360" w:lineRule="auto"/>
        <w:jc w:val="both"/>
        <w:rPr>
          <w:sz w:val="28"/>
          <w:szCs w:val="28"/>
          <w:lang w:val="en-GB"/>
        </w:rPr>
      </w:pPr>
      <w:r w:rsidRPr="008D5B26">
        <w:rPr>
          <w:sz w:val="28"/>
          <w:szCs w:val="28"/>
          <w:lang w:val="en-GB"/>
        </w:rPr>
        <w:t>The Act mandates that various professionals, including social workers, educators, and healthcare providers, are obli</w:t>
      </w:r>
      <w:r w:rsidR="00AA5C31">
        <w:rPr>
          <w:sz w:val="28"/>
          <w:szCs w:val="28"/>
          <w:lang w:val="en-GB"/>
        </w:rPr>
        <w:t>ged</w:t>
      </w:r>
      <w:r w:rsidRPr="008D5B26">
        <w:rPr>
          <w:sz w:val="28"/>
          <w:szCs w:val="28"/>
          <w:lang w:val="en-GB"/>
        </w:rPr>
        <w:t xml:space="preserve"> to report any suspected cases of abuse, neglect, or potential enforced disappearances. This requirement is aimed at fostering a proactive approach in identifying and addressing risks to children's safety. By ensuring that these critical vulnerabilities are promptly reported and addressed, the Act reinforces Malta’s commitment to the principle of the best interests of the child and aligns with international standards for child protection. </w:t>
      </w:r>
    </w:p>
    <w:p w14:paraId="3B68CBD4" w14:textId="77777777" w:rsidR="008D5B26" w:rsidRPr="008D5B26" w:rsidRDefault="008D5B26" w:rsidP="008D5B26">
      <w:pPr>
        <w:spacing w:line="360" w:lineRule="auto"/>
        <w:jc w:val="both"/>
        <w:rPr>
          <w:sz w:val="28"/>
          <w:szCs w:val="28"/>
          <w:lang w:val="en-GB"/>
        </w:rPr>
      </w:pPr>
    </w:p>
    <w:p w14:paraId="7A6BC3E2" w14:textId="77777777" w:rsidR="008D5B26" w:rsidRPr="008D5B26" w:rsidRDefault="008D5B26" w:rsidP="008D5B26">
      <w:pPr>
        <w:spacing w:line="360" w:lineRule="auto"/>
        <w:jc w:val="both"/>
        <w:rPr>
          <w:sz w:val="28"/>
          <w:szCs w:val="28"/>
          <w:lang w:val="en-GB"/>
        </w:rPr>
      </w:pPr>
      <w:r w:rsidRPr="008D5B26">
        <w:rPr>
          <w:sz w:val="28"/>
          <w:szCs w:val="28"/>
          <w:lang w:val="en-GB"/>
        </w:rPr>
        <w:t xml:space="preserve">Furthermore, the legislation is designed to facilitate a collaborative response among various stakeholders, including law enforcement, social services, and non-governmental organisations, to ensure that children are not only protected </w:t>
      </w:r>
      <w:r w:rsidRPr="008D5B26">
        <w:rPr>
          <w:sz w:val="28"/>
          <w:szCs w:val="28"/>
          <w:lang w:val="en-GB"/>
        </w:rPr>
        <w:lastRenderedPageBreak/>
        <w:t>from immediate harm but also supported in their overall well-being and development. Through such comprehensive measures, Malta strives to create a safer environment for children, thereby minimising the risks of enforced disappearances and other forms of harm.</w:t>
      </w:r>
    </w:p>
    <w:p w14:paraId="0E68757D" w14:textId="77777777" w:rsidR="008D5B26" w:rsidRPr="008D5B26" w:rsidRDefault="008D5B26" w:rsidP="008D5B26">
      <w:pPr>
        <w:spacing w:line="360" w:lineRule="auto"/>
        <w:jc w:val="both"/>
        <w:rPr>
          <w:sz w:val="28"/>
          <w:szCs w:val="28"/>
          <w:lang w:val="en-GB"/>
        </w:rPr>
      </w:pPr>
    </w:p>
    <w:p w14:paraId="1346AF3D" w14:textId="77777777" w:rsidR="008D5B26" w:rsidRPr="008D5B26" w:rsidRDefault="008D5B26" w:rsidP="008D5B26">
      <w:pPr>
        <w:spacing w:line="360" w:lineRule="auto"/>
        <w:jc w:val="both"/>
        <w:rPr>
          <w:sz w:val="28"/>
          <w:szCs w:val="28"/>
          <w:lang w:val="en-GB"/>
        </w:rPr>
      </w:pPr>
      <w:r w:rsidRPr="008D5B26">
        <w:rPr>
          <w:sz w:val="28"/>
          <w:szCs w:val="28"/>
          <w:lang w:val="en-GB"/>
        </w:rPr>
        <w:t xml:space="preserve">Chair, </w:t>
      </w:r>
    </w:p>
    <w:p w14:paraId="5ACB3832" w14:textId="77777777" w:rsidR="008D5B26" w:rsidRPr="008D5B26" w:rsidRDefault="008D5B26" w:rsidP="008D5B26">
      <w:pPr>
        <w:spacing w:line="360" w:lineRule="auto"/>
        <w:jc w:val="both"/>
        <w:rPr>
          <w:sz w:val="28"/>
          <w:szCs w:val="28"/>
          <w:lang w:val="en-GB"/>
        </w:rPr>
      </w:pPr>
    </w:p>
    <w:p w14:paraId="19BD6DA3" w14:textId="7365F7B4" w:rsidR="008D5B26" w:rsidRDefault="008D5B26" w:rsidP="008D5B26">
      <w:pPr>
        <w:spacing w:line="360" w:lineRule="auto"/>
        <w:jc w:val="both"/>
        <w:rPr>
          <w:sz w:val="28"/>
          <w:szCs w:val="28"/>
          <w:lang w:val="en-GB"/>
        </w:rPr>
      </w:pPr>
      <w:r w:rsidRPr="008D5B26">
        <w:rPr>
          <w:sz w:val="28"/>
          <w:szCs w:val="28"/>
          <w:lang w:val="en-GB"/>
        </w:rPr>
        <w:t>It is important to highlight that Malta is in full compliance with Article 17(3) of the Convention, which mandates that official registers of individuals deprived of liberty, irrespective of their nature</w:t>
      </w:r>
      <w:r w:rsidR="00285712">
        <w:rPr>
          <w:sz w:val="28"/>
          <w:szCs w:val="28"/>
          <w:lang w:val="en-GB"/>
        </w:rPr>
        <w:t xml:space="preserve"> and location</w:t>
      </w:r>
      <w:r w:rsidRPr="008D5B26">
        <w:rPr>
          <w:sz w:val="28"/>
          <w:szCs w:val="28"/>
          <w:lang w:val="en-GB"/>
        </w:rPr>
        <w:t>, are maintained by the appropriate authorities and updated as necessary.</w:t>
      </w:r>
    </w:p>
    <w:p w14:paraId="50C9B5AF" w14:textId="77777777" w:rsidR="00676D3D" w:rsidRPr="008D5B26" w:rsidRDefault="00676D3D" w:rsidP="008D5B26">
      <w:pPr>
        <w:spacing w:line="360" w:lineRule="auto"/>
        <w:jc w:val="both"/>
        <w:rPr>
          <w:sz w:val="28"/>
          <w:szCs w:val="28"/>
          <w:lang w:val="en-GB"/>
        </w:rPr>
      </w:pPr>
    </w:p>
    <w:p w14:paraId="1323BBB7" w14:textId="77777777" w:rsidR="008D5B26" w:rsidRPr="008D5B26" w:rsidRDefault="008D5B26" w:rsidP="008D5B26">
      <w:pPr>
        <w:spacing w:line="360" w:lineRule="auto"/>
        <w:jc w:val="both"/>
        <w:rPr>
          <w:sz w:val="28"/>
          <w:szCs w:val="28"/>
          <w:lang w:val="en-GB"/>
        </w:rPr>
      </w:pPr>
      <w:r w:rsidRPr="008D5B26">
        <w:rPr>
          <w:sz w:val="28"/>
          <w:szCs w:val="28"/>
          <w:lang w:val="en-GB"/>
        </w:rPr>
        <w:t xml:space="preserve">In conclusion, Malta is resolutely committed to the promotion and protection of human rights, including enforced disappearances. Our efforts reflect not only our legal obligations but also our moral commitment to uphold the dignity and rights of all individuals. As we continue to engage cooperatively with international bodies and remain active participants in global dialogues, we will persist in developing robust legal frameworks, thereby fostering a culture that prioritises human rights and the rule of law. By taking these critical steps, we reinforce our dedication to justice, accountability, and the protection of the fundamental human rights and freedoms.  </w:t>
      </w:r>
    </w:p>
    <w:p w14:paraId="0FEC4D99" w14:textId="77777777" w:rsidR="008D5B26" w:rsidRPr="008D5B26" w:rsidRDefault="008D5B26" w:rsidP="008D5B26">
      <w:pPr>
        <w:spacing w:line="360" w:lineRule="auto"/>
        <w:jc w:val="both"/>
        <w:rPr>
          <w:sz w:val="28"/>
          <w:szCs w:val="28"/>
          <w:lang w:val="en-GB"/>
        </w:rPr>
      </w:pPr>
    </w:p>
    <w:p w14:paraId="5CE5297B" w14:textId="77777777" w:rsidR="008D5B26" w:rsidRPr="008D5B26" w:rsidRDefault="008D5B26" w:rsidP="008D5B26">
      <w:pPr>
        <w:spacing w:line="360" w:lineRule="auto"/>
        <w:jc w:val="both"/>
        <w:rPr>
          <w:sz w:val="28"/>
          <w:szCs w:val="28"/>
          <w:lang w:val="en-GB"/>
        </w:rPr>
      </w:pPr>
      <w:r w:rsidRPr="008D5B26">
        <w:rPr>
          <w:sz w:val="28"/>
          <w:szCs w:val="28"/>
          <w:lang w:val="en-GB"/>
        </w:rPr>
        <w:t>Thank you.</w:t>
      </w:r>
    </w:p>
    <w:p w14:paraId="24478E90" w14:textId="4418629F" w:rsidR="00FA5593" w:rsidRPr="008D5B26" w:rsidRDefault="00FA5593" w:rsidP="008D5B26">
      <w:pPr>
        <w:spacing w:line="360" w:lineRule="auto"/>
        <w:jc w:val="both"/>
        <w:rPr>
          <w:lang w:val="en-GB"/>
        </w:rPr>
      </w:pPr>
    </w:p>
    <w:sectPr w:rsidR="00FA5593" w:rsidRPr="008D5B26" w:rsidSect="009C6F52">
      <w:headerReference w:type="even" r:id="rId11"/>
      <w:headerReference w:type="default" r:id="rId12"/>
      <w:footerReference w:type="even" r:id="rId13"/>
      <w:footerReference w:type="default" r:id="rId14"/>
      <w:headerReference w:type="first" r:id="rId15"/>
      <w:footerReference w:type="first" r:id="rId16"/>
      <w:pgSz w:w="11900" w:h="16840"/>
      <w:pgMar w:top="2127" w:right="1127" w:bottom="1440" w:left="1276"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A68F66" w14:textId="77777777" w:rsidR="006B046B" w:rsidRDefault="006B046B" w:rsidP="0066567E">
      <w:r>
        <w:separator/>
      </w:r>
    </w:p>
  </w:endnote>
  <w:endnote w:type="continuationSeparator" w:id="0">
    <w:p w14:paraId="67B10A37" w14:textId="77777777" w:rsidR="006B046B" w:rsidRDefault="006B046B" w:rsidP="0066567E">
      <w:r>
        <w:continuationSeparator/>
      </w:r>
    </w:p>
  </w:endnote>
  <w:endnote w:type="continuationNotice" w:id="1">
    <w:p w14:paraId="13F9A349" w14:textId="77777777" w:rsidR="008955AC" w:rsidRDefault="008955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12889465"/>
      <w:docPartObj>
        <w:docPartGallery w:val="Page Numbers (Bottom of Page)"/>
        <w:docPartUnique/>
      </w:docPartObj>
    </w:sdtPr>
    <w:sdtEndPr>
      <w:rPr>
        <w:rStyle w:val="PageNumber"/>
      </w:rPr>
    </w:sdtEndPr>
    <w:sdtContent>
      <w:p w14:paraId="7629CA3C" w14:textId="09E6D1D3" w:rsidR="008C79D9" w:rsidRDefault="008C79D9" w:rsidP="00C94739">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1D5A6F3" w14:textId="77777777" w:rsidR="008C79D9" w:rsidRDefault="008C79D9" w:rsidP="008C79D9">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Arial" w:hAnsi="Arial" w:cs="Arial"/>
        <w:color w:val="818285"/>
        <w:sz w:val="20"/>
      </w:rPr>
      <w:id w:val="1265969789"/>
      <w:docPartObj>
        <w:docPartGallery w:val="Page Numbers (Bottom of Page)"/>
        <w:docPartUnique/>
      </w:docPartObj>
    </w:sdtPr>
    <w:sdtEndPr>
      <w:rPr>
        <w:rStyle w:val="PageNumber"/>
      </w:rPr>
    </w:sdtEndPr>
    <w:sdtContent>
      <w:p w14:paraId="742AA43C" w14:textId="3DC97CA7" w:rsidR="008C79D9" w:rsidRPr="008C79D9" w:rsidRDefault="008C79D9" w:rsidP="00C94739">
        <w:pPr>
          <w:pStyle w:val="Footer"/>
          <w:framePr w:wrap="none" w:vAnchor="text" w:hAnchor="margin" w:y="1"/>
          <w:rPr>
            <w:rStyle w:val="PageNumber"/>
            <w:rFonts w:ascii="Arial" w:hAnsi="Arial" w:cs="Arial"/>
            <w:color w:val="818285"/>
            <w:sz w:val="20"/>
          </w:rPr>
        </w:pPr>
        <w:r w:rsidRPr="008C79D9">
          <w:rPr>
            <w:rStyle w:val="PageNumber"/>
            <w:rFonts w:ascii="Arial" w:hAnsi="Arial" w:cs="Arial"/>
            <w:color w:val="818285"/>
            <w:sz w:val="20"/>
          </w:rPr>
          <w:fldChar w:fldCharType="begin"/>
        </w:r>
        <w:r w:rsidRPr="008C79D9">
          <w:rPr>
            <w:rStyle w:val="PageNumber"/>
            <w:rFonts w:ascii="Arial" w:hAnsi="Arial" w:cs="Arial"/>
            <w:color w:val="818285"/>
            <w:sz w:val="20"/>
          </w:rPr>
          <w:instrText xml:space="preserve"> PAGE </w:instrText>
        </w:r>
        <w:r w:rsidRPr="008C79D9">
          <w:rPr>
            <w:rStyle w:val="PageNumber"/>
            <w:rFonts w:ascii="Arial" w:hAnsi="Arial" w:cs="Arial"/>
            <w:color w:val="818285"/>
            <w:sz w:val="20"/>
          </w:rPr>
          <w:fldChar w:fldCharType="separate"/>
        </w:r>
        <w:r w:rsidRPr="008C79D9">
          <w:rPr>
            <w:rStyle w:val="PageNumber"/>
            <w:rFonts w:ascii="Arial" w:hAnsi="Arial" w:cs="Arial"/>
            <w:noProof/>
            <w:color w:val="818285"/>
            <w:sz w:val="20"/>
          </w:rPr>
          <w:t>1</w:t>
        </w:r>
        <w:r w:rsidRPr="008C79D9">
          <w:rPr>
            <w:rStyle w:val="PageNumber"/>
            <w:rFonts w:ascii="Arial" w:hAnsi="Arial" w:cs="Arial"/>
            <w:color w:val="818285"/>
            <w:sz w:val="20"/>
          </w:rPr>
          <w:fldChar w:fldCharType="end"/>
        </w:r>
      </w:p>
    </w:sdtContent>
  </w:sdt>
  <w:p w14:paraId="7988580A" w14:textId="24651113" w:rsidR="00161F59" w:rsidRDefault="008C79D9" w:rsidP="008C79D9">
    <w:pPr>
      <w:pStyle w:val="Footer"/>
      <w:ind w:firstLine="360"/>
    </w:pPr>
    <w:r>
      <w:tab/>
    </w:r>
    <w:r>
      <w:tab/>
    </w:r>
  </w:p>
  <w:p w14:paraId="76D02E7D" w14:textId="77777777" w:rsidR="00161F59" w:rsidRDefault="00161F5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E2644" w14:textId="390C2468" w:rsidR="008C79D9" w:rsidRDefault="008C79D9">
    <w:pPr>
      <w:pStyle w:val="Footer"/>
    </w:pPr>
    <w:r>
      <w:rPr>
        <w:noProof/>
      </w:rPr>
      <w:drawing>
        <wp:anchor distT="0" distB="0" distL="114300" distR="114300" simplePos="0" relativeHeight="251658240" behindDoc="1" locked="1" layoutInCell="1" allowOverlap="1" wp14:anchorId="21DD7D67" wp14:editId="4C6D5FFA">
          <wp:simplePos x="0" y="0"/>
          <wp:positionH relativeFrom="page">
            <wp:posOffset>3571875</wp:posOffset>
          </wp:positionH>
          <wp:positionV relativeFrom="page">
            <wp:posOffset>95250</wp:posOffset>
          </wp:positionV>
          <wp:extent cx="3942080" cy="10626725"/>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preferRelativeResize="0"/>
                </pic:nvPicPr>
                <pic:blipFill>
                  <a:blip r:embed="rId1">
                    <a:extLst>
                      <a:ext uri="{BEBA8EAE-BF5A-486C-A8C5-ECC9F3942E4B}">
                        <a14:imgProps xmlns:a14="http://schemas.microsoft.com/office/drawing/2010/main">
                          <a14:imgLayer r:embed="rId2">
                            <a14:imgEffect>
                              <a14:brightnessContrast bright="-100000"/>
                            </a14:imgEffect>
                          </a14:imgLayer>
                        </a14:imgProps>
                      </a:ext>
                    </a:extLst>
                  </a:blip>
                  <a:stretch>
                    <a:fillRect/>
                  </a:stretch>
                </pic:blipFill>
                <pic:spPr>
                  <a:xfrm>
                    <a:off x="0" y="0"/>
                    <a:ext cx="3942080" cy="10626725"/>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1A31D6" w14:textId="77777777" w:rsidR="006B046B" w:rsidRDefault="006B046B" w:rsidP="0066567E">
      <w:r>
        <w:separator/>
      </w:r>
    </w:p>
  </w:footnote>
  <w:footnote w:type="continuationSeparator" w:id="0">
    <w:p w14:paraId="04ECC4AD" w14:textId="77777777" w:rsidR="006B046B" w:rsidRDefault="006B046B" w:rsidP="0066567E">
      <w:r>
        <w:continuationSeparator/>
      </w:r>
    </w:p>
  </w:footnote>
  <w:footnote w:type="continuationNotice" w:id="1">
    <w:p w14:paraId="1AF9E3DF" w14:textId="77777777" w:rsidR="008955AC" w:rsidRDefault="008955AC"/>
  </w:footnote>
  <w:footnote w:id="2">
    <w:p w14:paraId="5E7530E5" w14:textId="77777777" w:rsidR="008D5B26" w:rsidRPr="00ED3C0B" w:rsidRDefault="008D5B26" w:rsidP="008D5B26">
      <w:pPr>
        <w:pStyle w:val="FootnoteText"/>
        <w:jc w:val="both"/>
        <w:rPr>
          <w:lang w:val="mt-MT"/>
        </w:rPr>
      </w:pPr>
      <w:r>
        <w:rPr>
          <w:rStyle w:val="FootnoteReference"/>
        </w:rPr>
        <w:footnoteRef/>
      </w:r>
      <w:r>
        <w:t xml:space="preserve"> </w:t>
      </w:r>
      <w:r w:rsidRPr="00ED3C0B">
        <w:t>Council Directive (EU) 2024/1499 of 7 May 2024 on standards for equality bodies in the field of equal treatment between persons irrespective of their racial or ethnic origin, equal treatment in matters of employment and occupation between persons irrespective of their religion or belief, disability, age or sexual orientation, equal treatment between women and men in matters of social security and in the access to and supply of goods and services, and amending Directives 2000/43/EC and 2004/113/EC</w:t>
      </w:r>
    </w:p>
  </w:footnote>
  <w:footnote w:id="3">
    <w:p w14:paraId="50E19988" w14:textId="77777777" w:rsidR="008D5B26" w:rsidRPr="00ED3C0B" w:rsidRDefault="008D5B26" w:rsidP="008D5B26">
      <w:pPr>
        <w:pStyle w:val="FootnoteText"/>
        <w:jc w:val="both"/>
        <w:rPr>
          <w:lang w:val="mt-MT"/>
        </w:rPr>
      </w:pPr>
      <w:r>
        <w:rPr>
          <w:rStyle w:val="FootnoteReference"/>
        </w:rPr>
        <w:footnoteRef/>
      </w:r>
      <w:r>
        <w:t xml:space="preserve"> </w:t>
      </w:r>
      <w:r w:rsidRPr="008600CF">
        <w:t>Directive (EU) 2024/1500 of the European Parliament and of the Council of 14 May 2024 on standards for equality bodies in the field of equal treatment and equal opportunities between women and men in matters of employment and occupation, and amending Directives 2006/54/EC and 2010/41/EU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EB7EE" w14:textId="77777777" w:rsidR="001A275B" w:rsidRDefault="001A27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04521" w14:textId="0D98E90E" w:rsidR="0066567E" w:rsidRDefault="005B5AAE">
    <w:pPr>
      <w:pStyle w:val="Header"/>
    </w:pPr>
    <w:r>
      <w:rPr>
        <w:noProof/>
      </w:rPr>
      <w:drawing>
        <wp:anchor distT="0" distB="0" distL="114300" distR="114300" simplePos="0" relativeHeight="251658241" behindDoc="0" locked="0" layoutInCell="1" allowOverlap="1" wp14:anchorId="63F36759" wp14:editId="6ADCA3B3">
          <wp:simplePos x="0" y="0"/>
          <wp:positionH relativeFrom="column">
            <wp:posOffset>-391160</wp:posOffset>
          </wp:positionH>
          <wp:positionV relativeFrom="paragraph">
            <wp:posOffset>53340</wp:posOffset>
          </wp:positionV>
          <wp:extent cx="3191777" cy="845820"/>
          <wp:effectExtent l="0" t="0" r="0" b="0"/>
          <wp:wrapNone/>
          <wp:docPr id="31" name="Picture 3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BEBA8EAE-BF5A-486C-A8C5-ECC9F3942E4B}">
                        <a14:imgProps xmlns:a14="http://schemas.microsoft.com/office/drawing/2010/main">
                          <a14:imgLayer r:embed="rId2">
                            <a14:imgEffect>
                              <a14:brightnessContrast bright="-100000"/>
                            </a14:imgEffect>
                          </a14:imgLayer>
                        </a14:imgProps>
                      </a:ext>
                    </a:extLst>
                  </a:blip>
                  <a:stretch>
                    <a:fillRect/>
                  </a:stretch>
                </pic:blipFill>
                <pic:spPr bwMode="auto">
                  <a:xfrm>
                    <a:off x="0" y="0"/>
                    <a:ext cx="3191777" cy="8458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61F59">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73955" w14:textId="1BF55D86" w:rsidR="008C79D9" w:rsidRDefault="006D504B">
    <w:pPr>
      <w:pStyle w:val="Header"/>
    </w:pPr>
    <w:r>
      <w:rPr>
        <w:noProof/>
      </w:rPr>
      <w:drawing>
        <wp:anchor distT="0" distB="0" distL="114300" distR="114300" simplePos="0" relativeHeight="251658242" behindDoc="0" locked="0" layoutInCell="1" allowOverlap="1" wp14:anchorId="2F118C5D" wp14:editId="10DBCBA6">
          <wp:simplePos x="0" y="0"/>
          <wp:positionH relativeFrom="column">
            <wp:posOffset>-381000</wp:posOffset>
          </wp:positionH>
          <wp:positionV relativeFrom="paragraph">
            <wp:posOffset>46990</wp:posOffset>
          </wp:positionV>
          <wp:extent cx="3191777" cy="845820"/>
          <wp:effectExtent l="0" t="0" r="0" b="0"/>
          <wp:wrapNone/>
          <wp:docPr id="1" name="Picture 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BEBA8EAE-BF5A-486C-A8C5-ECC9F3942E4B}">
                        <a14:imgProps xmlns:a14="http://schemas.microsoft.com/office/drawing/2010/main">
                          <a14:imgLayer r:embed="rId2">
                            <a14:imgEffect>
                              <a14:brightnessContrast bright="-100000"/>
                            </a14:imgEffect>
                          </a14:imgLayer>
                        </a14:imgProps>
                      </a:ext>
                    </a:extLst>
                  </a:blip>
                  <a:stretch>
                    <a:fillRect/>
                  </a:stretch>
                </pic:blipFill>
                <pic:spPr bwMode="auto">
                  <a:xfrm>
                    <a:off x="0" y="0"/>
                    <a:ext cx="3191777" cy="84582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DB37FE"/>
    <w:multiLevelType w:val="multilevel"/>
    <w:tmpl w:val="94423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0A84EB0"/>
    <w:multiLevelType w:val="hybridMultilevel"/>
    <w:tmpl w:val="E50EE72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 w15:restartNumberingAfterBreak="0">
    <w:nsid w:val="7FA8272E"/>
    <w:multiLevelType w:val="hybridMultilevel"/>
    <w:tmpl w:val="8C8A2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2170744">
    <w:abstractNumId w:val="1"/>
  </w:num>
  <w:num w:numId="2" w16cid:durableId="992872052">
    <w:abstractNumId w:val="2"/>
  </w:num>
  <w:num w:numId="3" w16cid:durableId="3223199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8A3"/>
    <w:rsid w:val="00005F6E"/>
    <w:rsid w:val="0002684C"/>
    <w:rsid w:val="000362B4"/>
    <w:rsid w:val="00060A5E"/>
    <w:rsid w:val="0006249F"/>
    <w:rsid w:val="00065510"/>
    <w:rsid w:val="00093BD4"/>
    <w:rsid w:val="000A5793"/>
    <w:rsid w:val="000A6460"/>
    <w:rsid w:val="000C7101"/>
    <w:rsid w:val="00134D45"/>
    <w:rsid w:val="00145252"/>
    <w:rsid w:val="00157544"/>
    <w:rsid w:val="00161F59"/>
    <w:rsid w:val="00172277"/>
    <w:rsid w:val="00196469"/>
    <w:rsid w:val="001A0FF8"/>
    <w:rsid w:val="001A275B"/>
    <w:rsid w:val="001A3F22"/>
    <w:rsid w:val="001A61DF"/>
    <w:rsid w:val="001C06A4"/>
    <w:rsid w:val="001C2968"/>
    <w:rsid w:val="001D239E"/>
    <w:rsid w:val="001D632B"/>
    <w:rsid w:val="001E24E4"/>
    <w:rsid w:val="001E3569"/>
    <w:rsid w:val="001F5979"/>
    <w:rsid w:val="00212E48"/>
    <w:rsid w:val="002212A2"/>
    <w:rsid w:val="00226FD0"/>
    <w:rsid w:val="0023586F"/>
    <w:rsid w:val="00235888"/>
    <w:rsid w:val="00246DEE"/>
    <w:rsid w:val="002553B2"/>
    <w:rsid w:val="00257383"/>
    <w:rsid w:val="002579C7"/>
    <w:rsid w:val="00262FCD"/>
    <w:rsid w:val="00285712"/>
    <w:rsid w:val="002A1252"/>
    <w:rsid w:val="002A1CE1"/>
    <w:rsid w:val="002B3ADB"/>
    <w:rsid w:val="002B478D"/>
    <w:rsid w:val="002E0343"/>
    <w:rsid w:val="002E17A6"/>
    <w:rsid w:val="002F333F"/>
    <w:rsid w:val="00300B74"/>
    <w:rsid w:val="00313DB2"/>
    <w:rsid w:val="00322BF9"/>
    <w:rsid w:val="00323E46"/>
    <w:rsid w:val="00351729"/>
    <w:rsid w:val="00361A1D"/>
    <w:rsid w:val="003D62D6"/>
    <w:rsid w:val="003E2021"/>
    <w:rsid w:val="00424EA9"/>
    <w:rsid w:val="00460BFF"/>
    <w:rsid w:val="004738C4"/>
    <w:rsid w:val="00482788"/>
    <w:rsid w:val="004A4C42"/>
    <w:rsid w:val="004C7CF4"/>
    <w:rsid w:val="004E5187"/>
    <w:rsid w:val="004F42C5"/>
    <w:rsid w:val="004F6C8F"/>
    <w:rsid w:val="005162FE"/>
    <w:rsid w:val="00550581"/>
    <w:rsid w:val="005575F5"/>
    <w:rsid w:val="00563615"/>
    <w:rsid w:val="005B5AAE"/>
    <w:rsid w:val="00625898"/>
    <w:rsid w:val="00645CC5"/>
    <w:rsid w:val="0066567E"/>
    <w:rsid w:val="00676D3D"/>
    <w:rsid w:val="006778A5"/>
    <w:rsid w:val="00695583"/>
    <w:rsid w:val="00696C90"/>
    <w:rsid w:val="006B046B"/>
    <w:rsid w:val="006B060A"/>
    <w:rsid w:val="006B28B5"/>
    <w:rsid w:val="006D504B"/>
    <w:rsid w:val="0070745D"/>
    <w:rsid w:val="007141F1"/>
    <w:rsid w:val="0072134C"/>
    <w:rsid w:val="00726D3C"/>
    <w:rsid w:val="0074100F"/>
    <w:rsid w:val="0078546C"/>
    <w:rsid w:val="007932C7"/>
    <w:rsid w:val="007A1F76"/>
    <w:rsid w:val="007B421D"/>
    <w:rsid w:val="007C5BAA"/>
    <w:rsid w:val="007D0AF9"/>
    <w:rsid w:val="0083478E"/>
    <w:rsid w:val="008508AB"/>
    <w:rsid w:val="008955AC"/>
    <w:rsid w:val="008C1E58"/>
    <w:rsid w:val="008C79D9"/>
    <w:rsid w:val="008D25DF"/>
    <w:rsid w:val="008D4719"/>
    <w:rsid w:val="008D5B26"/>
    <w:rsid w:val="008E3B00"/>
    <w:rsid w:val="00901809"/>
    <w:rsid w:val="00913EEF"/>
    <w:rsid w:val="00916E1B"/>
    <w:rsid w:val="00930C47"/>
    <w:rsid w:val="00930F94"/>
    <w:rsid w:val="00933928"/>
    <w:rsid w:val="00943C84"/>
    <w:rsid w:val="00944217"/>
    <w:rsid w:val="00953478"/>
    <w:rsid w:val="00973C4B"/>
    <w:rsid w:val="009954DF"/>
    <w:rsid w:val="009A3B47"/>
    <w:rsid w:val="009B4F65"/>
    <w:rsid w:val="009C6F52"/>
    <w:rsid w:val="00A01C9C"/>
    <w:rsid w:val="00A061D6"/>
    <w:rsid w:val="00A2467F"/>
    <w:rsid w:val="00A31D40"/>
    <w:rsid w:val="00A51386"/>
    <w:rsid w:val="00A57162"/>
    <w:rsid w:val="00A77E9B"/>
    <w:rsid w:val="00A90C94"/>
    <w:rsid w:val="00AA335C"/>
    <w:rsid w:val="00AA40F6"/>
    <w:rsid w:val="00AA5C31"/>
    <w:rsid w:val="00AB1070"/>
    <w:rsid w:val="00AB5236"/>
    <w:rsid w:val="00AE32CA"/>
    <w:rsid w:val="00B13966"/>
    <w:rsid w:val="00B4708A"/>
    <w:rsid w:val="00B51262"/>
    <w:rsid w:val="00B52B2E"/>
    <w:rsid w:val="00B865FA"/>
    <w:rsid w:val="00BA2602"/>
    <w:rsid w:val="00BA4E01"/>
    <w:rsid w:val="00BC0BF9"/>
    <w:rsid w:val="00BC39DA"/>
    <w:rsid w:val="00BD3888"/>
    <w:rsid w:val="00C02BD4"/>
    <w:rsid w:val="00C03D93"/>
    <w:rsid w:val="00C3459D"/>
    <w:rsid w:val="00C5618B"/>
    <w:rsid w:val="00C561BE"/>
    <w:rsid w:val="00C9696B"/>
    <w:rsid w:val="00CB6C8A"/>
    <w:rsid w:val="00CE3CD8"/>
    <w:rsid w:val="00CE68A3"/>
    <w:rsid w:val="00CF449A"/>
    <w:rsid w:val="00D04A98"/>
    <w:rsid w:val="00D35584"/>
    <w:rsid w:val="00D766D1"/>
    <w:rsid w:val="00DA6659"/>
    <w:rsid w:val="00DB5216"/>
    <w:rsid w:val="00DC370A"/>
    <w:rsid w:val="00DC6E7E"/>
    <w:rsid w:val="00DD7CD2"/>
    <w:rsid w:val="00DE0F17"/>
    <w:rsid w:val="00DF6870"/>
    <w:rsid w:val="00E05870"/>
    <w:rsid w:val="00E30E7A"/>
    <w:rsid w:val="00E31D3B"/>
    <w:rsid w:val="00E41BD9"/>
    <w:rsid w:val="00E46495"/>
    <w:rsid w:val="00E5493F"/>
    <w:rsid w:val="00E56E7A"/>
    <w:rsid w:val="00E73BB3"/>
    <w:rsid w:val="00E9167C"/>
    <w:rsid w:val="00EC157A"/>
    <w:rsid w:val="00EC39BA"/>
    <w:rsid w:val="00F15225"/>
    <w:rsid w:val="00F16F54"/>
    <w:rsid w:val="00F27B2E"/>
    <w:rsid w:val="00F32994"/>
    <w:rsid w:val="00F43CA9"/>
    <w:rsid w:val="00F45DCC"/>
    <w:rsid w:val="00F8291E"/>
    <w:rsid w:val="00F946E0"/>
    <w:rsid w:val="00FA5593"/>
    <w:rsid w:val="00FB1E7E"/>
    <w:rsid w:val="00FE519C"/>
    <w:rsid w:val="00FE58B2"/>
    <w:rsid w:val="00FE7E0F"/>
    <w:rsid w:val="00FF470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653CB8F"/>
  <w14:defaultImageDpi w14:val="300"/>
  <w15:docId w15:val="{CABB46D0-776E-2C4A-B89D-FC3A3D74D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73C4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73C4B"/>
    <w:rPr>
      <w:rFonts w:ascii="Lucida Grande" w:hAnsi="Lucida Grande" w:cs="Lucida Grande"/>
      <w:sz w:val="18"/>
      <w:szCs w:val="18"/>
    </w:rPr>
  </w:style>
  <w:style w:type="paragraph" w:styleId="Header">
    <w:name w:val="header"/>
    <w:basedOn w:val="Normal"/>
    <w:link w:val="HeaderChar"/>
    <w:uiPriority w:val="99"/>
    <w:unhideWhenUsed/>
    <w:rsid w:val="0066567E"/>
    <w:pPr>
      <w:tabs>
        <w:tab w:val="center" w:pos="4680"/>
        <w:tab w:val="right" w:pos="9360"/>
      </w:tabs>
    </w:pPr>
  </w:style>
  <w:style w:type="character" w:customStyle="1" w:styleId="HeaderChar">
    <w:name w:val="Header Char"/>
    <w:basedOn w:val="DefaultParagraphFont"/>
    <w:link w:val="Header"/>
    <w:uiPriority w:val="99"/>
    <w:rsid w:val="0066567E"/>
  </w:style>
  <w:style w:type="paragraph" w:styleId="Footer">
    <w:name w:val="footer"/>
    <w:basedOn w:val="Normal"/>
    <w:link w:val="FooterChar"/>
    <w:uiPriority w:val="99"/>
    <w:unhideWhenUsed/>
    <w:rsid w:val="0066567E"/>
    <w:pPr>
      <w:tabs>
        <w:tab w:val="center" w:pos="4680"/>
        <w:tab w:val="right" w:pos="9360"/>
      </w:tabs>
    </w:pPr>
  </w:style>
  <w:style w:type="character" w:customStyle="1" w:styleId="FooterChar">
    <w:name w:val="Footer Char"/>
    <w:basedOn w:val="DefaultParagraphFont"/>
    <w:link w:val="Footer"/>
    <w:uiPriority w:val="99"/>
    <w:rsid w:val="0066567E"/>
  </w:style>
  <w:style w:type="paragraph" w:styleId="NormalWeb">
    <w:name w:val="Normal (Web)"/>
    <w:basedOn w:val="Normal"/>
    <w:uiPriority w:val="99"/>
    <w:unhideWhenUsed/>
    <w:rsid w:val="00161F59"/>
    <w:pPr>
      <w:spacing w:before="100" w:beforeAutospacing="1" w:after="100" w:afterAutospacing="1"/>
    </w:pPr>
    <w:rPr>
      <w:rFonts w:ascii="Times New Roman" w:eastAsia="Times New Roman" w:hAnsi="Times New Roman" w:cs="Times New Roman"/>
      <w:lang w:val="en-GB"/>
    </w:rPr>
  </w:style>
  <w:style w:type="character" w:styleId="PageNumber">
    <w:name w:val="page number"/>
    <w:basedOn w:val="DefaultParagraphFont"/>
    <w:uiPriority w:val="99"/>
    <w:semiHidden/>
    <w:unhideWhenUsed/>
    <w:rsid w:val="008C79D9"/>
  </w:style>
  <w:style w:type="character" w:styleId="Hyperlink">
    <w:name w:val="Hyperlink"/>
    <w:basedOn w:val="DefaultParagraphFont"/>
    <w:uiPriority w:val="99"/>
    <w:semiHidden/>
    <w:unhideWhenUsed/>
    <w:rsid w:val="001A275B"/>
    <w:rPr>
      <w:color w:val="0563C1"/>
      <w:u w:val="single"/>
    </w:rPr>
  </w:style>
  <w:style w:type="paragraph" w:styleId="ListParagraph">
    <w:name w:val="List Paragraph"/>
    <w:basedOn w:val="Normal"/>
    <w:uiPriority w:val="34"/>
    <w:qFormat/>
    <w:rsid w:val="001A275B"/>
    <w:pPr>
      <w:spacing w:after="160" w:line="259" w:lineRule="auto"/>
      <w:ind w:left="720"/>
      <w:contextualSpacing/>
    </w:pPr>
    <w:rPr>
      <w:rFonts w:eastAsiaTheme="minorHAnsi"/>
      <w:sz w:val="22"/>
      <w:szCs w:val="22"/>
      <w:lang w:val="en-GB"/>
    </w:rPr>
  </w:style>
  <w:style w:type="paragraph" w:customStyle="1" w:styleId="paragraph">
    <w:name w:val="paragraph"/>
    <w:basedOn w:val="Normal"/>
    <w:rsid w:val="00FA5593"/>
    <w:pPr>
      <w:spacing w:before="100" w:beforeAutospacing="1" w:after="100" w:afterAutospacing="1"/>
    </w:pPr>
    <w:rPr>
      <w:rFonts w:ascii="Times New Roman" w:eastAsia="Times New Roman" w:hAnsi="Times New Roman" w:cs="Times New Roman"/>
      <w:lang w:val="en-GB" w:eastAsia="en-GB"/>
    </w:rPr>
  </w:style>
  <w:style w:type="character" w:customStyle="1" w:styleId="normaltextrun">
    <w:name w:val="normaltextrun"/>
    <w:basedOn w:val="DefaultParagraphFont"/>
    <w:rsid w:val="00FA5593"/>
  </w:style>
  <w:style w:type="character" w:customStyle="1" w:styleId="eop">
    <w:name w:val="eop"/>
    <w:basedOn w:val="DefaultParagraphFont"/>
    <w:rsid w:val="00FA5593"/>
  </w:style>
  <w:style w:type="character" w:styleId="CommentReference">
    <w:name w:val="annotation reference"/>
    <w:basedOn w:val="DefaultParagraphFont"/>
    <w:uiPriority w:val="99"/>
    <w:semiHidden/>
    <w:unhideWhenUsed/>
    <w:rsid w:val="005575F5"/>
    <w:rPr>
      <w:sz w:val="16"/>
      <w:szCs w:val="16"/>
    </w:rPr>
  </w:style>
  <w:style w:type="paragraph" w:styleId="CommentText">
    <w:name w:val="annotation text"/>
    <w:basedOn w:val="Normal"/>
    <w:link w:val="CommentTextChar"/>
    <w:uiPriority w:val="99"/>
    <w:unhideWhenUsed/>
    <w:rsid w:val="005575F5"/>
    <w:pPr>
      <w:spacing w:after="160"/>
    </w:pPr>
    <w:rPr>
      <w:rFonts w:eastAsiaTheme="minorHAnsi"/>
      <w:sz w:val="20"/>
      <w:szCs w:val="20"/>
      <w:lang w:val="en-GB"/>
    </w:rPr>
  </w:style>
  <w:style w:type="character" w:customStyle="1" w:styleId="CommentTextChar">
    <w:name w:val="Comment Text Char"/>
    <w:basedOn w:val="DefaultParagraphFont"/>
    <w:link w:val="CommentText"/>
    <w:uiPriority w:val="99"/>
    <w:rsid w:val="005575F5"/>
    <w:rPr>
      <w:rFonts w:eastAsiaTheme="minorHAnsi"/>
      <w:sz w:val="20"/>
      <w:szCs w:val="20"/>
      <w:lang w:val="en-GB"/>
    </w:rPr>
  </w:style>
  <w:style w:type="paragraph" w:styleId="NoSpacing">
    <w:name w:val="No Spacing"/>
    <w:uiPriority w:val="1"/>
    <w:qFormat/>
    <w:rsid w:val="00D766D1"/>
  </w:style>
  <w:style w:type="paragraph" w:styleId="FootnoteText">
    <w:name w:val="footnote text"/>
    <w:basedOn w:val="Normal"/>
    <w:link w:val="FootnoteTextChar"/>
    <w:uiPriority w:val="99"/>
    <w:semiHidden/>
    <w:unhideWhenUsed/>
    <w:rsid w:val="00953478"/>
    <w:rPr>
      <w:rFonts w:eastAsiaTheme="minorHAnsi"/>
      <w:sz w:val="20"/>
      <w:szCs w:val="20"/>
      <w:lang w:val="en-GB"/>
    </w:rPr>
  </w:style>
  <w:style w:type="character" w:customStyle="1" w:styleId="FootnoteTextChar">
    <w:name w:val="Footnote Text Char"/>
    <w:basedOn w:val="DefaultParagraphFont"/>
    <w:link w:val="FootnoteText"/>
    <w:uiPriority w:val="99"/>
    <w:semiHidden/>
    <w:rsid w:val="00953478"/>
    <w:rPr>
      <w:rFonts w:eastAsiaTheme="minorHAnsi"/>
      <w:sz w:val="20"/>
      <w:szCs w:val="20"/>
      <w:lang w:val="en-GB"/>
    </w:rPr>
  </w:style>
  <w:style w:type="character" w:styleId="FootnoteReference">
    <w:name w:val="footnote reference"/>
    <w:basedOn w:val="DefaultParagraphFont"/>
    <w:uiPriority w:val="99"/>
    <w:semiHidden/>
    <w:unhideWhenUsed/>
    <w:rsid w:val="0095347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2355924">
      <w:bodyDiv w:val="1"/>
      <w:marLeft w:val="0"/>
      <w:marRight w:val="0"/>
      <w:marTop w:val="0"/>
      <w:marBottom w:val="0"/>
      <w:divBdr>
        <w:top w:val="none" w:sz="0" w:space="0" w:color="auto"/>
        <w:left w:val="none" w:sz="0" w:space="0" w:color="auto"/>
        <w:bottom w:val="none" w:sz="0" w:space="0" w:color="auto"/>
        <w:right w:val="none" w:sz="0" w:space="0" w:color="auto"/>
      </w:divBdr>
    </w:div>
    <w:div w:id="163598630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microsoft.com/office/2007/relationships/hdphoto" Target="media/hdphoto2.wdp"/><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2025-03-24T10:43:52+00:00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6" ma:contentTypeDescription="Create a new document." ma:contentTypeScope="" ma:versionID="ca222eb2a45d9726edc94fb68fead258">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eebbe114bf4dd8a6345a67140fc43595"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EAA4B8-92C9-4E5D-8E01-8C67FFBBD988}">
  <ds:schemaRefs>
    <ds:schemaRef ds:uri="http://purl.org/dc/terms/"/>
    <ds:schemaRef ds:uri="http://purl.org/dc/elements/1.1/"/>
    <ds:schemaRef ds:uri="http://schemas.microsoft.com/office/2006/metadata/properties"/>
    <ds:schemaRef ds:uri="http://schemas.microsoft.com/office/infopath/2007/PartnerControls"/>
    <ds:schemaRef ds:uri="http://schemas.microsoft.com/office/2006/documentManagement/types"/>
    <ds:schemaRef ds:uri="http://schemas.openxmlformats.org/package/2006/metadata/core-properties"/>
    <ds:schemaRef ds:uri="985ec44e-1bab-4c0b-9df0-6ba128686fc9"/>
    <ds:schemaRef ds:uri="http://www.w3.org/XML/1998/namespace"/>
    <ds:schemaRef ds:uri="8328ca42-2125-412e-803c-da962a6c2716"/>
    <ds:schemaRef ds:uri="11a6fe0c-d8de-4390-afb3-d9c7c54181f0"/>
    <ds:schemaRef ds:uri="http://purl.org/dc/dcmitype/"/>
  </ds:schemaRefs>
</ds:datastoreItem>
</file>

<file path=customXml/itemProps2.xml><?xml version="1.0" encoding="utf-8"?>
<ds:datastoreItem xmlns:ds="http://schemas.openxmlformats.org/officeDocument/2006/customXml" ds:itemID="{F99694D1-2751-44A6-9F66-1AAC622D16A5}">
  <ds:schemaRefs>
    <ds:schemaRef ds:uri="http://schemas.microsoft.com/sharepoint/v3/contenttype/forms"/>
  </ds:schemaRefs>
</ds:datastoreItem>
</file>

<file path=customXml/itemProps3.xml><?xml version="1.0" encoding="utf-8"?>
<ds:datastoreItem xmlns:ds="http://schemas.openxmlformats.org/officeDocument/2006/customXml" ds:itemID="{89531D48-256D-41DA-BA04-40E03C3F0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8328ca42-2125-412e-803c-da962a6c27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66CEF4-FE3E-BA48-8722-1905F4E818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11</Pages>
  <Words>2573</Words>
  <Characters>14670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Mohamed Amri</cp:lastModifiedBy>
  <cp:revision>42</cp:revision>
  <cp:lastPrinted>2021-03-12T14:11:00Z</cp:lastPrinted>
  <dcterms:created xsi:type="dcterms:W3CDTF">2025-03-23T15:58:00Z</dcterms:created>
  <dcterms:modified xsi:type="dcterms:W3CDTF">2025-03-24T14:22:00Z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y fmtid="{D5CDD505-2E9C-101B-9397-08002B2CF9AE}" pid="3" name="MediaServiceImageTags">
    <vt:lpwstr/>
  </property>
</Properties>
</file>