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624" w:rsidRPr="001B2345" w:rsidRDefault="00795624" w:rsidP="00795624">
      <w:pPr>
        <w:spacing w:line="240" w:lineRule="auto"/>
        <w:rPr>
          <w:rFonts w:eastAsia="Times New Roman" w:cs="Times New Roman"/>
          <w:b/>
          <w:sz w:val="24"/>
          <w:szCs w:val="24"/>
        </w:rPr>
      </w:pPr>
      <w:r w:rsidRPr="001B2345">
        <w:rPr>
          <w:rFonts w:eastAsia="Times New Roman" w:cs="Times New Roman"/>
          <w:b/>
          <w:sz w:val="24"/>
          <w:szCs w:val="24"/>
        </w:rPr>
        <w:t>ANALYSIS OF DOJ PATTERN AND PRACTICE ACTIVITY IN TH</w:t>
      </w:r>
      <w:r w:rsidR="00B431A2">
        <w:rPr>
          <w:rFonts w:eastAsia="Times New Roman" w:cs="Times New Roman"/>
          <w:b/>
          <w:sz w:val="24"/>
          <w:szCs w:val="24"/>
        </w:rPr>
        <w:t>E THREE CITIES CITED IN ITS 9/21</w:t>
      </w:r>
      <w:r w:rsidRPr="001B2345">
        <w:rPr>
          <w:rFonts w:eastAsia="Times New Roman" w:cs="Times New Roman"/>
          <w:b/>
          <w:sz w:val="24"/>
          <w:szCs w:val="24"/>
        </w:rPr>
        <w:t>/15 FOLLOW-UP REPORT TO CERD</w:t>
      </w:r>
    </w:p>
    <w:p w:rsidR="00795624" w:rsidRPr="00795624" w:rsidRDefault="00795624" w:rsidP="00795624">
      <w:pPr>
        <w:spacing w:line="240" w:lineRule="auto"/>
        <w:rPr>
          <w:rFonts w:eastAsia="Times New Roman" w:cs="Times New Roman"/>
          <w:sz w:val="24"/>
          <w:szCs w:val="24"/>
        </w:rPr>
      </w:pPr>
      <w:r w:rsidRPr="00795624">
        <w:rPr>
          <w:rFonts w:eastAsia="Times New Roman" w:cs="Times New Roman"/>
          <w:sz w:val="24"/>
          <w:szCs w:val="24"/>
        </w:rPr>
        <w:t xml:space="preserve">The US Follow-Up Report mentions three investigations of police departments </w:t>
      </w:r>
      <w:r w:rsidR="005652AD">
        <w:rPr>
          <w:rFonts w:eastAsia="Times New Roman" w:cs="Times New Roman"/>
          <w:sz w:val="24"/>
          <w:szCs w:val="24"/>
        </w:rPr>
        <w:t xml:space="preserve">during the Follow-Up Year </w:t>
      </w:r>
      <w:r w:rsidRPr="00795624">
        <w:rPr>
          <w:rFonts w:eastAsia="Times New Roman" w:cs="Times New Roman"/>
          <w:sz w:val="24"/>
          <w:szCs w:val="24"/>
        </w:rPr>
        <w:t xml:space="preserve">by the DOJ using its pattern and practice authority:  </w:t>
      </w:r>
      <w:r w:rsidRPr="00795624">
        <w:rPr>
          <w:rFonts w:eastAsia="Times New Roman" w:cs="Times New Roman"/>
          <w:b/>
          <w:sz w:val="24"/>
          <w:szCs w:val="24"/>
        </w:rPr>
        <w:t>Ferguson, Baltimore, and Cleveland</w:t>
      </w:r>
      <w:r w:rsidRPr="00795624">
        <w:rPr>
          <w:rFonts w:eastAsia="Times New Roman" w:cs="Times New Roman"/>
          <w:sz w:val="24"/>
          <w:szCs w:val="24"/>
        </w:rPr>
        <w:t xml:space="preserve">.  The Report does not state nor does it show that these investigations have promoted or are designed to promote awareness of and compliance with the standards and practices identified in the CERD’s CO 17(a) and 17(b).  In fact, </w:t>
      </w:r>
      <w:r>
        <w:rPr>
          <w:rFonts w:eastAsia="Times New Roman" w:cs="Times New Roman"/>
          <w:sz w:val="24"/>
          <w:szCs w:val="24"/>
        </w:rPr>
        <w:t xml:space="preserve">as the following analysis shows, </w:t>
      </w:r>
      <w:r w:rsidRPr="00795624">
        <w:rPr>
          <w:rFonts w:eastAsia="Times New Roman" w:cs="Times New Roman"/>
          <w:sz w:val="24"/>
          <w:szCs w:val="24"/>
        </w:rPr>
        <w:t>they do no</w:t>
      </w:r>
      <w:r w:rsidR="005652AD">
        <w:rPr>
          <w:rFonts w:eastAsia="Times New Roman" w:cs="Times New Roman"/>
          <w:sz w:val="24"/>
          <w:szCs w:val="24"/>
        </w:rPr>
        <w:t>t</w:t>
      </w:r>
      <w:r w:rsidRPr="00795624">
        <w:rPr>
          <w:rFonts w:eastAsia="Times New Roman" w:cs="Times New Roman"/>
          <w:sz w:val="24"/>
          <w:szCs w:val="24"/>
        </w:rPr>
        <w:t xml:space="preserve">.  </w:t>
      </w:r>
    </w:p>
    <w:p w:rsidR="00795624" w:rsidRPr="005652AD" w:rsidRDefault="00795624" w:rsidP="005652AD">
      <w:pPr>
        <w:pStyle w:val="ListParagraph"/>
        <w:numPr>
          <w:ilvl w:val="0"/>
          <w:numId w:val="2"/>
        </w:numPr>
        <w:spacing w:after="0" w:line="240" w:lineRule="auto"/>
        <w:ind w:left="0" w:firstLine="0"/>
        <w:rPr>
          <w:rFonts w:eastAsia="Times New Roman" w:cs="Times New Roman"/>
          <w:sz w:val="24"/>
          <w:szCs w:val="24"/>
        </w:rPr>
      </w:pPr>
      <w:r w:rsidRPr="005652AD">
        <w:rPr>
          <w:rFonts w:eastAsia="Times New Roman" w:cs="Times New Roman"/>
          <w:b/>
          <w:sz w:val="24"/>
          <w:szCs w:val="24"/>
        </w:rPr>
        <w:t xml:space="preserve"> Ferguson</w:t>
      </w:r>
      <w:r w:rsidR="005652AD" w:rsidRPr="005652AD">
        <w:rPr>
          <w:rFonts w:eastAsia="Times New Roman" w:cs="Times New Roman"/>
          <w:b/>
          <w:sz w:val="24"/>
          <w:szCs w:val="24"/>
        </w:rPr>
        <w:t xml:space="preserve">:  </w:t>
      </w:r>
      <w:r w:rsidR="00DC2DA5" w:rsidRPr="005652AD">
        <w:rPr>
          <w:rFonts w:eastAsia="Times New Roman" w:cs="Times New Roman"/>
          <w:sz w:val="24"/>
          <w:szCs w:val="24"/>
        </w:rPr>
        <w:t>T</w:t>
      </w:r>
      <w:r w:rsidRPr="005652AD">
        <w:rPr>
          <w:rFonts w:eastAsia="Times New Roman" w:cs="Times New Roman"/>
          <w:sz w:val="24"/>
          <w:szCs w:val="24"/>
        </w:rPr>
        <w:t>he US F</w:t>
      </w:r>
      <w:r w:rsidR="004871DA" w:rsidRPr="005652AD">
        <w:rPr>
          <w:rFonts w:eastAsia="Times New Roman" w:cs="Times New Roman"/>
          <w:sz w:val="24"/>
          <w:szCs w:val="24"/>
        </w:rPr>
        <w:t>o</w:t>
      </w:r>
      <w:bookmarkStart w:id="0" w:name="_GoBack"/>
      <w:r w:rsidR="004871DA" w:rsidRPr="005652AD">
        <w:rPr>
          <w:rFonts w:eastAsia="Times New Roman" w:cs="Times New Roman"/>
          <w:sz w:val="24"/>
          <w:szCs w:val="24"/>
        </w:rPr>
        <w:t>ll</w:t>
      </w:r>
      <w:bookmarkEnd w:id="0"/>
      <w:r w:rsidR="004871DA" w:rsidRPr="005652AD">
        <w:rPr>
          <w:rFonts w:eastAsia="Times New Roman" w:cs="Times New Roman"/>
          <w:sz w:val="24"/>
          <w:szCs w:val="24"/>
        </w:rPr>
        <w:t xml:space="preserve">ow-Up Report prominently refers to </w:t>
      </w:r>
      <w:r w:rsidRPr="005652AD">
        <w:rPr>
          <w:rFonts w:eastAsia="Times New Roman" w:cs="Times New Roman"/>
          <w:sz w:val="24"/>
          <w:szCs w:val="24"/>
        </w:rPr>
        <w:t xml:space="preserve">but does not provide a link to the DOJ’s March </w:t>
      </w:r>
      <w:r w:rsidR="004871DA" w:rsidRPr="005652AD">
        <w:rPr>
          <w:rFonts w:eastAsia="Times New Roman" w:cs="Times New Roman"/>
          <w:sz w:val="24"/>
          <w:szCs w:val="24"/>
        </w:rPr>
        <w:t xml:space="preserve">4, </w:t>
      </w:r>
      <w:r w:rsidRPr="005652AD">
        <w:rPr>
          <w:rFonts w:eastAsia="Times New Roman" w:cs="Times New Roman"/>
          <w:sz w:val="24"/>
          <w:szCs w:val="24"/>
        </w:rPr>
        <w:t xml:space="preserve">2015 report of its “pattern and practice” investigation of the City of Fergusson and its Police Department.  The report can be found at </w:t>
      </w:r>
      <w:hyperlink r:id="rId9" w:history="1">
        <w:r w:rsidR="004871DA" w:rsidRPr="005652AD">
          <w:rPr>
            <w:rStyle w:val="Hyperlink"/>
            <w:rFonts w:eastAsia="Times New Roman" w:cs="Times New Roman"/>
            <w:sz w:val="24"/>
            <w:szCs w:val="24"/>
          </w:rPr>
          <w:t>http://www.justice.gov/sites/default/files/opa/press-releases/attachments/2015/03/04/ferguson_police_department_report.pdf</w:t>
        </w:r>
      </w:hyperlink>
      <w:r w:rsidR="004871DA" w:rsidRPr="005652AD">
        <w:rPr>
          <w:rFonts w:eastAsia="Times New Roman" w:cs="Times New Roman"/>
          <w:sz w:val="24"/>
          <w:szCs w:val="24"/>
        </w:rPr>
        <w:t xml:space="preserve">. </w:t>
      </w:r>
    </w:p>
    <w:p w:rsidR="005652AD" w:rsidRPr="00DC2DA5" w:rsidRDefault="005652AD" w:rsidP="005652AD">
      <w:pPr>
        <w:pStyle w:val="ListParagraph"/>
        <w:spacing w:after="0" w:line="240" w:lineRule="auto"/>
        <w:ind w:left="0"/>
        <w:rPr>
          <w:rFonts w:eastAsia="Times New Roman" w:cs="Times New Roman"/>
          <w:sz w:val="24"/>
          <w:szCs w:val="24"/>
        </w:rPr>
      </w:pPr>
    </w:p>
    <w:p w:rsidR="00DC2DA5" w:rsidRDefault="00795624" w:rsidP="005652AD">
      <w:pPr>
        <w:spacing w:after="0" w:line="240" w:lineRule="auto"/>
        <w:rPr>
          <w:rFonts w:eastAsia="Times New Roman" w:cs="Times New Roman"/>
          <w:sz w:val="24"/>
          <w:szCs w:val="24"/>
        </w:rPr>
      </w:pPr>
      <w:r w:rsidRPr="00795624">
        <w:rPr>
          <w:rFonts w:eastAsia="Times New Roman" w:cs="Times New Roman"/>
          <w:sz w:val="24"/>
          <w:szCs w:val="24"/>
        </w:rPr>
        <w:t>The Report</w:t>
      </w:r>
      <w:r w:rsidR="004871DA">
        <w:rPr>
          <w:rFonts w:eastAsia="Times New Roman" w:cs="Times New Roman"/>
          <w:sz w:val="24"/>
          <w:szCs w:val="24"/>
        </w:rPr>
        <w:t xml:space="preserve">, commendable in many respects, </w:t>
      </w:r>
      <w:r w:rsidRPr="00795624">
        <w:rPr>
          <w:rFonts w:eastAsia="Times New Roman" w:cs="Times New Roman"/>
          <w:sz w:val="24"/>
          <w:szCs w:val="24"/>
        </w:rPr>
        <w:t>does not demonstrate how</w:t>
      </w:r>
      <w:r w:rsidR="00DC2DA5">
        <w:rPr>
          <w:rFonts w:eastAsia="Times New Roman" w:cs="Times New Roman"/>
          <w:sz w:val="24"/>
          <w:szCs w:val="24"/>
        </w:rPr>
        <w:t xml:space="preserve"> </w:t>
      </w:r>
      <w:r w:rsidRPr="00795624">
        <w:rPr>
          <w:rFonts w:eastAsia="Times New Roman" w:cs="Times New Roman"/>
          <w:sz w:val="24"/>
          <w:szCs w:val="24"/>
        </w:rPr>
        <w:t xml:space="preserve">the DOJ’s pattern and practice investigation and findings in Ferguson further compliance with the standards and practices identified in CO 17(a) and 17(b).  The Report also does not mention that more than half a year later it has yet to reach a court-monitored settlement agreement with the City of Ferguson to implement the DOJ’s findings. </w:t>
      </w:r>
      <w:r>
        <w:rPr>
          <w:rFonts w:eastAsia="Times New Roman" w:cs="Times New Roman"/>
          <w:sz w:val="24"/>
          <w:szCs w:val="24"/>
        </w:rPr>
        <w:t xml:space="preserve"> I</w:t>
      </w:r>
      <w:r w:rsidRPr="00795624">
        <w:rPr>
          <w:rFonts w:eastAsia="Times New Roman" w:cs="Times New Roman"/>
          <w:sz w:val="24"/>
          <w:szCs w:val="24"/>
        </w:rPr>
        <w:t xml:space="preserve">n the absence of an enunciated and demonstrated link between the DOJ’s Ferguson Report and the CERD’s CO 17(a) and 17(b), the Ferguson Pattern and Practice Report must be considered irrelevant to and non-responsive to the CERD’s request for a follow-up report. </w:t>
      </w:r>
    </w:p>
    <w:p w:rsidR="001B2345" w:rsidRDefault="00DC2DA5" w:rsidP="00DC2DA5">
      <w:pPr>
        <w:spacing w:line="240" w:lineRule="auto"/>
        <w:rPr>
          <w:rFonts w:eastAsia="Times New Roman" w:cs="Times New Roman"/>
          <w:sz w:val="24"/>
          <w:szCs w:val="24"/>
        </w:rPr>
      </w:pPr>
      <w:r>
        <w:rPr>
          <w:rFonts w:eastAsia="Times New Roman" w:cs="Times New Roman"/>
          <w:sz w:val="24"/>
          <w:szCs w:val="24"/>
        </w:rPr>
        <w:t xml:space="preserve">In fact, </w:t>
      </w:r>
      <w:r w:rsidR="000A7EB7">
        <w:rPr>
          <w:rFonts w:eastAsia="Times New Roman" w:cs="Times New Roman"/>
          <w:sz w:val="24"/>
          <w:szCs w:val="24"/>
        </w:rPr>
        <w:t xml:space="preserve">review of </w:t>
      </w:r>
      <w:r>
        <w:rPr>
          <w:rFonts w:eastAsia="Times New Roman" w:cs="Times New Roman"/>
          <w:sz w:val="24"/>
          <w:szCs w:val="24"/>
        </w:rPr>
        <w:t xml:space="preserve">the DOJ’s news conference announcing the results of its Ferguson pattern and practice investigation </w:t>
      </w:r>
      <w:r w:rsidR="007A6619">
        <w:rPr>
          <w:rFonts w:eastAsia="Times New Roman" w:cs="Times New Roman"/>
          <w:sz w:val="24"/>
          <w:szCs w:val="24"/>
        </w:rPr>
        <w:t>(</w:t>
      </w:r>
      <w:hyperlink r:id="rId10" w:history="1">
        <w:r w:rsidR="007A6619" w:rsidRPr="004E4B2E">
          <w:rPr>
            <w:rStyle w:val="Hyperlink"/>
            <w:rFonts w:eastAsia="Times New Roman" w:cs="Times New Roman"/>
            <w:sz w:val="24"/>
            <w:szCs w:val="24"/>
          </w:rPr>
          <w:t>http://www.justice.gov/opa/pr/justice-department-announces-findings-two-civil-rights-investigations-ferguson-missouri</w:t>
        </w:r>
      </w:hyperlink>
      <w:r w:rsidR="007A6619">
        <w:rPr>
          <w:rFonts w:eastAsia="Times New Roman" w:cs="Times New Roman"/>
          <w:sz w:val="24"/>
          <w:szCs w:val="24"/>
        </w:rPr>
        <w:t xml:space="preserve">) and </w:t>
      </w:r>
      <w:r w:rsidR="000A7EB7">
        <w:rPr>
          <w:rFonts w:eastAsia="Times New Roman" w:cs="Times New Roman"/>
          <w:sz w:val="24"/>
          <w:szCs w:val="24"/>
        </w:rPr>
        <w:t xml:space="preserve">the </w:t>
      </w:r>
      <w:r>
        <w:rPr>
          <w:rFonts w:eastAsia="Times New Roman" w:cs="Times New Roman"/>
          <w:sz w:val="24"/>
          <w:szCs w:val="24"/>
        </w:rPr>
        <w:t xml:space="preserve">pattern and practice report itself </w:t>
      </w:r>
      <w:r w:rsidR="007A6619">
        <w:rPr>
          <w:rFonts w:eastAsia="Times New Roman" w:cs="Times New Roman"/>
          <w:sz w:val="24"/>
          <w:szCs w:val="24"/>
        </w:rPr>
        <w:t>(</w:t>
      </w:r>
      <w:hyperlink r:id="rId11" w:history="1">
        <w:r w:rsidR="007A6619" w:rsidRPr="004E4B2E">
          <w:rPr>
            <w:rStyle w:val="Hyperlink"/>
            <w:rFonts w:eastAsia="Times New Roman" w:cs="Times New Roman"/>
            <w:sz w:val="24"/>
            <w:szCs w:val="24"/>
          </w:rPr>
          <w:t>http://www.justice.gov/sites/default/files/opa/press-releases/attachments/2015/03/04/ferguson_police_department_report.pdf</w:t>
        </w:r>
      </w:hyperlink>
      <w:r w:rsidR="007A6619">
        <w:rPr>
          <w:rFonts w:eastAsia="Times New Roman" w:cs="Times New Roman"/>
          <w:sz w:val="24"/>
          <w:szCs w:val="24"/>
        </w:rPr>
        <w:t xml:space="preserve">) </w:t>
      </w:r>
      <w:r w:rsidR="000A7EB7">
        <w:rPr>
          <w:rFonts w:eastAsia="Times New Roman" w:cs="Times New Roman"/>
          <w:sz w:val="24"/>
          <w:szCs w:val="24"/>
        </w:rPr>
        <w:t xml:space="preserve">shows that the </w:t>
      </w:r>
      <w:r>
        <w:rPr>
          <w:rFonts w:eastAsia="Times New Roman" w:cs="Times New Roman"/>
          <w:sz w:val="24"/>
          <w:szCs w:val="24"/>
        </w:rPr>
        <w:t xml:space="preserve">DOJ </w:t>
      </w:r>
      <w:r w:rsidR="000A7EB7">
        <w:rPr>
          <w:rFonts w:eastAsia="Times New Roman" w:cs="Times New Roman"/>
          <w:sz w:val="24"/>
          <w:szCs w:val="24"/>
        </w:rPr>
        <w:t xml:space="preserve">does not even </w:t>
      </w:r>
      <w:r>
        <w:rPr>
          <w:rFonts w:eastAsia="Times New Roman" w:cs="Times New Roman"/>
          <w:sz w:val="24"/>
          <w:szCs w:val="24"/>
        </w:rPr>
        <w:t>mention local governments’ on-going obligations under the ICERD and CO 17(a)</w:t>
      </w:r>
      <w:r w:rsidR="001B2345" w:rsidRPr="001B2345">
        <w:rPr>
          <w:rFonts w:eastAsia="Times New Roman" w:cs="Times New Roman"/>
          <w:sz w:val="24"/>
          <w:szCs w:val="24"/>
        </w:rPr>
        <w:t xml:space="preserve"> </w:t>
      </w:r>
      <w:r w:rsidR="001B2345">
        <w:rPr>
          <w:rFonts w:eastAsia="Times New Roman" w:cs="Times New Roman"/>
          <w:sz w:val="24"/>
          <w:szCs w:val="24"/>
        </w:rPr>
        <w:t xml:space="preserve">to provide </w:t>
      </w:r>
      <w:r w:rsidR="001B2345" w:rsidRPr="00DC2DA5">
        <w:rPr>
          <w:rFonts w:eastAsia="Times New Roman" w:cs="Times New Roman"/>
          <w:sz w:val="24"/>
          <w:szCs w:val="24"/>
        </w:rPr>
        <w:t>prompt and effectiv</w:t>
      </w:r>
      <w:r w:rsidR="00955270">
        <w:rPr>
          <w:rFonts w:eastAsia="Times New Roman" w:cs="Times New Roman"/>
          <w:sz w:val="24"/>
          <w:szCs w:val="24"/>
        </w:rPr>
        <w:t xml:space="preserve">e investigation and prosecution </w:t>
      </w:r>
      <w:r w:rsidR="001B2345" w:rsidRPr="00DC2DA5">
        <w:rPr>
          <w:rFonts w:eastAsia="Times New Roman" w:cs="Times New Roman"/>
          <w:sz w:val="24"/>
          <w:szCs w:val="24"/>
        </w:rPr>
        <w:t>of excessive force</w:t>
      </w:r>
      <w:r>
        <w:rPr>
          <w:rFonts w:eastAsia="Times New Roman" w:cs="Times New Roman"/>
          <w:sz w:val="24"/>
          <w:szCs w:val="24"/>
        </w:rPr>
        <w:t xml:space="preserve"> or draw any connection between its findings of discriminatory and unconstitutional policing and those obligations.</w:t>
      </w:r>
      <w:r w:rsidR="001B2345">
        <w:rPr>
          <w:rFonts w:eastAsia="Times New Roman" w:cs="Times New Roman"/>
          <w:sz w:val="24"/>
          <w:szCs w:val="24"/>
        </w:rPr>
        <w:t xml:space="preserve">  It is anticipated that when and if the DOJ secures a Consent Decree based on its pattern and practice report, the Consent Decree will be similarly unproductive for ongoing compliance with the ICERD and CO’s 17(a) and (b).</w:t>
      </w:r>
    </w:p>
    <w:p w:rsidR="00795624" w:rsidRPr="00DC2DA5" w:rsidRDefault="00795624" w:rsidP="00DC2DA5">
      <w:pPr>
        <w:pStyle w:val="ListParagraph"/>
        <w:numPr>
          <w:ilvl w:val="0"/>
          <w:numId w:val="2"/>
        </w:numPr>
        <w:spacing w:line="240" w:lineRule="auto"/>
        <w:ind w:left="0" w:firstLine="0"/>
        <w:rPr>
          <w:rFonts w:eastAsia="Times New Roman" w:cs="Times New Roman"/>
          <w:sz w:val="24"/>
          <w:szCs w:val="24"/>
        </w:rPr>
      </w:pPr>
      <w:r w:rsidRPr="00DC2DA5">
        <w:rPr>
          <w:rFonts w:eastAsia="Times New Roman" w:cs="Times New Roman"/>
          <w:b/>
          <w:sz w:val="24"/>
          <w:szCs w:val="24"/>
        </w:rPr>
        <w:t>Baltimore:</w:t>
      </w:r>
      <w:r w:rsidR="00DC2DA5">
        <w:rPr>
          <w:rFonts w:eastAsia="Times New Roman" w:cs="Times New Roman"/>
          <w:sz w:val="24"/>
          <w:szCs w:val="24"/>
        </w:rPr>
        <w:t xml:space="preserve"> T</w:t>
      </w:r>
      <w:r w:rsidRPr="00DC2DA5">
        <w:rPr>
          <w:rFonts w:eastAsia="Times New Roman" w:cs="Times New Roman"/>
          <w:sz w:val="24"/>
          <w:szCs w:val="24"/>
        </w:rPr>
        <w:t xml:space="preserve">he Follow-Up Report states that the DOJ has opened a “pattern and practice” investigation of the Baltimore Police Department in the wake of the death of Freddie Grey.  But as with the Ferguson investigation, the Follow-Up Report does not indicate the relevance of the DOJ’s pattern and practice investigation to ensuring </w:t>
      </w:r>
      <w:r w:rsidR="001B2345">
        <w:rPr>
          <w:rFonts w:eastAsia="Times New Roman" w:cs="Times New Roman"/>
          <w:sz w:val="24"/>
          <w:szCs w:val="24"/>
        </w:rPr>
        <w:t xml:space="preserve">nationwide </w:t>
      </w:r>
      <w:r w:rsidRPr="00DC2DA5">
        <w:rPr>
          <w:rFonts w:eastAsia="Times New Roman" w:cs="Times New Roman"/>
          <w:sz w:val="24"/>
          <w:szCs w:val="24"/>
        </w:rPr>
        <w:t xml:space="preserve">use of the standards and practices identified in the CERD’s CO 17(a) and 17(b).  In fact, in its </w:t>
      </w:r>
      <w:r w:rsidRPr="00DC2DA5">
        <w:rPr>
          <w:rFonts w:eastAsia="Times New Roman" w:cs="Times New Roman"/>
          <w:sz w:val="24"/>
          <w:szCs w:val="24"/>
        </w:rPr>
        <w:lastRenderedPageBreak/>
        <w:t>announcement of that investigation</w:t>
      </w:r>
      <w:r w:rsidR="007A6619">
        <w:rPr>
          <w:rStyle w:val="FootnoteReference"/>
          <w:rFonts w:eastAsia="Times New Roman" w:cs="Times New Roman"/>
          <w:sz w:val="24"/>
          <w:szCs w:val="24"/>
        </w:rPr>
        <w:footnoteReference w:id="1"/>
      </w:r>
      <w:r w:rsidRPr="00DC2DA5">
        <w:rPr>
          <w:rFonts w:eastAsia="Times New Roman" w:cs="Times New Roman"/>
          <w:sz w:val="24"/>
          <w:szCs w:val="24"/>
        </w:rPr>
        <w:t xml:space="preserve">, the DOJ announced a scope for its Baltimore investigation that does </w:t>
      </w:r>
      <w:r w:rsidR="007A6619">
        <w:rPr>
          <w:rFonts w:eastAsia="Times New Roman" w:cs="Times New Roman"/>
          <w:sz w:val="24"/>
          <w:szCs w:val="24"/>
        </w:rPr>
        <w:t xml:space="preserve">not include determining whether </w:t>
      </w:r>
      <w:r w:rsidRPr="00DC2DA5">
        <w:rPr>
          <w:rFonts w:eastAsia="Times New Roman" w:cs="Times New Roman"/>
          <w:sz w:val="24"/>
          <w:szCs w:val="24"/>
        </w:rPr>
        <w:t xml:space="preserve">the City of Baltimore and the Baltimore Police Department apply the standards identified in the CERD’s CO 17(a) and 17(b) by ensuring prompt and effective investigation and prosecution of excessive force by Baltimore police officers. </w:t>
      </w:r>
    </w:p>
    <w:p w:rsidR="00795624" w:rsidRPr="00795624" w:rsidRDefault="00795624" w:rsidP="00795624">
      <w:pPr>
        <w:pStyle w:val="ListParagraph"/>
        <w:spacing w:line="240" w:lineRule="auto"/>
        <w:ind w:left="0"/>
        <w:rPr>
          <w:rFonts w:eastAsia="Times New Roman" w:cs="Times New Roman"/>
          <w:sz w:val="24"/>
          <w:szCs w:val="24"/>
        </w:rPr>
      </w:pPr>
    </w:p>
    <w:p w:rsidR="005B4412" w:rsidRDefault="00795624" w:rsidP="00A409F1">
      <w:pPr>
        <w:pStyle w:val="ListParagraph"/>
        <w:spacing w:line="240" w:lineRule="auto"/>
        <w:ind w:left="0"/>
        <w:rPr>
          <w:rFonts w:eastAsia="Times New Roman" w:cs="Times New Roman"/>
          <w:sz w:val="24"/>
          <w:szCs w:val="24"/>
        </w:rPr>
      </w:pPr>
      <w:r w:rsidRPr="000A7EB7">
        <w:rPr>
          <w:rFonts w:eastAsia="Times New Roman" w:cs="Times New Roman"/>
          <w:b/>
          <w:sz w:val="24"/>
          <w:szCs w:val="24"/>
        </w:rPr>
        <w:t>Cleveland:</w:t>
      </w:r>
      <w:r w:rsidRPr="000A7EB7">
        <w:rPr>
          <w:rFonts w:eastAsia="Times New Roman" w:cs="Times New Roman"/>
          <w:sz w:val="24"/>
          <w:szCs w:val="24"/>
        </w:rPr>
        <w:t xml:space="preserve">   Of the three example cases cited, Cleveland is the only place where the DOJ has secured a Consent Decree following its Pattern and Practice Report finding discriminatory policing.  </w:t>
      </w:r>
      <w:r w:rsidR="00EA190A">
        <w:rPr>
          <w:rFonts w:eastAsia="Times New Roman" w:cs="Times New Roman"/>
          <w:sz w:val="24"/>
          <w:szCs w:val="24"/>
        </w:rPr>
        <w:t xml:space="preserve"> </w:t>
      </w:r>
      <w:r w:rsidR="00A409F1">
        <w:rPr>
          <w:rFonts w:eastAsia="Times New Roman" w:cs="Times New Roman"/>
          <w:sz w:val="24"/>
          <w:szCs w:val="24"/>
        </w:rPr>
        <w:t>T</w:t>
      </w:r>
      <w:r w:rsidR="00A409F1" w:rsidRPr="00A409F1">
        <w:rPr>
          <w:rFonts w:eastAsia="Times New Roman" w:cs="Times New Roman"/>
          <w:sz w:val="24"/>
          <w:szCs w:val="24"/>
        </w:rPr>
        <w:t xml:space="preserve">he </w:t>
      </w:r>
      <w:r w:rsidR="00A409F1">
        <w:rPr>
          <w:rFonts w:eastAsia="Times New Roman" w:cs="Times New Roman"/>
          <w:sz w:val="24"/>
          <w:szCs w:val="24"/>
        </w:rPr>
        <w:t xml:space="preserve">DOJ’s Pattern and Practice </w:t>
      </w:r>
      <w:r w:rsidR="00F1070A">
        <w:rPr>
          <w:rFonts w:eastAsia="Times New Roman" w:cs="Times New Roman"/>
          <w:sz w:val="24"/>
          <w:szCs w:val="24"/>
        </w:rPr>
        <w:t xml:space="preserve">Investigation Report </w:t>
      </w:r>
      <w:r w:rsidR="007A6619">
        <w:rPr>
          <w:rFonts w:eastAsia="Times New Roman" w:cs="Times New Roman"/>
          <w:sz w:val="24"/>
          <w:szCs w:val="24"/>
        </w:rPr>
        <w:t>and concurrent news release do</w:t>
      </w:r>
      <w:r w:rsidR="00F1070A">
        <w:rPr>
          <w:rFonts w:eastAsia="Times New Roman" w:cs="Times New Roman"/>
          <w:sz w:val="24"/>
          <w:szCs w:val="24"/>
        </w:rPr>
        <w:t xml:space="preserve"> not identify Cleveland’s failure to meet </w:t>
      </w:r>
      <w:r w:rsidR="005652AD">
        <w:rPr>
          <w:rFonts w:eastAsia="Times New Roman" w:cs="Times New Roman"/>
          <w:sz w:val="24"/>
          <w:szCs w:val="24"/>
        </w:rPr>
        <w:t xml:space="preserve">ICERD </w:t>
      </w:r>
      <w:r w:rsidR="00F1070A" w:rsidRPr="00DC2DA5">
        <w:rPr>
          <w:rFonts w:eastAsia="Times New Roman" w:cs="Times New Roman"/>
          <w:sz w:val="24"/>
          <w:szCs w:val="24"/>
        </w:rPr>
        <w:t xml:space="preserve">standards </w:t>
      </w:r>
      <w:r w:rsidR="005652AD">
        <w:rPr>
          <w:rFonts w:eastAsia="Times New Roman" w:cs="Times New Roman"/>
          <w:sz w:val="24"/>
          <w:szCs w:val="24"/>
        </w:rPr>
        <w:t>underlined i</w:t>
      </w:r>
      <w:r w:rsidR="00F1070A" w:rsidRPr="00DC2DA5">
        <w:rPr>
          <w:rFonts w:eastAsia="Times New Roman" w:cs="Times New Roman"/>
          <w:sz w:val="24"/>
          <w:szCs w:val="24"/>
        </w:rPr>
        <w:t xml:space="preserve">n the CERD’s CO 17(a) and 17(b) </w:t>
      </w:r>
      <w:r w:rsidR="00F1070A">
        <w:rPr>
          <w:rFonts w:eastAsia="Times New Roman" w:cs="Times New Roman"/>
          <w:sz w:val="24"/>
          <w:szCs w:val="24"/>
        </w:rPr>
        <w:t>as a problem</w:t>
      </w:r>
      <w:r w:rsidR="005652AD">
        <w:rPr>
          <w:rFonts w:eastAsia="Times New Roman" w:cs="Times New Roman"/>
          <w:sz w:val="24"/>
          <w:szCs w:val="24"/>
        </w:rPr>
        <w:t>.</w:t>
      </w:r>
      <w:r w:rsidR="00F1070A">
        <w:rPr>
          <w:rStyle w:val="FootnoteReference"/>
          <w:rFonts w:eastAsia="Times New Roman" w:cs="Times New Roman"/>
          <w:sz w:val="24"/>
          <w:szCs w:val="24"/>
        </w:rPr>
        <w:footnoteReference w:id="2"/>
      </w:r>
      <w:r w:rsidR="005B4412">
        <w:rPr>
          <w:rFonts w:eastAsia="Times New Roman" w:cs="Times New Roman"/>
          <w:sz w:val="24"/>
          <w:szCs w:val="24"/>
        </w:rPr>
        <w:t xml:space="preserve">  </w:t>
      </w:r>
      <w:r w:rsidR="00F1070A">
        <w:rPr>
          <w:rFonts w:eastAsia="Times New Roman" w:cs="Times New Roman"/>
          <w:sz w:val="24"/>
          <w:szCs w:val="24"/>
        </w:rPr>
        <w:t xml:space="preserve">And the </w:t>
      </w:r>
      <w:r w:rsidR="002A6C38">
        <w:rPr>
          <w:rFonts w:eastAsia="Times New Roman" w:cs="Times New Roman"/>
          <w:sz w:val="24"/>
          <w:szCs w:val="24"/>
        </w:rPr>
        <w:t xml:space="preserve">DOJ/Cleveland </w:t>
      </w:r>
      <w:r w:rsidR="00F1070A">
        <w:rPr>
          <w:rFonts w:eastAsia="Times New Roman" w:cs="Times New Roman"/>
          <w:sz w:val="24"/>
          <w:szCs w:val="24"/>
        </w:rPr>
        <w:t>C</w:t>
      </w:r>
      <w:r w:rsidR="00A409F1" w:rsidRPr="00A409F1">
        <w:rPr>
          <w:rFonts w:eastAsia="Times New Roman" w:cs="Times New Roman"/>
          <w:sz w:val="24"/>
          <w:szCs w:val="24"/>
        </w:rPr>
        <w:t>onsent Decree subsequently entered on May 27, 2015 (</w:t>
      </w:r>
      <w:hyperlink r:id="rId12" w:history="1">
        <w:r w:rsidR="00A409F1" w:rsidRPr="00A409F1">
          <w:rPr>
            <w:rStyle w:val="Hyperlink"/>
            <w:rFonts w:eastAsia="Times New Roman" w:cs="Times New Roman"/>
            <w:sz w:val="24"/>
            <w:szCs w:val="24"/>
          </w:rPr>
          <w:t>http://cleconsentdecree.com/</w:t>
        </w:r>
      </w:hyperlink>
      <w:r w:rsidR="00A409F1" w:rsidRPr="00A409F1">
        <w:rPr>
          <w:rFonts w:eastAsia="Times New Roman" w:cs="Times New Roman"/>
          <w:sz w:val="24"/>
          <w:szCs w:val="24"/>
        </w:rPr>
        <w:t>)</w:t>
      </w:r>
      <w:r w:rsidR="002A6C38">
        <w:rPr>
          <w:rFonts w:eastAsia="Times New Roman" w:cs="Times New Roman"/>
          <w:sz w:val="24"/>
          <w:szCs w:val="24"/>
        </w:rPr>
        <w:t xml:space="preserve"> </w:t>
      </w:r>
      <w:r w:rsidR="00F1070A">
        <w:rPr>
          <w:rFonts w:eastAsia="Times New Roman" w:cs="Times New Roman"/>
          <w:sz w:val="24"/>
          <w:szCs w:val="24"/>
        </w:rPr>
        <w:t xml:space="preserve">indicates no intention to make its provisions regarding, for example, independent investigation of police misconduct complaints, on-going obligations.  </w:t>
      </w:r>
    </w:p>
    <w:p w:rsidR="005B4412" w:rsidRDefault="005B4412" w:rsidP="00A409F1">
      <w:pPr>
        <w:pStyle w:val="ListParagraph"/>
        <w:spacing w:line="240" w:lineRule="auto"/>
        <w:ind w:left="0"/>
        <w:rPr>
          <w:rFonts w:eastAsia="Times New Roman" w:cs="Times New Roman"/>
          <w:sz w:val="24"/>
          <w:szCs w:val="24"/>
        </w:rPr>
      </w:pPr>
    </w:p>
    <w:p w:rsidR="002A6C38" w:rsidRDefault="00F1070A" w:rsidP="00A409F1">
      <w:pPr>
        <w:pStyle w:val="ListParagraph"/>
        <w:spacing w:line="240" w:lineRule="auto"/>
        <w:ind w:left="0"/>
        <w:rPr>
          <w:rFonts w:eastAsia="Times New Roman" w:cs="Times New Roman"/>
          <w:sz w:val="24"/>
          <w:szCs w:val="24"/>
        </w:rPr>
      </w:pPr>
      <w:r w:rsidRPr="00EA190A">
        <w:rPr>
          <w:rFonts w:eastAsia="Times New Roman" w:cs="Times New Roman"/>
          <w:sz w:val="24"/>
          <w:szCs w:val="24"/>
        </w:rPr>
        <w:t xml:space="preserve">To illustrate, </w:t>
      </w:r>
      <w:r>
        <w:rPr>
          <w:rFonts w:eastAsia="Times New Roman" w:cs="Times New Roman"/>
          <w:sz w:val="24"/>
          <w:szCs w:val="24"/>
        </w:rPr>
        <w:t xml:space="preserve">Paragraph 401 of the </w:t>
      </w:r>
      <w:r w:rsidRPr="00EA190A">
        <w:rPr>
          <w:rFonts w:eastAsia="Times New Roman" w:cs="Times New Roman"/>
          <w:sz w:val="24"/>
          <w:szCs w:val="24"/>
        </w:rPr>
        <w:t>Cleveland Consent Decree provides for dismissal of the Consent Decree</w:t>
      </w:r>
      <w:r>
        <w:rPr>
          <w:rFonts w:eastAsia="Times New Roman" w:cs="Times New Roman"/>
          <w:sz w:val="24"/>
          <w:szCs w:val="24"/>
        </w:rPr>
        <w:t xml:space="preserve"> </w:t>
      </w:r>
      <w:r w:rsidR="00386BF3">
        <w:rPr>
          <w:rFonts w:eastAsia="Times New Roman" w:cs="Times New Roman"/>
          <w:sz w:val="24"/>
          <w:szCs w:val="24"/>
        </w:rPr>
        <w:t>(</w:t>
      </w:r>
      <w:r w:rsidRPr="00EA190A">
        <w:rPr>
          <w:rFonts w:eastAsia="Times New Roman" w:cs="Times New Roman"/>
          <w:sz w:val="24"/>
          <w:szCs w:val="24"/>
        </w:rPr>
        <w:t>thereby ending court oversight and the potential for court enforcement</w:t>
      </w:r>
      <w:r w:rsidR="00386BF3">
        <w:rPr>
          <w:rFonts w:eastAsia="Times New Roman" w:cs="Times New Roman"/>
          <w:sz w:val="24"/>
          <w:szCs w:val="24"/>
        </w:rPr>
        <w:t>)</w:t>
      </w:r>
      <w:r w:rsidRPr="00EA190A">
        <w:rPr>
          <w:rFonts w:eastAsia="Times New Roman" w:cs="Times New Roman"/>
          <w:sz w:val="24"/>
          <w:szCs w:val="24"/>
        </w:rPr>
        <w:t xml:space="preserve"> </w:t>
      </w:r>
      <w:r>
        <w:rPr>
          <w:rFonts w:eastAsia="Times New Roman" w:cs="Times New Roman"/>
          <w:sz w:val="24"/>
          <w:szCs w:val="24"/>
        </w:rPr>
        <w:t xml:space="preserve">as early as two years after entry of the Consent Decree if the </w:t>
      </w:r>
      <w:r w:rsidRPr="00EA190A">
        <w:rPr>
          <w:rFonts w:eastAsia="Times New Roman" w:cs="Times New Roman"/>
          <w:sz w:val="24"/>
          <w:szCs w:val="24"/>
        </w:rPr>
        <w:t>DOJ and the City of Cleveland agree that the City has “</w:t>
      </w:r>
      <w:r>
        <w:t xml:space="preserve">been in Substantial and Effective Compliance with the search and seizure provisions for </w:t>
      </w:r>
      <w:r w:rsidRPr="00EA190A">
        <w:rPr>
          <w:b/>
        </w:rPr>
        <w:t>one year and with all of the remaining provisions for two consecutive years</w:t>
      </w:r>
      <w:r w:rsidR="003C5320">
        <w:t xml:space="preserve">.”  </w:t>
      </w:r>
      <w:r>
        <w:t xml:space="preserve">The Consent Decree defines “Substantial and Effective Compliance” as follows:  “ . . . the City either has complied with all material requirements of this Agreement, </w:t>
      </w:r>
      <w:r w:rsidRPr="005B4412">
        <w:rPr>
          <w:b/>
          <w:color w:val="C00000"/>
        </w:rPr>
        <w:t>or</w:t>
      </w:r>
      <w:r w:rsidRPr="005B4412">
        <w:rPr>
          <w:color w:val="C00000"/>
        </w:rPr>
        <w:t xml:space="preserve"> </w:t>
      </w:r>
      <w:r>
        <w:t xml:space="preserve">has achieved </w:t>
      </w:r>
      <w:r w:rsidRPr="00EA190A">
        <w:rPr>
          <w:b/>
        </w:rPr>
        <w:t xml:space="preserve">sustained and </w:t>
      </w:r>
      <w:r w:rsidRPr="00386BF3">
        <w:rPr>
          <w:b/>
          <w:color w:val="C00000"/>
        </w:rPr>
        <w:t>continuing improvement</w:t>
      </w:r>
      <w:r w:rsidRPr="00EA190A">
        <w:rPr>
          <w:b/>
        </w:rPr>
        <w:t xml:space="preserve"> in constitutional policing</w:t>
      </w:r>
      <w:r>
        <w:t xml:space="preserve">, as demonstrated pursuant to this Agreement’s outcome measures.”  Consent Decree, Sections 401.   If the DOJ objects to the City’s desire to terminate the Consent Decree, “the Court will hold a hearing on the [City’s] motion, and the burden will be on the City to demonstrate by the preponderance of the evidence that it is in </w:t>
      </w:r>
      <w:r w:rsidRPr="005B4412">
        <w:rPr>
          <w:b/>
        </w:rPr>
        <w:t>Substantial and Effective Compliance</w:t>
      </w:r>
      <w:r>
        <w:t xml:space="preserve"> </w:t>
      </w:r>
      <w:r w:rsidR="005B4412">
        <w:t xml:space="preserve">[as defined above] </w:t>
      </w:r>
      <w:r>
        <w:t xml:space="preserve">with this Agreement and has maintained such compliance </w:t>
      </w:r>
      <w:r w:rsidRPr="00EA190A">
        <w:rPr>
          <w:b/>
        </w:rPr>
        <w:t xml:space="preserve">for the required </w:t>
      </w:r>
      <w:r w:rsidR="005B4412" w:rsidRPr="005B4412">
        <w:t>[one or two year]</w:t>
      </w:r>
      <w:r w:rsidR="005B4412">
        <w:rPr>
          <w:b/>
        </w:rPr>
        <w:t xml:space="preserve"> </w:t>
      </w:r>
      <w:r w:rsidRPr="00EA190A">
        <w:rPr>
          <w:b/>
        </w:rPr>
        <w:t>time periods</w:t>
      </w:r>
      <w:r>
        <w:t xml:space="preserve">.”  </w:t>
      </w:r>
      <w:r>
        <w:rPr>
          <w:rFonts w:eastAsia="Times New Roman" w:cs="Times New Roman"/>
          <w:sz w:val="24"/>
          <w:szCs w:val="24"/>
        </w:rPr>
        <w:t xml:space="preserve"> </w:t>
      </w:r>
    </w:p>
    <w:p w:rsidR="002A6C38" w:rsidRDefault="002A6C38" w:rsidP="00A409F1">
      <w:pPr>
        <w:pStyle w:val="ListParagraph"/>
        <w:spacing w:line="240" w:lineRule="auto"/>
        <w:ind w:left="0"/>
        <w:rPr>
          <w:rFonts w:eastAsia="Times New Roman" w:cs="Times New Roman"/>
          <w:sz w:val="24"/>
          <w:szCs w:val="24"/>
        </w:rPr>
      </w:pPr>
    </w:p>
    <w:p w:rsidR="00386BF3" w:rsidRDefault="005B4412" w:rsidP="00A409F1">
      <w:pPr>
        <w:pStyle w:val="ListParagraph"/>
        <w:spacing w:line="240" w:lineRule="auto"/>
        <w:ind w:left="0"/>
        <w:rPr>
          <w:rFonts w:eastAsia="Times New Roman" w:cs="Times New Roman"/>
          <w:sz w:val="24"/>
          <w:szCs w:val="24"/>
        </w:rPr>
      </w:pPr>
      <w:r>
        <w:rPr>
          <w:rFonts w:eastAsia="Times New Roman" w:cs="Times New Roman"/>
          <w:sz w:val="24"/>
          <w:szCs w:val="24"/>
        </w:rPr>
        <w:t xml:space="preserve">Given the findings made </w:t>
      </w:r>
      <w:r w:rsidR="00386BF3">
        <w:rPr>
          <w:rFonts w:eastAsia="Times New Roman" w:cs="Times New Roman"/>
          <w:sz w:val="24"/>
          <w:szCs w:val="24"/>
        </w:rPr>
        <w:t>in the DOJ’s Pattern and Practice Investigation Report, the</w:t>
      </w:r>
      <w:r w:rsidR="002A6C38">
        <w:rPr>
          <w:rFonts w:eastAsia="Times New Roman" w:cs="Times New Roman"/>
          <w:sz w:val="24"/>
          <w:szCs w:val="24"/>
        </w:rPr>
        <w:t xml:space="preserve"> Cleveland Police Department could</w:t>
      </w:r>
      <w:r w:rsidR="00386BF3">
        <w:rPr>
          <w:rFonts w:eastAsia="Times New Roman" w:cs="Times New Roman"/>
          <w:sz w:val="24"/>
          <w:szCs w:val="24"/>
        </w:rPr>
        <w:t xml:space="preserve"> easily make “</w:t>
      </w:r>
      <w:r>
        <w:rPr>
          <w:rFonts w:eastAsia="Times New Roman" w:cs="Times New Roman"/>
          <w:sz w:val="24"/>
          <w:szCs w:val="24"/>
        </w:rPr>
        <w:t xml:space="preserve">sustained and </w:t>
      </w:r>
      <w:r w:rsidR="000E0445">
        <w:rPr>
          <w:rFonts w:eastAsia="Times New Roman" w:cs="Times New Roman"/>
          <w:sz w:val="24"/>
          <w:szCs w:val="24"/>
        </w:rPr>
        <w:t>continued improvement” towards</w:t>
      </w:r>
      <w:r w:rsidR="00386BF3">
        <w:rPr>
          <w:rFonts w:eastAsia="Times New Roman" w:cs="Times New Roman"/>
          <w:sz w:val="24"/>
          <w:szCs w:val="24"/>
        </w:rPr>
        <w:t xml:space="preserve"> what the DOJ views as “constitutional policing” for the required two year period</w:t>
      </w:r>
      <w:r w:rsidR="002A6C38">
        <w:rPr>
          <w:rFonts w:eastAsia="Times New Roman" w:cs="Times New Roman"/>
          <w:sz w:val="24"/>
          <w:szCs w:val="24"/>
        </w:rPr>
        <w:t>, thereby entitling it to termination of the Consent Decree</w:t>
      </w:r>
      <w:r w:rsidR="000E0445">
        <w:rPr>
          <w:rFonts w:eastAsia="Times New Roman" w:cs="Times New Roman"/>
          <w:sz w:val="24"/>
          <w:szCs w:val="24"/>
        </w:rPr>
        <w:t>,</w:t>
      </w:r>
      <w:r w:rsidR="00386BF3">
        <w:rPr>
          <w:rFonts w:eastAsia="Times New Roman" w:cs="Times New Roman"/>
          <w:sz w:val="24"/>
          <w:szCs w:val="24"/>
        </w:rPr>
        <w:t xml:space="preserve"> and still be operating well below the requirements of the ICERD, as emphasized by the CERD in its COs 17(a) and (b).</w:t>
      </w:r>
    </w:p>
    <w:p w:rsidR="00386BF3" w:rsidRDefault="00386BF3" w:rsidP="00A409F1">
      <w:pPr>
        <w:pStyle w:val="ListParagraph"/>
        <w:spacing w:line="240" w:lineRule="auto"/>
        <w:ind w:left="0"/>
        <w:rPr>
          <w:rFonts w:eastAsia="Times New Roman" w:cs="Times New Roman"/>
          <w:sz w:val="24"/>
          <w:szCs w:val="24"/>
        </w:rPr>
      </w:pPr>
    </w:p>
    <w:p w:rsidR="00A409F1" w:rsidRPr="00E935AB" w:rsidRDefault="003C5320" w:rsidP="00A409F1">
      <w:pPr>
        <w:pStyle w:val="ListParagraph"/>
        <w:spacing w:line="240" w:lineRule="auto"/>
        <w:ind w:left="0"/>
        <w:rPr>
          <w:rFonts w:eastAsia="Times New Roman" w:cs="Times New Roman"/>
          <w:sz w:val="24"/>
          <w:szCs w:val="24"/>
        </w:rPr>
      </w:pPr>
      <w:r>
        <w:rPr>
          <w:rFonts w:eastAsia="Times New Roman" w:cs="Times New Roman"/>
          <w:sz w:val="24"/>
          <w:szCs w:val="24"/>
        </w:rPr>
        <w:lastRenderedPageBreak/>
        <w:t xml:space="preserve">Further, </w:t>
      </w:r>
      <w:r w:rsidR="00A409F1">
        <w:rPr>
          <w:rFonts w:eastAsia="Times New Roman" w:cs="Times New Roman"/>
          <w:sz w:val="24"/>
          <w:szCs w:val="24"/>
        </w:rPr>
        <w:t>r</w:t>
      </w:r>
      <w:r w:rsidR="00E935AB">
        <w:rPr>
          <w:rFonts w:eastAsia="Times New Roman" w:cs="Times New Roman"/>
          <w:sz w:val="24"/>
          <w:szCs w:val="24"/>
        </w:rPr>
        <w:t xml:space="preserve">eview of </w:t>
      </w:r>
      <w:r w:rsidR="00F1070A">
        <w:rPr>
          <w:rFonts w:eastAsia="Times New Roman" w:cs="Times New Roman"/>
          <w:sz w:val="24"/>
          <w:szCs w:val="24"/>
        </w:rPr>
        <w:t xml:space="preserve">other DOJ </w:t>
      </w:r>
      <w:r w:rsidR="00A409F1">
        <w:rPr>
          <w:rFonts w:eastAsia="Times New Roman" w:cs="Times New Roman"/>
          <w:sz w:val="24"/>
          <w:szCs w:val="24"/>
        </w:rPr>
        <w:t xml:space="preserve">Pattern and Practice Investigation Reports for </w:t>
      </w:r>
      <w:r w:rsidR="00E935AB">
        <w:rPr>
          <w:rFonts w:eastAsia="Times New Roman" w:cs="Times New Roman"/>
          <w:sz w:val="24"/>
          <w:szCs w:val="24"/>
        </w:rPr>
        <w:t>New Orleans</w:t>
      </w:r>
      <w:r w:rsidR="00A409F1">
        <w:rPr>
          <w:rFonts w:eastAsia="Times New Roman" w:cs="Times New Roman"/>
          <w:sz w:val="24"/>
          <w:szCs w:val="24"/>
        </w:rPr>
        <w:t>,</w:t>
      </w:r>
      <w:r>
        <w:rPr>
          <w:rStyle w:val="FootnoteReference"/>
          <w:rFonts w:eastAsia="Times New Roman" w:cs="Times New Roman"/>
          <w:sz w:val="24"/>
          <w:szCs w:val="24"/>
        </w:rPr>
        <w:footnoteReference w:id="3"/>
      </w:r>
      <w:r w:rsidR="00A409F1">
        <w:rPr>
          <w:rFonts w:eastAsia="Times New Roman" w:cs="Times New Roman"/>
          <w:sz w:val="24"/>
          <w:szCs w:val="24"/>
        </w:rPr>
        <w:t xml:space="preserve"> Seattle</w:t>
      </w:r>
      <w:r>
        <w:rPr>
          <w:rStyle w:val="FootnoteReference"/>
          <w:rFonts w:eastAsia="Times New Roman" w:cs="Times New Roman"/>
          <w:sz w:val="24"/>
          <w:szCs w:val="24"/>
        </w:rPr>
        <w:footnoteReference w:id="4"/>
      </w:r>
      <w:r w:rsidR="00A409F1">
        <w:rPr>
          <w:rFonts w:eastAsia="Times New Roman" w:cs="Times New Roman"/>
          <w:sz w:val="24"/>
          <w:szCs w:val="24"/>
        </w:rPr>
        <w:t>, Portland</w:t>
      </w:r>
      <w:r>
        <w:rPr>
          <w:rStyle w:val="FootnoteReference"/>
          <w:rFonts w:eastAsia="Times New Roman" w:cs="Times New Roman"/>
          <w:sz w:val="24"/>
          <w:szCs w:val="24"/>
        </w:rPr>
        <w:footnoteReference w:id="5"/>
      </w:r>
      <w:r w:rsidR="00A409F1">
        <w:rPr>
          <w:rFonts w:eastAsia="Times New Roman" w:cs="Times New Roman"/>
          <w:sz w:val="24"/>
          <w:szCs w:val="24"/>
        </w:rPr>
        <w:t>, Newark</w:t>
      </w:r>
      <w:r w:rsidR="00F7046D">
        <w:rPr>
          <w:rStyle w:val="FootnoteReference"/>
          <w:rFonts w:eastAsia="Times New Roman" w:cs="Times New Roman"/>
          <w:sz w:val="24"/>
          <w:szCs w:val="24"/>
        </w:rPr>
        <w:footnoteReference w:id="6"/>
      </w:r>
      <w:r w:rsidR="00A409F1">
        <w:rPr>
          <w:rFonts w:eastAsia="Times New Roman" w:cs="Times New Roman"/>
          <w:sz w:val="24"/>
          <w:szCs w:val="24"/>
        </w:rPr>
        <w:t>, and Albequerque</w:t>
      </w:r>
      <w:r w:rsidR="00F7046D">
        <w:rPr>
          <w:rStyle w:val="FootnoteReference"/>
          <w:rFonts w:eastAsia="Times New Roman" w:cs="Times New Roman"/>
          <w:sz w:val="24"/>
          <w:szCs w:val="24"/>
        </w:rPr>
        <w:footnoteReference w:id="7"/>
      </w:r>
      <w:r w:rsidR="00A409F1">
        <w:rPr>
          <w:rFonts w:eastAsia="Times New Roman" w:cs="Times New Roman"/>
          <w:sz w:val="24"/>
          <w:szCs w:val="24"/>
        </w:rPr>
        <w:t xml:space="preserve"> </w:t>
      </w:r>
      <w:r w:rsidR="00F1070A">
        <w:rPr>
          <w:rFonts w:eastAsia="Times New Roman" w:cs="Times New Roman"/>
          <w:sz w:val="24"/>
          <w:szCs w:val="24"/>
        </w:rPr>
        <w:t>confirms</w:t>
      </w:r>
      <w:r w:rsidR="00A409F1" w:rsidRPr="00E935AB">
        <w:rPr>
          <w:rFonts w:eastAsia="Times New Roman" w:cs="Times New Roman"/>
          <w:sz w:val="24"/>
          <w:szCs w:val="24"/>
        </w:rPr>
        <w:t xml:space="preserve"> that the DOJ has not, does not</w:t>
      </w:r>
      <w:r w:rsidR="00F1070A">
        <w:rPr>
          <w:rFonts w:eastAsia="Times New Roman" w:cs="Times New Roman"/>
          <w:sz w:val="24"/>
          <w:szCs w:val="24"/>
        </w:rPr>
        <w:t xml:space="preserve">, and appears to have </w:t>
      </w:r>
      <w:r w:rsidR="00A409F1" w:rsidRPr="00E935AB">
        <w:rPr>
          <w:rFonts w:eastAsia="Times New Roman" w:cs="Times New Roman"/>
          <w:sz w:val="24"/>
          <w:szCs w:val="24"/>
        </w:rPr>
        <w:t xml:space="preserve">no intention to </w:t>
      </w:r>
      <w:r w:rsidR="005B4412">
        <w:rPr>
          <w:rFonts w:eastAsia="Times New Roman" w:cs="Times New Roman"/>
          <w:sz w:val="24"/>
          <w:szCs w:val="24"/>
        </w:rPr>
        <w:t xml:space="preserve">ever </w:t>
      </w:r>
      <w:r w:rsidR="00A409F1" w:rsidRPr="00E935AB">
        <w:rPr>
          <w:rFonts w:eastAsia="Times New Roman" w:cs="Times New Roman"/>
          <w:sz w:val="24"/>
          <w:szCs w:val="24"/>
        </w:rPr>
        <w:t>use its pattern and practice authority to secure on-going compliance with the ICERD standards identified in CO 17(a) and (b).</w:t>
      </w:r>
      <w:r w:rsidR="00F7046D">
        <w:rPr>
          <w:rFonts w:eastAsia="Times New Roman" w:cs="Times New Roman"/>
          <w:sz w:val="24"/>
          <w:szCs w:val="24"/>
        </w:rPr>
        <w:t xml:space="preserve">  </w:t>
      </w:r>
      <w:r w:rsidR="00671137">
        <w:rPr>
          <w:rFonts w:eastAsia="Times New Roman" w:cs="Times New Roman"/>
          <w:sz w:val="24"/>
          <w:szCs w:val="24"/>
        </w:rPr>
        <w:t>Accordingly, t</w:t>
      </w:r>
      <w:r w:rsidR="00F7046D">
        <w:rPr>
          <w:rFonts w:eastAsia="Times New Roman" w:cs="Times New Roman"/>
          <w:sz w:val="24"/>
          <w:szCs w:val="24"/>
        </w:rPr>
        <w:t>he US</w:t>
      </w:r>
      <w:r w:rsidR="007F262E">
        <w:rPr>
          <w:rFonts w:eastAsia="Times New Roman" w:cs="Times New Roman"/>
          <w:sz w:val="24"/>
          <w:szCs w:val="24"/>
        </w:rPr>
        <w:t xml:space="preserve"> Follow-Up Report’s suggestion (</w:t>
      </w:r>
      <w:r w:rsidR="00F7046D">
        <w:rPr>
          <w:rFonts w:eastAsia="Times New Roman" w:cs="Times New Roman"/>
          <w:sz w:val="24"/>
          <w:szCs w:val="24"/>
        </w:rPr>
        <w:t xml:space="preserve">by </w:t>
      </w:r>
      <w:r w:rsidR="000E0445">
        <w:rPr>
          <w:rFonts w:eastAsia="Times New Roman" w:cs="Times New Roman"/>
          <w:sz w:val="24"/>
          <w:szCs w:val="24"/>
        </w:rPr>
        <w:t>prominently referring to</w:t>
      </w:r>
      <w:r w:rsidR="00F7046D">
        <w:rPr>
          <w:rFonts w:eastAsia="Times New Roman" w:cs="Times New Roman"/>
          <w:sz w:val="24"/>
          <w:szCs w:val="24"/>
        </w:rPr>
        <w:t xml:space="preserve"> </w:t>
      </w:r>
      <w:r w:rsidR="007F262E">
        <w:rPr>
          <w:rFonts w:eastAsia="Times New Roman" w:cs="Times New Roman"/>
          <w:sz w:val="24"/>
          <w:szCs w:val="24"/>
        </w:rPr>
        <w:t xml:space="preserve">the DOJ’s </w:t>
      </w:r>
      <w:r w:rsidR="00F7046D">
        <w:rPr>
          <w:rFonts w:eastAsia="Times New Roman" w:cs="Times New Roman"/>
          <w:sz w:val="24"/>
          <w:szCs w:val="24"/>
        </w:rPr>
        <w:t>Pattern and Practice activity</w:t>
      </w:r>
      <w:r w:rsidR="007F262E">
        <w:rPr>
          <w:rFonts w:eastAsia="Times New Roman" w:cs="Times New Roman"/>
          <w:sz w:val="24"/>
          <w:szCs w:val="24"/>
        </w:rPr>
        <w:t xml:space="preserve">) </w:t>
      </w:r>
      <w:r w:rsidR="00F7046D">
        <w:rPr>
          <w:rFonts w:eastAsia="Times New Roman" w:cs="Times New Roman"/>
          <w:sz w:val="24"/>
          <w:szCs w:val="24"/>
        </w:rPr>
        <w:t>that the DOJ</w:t>
      </w:r>
      <w:r w:rsidR="000E0445">
        <w:rPr>
          <w:rFonts w:eastAsia="Times New Roman" w:cs="Times New Roman"/>
          <w:sz w:val="24"/>
          <w:szCs w:val="24"/>
        </w:rPr>
        <w:t xml:space="preserve">’s </w:t>
      </w:r>
      <w:r w:rsidR="00F7046D">
        <w:rPr>
          <w:rFonts w:eastAsia="Times New Roman" w:cs="Times New Roman"/>
          <w:sz w:val="24"/>
          <w:szCs w:val="24"/>
        </w:rPr>
        <w:t xml:space="preserve"> Pattern and Practice authority ensure</w:t>
      </w:r>
      <w:r w:rsidR="000E0445">
        <w:rPr>
          <w:rFonts w:eastAsia="Times New Roman" w:cs="Times New Roman"/>
          <w:sz w:val="24"/>
          <w:szCs w:val="24"/>
        </w:rPr>
        <w:t>s</w:t>
      </w:r>
      <w:r w:rsidR="00F7046D">
        <w:rPr>
          <w:rFonts w:eastAsia="Times New Roman" w:cs="Times New Roman"/>
          <w:sz w:val="24"/>
          <w:szCs w:val="24"/>
        </w:rPr>
        <w:t xml:space="preserve"> or promote</w:t>
      </w:r>
      <w:r w:rsidR="000E0445">
        <w:rPr>
          <w:rFonts w:eastAsia="Times New Roman" w:cs="Times New Roman"/>
          <w:sz w:val="24"/>
          <w:szCs w:val="24"/>
        </w:rPr>
        <w:t>s</w:t>
      </w:r>
      <w:r w:rsidR="00F7046D">
        <w:rPr>
          <w:rFonts w:eastAsia="Times New Roman" w:cs="Times New Roman"/>
          <w:sz w:val="24"/>
          <w:szCs w:val="24"/>
        </w:rPr>
        <w:t xml:space="preserve"> US law enforcement agencies fulfill</w:t>
      </w:r>
      <w:r w:rsidR="000E0445">
        <w:rPr>
          <w:rFonts w:eastAsia="Times New Roman" w:cs="Times New Roman"/>
          <w:sz w:val="24"/>
          <w:szCs w:val="24"/>
        </w:rPr>
        <w:t xml:space="preserve">ment of </w:t>
      </w:r>
      <w:r w:rsidR="00F7046D">
        <w:rPr>
          <w:rFonts w:eastAsia="Times New Roman" w:cs="Times New Roman"/>
          <w:sz w:val="24"/>
          <w:szCs w:val="24"/>
        </w:rPr>
        <w:t xml:space="preserve"> the obligations emphasized in COs 17(a) and (b) is erroneous.</w:t>
      </w:r>
      <w:r w:rsidR="00A409F1" w:rsidRPr="00E935AB">
        <w:rPr>
          <w:rFonts w:eastAsia="Times New Roman" w:cs="Times New Roman"/>
          <w:sz w:val="24"/>
          <w:szCs w:val="24"/>
        </w:rPr>
        <w:t xml:space="preserve">  </w:t>
      </w:r>
    </w:p>
    <w:p w:rsidR="00A409F1" w:rsidRDefault="00A409F1" w:rsidP="00A409F1">
      <w:pPr>
        <w:pStyle w:val="ListParagraph"/>
        <w:spacing w:line="240" w:lineRule="auto"/>
        <w:ind w:left="0"/>
        <w:rPr>
          <w:rFonts w:eastAsia="Times New Roman" w:cs="Times New Roman"/>
          <w:sz w:val="24"/>
          <w:szCs w:val="24"/>
        </w:rPr>
      </w:pPr>
    </w:p>
    <w:p w:rsidR="007F262E" w:rsidRDefault="005B4412" w:rsidP="00E935AB">
      <w:pPr>
        <w:pStyle w:val="ListParagraph"/>
        <w:spacing w:line="240" w:lineRule="auto"/>
        <w:ind w:left="0"/>
      </w:pPr>
      <w:r>
        <w:rPr>
          <w:rFonts w:eastAsia="Times New Roman" w:cs="Times New Roman"/>
          <w:sz w:val="24"/>
          <w:szCs w:val="24"/>
        </w:rPr>
        <w:t xml:space="preserve">This conclusion is </w:t>
      </w:r>
      <w:r w:rsidR="007F262E">
        <w:rPr>
          <w:rFonts w:eastAsia="Times New Roman" w:cs="Times New Roman"/>
          <w:sz w:val="24"/>
          <w:szCs w:val="24"/>
        </w:rPr>
        <w:t xml:space="preserve">further </w:t>
      </w:r>
      <w:r>
        <w:rPr>
          <w:rFonts w:eastAsia="Times New Roman" w:cs="Times New Roman"/>
          <w:sz w:val="24"/>
          <w:szCs w:val="24"/>
        </w:rPr>
        <w:t>supported by the DOJ’s response</w:t>
      </w:r>
      <w:r w:rsidR="007F262E">
        <w:rPr>
          <w:rFonts w:eastAsia="Times New Roman" w:cs="Times New Roman"/>
          <w:sz w:val="24"/>
          <w:szCs w:val="24"/>
        </w:rPr>
        <w:t xml:space="preserve"> </w:t>
      </w:r>
      <w:r w:rsidR="000E0445">
        <w:rPr>
          <w:rFonts w:eastAsia="Times New Roman" w:cs="Times New Roman"/>
          <w:sz w:val="24"/>
          <w:szCs w:val="24"/>
        </w:rPr>
        <w:t xml:space="preserve">when </w:t>
      </w:r>
      <w:r w:rsidR="007F262E">
        <w:rPr>
          <w:rFonts w:eastAsia="Times New Roman" w:cs="Times New Roman"/>
          <w:sz w:val="24"/>
          <w:szCs w:val="24"/>
        </w:rPr>
        <w:t xml:space="preserve">questioned as to what </w:t>
      </w:r>
      <w:r w:rsidR="007F262E">
        <w:t>conduct the pattern or practice laws make illegal</w:t>
      </w:r>
      <w:r w:rsidR="000E0445">
        <w:t>.  T</w:t>
      </w:r>
      <w:r w:rsidR="007F262E">
        <w:t xml:space="preserve">he DOJ responded as follows:  </w:t>
      </w:r>
    </w:p>
    <w:p w:rsidR="007F262E" w:rsidRPr="007F262E" w:rsidRDefault="007F262E" w:rsidP="007F262E">
      <w:pPr>
        <w:spacing w:after="0" w:line="240" w:lineRule="auto"/>
        <w:ind w:left="720" w:right="720"/>
        <w:rPr>
          <w:rFonts w:eastAsia="Times New Roman" w:cs="Arial"/>
          <w:sz w:val="24"/>
          <w:szCs w:val="24"/>
        </w:rPr>
      </w:pPr>
      <w:r w:rsidRPr="007F262E">
        <w:rPr>
          <w:rFonts w:eastAsia="Times New Roman" w:cs="Arial"/>
          <w:sz w:val="24"/>
          <w:szCs w:val="24"/>
        </w:rPr>
        <w:t xml:space="preserve">Section 14141 makes unlawful a pattern or practice of violating the United States </w:t>
      </w:r>
    </w:p>
    <w:p w:rsidR="007F262E" w:rsidRPr="007F262E" w:rsidRDefault="004871DA" w:rsidP="007F262E">
      <w:pPr>
        <w:spacing w:after="0" w:line="240" w:lineRule="auto"/>
        <w:ind w:left="720" w:right="720"/>
        <w:rPr>
          <w:rFonts w:eastAsia="Times New Roman" w:cs="Arial"/>
          <w:sz w:val="24"/>
          <w:szCs w:val="24"/>
        </w:rPr>
      </w:pPr>
      <w:r>
        <w:rPr>
          <w:rFonts w:eastAsia="Times New Roman" w:cs="Arial"/>
          <w:sz w:val="24"/>
          <w:szCs w:val="24"/>
        </w:rPr>
        <w:t xml:space="preserve">Constitution or </w:t>
      </w:r>
      <w:r w:rsidR="007F262E" w:rsidRPr="007F262E">
        <w:rPr>
          <w:rFonts w:eastAsia="Times New Roman" w:cs="Arial"/>
          <w:sz w:val="24"/>
          <w:szCs w:val="24"/>
        </w:rPr>
        <w:t xml:space="preserve">federal law. In doing so, it prohibits law enforcement agencies from regularly violating existing constitutional protections against police misconduct, such as excessive force, false arrests, unreasonable searches or seizures, and intentional racial or ethnic discrimination. It also prohibits agencies from regularly violating existing protections against police misconduct </w:t>
      </w:r>
    </w:p>
    <w:p w:rsidR="007F262E" w:rsidRDefault="007F262E" w:rsidP="002A6C38">
      <w:pPr>
        <w:spacing w:after="0" w:line="240" w:lineRule="auto"/>
        <w:ind w:left="720" w:right="720"/>
        <w:rPr>
          <w:rFonts w:ascii="Arial" w:eastAsia="Times New Roman" w:hAnsi="Arial" w:cs="Arial"/>
          <w:sz w:val="30"/>
          <w:szCs w:val="30"/>
        </w:rPr>
      </w:pPr>
      <w:r w:rsidRPr="007F262E">
        <w:rPr>
          <w:rFonts w:eastAsia="Times New Roman" w:cs="Arial"/>
          <w:sz w:val="24"/>
          <w:szCs w:val="24"/>
        </w:rPr>
        <w:t>under federal statutes, such as Title VI of the Civil Rights Act of 1964, 42 U.S.C. 2000d (discrimination on the basis of race, color or national origin by recipients of federal financial assistance), the Safe Streets Act (described above), and §504 of the Rehabilitation Act of 1973,</w:t>
      </w:r>
      <w:r w:rsidR="004871DA">
        <w:rPr>
          <w:rFonts w:eastAsia="Times New Roman" w:cs="Arial"/>
          <w:sz w:val="24"/>
          <w:szCs w:val="24"/>
        </w:rPr>
        <w:t xml:space="preserve"> </w:t>
      </w:r>
      <w:r w:rsidRPr="007F262E">
        <w:rPr>
          <w:rFonts w:eastAsia="Times New Roman" w:cs="Arial"/>
          <w:sz w:val="24"/>
          <w:szCs w:val="24"/>
        </w:rPr>
        <w:t xml:space="preserve">29 U.S.C. §794 (discrimination on the basis of disability) . </w:t>
      </w:r>
      <w:r>
        <w:rPr>
          <w:rStyle w:val="FootnoteReference"/>
          <w:rFonts w:eastAsia="Times New Roman" w:cs="Arial"/>
          <w:sz w:val="24"/>
          <w:szCs w:val="24"/>
        </w:rPr>
        <w:footnoteReference w:id="8"/>
      </w:r>
      <w:r w:rsidRPr="007F262E">
        <w:rPr>
          <w:rFonts w:ascii="Arial" w:eastAsia="Times New Roman" w:hAnsi="Arial" w:cs="Arial"/>
          <w:sz w:val="30"/>
          <w:szCs w:val="30"/>
        </w:rPr>
        <w:t xml:space="preserve"> </w:t>
      </w:r>
    </w:p>
    <w:p w:rsidR="000E0445" w:rsidRPr="002A6C38" w:rsidRDefault="000E0445" w:rsidP="002A6C38">
      <w:pPr>
        <w:spacing w:after="0" w:line="240" w:lineRule="auto"/>
        <w:ind w:left="720" w:right="720"/>
        <w:rPr>
          <w:rFonts w:eastAsia="Times New Roman" w:cs="Arial"/>
          <w:sz w:val="24"/>
          <w:szCs w:val="24"/>
        </w:rPr>
      </w:pPr>
    </w:p>
    <w:p w:rsidR="002A6C38" w:rsidRDefault="006F65E1" w:rsidP="00795624">
      <w:pPr>
        <w:pStyle w:val="ListParagraph"/>
        <w:spacing w:line="240" w:lineRule="auto"/>
        <w:ind w:left="0"/>
        <w:rPr>
          <w:rFonts w:eastAsia="Times New Roman" w:cs="Times New Roman"/>
          <w:sz w:val="24"/>
          <w:szCs w:val="24"/>
        </w:rPr>
      </w:pPr>
      <w:r w:rsidRPr="006F65E1">
        <w:rPr>
          <w:rFonts w:eastAsia="Times New Roman" w:cs="Times New Roman"/>
          <w:b/>
          <w:sz w:val="24"/>
          <w:szCs w:val="24"/>
        </w:rPr>
        <w:t>In sum:</w:t>
      </w:r>
      <w:r w:rsidR="00795624" w:rsidRPr="00795624">
        <w:rPr>
          <w:rFonts w:eastAsia="Times New Roman" w:cs="Times New Roman"/>
          <w:sz w:val="24"/>
          <w:szCs w:val="24"/>
        </w:rPr>
        <w:t xml:space="preserve"> </w:t>
      </w:r>
      <w:r w:rsidR="002A6C38">
        <w:rPr>
          <w:rFonts w:eastAsia="Times New Roman" w:cs="Times New Roman"/>
          <w:sz w:val="24"/>
          <w:szCs w:val="24"/>
        </w:rPr>
        <w:t xml:space="preserve">This </w:t>
      </w:r>
      <w:r w:rsidR="00686C69">
        <w:rPr>
          <w:rFonts w:eastAsia="Times New Roman" w:cs="Times New Roman"/>
          <w:sz w:val="24"/>
          <w:szCs w:val="24"/>
        </w:rPr>
        <w:t>review of DOJ pattern and practice activity</w:t>
      </w:r>
      <w:r w:rsidR="005652AD">
        <w:rPr>
          <w:rFonts w:eastAsia="Times New Roman" w:cs="Times New Roman"/>
          <w:sz w:val="24"/>
          <w:szCs w:val="24"/>
        </w:rPr>
        <w:t xml:space="preserve"> </w:t>
      </w:r>
      <w:r w:rsidR="002A6C38">
        <w:rPr>
          <w:rFonts w:eastAsia="Times New Roman" w:cs="Times New Roman"/>
          <w:sz w:val="24"/>
          <w:szCs w:val="24"/>
        </w:rPr>
        <w:t xml:space="preserve">shows </w:t>
      </w:r>
      <w:r w:rsidR="005652AD">
        <w:rPr>
          <w:rFonts w:eastAsia="Times New Roman" w:cs="Times New Roman"/>
          <w:sz w:val="24"/>
          <w:szCs w:val="24"/>
        </w:rPr>
        <w:t xml:space="preserve">that </w:t>
      </w:r>
    </w:p>
    <w:p w:rsidR="002A6C38" w:rsidRDefault="002A6C38" w:rsidP="00795624">
      <w:pPr>
        <w:pStyle w:val="ListParagraph"/>
        <w:spacing w:line="240" w:lineRule="auto"/>
        <w:ind w:left="0"/>
        <w:rPr>
          <w:rFonts w:eastAsia="Times New Roman" w:cs="Times New Roman"/>
          <w:sz w:val="24"/>
          <w:szCs w:val="24"/>
        </w:rPr>
      </w:pPr>
    </w:p>
    <w:p w:rsidR="002A6C38" w:rsidRDefault="005652AD" w:rsidP="002A6C38">
      <w:pPr>
        <w:pStyle w:val="ListParagraph"/>
        <w:spacing w:line="240" w:lineRule="auto"/>
        <w:ind w:right="720"/>
        <w:rPr>
          <w:rFonts w:eastAsia="Times New Roman" w:cs="Times New Roman"/>
          <w:sz w:val="24"/>
          <w:szCs w:val="24"/>
        </w:rPr>
      </w:pPr>
      <w:r>
        <w:rPr>
          <w:rFonts w:eastAsia="Times New Roman" w:cs="Times New Roman"/>
          <w:sz w:val="24"/>
          <w:szCs w:val="24"/>
        </w:rPr>
        <w:t xml:space="preserve">1) the DOJ does not view </w:t>
      </w:r>
      <w:r w:rsidR="00686C69">
        <w:rPr>
          <w:rFonts w:eastAsia="Times New Roman" w:cs="Times New Roman"/>
          <w:sz w:val="24"/>
          <w:szCs w:val="24"/>
        </w:rPr>
        <w:t xml:space="preserve">ICERD obligations </w:t>
      </w:r>
      <w:r w:rsidR="0090443F">
        <w:rPr>
          <w:rFonts w:eastAsia="Times New Roman" w:cs="Times New Roman"/>
          <w:sz w:val="24"/>
          <w:szCs w:val="24"/>
        </w:rPr>
        <w:t xml:space="preserve">to </w:t>
      </w:r>
      <w:r w:rsidR="00686C69">
        <w:rPr>
          <w:rFonts w:eastAsia="Times New Roman" w:cs="Times New Roman"/>
          <w:sz w:val="24"/>
          <w:szCs w:val="24"/>
        </w:rPr>
        <w:t>provide</w:t>
      </w:r>
      <w:r>
        <w:rPr>
          <w:rFonts w:eastAsia="Times New Roman" w:cs="Times New Roman"/>
          <w:sz w:val="24"/>
          <w:szCs w:val="24"/>
        </w:rPr>
        <w:t xml:space="preserve">, for example, </w:t>
      </w:r>
      <w:r w:rsidR="00686C69" w:rsidRPr="000A7EB7">
        <w:rPr>
          <w:rFonts w:eastAsia="Times New Roman" w:cs="Times New Roman"/>
          <w:sz w:val="24"/>
          <w:szCs w:val="24"/>
        </w:rPr>
        <w:t>prompt and effective investigation and prosecution of excessive force</w:t>
      </w:r>
      <w:r w:rsidR="00686C69">
        <w:rPr>
          <w:rFonts w:eastAsia="Times New Roman" w:cs="Times New Roman"/>
          <w:sz w:val="24"/>
          <w:szCs w:val="24"/>
        </w:rPr>
        <w:t xml:space="preserve"> as part </w:t>
      </w:r>
      <w:r w:rsidR="002A6C38">
        <w:rPr>
          <w:rFonts w:eastAsia="Times New Roman" w:cs="Times New Roman"/>
          <w:sz w:val="24"/>
          <w:szCs w:val="24"/>
        </w:rPr>
        <w:t xml:space="preserve">of the “constitutional policing” that it seeks to </w:t>
      </w:r>
      <w:r>
        <w:rPr>
          <w:rFonts w:eastAsia="Times New Roman" w:cs="Times New Roman"/>
          <w:sz w:val="24"/>
          <w:szCs w:val="24"/>
        </w:rPr>
        <w:t xml:space="preserve">promote and ensure </w:t>
      </w:r>
      <w:r w:rsidR="002A6C38">
        <w:rPr>
          <w:rFonts w:eastAsia="Times New Roman" w:cs="Times New Roman"/>
          <w:sz w:val="24"/>
          <w:szCs w:val="24"/>
        </w:rPr>
        <w:t xml:space="preserve">through its pattern and practice authority </w:t>
      </w:r>
      <w:r w:rsidR="00686C69">
        <w:rPr>
          <w:rFonts w:eastAsia="Times New Roman" w:cs="Times New Roman"/>
          <w:sz w:val="24"/>
          <w:szCs w:val="24"/>
        </w:rPr>
        <w:t xml:space="preserve">and </w:t>
      </w:r>
    </w:p>
    <w:p w:rsidR="002A6C38" w:rsidRDefault="002A6C38" w:rsidP="002A6C38">
      <w:pPr>
        <w:pStyle w:val="ListParagraph"/>
        <w:spacing w:line="240" w:lineRule="auto"/>
        <w:ind w:right="720"/>
        <w:rPr>
          <w:rFonts w:eastAsia="Times New Roman" w:cs="Times New Roman"/>
          <w:sz w:val="24"/>
          <w:szCs w:val="24"/>
        </w:rPr>
      </w:pPr>
    </w:p>
    <w:p w:rsidR="00F65EBB" w:rsidRDefault="00686C69" w:rsidP="002A6C38">
      <w:pPr>
        <w:pStyle w:val="ListParagraph"/>
        <w:spacing w:line="240" w:lineRule="auto"/>
        <w:ind w:right="720"/>
        <w:rPr>
          <w:rFonts w:eastAsia="Times New Roman" w:cs="Times New Roman"/>
          <w:sz w:val="24"/>
          <w:szCs w:val="24"/>
        </w:rPr>
      </w:pPr>
      <w:r>
        <w:rPr>
          <w:rFonts w:eastAsia="Times New Roman" w:cs="Times New Roman"/>
          <w:sz w:val="24"/>
          <w:szCs w:val="24"/>
        </w:rPr>
        <w:t xml:space="preserve">2) </w:t>
      </w:r>
      <w:r w:rsidR="00795624" w:rsidRPr="00795624">
        <w:rPr>
          <w:rFonts w:eastAsia="Times New Roman" w:cs="Times New Roman"/>
          <w:sz w:val="24"/>
          <w:szCs w:val="24"/>
        </w:rPr>
        <w:t xml:space="preserve">the DOJ’s use </w:t>
      </w:r>
      <w:r w:rsidR="006F65E1">
        <w:rPr>
          <w:rFonts w:eastAsia="Times New Roman" w:cs="Times New Roman"/>
          <w:sz w:val="24"/>
          <w:szCs w:val="24"/>
        </w:rPr>
        <w:t xml:space="preserve">and non-use </w:t>
      </w:r>
      <w:r w:rsidR="00795624" w:rsidRPr="00795624">
        <w:rPr>
          <w:rFonts w:eastAsia="Times New Roman" w:cs="Times New Roman"/>
          <w:sz w:val="24"/>
          <w:szCs w:val="24"/>
        </w:rPr>
        <w:t xml:space="preserve">of the pattern and practice investigation and litigation authority </w:t>
      </w:r>
      <w:r>
        <w:rPr>
          <w:rFonts w:eastAsia="Times New Roman" w:cs="Times New Roman"/>
          <w:sz w:val="24"/>
          <w:szCs w:val="24"/>
        </w:rPr>
        <w:t xml:space="preserve">actually </w:t>
      </w:r>
      <w:r w:rsidR="00795624">
        <w:rPr>
          <w:rFonts w:eastAsia="Times New Roman" w:cs="Times New Roman"/>
          <w:sz w:val="24"/>
          <w:szCs w:val="24"/>
        </w:rPr>
        <w:t xml:space="preserve">undermines implementation of ICERD implementation by </w:t>
      </w:r>
      <w:r w:rsidR="00795624" w:rsidRPr="00795624">
        <w:rPr>
          <w:rFonts w:eastAsia="Times New Roman" w:cs="Times New Roman"/>
          <w:sz w:val="24"/>
          <w:szCs w:val="24"/>
        </w:rPr>
        <w:t>suggest</w:t>
      </w:r>
      <w:r w:rsidR="00795624">
        <w:rPr>
          <w:rFonts w:eastAsia="Times New Roman" w:cs="Times New Roman"/>
          <w:sz w:val="24"/>
          <w:szCs w:val="24"/>
        </w:rPr>
        <w:t xml:space="preserve">ing </w:t>
      </w:r>
      <w:r w:rsidR="00795624" w:rsidRPr="00795624">
        <w:rPr>
          <w:rFonts w:eastAsia="Times New Roman" w:cs="Times New Roman"/>
          <w:sz w:val="24"/>
          <w:szCs w:val="24"/>
        </w:rPr>
        <w:t xml:space="preserve">to cities and police departments across the nation that requirements such as prompt and effective </w:t>
      </w:r>
      <w:r w:rsidR="00856A7B">
        <w:rPr>
          <w:rFonts w:eastAsia="Times New Roman" w:cs="Times New Roman"/>
          <w:sz w:val="24"/>
          <w:szCs w:val="24"/>
        </w:rPr>
        <w:t xml:space="preserve">independent </w:t>
      </w:r>
      <w:r w:rsidR="00795624" w:rsidRPr="00795624">
        <w:rPr>
          <w:rFonts w:eastAsia="Times New Roman" w:cs="Times New Roman"/>
          <w:sz w:val="24"/>
          <w:szCs w:val="24"/>
        </w:rPr>
        <w:t xml:space="preserve">investigation and prosecution of officers’ excessive force (basic ICERD obligations addressed in the CERD’s COs) are </w:t>
      </w:r>
      <w:r w:rsidR="00795624">
        <w:rPr>
          <w:rFonts w:eastAsia="Times New Roman" w:cs="Times New Roman"/>
          <w:sz w:val="24"/>
          <w:szCs w:val="24"/>
        </w:rPr>
        <w:t xml:space="preserve">not on-going obligations but </w:t>
      </w:r>
      <w:r w:rsidR="0090443F">
        <w:rPr>
          <w:rFonts w:eastAsia="Times New Roman" w:cs="Times New Roman"/>
          <w:sz w:val="24"/>
          <w:szCs w:val="24"/>
        </w:rPr>
        <w:t xml:space="preserve">are instead </w:t>
      </w:r>
      <w:r w:rsidR="006F65E1">
        <w:rPr>
          <w:rFonts w:eastAsia="Times New Roman" w:cs="Times New Roman"/>
          <w:sz w:val="24"/>
          <w:szCs w:val="24"/>
        </w:rPr>
        <w:t xml:space="preserve">negotiable, </w:t>
      </w:r>
      <w:r w:rsidR="00795624" w:rsidRPr="00795624">
        <w:rPr>
          <w:rFonts w:eastAsia="Times New Roman" w:cs="Times New Roman"/>
          <w:sz w:val="24"/>
          <w:szCs w:val="24"/>
        </w:rPr>
        <w:t xml:space="preserve">temporary remedies </w:t>
      </w:r>
      <w:r w:rsidR="00856A7B">
        <w:rPr>
          <w:rFonts w:eastAsia="Times New Roman" w:cs="Times New Roman"/>
          <w:sz w:val="24"/>
          <w:szCs w:val="24"/>
        </w:rPr>
        <w:t xml:space="preserve">that are warranted  </w:t>
      </w:r>
      <w:r w:rsidR="00795624" w:rsidRPr="00795624">
        <w:rPr>
          <w:rFonts w:eastAsia="Times New Roman" w:cs="Times New Roman"/>
          <w:sz w:val="24"/>
          <w:szCs w:val="24"/>
        </w:rPr>
        <w:t xml:space="preserve">only following a formal DOJ pattern and practice investigation and finding of discriminatory policing.   </w:t>
      </w:r>
    </w:p>
    <w:p w:rsidR="00F65EBB" w:rsidRDefault="00F65EBB" w:rsidP="00795624">
      <w:pPr>
        <w:pStyle w:val="ListParagraph"/>
        <w:spacing w:line="240" w:lineRule="auto"/>
        <w:ind w:left="0"/>
        <w:rPr>
          <w:rFonts w:eastAsia="Times New Roman" w:cs="Times New Roman"/>
          <w:sz w:val="24"/>
          <w:szCs w:val="24"/>
        </w:rPr>
      </w:pPr>
    </w:p>
    <w:p w:rsidR="00795624" w:rsidRPr="00795624" w:rsidRDefault="00F65EBB" w:rsidP="00795624">
      <w:pPr>
        <w:pStyle w:val="ListParagraph"/>
        <w:spacing w:line="240" w:lineRule="auto"/>
        <w:ind w:left="0"/>
        <w:rPr>
          <w:rFonts w:eastAsia="Times New Roman" w:cs="Times New Roman"/>
          <w:sz w:val="24"/>
          <w:szCs w:val="24"/>
        </w:rPr>
      </w:pPr>
      <w:r>
        <w:rPr>
          <w:rFonts w:eastAsia="Times New Roman" w:cs="Times New Roman"/>
          <w:sz w:val="24"/>
          <w:szCs w:val="24"/>
        </w:rPr>
        <w:t>The</w:t>
      </w:r>
      <w:r w:rsidR="00500EE2">
        <w:rPr>
          <w:rFonts w:eastAsia="Times New Roman" w:cs="Times New Roman"/>
          <w:sz w:val="24"/>
          <w:szCs w:val="24"/>
        </w:rPr>
        <w:t xml:space="preserve"> United States has </w:t>
      </w:r>
      <w:r>
        <w:rPr>
          <w:rFonts w:eastAsia="Times New Roman" w:cs="Times New Roman"/>
          <w:sz w:val="24"/>
          <w:szCs w:val="24"/>
        </w:rPr>
        <w:t>approximately 18,000 state and local law enforcement agencies.</w:t>
      </w:r>
      <w:r w:rsidR="00856A7B">
        <w:rPr>
          <w:rFonts w:eastAsia="Times New Roman" w:cs="Times New Roman"/>
          <w:sz w:val="24"/>
          <w:szCs w:val="24"/>
        </w:rPr>
        <w:t xml:space="preserve">  </w:t>
      </w:r>
      <w:r>
        <w:rPr>
          <w:rFonts w:eastAsia="Times New Roman" w:cs="Times New Roman"/>
          <w:sz w:val="24"/>
          <w:szCs w:val="24"/>
        </w:rPr>
        <w:t xml:space="preserve">The DOJ’s </w:t>
      </w:r>
      <w:r w:rsidR="00500EE2">
        <w:rPr>
          <w:rFonts w:eastAsia="Times New Roman" w:cs="Times New Roman"/>
          <w:sz w:val="24"/>
          <w:szCs w:val="24"/>
        </w:rPr>
        <w:t>use of pattern and practice authority (</w:t>
      </w:r>
      <w:r w:rsidR="00795624" w:rsidRPr="00795624">
        <w:rPr>
          <w:rFonts w:eastAsia="Times New Roman" w:cs="Times New Roman"/>
          <w:sz w:val="24"/>
          <w:szCs w:val="24"/>
        </w:rPr>
        <w:t>city-by-city</w:t>
      </w:r>
      <w:r w:rsidR="00686C69">
        <w:rPr>
          <w:rFonts w:eastAsia="Times New Roman" w:cs="Times New Roman"/>
          <w:sz w:val="24"/>
          <w:szCs w:val="24"/>
        </w:rPr>
        <w:t>,</w:t>
      </w:r>
      <w:r w:rsidR="00795624" w:rsidRPr="00795624">
        <w:rPr>
          <w:rFonts w:eastAsia="Times New Roman" w:cs="Times New Roman"/>
          <w:sz w:val="24"/>
          <w:szCs w:val="24"/>
        </w:rPr>
        <w:t xml:space="preserve"> </w:t>
      </w:r>
      <w:r w:rsidR="00686C69">
        <w:rPr>
          <w:rFonts w:eastAsia="Times New Roman" w:cs="Times New Roman"/>
          <w:sz w:val="24"/>
          <w:szCs w:val="24"/>
        </w:rPr>
        <w:t>temporary-</w:t>
      </w:r>
      <w:r w:rsidR="00795624" w:rsidRPr="00795624">
        <w:rPr>
          <w:rFonts w:eastAsia="Times New Roman" w:cs="Times New Roman"/>
          <w:sz w:val="24"/>
          <w:szCs w:val="24"/>
        </w:rPr>
        <w:t>remedies-only</w:t>
      </w:r>
      <w:r w:rsidR="00500EE2">
        <w:rPr>
          <w:rFonts w:eastAsia="Times New Roman" w:cs="Times New Roman"/>
          <w:sz w:val="24"/>
          <w:szCs w:val="24"/>
        </w:rPr>
        <w:t>, and only</w:t>
      </w:r>
      <w:r w:rsidR="00856A7B">
        <w:rPr>
          <w:rFonts w:eastAsia="Times New Roman" w:cs="Times New Roman"/>
          <w:sz w:val="24"/>
          <w:szCs w:val="24"/>
        </w:rPr>
        <w:t xml:space="preserve"> after formal </w:t>
      </w:r>
      <w:r w:rsidR="00795624" w:rsidRPr="00795624">
        <w:rPr>
          <w:rFonts w:eastAsia="Times New Roman" w:cs="Times New Roman"/>
          <w:sz w:val="24"/>
          <w:szCs w:val="24"/>
        </w:rPr>
        <w:t>investigation</w:t>
      </w:r>
      <w:r w:rsidR="00856A7B">
        <w:rPr>
          <w:rFonts w:eastAsia="Times New Roman" w:cs="Times New Roman"/>
          <w:sz w:val="24"/>
          <w:szCs w:val="24"/>
        </w:rPr>
        <w:t xml:space="preserve"> </w:t>
      </w:r>
      <w:r w:rsidR="006F65E1">
        <w:rPr>
          <w:rFonts w:eastAsia="Times New Roman" w:cs="Times New Roman"/>
          <w:sz w:val="24"/>
          <w:szCs w:val="24"/>
        </w:rPr>
        <w:t>and</w:t>
      </w:r>
      <w:r w:rsidR="00856A7B">
        <w:rPr>
          <w:rFonts w:eastAsia="Times New Roman" w:cs="Times New Roman"/>
          <w:sz w:val="24"/>
          <w:szCs w:val="24"/>
        </w:rPr>
        <w:t xml:space="preserve"> </w:t>
      </w:r>
      <w:r w:rsidR="006F65E1">
        <w:rPr>
          <w:rFonts w:eastAsia="Times New Roman" w:cs="Times New Roman"/>
          <w:sz w:val="24"/>
          <w:szCs w:val="24"/>
        </w:rPr>
        <w:t>findings</w:t>
      </w:r>
      <w:r w:rsidR="00500EE2">
        <w:rPr>
          <w:rFonts w:eastAsia="Times New Roman" w:cs="Times New Roman"/>
          <w:sz w:val="24"/>
          <w:szCs w:val="24"/>
        </w:rPr>
        <w:t xml:space="preserve"> of discriminatory or unconstitutional policing) </w:t>
      </w:r>
      <w:r>
        <w:rPr>
          <w:rFonts w:eastAsia="Times New Roman" w:cs="Times New Roman"/>
          <w:sz w:val="24"/>
          <w:szCs w:val="24"/>
        </w:rPr>
        <w:t>does not make</w:t>
      </w:r>
      <w:r w:rsidR="00500EE2">
        <w:rPr>
          <w:rFonts w:eastAsia="Times New Roman" w:cs="Times New Roman"/>
          <w:sz w:val="24"/>
          <w:szCs w:val="24"/>
        </w:rPr>
        <w:t>, cannot make,</w:t>
      </w:r>
      <w:r>
        <w:rPr>
          <w:rFonts w:eastAsia="Times New Roman" w:cs="Times New Roman"/>
          <w:sz w:val="24"/>
          <w:szCs w:val="24"/>
        </w:rPr>
        <w:t xml:space="preserve"> </w:t>
      </w:r>
      <w:r w:rsidR="00500EE2">
        <w:rPr>
          <w:rFonts w:eastAsia="Times New Roman" w:cs="Times New Roman"/>
          <w:sz w:val="24"/>
          <w:szCs w:val="24"/>
        </w:rPr>
        <w:t xml:space="preserve">and is not designed to make </w:t>
      </w:r>
      <w:r>
        <w:rPr>
          <w:rFonts w:eastAsia="Times New Roman" w:cs="Times New Roman"/>
          <w:sz w:val="24"/>
          <w:szCs w:val="24"/>
        </w:rPr>
        <w:t xml:space="preserve">a significant contribution to </w:t>
      </w:r>
      <w:r w:rsidR="00500EE2">
        <w:rPr>
          <w:rFonts w:eastAsia="Times New Roman" w:cs="Times New Roman"/>
          <w:sz w:val="24"/>
          <w:szCs w:val="24"/>
        </w:rPr>
        <w:t xml:space="preserve">fulfill </w:t>
      </w:r>
      <w:r>
        <w:rPr>
          <w:rFonts w:eastAsia="Times New Roman" w:cs="Times New Roman"/>
          <w:sz w:val="24"/>
          <w:szCs w:val="24"/>
        </w:rPr>
        <w:t xml:space="preserve">the US </w:t>
      </w:r>
      <w:r w:rsidR="00C30C8A">
        <w:rPr>
          <w:rFonts w:eastAsia="Times New Roman" w:cs="Times New Roman"/>
          <w:sz w:val="24"/>
          <w:szCs w:val="24"/>
        </w:rPr>
        <w:t xml:space="preserve">nationwide </w:t>
      </w:r>
      <w:r>
        <w:rPr>
          <w:rFonts w:eastAsia="Times New Roman" w:cs="Times New Roman"/>
          <w:sz w:val="24"/>
          <w:szCs w:val="24"/>
        </w:rPr>
        <w:t>police accountability obligations under the ICERD</w:t>
      </w:r>
      <w:r w:rsidR="00500EE2">
        <w:rPr>
          <w:rFonts w:eastAsia="Times New Roman" w:cs="Times New Roman"/>
          <w:sz w:val="24"/>
          <w:szCs w:val="24"/>
        </w:rPr>
        <w:t xml:space="preserve">.  </w:t>
      </w:r>
    </w:p>
    <w:p w:rsidR="009D2357" w:rsidRDefault="009D2357"/>
    <w:sectPr w:rsidR="009D2357" w:rsidSect="00B80D1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B49" w:rsidRDefault="00003B49" w:rsidP="000A7EB7">
      <w:pPr>
        <w:spacing w:after="0" w:line="240" w:lineRule="auto"/>
      </w:pPr>
      <w:r>
        <w:separator/>
      </w:r>
    </w:p>
  </w:endnote>
  <w:endnote w:type="continuationSeparator" w:id="0">
    <w:p w:rsidR="00003B49" w:rsidRDefault="00003B49" w:rsidP="000A7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98594"/>
      <w:docPartObj>
        <w:docPartGallery w:val="Page Numbers (Bottom of Page)"/>
        <w:docPartUnique/>
      </w:docPartObj>
    </w:sdtPr>
    <w:sdtEndPr/>
    <w:sdtContent>
      <w:p w:rsidR="00386BF3" w:rsidRDefault="00A617B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86BF3" w:rsidRDefault="00386B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B49" w:rsidRDefault="00003B49" w:rsidP="000A7EB7">
      <w:pPr>
        <w:spacing w:after="0" w:line="240" w:lineRule="auto"/>
      </w:pPr>
      <w:r>
        <w:separator/>
      </w:r>
    </w:p>
  </w:footnote>
  <w:footnote w:type="continuationSeparator" w:id="0">
    <w:p w:rsidR="00003B49" w:rsidRDefault="00003B49" w:rsidP="000A7EB7">
      <w:pPr>
        <w:spacing w:after="0" w:line="240" w:lineRule="auto"/>
      </w:pPr>
      <w:r>
        <w:continuationSeparator/>
      </w:r>
    </w:p>
  </w:footnote>
  <w:footnote w:id="1">
    <w:p w:rsidR="007A6619" w:rsidRPr="007A6619" w:rsidRDefault="007A6619">
      <w:pPr>
        <w:pStyle w:val="FootnoteText"/>
        <w:rPr>
          <w:sz w:val="22"/>
          <w:szCs w:val="22"/>
        </w:rPr>
      </w:pPr>
      <w:r w:rsidRPr="007A6619">
        <w:rPr>
          <w:rStyle w:val="FootnoteReference"/>
          <w:sz w:val="22"/>
          <w:szCs w:val="22"/>
        </w:rPr>
        <w:footnoteRef/>
      </w:r>
      <w:r w:rsidRPr="007A6619">
        <w:rPr>
          <w:sz w:val="22"/>
          <w:szCs w:val="22"/>
        </w:rPr>
        <w:t xml:space="preserve">   See the DOJ’s News Release announcing opening of a pattern and practice investigation into the Baltimore Police Department online at </w:t>
      </w:r>
      <w:hyperlink r:id="rId1" w:history="1">
        <w:r w:rsidRPr="007A6619">
          <w:rPr>
            <w:rStyle w:val="Hyperlink"/>
            <w:sz w:val="22"/>
            <w:szCs w:val="22"/>
          </w:rPr>
          <w:t>http://www.justice.gov/opa/pr/justice-department-opens-pattern-or-practice-investigation-baltimore-police-department</w:t>
        </w:r>
      </w:hyperlink>
      <w:r w:rsidRPr="007A6619">
        <w:rPr>
          <w:sz w:val="22"/>
          <w:szCs w:val="22"/>
        </w:rPr>
        <w:t xml:space="preserve">. </w:t>
      </w:r>
    </w:p>
    <w:p w:rsidR="007A6619" w:rsidRDefault="007A6619">
      <w:pPr>
        <w:pStyle w:val="FootnoteText"/>
      </w:pPr>
    </w:p>
  </w:footnote>
  <w:footnote w:id="2">
    <w:p w:rsidR="00386BF3" w:rsidRDefault="00386BF3">
      <w:pPr>
        <w:pStyle w:val="FootnoteText"/>
        <w:rPr>
          <w:rFonts w:eastAsia="Times New Roman" w:cs="Times New Roman"/>
          <w:sz w:val="22"/>
          <w:szCs w:val="22"/>
        </w:rPr>
      </w:pPr>
      <w:r>
        <w:rPr>
          <w:rStyle w:val="FootnoteReference"/>
        </w:rPr>
        <w:footnoteRef/>
      </w:r>
      <w:r>
        <w:t xml:space="preserve">   </w:t>
      </w:r>
      <w:r w:rsidRPr="003C5320">
        <w:rPr>
          <w:rFonts w:eastAsia="Times New Roman" w:cs="Times New Roman"/>
          <w:sz w:val="22"/>
          <w:szCs w:val="22"/>
        </w:rPr>
        <w:t>The DOJ’s Pattern and Practice Investigation of the Cleveland Divisio</w:t>
      </w:r>
      <w:r w:rsidR="005B4412">
        <w:rPr>
          <w:rFonts w:eastAsia="Times New Roman" w:cs="Times New Roman"/>
          <w:sz w:val="22"/>
          <w:szCs w:val="22"/>
        </w:rPr>
        <w:t xml:space="preserve">n of Police (December 4, 2014) is </w:t>
      </w:r>
      <w:r w:rsidRPr="003C5320">
        <w:rPr>
          <w:rFonts w:eastAsia="Times New Roman" w:cs="Times New Roman"/>
          <w:sz w:val="22"/>
          <w:szCs w:val="22"/>
        </w:rPr>
        <w:t xml:space="preserve">online at </w:t>
      </w:r>
      <w:hyperlink r:id="rId2" w:history="1">
        <w:r w:rsidRPr="003C5320">
          <w:rPr>
            <w:rStyle w:val="Hyperlink"/>
            <w:rFonts w:eastAsia="Times New Roman" w:cs="Times New Roman"/>
            <w:sz w:val="22"/>
            <w:szCs w:val="22"/>
          </w:rPr>
          <w:t>http://www.justice.gov/sites/default/files/opa/press-releases/attachments/2014/12/04/cleveland_division_of_police_findings_letter.pdf</w:t>
        </w:r>
      </w:hyperlink>
      <w:r w:rsidRPr="003C5320">
        <w:rPr>
          <w:rFonts w:eastAsia="Times New Roman" w:cs="Times New Roman"/>
          <w:sz w:val="22"/>
          <w:szCs w:val="22"/>
        </w:rPr>
        <w:t xml:space="preserve"> </w:t>
      </w:r>
      <w:r w:rsidR="005B4412">
        <w:rPr>
          <w:rFonts w:eastAsia="Times New Roman" w:cs="Times New Roman"/>
          <w:sz w:val="22"/>
          <w:szCs w:val="22"/>
        </w:rPr>
        <w:t xml:space="preserve"> and </w:t>
      </w:r>
      <w:r w:rsidRPr="003C5320">
        <w:rPr>
          <w:rFonts w:eastAsia="Times New Roman" w:cs="Times New Roman"/>
          <w:sz w:val="22"/>
          <w:szCs w:val="22"/>
        </w:rPr>
        <w:t>the DOJ’s  con</w:t>
      </w:r>
      <w:r w:rsidR="005B4412">
        <w:rPr>
          <w:rFonts w:eastAsia="Times New Roman" w:cs="Times New Roman"/>
          <w:sz w:val="22"/>
          <w:szCs w:val="22"/>
        </w:rPr>
        <w:t xml:space="preserve">current News Release characterizing its report and goals is online at </w:t>
      </w:r>
      <w:hyperlink r:id="rId3" w:history="1">
        <w:r w:rsidRPr="003C5320">
          <w:rPr>
            <w:rStyle w:val="Hyperlink"/>
            <w:rFonts w:eastAsia="Times New Roman" w:cs="Times New Roman"/>
            <w:sz w:val="22"/>
            <w:szCs w:val="22"/>
          </w:rPr>
          <w:t>http://www.justice.gov/opa/pr/justice-department-and-city-cleveland-agree-reform-division-police-after-finding-pattern-or</w:t>
        </w:r>
      </w:hyperlink>
      <w:r w:rsidRPr="003C5320">
        <w:rPr>
          <w:rFonts w:eastAsia="Times New Roman" w:cs="Times New Roman"/>
          <w:sz w:val="22"/>
          <w:szCs w:val="22"/>
        </w:rPr>
        <w:t>.</w:t>
      </w:r>
    </w:p>
    <w:p w:rsidR="00386BF3" w:rsidRPr="003C5320" w:rsidRDefault="00386BF3">
      <w:pPr>
        <w:pStyle w:val="FootnoteText"/>
        <w:rPr>
          <w:sz w:val="22"/>
          <w:szCs w:val="22"/>
        </w:rPr>
      </w:pPr>
    </w:p>
  </w:footnote>
  <w:footnote w:id="3">
    <w:p w:rsidR="00386BF3" w:rsidRDefault="00386BF3">
      <w:pPr>
        <w:pStyle w:val="FootnoteText"/>
        <w:rPr>
          <w:sz w:val="22"/>
          <w:szCs w:val="22"/>
        </w:rPr>
      </w:pPr>
      <w:r w:rsidRPr="003C5320">
        <w:rPr>
          <w:rStyle w:val="FootnoteReference"/>
          <w:sz w:val="22"/>
          <w:szCs w:val="22"/>
        </w:rPr>
        <w:footnoteRef/>
      </w:r>
      <w:r w:rsidRPr="003C5320">
        <w:rPr>
          <w:sz w:val="22"/>
          <w:szCs w:val="22"/>
        </w:rPr>
        <w:t xml:space="preserve">   For New Orleans, the DOJ’s investigation repor</w:t>
      </w:r>
      <w:r>
        <w:rPr>
          <w:sz w:val="22"/>
          <w:szCs w:val="22"/>
        </w:rPr>
        <w:t>t</w:t>
      </w:r>
      <w:r w:rsidRPr="003C5320">
        <w:rPr>
          <w:sz w:val="22"/>
          <w:szCs w:val="22"/>
        </w:rPr>
        <w:t xml:space="preserve"> to New Orleans</w:t>
      </w:r>
      <w:r>
        <w:rPr>
          <w:sz w:val="22"/>
          <w:szCs w:val="22"/>
        </w:rPr>
        <w:t xml:space="preserve"> Mayor </w:t>
      </w:r>
      <w:r w:rsidRPr="003C5320">
        <w:rPr>
          <w:sz w:val="22"/>
          <w:szCs w:val="22"/>
        </w:rPr>
        <w:t xml:space="preserve">Landrieu listing findings (March 17, 2011) </w:t>
      </w:r>
      <w:r>
        <w:rPr>
          <w:sz w:val="22"/>
          <w:szCs w:val="22"/>
        </w:rPr>
        <w:t xml:space="preserve">is online </w:t>
      </w:r>
      <w:r w:rsidRPr="003C5320">
        <w:rPr>
          <w:sz w:val="22"/>
          <w:szCs w:val="22"/>
        </w:rPr>
        <w:t xml:space="preserve">at </w:t>
      </w:r>
      <w:hyperlink r:id="rId4" w:history="1">
        <w:r w:rsidRPr="003C5320">
          <w:rPr>
            <w:rStyle w:val="Hyperlink"/>
            <w:sz w:val="22"/>
            <w:szCs w:val="22"/>
          </w:rPr>
          <w:t>http://www.justice.gov/sites/default/files/crt/legacy/2011/03/17/nopd_letter.pdf</w:t>
        </w:r>
      </w:hyperlink>
      <w:r>
        <w:rPr>
          <w:sz w:val="22"/>
          <w:szCs w:val="22"/>
        </w:rPr>
        <w:t xml:space="preserve"> and the </w:t>
      </w:r>
      <w:r w:rsidRPr="003C5320">
        <w:rPr>
          <w:sz w:val="22"/>
          <w:szCs w:val="22"/>
        </w:rPr>
        <w:t xml:space="preserve">subsequent Consent Decree (1/11/13) is </w:t>
      </w:r>
      <w:r>
        <w:rPr>
          <w:sz w:val="22"/>
          <w:szCs w:val="22"/>
        </w:rPr>
        <w:t xml:space="preserve">online </w:t>
      </w:r>
      <w:r w:rsidRPr="003C5320">
        <w:rPr>
          <w:sz w:val="22"/>
          <w:szCs w:val="22"/>
        </w:rPr>
        <w:t xml:space="preserve">at    </w:t>
      </w:r>
      <w:hyperlink r:id="rId5" w:history="1">
        <w:r w:rsidRPr="003C5320">
          <w:rPr>
            <w:rStyle w:val="Hyperlink"/>
            <w:rFonts w:eastAsia="Times New Roman" w:cs="Times New Roman"/>
            <w:sz w:val="22"/>
            <w:szCs w:val="22"/>
          </w:rPr>
          <w:t>http://www.justice.gov/sites/default/files/crt/legacy/2014/04/10/apd_findings_4-10-14.pdf</w:t>
        </w:r>
      </w:hyperlink>
      <w:r w:rsidRPr="003C5320">
        <w:rPr>
          <w:sz w:val="22"/>
          <w:szCs w:val="22"/>
        </w:rPr>
        <w:t>.</w:t>
      </w:r>
    </w:p>
    <w:p w:rsidR="00386BF3" w:rsidRDefault="00386BF3">
      <w:pPr>
        <w:pStyle w:val="FootnoteText"/>
      </w:pPr>
    </w:p>
  </w:footnote>
  <w:footnote w:id="4">
    <w:p w:rsidR="00386BF3" w:rsidRPr="000F2C65" w:rsidRDefault="00386BF3">
      <w:pPr>
        <w:pStyle w:val="FootnoteText"/>
        <w:rPr>
          <w:rFonts w:eastAsia="Times New Roman" w:cs="Times New Roman"/>
          <w:sz w:val="22"/>
          <w:szCs w:val="22"/>
        </w:rPr>
      </w:pPr>
      <w:r w:rsidRPr="000F2C65">
        <w:rPr>
          <w:rStyle w:val="FootnoteReference"/>
          <w:sz w:val="22"/>
          <w:szCs w:val="22"/>
        </w:rPr>
        <w:footnoteRef/>
      </w:r>
      <w:r w:rsidRPr="000F2C65">
        <w:rPr>
          <w:sz w:val="22"/>
          <w:szCs w:val="22"/>
        </w:rPr>
        <w:t xml:space="preserve">   For Seattle, the DOJ’s Pattern and Practice Investigation Report </w:t>
      </w:r>
      <w:r>
        <w:rPr>
          <w:sz w:val="22"/>
          <w:szCs w:val="22"/>
        </w:rPr>
        <w:t xml:space="preserve">is online </w:t>
      </w:r>
      <w:r w:rsidRPr="000F2C65">
        <w:rPr>
          <w:sz w:val="22"/>
          <w:szCs w:val="22"/>
        </w:rPr>
        <w:t xml:space="preserve">at </w:t>
      </w:r>
      <w:hyperlink r:id="rId6" w:history="1">
        <w:r w:rsidRPr="000F2C65">
          <w:rPr>
            <w:rStyle w:val="Hyperlink"/>
            <w:rFonts w:eastAsia="Times New Roman" w:cs="Times New Roman"/>
            <w:sz w:val="22"/>
            <w:szCs w:val="22"/>
          </w:rPr>
          <w:t>http://www.justice.gov/sites/default/files/crt/legacy/2011/12/16/spd_findletter_12-16-11.pdf</w:t>
        </w:r>
      </w:hyperlink>
      <w:r w:rsidRPr="000F2C65">
        <w:rPr>
          <w:rFonts w:eastAsia="Times New Roman" w:cs="Times New Roman"/>
          <w:sz w:val="22"/>
          <w:szCs w:val="22"/>
        </w:rPr>
        <w:t>.</w:t>
      </w:r>
    </w:p>
    <w:p w:rsidR="00386BF3" w:rsidRDefault="00386BF3">
      <w:pPr>
        <w:pStyle w:val="FootnoteText"/>
      </w:pPr>
    </w:p>
  </w:footnote>
  <w:footnote w:id="5">
    <w:p w:rsidR="00386BF3" w:rsidRDefault="00386BF3">
      <w:pPr>
        <w:pStyle w:val="FootnoteText"/>
        <w:rPr>
          <w:rFonts w:eastAsia="Times New Roman" w:cs="Times New Roman"/>
          <w:sz w:val="22"/>
          <w:szCs w:val="22"/>
        </w:rPr>
      </w:pPr>
      <w:r w:rsidRPr="000F2C65">
        <w:rPr>
          <w:rStyle w:val="FootnoteReference"/>
          <w:sz w:val="22"/>
          <w:szCs w:val="22"/>
        </w:rPr>
        <w:footnoteRef/>
      </w:r>
      <w:r w:rsidRPr="000F2C65">
        <w:rPr>
          <w:sz w:val="22"/>
          <w:szCs w:val="22"/>
        </w:rPr>
        <w:t xml:space="preserve">   For Portland, the DOJ’s investigation report to Mayor Sam Adams </w:t>
      </w:r>
      <w:r w:rsidRPr="000F2C65">
        <w:rPr>
          <w:rFonts w:eastAsia="Times New Roman" w:cs="Times New Roman"/>
          <w:sz w:val="22"/>
          <w:szCs w:val="22"/>
        </w:rPr>
        <w:t xml:space="preserve">(9/12/2012) </w:t>
      </w:r>
      <w:r>
        <w:rPr>
          <w:rFonts w:eastAsia="Times New Roman" w:cs="Times New Roman"/>
          <w:sz w:val="22"/>
          <w:szCs w:val="22"/>
        </w:rPr>
        <w:t xml:space="preserve">is online at </w:t>
      </w:r>
      <w:hyperlink r:id="rId7" w:history="1">
        <w:r w:rsidRPr="000F2C65">
          <w:rPr>
            <w:rStyle w:val="Hyperlink"/>
            <w:rFonts w:eastAsia="Times New Roman" w:cs="Times New Roman"/>
            <w:sz w:val="22"/>
            <w:szCs w:val="22"/>
          </w:rPr>
          <w:t>http://www.justice.gov/sites/default/files/crt/legacy/2012/09/17/ppb_findings_9-12-12.pdf</w:t>
        </w:r>
      </w:hyperlink>
      <w:r w:rsidRPr="000F2C65">
        <w:rPr>
          <w:rFonts w:eastAsia="Times New Roman" w:cs="Times New Roman"/>
          <w:sz w:val="22"/>
          <w:szCs w:val="22"/>
        </w:rPr>
        <w:t>.</w:t>
      </w:r>
    </w:p>
    <w:p w:rsidR="00386BF3" w:rsidRPr="000F2C65" w:rsidRDefault="00386BF3">
      <w:pPr>
        <w:pStyle w:val="FootnoteText"/>
        <w:rPr>
          <w:sz w:val="22"/>
          <w:szCs w:val="22"/>
        </w:rPr>
      </w:pPr>
    </w:p>
  </w:footnote>
  <w:footnote w:id="6">
    <w:p w:rsidR="00386BF3" w:rsidRDefault="00386BF3">
      <w:pPr>
        <w:pStyle w:val="FootnoteText"/>
        <w:rPr>
          <w:rFonts w:eastAsia="Times New Roman" w:cs="Times New Roman"/>
          <w:sz w:val="22"/>
          <w:szCs w:val="22"/>
        </w:rPr>
      </w:pPr>
      <w:r w:rsidRPr="00F7046D">
        <w:rPr>
          <w:rStyle w:val="FootnoteReference"/>
          <w:sz w:val="22"/>
          <w:szCs w:val="22"/>
        </w:rPr>
        <w:footnoteRef/>
      </w:r>
      <w:r w:rsidRPr="00F7046D">
        <w:rPr>
          <w:sz w:val="22"/>
          <w:szCs w:val="22"/>
        </w:rPr>
        <w:t xml:space="preserve">   For Newark, the DOJ’s Pattern and Practice Investigation Report (7/22/14) </w:t>
      </w:r>
      <w:r>
        <w:rPr>
          <w:sz w:val="22"/>
          <w:szCs w:val="22"/>
        </w:rPr>
        <w:t xml:space="preserve">is online </w:t>
      </w:r>
      <w:r w:rsidRPr="00F7046D">
        <w:rPr>
          <w:sz w:val="22"/>
          <w:szCs w:val="22"/>
        </w:rPr>
        <w:t xml:space="preserve">at </w:t>
      </w:r>
      <w:hyperlink r:id="rId8" w:history="1">
        <w:r w:rsidRPr="00F7046D">
          <w:rPr>
            <w:rStyle w:val="Hyperlink"/>
            <w:rFonts w:eastAsia="Times New Roman" w:cs="Times New Roman"/>
            <w:sz w:val="22"/>
            <w:szCs w:val="22"/>
          </w:rPr>
          <w:t>http://www.justice.gov/sites/default/files/crt/legacy/2014/07/22/newark_findings_7-22-14.pdf</w:t>
        </w:r>
      </w:hyperlink>
      <w:r w:rsidRPr="00F7046D">
        <w:rPr>
          <w:rFonts w:eastAsia="Times New Roman" w:cs="Times New Roman"/>
          <w:sz w:val="22"/>
          <w:szCs w:val="22"/>
        </w:rPr>
        <w:t>.</w:t>
      </w:r>
    </w:p>
    <w:p w:rsidR="00386BF3" w:rsidRPr="00F7046D" w:rsidRDefault="00386BF3">
      <w:pPr>
        <w:pStyle w:val="FootnoteText"/>
        <w:rPr>
          <w:sz w:val="22"/>
          <w:szCs w:val="22"/>
        </w:rPr>
      </w:pPr>
    </w:p>
  </w:footnote>
  <w:footnote w:id="7">
    <w:p w:rsidR="00386BF3" w:rsidRDefault="00386BF3">
      <w:pPr>
        <w:pStyle w:val="FootnoteText"/>
        <w:rPr>
          <w:rFonts w:eastAsia="Times New Roman" w:cs="Times New Roman"/>
          <w:sz w:val="22"/>
          <w:szCs w:val="22"/>
        </w:rPr>
      </w:pPr>
      <w:r w:rsidRPr="00386BF3">
        <w:rPr>
          <w:rStyle w:val="FootnoteReference"/>
          <w:sz w:val="22"/>
          <w:szCs w:val="22"/>
        </w:rPr>
        <w:footnoteRef/>
      </w:r>
      <w:r w:rsidRPr="00386BF3">
        <w:rPr>
          <w:rStyle w:val="FootnoteReference"/>
          <w:sz w:val="22"/>
          <w:szCs w:val="22"/>
        </w:rPr>
        <w:footnoteRef/>
      </w:r>
      <w:r w:rsidRPr="00386BF3">
        <w:rPr>
          <w:sz w:val="22"/>
          <w:szCs w:val="22"/>
        </w:rPr>
        <w:t xml:space="preserve">   For Albuquerque, the DOJ’s Pattern and Practice Investigation Report (4/10/14) </w:t>
      </w:r>
      <w:r>
        <w:rPr>
          <w:sz w:val="22"/>
          <w:szCs w:val="22"/>
        </w:rPr>
        <w:t>is online at</w:t>
      </w:r>
      <w:r w:rsidRPr="00386BF3">
        <w:rPr>
          <w:sz w:val="22"/>
          <w:szCs w:val="22"/>
        </w:rPr>
        <w:t xml:space="preserve"> </w:t>
      </w:r>
      <w:hyperlink r:id="rId9" w:history="1">
        <w:r w:rsidRPr="00386BF3">
          <w:rPr>
            <w:rStyle w:val="Hyperlink"/>
            <w:rFonts w:eastAsia="Times New Roman" w:cs="Times New Roman"/>
            <w:sz w:val="22"/>
            <w:szCs w:val="22"/>
          </w:rPr>
          <w:t>http://www.justice.gov/sites/default/files/crt/legacy/2014/04/10/apd_findings_4-10-14.pdf</w:t>
        </w:r>
      </w:hyperlink>
      <w:r w:rsidRPr="00386BF3">
        <w:rPr>
          <w:rFonts w:eastAsia="Times New Roman" w:cs="Times New Roman"/>
          <w:sz w:val="22"/>
          <w:szCs w:val="22"/>
        </w:rPr>
        <w:t>.</w:t>
      </w:r>
    </w:p>
    <w:p w:rsidR="007F262E" w:rsidRPr="00386BF3" w:rsidRDefault="007F262E">
      <w:pPr>
        <w:pStyle w:val="FootnoteText"/>
        <w:rPr>
          <w:sz w:val="22"/>
          <w:szCs w:val="22"/>
        </w:rPr>
      </w:pPr>
    </w:p>
  </w:footnote>
  <w:footnote w:id="8">
    <w:p w:rsidR="007F262E" w:rsidRPr="004871DA" w:rsidRDefault="007F262E" w:rsidP="007F262E">
      <w:pPr>
        <w:spacing w:line="240" w:lineRule="auto"/>
        <w:rPr>
          <w:rFonts w:eastAsia="Times New Roman" w:cs="Times New Roman"/>
        </w:rPr>
      </w:pPr>
      <w:r w:rsidRPr="004871DA">
        <w:rPr>
          <w:rStyle w:val="FootnoteReference"/>
        </w:rPr>
        <w:footnoteRef/>
      </w:r>
      <w:r w:rsidRPr="004871DA">
        <w:t xml:space="preserve">   </w:t>
      </w:r>
      <w:r w:rsidR="004871DA">
        <w:t>See response to Question 2, o</w:t>
      </w:r>
      <w:r w:rsidRPr="004871DA">
        <w:t xml:space="preserve">nline at  </w:t>
      </w:r>
      <w:hyperlink r:id="rId10" w:history="1">
        <w:r w:rsidRPr="004871DA">
          <w:rPr>
            <w:rStyle w:val="Hyperlink"/>
            <w:rFonts w:eastAsia="Times New Roman" w:cs="Times New Roman"/>
          </w:rPr>
          <w:t>http://web.law.columbia.edu/sites/default/files/microsites/contract-economic-organization/files/10-SPL-Pattern%20or%20Practice%20Program%20FAQ.pdf</w:t>
        </w:r>
      </w:hyperlink>
      <w:r w:rsidRPr="004871DA">
        <w:rPr>
          <w:rFonts w:eastAsia="Times New Roman" w:cs="Times New Roman"/>
        </w:rPr>
        <w:t xml:space="preserve">.  </w:t>
      </w:r>
    </w:p>
    <w:p w:rsidR="007F262E" w:rsidRDefault="007F262E">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526ABF"/>
    <w:multiLevelType w:val="hybridMultilevel"/>
    <w:tmpl w:val="D0387974"/>
    <w:lvl w:ilvl="0" w:tplc="30A8FB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63F7CD0"/>
    <w:multiLevelType w:val="hybridMultilevel"/>
    <w:tmpl w:val="94CE1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624"/>
    <w:rsid w:val="00003B49"/>
    <w:rsid w:val="00004DC9"/>
    <w:rsid w:val="00020A38"/>
    <w:rsid w:val="00027F59"/>
    <w:rsid w:val="000344A2"/>
    <w:rsid w:val="00046FCC"/>
    <w:rsid w:val="000801C0"/>
    <w:rsid w:val="00097B34"/>
    <w:rsid w:val="00097FBC"/>
    <w:rsid w:val="000A7953"/>
    <w:rsid w:val="000A7EB7"/>
    <w:rsid w:val="000E0445"/>
    <w:rsid w:val="000E6B1E"/>
    <w:rsid w:val="000F2C65"/>
    <w:rsid w:val="00143C3B"/>
    <w:rsid w:val="00155B72"/>
    <w:rsid w:val="00192197"/>
    <w:rsid w:val="00196FC6"/>
    <w:rsid w:val="001A6D48"/>
    <w:rsid w:val="001B2345"/>
    <w:rsid w:val="002174DA"/>
    <w:rsid w:val="00224377"/>
    <w:rsid w:val="002308CC"/>
    <w:rsid w:val="00237BE8"/>
    <w:rsid w:val="00243542"/>
    <w:rsid w:val="002508F7"/>
    <w:rsid w:val="00252D3B"/>
    <w:rsid w:val="00256B13"/>
    <w:rsid w:val="00262F81"/>
    <w:rsid w:val="002803EE"/>
    <w:rsid w:val="00295EF1"/>
    <w:rsid w:val="002A6C38"/>
    <w:rsid w:val="002D5209"/>
    <w:rsid w:val="002E4576"/>
    <w:rsid w:val="002E45CF"/>
    <w:rsid w:val="00317E33"/>
    <w:rsid w:val="00320C7A"/>
    <w:rsid w:val="00386BF3"/>
    <w:rsid w:val="003C5320"/>
    <w:rsid w:val="003D2BA5"/>
    <w:rsid w:val="003D53AC"/>
    <w:rsid w:val="00402E14"/>
    <w:rsid w:val="00412DF7"/>
    <w:rsid w:val="00426F14"/>
    <w:rsid w:val="00446C1E"/>
    <w:rsid w:val="00447CF4"/>
    <w:rsid w:val="00456604"/>
    <w:rsid w:val="00462122"/>
    <w:rsid w:val="00465A12"/>
    <w:rsid w:val="0047170D"/>
    <w:rsid w:val="004871DA"/>
    <w:rsid w:val="004A6F03"/>
    <w:rsid w:val="004D5C5C"/>
    <w:rsid w:val="004F7DE7"/>
    <w:rsid w:val="00500EE2"/>
    <w:rsid w:val="005252F1"/>
    <w:rsid w:val="00530C97"/>
    <w:rsid w:val="00552C01"/>
    <w:rsid w:val="005652AD"/>
    <w:rsid w:val="00575D02"/>
    <w:rsid w:val="00576999"/>
    <w:rsid w:val="005872CE"/>
    <w:rsid w:val="005A6AFF"/>
    <w:rsid w:val="005B4412"/>
    <w:rsid w:val="005C20D8"/>
    <w:rsid w:val="005C7F2E"/>
    <w:rsid w:val="005D028D"/>
    <w:rsid w:val="00671137"/>
    <w:rsid w:val="00686C69"/>
    <w:rsid w:val="006A2ABB"/>
    <w:rsid w:val="006A6FA4"/>
    <w:rsid w:val="006B4D77"/>
    <w:rsid w:val="006F4FF0"/>
    <w:rsid w:val="006F65E1"/>
    <w:rsid w:val="007238FA"/>
    <w:rsid w:val="00724622"/>
    <w:rsid w:val="007326B4"/>
    <w:rsid w:val="00757B34"/>
    <w:rsid w:val="00795624"/>
    <w:rsid w:val="007A6619"/>
    <w:rsid w:val="007C6A53"/>
    <w:rsid w:val="007E3543"/>
    <w:rsid w:val="007F262E"/>
    <w:rsid w:val="007F57BE"/>
    <w:rsid w:val="00827DDB"/>
    <w:rsid w:val="0083133D"/>
    <w:rsid w:val="00856A7B"/>
    <w:rsid w:val="008817D2"/>
    <w:rsid w:val="0089281E"/>
    <w:rsid w:val="008A447B"/>
    <w:rsid w:val="008E518D"/>
    <w:rsid w:val="0090443F"/>
    <w:rsid w:val="00911267"/>
    <w:rsid w:val="00923770"/>
    <w:rsid w:val="00952B18"/>
    <w:rsid w:val="00955270"/>
    <w:rsid w:val="00977607"/>
    <w:rsid w:val="009B493A"/>
    <w:rsid w:val="009B554F"/>
    <w:rsid w:val="009D2357"/>
    <w:rsid w:val="00A02F6F"/>
    <w:rsid w:val="00A10E8C"/>
    <w:rsid w:val="00A235EE"/>
    <w:rsid w:val="00A2436A"/>
    <w:rsid w:val="00A409F1"/>
    <w:rsid w:val="00A50A54"/>
    <w:rsid w:val="00A617B3"/>
    <w:rsid w:val="00A6697D"/>
    <w:rsid w:val="00A673C0"/>
    <w:rsid w:val="00A71EA2"/>
    <w:rsid w:val="00A8143E"/>
    <w:rsid w:val="00A84639"/>
    <w:rsid w:val="00AE440D"/>
    <w:rsid w:val="00AE50DC"/>
    <w:rsid w:val="00AE6337"/>
    <w:rsid w:val="00AF0644"/>
    <w:rsid w:val="00B11C38"/>
    <w:rsid w:val="00B11DD1"/>
    <w:rsid w:val="00B124CA"/>
    <w:rsid w:val="00B32779"/>
    <w:rsid w:val="00B427C2"/>
    <w:rsid w:val="00B431A2"/>
    <w:rsid w:val="00B66735"/>
    <w:rsid w:val="00B80D1B"/>
    <w:rsid w:val="00B82459"/>
    <w:rsid w:val="00B83AE5"/>
    <w:rsid w:val="00BD1B6A"/>
    <w:rsid w:val="00BD5D03"/>
    <w:rsid w:val="00C010EF"/>
    <w:rsid w:val="00C04053"/>
    <w:rsid w:val="00C108FA"/>
    <w:rsid w:val="00C13045"/>
    <w:rsid w:val="00C30C8A"/>
    <w:rsid w:val="00C37998"/>
    <w:rsid w:val="00C51D77"/>
    <w:rsid w:val="00C63E1C"/>
    <w:rsid w:val="00C76EC7"/>
    <w:rsid w:val="00C91D42"/>
    <w:rsid w:val="00CA5AF5"/>
    <w:rsid w:val="00CD2028"/>
    <w:rsid w:val="00D047A6"/>
    <w:rsid w:val="00D85302"/>
    <w:rsid w:val="00D90116"/>
    <w:rsid w:val="00DC1452"/>
    <w:rsid w:val="00DC2DA5"/>
    <w:rsid w:val="00DD0F40"/>
    <w:rsid w:val="00DD359C"/>
    <w:rsid w:val="00DE38A5"/>
    <w:rsid w:val="00DE786D"/>
    <w:rsid w:val="00E233C2"/>
    <w:rsid w:val="00E36FDE"/>
    <w:rsid w:val="00E45BA8"/>
    <w:rsid w:val="00E54319"/>
    <w:rsid w:val="00E577E1"/>
    <w:rsid w:val="00E84EE6"/>
    <w:rsid w:val="00E935AB"/>
    <w:rsid w:val="00EA190A"/>
    <w:rsid w:val="00EA6CED"/>
    <w:rsid w:val="00EB6A28"/>
    <w:rsid w:val="00EC71E5"/>
    <w:rsid w:val="00ED049E"/>
    <w:rsid w:val="00ED4D68"/>
    <w:rsid w:val="00ED5530"/>
    <w:rsid w:val="00EF0B67"/>
    <w:rsid w:val="00F1070A"/>
    <w:rsid w:val="00F110D5"/>
    <w:rsid w:val="00F13C92"/>
    <w:rsid w:val="00F15D87"/>
    <w:rsid w:val="00F41C15"/>
    <w:rsid w:val="00F65EBB"/>
    <w:rsid w:val="00F7046D"/>
    <w:rsid w:val="00F809D8"/>
    <w:rsid w:val="00F856A3"/>
    <w:rsid w:val="00F87EAB"/>
    <w:rsid w:val="00F97C3B"/>
    <w:rsid w:val="00FB1BF0"/>
    <w:rsid w:val="00FB45F6"/>
    <w:rsid w:val="00FF5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624"/>
    <w:pPr>
      <w:ind w:left="720"/>
      <w:contextualSpacing/>
    </w:pPr>
  </w:style>
  <w:style w:type="paragraph" w:styleId="Header">
    <w:name w:val="header"/>
    <w:basedOn w:val="Normal"/>
    <w:link w:val="HeaderChar"/>
    <w:uiPriority w:val="99"/>
    <w:semiHidden/>
    <w:unhideWhenUsed/>
    <w:rsid w:val="000A7EB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7EB7"/>
  </w:style>
  <w:style w:type="paragraph" w:styleId="Footer">
    <w:name w:val="footer"/>
    <w:basedOn w:val="Normal"/>
    <w:link w:val="FooterChar"/>
    <w:uiPriority w:val="99"/>
    <w:unhideWhenUsed/>
    <w:rsid w:val="000A7E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7EB7"/>
  </w:style>
  <w:style w:type="character" w:styleId="Hyperlink">
    <w:name w:val="Hyperlink"/>
    <w:basedOn w:val="DefaultParagraphFont"/>
    <w:uiPriority w:val="99"/>
    <w:unhideWhenUsed/>
    <w:rsid w:val="00C13045"/>
    <w:rPr>
      <w:color w:val="0000FF" w:themeColor="hyperlink"/>
      <w:u w:val="single"/>
    </w:rPr>
  </w:style>
  <w:style w:type="character" w:styleId="Strong">
    <w:name w:val="Strong"/>
    <w:basedOn w:val="DefaultParagraphFont"/>
    <w:uiPriority w:val="22"/>
    <w:qFormat/>
    <w:rsid w:val="00757B34"/>
    <w:rPr>
      <w:b/>
      <w:bCs/>
    </w:rPr>
  </w:style>
  <w:style w:type="paragraph" w:styleId="FootnoteText">
    <w:name w:val="footnote text"/>
    <w:basedOn w:val="Normal"/>
    <w:link w:val="FootnoteTextChar"/>
    <w:uiPriority w:val="99"/>
    <w:semiHidden/>
    <w:unhideWhenUsed/>
    <w:rsid w:val="00F107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070A"/>
    <w:rPr>
      <w:sz w:val="20"/>
      <w:szCs w:val="20"/>
    </w:rPr>
  </w:style>
  <w:style w:type="character" w:styleId="FootnoteReference">
    <w:name w:val="footnote reference"/>
    <w:basedOn w:val="DefaultParagraphFont"/>
    <w:uiPriority w:val="99"/>
    <w:semiHidden/>
    <w:unhideWhenUsed/>
    <w:rsid w:val="00F1070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624"/>
    <w:pPr>
      <w:ind w:left="720"/>
      <w:contextualSpacing/>
    </w:pPr>
  </w:style>
  <w:style w:type="paragraph" w:styleId="Header">
    <w:name w:val="header"/>
    <w:basedOn w:val="Normal"/>
    <w:link w:val="HeaderChar"/>
    <w:uiPriority w:val="99"/>
    <w:semiHidden/>
    <w:unhideWhenUsed/>
    <w:rsid w:val="000A7EB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7EB7"/>
  </w:style>
  <w:style w:type="paragraph" w:styleId="Footer">
    <w:name w:val="footer"/>
    <w:basedOn w:val="Normal"/>
    <w:link w:val="FooterChar"/>
    <w:uiPriority w:val="99"/>
    <w:unhideWhenUsed/>
    <w:rsid w:val="000A7E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7EB7"/>
  </w:style>
  <w:style w:type="character" w:styleId="Hyperlink">
    <w:name w:val="Hyperlink"/>
    <w:basedOn w:val="DefaultParagraphFont"/>
    <w:uiPriority w:val="99"/>
    <w:unhideWhenUsed/>
    <w:rsid w:val="00C13045"/>
    <w:rPr>
      <w:color w:val="0000FF" w:themeColor="hyperlink"/>
      <w:u w:val="single"/>
    </w:rPr>
  </w:style>
  <w:style w:type="character" w:styleId="Strong">
    <w:name w:val="Strong"/>
    <w:basedOn w:val="DefaultParagraphFont"/>
    <w:uiPriority w:val="22"/>
    <w:qFormat/>
    <w:rsid w:val="00757B34"/>
    <w:rPr>
      <w:b/>
      <w:bCs/>
    </w:rPr>
  </w:style>
  <w:style w:type="paragraph" w:styleId="FootnoteText">
    <w:name w:val="footnote text"/>
    <w:basedOn w:val="Normal"/>
    <w:link w:val="FootnoteTextChar"/>
    <w:uiPriority w:val="99"/>
    <w:semiHidden/>
    <w:unhideWhenUsed/>
    <w:rsid w:val="00F107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070A"/>
    <w:rPr>
      <w:sz w:val="20"/>
      <w:szCs w:val="20"/>
    </w:rPr>
  </w:style>
  <w:style w:type="character" w:styleId="FootnoteReference">
    <w:name w:val="footnote reference"/>
    <w:basedOn w:val="DefaultParagraphFont"/>
    <w:uiPriority w:val="99"/>
    <w:semiHidden/>
    <w:unhideWhenUsed/>
    <w:rsid w:val="00F107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92251">
      <w:bodyDiv w:val="1"/>
      <w:marLeft w:val="0"/>
      <w:marRight w:val="0"/>
      <w:marTop w:val="0"/>
      <w:marBottom w:val="0"/>
      <w:divBdr>
        <w:top w:val="none" w:sz="0" w:space="0" w:color="auto"/>
        <w:left w:val="none" w:sz="0" w:space="0" w:color="auto"/>
        <w:bottom w:val="none" w:sz="0" w:space="0" w:color="auto"/>
        <w:right w:val="none" w:sz="0" w:space="0" w:color="auto"/>
      </w:divBdr>
      <w:divsChild>
        <w:div w:id="2006735848">
          <w:marLeft w:val="0"/>
          <w:marRight w:val="0"/>
          <w:marTop w:val="0"/>
          <w:marBottom w:val="0"/>
          <w:divBdr>
            <w:top w:val="none" w:sz="0" w:space="0" w:color="auto"/>
            <w:left w:val="none" w:sz="0" w:space="0" w:color="auto"/>
            <w:bottom w:val="none" w:sz="0" w:space="0" w:color="auto"/>
            <w:right w:val="none" w:sz="0" w:space="0" w:color="auto"/>
          </w:divBdr>
          <w:divsChild>
            <w:div w:id="1208758823">
              <w:marLeft w:val="0"/>
              <w:marRight w:val="0"/>
              <w:marTop w:val="0"/>
              <w:marBottom w:val="0"/>
              <w:divBdr>
                <w:top w:val="none" w:sz="0" w:space="0" w:color="auto"/>
                <w:left w:val="none" w:sz="0" w:space="0" w:color="auto"/>
                <w:bottom w:val="none" w:sz="0" w:space="0" w:color="auto"/>
                <w:right w:val="none" w:sz="0" w:space="0" w:color="auto"/>
              </w:divBdr>
            </w:div>
            <w:div w:id="262300212">
              <w:marLeft w:val="0"/>
              <w:marRight w:val="0"/>
              <w:marTop w:val="0"/>
              <w:marBottom w:val="0"/>
              <w:divBdr>
                <w:top w:val="none" w:sz="0" w:space="0" w:color="auto"/>
                <w:left w:val="none" w:sz="0" w:space="0" w:color="auto"/>
                <w:bottom w:val="none" w:sz="0" w:space="0" w:color="auto"/>
                <w:right w:val="none" w:sz="0" w:space="0" w:color="auto"/>
              </w:divBdr>
            </w:div>
            <w:div w:id="176702647">
              <w:marLeft w:val="0"/>
              <w:marRight w:val="0"/>
              <w:marTop w:val="0"/>
              <w:marBottom w:val="0"/>
              <w:divBdr>
                <w:top w:val="none" w:sz="0" w:space="0" w:color="auto"/>
                <w:left w:val="none" w:sz="0" w:space="0" w:color="auto"/>
                <w:bottom w:val="none" w:sz="0" w:space="0" w:color="auto"/>
                <w:right w:val="none" w:sz="0" w:space="0" w:color="auto"/>
              </w:divBdr>
            </w:div>
            <w:div w:id="81746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70176">
      <w:bodyDiv w:val="1"/>
      <w:marLeft w:val="0"/>
      <w:marRight w:val="0"/>
      <w:marTop w:val="0"/>
      <w:marBottom w:val="0"/>
      <w:divBdr>
        <w:top w:val="none" w:sz="0" w:space="0" w:color="auto"/>
        <w:left w:val="none" w:sz="0" w:space="0" w:color="auto"/>
        <w:bottom w:val="none" w:sz="0" w:space="0" w:color="auto"/>
        <w:right w:val="none" w:sz="0" w:space="0" w:color="auto"/>
      </w:divBdr>
    </w:div>
    <w:div w:id="1715426698">
      <w:bodyDiv w:val="1"/>
      <w:marLeft w:val="0"/>
      <w:marRight w:val="0"/>
      <w:marTop w:val="0"/>
      <w:marBottom w:val="0"/>
      <w:divBdr>
        <w:top w:val="none" w:sz="0" w:space="0" w:color="auto"/>
        <w:left w:val="none" w:sz="0" w:space="0" w:color="auto"/>
        <w:bottom w:val="none" w:sz="0" w:space="0" w:color="auto"/>
        <w:right w:val="none" w:sz="0" w:space="0" w:color="auto"/>
      </w:divBdr>
      <w:divsChild>
        <w:div w:id="1196960816">
          <w:marLeft w:val="0"/>
          <w:marRight w:val="0"/>
          <w:marTop w:val="0"/>
          <w:marBottom w:val="0"/>
          <w:divBdr>
            <w:top w:val="none" w:sz="0" w:space="0" w:color="auto"/>
            <w:left w:val="none" w:sz="0" w:space="0" w:color="auto"/>
            <w:bottom w:val="none" w:sz="0" w:space="0" w:color="auto"/>
            <w:right w:val="none" w:sz="0" w:space="0" w:color="auto"/>
          </w:divBdr>
        </w:div>
        <w:div w:id="1226186340">
          <w:marLeft w:val="0"/>
          <w:marRight w:val="0"/>
          <w:marTop w:val="0"/>
          <w:marBottom w:val="0"/>
          <w:divBdr>
            <w:top w:val="none" w:sz="0" w:space="0" w:color="auto"/>
            <w:left w:val="none" w:sz="0" w:space="0" w:color="auto"/>
            <w:bottom w:val="none" w:sz="0" w:space="0" w:color="auto"/>
            <w:right w:val="none" w:sz="0" w:space="0" w:color="auto"/>
          </w:divBdr>
        </w:div>
        <w:div w:id="1875267221">
          <w:marLeft w:val="0"/>
          <w:marRight w:val="0"/>
          <w:marTop w:val="0"/>
          <w:marBottom w:val="0"/>
          <w:divBdr>
            <w:top w:val="none" w:sz="0" w:space="0" w:color="auto"/>
            <w:left w:val="none" w:sz="0" w:space="0" w:color="auto"/>
            <w:bottom w:val="none" w:sz="0" w:space="0" w:color="auto"/>
            <w:right w:val="none" w:sz="0" w:space="0" w:color="auto"/>
          </w:divBdr>
        </w:div>
        <w:div w:id="1168977779">
          <w:marLeft w:val="0"/>
          <w:marRight w:val="0"/>
          <w:marTop w:val="0"/>
          <w:marBottom w:val="0"/>
          <w:divBdr>
            <w:top w:val="none" w:sz="0" w:space="0" w:color="auto"/>
            <w:left w:val="none" w:sz="0" w:space="0" w:color="auto"/>
            <w:bottom w:val="none" w:sz="0" w:space="0" w:color="auto"/>
            <w:right w:val="none" w:sz="0" w:space="0" w:color="auto"/>
          </w:divBdr>
        </w:div>
        <w:div w:id="1869951624">
          <w:marLeft w:val="0"/>
          <w:marRight w:val="0"/>
          <w:marTop w:val="0"/>
          <w:marBottom w:val="0"/>
          <w:divBdr>
            <w:top w:val="none" w:sz="0" w:space="0" w:color="auto"/>
            <w:left w:val="none" w:sz="0" w:space="0" w:color="auto"/>
            <w:bottom w:val="none" w:sz="0" w:space="0" w:color="auto"/>
            <w:right w:val="none" w:sz="0" w:space="0" w:color="auto"/>
          </w:divBdr>
        </w:div>
        <w:div w:id="809372154">
          <w:marLeft w:val="0"/>
          <w:marRight w:val="0"/>
          <w:marTop w:val="0"/>
          <w:marBottom w:val="0"/>
          <w:divBdr>
            <w:top w:val="none" w:sz="0" w:space="0" w:color="auto"/>
            <w:left w:val="none" w:sz="0" w:space="0" w:color="auto"/>
            <w:bottom w:val="none" w:sz="0" w:space="0" w:color="auto"/>
            <w:right w:val="none" w:sz="0" w:space="0" w:color="auto"/>
          </w:divBdr>
        </w:div>
        <w:div w:id="1223827305">
          <w:marLeft w:val="0"/>
          <w:marRight w:val="0"/>
          <w:marTop w:val="0"/>
          <w:marBottom w:val="0"/>
          <w:divBdr>
            <w:top w:val="none" w:sz="0" w:space="0" w:color="auto"/>
            <w:left w:val="none" w:sz="0" w:space="0" w:color="auto"/>
            <w:bottom w:val="none" w:sz="0" w:space="0" w:color="auto"/>
            <w:right w:val="none" w:sz="0" w:space="0" w:color="auto"/>
          </w:divBdr>
        </w:div>
        <w:div w:id="76755100">
          <w:marLeft w:val="0"/>
          <w:marRight w:val="0"/>
          <w:marTop w:val="0"/>
          <w:marBottom w:val="0"/>
          <w:divBdr>
            <w:top w:val="none" w:sz="0" w:space="0" w:color="auto"/>
            <w:left w:val="none" w:sz="0" w:space="0" w:color="auto"/>
            <w:bottom w:val="none" w:sz="0" w:space="0" w:color="auto"/>
            <w:right w:val="none" w:sz="0" w:space="0" w:color="auto"/>
          </w:divBdr>
        </w:div>
        <w:div w:id="2013222495">
          <w:marLeft w:val="0"/>
          <w:marRight w:val="0"/>
          <w:marTop w:val="0"/>
          <w:marBottom w:val="0"/>
          <w:divBdr>
            <w:top w:val="none" w:sz="0" w:space="0" w:color="auto"/>
            <w:left w:val="none" w:sz="0" w:space="0" w:color="auto"/>
            <w:bottom w:val="none" w:sz="0" w:space="0" w:color="auto"/>
            <w:right w:val="none" w:sz="0" w:space="0" w:color="auto"/>
          </w:divBdr>
        </w:div>
        <w:div w:id="664481639">
          <w:marLeft w:val="0"/>
          <w:marRight w:val="0"/>
          <w:marTop w:val="0"/>
          <w:marBottom w:val="0"/>
          <w:divBdr>
            <w:top w:val="none" w:sz="0" w:space="0" w:color="auto"/>
            <w:left w:val="none" w:sz="0" w:space="0" w:color="auto"/>
            <w:bottom w:val="none" w:sz="0" w:space="0" w:color="auto"/>
            <w:right w:val="none" w:sz="0" w:space="0" w:color="auto"/>
          </w:divBdr>
        </w:div>
        <w:div w:id="574169303">
          <w:marLeft w:val="0"/>
          <w:marRight w:val="0"/>
          <w:marTop w:val="0"/>
          <w:marBottom w:val="0"/>
          <w:divBdr>
            <w:top w:val="none" w:sz="0" w:space="0" w:color="auto"/>
            <w:left w:val="none" w:sz="0" w:space="0" w:color="auto"/>
            <w:bottom w:val="none" w:sz="0" w:space="0" w:color="auto"/>
            <w:right w:val="none" w:sz="0" w:space="0" w:color="auto"/>
          </w:divBdr>
        </w:div>
        <w:div w:id="1506021258">
          <w:marLeft w:val="0"/>
          <w:marRight w:val="0"/>
          <w:marTop w:val="0"/>
          <w:marBottom w:val="0"/>
          <w:divBdr>
            <w:top w:val="none" w:sz="0" w:space="0" w:color="auto"/>
            <w:left w:val="none" w:sz="0" w:space="0" w:color="auto"/>
            <w:bottom w:val="none" w:sz="0" w:space="0" w:color="auto"/>
            <w:right w:val="none" w:sz="0" w:space="0" w:color="auto"/>
          </w:divBdr>
        </w:div>
        <w:div w:id="488593875">
          <w:marLeft w:val="0"/>
          <w:marRight w:val="0"/>
          <w:marTop w:val="0"/>
          <w:marBottom w:val="0"/>
          <w:divBdr>
            <w:top w:val="none" w:sz="0" w:space="0" w:color="auto"/>
            <w:left w:val="none" w:sz="0" w:space="0" w:color="auto"/>
            <w:bottom w:val="none" w:sz="0" w:space="0" w:color="auto"/>
            <w:right w:val="none" w:sz="0" w:space="0" w:color="auto"/>
          </w:divBdr>
        </w:div>
        <w:div w:id="397746518">
          <w:marLeft w:val="0"/>
          <w:marRight w:val="0"/>
          <w:marTop w:val="0"/>
          <w:marBottom w:val="0"/>
          <w:divBdr>
            <w:top w:val="none" w:sz="0" w:space="0" w:color="auto"/>
            <w:left w:val="none" w:sz="0" w:space="0" w:color="auto"/>
            <w:bottom w:val="none" w:sz="0" w:space="0" w:color="auto"/>
            <w:right w:val="none" w:sz="0" w:space="0" w:color="auto"/>
          </w:divBdr>
        </w:div>
        <w:div w:id="1859199665">
          <w:marLeft w:val="0"/>
          <w:marRight w:val="0"/>
          <w:marTop w:val="0"/>
          <w:marBottom w:val="0"/>
          <w:divBdr>
            <w:top w:val="none" w:sz="0" w:space="0" w:color="auto"/>
            <w:left w:val="none" w:sz="0" w:space="0" w:color="auto"/>
            <w:bottom w:val="none" w:sz="0" w:space="0" w:color="auto"/>
            <w:right w:val="none" w:sz="0" w:space="0" w:color="auto"/>
          </w:divBdr>
        </w:div>
        <w:div w:id="1635257084">
          <w:marLeft w:val="0"/>
          <w:marRight w:val="0"/>
          <w:marTop w:val="0"/>
          <w:marBottom w:val="0"/>
          <w:divBdr>
            <w:top w:val="none" w:sz="0" w:space="0" w:color="auto"/>
            <w:left w:val="none" w:sz="0" w:space="0" w:color="auto"/>
            <w:bottom w:val="none" w:sz="0" w:space="0" w:color="auto"/>
            <w:right w:val="none" w:sz="0" w:space="0" w:color="auto"/>
          </w:divBdr>
        </w:div>
        <w:div w:id="53818462">
          <w:marLeft w:val="0"/>
          <w:marRight w:val="0"/>
          <w:marTop w:val="0"/>
          <w:marBottom w:val="0"/>
          <w:divBdr>
            <w:top w:val="none" w:sz="0" w:space="0" w:color="auto"/>
            <w:left w:val="none" w:sz="0" w:space="0" w:color="auto"/>
            <w:bottom w:val="none" w:sz="0" w:space="0" w:color="auto"/>
            <w:right w:val="none" w:sz="0" w:space="0" w:color="auto"/>
          </w:divBdr>
        </w:div>
        <w:div w:id="439498241">
          <w:marLeft w:val="0"/>
          <w:marRight w:val="0"/>
          <w:marTop w:val="0"/>
          <w:marBottom w:val="0"/>
          <w:divBdr>
            <w:top w:val="none" w:sz="0" w:space="0" w:color="auto"/>
            <w:left w:val="none" w:sz="0" w:space="0" w:color="auto"/>
            <w:bottom w:val="none" w:sz="0" w:space="0" w:color="auto"/>
            <w:right w:val="none" w:sz="0" w:space="0" w:color="auto"/>
          </w:divBdr>
        </w:div>
        <w:div w:id="1748527732">
          <w:marLeft w:val="0"/>
          <w:marRight w:val="0"/>
          <w:marTop w:val="0"/>
          <w:marBottom w:val="0"/>
          <w:divBdr>
            <w:top w:val="none" w:sz="0" w:space="0" w:color="auto"/>
            <w:left w:val="none" w:sz="0" w:space="0" w:color="auto"/>
            <w:bottom w:val="none" w:sz="0" w:space="0" w:color="auto"/>
            <w:right w:val="none" w:sz="0" w:space="0" w:color="auto"/>
          </w:divBdr>
        </w:div>
        <w:div w:id="319163197">
          <w:marLeft w:val="0"/>
          <w:marRight w:val="0"/>
          <w:marTop w:val="0"/>
          <w:marBottom w:val="0"/>
          <w:divBdr>
            <w:top w:val="none" w:sz="0" w:space="0" w:color="auto"/>
            <w:left w:val="none" w:sz="0" w:space="0" w:color="auto"/>
            <w:bottom w:val="none" w:sz="0" w:space="0" w:color="auto"/>
            <w:right w:val="none" w:sz="0" w:space="0" w:color="auto"/>
          </w:divBdr>
        </w:div>
        <w:div w:id="905073744">
          <w:marLeft w:val="0"/>
          <w:marRight w:val="0"/>
          <w:marTop w:val="0"/>
          <w:marBottom w:val="0"/>
          <w:divBdr>
            <w:top w:val="none" w:sz="0" w:space="0" w:color="auto"/>
            <w:left w:val="none" w:sz="0" w:space="0" w:color="auto"/>
            <w:bottom w:val="none" w:sz="0" w:space="0" w:color="auto"/>
            <w:right w:val="none" w:sz="0" w:space="0" w:color="auto"/>
          </w:divBdr>
        </w:div>
        <w:div w:id="367948566">
          <w:marLeft w:val="0"/>
          <w:marRight w:val="0"/>
          <w:marTop w:val="0"/>
          <w:marBottom w:val="0"/>
          <w:divBdr>
            <w:top w:val="none" w:sz="0" w:space="0" w:color="auto"/>
            <w:left w:val="none" w:sz="0" w:space="0" w:color="auto"/>
            <w:bottom w:val="none" w:sz="0" w:space="0" w:color="auto"/>
            <w:right w:val="none" w:sz="0" w:space="0" w:color="auto"/>
          </w:divBdr>
        </w:div>
        <w:div w:id="1044450036">
          <w:marLeft w:val="0"/>
          <w:marRight w:val="0"/>
          <w:marTop w:val="0"/>
          <w:marBottom w:val="0"/>
          <w:divBdr>
            <w:top w:val="none" w:sz="0" w:space="0" w:color="auto"/>
            <w:left w:val="none" w:sz="0" w:space="0" w:color="auto"/>
            <w:bottom w:val="none" w:sz="0" w:space="0" w:color="auto"/>
            <w:right w:val="none" w:sz="0" w:space="0" w:color="auto"/>
          </w:divBdr>
        </w:div>
        <w:div w:id="1055469534">
          <w:marLeft w:val="0"/>
          <w:marRight w:val="0"/>
          <w:marTop w:val="0"/>
          <w:marBottom w:val="0"/>
          <w:divBdr>
            <w:top w:val="none" w:sz="0" w:space="0" w:color="auto"/>
            <w:left w:val="none" w:sz="0" w:space="0" w:color="auto"/>
            <w:bottom w:val="none" w:sz="0" w:space="0" w:color="auto"/>
            <w:right w:val="none" w:sz="0" w:space="0" w:color="auto"/>
          </w:divBdr>
        </w:div>
        <w:div w:id="1780636921">
          <w:marLeft w:val="0"/>
          <w:marRight w:val="0"/>
          <w:marTop w:val="0"/>
          <w:marBottom w:val="0"/>
          <w:divBdr>
            <w:top w:val="none" w:sz="0" w:space="0" w:color="auto"/>
            <w:left w:val="none" w:sz="0" w:space="0" w:color="auto"/>
            <w:bottom w:val="none" w:sz="0" w:space="0" w:color="auto"/>
            <w:right w:val="none" w:sz="0" w:space="0" w:color="auto"/>
          </w:divBdr>
        </w:div>
        <w:div w:id="1670983439">
          <w:marLeft w:val="0"/>
          <w:marRight w:val="0"/>
          <w:marTop w:val="0"/>
          <w:marBottom w:val="0"/>
          <w:divBdr>
            <w:top w:val="none" w:sz="0" w:space="0" w:color="auto"/>
            <w:left w:val="none" w:sz="0" w:space="0" w:color="auto"/>
            <w:bottom w:val="none" w:sz="0" w:space="0" w:color="auto"/>
            <w:right w:val="none" w:sz="0" w:space="0" w:color="auto"/>
          </w:divBdr>
        </w:div>
        <w:div w:id="1610966879">
          <w:marLeft w:val="0"/>
          <w:marRight w:val="0"/>
          <w:marTop w:val="0"/>
          <w:marBottom w:val="0"/>
          <w:divBdr>
            <w:top w:val="none" w:sz="0" w:space="0" w:color="auto"/>
            <w:left w:val="none" w:sz="0" w:space="0" w:color="auto"/>
            <w:bottom w:val="none" w:sz="0" w:space="0" w:color="auto"/>
            <w:right w:val="none" w:sz="0" w:space="0" w:color="auto"/>
          </w:divBdr>
        </w:div>
        <w:div w:id="1049450126">
          <w:marLeft w:val="0"/>
          <w:marRight w:val="0"/>
          <w:marTop w:val="0"/>
          <w:marBottom w:val="0"/>
          <w:divBdr>
            <w:top w:val="none" w:sz="0" w:space="0" w:color="auto"/>
            <w:left w:val="none" w:sz="0" w:space="0" w:color="auto"/>
            <w:bottom w:val="none" w:sz="0" w:space="0" w:color="auto"/>
            <w:right w:val="none" w:sz="0" w:space="0" w:color="auto"/>
          </w:divBdr>
        </w:div>
        <w:div w:id="497699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leconsentdecree.com/"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ustice.gov/sites/default/files/opa/press-releases/attachments/2015/03/04/ferguson_police_department_report.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justice.gov/opa/pr/justice-department-announces-findings-two-civil-rights-investigations-ferguson-missouri" TargetMode="External"/><Relationship Id="rId4" Type="http://schemas.microsoft.com/office/2007/relationships/stylesWithEffects" Target="stylesWithEffects.xml"/><Relationship Id="rId9" Type="http://schemas.openxmlformats.org/officeDocument/2006/relationships/hyperlink" Target="http://www.justice.gov/sites/default/files/opa/press-releases/attachments/2015/03/04/ferguson_police_department_report.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justice.gov/sites/default/files/crt/legacy/2014/07/22/newark_findings_7-22-14.pdf" TargetMode="External"/><Relationship Id="rId3" Type="http://schemas.openxmlformats.org/officeDocument/2006/relationships/hyperlink" Target="http://www.justice.gov/opa/pr/justice-department-and-city-cleveland-agree-reform-division-police-after-finding-pattern-or" TargetMode="External"/><Relationship Id="rId7" Type="http://schemas.openxmlformats.org/officeDocument/2006/relationships/hyperlink" Target="http://www.justice.gov/sites/default/files/crt/legacy/2012/09/17/ppb_findings_9-12-12.pdf" TargetMode="External"/><Relationship Id="rId2" Type="http://schemas.openxmlformats.org/officeDocument/2006/relationships/hyperlink" Target="http://www.justice.gov/sites/default/files/opa/press-releases/attachments/2014/12/04/cleveland_division_of_police_findings_letter.pdf" TargetMode="External"/><Relationship Id="rId1" Type="http://schemas.openxmlformats.org/officeDocument/2006/relationships/hyperlink" Target="http://www.justice.gov/opa/pr/justice-department-opens-pattern-or-practice-investigation-baltimore-police-department" TargetMode="External"/><Relationship Id="rId6" Type="http://schemas.openxmlformats.org/officeDocument/2006/relationships/hyperlink" Target="http://www.justice.gov/sites/default/files/crt/legacy/2011/12/16/spd_findletter_12-16-11.pdf" TargetMode="External"/><Relationship Id="rId5" Type="http://schemas.openxmlformats.org/officeDocument/2006/relationships/hyperlink" Target="http://www.justice.gov/sites/default/files/crt/legacy/2014/04/10/apd_findings_4-10-14.pdf" TargetMode="External"/><Relationship Id="rId10" Type="http://schemas.openxmlformats.org/officeDocument/2006/relationships/hyperlink" Target="http://web.law.columbia.edu/sites/default/files/microsites/contract-economic-organization/files/10-SPL-Pattern%20or%20Practice%20Program%20FAQ.pdf" TargetMode="External"/><Relationship Id="rId4" Type="http://schemas.openxmlformats.org/officeDocument/2006/relationships/hyperlink" Target="http://www.justice.gov/sites/default/files/crt/legacy/2011/03/17/nopd_letter.pdf" TargetMode="External"/><Relationship Id="rId9" Type="http://schemas.openxmlformats.org/officeDocument/2006/relationships/hyperlink" Target="http://www.justice.gov/sites/default/files/crt/legacy/2014/04/10/apd_findings_4-1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43FC81-6199-49A0-8FD8-D1FC4F85D6CC}"/>
</file>

<file path=customXml/itemProps2.xml><?xml version="1.0" encoding="utf-8"?>
<ds:datastoreItem xmlns:ds="http://schemas.openxmlformats.org/officeDocument/2006/customXml" ds:itemID="{176526E3-CED0-4C5A-ADFA-72DAACEE490F}"/>
</file>

<file path=customXml/itemProps3.xml><?xml version="1.0" encoding="utf-8"?>
<ds:datastoreItem xmlns:ds="http://schemas.openxmlformats.org/officeDocument/2006/customXml" ds:itemID="{49749C43-3A9F-4A18-A059-1FFF4BD821DE}"/>
</file>

<file path=customXml/itemProps4.xml><?xml version="1.0" encoding="utf-8"?>
<ds:datastoreItem xmlns:ds="http://schemas.openxmlformats.org/officeDocument/2006/customXml" ds:itemID="{8444203C-B466-4067-8E0D-9EBB4306786E}"/>
</file>

<file path=docProps/app.xml><?xml version="1.0" encoding="utf-8"?>
<Properties xmlns="http://schemas.openxmlformats.org/officeDocument/2006/extended-properties" xmlns:vt="http://schemas.openxmlformats.org/officeDocument/2006/docPropsVTypes">
  <Template>Normal.dotm</Template>
  <TotalTime>0</TotalTime>
  <Pages>4</Pages>
  <Words>1361</Words>
  <Characters>7761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Brown</dc:creator>
  <cp:lastModifiedBy>Kalpana Singh</cp:lastModifiedBy>
  <cp:revision>2</cp:revision>
  <dcterms:created xsi:type="dcterms:W3CDTF">2015-11-23T13:23:00Z</dcterms:created>
  <dcterms:modified xsi:type="dcterms:W3CDTF">2015-11-23T13:23:00Z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