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870" w:rsidRDefault="00664870" w:rsidP="00664870">
      <w:pPr>
        <w:rPr>
          <w:b/>
          <w:sz w:val="36"/>
          <w:szCs w:val="36"/>
        </w:rPr>
      </w:pPr>
      <w:bookmarkStart w:id="0" w:name="_GoBack"/>
      <w:bookmarkEnd w:id="0"/>
    </w:p>
    <w:p w:rsidR="00664870" w:rsidRDefault="00664870" w:rsidP="00664870">
      <w:pPr>
        <w:rPr>
          <w:b/>
          <w:sz w:val="36"/>
          <w:szCs w:val="36"/>
        </w:rPr>
      </w:pPr>
    </w:p>
    <w:p w:rsidR="00664870" w:rsidRDefault="00664870" w:rsidP="00664870">
      <w:pPr>
        <w:rPr>
          <w:b/>
          <w:sz w:val="36"/>
          <w:szCs w:val="36"/>
        </w:rPr>
      </w:pPr>
    </w:p>
    <w:p w:rsidR="00664870" w:rsidRDefault="00664870" w:rsidP="00664870">
      <w:pPr>
        <w:rPr>
          <w:b/>
          <w:sz w:val="36"/>
          <w:szCs w:val="36"/>
        </w:rPr>
      </w:pPr>
    </w:p>
    <w:p w:rsidR="00664870" w:rsidRDefault="00664870" w:rsidP="00664870">
      <w:pPr>
        <w:rPr>
          <w:b/>
          <w:sz w:val="36"/>
          <w:szCs w:val="36"/>
        </w:rPr>
      </w:pPr>
    </w:p>
    <w:p w:rsidR="00664870" w:rsidRDefault="00664870" w:rsidP="00664870">
      <w:pPr>
        <w:rPr>
          <w:b/>
          <w:sz w:val="36"/>
          <w:szCs w:val="36"/>
        </w:rPr>
      </w:pPr>
    </w:p>
    <w:p w:rsidR="00664870" w:rsidRDefault="00664870" w:rsidP="00664870">
      <w:pPr>
        <w:rPr>
          <w:b/>
          <w:sz w:val="36"/>
          <w:szCs w:val="36"/>
        </w:rPr>
      </w:pPr>
    </w:p>
    <w:p w:rsidR="00333E04" w:rsidRPr="00333E04" w:rsidRDefault="00830F4F" w:rsidP="00333E04">
      <w:pPr>
        <w:pStyle w:val="Heading2"/>
        <w:shd w:val="clear" w:color="auto" w:fill="FFFFFF"/>
        <w:spacing w:before="0"/>
        <w:textAlignment w:val="baseline"/>
        <w:rPr>
          <w:rFonts w:asciiTheme="minorHAnsi" w:hAnsiTheme="minorHAnsi"/>
          <w:bCs w:val="0"/>
          <w:color w:val="auto"/>
          <w:sz w:val="36"/>
          <w:szCs w:val="36"/>
        </w:rPr>
      </w:pPr>
      <w:r>
        <w:rPr>
          <w:rFonts w:asciiTheme="minorHAnsi" w:hAnsiTheme="minorHAnsi"/>
          <w:color w:val="auto"/>
          <w:sz w:val="36"/>
          <w:szCs w:val="36"/>
        </w:rPr>
        <w:t>Submission to the seventh periodic review of the United Kingdom before the Human Rights Committe</w:t>
      </w:r>
      <w:r w:rsidR="00DF39D9">
        <w:rPr>
          <w:rFonts w:asciiTheme="minorHAnsi" w:hAnsiTheme="minorHAnsi"/>
          <w:color w:val="auto"/>
          <w:sz w:val="36"/>
          <w:szCs w:val="36"/>
        </w:rPr>
        <w:t>e</w:t>
      </w:r>
    </w:p>
    <w:p w:rsidR="002654ED" w:rsidRDefault="002654ED" w:rsidP="00664870">
      <w:pPr>
        <w:rPr>
          <w:b/>
          <w:sz w:val="36"/>
          <w:szCs w:val="36"/>
        </w:rPr>
      </w:pPr>
    </w:p>
    <w:p w:rsidR="00664870" w:rsidRDefault="00664870" w:rsidP="00664870">
      <w:pPr>
        <w:rPr>
          <w:b/>
          <w:sz w:val="32"/>
          <w:szCs w:val="32"/>
        </w:rPr>
      </w:pPr>
    </w:p>
    <w:p w:rsidR="00664870" w:rsidRDefault="00664870" w:rsidP="00664870">
      <w:pPr>
        <w:rPr>
          <w:b/>
          <w:sz w:val="32"/>
          <w:szCs w:val="32"/>
        </w:rPr>
      </w:pPr>
    </w:p>
    <w:p w:rsidR="00664870" w:rsidRDefault="00664870" w:rsidP="00664870">
      <w:pPr>
        <w:rPr>
          <w:b/>
          <w:sz w:val="32"/>
          <w:szCs w:val="32"/>
        </w:rPr>
      </w:pPr>
    </w:p>
    <w:p w:rsidR="00664870" w:rsidRDefault="00664870" w:rsidP="00664870">
      <w:pPr>
        <w:rPr>
          <w:b/>
          <w:sz w:val="28"/>
          <w:szCs w:val="28"/>
        </w:rPr>
      </w:pPr>
    </w:p>
    <w:p w:rsidR="00664870" w:rsidRDefault="00333E04" w:rsidP="00664870">
      <w:pPr>
        <w:rPr>
          <w:b/>
          <w:sz w:val="28"/>
          <w:szCs w:val="28"/>
        </w:rPr>
      </w:pPr>
      <w:r>
        <w:rPr>
          <w:b/>
          <w:sz w:val="28"/>
          <w:szCs w:val="28"/>
        </w:rPr>
        <w:t>July</w:t>
      </w:r>
      <w:r w:rsidR="00DF74C8">
        <w:rPr>
          <w:b/>
          <w:sz w:val="28"/>
          <w:szCs w:val="28"/>
        </w:rPr>
        <w:t xml:space="preserve"> 2014</w:t>
      </w:r>
    </w:p>
    <w:p w:rsidR="00664870" w:rsidRDefault="00664870" w:rsidP="00664870">
      <w:pPr>
        <w:rPr>
          <w:b/>
          <w:sz w:val="28"/>
          <w:szCs w:val="28"/>
        </w:rPr>
      </w:pPr>
    </w:p>
    <w:p w:rsidR="00664870" w:rsidRDefault="00664870" w:rsidP="00664870">
      <w:pPr>
        <w:rPr>
          <w:b/>
          <w:sz w:val="28"/>
          <w:szCs w:val="28"/>
        </w:rPr>
      </w:pPr>
    </w:p>
    <w:p w:rsidR="00664870" w:rsidRDefault="00664870" w:rsidP="00664870">
      <w:pPr>
        <w:rPr>
          <w:b/>
          <w:sz w:val="28"/>
          <w:szCs w:val="28"/>
        </w:rPr>
      </w:pPr>
    </w:p>
    <w:p w:rsidR="00664870" w:rsidRDefault="00664870" w:rsidP="00664870">
      <w:pPr>
        <w:rPr>
          <w:b/>
          <w:sz w:val="28"/>
          <w:szCs w:val="28"/>
        </w:rPr>
      </w:pPr>
    </w:p>
    <w:p w:rsidR="00664870" w:rsidRPr="00150403" w:rsidRDefault="00664870" w:rsidP="00664870">
      <w:pPr>
        <w:rPr>
          <w:b/>
          <w:sz w:val="28"/>
          <w:szCs w:val="28"/>
        </w:rPr>
      </w:pPr>
      <w:r w:rsidRPr="00150403">
        <w:rPr>
          <w:b/>
          <w:sz w:val="28"/>
          <w:szCs w:val="28"/>
        </w:rPr>
        <w:t>Submission by Detention Action</w:t>
      </w:r>
    </w:p>
    <w:p w:rsidR="00664870" w:rsidRPr="00150403" w:rsidRDefault="00664870" w:rsidP="00664870">
      <w:pPr>
        <w:rPr>
          <w:b/>
          <w:sz w:val="28"/>
          <w:szCs w:val="28"/>
        </w:rPr>
      </w:pPr>
      <w:r w:rsidRPr="00150403">
        <w:rPr>
          <w:b/>
          <w:sz w:val="28"/>
          <w:szCs w:val="28"/>
        </w:rPr>
        <w:t>Main contact: Jerome Phelps, Director, Detention Action</w:t>
      </w:r>
    </w:p>
    <w:p w:rsidR="00664870" w:rsidRPr="00150403" w:rsidRDefault="00664870" w:rsidP="00664870">
      <w:pPr>
        <w:rPr>
          <w:b/>
          <w:sz w:val="28"/>
          <w:szCs w:val="28"/>
        </w:rPr>
      </w:pPr>
      <w:r w:rsidRPr="00150403">
        <w:rPr>
          <w:b/>
          <w:sz w:val="28"/>
          <w:szCs w:val="28"/>
        </w:rPr>
        <w:t>Address: Unit 3R, Leroy House, 436 Essex Rd, London N1 3QP, UK</w:t>
      </w:r>
    </w:p>
    <w:p w:rsidR="00664870" w:rsidRPr="00150403" w:rsidRDefault="00664870" w:rsidP="00664870">
      <w:pPr>
        <w:rPr>
          <w:b/>
          <w:sz w:val="28"/>
          <w:szCs w:val="28"/>
        </w:rPr>
      </w:pPr>
      <w:r w:rsidRPr="00150403">
        <w:rPr>
          <w:b/>
          <w:sz w:val="28"/>
          <w:szCs w:val="28"/>
        </w:rPr>
        <w:t>Tel: 020 7226 3114</w:t>
      </w:r>
    </w:p>
    <w:p w:rsidR="00664870" w:rsidRPr="00150403" w:rsidRDefault="00664870" w:rsidP="00664870">
      <w:pPr>
        <w:rPr>
          <w:b/>
          <w:sz w:val="28"/>
          <w:szCs w:val="28"/>
        </w:rPr>
      </w:pPr>
      <w:r w:rsidRPr="00150403">
        <w:rPr>
          <w:b/>
          <w:sz w:val="28"/>
          <w:szCs w:val="28"/>
        </w:rPr>
        <w:t>jerome@detentionaction.org.uk</w:t>
      </w:r>
    </w:p>
    <w:p w:rsidR="00664870" w:rsidRDefault="000D0951" w:rsidP="00664870">
      <w:pPr>
        <w:rPr>
          <w:b/>
          <w:sz w:val="28"/>
          <w:szCs w:val="28"/>
        </w:rPr>
      </w:pPr>
      <w:hyperlink r:id="rId8" w:history="1">
        <w:r w:rsidR="00664870" w:rsidRPr="006452A3">
          <w:rPr>
            <w:rStyle w:val="Hyperlink"/>
            <w:b/>
            <w:sz w:val="28"/>
            <w:szCs w:val="28"/>
          </w:rPr>
          <w:t>www.detentionaction.org.uk</w:t>
        </w:r>
      </w:hyperlink>
    </w:p>
    <w:p w:rsidR="00664870" w:rsidRDefault="00664870">
      <w:pPr>
        <w:rPr>
          <w:b/>
          <w:sz w:val="28"/>
          <w:szCs w:val="28"/>
        </w:rPr>
      </w:pPr>
      <w:r>
        <w:rPr>
          <w:b/>
          <w:sz w:val="28"/>
          <w:szCs w:val="28"/>
        </w:rPr>
        <w:br w:type="page"/>
      </w:r>
    </w:p>
    <w:p w:rsidR="00DF74C8" w:rsidRDefault="00DF74C8" w:rsidP="00457F19">
      <w:pPr>
        <w:pStyle w:val="ListParagraph"/>
        <w:rPr>
          <w:b/>
          <w:sz w:val="24"/>
          <w:szCs w:val="24"/>
        </w:rPr>
      </w:pPr>
    </w:p>
    <w:p w:rsidR="00DF74C8" w:rsidRPr="00333E04" w:rsidRDefault="00DF74C8" w:rsidP="00457F19">
      <w:pPr>
        <w:pStyle w:val="ListParagraph"/>
        <w:rPr>
          <w:b/>
          <w:sz w:val="24"/>
          <w:szCs w:val="24"/>
        </w:rPr>
      </w:pPr>
    </w:p>
    <w:p w:rsidR="0045338F" w:rsidRDefault="0045338F" w:rsidP="00B42C93">
      <w:pPr>
        <w:spacing w:after="240"/>
        <w:rPr>
          <w:b/>
          <w:sz w:val="24"/>
          <w:szCs w:val="24"/>
        </w:rPr>
      </w:pPr>
      <w:r w:rsidRPr="00333E04">
        <w:rPr>
          <w:b/>
          <w:sz w:val="24"/>
          <w:szCs w:val="24"/>
        </w:rPr>
        <w:t>About Detention Action</w:t>
      </w:r>
    </w:p>
    <w:p w:rsidR="00333E04" w:rsidRDefault="00333E04" w:rsidP="00333E04">
      <w:pPr>
        <w:pStyle w:val="ListParagraph"/>
        <w:numPr>
          <w:ilvl w:val="0"/>
          <w:numId w:val="9"/>
        </w:numPr>
        <w:rPr>
          <w:sz w:val="24"/>
          <w:szCs w:val="24"/>
        </w:rPr>
      </w:pPr>
      <w:r w:rsidRPr="00333E04">
        <w:rPr>
          <w:sz w:val="24"/>
          <w:szCs w:val="24"/>
        </w:rPr>
        <w:t>Detention Action is a national charity established in 1993 that aims to change the way that migrants are treated by immigration detention policy in the UK.  Detention Action defends the rights and improves the welfare of people in detention by combining support for individuals with campaigning for policy change.  Detention Action works primarily in Harmondsworth and Colnbrook Immigration Removal C</w:t>
      </w:r>
      <w:r w:rsidR="00B5154A">
        <w:rPr>
          <w:sz w:val="24"/>
          <w:szCs w:val="24"/>
        </w:rPr>
        <w:t>entres, near Heathrow Airport,</w:t>
      </w:r>
      <w:r w:rsidRPr="00333E04">
        <w:rPr>
          <w:sz w:val="24"/>
          <w:szCs w:val="24"/>
        </w:rPr>
        <w:t xml:space="preserve"> London</w:t>
      </w:r>
      <w:r w:rsidR="00B5154A">
        <w:rPr>
          <w:sz w:val="24"/>
          <w:szCs w:val="24"/>
        </w:rPr>
        <w:t>,</w:t>
      </w:r>
      <w:r w:rsidRPr="00333E04">
        <w:rPr>
          <w:sz w:val="24"/>
          <w:szCs w:val="24"/>
        </w:rPr>
        <w:t xml:space="preserve"> and HM</w:t>
      </w:r>
      <w:r w:rsidR="005F7CDB">
        <w:rPr>
          <w:sz w:val="24"/>
          <w:szCs w:val="24"/>
        </w:rPr>
        <w:t xml:space="preserve"> </w:t>
      </w:r>
      <w:r w:rsidRPr="00333E04">
        <w:rPr>
          <w:sz w:val="24"/>
          <w:szCs w:val="24"/>
        </w:rPr>
        <w:t>P</w:t>
      </w:r>
      <w:r w:rsidR="005F7CDB">
        <w:rPr>
          <w:sz w:val="24"/>
          <w:szCs w:val="24"/>
        </w:rPr>
        <w:t>rison</w:t>
      </w:r>
      <w:r w:rsidR="00B5154A">
        <w:rPr>
          <w:sz w:val="24"/>
          <w:szCs w:val="24"/>
        </w:rPr>
        <w:t>s Pentonville in London and</w:t>
      </w:r>
      <w:r w:rsidRPr="00333E04">
        <w:rPr>
          <w:sz w:val="24"/>
          <w:szCs w:val="24"/>
        </w:rPr>
        <w:t xml:space="preserve"> the Verne in Dorset.</w:t>
      </w:r>
    </w:p>
    <w:p w:rsidR="00527F3C" w:rsidRDefault="00527F3C" w:rsidP="00527F3C">
      <w:pPr>
        <w:rPr>
          <w:sz w:val="24"/>
          <w:szCs w:val="24"/>
        </w:rPr>
      </w:pPr>
    </w:p>
    <w:p w:rsidR="00527F3C" w:rsidRPr="00527F3C" w:rsidRDefault="00527F3C" w:rsidP="00B42C93">
      <w:pPr>
        <w:spacing w:after="240"/>
        <w:rPr>
          <w:b/>
          <w:sz w:val="24"/>
          <w:szCs w:val="24"/>
        </w:rPr>
      </w:pPr>
      <w:r>
        <w:rPr>
          <w:b/>
          <w:sz w:val="24"/>
          <w:szCs w:val="24"/>
        </w:rPr>
        <w:t>Summary</w:t>
      </w:r>
    </w:p>
    <w:p w:rsidR="00750A41" w:rsidRDefault="00750A41" w:rsidP="00333E04">
      <w:pPr>
        <w:pStyle w:val="ListParagraph"/>
        <w:numPr>
          <w:ilvl w:val="0"/>
          <w:numId w:val="9"/>
        </w:numPr>
        <w:rPr>
          <w:sz w:val="24"/>
          <w:szCs w:val="24"/>
        </w:rPr>
      </w:pPr>
      <w:r>
        <w:rPr>
          <w:sz w:val="24"/>
          <w:szCs w:val="24"/>
        </w:rPr>
        <w:t xml:space="preserve">Immigration detention is a critical area for consideration of the UK’s observation of its duties under the International Covenant on Civil and Political Rights.  There is no time limit to detention, and migrants are routinely detained for periods of years, potentially in breach of Articles 7, 9 and 10.  The British courts have six times found that the </w:t>
      </w:r>
      <w:r w:rsidR="00527F3C">
        <w:rPr>
          <w:sz w:val="24"/>
          <w:szCs w:val="24"/>
        </w:rPr>
        <w:t xml:space="preserve">treatment of the </w:t>
      </w:r>
      <w:r>
        <w:rPr>
          <w:sz w:val="24"/>
          <w:szCs w:val="24"/>
        </w:rPr>
        <w:t xml:space="preserve">most vulnerable long-term detained migrants </w:t>
      </w:r>
      <w:r w:rsidR="00527F3C">
        <w:rPr>
          <w:sz w:val="24"/>
          <w:szCs w:val="24"/>
        </w:rPr>
        <w:t>amounted to inhuman or degrading treatment.  The detention of asylum-seekers for the accelerated processing of their claims on the Detained Fast Track risks breaching Articles 9 and 14.  Detention is merely for administrative convenience of processing claims, yet the High Court has found that the operation of the Detained Fast Track is “unacceptably unfair.”  Migrants are frequently detained in unsuitable conditions in prisons or high security detention centres.</w:t>
      </w:r>
    </w:p>
    <w:p w:rsidR="0077712A" w:rsidRPr="0077712A" w:rsidRDefault="00830F4F" w:rsidP="00B42C93">
      <w:pPr>
        <w:shd w:val="clear" w:color="auto" w:fill="FFFFFF"/>
        <w:spacing w:before="100" w:beforeAutospacing="1" w:after="240" w:line="360" w:lineRule="atLeast"/>
        <w:textAlignment w:val="baseline"/>
        <w:rPr>
          <w:rFonts w:eastAsia="Times New Roman" w:cs="Helvetica"/>
          <w:b/>
          <w:sz w:val="24"/>
          <w:szCs w:val="21"/>
          <w:lang w:eastAsia="en-GB"/>
        </w:rPr>
      </w:pPr>
      <w:r>
        <w:rPr>
          <w:rFonts w:eastAsia="Times New Roman" w:cs="Helvetica"/>
          <w:b/>
          <w:sz w:val="24"/>
          <w:szCs w:val="21"/>
          <w:lang w:eastAsia="en-GB"/>
        </w:rPr>
        <w:t>The lack of time limit on detention</w:t>
      </w:r>
    </w:p>
    <w:p w:rsidR="00830F4F" w:rsidRPr="00830F4F" w:rsidRDefault="00830F4F" w:rsidP="00333E04">
      <w:pPr>
        <w:pStyle w:val="Heading1"/>
        <w:keepNext/>
        <w:numPr>
          <w:ilvl w:val="0"/>
          <w:numId w:val="9"/>
        </w:numPr>
        <w:spacing w:before="0" w:beforeAutospacing="0" w:after="0" w:afterAutospacing="0"/>
        <w:rPr>
          <w:rFonts w:asciiTheme="minorHAnsi" w:hAnsiTheme="minorHAnsi" w:cs="Calibri"/>
          <w:b w:val="0"/>
          <w:sz w:val="24"/>
          <w:szCs w:val="24"/>
        </w:rPr>
      </w:pPr>
      <w:r>
        <w:rPr>
          <w:rFonts w:asciiTheme="minorHAnsi" w:hAnsiTheme="minorHAnsi" w:cs="Calibri"/>
          <w:b w:val="0"/>
          <w:sz w:val="24"/>
          <w:szCs w:val="24"/>
        </w:rPr>
        <w:t>The use of long-term detention without time limit in the UK raises questions in relation to Articles 7,</w:t>
      </w:r>
      <w:r w:rsidR="0061296D">
        <w:rPr>
          <w:rFonts w:asciiTheme="minorHAnsi" w:hAnsiTheme="minorHAnsi" w:cs="Calibri"/>
          <w:b w:val="0"/>
          <w:sz w:val="24"/>
          <w:szCs w:val="24"/>
        </w:rPr>
        <w:t xml:space="preserve"> </w:t>
      </w:r>
      <w:r>
        <w:rPr>
          <w:rFonts w:asciiTheme="minorHAnsi" w:hAnsiTheme="minorHAnsi" w:cs="Calibri"/>
          <w:b w:val="0"/>
          <w:sz w:val="24"/>
          <w:szCs w:val="24"/>
        </w:rPr>
        <w:t xml:space="preserve">9 and 10 </w:t>
      </w:r>
      <w:r w:rsidR="00750A41">
        <w:rPr>
          <w:rFonts w:asciiTheme="minorHAnsi" w:hAnsiTheme="minorHAnsi" w:cs="Calibri"/>
          <w:b w:val="0"/>
          <w:sz w:val="24"/>
          <w:szCs w:val="24"/>
        </w:rPr>
        <w:t>ICCP</w:t>
      </w:r>
      <w:r>
        <w:rPr>
          <w:rFonts w:asciiTheme="minorHAnsi" w:hAnsiTheme="minorHAnsi" w:cs="Calibri"/>
          <w:b w:val="0"/>
          <w:sz w:val="24"/>
          <w:szCs w:val="24"/>
        </w:rPr>
        <w:t>.</w:t>
      </w:r>
    </w:p>
    <w:p w:rsidR="00333E04" w:rsidRPr="0077712A" w:rsidRDefault="00333E04" w:rsidP="00333E04">
      <w:pPr>
        <w:pStyle w:val="Heading1"/>
        <w:keepNext/>
        <w:numPr>
          <w:ilvl w:val="0"/>
          <w:numId w:val="9"/>
        </w:numPr>
        <w:spacing w:before="0" w:beforeAutospacing="0" w:after="0" w:afterAutospacing="0"/>
        <w:rPr>
          <w:rFonts w:asciiTheme="minorHAnsi" w:hAnsiTheme="minorHAnsi" w:cs="Calibri"/>
          <w:b w:val="0"/>
          <w:sz w:val="24"/>
          <w:szCs w:val="24"/>
        </w:rPr>
      </w:pPr>
      <w:r w:rsidRPr="0077712A">
        <w:rPr>
          <w:rFonts w:asciiTheme="minorHAnsi" w:hAnsiTheme="minorHAnsi" w:cs="Calibri"/>
          <w:b w:val="0"/>
          <w:sz w:val="24"/>
          <w:szCs w:val="24"/>
        </w:rPr>
        <w:t xml:space="preserve">The UK is unique in Europe in having no time limit and routinely detaining migrants for years.  It has opted out of the EU Returns Directive, which sets a maximum time limit of 18 months. </w:t>
      </w:r>
    </w:p>
    <w:p w:rsidR="00333E04" w:rsidRPr="00333E04" w:rsidRDefault="00333E04" w:rsidP="00333E04">
      <w:pPr>
        <w:pStyle w:val="ListParagraph"/>
        <w:numPr>
          <w:ilvl w:val="0"/>
          <w:numId w:val="9"/>
        </w:numPr>
        <w:spacing w:line="276" w:lineRule="auto"/>
        <w:ind w:left="714" w:hanging="357"/>
        <w:rPr>
          <w:sz w:val="24"/>
          <w:szCs w:val="24"/>
        </w:rPr>
      </w:pPr>
      <w:r w:rsidRPr="00333E04">
        <w:rPr>
          <w:sz w:val="24"/>
          <w:szCs w:val="24"/>
        </w:rPr>
        <w:t>According to the latest Home Office statistics, 2</w:t>
      </w:r>
      <w:r w:rsidR="00CC5519">
        <w:rPr>
          <w:sz w:val="24"/>
          <w:szCs w:val="24"/>
        </w:rPr>
        <w:t>37</w:t>
      </w:r>
      <w:r w:rsidRPr="00333E04">
        <w:rPr>
          <w:sz w:val="24"/>
          <w:szCs w:val="24"/>
        </w:rPr>
        <w:t xml:space="preserve"> people had been detained for over six months at 31 </w:t>
      </w:r>
      <w:r w:rsidR="00CC5519">
        <w:rPr>
          <w:sz w:val="24"/>
          <w:szCs w:val="24"/>
        </w:rPr>
        <w:t>March 2014</w:t>
      </w:r>
      <w:r w:rsidRPr="00333E04">
        <w:rPr>
          <w:sz w:val="24"/>
          <w:szCs w:val="24"/>
        </w:rPr>
        <w:t>.</w:t>
      </w:r>
      <w:r w:rsidR="00CC5519">
        <w:rPr>
          <w:rStyle w:val="FootnoteReference"/>
          <w:sz w:val="24"/>
          <w:szCs w:val="24"/>
        </w:rPr>
        <w:footnoteReference w:id="1"/>
      </w:r>
      <w:r w:rsidRPr="00333E04">
        <w:rPr>
          <w:sz w:val="24"/>
          <w:szCs w:val="24"/>
        </w:rPr>
        <w:t xml:space="preserve">  However, migrants detained in prisons are usually held for the longest periods, yet are arbitrarily excluded from the statistics.  </w:t>
      </w:r>
      <w:r w:rsidR="00CC5519">
        <w:rPr>
          <w:sz w:val="24"/>
          <w:szCs w:val="24"/>
        </w:rPr>
        <w:t>790</w:t>
      </w:r>
      <w:r w:rsidRPr="00333E04">
        <w:rPr>
          <w:sz w:val="24"/>
          <w:szCs w:val="24"/>
        </w:rPr>
        <w:t xml:space="preserve"> migrants were detained in prisons at </w:t>
      </w:r>
      <w:r w:rsidR="00CC5519">
        <w:rPr>
          <w:sz w:val="24"/>
          <w:szCs w:val="24"/>
        </w:rPr>
        <w:t>3 June 2014</w:t>
      </w:r>
      <w:r w:rsidRPr="00333E04">
        <w:rPr>
          <w:sz w:val="24"/>
          <w:szCs w:val="24"/>
        </w:rPr>
        <w:t>.</w:t>
      </w:r>
      <w:r w:rsidR="00B5154A">
        <w:rPr>
          <w:rStyle w:val="FootnoteReference"/>
          <w:sz w:val="24"/>
          <w:szCs w:val="24"/>
        </w:rPr>
        <w:footnoteReference w:id="2"/>
      </w:r>
      <w:r w:rsidRPr="00333E04">
        <w:rPr>
          <w:sz w:val="24"/>
          <w:szCs w:val="24"/>
        </w:rPr>
        <w:t xml:space="preserve">  </w:t>
      </w:r>
    </w:p>
    <w:p w:rsidR="00333E04" w:rsidRDefault="00333E04" w:rsidP="00333E04">
      <w:pPr>
        <w:pStyle w:val="ListParagraph"/>
        <w:numPr>
          <w:ilvl w:val="0"/>
          <w:numId w:val="9"/>
        </w:numPr>
        <w:spacing w:line="276" w:lineRule="auto"/>
        <w:ind w:left="714" w:right="-284" w:hanging="357"/>
        <w:rPr>
          <w:rFonts w:cs="Calibri"/>
          <w:sz w:val="24"/>
          <w:szCs w:val="24"/>
        </w:rPr>
      </w:pPr>
      <w:r w:rsidRPr="00333E04">
        <w:rPr>
          <w:sz w:val="24"/>
          <w:szCs w:val="24"/>
        </w:rPr>
        <w:t>Many migrants are detained unnecessarily when they cannot return.</w:t>
      </w:r>
      <w:r w:rsidRPr="00333E04">
        <w:rPr>
          <w:b/>
          <w:sz w:val="24"/>
          <w:szCs w:val="24"/>
        </w:rPr>
        <w:t xml:space="preserve">  </w:t>
      </w:r>
      <w:r w:rsidR="00CC5519">
        <w:rPr>
          <w:rFonts w:cs="Calibri"/>
          <w:sz w:val="24"/>
          <w:szCs w:val="24"/>
        </w:rPr>
        <w:t>Recent</w:t>
      </w:r>
      <w:r w:rsidRPr="00333E04">
        <w:rPr>
          <w:rFonts w:cs="Calibri"/>
          <w:sz w:val="24"/>
          <w:szCs w:val="24"/>
        </w:rPr>
        <w:t xml:space="preserve"> research by Detention Action and partner organisations has found that unreturnable migrants are detained across Europe.</w:t>
      </w:r>
      <w:r w:rsidRPr="00333E04">
        <w:rPr>
          <w:rStyle w:val="FootnoteReference"/>
          <w:rFonts w:cs="Calibri"/>
          <w:sz w:val="24"/>
          <w:szCs w:val="24"/>
        </w:rPr>
        <w:footnoteReference w:id="3"/>
      </w:r>
      <w:r w:rsidRPr="00333E04">
        <w:rPr>
          <w:rFonts w:cs="Calibri"/>
          <w:sz w:val="24"/>
          <w:szCs w:val="24"/>
        </w:rPr>
        <w:t xml:space="preserve">  The research identifies several factors that cause migrants </w:t>
      </w:r>
      <w:r w:rsidRPr="00333E04">
        <w:rPr>
          <w:rFonts w:cs="Calibri"/>
          <w:sz w:val="24"/>
          <w:szCs w:val="24"/>
        </w:rPr>
        <w:lastRenderedPageBreak/>
        <w:t xml:space="preserve">to be unreturnable, including the refusal of their countries to issue travel documentation, or legal barriers to return to certain countries.  </w:t>
      </w:r>
    </w:p>
    <w:p w:rsidR="00613365" w:rsidRPr="00613365" w:rsidRDefault="00613365" w:rsidP="003744D6">
      <w:pPr>
        <w:pStyle w:val="ListParagraph"/>
        <w:numPr>
          <w:ilvl w:val="0"/>
          <w:numId w:val="14"/>
        </w:numPr>
        <w:spacing w:line="276" w:lineRule="auto"/>
        <w:ind w:left="714" w:right="-284" w:hanging="357"/>
        <w:rPr>
          <w:rFonts w:cs="Arial"/>
          <w:bCs/>
          <w:vanish/>
          <w:sz w:val="24"/>
          <w:szCs w:val="24"/>
        </w:rPr>
      </w:pPr>
    </w:p>
    <w:p w:rsidR="00613365" w:rsidRPr="00613365" w:rsidRDefault="00613365" w:rsidP="003744D6">
      <w:pPr>
        <w:pStyle w:val="ListParagraph"/>
        <w:numPr>
          <w:ilvl w:val="0"/>
          <w:numId w:val="14"/>
        </w:numPr>
        <w:spacing w:line="276" w:lineRule="auto"/>
        <w:ind w:left="714" w:right="-284" w:hanging="357"/>
        <w:rPr>
          <w:rFonts w:cs="Arial"/>
          <w:bCs/>
          <w:vanish/>
          <w:sz w:val="24"/>
          <w:szCs w:val="24"/>
        </w:rPr>
      </w:pPr>
    </w:p>
    <w:p w:rsidR="00613365" w:rsidRPr="00613365" w:rsidRDefault="00613365" w:rsidP="003744D6">
      <w:pPr>
        <w:pStyle w:val="ListParagraph"/>
        <w:numPr>
          <w:ilvl w:val="0"/>
          <w:numId w:val="14"/>
        </w:numPr>
        <w:spacing w:line="276" w:lineRule="auto"/>
        <w:ind w:left="714" w:right="-284" w:hanging="357"/>
        <w:rPr>
          <w:rFonts w:cs="Arial"/>
          <w:bCs/>
          <w:vanish/>
          <w:sz w:val="24"/>
          <w:szCs w:val="24"/>
        </w:rPr>
      </w:pPr>
    </w:p>
    <w:p w:rsidR="00613365" w:rsidRPr="00613365" w:rsidRDefault="00613365" w:rsidP="003744D6">
      <w:pPr>
        <w:pStyle w:val="ListParagraph"/>
        <w:numPr>
          <w:ilvl w:val="0"/>
          <w:numId w:val="14"/>
        </w:numPr>
        <w:spacing w:line="276" w:lineRule="auto"/>
        <w:ind w:left="714" w:right="-284" w:hanging="357"/>
        <w:rPr>
          <w:rFonts w:cs="Arial"/>
          <w:bCs/>
          <w:vanish/>
          <w:sz w:val="24"/>
          <w:szCs w:val="24"/>
        </w:rPr>
      </w:pPr>
    </w:p>
    <w:p w:rsidR="00613365" w:rsidRPr="00613365" w:rsidRDefault="00613365" w:rsidP="003744D6">
      <w:pPr>
        <w:pStyle w:val="ListParagraph"/>
        <w:numPr>
          <w:ilvl w:val="0"/>
          <w:numId w:val="14"/>
        </w:numPr>
        <w:spacing w:line="276" w:lineRule="auto"/>
        <w:ind w:left="714" w:right="-284" w:hanging="357"/>
        <w:rPr>
          <w:rFonts w:cs="Arial"/>
          <w:bCs/>
          <w:vanish/>
          <w:sz w:val="24"/>
          <w:szCs w:val="24"/>
        </w:rPr>
      </w:pPr>
    </w:p>
    <w:p w:rsidR="00613365" w:rsidRPr="00613365" w:rsidRDefault="00613365" w:rsidP="003744D6">
      <w:pPr>
        <w:pStyle w:val="ListParagraph"/>
        <w:numPr>
          <w:ilvl w:val="0"/>
          <w:numId w:val="14"/>
        </w:numPr>
        <w:spacing w:line="276" w:lineRule="auto"/>
        <w:ind w:left="714" w:right="-284" w:hanging="357"/>
        <w:rPr>
          <w:rFonts w:cs="Arial"/>
          <w:bCs/>
          <w:vanish/>
          <w:sz w:val="24"/>
          <w:szCs w:val="24"/>
        </w:rPr>
      </w:pPr>
    </w:p>
    <w:p w:rsidR="003744D6" w:rsidRPr="00613365" w:rsidRDefault="003744D6" w:rsidP="003744D6">
      <w:pPr>
        <w:pStyle w:val="ListParagraph"/>
        <w:numPr>
          <w:ilvl w:val="0"/>
          <w:numId w:val="14"/>
        </w:numPr>
        <w:spacing w:line="276" w:lineRule="auto"/>
        <w:ind w:left="714" w:right="-284" w:hanging="357"/>
        <w:rPr>
          <w:rFonts w:cs="Calibri"/>
          <w:sz w:val="24"/>
          <w:szCs w:val="24"/>
        </w:rPr>
      </w:pPr>
      <w:r w:rsidRPr="003744D6">
        <w:rPr>
          <w:rFonts w:cs="Arial"/>
          <w:bCs/>
          <w:sz w:val="24"/>
          <w:szCs w:val="24"/>
        </w:rPr>
        <w:t xml:space="preserve">Indeed, the </w:t>
      </w:r>
      <w:r w:rsidRPr="003744D6">
        <w:rPr>
          <w:sz w:val="24"/>
          <w:szCs w:val="24"/>
        </w:rPr>
        <w:t>longer a person is detained, the less likely they are to be removed.  According to Home Office statistics, of migrants leaving detention after more than a year inside in 2013, only 37% were removed or deported; the majority were released back into the UK, their protracted detention having served no purpose.</w:t>
      </w:r>
      <w:r w:rsidRPr="00333E04">
        <w:rPr>
          <w:rStyle w:val="FootnoteReference"/>
          <w:sz w:val="24"/>
          <w:szCs w:val="24"/>
        </w:rPr>
        <w:footnoteReference w:id="4"/>
      </w:r>
      <w:r w:rsidRPr="003744D6">
        <w:rPr>
          <w:sz w:val="24"/>
          <w:szCs w:val="24"/>
        </w:rPr>
        <w:t xml:space="preserve">  </w:t>
      </w:r>
    </w:p>
    <w:p w:rsidR="00613365" w:rsidRPr="00613365" w:rsidRDefault="00613365" w:rsidP="00613365">
      <w:pPr>
        <w:pStyle w:val="ListParagraph"/>
        <w:numPr>
          <w:ilvl w:val="0"/>
          <w:numId w:val="14"/>
        </w:numPr>
        <w:spacing w:line="276" w:lineRule="auto"/>
        <w:ind w:right="-283"/>
        <w:rPr>
          <w:rFonts w:cs="Calibri"/>
          <w:sz w:val="24"/>
          <w:szCs w:val="24"/>
        </w:rPr>
      </w:pPr>
      <w:r>
        <w:rPr>
          <w:sz w:val="24"/>
          <w:szCs w:val="24"/>
        </w:rPr>
        <w:t xml:space="preserve">The power to detain indefinitely is limited  by the common law “Hardial Singh principles”.  These principles require that migrants only be detained for a reasonable period in order to remove them and with due diligence to that end, and that they should not be detained if it becomes apparent that removal will not take place within a reasonable period.  </w:t>
      </w:r>
    </w:p>
    <w:p w:rsidR="00613365" w:rsidRPr="00613365" w:rsidRDefault="00613365" w:rsidP="00613365">
      <w:pPr>
        <w:pStyle w:val="ListParagraph"/>
        <w:numPr>
          <w:ilvl w:val="0"/>
          <w:numId w:val="14"/>
        </w:numPr>
        <w:spacing w:line="276" w:lineRule="auto"/>
        <w:ind w:right="-283"/>
        <w:rPr>
          <w:rFonts w:cs="Calibri"/>
          <w:sz w:val="24"/>
          <w:szCs w:val="24"/>
        </w:rPr>
      </w:pPr>
      <w:r>
        <w:rPr>
          <w:sz w:val="24"/>
          <w:szCs w:val="24"/>
        </w:rPr>
        <w:t>There has been a flood of findings by the High Court of unlawful detention in</w:t>
      </w:r>
      <w:r w:rsidRPr="00613365">
        <w:rPr>
          <w:sz w:val="24"/>
          <w:szCs w:val="24"/>
        </w:rPr>
        <w:t xml:space="preserve"> </w:t>
      </w:r>
      <w:r>
        <w:rPr>
          <w:sz w:val="24"/>
          <w:szCs w:val="24"/>
        </w:rPr>
        <w:t xml:space="preserve">breach of the Hardial Singh principles, where migrants have been detained for periods of years with little or no prospect of removal. </w:t>
      </w:r>
    </w:p>
    <w:p w:rsidR="00613365" w:rsidRDefault="00613365" w:rsidP="00613365">
      <w:pPr>
        <w:pStyle w:val="ListParagraph"/>
        <w:numPr>
          <w:ilvl w:val="0"/>
          <w:numId w:val="14"/>
        </w:numPr>
        <w:spacing w:line="276" w:lineRule="auto"/>
        <w:ind w:right="-283"/>
        <w:rPr>
          <w:rFonts w:cs="Calibri"/>
          <w:sz w:val="24"/>
          <w:szCs w:val="24"/>
        </w:rPr>
      </w:pPr>
      <w:r>
        <w:rPr>
          <w:sz w:val="24"/>
          <w:szCs w:val="24"/>
        </w:rPr>
        <w:t>In the most extreme case, the High Court found that an Algerian with minor criminal convictions called Mr Sino</w:t>
      </w:r>
      <w:r w:rsidRPr="00333E04">
        <w:rPr>
          <w:sz w:val="24"/>
          <w:szCs w:val="24"/>
        </w:rPr>
        <w:t xml:space="preserve"> had been detained unlawfully for the entirety of his 4 years and 11 months in immigration detention.</w:t>
      </w:r>
      <w:r w:rsidRPr="00333E04">
        <w:rPr>
          <w:rStyle w:val="FootnoteReference"/>
          <w:sz w:val="24"/>
          <w:szCs w:val="24"/>
        </w:rPr>
        <w:footnoteReference w:id="5"/>
      </w:r>
      <w:r w:rsidRPr="00333E04">
        <w:rPr>
          <w:sz w:val="24"/>
          <w:szCs w:val="24"/>
        </w:rPr>
        <w:t xml:space="preserve">  This is thought to be the longest ever period of unlawful immigration detention in the UK.  The court found that </w:t>
      </w:r>
      <w:r w:rsidRPr="00333E04">
        <w:rPr>
          <w:rFonts w:cs="Calibri"/>
          <w:sz w:val="24"/>
          <w:szCs w:val="24"/>
        </w:rPr>
        <w:t>there was at no point any prospect of his deportation becoming possible in a reasonable period.</w:t>
      </w:r>
    </w:p>
    <w:p w:rsidR="00333E04" w:rsidRDefault="00333E04" w:rsidP="00613365">
      <w:pPr>
        <w:pStyle w:val="CM8"/>
        <w:numPr>
          <w:ilvl w:val="0"/>
          <w:numId w:val="14"/>
        </w:numPr>
        <w:spacing w:line="276" w:lineRule="auto"/>
        <w:rPr>
          <w:rFonts w:asciiTheme="minorHAnsi" w:hAnsiTheme="minorHAnsi"/>
          <w:bCs/>
        </w:rPr>
      </w:pPr>
      <w:r w:rsidRPr="00333E04">
        <w:rPr>
          <w:rFonts w:asciiTheme="minorHAnsi" w:hAnsiTheme="minorHAnsi"/>
        </w:rPr>
        <w:t>In</w:t>
      </w:r>
      <w:r w:rsidRPr="00333E04">
        <w:rPr>
          <w:rFonts w:asciiTheme="minorHAnsi" w:hAnsiTheme="minorHAnsi"/>
          <w:bCs/>
        </w:rPr>
        <w:t xml:space="preserve"> May 2013, the UN Committee against Torture urged the UK</w:t>
      </w:r>
      <w:r w:rsidRPr="00333E04">
        <w:rPr>
          <w:rFonts w:asciiTheme="minorHAnsi" w:hAnsiTheme="minorHAnsi"/>
          <w:bCs/>
          <w:color w:val="000000"/>
        </w:rPr>
        <w:t xml:space="preserve"> to “</w:t>
      </w:r>
      <w:r w:rsidRPr="00333E04">
        <w:rPr>
          <w:rFonts w:asciiTheme="minorHAnsi" w:hAnsiTheme="minorHAnsi"/>
          <w:bCs/>
        </w:rPr>
        <w:t>(i)ntroduce a limit for immigration detention and take all necessary steps to prevent cases of de facto indefinite detention.”</w:t>
      </w:r>
      <w:r w:rsidRPr="00333E04">
        <w:rPr>
          <w:rStyle w:val="FootnoteReference"/>
          <w:rFonts w:asciiTheme="minorHAnsi" w:hAnsiTheme="minorHAnsi"/>
          <w:bCs/>
        </w:rPr>
        <w:footnoteReference w:id="6"/>
      </w:r>
      <w:r w:rsidRPr="00333E04">
        <w:rPr>
          <w:rFonts w:asciiTheme="minorHAnsi" w:hAnsiTheme="minorHAnsi"/>
          <w:bCs/>
        </w:rPr>
        <w:t xml:space="preserve"> </w:t>
      </w:r>
    </w:p>
    <w:p w:rsidR="003744D6" w:rsidRPr="003744D6" w:rsidRDefault="003744D6" w:rsidP="003744D6">
      <w:pPr>
        <w:pStyle w:val="Default"/>
      </w:pPr>
    </w:p>
    <w:p w:rsidR="003744D6" w:rsidRPr="003744D6" w:rsidRDefault="003744D6" w:rsidP="00B42C93">
      <w:pPr>
        <w:pStyle w:val="Default"/>
        <w:spacing w:after="240"/>
        <w:rPr>
          <w:rFonts w:asciiTheme="minorHAnsi" w:hAnsiTheme="minorHAnsi"/>
          <w:b/>
        </w:rPr>
      </w:pPr>
      <w:r w:rsidRPr="003744D6">
        <w:rPr>
          <w:rFonts w:asciiTheme="minorHAnsi" w:hAnsiTheme="minorHAnsi"/>
          <w:b/>
        </w:rPr>
        <w:t xml:space="preserve">Unlawful long-term detention of vulnerable people in breach of </w:t>
      </w:r>
      <w:r>
        <w:rPr>
          <w:rFonts w:asciiTheme="minorHAnsi" w:hAnsiTheme="minorHAnsi"/>
          <w:b/>
        </w:rPr>
        <w:t>Article 7 ICCP</w:t>
      </w:r>
    </w:p>
    <w:p w:rsidR="003744D6" w:rsidRPr="003744D6" w:rsidRDefault="00333E04" w:rsidP="00613365">
      <w:pPr>
        <w:pStyle w:val="ListParagraph"/>
        <w:numPr>
          <w:ilvl w:val="0"/>
          <w:numId w:val="14"/>
        </w:numPr>
        <w:spacing w:line="276" w:lineRule="auto"/>
        <w:ind w:right="-283"/>
        <w:rPr>
          <w:rFonts w:cs="Calibri"/>
          <w:sz w:val="24"/>
          <w:szCs w:val="24"/>
        </w:rPr>
      </w:pPr>
      <w:r w:rsidRPr="003744D6">
        <w:rPr>
          <w:sz w:val="24"/>
          <w:szCs w:val="24"/>
        </w:rPr>
        <w:t>The Home Office has repeatedly been found to have caused inhuman or degrading treatment to the most vulnerable migrants in long-term detention.  Over the last three years, the High Court has on six occasions found that the prolonged detention of mentally disordered detainees amounted to breaches of Article 3 of the European Convention on Human Rights</w:t>
      </w:r>
      <w:r w:rsidR="003744D6">
        <w:rPr>
          <w:sz w:val="24"/>
          <w:szCs w:val="24"/>
        </w:rPr>
        <w:t>, equivalent to breaches of Article 7 ICCPR</w:t>
      </w:r>
      <w:r w:rsidRPr="003744D6">
        <w:rPr>
          <w:sz w:val="24"/>
          <w:szCs w:val="24"/>
        </w:rPr>
        <w:t>.</w:t>
      </w:r>
      <w:r w:rsidR="003744D6">
        <w:rPr>
          <w:sz w:val="24"/>
          <w:szCs w:val="24"/>
        </w:rPr>
        <w:t xml:space="preserve">  These amount to a systemic failure to ensure minimum standards of treatment for highly vulnerable migrants with serious mental health conditions.</w:t>
      </w:r>
      <w:r w:rsidRPr="003744D6">
        <w:rPr>
          <w:sz w:val="24"/>
          <w:szCs w:val="24"/>
        </w:rPr>
        <w:t xml:space="preserve">  </w:t>
      </w:r>
    </w:p>
    <w:p w:rsidR="00CC5519" w:rsidRDefault="00CC5519" w:rsidP="00613365">
      <w:pPr>
        <w:pStyle w:val="ListParagraph"/>
        <w:numPr>
          <w:ilvl w:val="0"/>
          <w:numId w:val="14"/>
        </w:numPr>
        <w:spacing w:line="276" w:lineRule="auto"/>
        <w:ind w:right="-283"/>
        <w:rPr>
          <w:rFonts w:cs="Calibri"/>
          <w:sz w:val="24"/>
          <w:szCs w:val="24"/>
        </w:rPr>
      </w:pPr>
      <w:r>
        <w:rPr>
          <w:rFonts w:cs="Calibri"/>
          <w:sz w:val="24"/>
          <w:szCs w:val="24"/>
        </w:rPr>
        <w:t>In July 2014, the Home Office was found to have unlawfully detained for eleven months in Yarl’s Wood the wife of a UK resident refugee in conditions that amounted to inhuman and degrading treatment</w:t>
      </w:r>
      <w:r w:rsidR="000C2E36">
        <w:rPr>
          <w:rFonts w:cs="Calibri"/>
          <w:sz w:val="24"/>
          <w:szCs w:val="24"/>
        </w:rPr>
        <w:t xml:space="preserve"> under Article 3 ECHR</w:t>
      </w:r>
      <w:r>
        <w:rPr>
          <w:rFonts w:cs="Calibri"/>
          <w:sz w:val="24"/>
          <w:szCs w:val="24"/>
        </w:rPr>
        <w:t>.</w:t>
      </w:r>
      <w:r>
        <w:rPr>
          <w:rStyle w:val="FootnoteReference"/>
          <w:rFonts w:cs="Calibri"/>
          <w:sz w:val="24"/>
          <w:szCs w:val="24"/>
        </w:rPr>
        <w:footnoteReference w:id="7"/>
      </w:r>
    </w:p>
    <w:p w:rsidR="000C2E36" w:rsidRPr="001478A9" w:rsidRDefault="000C2E36" w:rsidP="00613365">
      <w:pPr>
        <w:pStyle w:val="ListParagraph"/>
        <w:numPr>
          <w:ilvl w:val="0"/>
          <w:numId w:val="14"/>
        </w:numPr>
        <w:spacing w:line="276" w:lineRule="auto"/>
        <w:ind w:right="-283"/>
        <w:rPr>
          <w:rFonts w:cs="Calibri"/>
          <w:sz w:val="24"/>
          <w:szCs w:val="24"/>
        </w:rPr>
      </w:pPr>
      <w:r>
        <w:rPr>
          <w:rFonts w:cs="Calibri"/>
          <w:sz w:val="24"/>
          <w:szCs w:val="24"/>
        </w:rPr>
        <w:lastRenderedPageBreak/>
        <w:t xml:space="preserve">In January 2014, in the case of S, a seriously mentally ill Ghanaian migrant, the Home Office was found to have committed significant breaches of Article 3 ECHR.  The court found </w:t>
      </w:r>
      <w:r w:rsidRPr="000C2E36">
        <w:rPr>
          <w:rFonts w:cs="Calibri"/>
          <w:sz w:val="24"/>
          <w:szCs w:val="24"/>
        </w:rPr>
        <w:t>“</w:t>
      </w:r>
      <w:r w:rsidRPr="000C2E36">
        <w:rPr>
          <w:rFonts w:cs="Arial"/>
          <w:color w:val="222222"/>
          <w:sz w:val="24"/>
          <w:szCs w:val="24"/>
          <w:shd w:val="clear" w:color="auto" w:fill="FFFFFF"/>
        </w:rPr>
        <w:t>extensive failures to apply and comply with the various applicable policies, some of which can only be described as wilful or grossly negligent.”</w:t>
      </w:r>
      <w:r w:rsidRPr="000C2E36">
        <w:rPr>
          <w:rStyle w:val="FootnoteReference"/>
          <w:rFonts w:cs="Arial"/>
          <w:color w:val="222222"/>
          <w:sz w:val="24"/>
          <w:szCs w:val="24"/>
          <w:shd w:val="clear" w:color="auto" w:fill="FFFFFF"/>
        </w:rPr>
        <w:footnoteReference w:id="8"/>
      </w:r>
    </w:p>
    <w:p w:rsidR="001478A9" w:rsidRPr="000C2E36" w:rsidRDefault="001478A9" w:rsidP="00613365">
      <w:pPr>
        <w:pStyle w:val="ListParagraph"/>
        <w:numPr>
          <w:ilvl w:val="0"/>
          <w:numId w:val="14"/>
        </w:numPr>
        <w:spacing w:line="276" w:lineRule="auto"/>
        <w:ind w:right="-283"/>
        <w:rPr>
          <w:rFonts w:cs="Calibri"/>
          <w:sz w:val="28"/>
          <w:szCs w:val="24"/>
        </w:rPr>
      </w:pPr>
      <w:r>
        <w:rPr>
          <w:sz w:val="24"/>
        </w:rPr>
        <w:t>In January 2013, the High Court found that the treatment of D, a mentally ill man from Congo Brazzaville, had breached Article 3 ECHR.</w:t>
      </w:r>
      <w:r>
        <w:rPr>
          <w:rStyle w:val="FootnoteReference"/>
          <w:sz w:val="24"/>
        </w:rPr>
        <w:footnoteReference w:id="9"/>
      </w:r>
    </w:p>
    <w:p w:rsidR="001478A9" w:rsidRPr="00343F53" w:rsidRDefault="001478A9" w:rsidP="00613365">
      <w:pPr>
        <w:pStyle w:val="ListParagraph"/>
        <w:numPr>
          <w:ilvl w:val="0"/>
          <w:numId w:val="14"/>
        </w:numPr>
        <w:spacing w:line="276" w:lineRule="auto"/>
        <w:ind w:right="-283"/>
        <w:rPr>
          <w:rFonts w:cs="Calibri"/>
          <w:sz w:val="28"/>
          <w:szCs w:val="24"/>
        </w:rPr>
      </w:pPr>
      <w:r w:rsidRPr="000C2E36">
        <w:rPr>
          <w:sz w:val="24"/>
        </w:rPr>
        <w:t>In a further case featuring a breach of Article 3,</w:t>
      </w:r>
      <w:r w:rsidRPr="000C2E36">
        <w:rPr>
          <w:rStyle w:val="FootnoteReference"/>
          <w:sz w:val="24"/>
        </w:rPr>
        <w:footnoteReference w:id="10"/>
      </w:r>
      <w:r w:rsidRPr="000C2E36">
        <w:rPr>
          <w:sz w:val="24"/>
        </w:rPr>
        <w:t xml:space="preserve"> the High Court found </w:t>
      </w:r>
      <w:r>
        <w:rPr>
          <w:sz w:val="24"/>
        </w:rPr>
        <w:t xml:space="preserve">in 2012 </w:t>
      </w:r>
      <w:r w:rsidRPr="000C2E36">
        <w:rPr>
          <w:sz w:val="24"/>
        </w:rPr>
        <w:t>that the Home Secretary acted unlawfully in August 2010 in making changes to the Home Office policy for detaining those with mental illness in immigration detention. As well as finding that the detention of a migrant with paranoid schizophrenia was unlawful and breached Article 3, the Court ruled that the changes to policy were unlawful as they failed to have due regard to equality duties owed by the Home Secretary under discrimination legislation.</w:t>
      </w:r>
    </w:p>
    <w:p w:rsidR="003744D6" w:rsidRPr="003744D6" w:rsidRDefault="003744D6" w:rsidP="00613365">
      <w:pPr>
        <w:pStyle w:val="ListParagraph"/>
        <w:numPr>
          <w:ilvl w:val="0"/>
          <w:numId w:val="14"/>
        </w:numPr>
        <w:spacing w:line="276" w:lineRule="auto"/>
        <w:ind w:right="-283"/>
        <w:rPr>
          <w:rFonts w:cs="Calibri"/>
          <w:sz w:val="24"/>
          <w:szCs w:val="24"/>
        </w:rPr>
      </w:pPr>
      <w:r w:rsidRPr="003744D6">
        <w:rPr>
          <w:sz w:val="24"/>
        </w:rPr>
        <w:t xml:space="preserve">The High Court found again found a breach of Article 3 ECHR in October 2011 in the case of BA, another mentally disordered person, whose detention continued despite a report from the Healthcare Manager at Harmondsworth Immigration Removal Centre that he was not fit to be detained as he could die imminently due to his refusal of fluids.  In finding a breach of Article 3, the High Court described “callous indifference” on the part of the UKBA, alongside “a </w:t>
      </w:r>
      <w:r w:rsidRPr="003744D6">
        <w:rPr>
          <w:rFonts w:cs="Helvetica-Oblique"/>
          <w:iCs/>
          <w:sz w:val="24"/>
        </w:rPr>
        <w:t>deplorable failure… to recognise the nature and extent of BA’s illness.</w:t>
      </w:r>
      <w:r w:rsidRPr="003744D6">
        <w:rPr>
          <w:rFonts w:cs="Helvetica-Oblique"/>
          <w:i/>
          <w:iCs/>
          <w:sz w:val="24"/>
        </w:rPr>
        <w:t>”</w:t>
      </w:r>
      <w:r w:rsidRPr="003744D6">
        <w:rPr>
          <w:rStyle w:val="FootnoteReference"/>
          <w:rFonts w:cs="Helvetica-Oblique"/>
          <w:iCs/>
          <w:sz w:val="24"/>
        </w:rPr>
        <w:footnoteReference w:id="11"/>
      </w:r>
      <w:r w:rsidRPr="003744D6">
        <w:rPr>
          <w:rFonts w:cs="Helvetica-Oblique"/>
          <w:i/>
          <w:iCs/>
          <w:sz w:val="24"/>
        </w:rPr>
        <w:t xml:space="preserve">  </w:t>
      </w:r>
    </w:p>
    <w:p w:rsidR="00B5154A" w:rsidRPr="000C2E36" w:rsidRDefault="003744D6" w:rsidP="00613365">
      <w:pPr>
        <w:pStyle w:val="ListParagraph"/>
        <w:numPr>
          <w:ilvl w:val="0"/>
          <w:numId w:val="14"/>
        </w:numPr>
        <w:rPr>
          <w:rFonts w:cstheme="minorHAnsi"/>
          <w:b/>
          <w:sz w:val="24"/>
        </w:rPr>
      </w:pPr>
      <w:r>
        <w:rPr>
          <w:sz w:val="24"/>
        </w:rPr>
        <w:t xml:space="preserve">The first finding of a breach of Article 3 ECHR took place in </w:t>
      </w:r>
      <w:r w:rsidR="00B5154A" w:rsidRPr="000C2E36">
        <w:rPr>
          <w:sz w:val="24"/>
        </w:rPr>
        <w:t>August 2011</w:t>
      </w:r>
      <w:r w:rsidR="00F52C31">
        <w:rPr>
          <w:sz w:val="24"/>
        </w:rPr>
        <w:t>,</w:t>
      </w:r>
      <w:r w:rsidR="00B5154A" w:rsidRPr="000C2E36">
        <w:rPr>
          <w:sz w:val="24"/>
        </w:rPr>
        <w:t xml:space="preserve"> </w:t>
      </w:r>
      <w:r>
        <w:rPr>
          <w:sz w:val="24"/>
        </w:rPr>
        <w:t xml:space="preserve">in the case of S, an ex-offender migrant who </w:t>
      </w:r>
      <w:r w:rsidR="00B5154A" w:rsidRPr="000C2E36">
        <w:rPr>
          <w:sz w:val="24"/>
        </w:rPr>
        <w:t xml:space="preserve">was transferred from prison to immigration detention, despite </w:t>
      </w:r>
      <w:r>
        <w:rPr>
          <w:sz w:val="24"/>
        </w:rPr>
        <w:t xml:space="preserve">the availability of </w:t>
      </w:r>
      <w:r w:rsidR="00B5154A" w:rsidRPr="000C2E36">
        <w:rPr>
          <w:sz w:val="24"/>
        </w:rPr>
        <w:t>evidence that detention caused deterioration in his psychotic state.</w:t>
      </w:r>
      <w:r w:rsidR="00B5154A" w:rsidRPr="000C2E36">
        <w:rPr>
          <w:rStyle w:val="FootnoteReference"/>
          <w:rFonts w:cs="Helvetica-Oblique"/>
          <w:iCs/>
          <w:sz w:val="24"/>
        </w:rPr>
        <w:footnoteReference w:id="12"/>
      </w:r>
    </w:p>
    <w:p w:rsidR="008535BC" w:rsidRPr="00923A59" w:rsidRDefault="006C4543" w:rsidP="00613365">
      <w:pPr>
        <w:pStyle w:val="ListParagraph"/>
        <w:numPr>
          <w:ilvl w:val="0"/>
          <w:numId w:val="14"/>
        </w:numPr>
        <w:spacing w:line="276" w:lineRule="auto"/>
        <w:ind w:right="-283"/>
        <w:rPr>
          <w:rFonts w:cs="Calibri"/>
          <w:sz w:val="24"/>
          <w:szCs w:val="24"/>
        </w:rPr>
      </w:pPr>
      <w:r>
        <w:rPr>
          <w:rFonts w:cs="Calibri"/>
          <w:sz w:val="24"/>
          <w:szCs w:val="24"/>
        </w:rPr>
        <w:t xml:space="preserve">In theory, </w:t>
      </w:r>
      <w:r w:rsidRPr="00923A59">
        <w:rPr>
          <w:sz w:val="24"/>
          <w:szCs w:val="24"/>
        </w:rPr>
        <w:t>Rule 35 of the Detention Centre Rules</w:t>
      </w:r>
      <w:r>
        <w:rPr>
          <w:sz w:val="24"/>
          <w:szCs w:val="24"/>
        </w:rPr>
        <w:t xml:space="preserve"> is supposed to operate as a</w:t>
      </w:r>
      <w:r>
        <w:rPr>
          <w:rFonts w:cs="Calibri"/>
          <w:sz w:val="24"/>
          <w:szCs w:val="24"/>
        </w:rPr>
        <w:t xml:space="preserve"> </w:t>
      </w:r>
      <w:r w:rsidR="008535BC" w:rsidRPr="00923A59">
        <w:rPr>
          <w:rFonts w:cs="Calibri"/>
          <w:sz w:val="24"/>
          <w:szCs w:val="24"/>
        </w:rPr>
        <w:t>safeguard against the inappropriate detention of vulnerable people</w:t>
      </w:r>
      <w:r>
        <w:rPr>
          <w:rFonts w:cs="Calibri"/>
          <w:sz w:val="24"/>
          <w:szCs w:val="24"/>
        </w:rPr>
        <w:t>.  Rule 35</w:t>
      </w:r>
      <w:r w:rsidR="008535BC" w:rsidRPr="00923A59">
        <w:rPr>
          <w:sz w:val="24"/>
          <w:szCs w:val="24"/>
        </w:rPr>
        <w:t xml:space="preserve"> requires detention centre medical staff to report on any person for whom detention is harmful or who may have been a victim of torture.  However, the Independent Chief Inspector of Borders and Immigration and the HM Inspecto</w:t>
      </w:r>
      <w:r w:rsidR="00573DCA">
        <w:rPr>
          <w:sz w:val="24"/>
          <w:szCs w:val="24"/>
        </w:rPr>
        <w:t>rate of Prisons have concluded that Rule 35</w:t>
      </w:r>
      <w:r w:rsidR="00923A59" w:rsidRPr="00923A59">
        <w:rPr>
          <w:sz w:val="24"/>
          <w:szCs w:val="24"/>
        </w:rPr>
        <w:t xml:space="preserve"> “did not provide the necessary safeguards for vulnerable detainees</w:t>
      </w:r>
      <w:r w:rsidR="008535BC" w:rsidRPr="00923A59">
        <w:rPr>
          <w:sz w:val="24"/>
          <w:szCs w:val="24"/>
        </w:rPr>
        <w:t>.</w:t>
      </w:r>
      <w:r w:rsidR="00923A59" w:rsidRPr="00923A59">
        <w:rPr>
          <w:sz w:val="24"/>
          <w:szCs w:val="24"/>
        </w:rPr>
        <w:t>”</w:t>
      </w:r>
      <w:r w:rsidR="008535BC" w:rsidRPr="00333E04">
        <w:rPr>
          <w:rStyle w:val="FootnoteReference"/>
          <w:sz w:val="24"/>
          <w:szCs w:val="24"/>
        </w:rPr>
        <w:footnoteReference w:id="13"/>
      </w:r>
      <w:r w:rsidR="008535BC" w:rsidRPr="00923A59">
        <w:rPr>
          <w:sz w:val="24"/>
          <w:szCs w:val="24"/>
        </w:rPr>
        <w:t xml:space="preserve">  </w:t>
      </w:r>
      <w:r w:rsidR="00923A59">
        <w:rPr>
          <w:sz w:val="24"/>
          <w:szCs w:val="24"/>
        </w:rPr>
        <w:t>According to the inspectorates, Rule 35 reports by detention centre doctors</w:t>
      </w:r>
      <w:r w:rsidR="00923A59" w:rsidRPr="00923A59">
        <w:rPr>
          <w:sz w:val="24"/>
          <w:szCs w:val="24"/>
        </w:rPr>
        <w:t xml:space="preserve"> </w:t>
      </w:r>
      <w:r w:rsidR="00923A59">
        <w:rPr>
          <w:sz w:val="24"/>
          <w:szCs w:val="24"/>
        </w:rPr>
        <w:t>“</w:t>
      </w:r>
      <w:r w:rsidR="00923A59" w:rsidRPr="00923A59">
        <w:rPr>
          <w:sz w:val="24"/>
          <w:szCs w:val="24"/>
        </w:rPr>
        <w:t xml:space="preserve">are often perfunctory and contain no objective assessment of the illness, condition or alleged torture. The replies </w:t>
      </w:r>
      <w:r>
        <w:rPr>
          <w:sz w:val="24"/>
          <w:szCs w:val="24"/>
        </w:rPr>
        <w:lastRenderedPageBreak/>
        <w:t xml:space="preserve">[from Home Office case owners] </w:t>
      </w:r>
      <w:r w:rsidR="00923A59" w:rsidRPr="00923A59">
        <w:rPr>
          <w:sz w:val="24"/>
          <w:szCs w:val="24"/>
        </w:rPr>
        <w:t xml:space="preserve">are often cursory and </w:t>
      </w:r>
      <w:r w:rsidR="00923A59">
        <w:rPr>
          <w:sz w:val="24"/>
          <w:szCs w:val="24"/>
        </w:rPr>
        <w:t>dismissive and…</w:t>
      </w:r>
      <w:r w:rsidR="00923A59" w:rsidRPr="00923A59">
        <w:rPr>
          <w:sz w:val="24"/>
          <w:szCs w:val="24"/>
        </w:rPr>
        <w:t xml:space="preserve"> it is extremely rare for a Rule 35 report to lead to release.</w:t>
      </w:r>
      <w:r>
        <w:rPr>
          <w:sz w:val="24"/>
          <w:szCs w:val="24"/>
        </w:rPr>
        <w:t>”</w:t>
      </w:r>
      <w:r>
        <w:rPr>
          <w:rStyle w:val="FootnoteReference"/>
          <w:sz w:val="24"/>
          <w:szCs w:val="24"/>
        </w:rPr>
        <w:footnoteReference w:id="14"/>
      </w:r>
    </w:p>
    <w:p w:rsidR="0077712A" w:rsidRPr="0077712A" w:rsidRDefault="00830F4F" w:rsidP="00B42C93">
      <w:pPr>
        <w:shd w:val="clear" w:color="auto" w:fill="FFFFFF"/>
        <w:spacing w:before="100" w:beforeAutospacing="1" w:after="240" w:line="360" w:lineRule="atLeast"/>
        <w:textAlignment w:val="baseline"/>
        <w:rPr>
          <w:rFonts w:eastAsia="Times New Roman" w:cs="Helvetica"/>
          <w:b/>
          <w:sz w:val="24"/>
          <w:szCs w:val="24"/>
          <w:lang w:eastAsia="en-GB"/>
        </w:rPr>
      </w:pPr>
      <w:r>
        <w:rPr>
          <w:rFonts w:eastAsia="Times New Roman" w:cs="Helvetica"/>
          <w:b/>
          <w:sz w:val="24"/>
          <w:szCs w:val="24"/>
          <w:lang w:eastAsia="en-GB"/>
        </w:rPr>
        <w:t xml:space="preserve">The detention of asylum-seekers on the Detained Fast Track </w:t>
      </w:r>
    </w:p>
    <w:p w:rsidR="00750A41" w:rsidRPr="00B51AC6" w:rsidRDefault="0077712A" w:rsidP="00613365">
      <w:pPr>
        <w:pStyle w:val="ListParagraph"/>
        <w:numPr>
          <w:ilvl w:val="0"/>
          <w:numId w:val="14"/>
        </w:numPr>
        <w:spacing w:after="200" w:line="276" w:lineRule="auto"/>
        <w:rPr>
          <w:sz w:val="24"/>
          <w:szCs w:val="24"/>
        </w:rPr>
      </w:pPr>
      <w:r w:rsidRPr="00B51AC6">
        <w:rPr>
          <w:sz w:val="24"/>
          <w:szCs w:val="24"/>
        </w:rPr>
        <w:t>Vulnerable a</w:t>
      </w:r>
      <w:r w:rsidR="00333E04" w:rsidRPr="00B51AC6">
        <w:rPr>
          <w:sz w:val="24"/>
          <w:szCs w:val="24"/>
        </w:rPr>
        <w:t>sylum-seekers are detained for the administrative convenience of the Home Office on the Detained Fast Track (DFT).  Since its introduction in 2000, the DFT has grown vastly in scope and in size.  Many more asylum-seekers are now detained, for longer periods, in worse conditions, with tighter timescales, than was ever initially intended.</w:t>
      </w:r>
      <w:r w:rsidR="00750A41" w:rsidRPr="00B51AC6">
        <w:rPr>
          <w:sz w:val="24"/>
          <w:szCs w:val="24"/>
        </w:rPr>
        <w:t xml:space="preserve"> It is clear that the detention of asylum-seekers is at the very edge of breaching the UK’s international obligations to people fleeing persecution.  </w:t>
      </w:r>
    </w:p>
    <w:p w:rsidR="00333E04" w:rsidRPr="00333E04" w:rsidRDefault="00333E04" w:rsidP="00613365">
      <w:pPr>
        <w:pStyle w:val="ListParagraph"/>
        <w:numPr>
          <w:ilvl w:val="0"/>
          <w:numId w:val="14"/>
        </w:numPr>
        <w:spacing w:after="200" w:line="276" w:lineRule="auto"/>
        <w:rPr>
          <w:sz w:val="24"/>
          <w:szCs w:val="24"/>
        </w:rPr>
      </w:pPr>
      <w:r w:rsidRPr="00333E04">
        <w:rPr>
          <w:sz w:val="24"/>
          <w:szCs w:val="24"/>
        </w:rPr>
        <w:t>On the 9</w:t>
      </w:r>
      <w:r w:rsidRPr="00333E04">
        <w:rPr>
          <w:sz w:val="24"/>
          <w:szCs w:val="24"/>
          <w:vertAlign w:val="superscript"/>
        </w:rPr>
        <w:t>th</w:t>
      </w:r>
      <w:r w:rsidRPr="00333E04">
        <w:rPr>
          <w:sz w:val="24"/>
          <w:szCs w:val="24"/>
        </w:rPr>
        <w:t xml:space="preserve"> July 2014, the High Court ruled in a challenge brought by Detention Action that “the DFT as operated carries an unacceptably high risk of unfairness”, thus crossing the threshold of unlawfulness.</w:t>
      </w:r>
      <w:r w:rsidRPr="00333E04">
        <w:rPr>
          <w:rStyle w:val="FootnoteReference"/>
          <w:sz w:val="24"/>
          <w:szCs w:val="24"/>
        </w:rPr>
        <w:footnoteReference w:id="15"/>
      </w:r>
      <w:r w:rsidRPr="00333E04">
        <w:rPr>
          <w:sz w:val="24"/>
          <w:szCs w:val="24"/>
        </w:rPr>
        <w:t xml:space="preserve"> </w:t>
      </w:r>
    </w:p>
    <w:p w:rsidR="00333E04" w:rsidRPr="00750A41" w:rsidRDefault="00333E04" w:rsidP="00613365">
      <w:pPr>
        <w:pStyle w:val="ListParagraph"/>
        <w:numPr>
          <w:ilvl w:val="0"/>
          <w:numId w:val="14"/>
        </w:numPr>
        <w:spacing w:after="200" w:line="276" w:lineRule="auto"/>
        <w:rPr>
          <w:sz w:val="24"/>
          <w:szCs w:val="24"/>
        </w:rPr>
      </w:pPr>
      <w:r w:rsidRPr="00750A41">
        <w:rPr>
          <w:sz w:val="24"/>
          <w:szCs w:val="24"/>
        </w:rPr>
        <w:t>The DFT is a process for deciding asylum claims whilst the asylum-seeker is in detention, to accelerated time-scales.  The Home Office began detaining asylum-seekers for fast-tracking in 2002, in response to a dramatic increase in numbers of asylum applications.  In 2002 there were 84,132 asylum applications in the UK; by 2012 the number had fallen to 21,875.</w:t>
      </w:r>
    </w:p>
    <w:p w:rsidR="00333E04" w:rsidRPr="00333E04" w:rsidRDefault="00333E04" w:rsidP="00613365">
      <w:pPr>
        <w:pStyle w:val="ListParagraph"/>
        <w:numPr>
          <w:ilvl w:val="0"/>
          <w:numId w:val="14"/>
        </w:numPr>
        <w:spacing w:after="200" w:line="276" w:lineRule="auto"/>
        <w:rPr>
          <w:sz w:val="24"/>
          <w:szCs w:val="24"/>
        </w:rPr>
      </w:pPr>
      <w:r w:rsidRPr="00333E04">
        <w:rPr>
          <w:sz w:val="24"/>
          <w:szCs w:val="24"/>
        </w:rPr>
        <w:t xml:space="preserve">Nevertheless, the Home Office expanded the use of the DFT last year, increasing its allocation in Harmondsworth to around 400 beds.  2,288 asylum-seekers were detained on the Fast Track in the middle six months of 2013.  </w:t>
      </w:r>
    </w:p>
    <w:p w:rsidR="00333E04" w:rsidRPr="00333E04" w:rsidRDefault="00333E04" w:rsidP="00613365">
      <w:pPr>
        <w:pStyle w:val="ListParagraph"/>
        <w:numPr>
          <w:ilvl w:val="0"/>
          <w:numId w:val="14"/>
        </w:numPr>
        <w:spacing w:line="276" w:lineRule="auto"/>
        <w:rPr>
          <w:sz w:val="24"/>
          <w:szCs w:val="24"/>
        </w:rPr>
      </w:pPr>
      <w:r w:rsidRPr="00333E04">
        <w:rPr>
          <w:sz w:val="24"/>
          <w:szCs w:val="24"/>
        </w:rPr>
        <w:t xml:space="preserve">Around half of the 1,300 migrants in detention we support every year are on the DFT.  Many tell us of their distress at being locked up in what they experience as a prison.  Our 2011 report </w:t>
      </w:r>
      <w:r w:rsidRPr="00333E04">
        <w:rPr>
          <w:i/>
          <w:sz w:val="24"/>
          <w:szCs w:val="24"/>
        </w:rPr>
        <w:t>Fast Track to Despair</w:t>
      </w:r>
      <w:r w:rsidRPr="00333E04">
        <w:rPr>
          <w:sz w:val="24"/>
          <w:szCs w:val="24"/>
        </w:rPr>
        <w:t xml:space="preserve"> documented the experiences of asylum-seekers on the DFT.  The majority of the asylum-seekers were confused and disorientated, due to limited or late information, lack of interpreters or translated materials, lack of literacy, the stress of detention and isolation from support from their communities.</w:t>
      </w:r>
      <w:r w:rsidRPr="00333E04">
        <w:rPr>
          <w:rStyle w:val="FootnoteReference"/>
          <w:sz w:val="24"/>
          <w:szCs w:val="24"/>
        </w:rPr>
        <w:footnoteReference w:id="16"/>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The UN High Commissioner for Refugees has monitored the DFT since 2007, but its repeated criticisms, including of “unreasonable expectations of evidence provision”</w:t>
      </w:r>
      <w:r w:rsidRPr="00333E04">
        <w:rPr>
          <w:rStyle w:val="FootnoteReference"/>
          <w:rFonts w:asciiTheme="minorHAnsi" w:hAnsiTheme="minorHAnsi"/>
          <w:sz w:val="24"/>
          <w:szCs w:val="24"/>
        </w:rPr>
        <w:footnoteReference w:id="17"/>
      </w:r>
      <w:r w:rsidRPr="00333E04">
        <w:rPr>
          <w:rFonts w:asciiTheme="minorHAnsi" w:hAnsiTheme="minorHAnsi"/>
          <w:sz w:val="24"/>
          <w:szCs w:val="24"/>
        </w:rPr>
        <w:t>, have not been addressed.</w:t>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 xml:space="preserve">The DFT is designed for asylum claims that are considered to be suitable for a quick decision.  However, the decision to fast-track an asylum case is made when very little is known about the person’s situation.  As a result, vulnerable people with complex cases, including victims of torture, trafficking, gender-based violence and </w:t>
      </w:r>
      <w:r w:rsidRPr="00333E04">
        <w:rPr>
          <w:rFonts w:asciiTheme="minorHAnsi" w:hAnsiTheme="minorHAnsi"/>
          <w:sz w:val="24"/>
          <w:szCs w:val="24"/>
        </w:rPr>
        <w:lastRenderedPageBreak/>
        <w:t xml:space="preserve">homophobic persecution, are regularly detained on the DFT.  </w:t>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 xml:space="preserve">Asylum-seekers may be detained on the DFT when there is no suggestion that they would abscond, and when they meet none of the general detention criteria.  </w:t>
      </w:r>
      <w:r w:rsidR="00B51AC6">
        <w:rPr>
          <w:rFonts w:asciiTheme="minorHAnsi" w:hAnsiTheme="minorHAnsi"/>
          <w:sz w:val="24"/>
          <w:szCs w:val="24"/>
        </w:rPr>
        <w:t>They are incarcerated in conditions equivalent to prison solely for having claimed asylum.</w:t>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 xml:space="preserve">The criteria for suitability for the DFT have gradually widened: there is no longer a nationality list of suitable countries, for example.  The screening process simply does not ensure that unsuitable cases are excluded from the DFT, because the questions asked do not address the details of the person’s case and are unlikely to elicit information that would demonstrate unsuitability, such as experience of torture, trafficking or mental ill health.  The High Court in </w:t>
      </w:r>
      <w:r w:rsidRPr="00333E04">
        <w:rPr>
          <w:rFonts w:asciiTheme="minorHAnsi" w:hAnsiTheme="minorHAnsi"/>
          <w:i/>
          <w:sz w:val="24"/>
          <w:szCs w:val="24"/>
        </w:rPr>
        <w:t>Detention Action</w:t>
      </w:r>
      <w:r w:rsidRPr="00333E04">
        <w:rPr>
          <w:rFonts w:asciiTheme="minorHAnsi" w:hAnsiTheme="minorHAnsi"/>
          <w:sz w:val="24"/>
          <w:szCs w:val="24"/>
        </w:rPr>
        <w:t xml:space="preserve"> found “deficiencies” in the screening process and noted that “the process inherently cannot identify all the claims which are in fact unsuitable for detention or a quick decision”.</w:t>
      </w:r>
      <w:r w:rsidRPr="00333E04">
        <w:rPr>
          <w:rStyle w:val="FootnoteReference"/>
          <w:rFonts w:asciiTheme="minorHAnsi" w:hAnsiTheme="minorHAnsi"/>
          <w:sz w:val="24"/>
          <w:szCs w:val="24"/>
        </w:rPr>
        <w:footnoteReference w:id="18"/>
      </w:r>
      <w:r w:rsidRPr="00333E04">
        <w:rPr>
          <w:rFonts w:asciiTheme="minorHAnsi" w:hAnsiTheme="minorHAnsi"/>
          <w:sz w:val="24"/>
          <w:szCs w:val="24"/>
        </w:rPr>
        <w:t xml:space="preserve"> Mr Justice Ouseley expressed “real unease about the cases which go through the DFT system when they should not have done so.”</w:t>
      </w:r>
      <w:r w:rsidRPr="00333E04">
        <w:rPr>
          <w:rStyle w:val="FootnoteReference"/>
          <w:rFonts w:asciiTheme="minorHAnsi" w:hAnsiTheme="minorHAnsi"/>
          <w:sz w:val="24"/>
          <w:szCs w:val="24"/>
        </w:rPr>
        <w:footnoteReference w:id="19"/>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 xml:space="preserve">Wrongly entering the DFT can have devastating effects on a vulnerable person’s chances of asylum.  The Home Office refuses 99% of asylum claims which they have placed on the DFT.  </w:t>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 xml:space="preserve">The safeguards that should ensure that unsuitable cases are taken out of the DFT are ineffective.  </w:t>
      </w:r>
      <w:r w:rsidR="008535BC">
        <w:rPr>
          <w:rFonts w:asciiTheme="minorHAnsi" w:hAnsiTheme="minorHAnsi"/>
          <w:sz w:val="24"/>
          <w:szCs w:val="24"/>
        </w:rPr>
        <w:t xml:space="preserve">As described above, the Rule 35 process has been widely criticized as ineffective.  </w:t>
      </w:r>
      <w:r w:rsidRPr="00333E04">
        <w:rPr>
          <w:rFonts w:asciiTheme="minorHAnsi" w:hAnsiTheme="minorHAnsi"/>
          <w:sz w:val="24"/>
          <w:szCs w:val="24"/>
        </w:rPr>
        <w:t>The High Court concluded that Rule 35 reports “are not the effective safeguard they are supposed to be” and do not work as intended to remove unsuitable cases from the DFT.</w:t>
      </w:r>
      <w:r w:rsidRPr="00333E04">
        <w:rPr>
          <w:rStyle w:val="FootnoteReference"/>
          <w:rFonts w:asciiTheme="minorHAnsi" w:hAnsiTheme="minorHAnsi"/>
          <w:sz w:val="24"/>
          <w:szCs w:val="24"/>
        </w:rPr>
        <w:footnoteReference w:id="20"/>
      </w:r>
    </w:p>
    <w:p w:rsidR="00333E04" w:rsidRPr="00830F4F" w:rsidRDefault="00830F4F" w:rsidP="00613365">
      <w:pPr>
        <w:pStyle w:val="BodyText"/>
        <w:numPr>
          <w:ilvl w:val="0"/>
          <w:numId w:val="14"/>
        </w:numPr>
        <w:spacing w:line="276" w:lineRule="auto"/>
        <w:rPr>
          <w:rFonts w:asciiTheme="minorHAnsi" w:hAnsiTheme="minorHAnsi"/>
          <w:sz w:val="24"/>
          <w:szCs w:val="24"/>
        </w:rPr>
      </w:pPr>
      <w:r w:rsidRPr="00830F4F">
        <w:rPr>
          <w:rFonts w:asciiTheme="minorHAnsi" w:hAnsiTheme="minorHAnsi"/>
          <w:sz w:val="24"/>
          <w:szCs w:val="24"/>
        </w:rPr>
        <w:t xml:space="preserve">The appeals process for asylum-seekers on the DFT is problematic in terms of Article 14 ICCPR. </w:t>
      </w:r>
      <w:r w:rsidR="00333E04" w:rsidRPr="00830F4F">
        <w:rPr>
          <w:rFonts w:asciiTheme="minorHAnsi" w:hAnsiTheme="minorHAnsi"/>
          <w:sz w:val="24"/>
          <w:szCs w:val="24"/>
        </w:rPr>
        <w:t>When their case is refused, asylum-seekers have just two days in which to appeal.  There is no new consideration of whether their appeal is suitable for the DFT, although far more information about their case is available at this stage than was the case at the screening stage when they entered the DFT.  Many asylum-seekers find themselves unrepresented at appeal, and must navigate a complex and fast-paced appeals process in a language they often do not understand.   In 2012, 59% asylum-seekers in Harmondsworth were unrepresented at the first appeal.  Only 1% of them won their appeals, compared to 20% of those with a representative.</w:t>
      </w:r>
      <w:r w:rsidR="00333E04" w:rsidRPr="00333E04">
        <w:rPr>
          <w:rStyle w:val="FootnoteReference"/>
          <w:rFonts w:asciiTheme="minorHAnsi" w:hAnsiTheme="minorHAnsi"/>
          <w:sz w:val="24"/>
          <w:szCs w:val="24"/>
        </w:rPr>
        <w:footnoteReference w:id="21"/>
      </w:r>
      <w:r w:rsidR="00333E04" w:rsidRPr="00830F4F">
        <w:rPr>
          <w:rStyle w:val="FootnoteReference"/>
          <w:rFonts w:asciiTheme="minorHAnsi" w:hAnsiTheme="minorHAnsi"/>
          <w:sz w:val="24"/>
          <w:szCs w:val="24"/>
        </w:rPr>
        <w:t xml:space="preserve"> </w:t>
      </w:r>
      <w:r w:rsidR="00333E04" w:rsidRPr="00830F4F">
        <w:rPr>
          <w:rFonts w:asciiTheme="minorHAnsi" w:hAnsiTheme="minorHAnsi"/>
          <w:sz w:val="24"/>
          <w:szCs w:val="24"/>
        </w:rPr>
        <w:t xml:space="preserve"> </w:t>
      </w:r>
    </w:p>
    <w:p w:rsidR="00333E04" w:rsidRPr="00333E04" w:rsidRDefault="00333E04" w:rsidP="00613365">
      <w:pPr>
        <w:pStyle w:val="BodyText"/>
        <w:numPr>
          <w:ilvl w:val="0"/>
          <w:numId w:val="14"/>
        </w:numPr>
        <w:spacing w:line="276" w:lineRule="auto"/>
        <w:rPr>
          <w:rFonts w:asciiTheme="minorHAnsi" w:hAnsiTheme="minorHAnsi"/>
          <w:sz w:val="24"/>
          <w:szCs w:val="24"/>
        </w:rPr>
      </w:pPr>
      <w:r w:rsidRPr="00333E04">
        <w:rPr>
          <w:rFonts w:asciiTheme="minorHAnsi" w:hAnsiTheme="minorHAnsi"/>
          <w:sz w:val="24"/>
          <w:szCs w:val="24"/>
        </w:rPr>
        <w:t xml:space="preserve">The High Court </w:t>
      </w:r>
      <w:r w:rsidR="00750A41">
        <w:rPr>
          <w:rFonts w:asciiTheme="minorHAnsi" w:hAnsiTheme="minorHAnsi"/>
          <w:sz w:val="24"/>
          <w:szCs w:val="24"/>
        </w:rPr>
        <w:t xml:space="preserve">in </w:t>
      </w:r>
      <w:r w:rsidR="00750A41">
        <w:rPr>
          <w:rFonts w:asciiTheme="minorHAnsi" w:hAnsiTheme="minorHAnsi"/>
          <w:i/>
          <w:sz w:val="24"/>
          <w:szCs w:val="24"/>
        </w:rPr>
        <w:t xml:space="preserve">Detention Action </w:t>
      </w:r>
      <w:r w:rsidRPr="00333E04">
        <w:rPr>
          <w:rFonts w:asciiTheme="minorHAnsi" w:hAnsiTheme="minorHAnsi"/>
          <w:sz w:val="24"/>
          <w:szCs w:val="24"/>
        </w:rPr>
        <w:t xml:space="preserve">criticized many deficiencies of the DFT, but found that they did not in themselves make the operation of the process inherently unlawful.  However, the judge concluded that these shortcomings put a premium on the availability of early legal advice, in order to identify and challenge unfairness in </w:t>
      </w:r>
      <w:r w:rsidRPr="00333E04">
        <w:rPr>
          <w:rFonts w:asciiTheme="minorHAnsi" w:hAnsiTheme="minorHAnsi"/>
          <w:sz w:val="24"/>
          <w:szCs w:val="24"/>
        </w:rPr>
        <w:lastRenderedPageBreak/>
        <w:t>individual cases.</w:t>
      </w:r>
    </w:p>
    <w:p w:rsidR="00750A41" w:rsidRPr="00A4142D" w:rsidRDefault="00333E04" w:rsidP="00613365">
      <w:pPr>
        <w:pStyle w:val="BodyText"/>
        <w:numPr>
          <w:ilvl w:val="0"/>
          <w:numId w:val="14"/>
        </w:numPr>
        <w:spacing w:after="200" w:line="276" w:lineRule="auto"/>
        <w:ind w:right="-283"/>
        <w:rPr>
          <w:b/>
          <w:sz w:val="24"/>
          <w:szCs w:val="24"/>
        </w:rPr>
      </w:pPr>
      <w:r w:rsidRPr="00750A41">
        <w:rPr>
          <w:rFonts w:asciiTheme="minorHAnsi" w:hAnsiTheme="minorHAnsi"/>
          <w:sz w:val="24"/>
          <w:szCs w:val="24"/>
        </w:rPr>
        <w:t>However, in practice asylum-seekers wait an average of a week in Harmondsworth to be allocated a lawyer by the Home Office.  The lawyer is usually allocated shortly before the substantive interview, with the result that the asylum-seeker often has only half an hour with their lawyer immediately before their interview, allowing very little time to build trust, explain their case and to receive advice.  The High Court found that the “seemingly indefensible period of inactivity”, when the person was detained but could do nothing to work on their case, created an “unacceptably high risk of unfairness” in the process as a whole.</w:t>
      </w:r>
      <w:r w:rsidRPr="00333E04">
        <w:rPr>
          <w:rStyle w:val="FootnoteReference"/>
          <w:rFonts w:asciiTheme="minorHAnsi" w:hAnsiTheme="minorHAnsi"/>
          <w:sz w:val="24"/>
          <w:szCs w:val="24"/>
        </w:rPr>
        <w:footnoteReference w:id="22"/>
      </w:r>
      <w:r w:rsidRPr="00750A41">
        <w:rPr>
          <w:rFonts w:asciiTheme="minorHAnsi" w:hAnsiTheme="minorHAnsi"/>
          <w:sz w:val="24"/>
          <w:szCs w:val="24"/>
        </w:rPr>
        <w:t xml:space="preserve">  </w:t>
      </w:r>
    </w:p>
    <w:p w:rsidR="00A4142D" w:rsidRDefault="00A4142D" w:rsidP="00B42C93">
      <w:pPr>
        <w:pStyle w:val="BodyText"/>
        <w:spacing w:after="240" w:line="276" w:lineRule="auto"/>
        <w:ind w:right="-283"/>
        <w:rPr>
          <w:rFonts w:cs="Helvetica"/>
          <w:b/>
          <w:sz w:val="24"/>
          <w:szCs w:val="24"/>
          <w:shd w:val="clear" w:color="auto" w:fill="FFFFFF"/>
        </w:rPr>
      </w:pPr>
      <w:r>
        <w:rPr>
          <w:rFonts w:cs="Helvetica"/>
          <w:b/>
          <w:sz w:val="24"/>
          <w:szCs w:val="24"/>
          <w:shd w:val="clear" w:color="auto" w:fill="FFFFFF"/>
        </w:rPr>
        <w:t>Children in detention</w:t>
      </w:r>
    </w:p>
    <w:p w:rsidR="00A4142D" w:rsidRDefault="00A4142D" w:rsidP="00613365">
      <w:pPr>
        <w:pStyle w:val="BodyText"/>
        <w:numPr>
          <w:ilvl w:val="0"/>
          <w:numId w:val="14"/>
        </w:numPr>
        <w:spacing w:after="200" w:line="276" w:lineRule="auto"/>
        <w:ind w:right="-283"/>
        <w:rPr>
          <w:sz w:val="24"/>
          <w:szCs w:val="24"/>
        </w:rPr>
      </w:pPr>
      <w:r>
        <w:rPr>
          <w:sz w:val="24"/>
          <w:szCs w:val="24"/>
        </w:rPr>
        <w:t xml:space="preserve">Children continue to be wrongly held alongside adults in Immigration Removal Centres because their age has been disputed by the Home Office.  Harmondsworth Independent Monitoring Board has reported that in that centre alone, 12 age-disputed children were held in 2013, of whom four were found to be children and one was discharged.  </w:t>
      </w:r>
      <w:r w:rsidRPr="00A4142D">
        <w:rPr>
          <w:sz w:val="24"/>
          <w:szCs w:val="24"/>
        </w:rPr>
        <w:t xml:space="preserve">The IMB </w:t>
      </w:r>
      <w:r>
        <w:rPr>
          <w:sz w:val="24"/>
          <w:szCs w:val="24"/>
        </w:rPr>
        <w:t xml:space="preserve">cite the case of a child who claimed to be 15 who was detained in Harmondsworth for </w:t>
      </w:r>
      <w:r w:rsidR="0099441D">
        <w:rPr>
          <w:sz w:val="24"/>
          <w:szCs w:val="24"/>
        </w:rPr>
        <w:t>eight</w:t>
      </w:r>
      <w:r>
        <w:rPr>
          <w:sz w:val="24"/>
          <w:szCs w:val="24"/>
        </w:rPr>
        <w:t xml:space="preserve"> months, where “</w:t>
      </w:r>
      <w:r w:rsidRPr="00A4142D">
        <w:rPr>
          <w:sz w:val="24"/>
          <w:szCs w:val="24"/>
        </w:rPr>
        <w:t>all in contact with him concurred that his behaviour and demeanour were childish</w:t>
      </w:r>
      <w:r>
        <w:rPr>
          <w:sz w:val="24"/>
          <w:szCs w:val="24"/>
        </w:rPr>
        <w:t>,” until he was fin</w:t>
      </w:r>
      <w:r w:rsidR="00E361F5">
        <w:rPr>
          <w:sz w:val="24"/>
          <w:szCs w:val="24"/>
        </w:rPr>
        <w:t xml:space="preserve">ally released to </w:t>
      </w:r>
      <w:r w:rsidR="0099441D">
        <w:rPr>
          <w:sz w:val="24"/>
          <w:szCs w:val="24"/>
        </w:rPr>
        <w:t xml:space="preserve">the care of </w:t>
      </w:r>
      <w:r w:rsidR="00E361F5">
        <w:rPr>
          <w:sz w:val="24"/>
          <w:szCs w:val="24"/>
        </w:rPr>
        <w:t>social services</w:t>
      </w:r>
      <w:r w:rsidR="0099441D">
        <w:rPr>
          <w:sz w:val="24"/>
          <w:szCs w:val="24"/>
        </w:rPr>
        <w:t>.</w:t>
      </w:r>
      <w:r w:rsidR="0099441D">
        <w:rPr>
          <w:rStyle w:val="FootnoteReference"/>
          <w:sz w:val="24"/>
          <w:szCs w:val="24"/>
        </w:rPr>
        <w:footnoteReference w:id="23"/>
      </w:r>
    </w:p>
    <w:p w:rsidR="00333E04" w:rsidRPr="00750A41" w:rsidRDefault="00830F4F" w:rsidP="00B42C93">
      <w:pPr>
        <w:pStyle w:val="BodyText"/>
        <w:spacing w:after="240" w:line="276" w:lineRule="auto"/>
        <w:ind w:left="357" w:right="-283"/>
        <w:rPr>
          <w:b/>
          <w:sz w:val="24"/>
          <w:szCs w:val="24"/>
        </w:rPr>
      </w:pPr>
      <w:r w:rsidRPr="00750A41">
        <w:rPr>
          <w:rFonts w:cs="Helvetica"/>
          <w:b/>
          <w:sz w:val="24"/>
          <w:szCs w:val="24"/>
          <w:shd w:val="clear" w:color="auto" w:fill="FFFFFF"/>
        </w:rPr>
        <w:t>Conditions of detention</w:t>
      </w:r>
      <w:r w:rsidR="0077712A" w:rsidRPr="00750A41">
        <w:rPr>
          <w:rFonts w:cs="Helvetica"/>
          <w:b/>
          <w:sz w:val="24"/>
          <w:szCs w:val="24"/>
          <w:shd w:val="clear" w:color="auto" w:fill="FFFFFF"/>
        </w:rPr>
        <w:t> </w:t>
      </w:r>
    </w:p>
    <w:p w:rsidR="00830F4F" w:rsidRDefault="00830F4F" w:rsidP="00613365">
      <w:pPr>
        <w:pStyle w:val="ListParagraph"/>
        <w:numPr>
          <w:ilvl w:val="0"/>
          <w:numId w:val="14"/>
        </w:numPr>
        <w:spacing w:after="200" w:line="276" w:lineRule="auto"/>
        <w:ind w:right="-283"/>
        <w:rPr>
          <w:sz w:val="24"/>
          <w:szCs w:val="24"/>
        </w:rPr>
      </w:pPr>
      <w:r w:rsidRPr="00830F4F">
        <w:rPr>
          <w:sz w:val="24"/>
          <w:szCs w:val="24"/>
        </w:rPr>
        <w:t>The UK</w:t>
      </w:r>
      <w:r>
        <w:rPr>
          <w:sz w:val="24"/>
          <w:szCs w:val="24"/>
        </w:rPr>
        <w:t xml:space="preserve"> is misleading in stating that “</w:t>
      </w:r>
      <w:r w:rsidR="008535BC">
        <w:rPr>
          <w:sz w:val="24"/>
          <w:szCs w:val="24"/>
        </w:rPr>
        <w:t>(t)</w:t>
      </w:r>
      <w:r>
        <w:rPr>
          <w:sz w:val="24"/>
          <w:szCs w:val="24"/>
        </w:rPr>
        <w:t>he routine use of prison accommodation to hold immigration detainees ended in 2012</w:t>
      </w:r>
      <w:r w:rsidR="00D0006F">
        <w:rPr>
          <w:sz w:val="24"/>
          <w:szCs w:val="24"/>
        </w:rPr>
        <w:t>.  Prison accommodation continues to be used for individual detainees, particularly foreign national offenders pending deportation on release from custodial sentences, for reasons of security and control in line with published criteria” (point 721).</w:t>
      </w:r>
    </w:p>
    <w:p w:rsidR="00D0006F" w:rsidRDefault="00573DCA" w:rsidP="00613365">
      <w:pPr>
        <w:pStyle w:val="ListParagraph"/>
        <w:numPr>
          <w:ilvl w:val="0"/>
          <w:numId w:val="14"/>
        </w:numPr>
        <w:spacing w:after="200" w:line="276" w:lineRule="auto"/>
        <w:ind w:right="-283"/>
        <w:rPr>
          <w:sz w:val="24"/>
          <w:szCs w:val="24"/>
        </w:rPr>
      </w:pPr>
      <w:r>
        <w:rPr>
          <w:sz w:val="24"/>
          <w:szCs w:val="24"/>
        </w:rPr>
        <w:t xml:space="preserve">Since </w:t>
      </w:r>
      <w:r w:rsidR="00D0006F">
        <w:rPr>
          <w:sz w:val="24"/>
          <w:szCs w:val="24"/>
        </w:rPr>
        <w:t xml:space="preserve">2013 the UK </w:t>
      </w:r>
      <w:r>
        <w:rPr>
          <w:sz w:val="24"/>
          <w:szCs w:val="24"/>
        </w:rPr>
        <w:t xml:space="preserve">has </w:t>
      </w:r>
      <w:r w:rsidR="00D0006F">
        <w:rPr>
          <w:sz w:val="24"/>
          <w:szCs w:val="24"/>
        </w:rPr>
        <w:t xml:space="preserve">dramatically increased the use of prison accommodation for detainees.  Foreign ex-offenders finishing prison sentences </w:t>
      </w:r>
      <w:r>
        <w:rPr>
          <w:sz w:val="24"/>
          <w:szCs w:val="24"/>
        </w:rPr>
        <w:t>a</w:t>
      </w:r>
      <w:r w:rsidR="00D0006F">
        <w:rPr>
          <w:sz w:val="24"/>
          <w:szCs w:val="24"/>
        </w:rPr>
        <w:t>re routinely kept on in prison, regardless of security and control needs, due to the shortage of bed-space in detention centres.  The numbers detained in prison reached 1,213 at the end of 2013.</w:t>
      </w:r>
    </w:p>
    <w:p w:rsidR="00D0006F" w:rsidRPr="00D0006F" w:rsidRDefault="00D0006F" w:rsidP="00613365">
      <w:pPr>
        <w:pStyle w:val="ListParagraph"/>
        <w:numPr>
          <w:ilvl w:val="0"/>
          <w:numId w:val="14"/>
        </w:numPr>
        <w:spacing w:after="200" w:line="276" w:lineRule="auto"/>
        <w:ind w:right="-283"/>
        <w:rPr>
          <w:b/>
          <w:sz w:val="24"/>
          <w:szCs w:val="24"/>
        </w:rPr>
      </w:pPr>
      <w:r w:rsidRPr="00D0006F">
        <w:rPr>
          <w:sz w:val="24"/>
          <w:szCs w:val="24"/>
        </w:rPr>
        <w:t>HM Prison The Verne reopened in March 2014 as a prison exclusively for immigration detainees.  It is also used routinely for post-sentence ex-offenders, including those who would be suitable to be held in an Immigration Removal Centre.</w:t>
      </w:r>
      <w:r>
        <w:rPr>
          <w:sz w:val="24"/>
          <w:szCs w:val="24"/>
        </w:rPr>
        <w:t xml:space="preserve">  It has</w:t>
      </w:r>
      <w:r w:rsidRPr="00D0006F">
        <w:rPr>
          <w:sz w:val="24"/>
          <w:szCs w:val="24"/>
        </w:rPr>
        <w:t xml:space="preserve"> 580 </w:t>
      </w:r>
      <w:r>
        <w:rPr>
          <w:sz w:val="24"/>
          <w:szCs w:val="24"/>
        </w:rPr>
        <w:t xml:space="preserve">bed-spaces for </w:t>
      </w:r>
      <w:r w:rsidRPr="00D0006F">
        <w:rPr>
          <w:sz w:val="24"/>
          <w:szCs w:val="24"/>
        </w:rPr>
        <w:t xml:space="preserve">migrants </w:t>
      </w:r>
      <w:r>
        <w:rPr>
          <w:sz w:val="24"/>
          <w:szCs w:val="24"/>
        </w:rPr>
        <w:t xml:space="preserve">who </w:t>
      </w:r>
      <w:r w:rsidRPr="00D0006F">
        <w:rPr>
          <w:sz w:val="24"/>
          <w:szCs w:val="24"/>
        </w:rPr>
        <w:t xml:space="preserve">will be detained under the Prison Rules, which </w:t>
      </w:r>
      <w:r w:rsidR="00750A41">
        <w:rPr>
          <w:sz w:val="24"/>
          <w:szCs w:val="24"/>
        </w:rPr>
        <w:t>are more restrictive</w:t>
      </w:r>
      <w:r w:rsidRPr="00D0006F">
        <w:rPr>
          <w:sz w:val="24"/>
          <w:szCs w:val="24"/>
        </w:rPr>
        <w:t xml:space="preserve"> than the Detention Centre Rules.  Migrants held in The Verne cannot receive telephone calls or have mobile telephones.  The </w:t>
      </w:r>
      <w:r w:rsidR="008535BC">
        <w:rPr>
          <w:sz w:val="24"/>
          <w:szCs w:val="24"/>
        </w:rPr>
        <w:t>Rule 35 procedure, the principal</w:t>
      </w:r>
      <w:r w:rsidRPr="00D0006F">
        <w:rPr>
          <w:sz w:val="24"/>
          <w:szCs w:val="24"/>
        </w:rPr>
        <w:t xml:space="preserve"> </w:t>
      </w:r>
      <w:r w:rsidR="00573DCA">
        <w:rPr>
          <w:sz w:val="24"/>
          <w:szCs w:val="24"/>
        </w:rPr>
        <w:t xml:space="preserve">supposed </w:t>
      </w:r>
      <w:r w:rsidRPr="00D0006F">
        <w:rPr>
          <w:sz w:val="24"/>
          <w:szCs w:val="24"/>
        </w:rPr>
        <w:lastRenderedPageBreak/>
        <w:t>safeguard against vulnerable people and torture survivors being damaged by being wrongly detained, does not apply in prisons.</w:t>
      </w:r>
    </w:p>
    <w:p w:rsidR="00333E04" w:rsidRPr="00FD6482" w:rsidRDefault="00333E04" w:rsidP="00613365">
      <w:pPr>
        <w:pStyle w:val="ListParagraph"/>
        <w:numPr>
          <w:ilvl w:val="0"/>
          <w:numId w:val="14"/>
        </w:numPr>
        <w:spacing w:after="200" w:line="276" w:lineRule="auto"/>
        <w:ind w:right="-283"/>
        <w:rPr>
          <w:b/>
          <w:sz w:val="24"/>
          <w:szCs w:val="24"/>
        </w:rPr>
      </w:pPr>
      <w:r w:rsidRPr="00333E04">
        <w:rPr>
          <w:sz w:val="24"/>
          <w:szCs w:val="24"/>
        </w:rPr>
        <w:t xml:space="preserve">The UK’s detention estate is ill suited to holding people under immigration powers for long periods.  In Brook House, Colnbrook and Harmondsworth Immigration Removal Centres, three of the largest centres in the UK, asylum-seekers are </w:t>
      </w:r>
      <w:r w:rsidR="008535BC">
        <w:rPr>
          <w:sz w:val="24"/>
          <w:szCs w:val="24"/>
        </w:rPr>
        <w:t xml:space="preserve">detained in </w:t>
      </w:r>
      <w:r w:rsidRPr="00333E04">
        <w:rPr>
          <w:sz w:val="24"/>
          <w:szCs w:val="24"/>
        </w:rPr>
        <w:t xml:space="preserve">wings </w:t>
      </w:r>
      <w:r w:rsidR="008535BC">
        <w:rPr>
          <w:sz w:val="24"/>
          <w:szCs w:val="24"/>
        </w:rPr>
        <w:t xml:space="preserve">that </w:t>
      </w:r>
      <w:r w:rsidRPr="00333E04">
        <w:rPr>
          <w:sz w:val="24"/>
          <w:szCs w:val="24"/>
        </w:rPr>
        <w:t>have been built to “Category B” prison standards.  Although migrants are not serving sentences for crimes, they are held in secure conditions equivalent to those used for serious offenders in prison.  The Harmondsworth Independent Monitoring Board in 2011 found it “shocking that brand new facilities have been built that are ill-suited to their intended purpose and that offer lower standards of decency than the facilities they replace.”</w:t>
      </w:r>
      <w:r w:rsidRPr="00333E04">
        <w:rPr>
          <w:rStyle w:val="FootnoteReference"/>
          <w:sz w:val="24"/>
          <w:szCs w:val="24"/>
        </w:rPr>
        <w:footnoteReference w:id="24"/>
      </w:r>
    </w:p>
    <w:p w:rsidR="00333E04" w:rsidRPr="00DF39D9" w:rsidRDefault="00FD6482" w:rsidP="00613365">
      <w:pPr>
        <w:pStyle w:val="ListParagraph"/>
        <w:numPr>
          <w:ilvl w:val="0"/>
          <w:numId w:val="14"/>
        </w:numPr>
        <w:autoSpaceDE w:val="0"/>
        <w:autoSpaceDN w:val="0"/>
        <w:adjustRightInd w:val="0"/>
        <w:spacing w:after="200" w:line="276" w:lineRule="auto"/>
        <w:ind w:right="-283"/>
        <w:rPr>
          <w:rFonts w:ascii="Calibri" w:hAnsi="Calibri"/>
        </w:rPr>
      </w:pPr>
      <w:r w:rsidRPr="00DF39D9">
        <w:rPr>
          <w:sz w:val="24"/>
          <w:szCs w:val="24"/>
        </w:rPr>
        <w:t>Eight migrants have died in UK immigration detention centres in three years.</w:t>
      </w:r>
      <w:r>
        <w:rPr>
          <w:rStyle w:val="FootnoteReference"/>
          <w:sz w:val="24"/>
          <w:szCs w:val="24"/>
        </w:rPr>
        <w:footnoteReference w:id="25"/>
      </w:r>
      <w:r w:rsidRPr="00DF39D9">
        <w:rPr>
          <w:sz w:val="24"/>
          <w:szCs w:val="24"/>
        </w:rPr>
        <w:t xml:space="preserve">  84-year-old Alois Dvorzac died despite having been declared unfit for detention.  Mr Dvorzac was handcuffed as he died in what the HM Inspectorate of Prisons described as “an excessive and shocking manner.”</w:t>
      </w:r>
      <w:r>
        <w:rPr>
          <w:rStyle w:val="FootnoteReference"/>
          <w:sz w:val="24"/>
          <w:szCs w:val="24"/>
        </w:rPr>
        <w:footnoteReference w:id="26"/>
      </w:r>
      <w:r w:rsidRPr="00DF39D9">
        <w:rPr>
          <w:sz w:val="24"/>
          <w:szCs w:val="24"/>
        </w:rPr>
        <w:t xml:space="preserve">  The Inspectorate described the use of handcuffs at Harmondsworth Immigration Removal Centre as “grossly excessive.”</w:t>
      </w:r>
    </w:p>
    <w:p w:rsidR="00DF74C8" w:rsidRPr="00DF74C8" w:rsidRDefault="00DF74C8" w:rsidP="00DF74C8">
      <w:pPr>
        <w:pStyle w:val="ListParagraph"/>
        <w:spacing w:before="100" w:beforeAutospacing="1" w:after="100" w:afterAutospacing="1"/>
        <w:rPr>
          <w:rFonts w:eastAsia="Times New Roman" w:cs="Times New Roman"/>
          <w:lang w:eastAsia="en-GB"/>
        </w:rPr>
      </w:pPr>
    </w:p>
    <w:sectPr w:rsidR="00DF74C8" w:rsidRPr="00DF74C8" w:rsidSect="00256A3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951" w:rsidRDefault="000D0951" w:rsidP="00C5158B">
      <w:r>
        <w:separator/>
      </w:r>
    </w:p>
  </w:endnote>
  <w:endnote w:type="continuationSeparator" w:id="0">
    <w:p w:rsidR="000D0951" w:rsidRDefault="000D0951" w:rsidP="00C51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E0002AFF" w:usb1="C0007841" w:usb2="00000009" w:usb3="00000000" w:csb0="000001FF" w:csb1="00000000"/>
  </w:font>
  <w:font w:name="Helvetica">
    <w:panose1 w:val="020B0504020202030204"/>
    <w:charset w:val="00"/>
    <w:family w:val="swiss"/>
    <w:notTrueType/>
    <w:pitch w:val="variable"/>
    <w:sig w:usb0="00000003" w:usb1="00000000" w:usb2="00000000" w:usb3="00000000" w:csb0="00000001" w:csb1="00000000"/>
  </w:font>
  <w:font w:name="Helvetica-Obliq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4601311"/>
      <w:docPartObj>
        <w:docPartGallery w:val="Page Numbers (Bottom of Page)"/>
        <w:docPartUnique/>
      </w:docPartObj>
    </w:sdtPr>
    <w:sdtEndPr>
      <w:rPr>
        <w:noProof/>
      </w:rPr>
    </w:sdtEndPr>
    <w:sdtContent>
      <w:p w:rsidR="00DC23B2" w:rsidRDefault="00DC23B2">
        <w:pPr>
          <w:pStyle w:val="Footer"/>
          <w:jc w:val="right"/>
        </w:pPr>
        <w:r>
          <w:fldChar w:fldCharType="begin"/>
        </w:r>
        <w:r>
          <w:instrText xml:space="preserve"> PAGE   \* MERGEFORMAT </w:instrText>
        </w:r>
        <w:r>
          <w:fldChar w:fldCharType="separate"/>
        </w:r>
        <w:r w:rsidR="00D47442">
          <w:rPr>
            <w:noProof/>
          </w:rPr>
          <w:t>1</w:t>
        </w:r>
        <w:r>
          <w:rPr>
            <w:noProof/>
          </w:rPr>
          <w:fldChar w:fldCharType="end"/>
        </w:r>
      </w:p>
    </w:sdtContent>
  </w:sdt>
  <w:p w:rsidR="00E361F5" w:rsidRDefault="00E361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951" w:rsidRDefault="000D0951" w:rsidP="00C5158B">
      <w:r>
        <w:separator/>
      </w:r>
    </w:p>
  </w:footnote>
  <w:footnote w:type="continuationSeparator" w:id="0">
    <w:p w:rsidR="000D0951" w:rsidRDefault="000D0951" w:rsidP="00C5158B">
      <w:r>
        <w:continuationSeparator/>
      </w:r>
    </w:p>
  </w:footnote>
  <w:footnote w:id="1">
    <w:p w:rsidR="00E361F5" w:rsidRPr="00CC5519" w:rsidRDefault="00E361F5">
      <w:pPr>
        <w:pStyle w:val="FootnoteText"/>
        <w:rPr>
          <w:rFonts w:asciiTheme="minorHAnsi" w:hAnsiTheme="minorHAnsi"/>
        </w:rPr>
      </w:pPr>
      <w:r w:rsidRPr="00CC5519">
        <w:rPr>
          <w:rStyle w:val="FootnoteReference"/>
          <w:rFonts w:asciiTheme="minorHAnsi" w:hAnsiTheme="minorHAnsi"/>
        </w:rPr>
        <w:footnoteRef/>
      </w:r>
      <w:r w:rsidRPr="00CC5519">
        <w:rPr>
          <w:rFonts w:asciiTheme="minorHAnsi" w:hAnsiTheme="minorHAnsi"/>
        </w:rPr>
        <w:t xml:space="preserve"> Home Office, </w:t>
      </w:r>
      <w:r w:rsidRPr="00CC5519">
        <w:rPr>
          <w:rFonts w:asciiTheme="minorHAnsi" w:hAnsiTheme="minorHAnsi"/>
          <w:i/>
        </w:rPr>
        <w:t>Immigration Statistics January to March 2014</w:t>
      </w:r>
      <w:r w:rsidRPr="00CC5519">
        <w:rPr>
          <w:rFonts w:asciiTheme="minorHAnsi" w:hAnsiTheme="minorHAnsi"/>
        </w:rPr>
        <w:t>, table dt</w:t>
      </w:r>
      <w:r>
        <w:rPr>
          <w:rFonts w:asciiTheme="minorHAnsi" w:hAnsiTheme="minorHAnsi"/>
        </w:rPr>
        <w:t>_</w:t>
      </w:r>
      <w:r w:rsidRPr="00CC5519">
        <w:rPr>
          <w:rFonts w:asciiTheme="minorHAnsi" w:hAnsiTheme="minorHAnsi"/>
        </w:rPr>
        <w:t>11</w:t>
      </w:r>
    </w:p>
  </w:footnote>
  <w:footnote w:id="2">
    <w:p w:rsidR="00E361F5" w:rsidRPr="00B5154A" w:rsidRDefault="00E361F5">
      <w:pPr>
        <w:pStyle w:val="FootnoteText"/>
        <w:rPr>
          <w:rFonts w:asciiTheme="minorHAnsi" w:hAnsiTheme="minorHAnsi"/>
        </w:rPr>
      </w:pPr>
      <w:r w:rsidRPr="00B5154A">
        <w:rPr>
          <w:rStyle w:val="FootnoteReference"/>
          <w:rFonts w:asciiTheme="minorHAnsi" w:hAnsiTheme="minorHAnsi"/>
        </w:rPr>
        <w:footnoteRef/>
      </w:r>
      <w:r w:rsidRPr="00B5154A">
        <w:rPr>
          <w:rFonts w:asciiTheme="minorHAnsi" w:hAnsiTheme="minorHAnsi"/>
        </w:rPr>
        <w:t xml:space="preserve"> Hansard, </w:t>
      </w:r>
      <w:r w:rsidRPr="00B5154A">
        <w:rPr>
          <w:rFonts w:asciiTheme="minorHAnsi" w:hAnsiTheme="minorHAnsi"/>
          <w:bCs/>
          <w:color w:val="000000"/>
          <w:shd w:val="clear" w:color="auto" w:fill="FFFFFF"/>
        </w:rPr>
        <w:t>16 Jun 2014 : Column 443W</w:t>
      </w:r>
    </w:p>
  </w:footnote>
  <w:footnote w:id="3">
    <w:p w:rsidR="00E361F5" w:rsidRPr="00333E04" w:rsidRDefault="00E361F5" w:rsidP="00333E04">
      <w:pPr>
        <w:pStyle w:val="FootnoteText"/>
        <w:rPr>
          <w:rFonts w:asciiTheme="minorHAnsi" w:hAnsiTheme="minorHAnsi"/>
        </w:rPr>
      </w:pPr>
      <w:r w:rsidRPr="00333E04">
        <w:rPr>
          <w:rStyle w:val="FootnoteReference"/>
          <w:rFonts w:asciiTheme="minorHAnsi" w:hAnsiTheme="minorHAnsi"/>
        </w:rPr>
        <w:footnoteRef/>
      </w:r>
      <w:r w:rsidRPr="00333E04">
        <w:rPr>
          <w:rFonts w:asciiTheme="minorHAnsi" w:hAnsiTheme="minorHAnsi"/>
        </w:rPr>
        <w:t xml:space="preserve"> </w:t>
      </w:r>
      <w:r w:rsidRPr="00333E04">
        <w:rPr>
          <w:rFonts w:asciiTheme="minorHAnsi" w:hAnsiTheme="minorHAnsi" w:cs="Calibri"/>
        </w:rPr>
        <w:t xml:space="preserve">Flemish Refugee Action et al, </w:t>
      </w:r>
      <w:r w:rsidRPr="00333E04">
        <w:rPr>
          <w:rFonts w:asciiTheme="minorHAnsi" w:hAnsiTheme="minorHAnsi" w:cs="Calibri"/>
          <w:i/>
        </w:rPr>
        <w:t>Point of No Return</w:t>
      </w:r>
      <w:r w:rsidRPr="00333E04">
        <w:rPr>
          <w:rFonts w:asciiTheme="minorHAnsi" w:hAnsiTheme="minorHAnsi" w:cs="Calibri"/>
        </w:rPr>
        <w:t>, January 2014</w:t>
      </w:r>
    </w:p>
  </w:footnote>
  <w:footnote w:id="4">
    <w:p w:rsidR="00E361F5" w:rsidRPr="000C2E36" w:rsidRDefault="00E361F5" w:rsidP="003744D6">
      <w:pPr>
        <w:pStyle w:val="FootnoteText"/>
        <w:rPr>
          <w:rFonts w:asciiTheme="minorHAnsi" w:hAnsiTheme="minorHAnsi"/>
        </w:rPr>
      </w:pPr>
      <w:r w:rsidRPr="000C2E36">
        <w:rPr>
          <w:rStyle w:val="FootnoteReference"/>
          <w:rFonts w:asciiTheme="minorHAnsi" w:hAnsiTheme="minorHAnsi"/>
        </w:rPr>
        <w:footnoteRef/>
      </w:r>
      <w:r w:rsidRPr="000C2E36">
        <w:rPr>
          <w:rFonts w:asciiTheme="minorHAnsi" w:hAnsiTheme="minorHAnsi"/>
        </w:rPr>
        <w:t xml:space="preserve"> Home Office, Immigration Statistics October to December 2013, Detention, table dt_06</w:t>
      </w:r>
    </w:p>
  </w:footnote>
  <w:footnote w:id="5">
    <w:p w:rsidR="00613365" w:rsidRPr="000C2E36" w:rsidRDefault="00613365" w:rsidP="00613365">
      <w:pPr>
        <w:pStyle w:val="FootnoteText"/>
        <w:rPr>
          <w:rFonts w:asciiTheme="minorHAnsi" w:hAnsiTheme="minorHAnsi"/>
        </w:rPr>
      </w:pPr>
      <w:r w:rsidRPr="000C2E36">
        <w:rPr>
          <w:rStyle w:val="FootnoteReference"/>
          <w:rFonts w:asciiTheme="minorHAnsi" w:hAnsiTheme="minorHAnsi"/>
        </w:rPr>
        <w:footnoteRef/>
      </w:r>
      <w:r w:rsidRPr="000C2E36">
        <w:rPr>
          <w:rFonts w:asciiTheme="minorHAnsi" w:hAnsiTheme="minorHAnsi"/>
        </w:rPr>
        <w:t xml:space="preserve"> Sino, R (on the application of) v Secretary of State for the Home Department [2011] EWHC 2249 (Admin) (25 August 2011)</w:t>
      </w:r>
    </w:p>
  </w:footnote>
  <w:footnote w:id="6">
    <w:p w:rsidR="00E361F5" w:rsidRPr="00333E04" w:rsidRDefault="00E361F5" w:rsidP="00333E04">
      <w:pPr>
        <w:pStyle w:val="Default"/>
        <w:rPr>
          <w:rFonts w:asciiTheme="minorHAnsi" w:hAnsiTheme="minorHAnsi"/>
          <w:sz w:val="20"/>
          <w:szCs w:val="20"/>
        </w:rPr>
      </w:pPr>
      <w:r w:rsidRPr="00333E04">
        <w:rPr>
          <w:rStyle w:val="FootnoteReference"/>
          <w:rFonts w:asciiTheme="minorHAnsi" w:hAnsiTheme="minorHAnsi"/>
          <w:sz w:val="20"/>
          <w:szCs w:val="20"/>
        </w:rPr>
        <w:footnoteRef/>
      </w:r>
      <w:r w:rsidRPr="00333E04">
        <w:rPr>
          <w:rFonts w:asciiTheme="minorHAnsi" w:hAnsiTheme="minorHAnsi"/>
          <w:sz w:val="20"/>
          <w:szCs w:val="20"/>
        </w:rPr>
        <w:t xml:space="preserve"> Committee against Torture, </w:t>
      </w:r>
      <w:r w:rsidRPr="00CC5519">
        <w:rPr>
          <w:rFonts w:asciiTheme="minorHAnsi" w:hAnsiTheme="minorHAnsi"/>
          <w:i/>
          <w:sz w:val="20"/>
          <w:szCs w:val="20"/>
        </w:rPr>
        <w:t>F</w:t>
      </w:r>
      <w:r w:rsidRPr="00CC5519">
        <w:rPr>
          <w:rFonts w:asciiTheme="minorHAnsi" w:hAnsiTheme="minorHAnsi"/>
          <w:bCs/>
          <w:i/>
          <w:sz w:val="20"/>
          <w:szCs w:val="20"/>
        </w:rPr>
        <w:t>ifth periodic report of the United Kingdom</w:t>
      </w:r>
      <w:r w:rsidRPr="00333E04">
        <w:rPr>
          <w:rFonts w:asciiTheme="minorHAnsi" w:hAnsiTheme="minorHAnsi"/>
          <w:bCs/>
          <w:sz w:val="20"/>
          <w:szCs w:val="20"/>
        </w:rPr>
        <w:t>, (6-31 May 2013)</w:t>
      </w:r>
    </w:p>
  </w:footnote>
  <w:footnote w:id="7">
    <w:p w:rsidR="00E361F5" w:rsidRPr="000C2E36" w:rsidRDefault="00E361F5">
      <w:pPr>
        <w:pStyle w:val="FootnoteText"/>
        <w:rPr>
          <w:rFonts w:asciiTheme="minorHAnsi" w:hAnsiTheme="minorHAnsi"/>
        </w:rPr>
      </w:pPr>
      <w:r w:rsidRPr="000C2E36">
        <w:rPr>
          <w:rStyle w:val="FootnoteReference"/>
          <w:rFonts w:asciiTheme="minorHAnsi" w:hAnsiTheme="minorHAnsi"/>
        </w:rPr>
        <w:footnoteRef/>
      </w:r>
      <w:r w:rsidRPr="000C2E36">
        <w:rPr>
          <w:rFonts w:asciiTheme="minorHAnsi" w:hAnsiTheme="minorHAnsi"/>
        </w:rPr>
        <w:t xml:space="preserve"> MD, R (on the application of) v Secretary of State for the Home Department [2014] EWHC 2249 (Admin) (8 July 2014).  See http://www.bhattmurphy.co.uk/bhatt-murphy-111.html#.U7_K4JRdWAZ</w:t>
      </w:r>
    </w:p>
  </w:footnote>
  <w:footnote w:id="8">
    <w:p w:rsidR="00E361F5" w:rsidRPr="000C2E36" w:rsidRDefault="00E361F5">
      <w:pPr>
        <w:pStyle w:val="FootnoteText"/>
        <w:rPr>
          <w:rFonts w:asciiTheme="minorHAnsi" w:hAnsiTheme="minorHAnsi"/>
        </w:rPr>
      </w:pPr>
      <w:r w:rsidRPr="000C2E36">
        <w:rPr>
          <w:rStyle w:val="FootnoteReference"/>
          <w:rFonts w:asciiTheme="minorHAnsi" w:hAnsiTheme="minorHAnsi"/>
        </w:rPr>
        <w:footnoteRef/>
      </w:r>
      <w:r w:rsidRPr="000C2E36">
        <w:rPr>
          <w:rFonts w:asciiTheme="minorHAnsi" w:hAnsiTheme="minorHAnsi"/>
        </w:rPr>
        <w:t xml:space="preserve"> </w:t>
      </w:r>
      <w:r w:rsidRPr="000C2E36">
        <w:rPr>
          <w:rFonts w:asciiTheme="minorHAnsi" w:hAnsiTheme="minorHAnsi"/>
          <w:color w:val="000000"/>
        </w:rPr>
        <w:t>S, R (on the application of) v Secretary of State for the Home Department [2014] EWHC 50 (Admin) (28 January 2014)</w:t>
      </w:r>
      <w:r w:rsidRPr="000C2E36">
        <w:rPr>
          <w:rStyle w:val="apple-converted-space"/>
          <w:rFonts w:asciiTheme="minorHAnsi" w:hAnsiTheme="minorHAnsi"/>
          <w:color w:val="000000"/>
        </w:rPr>
        <w:t>, para 417</w:t>
      </w:r>
    </w:p>
  </w:footnote>
  <w:footnote w:id="9">
    <w:p w:rsidR="00E361F5" w:rsidRPr="001478A9" w:rsidRDefault="00E361F5" w:rsidP="001478A9">
      <w:pPr>
        <w:pStyle w:val="FootnoteText"/>
        <w:rPr>
          <w:rFonts w:asciiTheme="minorHAnsi" w:hAnsiTheme="minorHAnsi"/>
        </w:rPr>
      </w:pPr>
      <w:r w:rsidRPr="001478A9">
        <w:rPr>
          <w:rStyle w:val="FootnoteReference"/>
          <w:rFonts w:asciiTheme="minorHAnsi" w:hAnsiTheme="minorHAnsi"/>
        </w:rPr>
        <w:footnoteRef/>
      </w:r>
      <w:r w:rsidRPr="001478A9">
        <w:rPr>
          <w:rFonts w:asciiTheme="minorHAnsi" w:hAnsiTheme="minorHAnsi"/>
        </w:rPr>
        <w:t xml:space="preserve"> D, R(on the application of) v Secretary of State for the Home Department [2012] EWHC 2501 (Admin)</w:t>
      </w:r>
    </w:p>
  </w:footnote>
  <w:footnote w:id="10">
    <w:p w:rsidR="00E361F5" w:rsidRPr="000C2E36" w:rsidRDefault="00E361F5" w:rsidP="001478A9">
      <w:pPr>
        <w:pStyle w:val="FootnoteText"/>
        <w:rPr>
          <w:rFonts w:asciiTheme="minorHAnsi" w:hAnsiTheme="minorHAnsi" w:cstheme="minorHAnsi"/>
        </w:rPr>
      </w:pPr>
      <w:r w:rsidRPr="000C2E36">
        <w:rPr>
          <w:rStyle w:val="FootnoteReference"/>
          <w:rFonts w:asciiTheme="minorHAnsi" w:hAnsiTheme="minorHAnsi" w:cstheme="minorHAnsi"/>
        </w:rPr>
        <w:footnoteRef/>
      </w:r>
      <w:r w:rsidRPr="000C2E36">
        <w:rPr>
          <w:rFonts w:asciiTheme="minorHAnsi" w:hAnsiTheme="minorHAnsi" w:cstheme="minorHAnsi"/>
        </w:rPr>
        <w:t xml:space="preserve"> </w:t>
      </w:r>
      <w:r w:rsidRPr="001478A9">
        <w:rPr>
          <w:rFonts w:asciiTheme="minorHAnsi" w:hAnsiTheme="minorHAnsi" w:cstheme="minorHAnsi"/>
          <w:bCs/>
        </w:rPr>
        <w:t>R</w:t>
      </w:r>
      <w:r w:rsidRPr="000C2E36">
        <w:rPr>
          <w:rFonts w:asciiTheme="minorHAnsi" w:hAnsiTheme="minorHAnsi" w:cstheme="minorHAnsi"/>
          <w:bCs/>
          <w:i/>
        </w:rPr>
        <w:t xml:space="preserve"> </w:t>
      </w:r>
      <w:r w:rsidRPr="001478A9">
        <w:rPr>
          <w:rFonts w:asciiTheme="minorHAnsi" w:hAnsiTheme="minorHAnsi" w:cstheme="minorHAnsi"/>
          <w:bCs/>
        </w:rPr>
        <w:t>(HA (Nigeria) v Secretary of State for the Home Department</w:t>
      </w:r>
      <w:r w:rsidRPr="000C2E36">
        <w:rPr>
          <w:rFonts w:asciiTheme="minorHAnsi" w:hAnsiTheme="minorHAnsi" w:cstheme="minorHAnsi"/>
          <w:bCs/>
          <w:i/>
        </w:rPr>
        <w:t xml:space="preserve">, </w:t>
      </w:r>
      <w:r w:rsidRPr="003744D6">
        <w:rPr>
          <w:rFonts w:asciiTheme="minorHAnsi" w:hAnsiTheme="minorHAnsi" w:cstheme="minorHAnsi"/>
          <w:bCs/>
        </w:rPr>
        <w:t xml:space="preserve">HC </w:t>
      </w:r>
      <w:r>
        <w:rPr>
          <w:rFonts w:asciiTheme="minorHAnsi" w:hAnsiTheme="minorHAnsi" w:cstheme="minorHAnsi"/>
          <w:bCs/>
        </w:rPr>
        <w:t>[</w:t>
      </w:r>
      <w:r w:rsidRPr="003744D6">
        <w:rPr>
          <w:rFonts w:asciiTheme="minorHAnsi" w:hAnsiTheme="minorHAnsi" w:cstheme="minorHAnsi"/>
          <w:bCs/>
        </w:rPr>
        <w:t>2012</w:t>
      </w:r>
      <w:r>
        <w:rPr>
          <w:rFonts w:asciiTheme="minorHAnsi" w:hAnsiTheme="minorHAnsi" w:cstheme="minorHAnsi"/>
          <w:bCs/>
        </w:rPr>
        <w:t>]</w:t>
      </w:r>
      <w:r w:rsidRPr="003744D6">
        <w:rPr>
          <w:rFonts w:asciiTheme="minorHAnsi" w:hAnsiTheme="minorHAnsi" w:cstheme="minorHAnsi"/>
          <w:bCs/>
        </w:rPr>
        <w:t xml:space="preserve"> EWHC </w:t>
      </w:r>
      <w:r>
        <w:rPr>
          <w:rFonts w:asciiTheme="minorHAnsi" w:hAnsiTheme="minorHAnsi" w:cstheme="minorHAnsi"/>
          <w:bCs/>
        </w:rPr>
        <w:t xml:space="preserve">979 </w:t>
      </w:r>
      <w:r w:rsidRPr="003744D6">
        <w:rPr>
          <w:rFonts w:asciiTheme="minorHAnsi" w:hAnsiTheme="minorHAnsi" w:cstheme="minorHAnsi"/>
          <w:bCs/>
        </w:rPr>
        <w:t>(Admin)</w:t>
      </w:r>
    </w:p>
  </w:footnote>
  <w:footnote w:id="11">
    <w:p w:rsidR="00E361F5" w:rsidRPr="003744D6" w:rsidRDefault="00E361F5" w:rsidP="003744D6">
      <w:pPr>
        <w:pStyle w:val="FootnoteText"/>
        <w:rPr>
          <w:rFonts w:asciiTheme="minorHAnsi" w:hAnsiTheme="minorHAnsi" w:cstheme="minorHAnsi"/>
          <w:sz w:val="21"/>
          <w:szCs w:val="18"/>
        </w:rPr>
      </w:pPr>
      <w:r w:rsidRPr="003744D6">
        <w:rPr>
          <w:rStyle w:val="FootnoteReference"/>
          <w:rFonts w:asciiTheme="minorHAnsi" w:hAnsiTheme="minorHAnsi" w:cstheme="minorHAnsi"/>
          <w:szCs w:val="18"/>
        </w:rPr>
        <w:footnoteRef/>
      </w:r>
      <w:r w:rsidRPr="003744D6">
        <w:rPr>
          <w:rFonts w:asciiTheme="minorHAnsi" w:hAnsiTheme="minorHAnsi" w:cstheme="minorHAnsi"/>
          <w:szCs w:val="18"/>
        </w:rPr>
        <w:t xml:space="preserve"> </w:t>
      </w:r>
      <w:r w:rsidRPr="001478A9">
        <w:rPr>
          <w:rFonts w:asciiTheme="minorHAnsi" w:hAnsiTheme="minorHAnsi" w:cstheme="minorHAnsi"/>
          <w:szCs w:val="18"/>
        </w:rPr>
        <w:t>BA, R (on the application of) v Secretary of State for the Home Department</w:t>
      </w:r>
      <w:r w:rsidRPr="003744D6">
        <w:rPr>
          <w:rFonts w:asciiTheme="minorHAnsi" w:hAnsiTheme="minorHAnsi" w:cstheme="minorHAnsi"/>
          <w:i/>
          <w:szCs w:val="18"/>
        </w:rPr>
        <w:t xml:space="preserve">, </w:t>
      </w:r>
      <w:r w:rsidRPr="003744D6">
        <w:rPr>
          <w:rFonts w:asciiTheme="minorHAnsi" w:hAnsiTheme="minorHAnsi" w:cstheme="minorHAnsi"/>
          <w:szCs w:val="18"/>
        </w:rPr>
        <w:t>[2011] EWHC 2748 (Admin) (26 October 2011)</w:t>
      </w:r>
    </w:p>
  </w:footnote>
  <w:footnote w:id="12">
    <w:p w:rsidR="00E361F5" w:rsidRPr="000C2E36" w:rsidRDefault="00E361F5" w:rsidP="00B5154A">
      <w:pPr>
        <w:autoSpaceDE w:val="0"/>
        <w:autoSpaceDN w:val="0"/>
        <w:adjustRightInd w:val="0"/>
        <w:rPr>
          <w:rFonts w:cstheme="minorHAnsi"/>
          <w:sz w:val="20"/>
          <w:szCs w:val="20"/>
        </w:rPr>
      </w:pPr>
      <w:r w:rsidRPr="000C2E36">
        <w:rPr>
          <w:rStyle w:val="FootnoteReference"/>
          <w:rFonts w:cstheme="minorHAnsi"/>
          <w:sz w:val="20"/>
          <w:szCs w:val="20"/>
        </w:rPr>
        <w:footnoteRef/>
      </w:r>
      <w:r w:rsidRPr="000C2E36">
        <w:rPr>
          <w:rFonts w:cstheme="minorHAnsi"/>
          <w:sz w:val="20"/>
          <w:szCs w:val="20"/>
        </w:rPr>
        <w:t xml:space="preserve"> </w:t>
      </w:r>
      <w:r w:rsidRPr="001478A9">
        <w:rPr>
          <w:rFonts w:cstheme="minorHAnsi"/>
          <w:iCs/>
          <w:sz w:val="20"/>
          <w:szCs w:val="20"/>
        </w:rPr>
        <w:t>S, R (on the application of) v Secretary of State for the Home Department,</w:t>
      </w:r>
      <w:r w:rsidRPr="000C2E36">
        <w:rPr>
          <w:rFonts w:cstheme="minorHAnsi"/>
          <w:i/>
          <w:iCs/>
          <w:sz w:val="20"/>
          <w:szCs w:val="20"/>
        </w:rPr>
        <w:t xml:space="preserve"> </w:t>
      </w:r>
      <w:r w:rsidRPr="000C2E36">
        <w:rPr>
          <w:rFonts w:cstheme="minorHAnsi"/>
          <w:sz w:val="20"/>
          <w:szCs w:val="20"/>
        </w:rPr>
        <w:t>[2011] EWHC 2120</w:t>
      </w:r>
    </w:p>
    <w:p w:rsidR="00E361F5" w:rsidRPr="000C2E36" w:rsidRDefault="00E361F5" w:rsidP="00B5154A">
      <w:pPr>
        <w:pStyle w:val="FootnoteText"/>
        <w:rPr>
          <w:rFonts w:asciiTheme="minorHAnsi" w:hAnsiTheme="minorHAnsi" w:cstheme="minorHAnsi"/>
        </w:rPr>
      </w:pPr>
      <w:r w:rsidRPr="000C2E36">
        <w:rPr>
          <w:rFonts w:asciiTheme="minorHAnsi" w:hAnsiTheme="minorHAnsi" w:cstheme="minorHAnsi"/>
        </w:rPr>
        <w:t>(Admin), (5 August 2011), para 212.</w:t>
      </w:r>
    </w:p>
  </w:footnote>
  <w:footnote w:id="13">
    <w:p w:rsidR="008535BC" w:rsidRPr="00344745" w:rsidRDefault="008535BC" w:rsidP="008535BC">
      <w:pPr>
        <w:pStyle w:val="FootnoteText"/>
      </w:pPr>
      <w:r w:rsidRPr="00FD6907">
        <w:rPr>
          <w:rStyle w:val="FootnoteReference"/>
          <w:rFonts w:asciiTheme="minorHAnsi" w:hAnsiTheme="minorHAnsi"/>
        </w:rPr>
        <w:footnoteRef/>
      </w:r>
      <w:r w:rsidRPr="00FD6907">
        <w:rPr>
          <w:rFonts w:asciiTheme="minorHAnsi" w:hAnsiTheme="minorHAnsi"/>
        </w:rPr>
        <w:t xml:space="preserve"> HM Inspectorate of Prisons and the Independent Chief Inspector of Borders and Immigration, </w:t>
      </w:r>
      <w:r w:rsidRPr="00FD6907">
        <w:rPr>
          <w:rFonts w:asciiTheme="minorHAnsi" w:hAnsiTheme="minorHAnsi"/>
          <w:i/>
        </w:rPr>
        <w:t>The effectiveness and impact of immigration detention casework</w:t>
      </w:r>
      <w:r w:rsidRPr="00FD6907">
        <w:rPr>
          <w:rFonts w:asciiTheme="minorHAnsi" w:hAnsiTheme="minorHAnsi"/>
        </w:rPr>
        <w:t>, December 2012</w:t>
      </w:r>
      <w:r w:rsidR="00923A59">
        <w:rPr>
          <w:rFonts w:asciiTheme="minorHAnsi" w:hAnsiTheme="minorHAnsi"/>
        </w:rPr>
        <w:t>, 1.10</w:t>
      </w:r>
    </w:p>
  </w:footnote>
  <w:footnote w:id="14">
    <w:p w:rsidR="006C4543" w:rsidRPr="006C4543" w:rsidRDefault="006C4543">
      <w:pPr>
        <w:pStyle w:val="FootnoteText"/>
        <w:rPr>
          <w:rFonts w:asciiTheme="minorHAnsi" w:hAnsiTheme="minorHAnsi"/>
        </w:rPr>
      </w:pPr>
      <w:r w:rsidRPr="006C4543">
        <w:rPr>
          <w:rStyle w:val="FootnoteReference"/>
          <w:rFonts w:asciiTheme="minorHAnsi" w:hAnsiTheme="minorHAnsi"/>
        </w:rPr>
        <w:footnoteRef/>
      </w:r>
      <w:r w:rsidRPr="006C4543">
        <w:rPr>
          <w:rFonts w:asciiTheme="minorHAnsi" w:hAnsiTheme="minorHAnsi"/>
        </w:rPr>
        <w:t xml:space="preserve"> Ibid, 4.30</w:t>
      </w:r>
    </w:p>
  </w:footnote>
  <w:footnote w:id="15">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w:t>
      </w:r>
      <w:r w:rsidRPr="001478A9">
        <w:rPr>
          <w:rFonts w:asciiTheme="minorHAnsi" w:hAnsiTheme="minorHAnsi"/>
        </w:rPr>
        <w:t>Detention Action vs Secretary of State for the Home Department</w:t>
      </w:r>
      <w:r w:rsidRPr="00FD6907">
        <w:rPr>
          <w:rFonts w:asciiTheme="minorHAnsi" w:hAnsiTheme="minorHAnsi"/>
          <w:i/>
        </w:rPr>
        <w:t xml:space="preserve"> </w:t>
      </w:r>
      <w:r w:rsidRPr="00FD6907">
        <w:rPr>
          <w:rFonts w:asciiTheme="minorHAnsi" w:hAnsiTheme="minorHAnsi"/>
        </w:rPr>
        <w:t>[2014] EWHC 2245 (Admin), 197.</w:t>
      </w:r>
    </w:p>
  </w:footnote>
  <w:footnote w:id="16">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Detention Action, </w:t>
      </w:r>
      <w:r w:rsidRPr="00FD6907">
        <w:rPr>
          <w:rFonts w:asciiTheme="minorHAnsi" w:hAnsiTheme="minorHAnsi"/>
          <w:i/>
        </w:rPr>
        <w:t>Fast Track to Despair</w:t>
      </w:r>
      <w:r w:rsidRPr="00FD6907">
        <w:rPr>
          <w:rFonts w:asciiTheme="minorHAnsi" w:hAnsiTheme="minorHAnsi"/>
        </w:rPr>
        <w:t>, 2011, p18</w:t>
      </w:r>
    </w:p>
  </w:footnote>
  <w:footnote w:id="17">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UNHCR, </w:t>
      </w:r>
      <w:r w:rsidRPr="00FD6907">
        <w:rPr>
          <w:rFonts w:asciiTheme="minorHAnsi" w:hAnsiTheme="minorHAnsi"/>
          <w:i/>
        </w:rPr>
        <w:t>Quality Integration Project: Key Observations and Recommendations</w:t>
      </w:r>
      <w:r w:rsidRPr="00FD6907">
        <w:rPr>
          <w:rFonts w:asciiTheme="minorHAnsi" w:hAnsiTheme="minorHAnsi"/>
        </w:rPr>
        <w:t>, 2010, p2</w:t>
      </w:r>
    </w:p>
  </w:footnote>
  <w:footnote w:id="18">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w:t>
      </w:r>
      <w:r w:rsidRPr="0099441D">
        <w:rPr>
          <w:rFonts w:asciiTheme="minorHAnsi" w:hAnsiTheme="minorHAnsi"/>
        </w:rPr>
        <w:t>Detention Action vs SSHD</w:t>
      </w:r>
      <w:r w:rsidRPr="00FD6907">
        <w:rPr>
          <w:rFonts w:asciiTheme="minorHAnsi" w:hAnsiTheme="minorHAnsi"/>
        </w:rPr>
        <w:t>, op cit, 112.</w:t>
      </w:r>
    </w:p>
  </w:footnote>
  <w:footnote w:id="19">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w:t>
      </w:r>
      <w:r w:rsidRPr="0099441D">
        <w:rPr>
          <w:rFonts w:asciiTheme="minorHAnsi" w:hAnsiTheme="minorHAnsi"/>
        </w:rPr>
        <w:t>ibid,</w:t>
      </w:r>
      <w:r w:rsidRPr="00FD6907">
        <w:rPr>
          <w:rFonts w:asciiTheme="minorHAnsi" w:hAnsiTheme="minorHAnsi"/>
          <w:i/>
        </w:rPr>
        <w:t xml:space="preserve"> </w:t>
      </w:r>
      <w:r w:rsidRPr="00FD6907">
        <w:rPr>
          <w:rFonts w:asciiTheme="minorHAnsi" w:hAnsiTheme="minorHAnsi"/>
        </w:rPr>
        <w:t>194.</w:t>
      </w:r>
    </w:p>
  </w:footnote>
  <w:footnote w:id="20">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w:t>
      </w:r>
      <w:r w:rsidRPr="0099441D">
        <w:rPr>
          <w:rFonts w:asciiTheme="minorHAnsi" w:hAnsiTheme="minorHAnsi"/>
        </w:rPr>
        <w:t>Detention Action vs SSHD,</w:t>
      </w:r>
      <w:r w:rsidRPr="00FD6907">
        <w:rPr>
          <w:rFonts w:asciiTheme="minorHAnsi" w:hAnsiTheme="minorHAnsi"/>
        </w:rPr>
        <w:t xml:space="preserve"> op cit., 133.</w:t>
      </w:r>
    </w:p>
  </w:footnote>
  <w:footnote w:id="21">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January-September 2012, s</w:t>
      </w:r>
      <w:r w:rsidRPr="00FD6907">
        <w:rPr>
          <w:rFonts w:asciiTheme="minorHAnsi" w:hAnsiTheme="minorHAnsi"/>
          <w:sz w:val="18"/>
          <w:szCs w:val="18"/>
        </w:rPr>
        <w:t>tatistics from FOI requests by Detention Action, FOI/76942 and FOI/80225</w:t>
      </w:r>
    </w:p>
  </w:footnote>
  <w:footnote w:id="22">
    <w:p w:rsidR="00E361F5" w:rsidRPr="00FD6907" w:rsidRDefault="00E361F5" w:rsidP="00333E04">
      <w:pPr>
        <w:pStyle w:val="FootnoteText"/>
        <w:rPr>
          <w:rFonts w:asciiTheme="minorHAnsi" w:hAnsiTheme="minorHAnsi"/>
        </w:rPr>
      </w:pPr>
      <w:r w:rsidRPr="00FD6907">
        <w:rPr>
          <w:rStyle w:val="FootnoteReference"/>
          <w:rFonts w:asciiTheme="minorHAnsi" w:hAnsiTheme="minorHAnsi"/>
        </w:rPr>
        <w:footnoteRef/>
      </w:r>
      <w:r w:rsidRPr="00FD6907">
        <w:rPr>
          <w:rFonts w:asciiTheme="minorHAnsi" w:hAnsiTheme="minorHAnsi"/>
        </w:rPr>
        <w:t xml:space="preserve"> </w:t>
      </w:r>
      <w:r w:rsidRPr="0099441D">
        <w:rPr>
          <w:rFonts w:asciiTheme="minorHAnsi" w:hAnsiTheme="minorHAnsi"/>
        </w:rPr>
        <w:t>Detention Action vs SSHD,</w:t>
      </w:r>
      <w:r w:rsidRPr="00FD6907">
        <w:rPr>
          <w:rFonts w:asciiTheme="minorHAnsi" w:hAnsiTheme="minorHAnsi"/>
        </w:rPr>
        <w:t xml:space="preserve"> op cit, 200.</w:t>
      </w:r>
    </w:p>
  </w:footnote>
  <w:footnote w:id="23">
    <w:p w:rsidR="0099441D" w:rsidRPr="0099441D" w:rsidRDefault="0099441D">
      <w:pPr>
        <w:pStyle w:val="FootnoteText"/>
        <w:rPr>
          <w:rFonts w:asciiTheme="minorHAnsi" w:hAnsiTheme="minorHAnsi"/>
        </w:rPr>
      </w:pPr>
      <w:r w:rsidRPr="0099441D">
        <w:rPr>
          <w:rStyle w:val="FootnoteReference"/>
          <w:rFonts w:asciiTheme="minorHAnsi" w:hAnsiTheme="minorHAnsi"/>
        </w:rPr>
        <w:footnoteRef/>
      </w:r>
      <w:r w:rsidRPr="0099441D">
        <w:rPr>
          <w:rFonts w:asciiTheme="minorHAnsi" w:hAnsiTheme="minorHAnsi"/>
        </w:rPr>
        <w:t xml:space="preserve"> Independent Monitoring Board, Harmondsworth Immigration Removal Centre, Annual Report 2013, 6.1</w:t>
      </w:r>
    </w:p>
  </w:footnote>
  <w:footnote w:id="24">
    <w:p w:rsidR="00E361F5" w:rsidRPr="005E2EA0" w:rsidRDefault="00E361F5" w:rsidP="00333E04">
      <w:pPr>
        <w:pStyle w:val="FootnoteText"/>
        <w:rPr>
          <w:rFonts w:ascii="Calibri" w:hAnsi="Calibri"/>
        </w:rPr>
      </w:pPr>
      <w:r w:rsidRPr="005E2EA0">
        <w:rPr>
          <w:rStyle w:val="FootnoteReference"/>
          <w:rFonts w:ascii="Calibri" w:hAnsi="Calibri"/>
        </w:rPr>
        <w:footnoteRef/>
      </w:r>
      <w:r w:rsidRPr="005E2EA0">
        <w:rPr>
          <w:rFonts w:ascii="Calibri" w:hAnsi="Calibri"/>
        </w:rPr>
        <w:t xml:space="preserve"> Independent Monitoring Board</w:t>
      </w:r>
      <w:r w:rsidR="0099441D">
        <w:rPr>
          <w:rFonts w:ascii="Calibri" w:hAnsi="Calibri"/>
        </w:rPr>
        <w:t>,</w:t>
      </w:r>
      <w:r w:rsidRPr="005E2EA0">
        <w:rPr>
          <w:rFonts w:ascii="Calibri" w:hAnsi="Calibri"/>
        </w:rPr>
        <w:t xml:space="preserve"> Harmondsworth Immigration Removal Centre</w:t>
      </w:r>
      <w:r w:rsidRPr="0099441D">
        <w:rPr>
          <w:rFonts w:ascii="Calibri" w:hAnsi="Calibri"/>
        </w:rPr>
        <w:t>, 2009 Annual Report</w:t>
      </w:r>
      <w:r w:rsidRPr="005E2EA0">
        <w:rPr>
          <w:rFonts w:ascii="Calibri" w:hAnsi="Calibri"/>
        </w:rPr>
        <w:t>, pp6-9</w:t>
      </w:r>
    </w:p>
  </w:footnote>
  <w:footnote w:id="25">
    <w:p w:rsidR="00E361F5" w:rsidRPr="00DF39D9" w:rsidRDefault="00E361F5">
      <w:pPr>
        <w:pStyle w:val="FootnoteText"/>
        <w:rPr>
          <w:rFonts w:asciiTheme="minorHAnsi" w:hAnsiTheme="minorHAnsi"/>
        </w:rPr>
      </w:pPr>
      <w:r w:rsidRPr="00DF39D9">
        <w:rPr>
          <w:rStyle w:val="FootnoteReference"/>
          <w:rFonts w:asciiTheme="minorHAnsi" w:hAnsiTheme="minorHAnsi"/>
        </w:rPr>
        <w:footnoteRef/>
      </w:r>
      <w:r w:rsidRPr="00DF39D9">
        <w:rPr>
          <w:rFonts w:asciiTheme="minorHAnsi" w:hAnsiTheme="minorHAnsi"/>
        </w:rPr>
        <w:t xml:space="preserve"> See Institute of Race Relations,</w:t>
      </w:r>
      <w:r w:rsidRPr="00DF39D9">
        <w:rPr>
          <w:rFonts w:asciiTheme="minorHAnsi" w:eastAsiaTheme="minorEastAsia" w:hAnsiTheme="minorHAnsi" w:cs="Arial"/>
          <w:color w:val="222222"/>
          <w:shd w:val="clear" w:color="auto" w:fill="FFFFFF"/>
          <w:lang w:eastAsia="ja-JP"/>
        </w:rPr>
        <w:t> </w:t>
      </w:r>
      <w:hyperlink r:id="rId1" w:tgtFrame="_blank" w:history="1">
        <w:r w:rsidRPr="00DF39D9">
          <w:rPr>
            <w:rFonts w:asciiTheme="minorHAnsi" w:eastAsiaTheme="minorEastAsia" w:hAnsiTheme="minorHAnsi" w:cs="Arial"/>
            <w:color w:val="1155CC"/>
            <w:u w:val="single"/>
            <w:shd w:val="clear" w:color="auto" w:fill="FFFFFF"/>
            <w:lang w:eastAsia="ja-JP"/>
          </w:rPr>
          <w:t>http://www.irr.org.uk/news/deaths-in-immigration-detention-1989-2014/</w:t>
        </w:r>
      </w:hyperlink>
    </w:p>
  </w:footnote>
  <w:footnote w:id="26">
    <w:p w:rsidR="00E361F5" w:rsidRPr="00FD6482" w:rsidRDefault="00E361F5">
      <w:pPr>
        <w:pStyle w:val="FootnoteText"/>
        <w:rPr>
          <w:rFonts w:asciiTheme="minorHAnsi" w:hAnsiTheme="minorHAnsi"/>
        </w:rPr>
      </w:pPr>
      <w:r w:rsidRPr="00FD6482">
        <w:rPr>
          <w:rStyle w:val="FootnoteReference"/>
          <w:rFonts w:asciiTheme="minorHAnsi" w:hAnsiTheme="minorHAnsi"/>
        </w:rPr>
        <w:footnoteRef/>
      </w:r>
      <w:r w:rsidRPr="00FD6482">
        <w:rPr>
          <w:rFonts w:asciiTheme="minorHAnsi" w:hAnsiTheme="minorHAnsi"/>
        </w:rPr>
        <w:t xml:space="preserve"> HM Inspectorate of Prisons, Report of an unannounced inspection of Harmondsworth Immigration Removal Centre, 5-16 August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1F5" w:rsidRDefault="00E361F5">
    <w:pPr>
      <w:pStyle w:val="Header"/>
    </w:pPr>
    <w:r>
      <w:tab/>
    </w:r>
    <w:r>
      <w:tab/>
    </w:r>
    <w:r w:rsidRPr="00664870">
      <w:rPr>
        <w:noProof/>
        <w:lang w:eastAsia="en-GB"/>
      </w:rPr>
      <w:drawing>
        <wp:inline distT="0" distB="0" distL="0" distR="0">
          <wp:extent cx="1404056" cy="834276"/>
          <wp:effectExtent l="19050" t="0" r="5644" b="0"/>
          <wp:docPr id="1" name="Picture 1" descr="DAlogo_Grayscale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logo_Grayscale_Small"/>
                  <pic:cNvPicPr>
                    <a:picLocks noChangeAspect="1" noChangeArrowheads="1"/>
                  </pic:cNvPicPr>
                </pic:nvPicPr>
                <pic:blipFill>
                  <a:blip r:embed="rId1"/>
                  <a:srcRect/>
                  <a:stretch>
                    <a:fillRect/>
                  </a:stretch>
                </pic:blipFill>
                <pic:spPr bwMode="auto">
                  <a:xfrm>
                    <a:off x="0" y="0"/>
                    <a:ext cx="1404365" cy="83446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A62DB"/>
    <w:multiLevelType w:val="hybridMultilevel"/>
    <w:tmpl w:val="70804D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9DA2A75"/>
    <w:multiLevelType w:val="hybridMultilevel"/>
    <w:tmpl w:val="CA328C7C"/>
    <w:lvl w:ilvl="0" w:tplc="CEF4EA80">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FA34F0"/>
    <w:multiLevelType w:val="multilevel"/>
    <w:tmpl w:val="3B84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DF82DE4"/>
    <w:multiLevelType w:val="multilevel"/>
    <w:tmpl w:val="596E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D564229"/>
    <w:multiLevelType w:val="multilevel"/>
    <w:tmpl w:val="DA52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F6A195E"/>
    <w:multiLevelType w:val="hybridMultilevel"/>
    <w:tmpl w:val="FB92D4DC"/>
    <w:lvl w:ilvl="0" w:tplc="B26A0EC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14C39F0"/>
    <w:multiLevelType w:val="hybridMultilevel"/>
    <w:tmpl w:val="6B14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6D453E"/>
    <w:multiLevelType w:val="hybridMultilevel"/>
    <w:tmpl w:val="5414F1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3965CBD"/>
    <w:multiLevelType w:val="hybridMultilevel"/>
    <w:tmpl w:val="0BBEED7E"/>
    <w:lvl w:ilvl="0" w:tplc="B0C4CD40">
      <w:start w:val="1"/>
      <w:numFmt w:val="decimal"/>
      <w:lvlText w:val="%1."/>
      <w:lvlJc w:val="left"/>
      <w:pPr>
        <w:ind w:left="720" w:hanging="360"/>
      </w:pPr>
      <w:rPr>
        <w:rFonts w:asciiTheme="minorHAnsi" w:hAnsiTheme="minorHAnsi" w:cstheme="minorHAnsi" w:hint="default"/>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54D02FD"/>
    <w:multiLevelType w:val="hybridMultilevel"/>
    <w:tmpl w:val="953CA128"/>
    <w:lvl w:ilvl="0" w:tplc="3CD41A3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5FF3D83"/>
    <w:multiLevelType w:val="hybridMultilevel"/>
    <w:tmpl w:val="10947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E4C2C18"/>
    <w:multiLevelType w:val="hybridMultilevel"/>
    <w:tmpl w:val="B6CC219A"/>
    <w:lvl w:ilvl="0" w:tplc="9A7CFEA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76317A50"/>
    <w:multiLevelType w:val="hybridMultilevel"/>
    <w:tmpl w:val="A670B9A6"/>
    <w:lvl w:ilvl="0" w:tplc="CEF4EA80">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6D75E04"/>
    <w:multiLevelType w:val="hybridMultilevel"/>
    <w:tmpl w:val="F7703E80"/>
    <w:lvl w:ilvl="0" w:tplc="250A7884">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AED2636"/>
    <w:multiLevelType w:val="hybridMultilevel"/>
    <w:tmpl w:val="9774A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E775C49"/>
    <w:multiLevelType w:val="hybridMultilevel"/>
    <w:tmpl w:val="44781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7"/>
  </w:num>
  <w:num w:numId="4">
    <w:abstractNumId w:val="10"/>
  </w:num>
  <w:num w:numId="5">
    <w:abstractNumId w:val="0"/>
  </w:num>
  <w:num w:numId="6">
    <w:abstractNumId w:val="8"/>
  </w:num>
  <w:num w:numId="7">
    <w:abstractNumId w:val="5"/>
  </w:num>
  <w:num w:numId="8">
    <w:abstractNumId w:val="14"/>
  </w:num>
  <w:num w:numId="9">
    <w:abstractNumId w:val="9"/>
  </w:num>
  <w:num w:numId="10">
    <w:abstractNumId w:val="4"/>
  </w:num>
  <w:num w:numId="11">
    <w:abstractNumId w:val="3"/>
  </w:num>
  <w:num w:numId="12">
    <w:abstractNumId w:val="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58B"/>
    <w:rsid w:val="000538AC"/>
    <w:rsid w:val="000568CD"/>
    <w:rsid w:val="000B37E6"/>
    <w:rsid w:val="000C1BE0"/>
    <w:rsid w:val="000C2E36"/>
    <w:rsid w:val="000C6644"/>
    <w:rsid w:val="000D0951"/>
    <w:rsid w:val="00101ACB"/>
    <w:rsid w:val="001336A2"/>
    <w:rsid w:val="001478A9"/>
    <w:rsid w:val="00152510"/>
    <w:rsid w:val="00154F30"/>
    <w:rsid w:val="00187AD8"/>
    <w:rsid w:val="001C607F"/>
    <w:rsid w:val="00256A3D"/>
    <w:rsid w:val="002654ED"/>
    <w:rsid w:val="00275D5E"/>
    <w:rsid w:val="002918AB"/>
    <w:rsid w:val="002967B2"/>
    <w:rsid w:val="002A2A8F"/>
    <w:rsid w:val="002B0748"/>
    <w:rsid w:val="002B2442"/>
    <w:rsid w:val="002C5A6E"/>
    <w:rsid w:val="002C5F1E"/>
    <w:rsid w:val="00333E04"/>
    <w:rsid w:val="00343F53"/>
    <w:rsid w:val="00364DF5"/>
    <w:rsid w:val="003744D6"/>
    <w:rsid w:val="00374DDE"/>
    <w:rsid w:val="00386B4F"/>
    <w:rsid w:val="003B4696"/>
    <w:rsid w:val="003C086A"/>
    <w:rsid w:val="003F0E64"/>
    <w:rsid w:val="00425C38"/>
    <w:rsid w:val="00432298"/>
    <w:rsid w:val="004409CE"/>
    <w:rsid w:val="0045338F"/>
    <w:rsid w:val="00457F19"/>
    <w:rsid w:val="00470BFB"/>
    <w:rsid w:val="004B06A6"/>
    <w:rsid w:val="004B3586"/>
    <w:rsid w:val="004D491B"/>
    <w:rsid w:val="004D7782"/>
    <w:rsid w:val="004F7636"/>
    <w:rsid w:val="00527F3C"/>
    <w:rsid w:val="00573DCA"/>
    <w:rsid w:val="005F2CB0"/>
    <w:rsid w:val="005F7CDB"/>
    <w:rsid w:val="006050C6"/>
    <w:rsid w:val="0061296D"/>
    <w:rsid w:val="00613365"/>
    <w:rsid w:val="006220F1"/>
    <w:rsid w:val="0064394E"/>
    <w:rsid w:val="00664870"/>
    <w:rsid w:val="0066668D"/>
    <w:rsid w:val="00693292"/>
    <w:rsid w:val="006C4543"/>
    <w:rsid w:val="007155E8"/>
    <w:rsid w:val="00715B9A"/>
    <w:rsid w:val="007163B5"/>
    <w:rsid w:val="0072040B"/>
    <w:rsid w:val="00725658"/>
    <w:rsid w:val="00750A41"/>
    <w:rsid w:val="00754141"/>
    <w:rsid w:val="007570BA"/>
    <w:rsid w:val="0077712A"/>
    <w:rsid w:val="00785555"/>
    <w:rsid w:val="00785605"/>
    <w:rsid w:val="00791A16"/>
    <w:rsid w:val="007B42F8"/>
    <w:rsid w:val="007B57FA"/>
    <w:rsid w:val="00830F4F"/>
    <w:rsid w:val="00835F60"/>
    <w:rsid w:val="00836145"/>
    <w:rsid w:val="008535BC"/>
    <w:rsid w:val="0085531A"/>
    <w:rsid w:val="0086149C"/>
    <w:rsid w:val="008746AD"/>
    <w:rsid w:val="00883E03"/>
    <w:rsid w:val="008A7082"/>
    <w:rsid w:val="008A7865"/>
    <w:rsid w:val="008B6CEA"/>
    <w:rsid w:val="008C2219"/>
    <w:rsid w:val="00923A59"/>
    <w:rsid w:val="00951D45"/>
    <w:rsid w:val="00960B04"/>
    <w:rsid w:val="00990770"/>
    <w:rsid w:val="0099441D"/>
    <w:rsid w:val="009A33F9"/>
    <w:rsid w:val="009B2F24"/>
    <w:rsid w:val="009F4884"/>
    <w:rsid w:val="00A05ACC"/>
    <w:rsid w:val="00A3542A"/>
    <w:rsid w:val="00A35687"/>
    <w:rsid w:val="00A4142D"/>
    <w:rsid w:val="00AA5796"/>
    <w:rsid w:val="00AE01D4"/>
    <w:rsid w:val="00B12E9C"/>
    <w:rsid w:val="00B42C93"/>
    <w:rsid w:val="00B51346"/>
    <w:rsid w:val="00B5154A"/>
    <w:rsid w:val="00B51AC6"/>
    <w:rsid w:val="00B72C47"/>
    <w:rsid w:val="00B82652"/>
    <w:rsid w:val="00B85E97"/>
    <w:rsid w:val="00BD59A4"/>
    <w:rsid w:val="00C203F7"/>
    <w:rsid w:val="00C33389"/>
    <w:rsid w:val="00C5158B"/>
    <w:rsid w:val="00C561AB"/>
    <w:rsid w:val="00C572DF"/>
    <w:rsid w:val="00CB04D1"/>
    <w:rsid w:val="00CC5519"/>
    <w:rsid w:val="00D0006F"/>
    <w:rsid w:val="00D47442"/>
    <w:rsid w:val="00D5114D"/>
    <w:rsid w:val="00D70252"/>
    <w:rsid w:val="00D723B6"/>
    <w:rsid w:val="00D9783C"/>
    <w:rsid w:val="00DA22DD"/>
    <w:rsid w:val="00DB7E66"/>
    <w:rsid w:val="00DC23B2"/>
    <w:rsid w:val="00DF39D9"/>
    <w:rsid w:val="00DF74C8"/>
    <w:rsid w:val="00E34FA1"/>
    <w:rsid w:val="00E361F5"/>
    <w:rsid w:val="00E54B72"/>
    <w:rsid w:val="00E83B30"/>
    <w:rsid w:val="00E86131"/>
    <w:rsid w:val="00E86175"/>
    <w:rsid w:val="00E96959"/>
    <w:rsid w:val="00ED3D1A"/>
    <w:rsid w:val="00EE0E91"/>
    <w:rsid w:val="00F43178"/>
    <w:rsid w:val="00F52C31"/>
    <w:rsid w:val="00F770AC"/>
    <w:rsid w:val="00F815FB"/>
    <w:rsid w:val="00F91D4A"/>
    <w:rsid w:val="00FB3FAE"/>
    <w:rsid w:val="00FB44EA"/>
    <w:rsid w:val="00FD3B06"/>
    <w:rsid w:val="00FD41D8"/>
    <w:rsid w:val="00FD6482"/>
    <w:rsid w:val="00FD69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B47A1F2-73FB-4F3E-A436-E0C38141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A3D"/>
  </w:style>
  <w:style w:type="paragraph" w:styleId="Heading1">
    <w:name w:val="heading 1"/>
    <w:basedOn w:val="Normal"/>
    <w:link w:val="Heading1Char"/>
    <w:uiPriority w:val="9"/>
    <w:qFormat/>
    <w:rsid w:val="00DF74C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33E0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58B"/>
    <w:pPr>
      <w:ind w:left="720"/>
      <w:contextualSpacing/>
    </w:pPr>
  </w:style>
  <w:style w:type="paragraph" w:styleId="FootnoteText">
    <w:name w:val="footnote text"/>
    <w:basedOn w:val="Normal"/>
    <w:link w:val="FootnoteTextChar"/>
    <w:uiPriority w:val="99"/>
    <w:semiHidden/>
    <w:rsid w:val="00C5158B"/>
    <w:rPr>
      <w:rFonts w:ascii="Arial" w:eastAsia="Times New Roman" w:hAnsi="Arial" w:cs="Times New Roman"/>
      <w:sz w:val="20"/>
      <w:szCs w:val="20"/>
      <w:lang w:eastAsia="en-US"/>
    </w:rPr>
  </w:style>
  <w:style w:type="character" w:customStyle="1" w:styleId="FootnoteTextChar">
    <w:name w:val="Footnote Text Char"/>
    <w:basedOn w:val="DefaultParagraphFont"/>
    <w:link w:val="FootnoteText"/>
    <w:uiPriority w:val="99"/>
    <w:semiHidden/>
    <w:rsid w:val="00C5158B"/>
    <w:rPr>
      <w:rFonts w:ascii="Arial" w:eastAsia="Times New Roman" w:hAnsi="Arial" w:cs="Times New Roman"/>
      <w:sz w:val="20"/>
      <w:szCs w:val="20"/>
      <w:lang w:eastAsia="en-US"/>
    </w:rPr>
  </w:style>
  <w:style w:type="character" w:styleId="FootnoteReference">
    <w:name w:val="footnote reference"/>
    <w:uiPriority w:val="99"/>
    <w:rsid w:val="00C5158B"/>
    <w:rPr>
      <w:vertAlign w:val="superscript"/>
    </w:rPr>
  </w:style>
  <w:style w:type="character" w:styleId="Hyperlink">
    <w:name w:val="Hyperlink"/>
    <w:basedOn w:val="DefaultParagraphFont"/>
    <w:uiPriority w:val="99"/>
    <w:unhideWhenUsed/>
    <w:rsid w:val="00664870"/>
    <w:rPr>
      <w:color w:val="0000FF" w:themeColor="hyperlink"/>
      <w:u w:val="single"/>
    </w:rPr>
  </w:style>
  <w:style w:type="paragraph" w:styleId="Header">
    <w:name w:val="header"/>
    <w:basedOn w:val="Normal"/>
    <w:link w:val="HeaderChar"/>
    <w:uiPriority w:val="99"/>
    <w:unhideWhenUsed/>
    <w:rsid w:val="00664870"/>
    <w:pPr>
      <w:tabs>
        <w:tab w:val="center" w:pos="4513"/>
        <w:tab w:val="right" w:pos="9026"/>
      </w:tabs>
    </w:pPr>
  </w:style>
  <w:style w:type="character" w:customStyle="1" w:styleId="HeaderChar">
    <w:name w:val="Header Char"/>
    <w:basedOn w:val="DefaultParagraphFont"/>
    <w:link w:val="Header"/>
    <w:uiPriority w:val="99"/>
    <w:rsid w:val="00664870"/>
  </w:style>
  <w:style w:type="paragraph" w:styleId="Footer">
    <w:name w:val="footer"/>
    <w:basedOn w:val="Normal"/>
    <w:link w:val="FooterChar"/>
    <w:uiPriority w:val="99"/>
    <w:unhideWhenUsed/>
    <w:rsid w:val="00664870"/>
    <w:pPr>
      <w:tabs>
        <w:tab w:val="center" w:pos="4513"/>
        <w:tab w:val="right" w:pos="9026"/>
      </w:tabs>
    </w:pPr>
  </w:style>
  <w:style w:type="character" w:customStyle="1" w:styleId="FooterChar">
    <w:name w:val="Footer Char"/>
    <w:basedOn w:val="DefaultParagraphFont"/>
    <w:link w:val="Footer"/>
    <w:uiPriority w:val="99"/>
    <w:rsid w:val="00664870"/>
  </w:style>
  <w:style w:type="paragraph" w:styleId="BalloonText">
    <w:name w:val="Balloon Text"/>
    <w:basedOn w:val="Normal"/>
    <w:link w:val="BalloonTextChar"/>
    <w:uiPriority w:val="99"/>
    <w:semiHidden/>
    <w:unhideWhenUsed/>
    <w:rsid w:val="00664870"/>
    <w:rPr>
      <w:rFonts w:ascii="Tahoma" w:hAnsi="Tahoma" w:cs="Tahoma"/>
      <w:sz w:val="16"/>
      <w:szCs w:val="16"/>
    </w:rPr>
  </w:style>
  <w:style w:type="character" w:customStyle="1" w:styleId="BalloonTextChar">
    <w:name w:val="Balloon Text Char"/>
    <w:basedOn w:val="DefaultParagraphFont"/>
    <w:link w:val="BalloonText"/>
    <w:uiPriority w:val="99"/>
    <w:semiHidden/>
    <w:rsid w:val="00664870"/>
    <w:rPr>
      <w:rFonts w:ascii="Tahoma" w:hAnsi="Tahoma" w:cs="Tahoma"/>
      <w:sz w:val="16"/>
      <w:szCs w:val="16"/>
    </w:rPr>
  </w:style>
  <w:style w:type="character" w:styleId="CommentReference">
    <w:name w:val="annotation reference"/>
    <w:basedOn w:val="DefaultParagraphFont"/>
    <w:uiPriority w:val="99"/>
    <w:semiHidden/>
    <w:unhideWhenUsed/>
    <w:rsid w:val="00DF74C8"/>
    <w:rPr>
      <w:sz w:val="16"/>
      <w:szCs w:val="16"/>
    </w:rPr>
  </w:style>
  <w:style w:type="paragraph" w:styleId="CommentText">
    <w:name w:val="annotation text"/>
    <w:basedOn w:val="Normal"/>
    <w:link w:val="CommentTextChar"/>
    <w:uiPriority w:val="99"/>
    <w:semiHidden/>
    <w:unhideWhenUsed/>
    <w:rsid w:val="00DF74C8"/>
    <w:pPr>
      <w:spacing w:after="160"/>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DF74C8"/>
    <w:rPr>
      <w:rFonts w:eastAsiaTheme="minorHAnsi"/>
      <w:sz w:val="20"/>
      <w:szCs w:val="20"/>
      <w:lang w:eastAsia="en-US"/>
    </w:rPr>
  </w:style>
  <w:style w:type="character" w:customStyle="1" w:styleId="Heading1Char">
    <w:name w:val="Heading 1 Char"/>
    <w:basedOn w:val="DefaultParagraphFont"/>
    <w:link w:val="Heading1"/>
    <w:uiPriority w:val="9"/>
    <w:rsid w:val="00DF74C8"/>
    <w:rPr>
      <w:rFonts w:ascii="Times New Roman" w:eastAsia="Times New Roman" w:hAnsi="Times New Roman" w:cs="Times New Roman"/>
      <w:b/>
      <w:bCs/>
      <w:kern w:val="36"/>
      <w:sz w:val="48"/>
      <w:szCs w:val="48"/>
      <w:lang w:eastAsia="en-GB"/>
    </w:rPr>
  </w:style>
  <w:style w:type="paragraph" w:customStyle="1" w:styleId="Default">
    <w:name w:val="Default"/>
    <w:rsid w:val="00333E04"/>
    <w:pPr>
      <w:autoSpaceDE w:val="0"/>
      <w:autoSpaceDN w:val="0"/>
      <w:adjustRightInd w:val="0"/>
    </w:pPr>
    <w:rPr>
      <w:rFonts w:ascii="Times New Roman" w:eastAsia="Times New Roman" w:hAnsi="Times New Roman" w:cs="Times New Roman"/>
      <w:color w:val="000000"/>
      <w:sz w:val="24"/>
      <w:szCs w:val="24"/>
      <w:lang w:eastAsia="en-GB"/>
    </w:rPr>
  </w:style>
  <w:style w:type="paragraph" w:customStyle="1" w:styleId="CM8">
    <w:name w:val="CM8"/>
    <w:basedOn w:val="Default"/>
    <w:next w:val="Default"/>
    <w:uiPriority w:val="99"/>
    <w:rsid w:val="00333E04"/>
    <w:rPr>
      <w:color w:val="auto"/>
    </w:rPr>
  </w:style>
  <w:style w:type="paragraph" w:customStyle="1" w:styleId="BodyText">
    <w:name w:val="BodyText"/>
    <w:basedOn w:val="Normal"/>
    <w:rsid w:val="00333E04"/>
    <w:pPr>
      <w:widowControl w:val="0"/>
      <w:autoSpaceDE w:val="0"/>
      <w:autoSpaceDN w:val="0"/>
      <w:adjustRightInd w:val="0"/>
      <w:spacing w:line="280" w:lineRule="exact"/>
    </w:pPr>
    <w:rPr>
      <w:rFonts w:ascii="Calibri" w:eastAsia="Times" w:hAnsi="Calibri" w:cs="Times New Roman"/>
      <w:szCs w:val="20"/>
      <w:lang w:val="en-US" w:eastAsia="en-US" w:bidi="en-US"/>
    </w:rPr>
  </w:style>
  <w:style w:type="character" w:customStyle="1" w:styleId="Heading2Char">
    <w:name w:val="Heading 2 Char"/>
    <w:basedOn w:val="DefaultParagraphFont"/>
    <w:link w:val="Heading2"/>
    <w:uiPriority w:val="9"/>
    <w:semiHidden/>
    <w:rsid w:val="00333E04"/>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0C2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009318">
      <w:bodyDiv w:val="1"/>
      <w:marLeft w:val="0"/>
      <w:marRight w:val="0"/>
      <w:marTop w:val="0"/>
      <w:marBottom w:val="0"/>
      <w:divBdr>
        <w:top w:val="none" w:sz="0" w:space="0" w:color="auto"/>
        <w:left w:val="none" w:sz="0" w:space="0" w:color="auto"/>
        <w:bottom w:val="none" w:sz="0" w:space="0" w:color="auto"/>
        <w:right w:val="none" w:sz="0" w:space="0" w:color="auto"/>
      </w:divBdr>
    </w:div>
    <w:div w:id="340358636">
      <w:bodyDiv w:val="1"/>
      <w:marLeft w:val="0"/>
      <w:marRight w:val="0"/>
      <w:marTop w:val="0"/>
      <w:marBottom w:val="0"/>
      <w:divBdr>
        <w:top w:val="none" w:sz="0" w:space="0" w:color="auto"/>
        <w:left w:val="none" w:sz="0" w:space="0" w:color="auto"/>
        <w:bottom w:val="none" w:sz="0" w:space="0" w:color="auto"/>
        <w:right w:val="none" w:sz="0" w:space="0" w:color="auto"/>
      </w:divBdr>
    </w:div>
    <w:div w:id="570970509">
      <w:bodyDiv w:val="1"/>
      <w:marLeft w:val="0"/>
      <w:marRight w:val="0"/>
      <w:marTop w:val="0"/>
      <w:marBottom w:val="0"/>
      <w:divBdr>
        <w:top w:val="none" w:sz="0" w:space="0" w:color="auto"/>
        <w:left w:val="none" w:sz="0" w:space="0" w:color="auto"/>
        <w:bottom w:val="none" w:sz="0" w:space="0" w:color="auto"/>
        <w:right w:val="none" w:sz="0" w:space="0" w:color="auto"/>
      </w:divBdr>
    </w:div>
    <w:div w:id="750010991">
      <w:bodyDiv w:val="1"/>
      <w:marLeft w:val="0"/>
      <w:marRight w:val="0"/>
      <w:marTop w:val="0"/>
      <w:marBottom w:val="0"/>
      <w:divBdr>
        <w:top w:val="none" w:sz="0" w:space="0" w:color="auto"/>
        <w:left w:val="none" w:sz="0" w:space="0" w:color="auto"/>
        <w:bottom w:val="none" w:sz="0" w:space="0" w:color="auto"/>
        <w:right w:val="none" w:sz="0" w:space="0" w:color="auto"/>
      </w:divBdr>
    </w:div>
    <w:div w:id="1130905078">
      <w:bodyDiv w:val="1"/>
      <w:marLeft w:val="0"/>
      <w:marRight w:val="0"/>
      <w:marTop w:val="0"/>
      <w:marBottom w:val="0"/>
      <w:divBdr>
        <w:top w:val="none" w:sz="0" w:space="0" w:color="auto"/>
        <w:left w:val="none" w:sz="0" w:space="0" w:color="auto"/>
        <w:bottom w:val="none" w:sz="0" w:space="0" w:color="auto"/>
        <w:right w:val="none" w:sz="0" w:space="0" w:color="auto"/>
      </w:divBdr>
    </w:div>
    <w:div w:id="1169977064">
      <w:bodyDiv w:val="1"/>
      <w:marLeft w:val="0"/>
      <w:marRight w:val="0"/>
      <w:marTop w:val="0"/>
      <w:marBottom w:val="0"/>
      <w:divBdr>
        <w:top w:val="none" w:sz="0" w:space="0" w:color="auto"/>
        <w:left w:val="none" w:sz="0" w:space="0" w:color="auto"/>
        <w:bottom w:val="none" w:sz="0" w:space="0" w:color="auto"/>
        <w:right w:val="none" w:sz="0" w:space="0" w:color="auto"/>
      </w:divBdr>
      <w:divsChild>
        <w:div w:id="1514298298">
          <w:marLeft w:val="0"/>
          <w:marRight w:val="0"/>
          <w:marTop w:val="0"/>
          <w:marBottom w:val="0"/>
          <w:divBdr>
            <w:top w:val="none" w:sz="0" w:space="0" w:color="auto"/>
            <w:left w:val="none" w:sz="0" w:space="0" w:color="auto"/>
            <w:bottom w:val="none" w:sz="0" w:space="0" w:color="auto"/>
            <w:right w:val="none" w:sz="0" w:space="0" w:color="auto"/>
          </w:divBdr>
        </w:div>
        <w:div w:id="380137018">
          <w:marLeft w:val="0"/>
          <w:marRight w:val="0"/>
          <w:marTop w:val="0"/>
          <w:marBottom w:val="0"/>
          <w:divBdr>
            <w:top w:val="none" w:sz="0" w:space="0" w:color="auto"/>
            <w:left w:val="none" w:sz="0" w:space="0" w:color="auto"/>
            <w:bottom w:val="none" w:sz="0" w:space="0" w:color="auto"/>
            <w:right w:val="none" w:sz="0" w:space="0" w:color="auto"/>
          </w:divBdr>
        </w:div>
        <w:div w:id="1212497132">
          <w:marLeft w:val="0"/>
          <w:marRight w:val="0"/>
          <w:marTop w:val="0"/>
          <w:marBottom w:val="0"/>
          <w:divBdr>
            <w:top w:val="none" w:sz="0" w:space="0" w:color="auto"/>
            <w:left w:val="none" w:sz="0" w:space="0" w:color="auto"/>
            <w:bottom w:val="none" w:sz="0" w:space="0" w:color="auto"/>
            <w:right w:val="none" w:sz="0" w:space="0" w:color="auto"/>
          </w:divBdr>
        </w:div>
        <w:div w:id="1205871062">
          <w:marLeft w:val="0"/>
          <w:marRight w:val="0"/>
          <w:marTop w:val="0"/>
          <w:marBottom w:val="0"/>
          <w:divBdr>
            <w:top w:val="none" w:sz="0" w:space="0" w:color="auto"/>
            <w:left w:val="none" w:sz="0" w:space="0" w:color="auto"/>
            <w:bottom w:val="none" w:sz="0" w:space="0" w:color="auto"/>
            <w:right w:val="none" w:sz="0" w:space="0" w:color="auto"/>
          </w:divBdr>
        </w:div>
        <w:div w:id="261959267">
          <w:marLeft w:val="0"/>
          <w:marRight w:val="0"/>
          <w:marTop w:val="0"/>
          <w:marBottom w:val="0"/>
          <w:divBdr>
            <w:top w:val="none" w:sz="0" w:space="0" w:color="auto"/>
            <w:left w:val="none" w:sz="0" w:space="0" w:color="auto"/>
            <w:bottom w:val="none" w:sz="0" w:space="0" w:color="auto"/>
            <w:right w:val="none" w:sz="0" w:space="0" w:color="auto"/>
          </w:divBdr>
        </w:div>
        <w:div w:id="474490683">
          <w:marLeft w:val="0"/>
          <w:marRight w:val="0"/>
          <w:marTop w:val="0"/>
          <w:marBottom w:val="0"/>
          <w:divBdr>
            <w:top w:val="none" w:sz="0" w:space="0" w:color="auto"/>
            <w:left w:val="none" w:sz="0" w:space="0" w:color="auto"/>
            <w:bottom w:val="none" w:sz="0" w:space="0" w:color="auto"/>
            <w:right w:val="none" w:sz="0" w:space="0" w:color="auto"/>
          </w:divBdr>
        </w:div>
        <w:div w:id="515313638">
          <w:marLeft w:val="0"/>
          <w:marRight w:val="0"/>
          <w:marTop w:val="0"/>
          <w:marBottom w:val="0"/>
          <w:divBdr>
            <w:top w:val="none" w:sz="0" w:space="0" w:color="auto"/>
            <w:left w:val="none" w:sz="0" w:space="0" w:color="auto"/>
            <w:bottom w:val="none" w:sz="0" w:space="0" w:color="auto"/>
            <w:right w:val="none" w:sz="0" w:space="0" w:color="auto"/>
          </w:divBdr>
        </w:div>
        <w:div w:id="1921716166">
          <w:marLeft w:val="0"/>
          <w:marRight w:val="0"/>
          <w:marTop w:val="0"/>
          <w:marBottom w:val="0"/>
          <w:divBdr>
            <w:top w:val="none" w:sz="0" w:space="0" w:color="auto"/>
            <w:left w:val="none" w:sz="0" w:space="0" w:color="auto"/>
            <w:bottom w:val="none" w:sz="0" w:space="0" w:color="auto"/>
            <w:right w:val="none" w:sz="0" w:space="0" w:color="auto"/>
          </w:divBdr>
        </w:div>
        <w:div w:id="911811311">
          <w:marLeft w:val="0"/>
          <w:marRight w:val="0"/>
          <w:marTop w:val="0"/>
          <w:marBottom w:val="0"/>
          <w:divBdr>
            <w:top w:val="none" w:sz="0" w:space="0" w:color="auto"/>
            <w:left w:val="none" w:sz="0" w:space="0" w:color="auto"/>
            <w:bottom w:val="none" w:sz="0" w:space="0" w:color="auto"/>
            <w:right w:val="none" w:sz="0" w:space="0" w:color="auto"/>
          </w:divBdr>
        </w:div>
        <w:div w:id="791903935">
          <w:marLeft w:val="0"/>
          <w:marRight w:val="0"/>
          <w:marTop w:val="0"/>
          <w:marBottom w:val="0"/>
          <w:divBdr>
            <w:top w:val="none" w:sz="0" w:space="0" w:color="auto"/>
            <w:left w:val="none" w:sz="0" w:space="0" w:color="auto"/>
            <w:bottom w:val="none" w:sz="0" w:space="0" w:color="auto"/>
            <w:right w:val="none" w:sz="0" w:space="0" w:color="auto"/>
          </w:divBdr>
        </w:div>
        <w:div w:id="186598950">
          <w:marLeft w:val="0"/>
          <w:marRight w:val="0"/>
          <w:marTop w:val="0"/>
          <w:marBottom w:val="0"/>
          <w:divBdr>
            <w:top w:val="none" w:sz="0" w:space="0" w:color="auto"/>
            <w:left w:val="none" w:sz="0" w:space="0" w:color="auto"/>
            <w:bottom w:val="none" w:sz="0" w:space="0" w:color="auto"/>
            <w:right w:val="none" w:sz="0" w:space="0" w:color="auto"/>
          </w:divBdr>
        </w:div>
        <w:div w:id="799766861">
          <w:marLeft w:val="0"/>
          <w:marRight w:val="0"/>
          <w:marTop w:val="0"/>
          <w:marBottom w:val="0"/>
          <w:divBdr>
            <w:top w:val="none" w:sz="0" w:space="0" w:color="auto"/>
            <w:left w:val="none" w:sz="0" w:space="0" w:color="auto"/>
            <w:bottom w:val="none" w:sz="0" w:space="0" w:color="auto"/>
            <w:right w:val="none" w:sz="0" w:space="0" w:color="auto"/>
          </w:divBdr>
        </w:div>
        <w:div w:id="467480888">
          <w:marLeft w:val="0"/>
          <w:marRight w:val="0"/>
          <w:marTop w:val="0"/>
          <w:marBottom w:val="0"/>
          <w:divBdr>
            <w:top w:val="none" w:sz="0" w:space="0" w:color="auto"/>
            <w:left w:val="none" w:sz="0" w:space="0" w:color="auto"/>
            <w:bottom w:val="none" w:sz="0" w:space="0" w:color="auto"/>
            <w:right w:val="none" w:sz="0" w:space="0" w:color="auto"/>
          </w:divBdr>
        </w:div>
        <w:div w:id="1091659019">
          <w:marLeft w:val="0"/>
          <w:marRight w:val="0"/>
          <w:marTop w:val="0"/>
          <w:marBottom w:val="0"/>
          <w:divBdr>
            <w:top w:val="none" w:sz="0" w:space="0" w:color="auto"/>
            <w:left w:val="none" w:sz="0" w:space="0" w:color="auto"/>
            <w:bottom w:val="none" w:sz="0" w:space="0" w:color="auto"/>
            <w:right w:val="none" w:sz="0" w:space="0" w:color="auto"/>
          </w:divBdr>
        </w:div>
        <w:div w:id="2008508851">
          <w:marLeft w:val="0"/>
          <w:marRight w:val="0"/>
          <w:marTop w:val="0"/>
          <w:marBottom w:val="0"/>
          <w:divBdr>
            <w:top w:val="none" w:sz="0" w:space="0" w:color="auto"/>
            <w:left w:val="none" w:sz="0" w:space="0" w:color="auto"/>
            <w:bottom w:val="none" w:sz="0" w:space="0" w:color="auto"/>
            <w:right w:val="none" w:sz="0" w:space="0" w:color="auto"/>
          </w:divBdr>
        </w:div>
        <w:div w:id="839007878">
          <w:marLeft w:val="0"/>
          <w:marRight w:val="0"/>
          <w:marTop w:val="0"/>
          <w:marBottom w:val="0"/>
          <w:divBdr>
            <w:top w:val="none" w:sz="0" w:space="0" w:color="auto"/>
            <w:left w:val="none" w:sz="0" w:space="0" w:color="auto"/>
            <w:bottom w:val="none" w:sz="0" w:space="0" w:color="auto"/>
            <w:right w:val="none" w:sz="0" w:space="0" w:color="auto"/>
          </w:divBdr>
        </w:div>
        <w:div w:id="1010060199">
          <w:marLeft w:val="0"/>
          <w:marRight w:val="0"/>
          <w:marTop w:val="0"/>
          <w:marBottom w:val="0"/>
          <w:divBdr>
            <w:top w:val="none" w:sz="0" w:space="0" w:color="auto"/>
            <w:left w:val="none" w:sz="0" w:space="0" w:color="auto"/>
            <w:bottom w:val="none" w:sz="0" w:space="0" w:color="auto"/>
            <w:right w:val="none" w:sz="0" w:space="0" w:color="auto"/>
          </w:divBdr>
        </w:div>
        <w:div w:id="1771850344">
          <w:marLeft w:val="0"/>
          <w:marRight w:val="0"/>
          <w:marTop w:val="0"/>
          <w:marBottom w:val="0"/>
          <w:divBdr>
            <w:top w:val="none" w:sz="0" w:space="0" w:color="auto"/>
            <w:left w:val="none" w:sz="0" w:space="0" w:color="auto"/>
            <w:bottom w:val="none" w:sz="0" w:space="0" w:color="auto"/>
            <w:right w:val="none" w:sz="0" w:space="0" w:color="auto"/>
          </w:divBdr>
        </w:div>
        <w:div w:id="233666876">
          <w:marLeft w:val="0"/>
          <w:marRight w:val="0"/>
          <w:marTop w:val="0"/>
          <w:marBottom w:val="0"/>
          <w:divBdr>
            <w:top w:val="none" w:sz="0" w:space="0" w:color="auto"/>
            <w:left w:val="none" w:sz="0" w:space="0" w:color="auto"/>
            <w:bottom w:val="none" w:sz="0" w:space="0" w:color="auto"/>
            <w:right w:val="none" w:sz="0" w:space="0" w:color="auto"/>
          </w:divBdr>
        </w:div>
        <w:div w:id="376708735">
          <w:marLeft w:val="0"/>
          <w:marRight w:val="0"/>
          <w:marTop w:val="0"/>
          <w:marBottom w:val="0"/>
          <w:divBdr>
            <w:top w:val="none" w:sz="0" w:space="0" w:color="auto"/>
            <w:left w:val="none" w:sz="0" w:space="0" w:color="auto"/>
            <w:bottom w:val="none" w:sz="0" w:space="0" w:color="auto"/>
            <w:right w:val="none" w:sz="0" w:space="0" w:color="auto"/>
          </w:divBdr>
        </w:div>
        <w:div w:id="2080900715">
          <w:marLeft w:val="0"/>
          <w:marRight w:val="0"/>
          <w:marTop w:val="0"/>
          <w:marBottom w:val="0"/>
          <w:divBdr>
            <w:top w:val="none" w:sz="0" w:space="0" w:color="auto"/>
            <w:left w:val="none" w:sz="0" w:space="0" w:color="auto"/>
            <w:bottom w:val="none" w:sz="0" w:space="0" w:color="auto"/>
            <w:right w:val="none" w:sz="0" w:space="0" w:color="auto"/>
          </w:divBdr>
        </w:div>
        <w:div w:id="1303459858">
          <w:marLeft w:val="0"/>
          <w:marRight w:val="0"/>
          <w:marTop w:val="0"/>
          <w:marBottom w:val="0"/>
          <w:divBdr>
            <w:top w:val="none" w:sz="0" w:space="0" w:color="auto"/>
            <w:left w:val="none" w:sz="0" w:space="0" w:color="auto"/>
            <w:bottom w:val="none" w:sz="0" w:space="0" w:color="auto"/>
            <w:right w:val="none" w:sz="0" w:space="0" w:color="auto"/>
          </w:divBdr>
        </w:div>
        <w:div w:id="809982558">
          <w:marLeft w:val="0"/>
          <w:marRight w:val="0"/>
          <w:marTop w:val="0"/>
          <w:marBottom w:val="0"/>
          <w:divBdr>
            <w:top w:val="none" w:sz="0" w:space="0" w:color="auto"/>
            <w:left w:val="none" w:sz="0" w:space="0" w:color="auto"/>
            <w:bottom w:val="none" w:sz="0" w:space="0" w:color="auto"/>
            <w:right w:val="none" w:sz="0" w:space="0" w:color="auto"/>
          </w:divBdr>
        </w:div>
        <w:div w:id="1555847495">
          <w:marLeft w:val="0"/>
          <w:marRight w:val="0"/>
          <w:marTop w:val="0"/>
          <w:marBottom w:val="0"/>
          <w:divBdr>
            <w:top w:val="none" w:sz="0" w:space="0" w:color="auto"/>
            <w:left w:val="none" w:sz="0" w:space="0" w:color="auto"/>
            <w:bottom w:val="none" w:sz="0" w:space="0" w:color="auto"/>
            <w:right w:val="none" w:sz="0" w:space="0" w:color="auto"/>
          </w:divBdr>
        </w:div>
        <w:div w:id="769589677">
          <w:marLeft w:val="0"/>
          <w:marRight w:val="0"/>
          <w:marTop w:val="0"/>
          <w:marBottom w:val="0"/>
          <w:divBdr>
            <w:top w:val="none" w:sz="0" w:space="0" w:color="auto"/>
            <w:left w:val="none" w:sz="0" w:space="0" w:color="auto"/>
            <w:bottom w:val="none" w:sz="0" w:space="0" w:color="auto"/>
            <w:right w:val="none" w:sz="0" w:space="0" w:color="auto"/>
          </w:divBdr>
        </w:div>
        <w:div w:id="1531071600">
          <w:marLeft w:val="0"/>
          <w:marRight w:val="0"/>
          <w:marTop w:val="0"/>
          <w:marBottom w:val="0"/>
          <w:divBdr>
            <w:top w:val="none" w:sz="0" w:space="0" w:color="auto"/>
            <w:left w:val="none" w:sz="0" w:space="0" w:color="auto"/>
            <w:bottom w:val="none" w:sz="0" w:space="0" w:color="auto"/>
            <w:right w:val="none" w:sz="0" w:space="0" w:color="auto"/>
          </w:divBdr>
        </w:div>
        <w:div w:id="196042659">
          <w:marLeft w:val="0"/>
          <w:marRight w:val="0"/>
          <w:marTop w:val="0"/>
          <w:marBottom w:val="0"/>
          <w:divBdr>
            <w:top w:val="none" w:sz="0" w:space="0" w:color="auto"/>
            <w:left w:val="none" w:sz="0" w:space="0" w:color="auto"/>
            <w:bottom w:val="none" w:sz="0" w:space="0" w:color="auto"/>
            <w:right w:val="none" w:sz="0" w:space="0" w:color="auto"/>
          </w:divBdr>
        </w:div>
        <w:div w:id="255789174">
          <w:marLeft w:val="0"/>
          <w:marRight w:val="0"/>
          <w:marTop w:val="0"/>
          <w:marBottom w:val="0"/>
          <w:divBdr>
            <w:top w:val="none" w:sz="0" w:space="0" w:color="auto"/>
            <w:left w:val="none" w:sz="0" w:space="0" w:color="auto"/>
            <w:bottom w:val="none" w:sz="0" w:space="0" w:color="auto"/>
            <w:right w:val="none" w:sz="0" w:space="0" w:color="auto"/>
          </w:divBdr>
        </w:div>
        <w:div w:id="367803430">
          <w:marLeft w:val="0"/>
          <w:marRight w:val="0"/>
          <w:marTop w:val="0"/>
          <w:marBottom w:val="0"/>
          <w:divBdr>
            <w:top w:val="none" w:sz="0" w:space="0" w:color="auto"/>
            <w:left w:val="none" w:sz="0" w:space="0" w:color="auto"/>
            <w:bottom w:val="none" w:sz="0" w:space="0" w:color="auto"/>
            <w:right w:val="none" w:sz="0" w:space="0" w:color="auto"/>
          </w:divBdr>
        </w:div>
        <w:div w:id="352808242">
          <w:marLeft w:val="0"/>
          <w:marRight w:val="0"/>
          <w:marTop w:val="0"/>
          <w:marBottom w:val="0"/>
          <w:divBdr>
            <w:top w:val="none" w:sz="0" w:space="0" w:color="auto"/>
            <w:left w:val="none" w:sz="0" w:space="0" w:color="auto"/>
            <w:bottom w:val="none" w:sz="0" w:space="0" w:color="auto"/>
            <w:right w:val="none" w:sz="0" w:space="0" w:color="auto"/>
          </w:divBdr>
        </w:div>
        <w:div w:id="1367872696">
          <w:marLeft w:val="0"/>
          <w:marRight w:val="0"/>
          <w:marTop w:val="0"/>
          <w:marBottom w:val="0"/>
          <w:divBdr>
            <w:top w:val="none" w:sz="0" w:space="0" w:color="auto"/>
            <w:left w:val="none" w:sz="0" w:space="0" w:color="auto"/>
            <w:bottom w:val="none" w:sz="0" w:space="0" w:color="auto"/>
            <w:right w:val="none" w:sz="0" w:space="0" w:color="auto"/>
          </w:divBdr>
        </w:div>
        <w:div w:id="1581059935">
          <w:marLeft w:val="0"/>
          <w:marRight w:val="0"/>
          <w:marTop w:val="0"/>
          <w:marBottom w:val="0"/>
          <w:divBdr>
            <w:top w:val="none" w:sz="0" w:space="0" w:color="auto"/>
            <w:left w:val="none" w:sz="0" w:space="0" w:color="auto"/>
            <w:bottom w:val="none" w:sz="0" w:space="0" w:color="auto"/>
            <w:right w:val="none" w:sz="0" w:space="0" w:color="auto"/>
          </w:divBdr>
        </w:div>
        <w:div w:id="961031257">
          <w:marLeft w:val="0"/>
          <w:marRight w:val="0"/>
          <w:marTop w:val="0"/>
          <w:marBottom w:val="0"/>
          <w:divBdr>
            <w:top w:val="none" w:sz="0" w:space="0" w:color="auto"/>
            <w:left w:val="none" w:sz="0" w:space="0" w:color="auto"/>
            <w:bottom w:val="none" w:sz="0" w:space="0" w:color="auto"/>
            <w:right w:val="none" w:sz="0" w:space="0" w:color="auto"/>
          </w:divBdr>
        </w:div>
        <w:div w:id="1818959513">
          <w:marLeft w:val="0"/>
          <w:marRight w:val="0"/>
          <w:marTop w:val="0"/>
          <w:marBottom w:val="0"/>
          <w:divBdr>
            <w:top w:val="none" w:sz="0" w:space="0" w:color="auto"/>
            <w:left w:val="none" w:sz="0" w:space="0" w:color="auto"/>
            <w:bottom w:val="none" w:sz="0" w:space="0" w:color="auto"/>
            <w:right w:val="none" w:sz="0" w:space="0" w:color="auto"/>
          </w:divBdr>
        </w:div>
        <w:div w:id="2009752227">
          <w:marLeft w:val="0"/>
          <w:marRight w:val="0"/>
          <w:marTop w:val="0"/>
          <w:marBottom w:val="0"/>
          <w:divBdr>
            <w:top w:val="none" w:sz="0" w:space="0" w:color="auto"/>
            <w:left w:val="none" w:sz="0" w:space="0" w:color="auto"/>
            <w:bottom w:val="none" w:sz="0" w:space="0" w:color="auto"/>
            <w:right w:val="none" w:sz="0" w:space="0" w:color="auto"/>
          </w:divBdr>
        </w:div>
        <w:div w:id="849219969">
          <w:marLeft w:val="0"/>
          <w:marRight w:val="0"/>
          <w:marTop w:val="0"/>
          <w:marBottom w:val="0"/>
          <w:divBdr>
            <w:top w:val="none" w:sz="0" w:space="0" w:color="auto"/>
            <w:left w:val="none" w:sz="0" w:space="0" w:color="auto"/>
            <w:bottom w:val="none" w:sz="0" w:space="0" w:color="auto"/>
            <w:right w:val="none" w:sz="0" w:space="0" w:color="auto"/>
          </w:divBdr>
        </w:div>
        <w:div w:id="291596307">
          <w:marLeft w:val="0"/>
          <w:marRight w:val="0"/>
          <w:marTop w:val="0"/>
          <w:marBottom w:val="0"/>
          <w:divBdr>
            <w:top w:val="none" w:sz="0" w:space="0" w:color="auto"/>
            <w:left w:val="none" w:sz="0" w:space="0" w:color="auto"/>
            <w:bottom w:val="none" w:sz="0" w:space="0" w:color="auto"/>
            <w:right w:val="none" w:sz="0" w:space="0" w:color="auto"/>
          </w:divBdr>
        </w:div>
        <w:div w:id="1484004095">
          <w:marLeft w:val="0"/>
          <w:marRight w:val="0"/>
          <w:marTop w:val="0"/>
          <w:marBottom w:val="0"/>
          <w:divBdr>
            <w:top w:val="none" w:sz="0" w:space="0" w:color="auto"/>
            <w:left w:val="none" w:sz="0" w:space="0" w:color="auto"/>
            <w:bottom w:val="none" w:sz="0" w:space="0" w:color="auto"/>
            <w:right w:val="none" w:sz="0" w:space="0" w:color="auto"/>
          </w:divBdr>
          <w:divsChild>
            <w:div w:id="145748771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60717814">
      <w:bodyDiv w:val="1"/>
      <w:marLeft w:val="0"/>
      <w:marRight w:val="0"/>
      <w:marTop w:val="0"/>
      <w:marBottom w:val="0"/>
      <w:divBdr>
        <w:top w:val="none" w:sz="0" w:space="0" w:color="auto"/>
        <w:left w:val="none" w:sz="0" w:space="0" w:color="auto"/>
        <w:bottom w:val="none" w:sz="0" w:space="0" w:color="auto"/>
        <w:right w:val="none" w:sz="0" w:space="0" w:color="auto"/>
      </w:divBdr>
    </w:div>
    <w:div w:id="174301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etentionaction.org.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irr.org.uk/news/deaths-in-immigration-detention-1989-201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526AD5-DC45-4D5F-A1C6-5BDA2313B3F7}"/>
</file>

<file path=customXml/itemProps2.xml><?xml version="1.0" encoding="utf-8"?>
<ds:datastoreItem xmlns:ds="http://schemas.openxmlformats.org/officeDocument/2006/customXml" ds:itemID="{E1E12288-910F-47F9-AD8C-C5EA19926712}"/>
</file>

<file path=customXml/itemProps3.xml><?xml version="1.0" encoding="utf-8"?>
<ds:datastoreItem xmlns:ds="http://schemas.openxmlformats.org/officeDocument/2006/customXml" ds:itemID="{7D564234-662F-4AFC-93EA-E66453D821F7}"/>
</file>

<file path=customXml/itemProps4.xml><?xml version="1.0" encoding="utf-8"?>
<ds:datastoreItem xmlns:ds="http://schemas.openxmlformats.org/officeDocument/2006/customXml" ds:itemID="{6B272D6C-CA93-4353-AD4F-BADD110E92EB}"/>
</file>

<file path=docProps/app.xml><?xml version="1.0" encoding="utf-8"?>
<Properties xmlns="http://schemas.openxmlformats.org/officeDocument/2006/extended-properties" xmlns:vt="http://schemas.openxmlformats.org/officeDocument/2006/docPropsVTypes">
  <Template>Normal</Template>
  <TotalTime>0</TotalTime>
  <Pages>8</Pages>
  <Words>2491</Words>
  <Characters>14204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eiriohtani</dc:creator>
  <cp:lastModifiedBy>Wilfred</cp:lastModifiedBy>
  <cp:revision>2</cp:revision>
  <cp:lastPrinted>2014-07-18T10:30:00Z</cp:lastPrinted>
  <dcterms:created xsi:type="dcterms:W3CDTF">2014-07-21T12:27:00Z</dcterms:created>
  <dcterms:modified xsi:type="dcterms:W3CDTF">2014-07-21T12:27:00Z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