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EC82E" w14:textId="77777777" w:rsidR="007624C8" w:rsidRPr="00641EB0" w:rsidRDefault="00381D9D">
      <w:pPr>
        <w:rPr>
          <w:rFonts w:ascii="MetaPro-Norm" w:hAnsi="MetaPro-Norm"/>
        </w:rPr>
      </w:pPr>
    </w:p>
    <w:p w14:paraId="6EA2668C" w14:textId="77777777" w:rsidR="00670FBF" w:rsidRPr="00641EB0" w:rsidRDefault="00670FBF" w:rsidP="00670FBF">
      <w:pPr>
        <w:contextualSpacing/>
        <w:jc w:val="center"/>
        <w:rPr>
          <w:rFonts w:ascii="MetaPro-Norm" w:hAnsi="MetaPro-Norm"/>
          <w:color w:val="000000" w:themeColor="text1"/>
        </w:rPr>
      </w:pPr>
      <w:r w:rsidRPr="00641EB0">
        <w:rPr>
          <w:rFonts w:ascii="MetaPro-Norm" w:hAnsi="MetaPro-Norm"/>
          <w:noProof/>
          <w:color w:val="000000" w:themeColor="text1"/>
        </w:rPr>
        <w:drawing>
          <wp:inline distT="0" distB="0" distL="0" distR="0" wp14:anchorId="696AE087" wp14:editId="443498D9">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674500E4" w14:textId="77777777" w:rsidR="00670FBF" w:rsidRPr="00641EB0" w:rsidRDefault="00670FBF" w:rsidP="00670FBF">
      <w:pPr>
        <w:contextualSpacing/>
        <w:jc w:val="center"/>
        <w:rPr>
          <w:rFonts w:ascii="MetaPro-Norm" w:eastAsia="Calibri" w:hAnsi="MetaPro-Norm"/>
          <w:color w:val="000000" w:themeColor="text1"/>
        </w:rPr>
      </w:pPr>
    </w:p>
    <w:p w14:paraId="5D402ABB" w14:textId="1E22E019" w:rsidR="00670FBF" w:rsidRPr="00C65F2C" w:rsidRDefault="00670FBF" w:rsidP="00670FBF">
      <w:pPr>
        <w:pStyle w:val="NoSpacing"/>
        <w:contextualSpacing/>
        <w:jc w:val="center"/>
        <w:rPr>
          <w:rFonts w:ascii="MetaPro-Norm" w:hAnsi="MetaPro-Norm"/>
          <w:color w:val="000000" w:themeColor="text1"/>
          <w:lang w:val="en-US"/>
        </w:rPr>
      </w:pPr>
      <w:r w:rsidRPr="00641EB0">
        <w:rPr>
          <w:rFonts w:ascii="MetaPro-Norm" w:hAnsi="MetaPro-Norm"/>
          <w:color w:val="000000" w:themeColor="text1"/>
          <w:lang w:val="en-US"/>
        </w:rPr>
        <w:t xml:space="preserve">Human Rights Watch Submission to the </w:t>
      </w:r>
      <w:bookmarkStart w:id="0" w:name="_Hlk534376786"/>
      <w:r w:rsidRPr="00641EB0">
        <w:rPr>
          <w:rFonts w:ascii="MetaPro-Norm" w:hAnsi="MetaPro-Norm"/>
          <w:color w:val="000000" w:themeColor="text1"/>
          <w:lang w:val="en-US"/>
        </w:rPr>
        <w:t xml:space="preserve">Committee on the Rights of the Child </w:t>
      </w:r>
      <w:bookmarkEnd w:id="0"/>
      <w:r w:rsidRPr="00641EB0">
        <w:rPr>
          <w:rFonts w:ascii="MetaPro-Norm" w:hAnsi="MetaPro-Norm"/>
          <w:color w:val="000000" w:themeColor="text1"/>
          <w:lang w:val="en-US"/>
        </w:rPr>
        <w:br/>
        <w:t xml:space="preserve">Review of the Sultanate of Oman’s </w:t>
      </w:r>
      <w:r w:rsidRPr="00641EB0">
        <w:rPr>
          <w:rFonts w:ascii="MetaPro-Norm" w:hAnsi="MetaPro-Norm"/>
          <w:lang w:val="en-US"/>
        </w:rPr>
        <w:t xml:space="preserve">periodic report for </w:t>
      </w:r>
      <w:r w:rsidRPr="00C65F2C">
        <w:rPr>
          <w:rFonts w:ascii="MetaPro-Norm" w:hAnsi="MetaPro-Norm"/>
          <w:lang w:val="en-US"/>
        </w:rPr>
        <w:t xml:space="preserve">the </w:t>
      </w:r>
      <w:r w:rsidR="00BA1A6A" w:rsidRPr="00C65F2C">
        <w:rPr>
          <w:rFonts w:ascii="MetaPro-Norm" w:hAnsi="MetaPro-Norm"/>
          <w:lang w:val="en-US"/>
        </w:rPr>
        <w:t>8</w:t>
      </w:r>
      <w:r w:rsidR="00BA1A6A">
        <w:rPr>
          <w:rFonts w:ascii="MetaPro-Norm" w:hAnsi="MetaPro-Norm"/>
          <w:lang w:val="en-US"/>
        </w:rPr>
        <w:t>8</w:t>
      </w:r>
      <w:r w:rsidR="00BA1A6A" w:rsidRPr="00C65F2C">
        <w:rPr>
          <w:rFonts w:ascii="MetaPro-Norm" w:hAnsi="MetaPro-Norm"/>
          <w:vertAlign w:val="superscript"/>
          <w:lang w:val="en-US"/>
        </w:rPr>
        <w:t>th</w:t>
      </w:r>
      <w:r w:rsidR="00BA1A6A" w:rsidRPr="00C65F2C">
        <w:rPr>
          <w:rFonts w:ascii="MetaPro-Norm" w:hAnsi="MetaPro-Norm"/>
          <w:lang w:val="en-US"/>
        </w:rPr>
        <w:t xml:space="preserve"> </w:t>
      </w:r>
      <w:r w:rsidRPr="00C65F2C">
        <w:rPr>
          <w:rFonts w:ascii="MetaPro-Norm" w:hAnsi="MetaPro-Norm"/>
          <w:lang w:val="en-US"/>
        </w:rPr>
        <w:t xml:space="preserve">Pre-Session </w:t>
      </w:r>
    </w:p>
    <w:p w14:paraId="01B42419" w14:textId="77777777" w:rsidR="00670FBF" w:rsidRPr="00C65F2C" w:rsidRDefault="00670FBF" w:rsidP="00670FBF">
      <w:pPr>
        <w:pStyle w:val="NoSpacing"/>
        <w:contextualSpacing/>
        <w:jc w:val="center"/>
        <w:rPr>
          <w:rFonts w:ascii="MetaPro-Norm" w:hAnsi="MetaPro-Norm"/>
          <w:color w:val="000000" w:themeColor="text1"/>
          <w:lang w:val="en-US"/>
        </w:rPr>
      </w:pPr>
      <w:r w:rsidRPr="00C65F2C">
        <w:rPr>
          <w:rFonts w:ascii="MetaPro-Norm" w:hAnsi="MetaPro-Norm"/>
          <w:color w:val="000000" w:themeColor="text1"/>
          <w:lang w:val="en-US"/>
        </w:rPr>
        <w:t>November 2020</w:t>
      </w:r>
      <w:r w:rsidRPr="00C65F2C">
        <w:rPr>
          <w:rFonts w:ascii="MetaPro-Norm" w:hAnsi="MetaPro-Norm"/>
          <w:color w:val="000000" w:themeColor="text1"/>
          <w:lang w:val="en-US"/>
        </w:rPr>
        <w:br/>
      </w:r>
    </w:p>
    <w:p w14:paraId="76D99697" w14:textId="7CF5AC41" w:rsidR="00670FBF" w:rsidRPr="00641EB0" w:rsidRDefault="00670FBF" w:rsidP="00670FBF">
      <w:pPr>
        <w:rPr>
          <w:rFonts w:ascii="MetaPro-Norm" w:hAnsi="MetaPro-Norm"/>
        </w:rPr>
      </w:pPr>
      <w:r w:rsidRPr="00C65F2C">
        <w:rPr>
          <w:rFonts w:ascii="MetaPro-Norm" w:hAnsi="MetaPro-Norm"/>
        </w:rPr>
        <w:t xml:space="preserve">We write in advance of the </w:t>
      </w:r>
      <w:r w:rsidR="00BA1A6A" w:rsidRPr="00C65F2C">
        <w:rPr>
          <w:rFonts w:ascii="MetaPro-Norm" w:hAnsi="MetaPro-Norm"/>
        </w:rPr>
        <w:t>8</w:t>
      </w:r>
      <w:r w:rsidR="00BA1A6A">
        <w:rPr>
          <w:rFonts w:ascii="MetaPro-Norm" w:hAnsi="MetaPro-Norm"/>
        </w:rPr>
        <w:t>8</w:t>
      </w:r>
      <w:r w:rsidR="00BA1A6A" w:rsidRPr="00C65F2C">
        <w:rPr>
          <w:rFonts w:ascii="MetaPro-Norm" w:hAnsi="MetaPro-Norm"/>
          <w:vertAlign w:val="superscript"/>
        </w:rPr>
        <w:t>th</w:t>
      </w:r>
      <w:r w:rsidR="00BA1A6A" w:rsidRPr="00C65F2C">
        <w:rPr>
          <w:rFonts w:ascii="MetaPro-Norm" w:hAnsi="MetaPro-Norm"/>
        </w:rPr>
        <w:t xml:space="preserve"> </w:t>
      </w:r>
      <w:r w:rsidRPr="00C65F2C">
        <w:rPr>
          <w:rFonts w:ascii="MetaPro-Norm" w:hAnsi="MetaPro-Norm"/>
        </w:rPr>
        <w:t>pre-session of the Commit</w:t>
      </w:r>
      <w:r w:rsidRPr="00641EB0">
        <w:rPr>
          <w:rFonts w:ascii="MetaPro-Norm" w:hAnsi="MetaPro-Norm"/>
        </w:rPr>
        <w:t xml:space="preserve">tee on the Rights of the Child and its review of the Sultanate of Oman’s compliance with the Convention on the Rights of the Child. </w:t>
      </w:r>
    </w:p>
    <w:p w14:paraId="147311F3" w14:textId="77777777" w:rsidR="00A34E8D" w:rsidRPr="00641EB0" w:rsidRDefault="00A34E8D" w:rsidP="00670FBF">
      <w:pPr>
        <w:rPr>
          <w:rFonts w:ascii="MetaPro-Norm" w:hAnsi="MetaPro-Norm"/>
        </w:rPr>
      </w:pPr>
    </w:p>
    <w:p w14:paraId="1D8461D5" w14:textId="1C2F266B" w:rsidR="00084BA0" w:rsidRPr="007870E2" w:rsidRDefault="008D3CAD" w:rsidP="007870E2">
      <w:pPr>
        <w:pStyle w:val="ListParagraph"/>
        <w:numPr>
          <w:ilvl w:val="0"/>
          <w:numId w:val="20"/>
        </w:numPr>
        <w:rPr>
          <w:rFonts w:ascii="MetaPro-Norm" w:hAnsi="MetaPro-Norm"/>
          <w:b/>
          <w:bCs/>
        </w:rPr>
      </w:pPr>
      <w:r>
        <w:rPr>
          <w:rFonts w:ascii="MetaPro-Norm" w:hAnsi="MetaPro-Norm"/>
          <w:b/>
          <w:bCs/>
        </w:rPr>
        <w:t xml:space="preserve">Nationality </w:t>
      </w:r>
      <w:r w:rsidR="00084BA0" w:rsidRPr="007870E2">
        <w:rPr>
          <w:rFonts w:ascii="MetaPro-Norm" w:hAnsi="MetaPro-Norm"/>
          <w:b/>
          <w:bCs/>
        </w:rPr>
        <w:t xml:space="preserve">(arts. 7 and 8) </w:t>
      </w:r>
    </w:p>
    <w:p w14:paraId="659A21BB" w14:textId="19550F9D" w:rsidR="009617B0" w:rsidRDefault="008D3CAD" w:rsidP="009617B0">
      <w:pPr>
        <w:rPr>
          <w:rFonts w:ascii="MetaPro-Norm" w:eastAsia="Times New Roman" w:hAnsi="MetaPro-Norm" w:cs="Times New Roman"/>
          <w:color w:val="000000"/>
        </w:rPr>
      </w:pPr>
      <w:r>
        <w:rPr>
          <w:rFonts w:ascii="MetaPro-Norm" w:hAnsi="MetaPro-Norm"/>
        </w:rPr>
        <w:br/>
      </w:r>
      <w:r w:rsidR="006351D6" w:rsidRPr="006351D6">
        <w:rPr>
          <w:rFonts w:ascii="MetaPro-Norm" w:eastAsia="Times New Roman" w:hAnsi="MetaPro-Norm" w:cs="Times New Roman"/>
          <w:color w:val="000000"/>
        </w:rPr>
        <w:t xml:space="preserve">Oman does not allow children of Omani mothers to be granted nationality to their children on an equal basis with children of Omani fathers. </w:t>
      </w:r>
      <w:r w:rsidR="26467525" w:rsidRPr="26467525">
        <w:rPr>
          <w:rFonts w:ascii="MetaPro-Norm" w:eastAsia="Times New Roman" w:hAnsi="MetaPro-Norm" w:cs="Times New Roman"/>
          <w:color w:val="000000" w:themeColor="text1"/>
        </w:rPr>
        <w:t xml:space="preserve">Omani men can transmit Omani nationality to their children automatically, regardless of whether they are married to a non-Omani woman, while Omani women can only transmit nationality to their children in very limited circumstances. </w:t>
      </w:r>
      <w:r w:rsidR="006351D6" w:rsidRPr="006351D6">
        <w:rPr>
          <w:rFonts w:ascii="MetaPro-Norm" w:eastAsia="Times New Roman" w:hAnsi="MetaPro-Norm" w:cs="Times New Roman"/>
          <w:color w:val="000000"/>
        </w:rPr>
        <w:t>Article 18 of the Omani Nationality Law allows an Omani woman to transmit nationality to her children from a marriage to a foreign man only upon becoming widowed,</w:t>
      </w:r>
      <w:r w:rsidR="00F04042">
        <w:rPr>
          <w:rFonts w:ascii="MetaPro-Norm" w:eastAsia="Times New Roman" w:hAnsi="MetaPro-Norm" w:cs="Times New Roman"/>
          <w:color w:val="000000"/>
        </w:rPr>
        <w:t xml:space="preserve"> </w:t>
      </w:r>
      <w:r w:rsidR="006351D6" w:rsidRPr="006351D6">
        <w:rPr>
          <w:rFonts w:ascii="MetaPro-Norm" w:eastAsia="Times New Roman" w:hAnsi="MetaPro-Norm" w:cs="Times New Roman"/>
          <w:color w:val="000000"/>
        </w:rPr>
        <w:t>divorced, or when her husband has been absent or abandoned them for at least 10 consecutive years.</w:t>
      </w:r>
      <w:r w:rsidR="000B2DD0">
        <w:rPr>
          <w:rStyle w:val="FootnoteReference"/>
          <w:rFonts w:ascii="MetaPro-Norm" w:eastAsia="Times New Roman" w:hAnsi="MetaPro-Norm" w:cs="Times New Roman"/>
          <w:color w:val="000000"/>
        </w:rPr>
        <w:footnoteReference w:id="1"/>
      </w:r>
      <w:r w:rsidR="009617B0" w:rsidRPr="009617B0">
        <w:rPr>
          <w:rFonts w:ascii="MetaPro-Norm" w:eastAsia="Times New Roman" w:hAnsi="MetaPro-Norm" w:cs="Times New Roman"/>
          <w:color w:val="000000"/>
        </w:rPr>
        <w:t xml:space="preserve"> </w:t>
      </w:r>
      <w:r w:rsidR="009617B0" w:rsidRPr="009617B0">
        <w:rPr>
          <w:rFonts w:ascii="MetaPro-Norm" w:hAnsi="MetaPro-Norm" w:cs="Times New Roman"/>
          <w:color w:val="000000" w:themeColor="text1"/>
        </w:rPr>
        <w:t xml:space="preserve">Article 18 of Oman’s Nationality Law </w:t>
      </w:r>
      <w:r w:rsidR="009617B0" w:rsidRPr="009617B0">
        <w:rPr>
          <w:rFonts w:ascii="MetaPro-Norm" w:eastAsia="Times New Roman" w:hAnsi="MetaPro-Norm" w:cs="Times New Roman"/>
          <w:color w:val="000000" w:themeColor="text1"/>
        </w:rPr>
        <w:t>also provides that the child should also have resided in Oman for at least 10 continuous years, possess sound conduct and character</w:t>
      </w:r>
      <w:r w:rsidR="000B2DD0">
        <w:rPr>
          <w:rFonts w:ascii="MetaPro-Norm" w:eastAsia="Times New Roman" w:hAnsi="MetaPro-Norm" w:cs="Times New Roman"/>
          <w:color w:val="000000" w:themeColor="text1"/>
        </w:rPr>
        <w:t xml:space="preserve">, </w:t>
      </w:r>
      <w:r w:rsidR="009617B0" w:rsidRPr="009617B0">
        <w:rPr>
          <w:rFonts w:ascii="MetaPro-Norm" w:eastAsia="Times New Roman" w:hAnsi="MetaPro-Norm" w:cs="Times New Roman"/>
          <w:color w:val="000000" w:themeColor="text1"/>
        </w:rPr>
        <w:t>shall not have been convicted of any crime or offence in breach of trust, unless rehabilitate</w:t>
      </w:r>
      <w:r w:rsidR="000B2DD0">
        <w:rPr>
          <w:rFonts w:ascii="MetaPro-Norm" w:eastAsia="Times New Roman" w:hAnsi="MetaPro-Norm" w:cs="Times New Roman"/>
          <w:color w:val="000000" w:themeColor="text1"/>
        </w:rPr>
        <w:t>d,</w:t>
      </w:r>
      <w:r w:rsidR="009617B0" w:rsidRPr="009617B0">
        <w:rPr>
          <w:rFonts w:ascii="MetaPro-Norm" w:eastAsia="Times New Roman" w:hAnsi="MetaPro-Norm" w:cs="Times New Roman"/>
          <w:color w:val="000000" w:themeColor="text1"/>
        </w:rPr>
        <w:t xml:space="preserve"> and the </w:t>
      </w:r>
      <w:r w:rsidR="26467525" w:rsidRPr="26467525">
        <w:rPr>
          <w:rFonts w:ascii="MetaPro-Norm" w:eastAsia="Times New Roman" w:hAnsi="MetaPro-Norm" w:cs="Times New Roman"/>
          <w:color w:val="000000" w:themeColor="text1"/>
        </w:rPr>
        <w:t xml:space="preserve">child’s </w:t>
      </w:r>
      <w:r w:rsidR="009617B0" w:rsidRPr="009617B0">
        <w:rPr>
          <w:rFonts w:ascii="MetaPro-Norm" w:eastAsia="Times New Roman" w:hAnsi="MetaPro-Norm" w:cs="Times New Roman"/>
          <w:color w:val="000000" w:themeColor="text1"/>
        </w:rPr>
        <w:t>guardian, if any, shall express in writing his non-objection of the child acquiring Omani citizenship.</w:t>
      </w:r>
      <w:r w:rsidR="009617B0">
        <w:rPr>
          <w:rFonts w:ascii="MetaPro-Norm" w:eastAsia="Times New Roman" w:hAnsi="MetaPro-Norm" w:cs="Times New Roman"/>
          <w:color w:val="000000"/>
        </w:rPr>
        <w:t xml:space="preserve"> </w:t>
      </w:r>
      <w:r w:rsidR="006351D6" w:rsidRPr="006351D6">
        <w:rPr>
          <w:rFonts w:ascii="MetaPro-Norm" w:eastAsia="Times New Roman" w:hAnsi="MetaPro-Norm" w:cs="Times New Roman"/>
          <w:color w:val="000000"/>
        </w:rPr>
        <w:t>Moreover, their marriage should have obtained approval from the ministry before it took place, and she should have custody of the child</w:t>
      </w:r>
      <w:r w:rsidR="006351D6">
        <w:rPr>
          <w:rFonts w:ascii="MetaPro-Norm" w:eastAsia="Times New Roman" w:hAnsi="MetaPro-Norm" w:cs="Times New Roman"/>
          <w:color w:val="000000"/>
        </w:rPr>
        <w:t>.</w:t>
      </w:r>
      <w:r w:rsidR="006351D6">
        <w:rPr>
          <w:rStyle w:val="FootnoteReference"/>
          <w:rFonts w:ascii="MetaPro-Norm" w:eastAsia="Times New Roman" w:hAnsi="MetaPro-Norm" w:cs="Times New Roman"/>
          <w:color w:val="000000"/>
        </w:rPr>
        <w:footnoteReference w:id="2"/>
      </w:r>
      <w:r w:rsidR="006351D6">
        <w:rPr>
          <w:rFonts w:ascii="MetaPro-Norm" w:eastAsia="Times New Roman" w:hAnsi="MetaPro-Norm" w:cs="Times New Roman"/>
          <w:color w:val="000000"/>
        </w:rPr>
        <w:t xml:space="preserve"> </w:t>
      </w:r>
    </w:p>
    <w:p w14:paraId="650CF7E5" w14:textId="77777777" w:rsidR="0011005E" w:rsidRDefault="0011005E" w:rsidP="006351D6">
      <w:pPr>
        <w:rPr>
          <w:rFonts w:ascii="MetaPro-Norm" w:eastAsia="Times New Roman" w:hAnsi="MetaPro-Norm" w:cs="Times New Roman"/>
          <w:color w:val="000000"/>
        </w:rPr>
      </w:pPr>
    </w:p>
    <w:p w14:paraId="3D8EFAC9" w14:textId="141CAF8A" w:rsidR="00FB24BE" w:rsidRDefault="0011005E" w:rsidP="00FB24BE">
      <w:pPr>
        <w:rPr>
          <w:rFonts w:ascii="MetaPro-Norm" w:hAnsi="MetaPro-Norm"/>
          <w:color w:val="000000" w:themeColor="text1"/>
        </w:rPr>
      </w:pPr>
      <w:r w:rsidRPr="005A68C1">
        <w:rPr>
          <w:rFonts w:ascii="MetaPro-Norm" w:hAnsi="MetaPro-Norm"/>
          <w:color w:val="000000" w:themeColor="text1"/>
        </w:rPr>
        <w:t xml:space="preserve">The </w:t>
      </w:r>
      <w:r>
        <w:rPr>
          <w:rFonts w:ascii="MetaPro-Norm" w:hAnsi="MetaPro-Norm"/>
          <w:color w:val="000000" w:themeColor="text1"/>
        </w:rPr>
        <w:t>nationality l</w:t>
      </w:r>
      <w:r w:rsidRPr="005A68C1">
        <w:rPr>
          <w:rFonts w:ascii="MetaPro-Norm" w:hAnsi="MetaPro-Norm"/>
          <w:color w:val="000000" w:themeColor="text1"/>
        </w:rPr>
        <w:t>aw leaves children</w:t>
      </w:r>
      <w:r>
        <w:rPr>
          <w:rFonts w:ascii="MetaPro-Norm" w:hAnsi="MetaPro-Norm"/>
          <w:color w:val="000000" w:themeColor="text1"/>
        </w:rPr>
        <w:t xml:space="preserve"> of Omani mothers and foreign fathers</w:t>
      </w:r>
      <w:r w:rsidRPr="005A68C1">
        <w:rPr>
          <w:rFonts w:ascii="MetaPro-Norm" w:hAnsi="MetaPro-Norm"/>
          <w:color w:val="000000" w:themeColor="text1"/>
        </w:rPr>
        <w:t xml:space="preserve"> at risk of statelessness</w:t>
      </w:r>
      <w:r w:rsidR="00C02C75">
        <w:rPr>
          <w:rFonts w:ascii="MetaPro-Norm" w:hAnsi="MetaPro-Norm"/>
          <w:color w:val="000000" w:themeColor="text1"/>
        </w:rPr>
        <w:t xml:space="preserve"> if they do not fulfill all the aforementioned requirements</w:t>
      </w:r>
      <w:r w:rsidR="004259F4">
        <w:rPr>
          <w:rFonts w:ascii="MetaPro-Norm" w:hAnsi="MetaPro-Norm"/>
          <w:color w:val="000000" w:themeColor="text1"/>
        </w:rPr>
        <w:t>,</w:t>
      </w:r>
      <w:r w:rsidR="00880465">
        <w:rPr>
          <w:rFonts w:ascii="MetaPro-Norm" w:hAnsi="MetaPro-Norm"/>
          <w:color w:val="000000" w:themeColor="text1"/>
        </w:rPr>
        <w:t xml:space="preserve"> impacting the child’s </w:t>
      </w:r>
      <w:r w:rsidR="004259F4">
        <w:rPr>
          <w:rFonts w:ascii="MetaPro-Norm" w:hAnsi="MetaPro-Norm"/>
          <w:color w:val="000000" w:themeColor="text1"/>
        </w:rPr>
        <w:t xml:space="preserve">ability to access education, healthcare, employment, and other </w:t>
      </w:r>
      <w:r w:rsidR="00FB24BE">
        <w:rPr>
          <w:rFonts w:ascii="MetaPro-Norm" w:hAnsi="MetaPro-Norm"/>
          <w:color w:val="000000" w:themeColor="text1"/>
        </w:rPr>
        <w:t>basic state</w:t>
      </w:r>
      <w:r w:rsidR="004259F4">
        <w:rPr>
          <w:rFonts w:ascii="MetaPro-Norm" w:hAnsi="MetaPro-Norm"/>
          <w:color w:val="000000" w:themeColor="text1"/>
        </w:rPr>
        <w:t xml:space="preserve"> services</w:t>
      </w:r>
      <w:r w:rsidRPr="005A68C1">
        <w:rPr>
          <w:rFonts w:ascii="MetaPro-Norm" w:hAnsi="MetaPro-Norm"/>
          <w:color w:val="000000" w:themeColor="text1"/>
        </w:rPr>
        <w:t>.</w:t>
      </w:r>
      <w:r w:rsidR="004259F4" w:rsidRPr="004259F4">
        <w:rPr>
          <w:rFonts w:ascii="Georgia" w:hAnsi="Georgia"/>
          <w:color w:val="444444"/>
          <w:sz w:val="30"/>
          <w:szCs w:val="30"/>
        </w:rPr>
        <w:t xml:space="preserve"> </w:t>
      </w:r>
      <w:r w:rsidR="00FB24BE">
        <w:rPr>
          <w:rFonts w:ascii="MetaPro-Norm" w:hAnsi="MetaPro-Norm"/>
          <w:color w:val="000000" w:themeColor="text1"/>
        </w:rPr>
        <w:t>A</w:t>
      </w:r>
      <w:r>
        <w:rPr>
          <w:rFonts w:ascii="MetaPro-Norm" w:hAnsi="MetaPro-Norm"/>
          <w:color w:val="000000" w:themeColor="text1"/>
        </w:rPr>
        <w:t xml:space="preserve"> report by the </w:t>
      </w:r>
      <w:r w:rsidR="00250740">
        <w:rPr>
          <w:rFonts w:ascii="MetaPro-Norm" w:hAnsi="MetaPro-Norm"/>
          <w:color w:val="000000" w:themeColor="text1"/>
        </w:rPr>
        <w:t xml:space="preserve">Omani Association for Human Rights </w:t>
      </w:r>
      <w:r w:rsidR="00880465">
        <w:rPr>
          <w:rFonts w:ascii="MetaPro-Norm" w:hAnsi="MetaPro-Norm"/>
          <w:color w:val="000000" w:themeColor="text1"/>
        </w:rPr>
        <w:t>found</w:t>
      </w:r>
      <w:r>
        <w:rPr>
          <w:rFonts w:ascii="MetaPro-Norm" w:hAnsi="MetaPro-Norm"/>
          <w:color w:val="000000" w:themeColor="text1"/>
        </w:rPr>
        <w:t xml:space="preserve"> that noncitizen children</w:t>
      </w:r>
      <w:r w:rsidR="004259F4">
        <w:rPr>
          <w:rFonts w:ascii="MetaPro-Norm" w:hAnsi="MetaPro-Norm"/>
          <w:color w:val="000000" w:themeColor="text1"/>
        </w:rPr>
        <w:t xml:space="preserve"> of Omani mothers, including those born and raised in the country, </w:t>
      </w:r>
      <w:r>
        <w:rPr>
          <w:rFonts w:ascii="MetaPro-Norm" w:hAnsi="MetaPro-Norm"/>
          <w:color w:val="000000" w:themeColor="text1"/>
        </w:rPr>
        <w:t xml:space="preserve">are denied access to government scholarships for higher </w:t>
      </w:r>
      <w:r>
        <w:rPr>
          <w:rFonts w:ascii="MetaPro-Norm" w:hAnsi="MetaPro-Norm"/>
          <w:color w:val="000000" w:themeColor="text1"/>
        </w:rPr>
        <w:lastRenderedPageBreak/>
        <w:t>education</w:t>
      </w:r>
      <w:r w:rsidR="00736AAC">
        <w:rPr>
          <w:rFonts w:ascii="MetaPro-Norm" w:hAnsi="MetaPro-Norm"/>
          <w:color w:val="000000" w:themeColor="text1"/>
        </w:rPr>
        <w:t xml:space="preserve">. Even more concerning, </w:t>
      </w:r>
      <w:r w:rsidR="007E3263">
        <w:rPr>
          <w:rFonts w:ascii="MetaPro-Norm" w:hAnsi="MetaPro-Norm"/>
          <w:color w:val="000000" w:themeColor="text1"/>
        </w:rPr>
        <w:t>u</w:t>
      </w:r>
      <w:r w:rsidR="00FB24BE">
        <w:rPr>
          <w:rFonts w:ascii="MetaPro-Norm" w:hAnsi="MetaPro-Norm"/>
          <w:color w:val="000000" w:themeColor="text1"/>
        </w:rPr>
        <w:t xml:space="preserve">pon reaching 18 years of age, </w:t>
      </w:r>
      <w:r w:rsidR="00736AAC">
        <w:rPr>
          <w:rFonts w:ascii="MetaPro-Norm" w:hAnsi="MetaPro-Norm"/>
          <w:color w:val="000000" w:themeColor="text1"/>
        </w:rPr>
        <w:t xml:space="preserve">they </w:t>
      </w:r>
      <w:r w:rsidR="00FB24BE">
        <w:rPr>
          <w:rFonts w:ascii="MetaPro-Norm" w:hAnsi="MetaPro-Norm"/>
          <w:color w:val="000000" w:themeColor="text1"/>
        </w:rPr>
        <w:t>are “forced to leave the country – unless an Omani company sponsors their visa</w:t>
      </w:r>
      <w:r w:rsidR="007D5BCB">
        <w:rPr>
          <w:rFonts w:ascii="MetaPro-Norm" w:hAnsi="MetaPro-Norm"/>
          <w:color w:val="000000" w:themeColor="text1"/>
        </w:rPr>
        <w:t>,</w:t>
      </w:r>
      <w:r w:rsidR="00FB24BE">
        <w:rPr>
          <w:rFonts w:ascii="MetaPro-Norm" w:hAnsi="MetaPro-Norm"/>
          <w:color w:val="000000" w:themeColor="text1"/>
        </w:rPr>
        <w:t>”</w:t>
      </w:r>
      <w:r w:rsidR="007D5BCB">
        <w:rPr>
          <w:rFonts w:ascii="MetaPro-Norm" w:hAnsi="MetaPro-Norm"/>
          <w:color w:val="000000" w:themeColor="text1"/>
        </w:rPr>
        <w:t xml:space="preserve"> </w:t>
      </w:r>
      <w:r w:rsidR="00A7564A">
        <w:rPr>
          <w:rFonts w:ascii="MetaPro-Norm" w:hAnsi="MetaPro-Norm"/>
          <w:color w:val="000000" w:themeColor="text1"/>
        </w:rPr>
        <w:t>often</w:t>
      </w:r>
      <w:r w:rsidR="007D5BCB">
        <w:rPr>
          <w:rFonts w:ascii="MetaPro-Norm" w:hAnsi="MetaPro-Norm"/>
          <w:color w:val="000000" w:themeColor="text1"/>
        </w:rPr>
        <w:t xml:space="preserve"> resulting in family separation.</w:t>
      </w:r>
      <w:r w:rsidR="00FB24BE">
        <w:rPr>
          <w:rStyle w:val="FootnoteReference"/>
          <w:rFonts w:ascii="MetaPro-Norm" w:hAnsi="MetaPro-Norm"/>
          <w:color w:val="000000" w:themeColor="text1"/>
        </w:rPr>
        <w:footnoteReference w:id="3"/>
      </w:r>
      <w:r w:rsidR="00FB24BE">
        <w:rPr>
          <w:rFonts w:ascii="MetaPro-Norm" w:hAnsi="MetaPro-Norm"/>
          <w:color w:val="000000" w:themeColor="text1"/>
        </w:rPr>
        <w:t xml:space="preserve"> </w:t>
      </w:r>
    </w:p>
    <w:p w14:paraId="1B4D1AE3" w14:textId="4F45C91F" w:rsidR="00F04042" w:rsidRDefault="00F04042" w:rsidP="00FB24BE">
      <w:pPr>
        <w:rPr>
          <w:rFonts w:ascii="MetaPro-Norm" w:hAnsi="MetaPro-Norm"/>
          <w:color w:val="000000" w:themeColor="text1"/>
        </w:rPr>
      </w:pPr>
    </w:p>
    <w:p w14:paraId="43417E08" w14:textId="428CD598" w:rsidR="00F04042" w:rsidRDefault="00F04042" w:rsidP="00FB24BE">
      <w:pPr>
        <w:rPr>
          <w:rFonts w:ascii="MetaPro-Norm" w:hAnsi="MetaPro-Norm"/>
          <w:color w:val="000000" w:themeColor="text1"/>
        </w:rPr>
      </w:pPr>
      <w:r w:rsidRPr="00486507">
        <w:rPr>
          <w:rFonts w:ascii="MetaPro-Norm" w:hAnsi="MetaPro-Norm"/>
        </w:rPr>
        <w:t xml:space="preserve">Oman has yet to withdraw its reservations to </w:t>
      </w:r>
      <w:r>
        <w:rPr>
          <w:rFonts w:ascii="MetaPro-Norm" w:hAnsi="MetaPro-Norm"/>
        </w:rPr>
        <w:t>a</w:t>
      </w:r>
      <w:r w:rsidRPr="00486507">
        <w:rPr>
          <w:rFonts w:ascii="MetaPro-Norm" w:hAnsi="MetaPro-Norm"/>
        </w:rPr>
        <w:t xml:space="preserve">rticle 9(2) and </w:t>
      </w:r>
      <w:r>
        <w:rPr>
          <w:rFonts w:ascii="MetaPro-Norm" w:hAnsi="MetaPro-Norm"/>
        </w:rPr>
        <w:t>a</w:t>
      </w:r>
      <w:r w:rsidRPr="00486507">
        <w:rPr>
          <w:rFonts w:ascii="MetaPro-Norm" w:hAnsi="MetaPro-Norm"/>
        </w:rPr>
        <w:t>rticle 16 of Convention on the Elimination of All Forms of Discrimination Against Women</w:t>
      </w:r>
      <w:r>
        <w:rPr>
          <w:rFonts w:ascii="MetaPro-Norm" w:hAnsi="MetaPro-Norm"/>
        </w:rPr>
        <w:t xml:space="preserve"> (CEDAW)</w:t>
      </w:r>
      <w:r w:rsidRPr="00486507">
        <w:rPr>
          <w:rFonts w:ascii="MetaPro-Norm" w:hAnsi="MetaPro-Norm"/>
        </w:rPr>
        <w:t>, which ensure that women have equal rights with men with respect to the nationality of their children, and equality in marriage, respectively. Oman</w:t>
      </w:r>
      <w:r>
        <w:rPr>
          <w:rFonts w:ascii="MetaPro-Norm" w:hAnsi="MetaPro-Norm"/>
        </w:rPr>
        <w:t xml:space="preserve"> has also not ratified </w:t>
      </w:r>
      <w:r w:rsidRPr="00486507">
        <w:rPr>
          <w:rFonts w:ascii="MetaPro-Norm" w:hAnsi="MetaPro-Norm"/>
        </w:rPr>
        <w:t>to the 1954 Convention relating to the Status of Stateless Persons nor the 1961 Convention on the Reduction of Statelessness.</w:t>
      </w:r>
    </w:p>
    <w:p w14:paraId="03AB2F80" w14:textId="27EEC419" w:rsidR="006351D6" w:rsidRDefault="006351D6" w:rsidP="00084BA0">
      <w:pPr>
        <w:rPr>
          <w:rFonts w:ascii="MetaPro-Norm" w:hAnsi="MetaPro-Norm"/>
        </w:rPr>
      </w:pPr>
    </w:p>
    <w:p w14:paraId="039B9FC4" w14:textId="39EBB7B9" w:rsidR="00486507" w:rsidRPr="005E786C" w:rsidRDefault="00EE2D05" w:rsidP="005E786C">
      <w:pPr>
        <w:rPr>
          <w:rFonts w:ascii="MetaPro-Norm" w:hAnsi="MetaPro-Norm"/>
        </w:rPr>
      </w:pPr>
      <w:r w:rsidRPr="005A68C1">
        <w:rPr>
          <w:rFonts w:ascii="MetaPro-Norm" w:hAnsi="MetaPro-Norm"/>
          <w:i/>
        </w:rPr>
        <w:t xml:space="preserve">Human Rights Watch recommends that the Committee ask the government of </w:t>
      </w:r>
      <w:r>
        <w:rPr>
          <w:rFonts w:ascii="MetaPro-Norm" w:hAnsi="MetaPro-Norm"/>
          <w:i/>
        </w:rPr>
        <w:t>Oman</w:t>
      </w:r>
      <w:r w:rsidRPr="005A68C1">
        <w:rPr>
          <w:rFonts w:ascii="MetaPro-Norm" w:hAnsi="MetaPro-Norm"/>
          <w:i/>
        </w:rPr>
        <w:t>:</w:t>
      </w:r>
    </w:p>
    <w:p w14:paraId="044CD575" w14:textId="77777777" w:rsidR="00486507" w:rsidRDefault="00486507" w:rsidP="00486507">
      <w:pPr>
        <w:pStyle w:val="ListParagraph"/>
        <w:numPr>
          <w:ilvl w:val="0"/>
          <w:numId w:val="3"/>
        </w:numPr>
        <w:rPr>
          <w:rFonts w:ascii="MetaPro-Norm" w:hAnsi="MetaPro-Norm"/>
        </w:rPr>
      </w:pPr>
      <w:r w:rsidRPr="00486507">
        <w:rPr>
          <w:rFonts w:ascii="MetaPro-Norm" w:hAnsi="MetaPro-Norm"/>
        </w:rPr>
        <w:t>What steps is the Omani government taking to amend Omani Nationality Law No. 38/2014 to stipulate that an Omani citizen is any person born to an Omani father or an Omani mother?</w:t>
      </w:r>
    </w:p>
    <w:p w14:paraId="12A5A646" w14:textId="5C77AA4B" w:rsidR="00486507" w:rsidRDefault="26467525" w:rsidP="00486507">
      <w:pPr>
        <w:pStyle w:val="ListParagraph"/>
        <w:numPr>
          <w:ilvl w:val="0"/>
          <w:numId w:val="3"/>
        </w:numPr>
        <w:rPr>
          <w:rFonts w:ascii="MetaPro-Norm" w:hAnsi="MetaPro-Norm"/>
        </w:rPr>
      </w:pPr>
      <w:r w:rsidRPr="26467525">
        <w:rPr>
          <w:rFonts w:ascii="MetaPro-Norm" w:hAnsi="MetaPro-Norm"/>
        </w:rPr>
        <w:t>How many children of Omani women married to foreign men have been granted nationality since the 2014 Omani Nationality Law came into force?</w:t>
      </w:r>
    </w:p>
    <w:p w14:paraId="75CCF495" w14:textId="6B3DF54A" w:rsidR="00736AAC" w:rsidRDefault="00736AAC" w:rsidP="00486507">
      <w:pPr>
        <w:pStyle w:val="ListParagraph"/>
        <w:numPr>
          <w:ilvl w:val="0"/>
          <w:numId w:val="3"/>
        </w:numPr>
        <w:rPr>
          <w:rFonts w:ascii="MetaPro-Norm" w:hAnsi="MetaPro-Norm"/>
        </w:rPr>
      </w:pPr>
      <w:r>
        <w:rPr>
          <w:rFonts w:ascii="MetaPro-Norm" w:hAnsi="MetaPro-Norm"/>
        </w:rPr>
        <w:t>What steps is the Omani government taking to ensure that noncitizen children of Omani women do not face any discrimination compared to Omani citizen children of Omani fathers including in education, health, employment and other services?</w:t>
      </w:r>
    </w:p>
    <w:p w14:paraId="42F7F971" w14:textId="527ACF71" w:rsidR="00736AAC" w:rsidRPr="00486507" w:rsidRDefault="00736AAC" w:rsidP="00486507">
      <w:pPr>
        <w:pStyle w:val="ListParagraph"/>
        <w:numPr>
          <w:ilvl w:val="0"/>
          <w:numId w:val="3"/>
        </w:numPr>
        <w:rPr>
          <w:rFonts w:ascii="MetaPro-Norm" w:hAnsi="MetaPro-Norm"/>
        </w:rPr>
      </w:pPr>
      <w:r>
        <w:rPr>
          <w:rFonts w:ascii="MetaPro-Norm" w:hAnsi="MetaPro-Norm"/>
        </w:rPr>
        <w:t xml:space="preserve">What steps is the Omani government taking to allow women to make decisions relating to their children, equal to men, including in relation to their children’s schooling, healthcare, opening bank accounts, and issuing passports and IDs? </w:t>
      </w:r>
    </w:p>
    <w:p w14:paraId="1B212865" w14:textId="77777777" w:rsidR="00670FBF" w:rsidRPr="00641EB0" w:rsidRDefault="00670FBF" w:rsidP="00670FBF">
      <w:pPr>
        <w:rPr>
          <w:rFonts w:ascii="MetaPro-Norm" w:hAnsi="MetaPro-Norm"/>
        </w:rPr>
      </w:pPr>
    </w:p>
    <w:p w14:paraId="2E076204" w14:textId="58D9AE41" w:rsidR="008D3CAD" w:rsidRDefault="008D3CAD" w:rsidP="007870E2">
      <w:pPr>
        <w:pStyle w:val="ListParagraph"/>
        <w:numPr>
          <w:ilvl w:val="0"/>
          <w:numId w:val="19"/>
        </w:numPr>
        <w:rPr>
          <w:rFonts w:ascii="MetaPro-Norm" w:hAnsi="MetaPro-Norm"/>
          <w:b/>
          <w:bCs/>
        </w:rPr>
      </w:pPr>
      <w:r>
        <w:rPr>
          <w:rFonts w:ascii="MetaPro-Norm" w:hAnsi="MetaPro-Norm"/>
          <w:b/>
          <w:bCs/>
        </w:rPr>
        <w:t xml:space="preserve">Rights of Children During and After Divorce of Parents (arts. 3 and 9) </w:t>
      </w:r>
    </w:p>
    <w:p w14:paraId="7F21AB37" w14:textId="278833F4" w:rsidR="008D3CAD" w:rsidRDefault="008D3CAD" w:rsidP="008D3CAD">
      <w:pPr>
        <w:rPr>
          <w:rFonts w:ascii="MetaPro-Norm" w:hAnsi="MetaPro-Norm"/>
          <w:b/>
          <w:bCs/>
        </w:rPr>
      </w:pPr>
    </w:p>
    <w:p w14:paraId="7599B689" w14:textId="77777777" w:rsidR="008D3CAD" w:rsidRDefault="008D3CAD" w:rsidP="008D3CAD">
      <w:pPr>
        <w:rPr>
          <w:rFonts w:ascii="MetaPro-Norm" w:hAnsi="MetaPro-Norm"/>
          <w:color w:val="000000" w:themeColor="text1"/>
        </w:rPr>
      </w:pPr>
      <w:r w:rsidRPr="26467525">
        <w:rPr>
          <w:rFonts w:ascii="MetaPro-Norm" w:hAnsi="MetaPro-Norm"/>
          <w:color w:val="000000" w:themeColor="text1"/>
        </w:rPr>
        <w:t>In proceedings concern</w:t>
      </w:r>
      <w:r>
        <w:rPr>
          <w:rFonts w:ascii="MetaPro-Norm" w:hAnsi="MetaPro-Norm"/>
          <w:color w:val="000000" w:themeColor="text1"/>
        </w:rPr>
        <w:t>ing</w:t>
      </w:r>
      <w:r w:rsidRPr="26467525">
        <w:rPr>
          <w:rFonts w:ascii="MetaPro-Norm" w:hAnsi="MetaPro-Norm"/>
          <w:color w:val="000000" w:themeColor="text1"/>
        </w:rPr>
        <w:t xml:space="preserve"> the rights and welfare of children after divorce, Omani law does not require that the best interests of the child be the primary consideration. </w:t>
      </w:r>
    </w:p>
    <w:p w14:paraId="24FC9737" w14:textId="77777777" w:rsidR="008D3CAD" w:rsidRDefault="008D3CAD" w:rsidP="008D3CAD">
      <w:pPr>
        <w:rPr>
          <w:rFonts w:ascii="MetaPro-Norm" w:hAnsi="MetaPro-Norm"/>
          <w:color w:val="000000" w:themeColor="text1"/>
        </w:rPr>
      </w:pPr>
    </w:p>
    <w:p w14:paraId="0941CCC2" w14:textId="24BBF5C9" w:rsidR="008D3CAD" w:rsidRDefault="008D3CAD" w:rsidP="008D3CAD">
      <w:pPr>
        <w:rPr>
          <w:rFonts w:ascii="MetaPro-Norm" w:hAnsi="MetaPro-Norm"/>
          <w:color w:val="000000" w:themeColor="text1"/>
        </w:rPr>
      </w:pPr>
      <w:r>
        <w:rPr>
          <w:rFonts w:ascii="MetaPro-Norm" w:hAnsi="MetaPro-Norm"/>
          <w:color w:val="000000" w:themeColor="text1"/>
        </w:rPr>
        <w:t>Omani laws discriminate against women with respect to legal guardianship of children. For example, the Personal Status Law recognizes fathers as the legal guardians of their children, even in instances of divorce where a court has ordered that the children should live with the mother.</w:t>
      </w:r>
      <w:r>
        <w:rPr>
          <w:rStyle w:val="FootnoteReference"/>
          <w:rFonts w:ascii="MetaPro-Norm" w:hAnsi="MetaPro-Norm"/>
          <w:color w:val="000000" w:themeColor="text1"/>
        </w:rPr>
        <w:footnoteReference w:id="4"/>
      </w:r>
      <w:r>
        <w:rPr>
          <w:rFonts w:ascii="MetaPro-Norm" w:hAnsi="MetaPro-Norm"/>
          <w:color w:val="000000" w:themeColor="text1"/>
        </w:rPr>
        <w:t xml:space="preserve"> In cases where a child is living with the mother, the law provides that she cannot travel abroad with her child without the approval of the guardian</w:t>
      </w:r>
      <w:r w:rsidRPr="26467525">
        <w:rPr>
          <w:rFonts w:ascii="MetaPro-Norm" w:hAnsi="MetaPro-Norm"/>
          <w:color w:val="000000" w:themeColor="text1"/>
        </w:rPr>
        <w:t>, but the father does not require such permission from the mother when travelling with their child</w:t>
      </w:r>
      <w:r>
        <w:rPr>
          <w:rFonts w:ascii="MetaPro-Norm" w:hAnsi="MetaPro-Norm"/>
          <w:color w:val="000000" w:themeColor="text1"/>
        </w:rPr>
        <w:t>.</w:t>
      </w:r>
      <w:r>
        <w:rPr>
          <w:rStyle w:val="FootnoteReference"/>
          <w:rFonts w:ascii="MetaPro-Norm" w:hAnsi="MetaPro-Norm"/>
          <w:color w:val="000000" w:themeColor="text1"/>
        </w:rPr>
        <w:footnoteReference w:id="5"/>
      </w:r>
      <w:r>
        <w:rPr>
          <w:rFonts w:ascii="MetaPro-Norm" w:hAnsi="MetaPro-Norm"/>
          <w:color w:val="000000" w:themeColor="text1"/>
        </w:rPr>
        <w:t xml:space="preserve"> Children living with their mother after divorce </w:t>
      </w:r>
      <w:r>
        <w:rPr>
          <w:rFonts w:ascii="MetaPro-Norm" w:hAnsi="MetaPro-Norm"/>
          <w:color w:val="000000" w:themeColor="text1"/>
        </w:rPr>
        <w:lastRenderedPageBreak/>
        <w:t>can be removed from their home if their mother re-marries, but fathers continue to hold guardianship regardless of their marital  status, or if their children are living with them.</w:t>
      </w:r>
      <w:r>
        <w:rPr>
          <w:rStyle w:val="FootnoteReference"/>
          <w:rFonts w:ascii="MetaPro-Norm" w:hAnsi="MetaPro-Norm"/>
          <w:color w:val="000000" w:themeColor="text1"/>
        </w:rPr>
        <w:footnoteReference w:id="6"/>
      </w:r>
    </w:p>
    <w:p w14:paraId="2F3DEC29" w14:textId="1385E6A3" w:rsidR="008D3CAD" w:rsidRDefault="008D3CAD" w:rsidP="008D3CAD">
      <w:pPr>
        <w:rPr>
          <w:rFonts w:ascii="MetaPro-Norm" w:hAnsi="MetaPro-Norm"/>
          <w:b/>
          <w:bCs/>
        </w:rPr>
      </w:pPr>
    </w:p>
    <w:p w14:paraId="12EDAEEB" w14:textId="424DA085" w:rsidR="008D3CAD" w:rsidRPr="00615191" w:rsidRDefault="008D3CAD" w:rsidP="00AA013D">
      <w:pPr>
        <w:rPr>
          <w:rFonts w:ascii="MetaPro-Norm" w:hAnsi="MetaPro-Norm"/>
        </w:rPr>
      </w:pPr>
      <w:r w:rsidRPr="005A68C1">
        <w:rPr>
          <w:rFonts w:ascii="MetaPro-Norm" w:hAnsi="MetaPro-Norm"/>
          <w:i/>
        </w:rPr>
        <w:t xml:space="preserve">Human Rights Watch recommends that the Committee ask the government of </w:t>
      </w:r>
      <w:r>
        <w:rPr>
          <w:rFonts w:ascii="MetaPro-Norm" w:hAnsi="MetaPro-Norm"/>
          <w:i/>
        </w:rPr>
        <w:t>Oman</w:t>
      </w:r>
      <w:r w:rsidRPr="005A68C1">
        <w:rPr>
          <w:rFonts w:ascii="MetaPro-Norm" w:hAnsi="MetaPro-Norm"/>
          <w:i/>
        </w:rPr>
        <w:t>:</w:t>
      </w:r>
    </w:p>
    <w:p w14:paraId="0B5EDCC2" w14:textId="77777777" w:rsidR="008D3CAD" w:rsidRDefault="008D3CAD" w:rsidP="008D3CAD">
      <w:pPr>
        <w:pStyle w:val="ListParagraph"/>
        <w:numPr>
          <w:ilvl w:val="0"/>
          <w:numId w:val="3"/>
        </w:numPr>
      </w:pPr>
      <w:r w:rsidRPr="26467525">
        <w:rPr>
          <w:rFonts w:ascii="MetaPro-Norm" w:hAnsi="MetaPro-Norm"/>
        </w:rPr>
        <w:t>Is the best interests of the child the primary consideration that all Omani state authorities, including courts, will apply when making decisions about children, including parental guardianship and responsibility, and deciding where a child should live?</w:t>
      </w:r>
    </w:p>
    <w:p w14:paraId="04D50EE8" w14:textId="77777777" w:rsidR="008D3CAD" w:rsidRPr="00615191" w:rsidRDefault="008D3CAD" w:rsidP="00615191">
      <w:pPr>
        <w:rPr>
          <w:rFonts w:ascii="MetaPro-Norm" w:hAnsi="MetaPro-Norm"/>
          <w:b/>
          <w:bCs/>
        </w:rPr>
      </w:pPr>
    </w:p>
    <w:p w14:paraId="39BD38AB" w14:textId="583CC2BB" w:rsidR="00084BA0" w:rsidRPr="007870E2" w:rsidRDefault="00084BA0" w:rsidP="007870E2">
      <w:pPr>
        <w:pStyle w:val="ListParagraph"/>
        <w:numPr>
          <w:ilvl w:val="0"/>
          <w:numId w:val="19"/>
        </w:numPr>
        <w:rPr>
          <w:rFonts w:ascii="MetaPro-Norm" w:hAnsi="MetaPro-Norm"/>
          <w:b/>
          <w:bCs/>
        </w:rPr>
      </w:pPr>
      <w:r w:rsidRPr="007870E2">
        <w:rPr>
          <w:rFonts w:ascii="MetaPro-Norm" w:hAnsi="MetaPro-Norm"/>
          <w:b/>
          <w:bCs/>
        </w:rPr>
        <w:t xml:space="preserve">Violence Against Children (art. 19) </w:t>
      </w:r>
      <w:r w:rsidR="00F04042">
        <w:rPr>
          <w:rFonts w:ascii="MetaPro-Norm" w:hAnsi="MetaPro-Norm"/>
          <w:b/>
          <w:bCs/>
        </w:rPr>
        <w:br/>
      </w:r>
    </w:p>
    <w:p w14:paraId="0CBE8824" w14:textId="7D0028E2" w:rsidR="00F572AA" w:rsidRPr="00573EEE" w:rsidRDefault="00F572AA" w:rsidP="00573EEE">
      <w:pPr>
        <w:rPr>
          <w:rFonts w:ascii="MetaPro-Norm" w:hAnsi="MetaPro-Norm"/>
          <w:b/>
          <w:bCs/>
        </w:rPr>
      </w:pPr>
      <w:r>
        <w:rPr>
          <w:rFonts w:ascii="MetaPro-Norm" w:hAnsi="MetaPro-Norm"/>
          <w:b/>
          <w:bCs/>
        </w:rPr>
        <w:t>Female Genital Mutilation</w:t>
      </w:r>
      <w:r w:rsidR="006F67D2">
        <w:rPr>
          <w:rFonts w:ascii="MetaPro-Norm" w:hAnsi="MetaPro-Norm"/>
          <w:b/>
          <w:bCs/>
        </w:rPr>
        <w:t xml:space="preserve"> </w:t>
      </w:r>
    </w:p>
    <w:p w14:paraId="04797265" w14:textId="384CDFA7" w:rsidR="00F572AA" w:rsidRDefault="00F572AA" w:rsidP="00F572AA">
      <w:pPr>
        <w:rPr>
          <w:rFonts w:ascii="MetaPro-Norm" w:hAnsi="MetaPro-Norm"/>
        </w:rPr>
      </w:pPr>
      <w:r>
        <w:rPr>
          <w:rFonts w:ascii="MetaPro-Norm" w:hAnsi="MetaPro-Norm"/>
        </w:rPr>
        <w:t>Female genital mutilation (FGM)</w:t>
      </w:r>
      <w:r w:rsidRPr="00641EB0">
        <w:rPr>
          <w:rFonts w:ascii="MetaPro-Norm" w:hAnsi="MetaPro-Norm"/>
        </w:rPr>
        <w:t xml:space="preserve"> continues to take place in Oman</w:t>
      </w:r>
      <w:r>
        <w:rPr>
          <w:rFonts w:ascii="MetaPro-Norm" w:hAnsi="MetaPro-Norm"/>
        </w:rPr>
        <w:t>.</w:t>
      </w:r>
      <w:r w:rsidRPr="00641EB0">
        <w:rPr>
          <w:rFonts w:ascii="MetaPro-Norm" w:hAnsi="MetaPro-Norm"/>
        </w:rPr>
        <w:t xml:space="preserve"> A 2014 study conducted for the Stop FGM in Middle East campaign reported that 78 percent of women interviewed said they had been subject to FGM, with the vast majority </w:t>
      </w:r>
      <w:r>
        <w:rPr>
          <w:rFonts w:ascii="MetaPro-Norm" w:hAnsi="MetaPro-Norm"/>
        </w:rPr>
        <w:t xml:space="preserve">of mutilations </w:t>
      </w:r>
      <w:r w:rsidRPr="00641EB0">
        <w:rPr>
          <w:rFonts w:ascii="MetaPro-Norm" w:hAnsi="MetaPro-Norm"/>
        </w:rPr>
        <w:t>conducted at home</w:t>
      </w:r>
      <w:r>
        <w:rPr>
          <w:rFonts w:ascii="MetaPro-Norm" w:hAnsi="MetaPro-Norm"/>
        </w:rPr>
        <w:t xml:space="preserve"> on babies and young girls</w:t>
      </w:r>
      <w:r w:rsidRPr="00641EB0">
        <w:rPr>
          <w:rFonts w:ascii="MetaPro-Norm" w:hAnsi="MetaPro-Norm"/>
        </w:rPr>
        <w:t>.</w:t>
      </w:r>
      <w:r w:rsidRPr="00641EB0">
        <w:rPr>
          <w:rStyle w:val="FootnoteReference"/>
          <w:rFonts w:ascii="MetaPro-Norm" w:hAnsi="MetaPro-Norm"/>
        </w:rPr>
        <w:footnoteReference w:id="7"/>
      </w:r>
      <w:r w:rsidRPr="00641EB0">
        <w:rPr>
          <w:rFonts w:ascii="MetaPro-Norm" w:hAnsi="MetaPro-Norm"/>
        </w:rPr>
        <w:t xml:space="preserve"> A 2018 report found that 95.5 per cent of </w:t>
      </w:r>
      <w:r>
        <w:rPr>
          <w:rFonts w:ascii="MetaPro-Norm" w:hAnsi="MetaPro-Norm"/>
        </w:rPr>
        <w:t xml:space="preserve">the </w:t>
      </w:r>
      <w:r w:rsidRPr="00641EB0">
        <w:rPr>
          <w:rFonts w:ascii="MetaPro-Norm" w:hAnsi="MetaPro-Norm"/>
        </w:rPr>
        <w:t xml:space="preserve">200 women interviewed in </w:t>
      </w:r>
      <w:r>
        <w:rPr>
          <w:rFonts w:ascii="MetaPro-Norm" w:hAnsi="MetaPro-Norm"/>
        </w:rPr>
        <w:t xml:space="preserve">the </w:t>
      </w:r>
      <w:proofErr w:type="spellStart"/>
      <w:r w:rsidRPr="00641EB0">
        <w:rPr>
          <w:rFonts w:ascii="MetaPro-Norm" w:hAnsi="MetaPro-Norm"/>
        </w:rPr>
        <w:t>Dakhiliyah</w:t>
      </w:r>
      <w:proofErr w:type="spellEnd"/>
      <w:r w:rsidRPr="00641EB0">
        <w:rPr>
          <w:rFonts w:ascii="MetaPro-Norm" w:hAnsi="MetaPro-Norm"/>
        </w:rPr>
        <w:t xml:space="preserve"> </w:t>
      </w:r>
      <w:r>
        <w:rPr>
          <w:rFonts w:ascii="MetaPro-Norm" w:hAnsi="MetaPro-Norm"/>
        </w:rPr>
        <w:t>governate re</w:t>
      </w:r>
      <w:r w:rsidRPr="00641EB0">
        <w:rPr>
          <w:rFonts w:ascii="MetaPro-Norm" w:hAnsi="MetaPro-Norm"/>
        </w:rPr>
        <w:t>ported that they had been subject</w:t>
      </w:r>
      <w:r w:rsidR="00A503C7">
        <w:rPr>
          <w:rFonts w:ascii="MetaPro-Norm" w:hAnsi="MetaPro-Norm"/>
        </w:rPr>
        <w:t>ed</w:t>
      </w:r>
      <w:r w:rsidRPr="00641EB0">
        <w:rPr>
          <w:rFonts w:ascii="MetaPro-Norm" w:hAnsi="MetaPro-Norm"/>
        </w:rPr>
        <w:t xml:space="preserve"> to FGM.</w:t>
      </w:r>
      <w:r w:rsidRPr="00641EB0">
        <w:rPr>
          <w:rStyle w:val="FootnoteReference"/>
          <w:rFonts w:ascii="MetaPro-Norm" w:hAnsi="MetaPro-Norm"/>
        </w:rPr>
        <w:footnoteReference w:id="8"/>
      </w:r>
    </w:p>
    <w:p w14:paraId="422651B3" w14:textId="77777777" w:rsidR="00F572AA" w:rsidRDefault="00F572AA" w:rsidP="00F572AA">
      <w:pPr>
        <w:rPr>
          <w:rFonts w:ascii="MetaPro-Norm" w:hAnsi="MetaPro-Norm"/>
        </w:rPr>
      </w:pPr>
    </w:p>
    <w:p w14:paraId="0A34200F" w14:textId="1F4FA484" w:rsidR="00F572AA" w:rsidRPr="00F572AA" w:rsidRDefault="00A503C7" w:rsidP="00F572AA">
      <w:pPr>
        <w:rPr>
          <w:rFonts w:ascii="MetaPro-Norm" w:hAnsi="MetaPro-Norm"/>
        </w:rPr>
      </w:pPr>
      <w:r>
        <w:rPr>
          <w:rFonts w:ascii="MetaPro-Norm" w:hAnsi="MetaPro-Norm"/>
        </w:rPr>
        <w:t>A</w:t>
      </w:r>
      <w:r w:rsidR="00F572AA" w:rsidRPr="00641EB0">
        <w:rPr>
          <w:rFonts w:ascii="MetaPro-Norm" w:hAnsi="MetaPro-Norm"/>
        </w:rPr>
        <w:t xml:space="preserve">uthorities </w:t>
      </w:r>
      <w:r>
        <w:rPr>
          <w:rFonts w:ascii="MetaPro-Norm" w:hAnsi="MetaPro-Norm"/>
        </w:rPr>
        <w:t xml:space="preserve">accepted </w:t>
      </w:r>
      <w:r w:rsidR="00F572AA">
        <w:rPr>
          <w:rFonts w:ascii="MetaPro-Norm" w:hAnsi="MetaPro-Norm"/>
        </w:rPr>
        <w:t>recommendations during its Universal Periodic Review in 2015 to enact legislation to prohibit the practice and to increase awareness of its harmful consequences</w:t>
      </w:r>
      <w:r w:rsidR="00F572AA" w:rsidRPr="00641EB0">
        <w:rPr>
          <w:rFonts w:ascii="MetaPro-Norm" w:hAnsi="MetaPro-Norm"/>
        </w:rPr>
        <w:t>.</w:t>
      </w:r>
      <w:r w:rsidR="00F572AA">
        <w:rPr>
          <w:rStyle w:val="FootnoteReference"/>
          <w:rFonts w:ascii="MetaPro-Norm" w:hAnsi="MetaPro-Norm"/>
        </w:rPr>
        <w:footnoteReference w:id="9"/>
      </w:r>
      <w:r w:rsidR="00F572AA">
        <w:rPr>
          <w:rFonts w:ascii="MetaPro-Norm" w:hAnsi="MetaPro-Norm"/>
        </w:rPr>
        <w:t xml:space="preserve"> </w:t>
      </w:r>
      <w:r w:rsidR="00F572AA" w:rsidRPr="00641EB0">
        <w:rPr>
          <w:rFonts w:ascii="MetaPro-Norm" w:hAnsi="MetaPro-Norm"/>
        </w:rPr>
        <w:t>On August 18, 2019</w:t>
      </w:r>
      <w:r w:rsidR="00F572AA">
        <w:rPr>
          <w:rFonts w:ascii="MetaPro-Norm" w:hAnsi="MetaPro-Norm"/>
        </w:rPr>
        <w:t xml:space="preserve">, </w:t>
      </w:r>
      <w:r w:rsidR="00F572AA" w:rsidRPr="00641EB0">
        <w:rPr>
          <w:rFonts w:ascii="MetaPro-Norm" w:hAnsi="MetaPro-Norm"/>
        </w:rPr>
        <w:t xml:space="preserve">the Ministry of Social Development issued executive regulations to the 2014 Child Law to clarify that the prohibition on “traditional harmful practices” includes female genital </w:t>
      </w:r>
      <w:r w:rsidR="00F572AA">
        <w:rPr>
          <w:rFonts w:ascii="MetaPro-Norm" w:hAnsi="MetaPro-Norm"/>
        </w:rPr>
        <w:t>mutilation, and the practice has been banned in both public and private hospitals.</w:t>
      </w:r>
      <w:r w:rsidR="00F572AA">
        <w:rPr>
          <w:rStyle w:val="FootnoteReference"/>
          <w:rFonts w:ascii="MetaPro-Norm" w:hAnsi="MetaPro-Norm"/>
        </w:rPr>
        <w:footnoteReference w:id="10"/>
      </w:r>
      <w:r w:rsidR="00F572AA">
        <w:rPr>
          <w:rFonts w:ascii="MetaPro-Norm" w:hAnsi="MetaPro-Norm"/>
        </w:rPr>
        <w:t xml:space="preserve"> </w:t>
      </w:r>
      <w:r w:rsidR="00F572AA" w:rsidRPr="00641EB0">
        <w:rPr>
          <w:rFonts w:ascii="MetaPro-Norm" w:hAnsi="MetaPro-Norm"/>
        </w:rPr>
        <w:t>The law provides that physicians, nurses</w:t>
      </w:r>
      <w:r w:rsidR="00F572AA">
        <w:rPr>
          <w:rFonts w:ascii="MetaPro-Norm" w:hAnsi="MetaPro-Norm"/>
        </w:rPr>
        <w:t>,</w:t>
      </w:r>
      <w:r w:rsidR="00F572AA" w:rsidRPr="00641EB0">
        <w:rPr>
          <w:rFonts w:ascii="MetaPro-Norm" w:hAnsi="MetaPro-Norm"/>
        </w:rPr>
        <w:t xml:space="preserve"> guardians, or anyone who </w:t>
      </w:r>
      <w:r w:rsidR="00F572AA">
        <w:rPr>
          <w:rFonts w:ascii="MetaPro-Norm" w:hAnsi="MetaPro-Norm"/>
        </w:rPr>
        <w:t>carries</w:t>
      </w:r>
      <w:r w:rsidR="00F572AA" w:rsidRPr="00641EB0">
        <w:rPr>
          <w:rFonts w:ascii="MetaPro-Norm" w:hAnsi="MetaPro-Norm"/>
        </w:rPr>
        <w:t xml:space="preserve"> out, promote</w:t>
      </w:r>
      <w:r w:rsidR="00F572AA">
        <w:rPr>
          <w:rFonts w:ascii="MetaPro-Norm" w:hAnsi="MetaPro-Norm"/>
        </w:rPr>
        <w:t>s</w:t>
      </w:r>
      <w:r w:rsidR="00F572AA" w:rsidRPr="00641EB0">
        <w:rPr>
          <w:rFonts w:ascii="MetaPro-Norm" w:hAnsi="MetaPro-Norm"/>
        </w:rPr>
        <w:t xml:space="preserve"> or contribute</w:t>
      </w:r>
      <w:r w:rsidR="00F572AA">
        <w:rPr>
          <w:rFonts w:ascii="MetaPro-Norm" w:hAnsi="MetaPro-Norm"/>
        </w:rPr>
        <w:t>s</w:t>
      </w:r>
      <w:r w:rsidR="00F572AA" w:rsidRPr="00641EB0">
        <w:rPr>
          <w:rFonts w:ascii="MetaPro-Norm" w:hAnsi="MetaPro-Norm"/>
        </w:rPr>
        <w:t xml:space="preserve"> to traditional practices that are harmful to the health of the child</w:t>
      </w:r>
      <w:r w:rsidR="00F572AA">
        <w:rPr>
          <w:rFonts w:ascii="MetaPro-Norm" w:hAnsi="MetaPro-Norm"/>
        </w:rPr>
        <w:t xml:space="preserve"> </w:t>
      </w:r>
      <w:r w:rsidR="00F572AA" w:rsidRPr="00641EB0">
        <w:rPr>
          <w:rFonts w:ascii="MetaPro-Norm" w:hAnsi="MetaPro-Norm"/>
        </w:rPr>
        <w:t xml:space="preserve">shall be subject to imprisonment </w:t>
      </w:r>
      <w:r w:rsidR="00F572AA" w:rsidRPr="00641EB0">
        <w:rPr>
          <w:rFonts w:ascii="MetaPro-Norm" w:hAnsi="MetaPro-Norm"/>
        </w:rPr>
        <w:lastRenderedPageBreak/>
        <w:t>for a period of not less than six months and not more than three years</w:t>
      </w:r>
      <w:r w:rsidR="00F572AA">
        <w:rPr>
          <w:rFonts w:ascii="MetaPro-Norm" w:hAnsi="MetaPro-Norm"/>
        </w:rPr>
        <w:t xml:space="preserve">, </w:t>
      </w:r>
      <w:r w:rsidR="00F572AA" w:rsidRPr="00641EB0">
        <w:rPr>
          <w:rFonts w:ascii="MetaPro-Norm" w:hAnsi="MetaPro-Norm"/>
        </w:rPr>
        <w:t xml:space="preserve">and </w:t>
      </w:r>
      <w:r w:rsidR="00F572AA">
        <w:rPr>
          <w:rFonts w:ascii="MetaPro-Norm" w:hAnsi="MetaPro-Norm"/>
        </w:rPr>
        <w:t xml:space="preserve">that </w:t>
      </w:r>
      <w:r w:rsidR="00F572AA" w:rsidRPr="00641EB0">
        <w:rPr>
          <w:rFonts w:ascii="MetaPro-Norm" w:hAnsi="MetaPro-Norm"/>
        </w:rPr>
        <w:t>the sentence, in its minimum and maximum limits, shall be doubled in case of relapse.</w:t>
      </w:r>
      <w:r w:rsidR="00F04042">
        <w:rPr>
          <w:rStyle w:val="FootnoteReference"/>
          <w:rFonts w:ascii="MetaPro-Norm" w:hAnsi="MetaPro-Norm"/>
        </w:rPr>
        <w:footnoteReference w:id="11"/>
      </w:r>
    </w:p>
    <w:p w14:paraId="58A53F0C" w14:textId="77777777" w:rsidR="00F572AA" w:rsidRDefault="00F572AA" w:rsidP="00670FBF">
      <w:pPr>
        <w:rPr>
          <w:rFonts w:ascii="MetaPro-Norm" w:hAnsi="MetaPro-Norm"/>
          <w:b/>
          <w:bCs/>
        </w:rPr>
      </w:pPr>
    </w:p>
    <w:p w14:paraId="2B33C287" w14:textId="69079B7C" w:rsidR="00615FC2" w:rsidRPr="00615FC2" w:rsidRDefault="00615FC2" w:rsidP="00670FBF">
      <w:pPr>
        <w:rPr>
          <w:rFonts w:ascii="MetaPro-Norm" w:hAnsi="MetaPro-Norm"/>
          <w:b/>
          <w:bCs/>
        </w:rPr>
      </w:pPr>
      <w:r w:rsidRPr="00615FC2">
        <w:rPr>
          <w:rFonts w:ascii="MetaPro-Norm" w:hAnsi="MetaPro-Norm"/>
          <w:b/>
          <w:bCs/>
        </w:rPr>
        <w:t xml:space="preserve">Sexual </w:t>
      </w:r>
      <w:r w:rsidR="00573EEE">
        <w:rPr>
          <w:rFonts w:ascii="MetaPro-Norm" w:hAnsi="MetaPro-Norm"/>
          <w:b/>
          <w:bCs/>
        </w:rPr>
        <w:t>V</w:t>
      </w:r>
      <w:r w:rsidRPr="00615FC2">
        <w:rPr>
          <w:rFonts w:ascii="MetaPro-Norm" w:hAnsi="MetaPro-Norm"/>
          <w:b/>
          <w:bCs/>
        </w:rPr>
        <w:t>iolence</w:t>
      </w:r>
      <w:r w:rsidR="00B67389">
        <w:rPr>
          <w:rFonts w:ascii="MetaPro-Norm" w:hAnsi="MetaPro-Norm"/>
          <w:b/>
          <w:bCs/>
        </w:rPr>
        <w:t xml:space="preserve">, Rape, and </w:t>
      </w:r>
      <w:r w:rsidR="00575F43">
        <w:rPr>
          <w:rFonts w:ascii="MetaPro-Norm" w:hAnsi="MetaPro-Norm"/>
          <w:b/>
          <w:bCs/>
        </w:rPr>
        <w:t xml:space="preserve">Access to </w:t>
      </w:r>
      <w:r w:rsidR="00B67389">
        <w:rPr>
          <w:rFonts w:ascii="MetaPro-Norm" w:hAnsi="MetaPro-Norm"/>
          <w:b/>
          <w:bCs/>
        </w:rPr>
        <w:t xml:space="preserve">Abortion </w:t>
      </w:r>
    </w:p>
    <w:p w14:paraId="7BBA76AD" w14:textId="2F39376A" w:rsidR="00670FBF" w:rsidRDefault="00670FBF" w:rsidP="00670FBF">
      <w:pPr>
        <w:rPr>
          <w:rFonts w:ascii="MetaPro-Norm" w:hAnsi="MetaPro-Norm"/>
        </w:rPr>
      </w:pPr>
      <w:r w:rsidRPr="00641EB0">
        <w:rPr>
          <w:rFonts w:ascii="MetaPro-Norm" w:hAnsi="MetaPro-Norm"/>
        </w:rPr>
        <w:t xml:space="preserve">Women </w:t>
      </w:r>
      <w:r w:rsidR="009F79DA">
        <w:rPr>
          <w:rFonts w:ascii="MetaPro-Norm" w:hAnsi="MetaPro-Norm"/>
        </w:rPr>
        <w:t xml:space="preserve">and girls </w:t>
      </w:r>
      <w:r w:rsidRPr="00641EB0">
        <w:rPr>
          <w:rFonts w:ascii="MetaPro-Norm" w:hAnsi="MetaPro-Norm"/>
        </w:rPr>
        <w:t xml:space="preserve">who report rape can find themselves at risk of prosecution. </w:t>
      </w:r>
      <w:r w:rsidR="00A503C7">
        <w:rPr>
          <w:rFonts w:ascii="MetaPro-Norm" w:hAnsi="MetaPro-Norm"/>
        </w:rPr>
        <w:t>T</w:t>
      </w:r>
      <w:r w:rsidRPr="00641EB0">
        <w:rPr>
          <w:rFonts w:ascii="MetaPro-Norm" w:hAnsi="MetaPro-Norm"/>
        </w:rPr>
        <w:t>he authorities may consider the reporting of rape itself as a confession of sexual relations</w:t>
      </w:r>
      <w:r w:rsidR="00A503C7">
        <w:rPr>
          <w:rFonts w:ascii="MetaPro-Norm" w:hAnsi="MetaPro-Norm"/>
        </w:rPr>
        <w:t>,</w:t>
      </w:r>
      <w:r w:rsidRPr="00641EB0">
        <w:rPr>
          <w:rFonts w:ascii="MetaPro-Norm" w:hAnsi="MetaPro-Norm"/>
        </w:rPr>
        <w:t xml:space="preserve"> prompting charges of </w:t>
      </w:r>
      <w:proofErr w:type="spellStart"/>
      <w:r w:rsidRPr="009F79DA">
        <w:rPr>
          <w:rFonts w:ascii="MetaPro-Norm" w:hAnsi="MetaPro-Norm"/>
          <w:i/>
          <w:iCs/>
        </w:rPr>
        <w:t>zina</w:t>
      </w:r>
      <w:proofErr w:type="spellEnd"/>
      <w:r w:rsidRPr="00641EB0">
        <w:rPr>
          <w:rFonts w:ascii="MetaPro-Norm" w:hAnsi="MetaPro-Norm"/>
        </w:rPr>
        <w:t xml:space="preserve"> (sexual relations outside of marriage) against the rape </w:t>
      </w:r>
      <w:r w:rsidR="00326235">
        <w:rPr>
          <w:rFonts w:ascii="MetaPro-Norm" w:hAnsi="MetaPro-Norm"/>
        </w:rPr>
        <w:t>survivor</w:t>
      </w:r>
      <w:r w:rsidRPr="00641EB0">
        <w:rPr>
          <w:rFonts w:ascii="MetaPro-Norm" w:hAnsi="MetaPro-Norm"/>
        </w:rPr>
        <w:t xml:space="preserve">. </w:t>
      </w:r>
      <w:r w:rsidR="00736AAC" w:rsidRPr="00736AAC">
        <w:rPr>
          <w:rFonts w:ascii="MetaPro-Norm" w:hAnsi="MetaPro-Norm"/>
        </w:rPr>
        <w:t>Oman’s revised 2018 penal code increased penalties for consensual intercourse outside of marriage. Article 259 punishes consensual intercourse outside marriage with between six months to three years’ imprisonment (previously three months to one year imprisonment), and at least two years if either person is married (previously one to three years’ imprisonment).</w:t>
      </w:r>
      <w:r w:rsidRPr="00641EB0">
        <w:rPr>
          <w:rFonts w:ascii="MetaPro-Norm" w:hAnsi="MetaPro-Norm"/>
        </w:rPr>
        <w:t>.</w:t>
      </w:r>
      <w:r w:rsidRPr="00641EB0">
        <w:rPr>
          <w:rFonts w:ascii="MetaPro-Norm" w:hAnsi="MetaPro-Norm"/>
          <w:vertAlign w:val="superscript"/>
        </w:rPr>
        <w:footnoteReference w:id="12"/>
      </w:r>
      <w:r w:rsidRPr="00641EB0">
        <w:rPr>
          <w:rFonts w:ascii="MetaPro-Norm" w:hAnsi="MetaPro-Norm"/>
        </w:rPr>
        <w:t xml:space="preserve"> </w:t>
      </w:r>
      <w:r w:rsidR="00A503C7">
        <w:rPr>
          <w:rFonts w:ascii="MetaPro-Norm" w:hAnsi="MetaPro-Norm"/>
        </w:rPr>
        <w:t>F</w:t>
      </w:r>
      <w:r w:rsidRPr="00641EB0">
        <w:rPr>
          <w:rFonts w:ascii="MetaPro-Norm" w:hAnsi="MetaPro-Norm"/>
        </w:rPr>
        <w:t xml:space="preserve">or a </w:t>
      </w:r>
      <w:proofErr w:type="spellStart"/>
      <w:r w:rsidR="003D0483" w:rsidRPr="000E2037">
        <w:rPr>
          <w:rFonts w:ascii="MetaPro-Norm" w:hAnsi="MetaPro-Norm"/>
          <w:i/>
          <w:iCs/>
        </w:rPr>
        <w:t>zina</w:t>
      </w:r>
      <w:proofErr w:type="spellEnd"/>
      <w:r w:rsidR="003D0483">
        <w:rPr>
          <w:rFonts w:ascii="MetaPro-Norm" w:hAnsi="MetaPro-Norm"/>
        </w:rPr>
        <w:t xml:space="preserve"> </w:t>
      </w:r>
      <w:r w:rsidRPr="00641EB0">
        <w:rPr>
          <w:rFonts w:ascii="MetaPro-Norm" w:hAnsi="MetaPro-Norm"/>
        </w:rPr>
        <w:t>prosecution</w:t>
      </w:r>
      <w:r w:rsidR="003D0483">
        <w:rPr>
          <w:rFonts w:ascii="MetaPro-Norm" w:hAnsi="MetaPro-Norm"/>
        </w:rPr>
        <w:t xml:space="preserve"> </w:t>
      </w:r>
      <w:r w:rsidRPr="00641EB0">
        <w:rPr>
          <w:rFonts w:ascii="MetaPro-Norm" w:hAnsi="MetaPro-Norm"/>
        </w:rPr>
        <w:t>to proceed, the spouse or the guardian of the accused must file an official complaint</w:t>
      </w:r>
      <w:r w:rsidR="00A503C7">
        <w:rPr>
          <w:rFonts w:ascii="MetaPro-Norm" w:hAnsi="MetaPro-Norm"/>
        </w:rPr>
        <w:t>;</w:t>
      </w:r>
      <w:r w:rsidRPr="00641EB0">
        <w:rPr>
          <w:rFonts w:ascii="MetaPro-Norm" w:hAnsi="MetaPro-Norm"/>
        </w:rPr>
        <w:t xml:space="preserve"> if there is no </w:t>
      </w:r>
      <w:r w:rsidR="00A503C7">
        <w:rPr>
          <w:rFonts w:ascii="MetaPro-Norm" w:hAnsi="MetaPro-Norm"/>
        </w:rPr>
        <w:t xml:space="preserve">spouse or </w:t>
      </w:r>
      <w:r w:rsidRPr="00641EB0">
        <w:rPr>
          <w:rFonts w:ascii="MetaPro-Norm" w:hAnsi="MetaPro-Norm"/>
        </w:rPr>
        <w:t>guardian, a prosecutor can still file a case.</w:t>
      </w:r>
    </w:p>
    <w:p w14:paraId="6B1DB868" w14:textId="77777777" w:rsidR="0095765E" w:rsidRDefault="0095765E" w:rsidP="006F67D2">
      <w:pPr>
        <w:rPr>
          <w:rFonts w:ascii="MetaPro-Norm" w:eastAsia="Times New Roman" w:hAnsi="MetaPro-Norm" w:cs="Times New Roman"/>
          <w:color w:val="222222"/>
        </w:rPr>
      </w:pPr>
    </w:p>
    <w:p w14:paraId="41B690E9" w14:textId="1F0D3DCB" w:rsidR="00A57CD7" w:rsidRPr="00B67389" w:rsidRDefault="0095765E" w:rsidP="00965605">
      <w:pPr>
        <w:rPr>
          <w:rFonts w:ascii="MetaPro-Norm" w:eastAsia="Times New Roman" w:hAnsi="MetaPro-Norm" w:cs="Times New Roman"/>
          <w:color w:val="000000" w:themeColor="text1"/>
        </w:rPr>
      </w:pPr>
      <w:r w:rsidRPr="00B67389">
        <w:rPr>
          <w:rFonts w:ascii="MetaPro-Norm" w:eastAsia="Times New Roman" w:hAnsi="MetaPro-Norm" w:cs="Times New Roman"/>
          <w:color w:val="000000" w:themeColor="text1"/>
        </w:rPr>
        <w:t>A</w:t>
      </w:r>
      <w:r w:rsidR="006F67D2" w:rsidRPr="00B67389">
        <w:rPr>
          <w:rFonts w:ascii="MetaPro-Norm" w:eastAsia="Times New Roman" w:hAnsi="MetaPro-Norm" w:cs="Times New Roman"/>
          <w:color w:val="000000" w:themeColor="text1"/>
        </w:rPr>
        <w:t>bortion is illegal</w:t>
      </w:r>
      <w:r w:rsidRPr="00B67389">
        <w:rPr>
          <w:rFonts w:ascii="MetaPro-Norm" w:eastAsia="Times New Roman" w:hAnsi="MetaPro-Norm" w:cs="Times New Roman"/>
          <w:color w:val="000000" w:themeColor="text1"/>
        </w:rPr>
        <w:t xml:space="preserve"> under </w:t>
      </w:r>
      <w:r w:rsidR="00951753" w:rsidRPr="00B67389">
        <w:rPr>
          <w:rFonts w:ascii="MetaPro-Norm" w:eastAsia="Times New Roman" w:hAnsi="MetaPro-Norm" w:cs="Times New Roman"/>
          <w:color w:val="000000" w:themeColor="text1"/>
        </w:rPr>
        <w:t>articles 315-</w:t>
      </w:r>
      <w:r w:rsidR="00965605" w:rsidRPr="00B67389">
        <w:rPr>
          <w:rFonts w:ascii="MetaPro-Norm" w:eastAsia="Times New Roman" w:hAnsi="MetaPro-Norm" w:cs="Times New Roman"/>
          <w:color w:val="000000" w:themeColor="text1"/>
        </w:rPr>
        <w:t>3</w:t>
      </w:r>
      <w:r w:rsidR="00951753" w:rsidRPr="00B67389">
        <w:rPr>
          <w:rFonts w:ascii="MetaPro-Norm" w:eastAsia="Times New Roman" w:hAnsi="MetaPro-Norm" w:cs="Times New Roman"/>
          <w:color w:val="000000" w:themeColor="text1"/>
        </w:rPr>
        <w:t>18 of the Omani Penal Code</w:t>
      </w:r>
      <w:r w:rsidR="003C6E99">
        <w:rPr>
          <w:rFonts w:ascii="MetaPro-Norm" w:eastAsia="Times New Roman" w:hAnsi="MetaPro-Norm" w:cs="Times New Roman"/>
          <w:color w:val="000000" w:themeColor="text1"/>
        </w:rPr>
        <w:t xml:space="preserve">. It is only allowed where </w:t>
      </w:r>
      <w:r w:rsidR="006F67D2" w:rsidRPr="00B67389">
        <w:rPr>
          <w:rFonts w:ascii="MetaPro-Norm" w:eastAsia="Times New Roman" w:hAnsi="MetaPro-Norm" w:cs="Times New Roman"/>
          <w:color w:val="000000" w:themeColor="text1"/>
        </w:rPr>
        <w:t xml:space="preserve">it is absolutely necessary to save the mother’s life. Given this context, </w:t>
      </w:r>
      <w:r w:rsidRPr="00B67389">
        <w:rPr>
          <w:rFonts w:ascii="MetaPro-Norm" w:eastAsia="Times New Roman" w:hAnsi="MetaPro-Norm" w:cs="Times New Roman"/>
          <w:color w:val="000000" w:themeColor="text1"/>
        </w:rPr>
        <w:t xml:space="preserve">girls or women who become pregnant as a result of rape </w:t>
      </w:r>
      <w:r w:rsidR="006F67D2" w:rsidRPr="00B67389">
        <w:rPr>
          <w:rFonts w:ascii="MetaPro-Norm" w:eastAsia="Times New Roman" w:hAnsi="MetaPro-Norm" w:cs="Times New Roman"/>
          <w:color w:val="000000" w:themeColor="text1"/>
        </w:rPr>
        <w:t>may be forced to give birth, obtain an abortion illegally, or perform it</w:t>
      </w:r>
      <w:r w:rsidRPr="00B67389">
        <w:rPr>
          <w:rFonts w:ascii="MetaPro-Norm" w:eastAsia="Times New Roman" w:hAnsi="MetaPro-Norm" w:cs="Times New Roman"/>
          <w:color w:val="000000" w:themeColor="text1"/>
        </w:rPr>
        <w:t xml:space="preserve"> themselves</w:t>
      </w:r>
      <w:r w:rsidR="00FF248D">
        <w:rPr>
          <w:rFonts w:ascii="MetaPro-Norm" w:eastAsia="Times New Roman" w:hAnsi="MetaPro-Norm" w:cs="Times New Roman"/>
          <w:color w:val="000000" w:themeColor="text1"/>
        </w:rPr>
        <w:t>, increasing the risk of an unsafe abortion and thereby endangering their health</w:t>
      </w:r>
      <w:r w:rsidR="006F67D2" w:rsidRPr="00B67389">
        <w:rPr>
          <w:rFonts w:ascii="MetaPro-Norm" w:eastAsia="Times New Roman" w:hAnsi="MetaPro-Norm" w:cs="Times New Roman"/>
          <w:color w:val="000000" w:themeColor="text1"/>
        </w:rPr>
        <w:t xml:space="preserve">. </w:t>
      </w:r>
      <w:r w:rsidR="00743DF8" w:rsidRPr="00B67389">
        <w:rPr>
          <w:rFonts w:ascii="MetaPro-Norm" w:eastAsia="Times New Roman" w:hAnsi="MetaPro-Norm" w:cs="Times New Roman"/>
          <w:color w:val="000000" w:themeColor="text1"/>
        </w:rPr>
        <w:t>Girls and women who consent to</w:t>
      </w:r>
      <w:r w:rsidR="00575F43">
        <w:rPr>
          <w:rFonts w:ascii="MetaPro-Norm" w:eastAsia="Times New Roman" w:hAnsi="MetaPro-Norm" w:cs="Times New Roman"/>
          <w:color w:val="000000" w:themeColor="text1"/>
        </w:rPr>
        <w:t xml:space="preserve"> </w:t>
      </w:r>
      <w:r w:rsidR="00743DF8" w:rsidRPr="00B67389">
        <w:rPr>
          <w:rFonts w:ascii="MetaPro-Norm" w:eastAsia="Times New Roman" w:hAnsi="MetaPro-Norm" w:cs="Times New Roman"/>
          <w:color w:val="000000" w:themeColor="text1"/>
        </w:rPr>
        <w:t>an</w:t>
      </w:r>
      <w:r w:rsidR="00575F43">
        <w:rPr>
          <w:rFonts w:ascii="MetaPro-Norm" w:eastAsia="Times New Roman" w:hAnsi="MetaPro-Norm" w:cs="Times New Roman"/>
          <w:color w:val="000000" w:themeColor="text1"/>
        </w:rPr>
        <w:t xml:space="preserve"> abortion</w:t>
      </w:r>
      <w:r w:rsidR="00743DF8" w:rsidRPr="00B67389">
        <w:rPr>
          <w:rFonts w:ascii="MetaPro-Norm" w:eastAsia="Times New Roman" w:hAnsi="MetaPro-Norm" w:cs="Times New Roman"/>
          <w:color w:val="000000" w:themeColor="text1"/>
        </w:rPr>
        <w:t>, as well as the person performing the abortion, can face between six months to three years in prison</w:t>
      </w:r>
      <w:r w:rsidR="00965605" w:rsidRPr="00B67389">
        <w:rPr>
          <w:rFonts w:ascii="MetaPro-Norm" w:eastAsia="Times New Roman" w:hAnsi="MetaPro-Norm" w:cs="Times New Roman"/>
          <w:color w:val="000000" w:themeColor="text1"/>
        </w:rPr>
        <w:t>.</w:t>
      </w:r>
      <w:r w:rsidR="00965605" w:rsidRPr="00B67389">
        <w:rPr>
          <w:rStyle w:val="FootnoteReference"/>
          <w:rFonts w:ascii="MetaPro-Norm" w:eastAsia="Times New Roman" w:hAnsi="MetaPro-Norm" w:cs="Times New Roman"/>
          <w:color w:val="000000" w:themeColor="text1"/>
        </w:rPr>
        <w:footnoteReference w:id="13"/>
      </w:r>
      <w:r w:rsidR="00B67389">
        <w:rPr>
          <w:rFonts w:ascii="MetaPro-Norm" w:eastAsia="Times New Roman" w:hAnsi="MetaPro-Norm" w:cs="Times New Roman"/>
          <w:color w:val="000000" w:themeColor="text1"/>
        </w:rPr>
        <w:t xml:space="preserve"> </w:t>
      </w:r>
    </w:p>
    <w:p w14:paraId="0BA75FC9" w14:textId="47842559" w:rsidR="00C16415" w:rsidRDefault="00C16415" w:rsidP="00965605">
      <w:pPr>
        <w:rPr>
          <w:rFonts w:ascii="MetaPro-Norm" w:eastAsia="Times New Roman" w:hAnsi="MetaPro-Norm" w:cs="Times New Roman"/>
        </w:rPr>
      </w:pPr>
    </w:p>
    <w:p w14:paraId="411AF28A" w14:textId="05DD4ED7" w:rsidR="00736AAC" w:rsidRDefault="00B67389" w:rsidP="00670FBF">
      <w:pPr>
        <w:rPr>
          <w:rFonts w:ascii="MetaPro-Norm" w:hAnsi="MetaPro-Norm"/>
        </w:rPr>
      </w:pPr>
      <w:r w:rsidRPr="00B67389">
        <w:rPr>
          <w:rFonts w:ascii="MetaPro-Norm" w:eastAsia="Times New Roman" w:hAnsi="MetaPro-Norm" w:cs="Times New Roman"/>
          <w:color w:val="000000" w:themeColor="text1"/>
        </w:rPr>
        <w:t xml:space="preserve">Oman’s penal code does not criminalize sexual harassment or domestic violence. The </w:t>
      </w:r>
      <w:proofErr w:type="spellStart"/>
      <w:r w:rsidRPr="00B67389">
        <w:rPr>
          <w:rFonts w:ascii="MetaPro-Norm" w:eastAsia="Times New Roman" w:hAnsi="MetaPro-Norm" w:cs="Times New Roman"/>
          <w:color w:val="000000" w:themeColor="text1"/>
        </w:rPr>
        <w:t>Organisation</w:t>
      </w:r>
      <w:proofErr w:type="spellEnd"/>
      <w:r w:rsidRPr="00B67389">
        <w:rPr>
          <w:rFonts w:ascii="MetaPro-Norm" w:eastAsia="Times New Roman" w:hAnsi="MetaPro-Norm" w:cs="Times New Roman"/>
          <w:color w:val="000000" w:themeColor="text1"/>
        </w:rPr>
        <w:t xml:space="preserve"> for Economic Cooperation and Development (OECD) report</w:t>
      </w:r>
      <w:r w:rsidR="00BE403A">
        <w:rPr>
          <w:rFonts w:ascii="MetaPro-Norm" w:eastAsia="Times New Roman" w:hAnsi="MetaPro-Norm" w:cs="Times New Roman"/>
          <w:color w:val="000000" w:themeColor="text1"/>
        </w:rPr>
        <w:t>ed in 2019</w:t>
      </w:r>
      <w:r w:rsidRPr="00B67389">
        <w:rPr>
          <w:rFonts w:ascii="MetaPro-Norm" w:eastAsia="Times New Roman" w:hAnsi="MetaPro-Norm" w:cs="Times New Roman"/>
          <w:color w:val="000000" w:themeColor="text1"/>
        </w:rPr>
        <w:t xml:space="preserve"> that s</w:t>
      </w:r>
      <w:r w:rsidRPr="00C16415">
        <w:rPr>
          <w:rFonts w:ascii="MetaPro-Norm" w:eastAsia="Times New Roman" w:hAnsi="MetaPro-Norm" w:cs="Times New Roman"/>
          <w:color w:val="000000" w:themeColor="text1"/>
        </w:rPr>
        <w:t xml:space="preserve">exual harassment is one of the most common grounds </w:t>
      </w:r>
      <w:r w:rsidR="00BE403A">
        <w:rPr>
          <w:rFonts w:ascii="MetaPro-Norm" w:eastAsia="Times New Roman" w:hAnsi="MetaPro-Norm" w:cs="Times New Roman"/>
          <w:color w:val="000000" w:themeColor="text1"/>
        </w:rPr>
        <w:t>that Omani girls drop out of school</w:t>
      </w:r>
      <w:r w:rsidRPr="00B67389">
        <w:rPr>
          <w:rFonts w:ascii="MetaPro-Norm" w:eastAsia="Times New Roman" w:hAnsi="MetaPro-Norm" w:cs="Times New Roman"/>
          <w:color w:val="000000" w:themeColor="text1"/>
        </w:rPr>
        <w:t>.</w:t>
      </w:r>
      <w:r>
        <w:rPr>
          <w:rStyle w:val="FootnoteReference"/>
          <w:rFonts w:ascii="MetaPro-Norm" w:eastAsia="Times New Roman" w:hAnsi="MetaPro-Norm" w:cs="Times New Roman"/>
          <w:color w:val="000000" w:themeColor="text1"/>
        </w:rPr>
        <w:footnoteReference w:id="14"/>
      </w:r>
      <w:r>
        <w:rPr>
          <w:rFonts w:ascii="MetaPro-Norm" w:eastAsia="Times New Roman" w:hAnsi="MetaPro-Norm" w:cs="Times New Roman"/>
          <w:color w:val="000000" w:themeColor="text1"/>
        </w:rPr>
        <w:t xml:space="preserve"> </w:t>
      </w:r>
    </w:p>
    <w:p w14:paraId="02B4BE31" w14:textId="77777777" w:rsidR="00736AAC" w:rsidRDefault="00736AAC" w:rsidP="00670FBF">
      <w:pPr>
        <w:rPr>
          <w:rFonts w:ascii="MetaPro-Norm" w:hAnsi="MetaPro-Norm"/>
        </w:rPr>
      </w:pPr>
    </w:p>
    <w:p w14:paraId="144F5CC1" w14:textId="476FFD77" w:rsidR="00CD4D09" w:rsidRPr="00CD4D09" w:rsidRDefault="00615FC2" w:rsidP="003D0483">
      <w:pPr>
        <w:rPr>
          <w:rFonts w:ascii="MetaPro-Norm" w:hAnsi="MetaPro-Norm"/>
          <w:b/>
          <w:bCs/>
        </w:rPr>
      </w:pPr>
      <w:r>
        <w:rPr>
          <w:rFonts w:ascii="MetaPro-Norm" w:hAnsi="MetaPro-Norm"/>
          <w:b/>
          <w:bCs/>
        </w:rPr>
        <w:t xml:space="preserve">Corporal </w:t>
      </w:r>
      <w:r w:rsidR="001B4129">
        <w:rPr>
          <w:rFonts w:ascii="MetaPro-Norm" w:hAnsi="MetaPro-Norm"/>
          <w:b/>
          <w:bCs/>
        </w:rPr>
        <w:t>P</w:t>
      </w:r>
      <w:r>
        <w:rPr>
          <w:rFonts w:ascii="MetaPro-Norm" w:hAnsi="MetaPro-Norm"/>
          <w:b/>
          <w:bCs/>
        </w:rPr>
        <w:t xml:space="preserve">unishment </w:t>
      </w:r>
    </w:p>
    <w:p w14:paraId="1A9ED06B" w14:textId="51B045C8" w:rsidR="007A01A2" w:rsidRPr="00CD4D09" w:rsidRDefault="007A01A2" w:rsidP="007A01A2">
      <w:pPr>
        <w:rPr>
          <w:rFonts w:ascii="MetaPro-Norm" w:hAnsi="MetaPro-Norm" w:cstheme="minorHAnsi"/>
        </w:rPr>
      </w:pPr>
      <w:r w:rsidRPr="00CD4D09">
        <w:rPr>
          <w:rFonts w:ascii="MetaPro-Norm" w:hAnsi="MetaPro-Norm" w:cstheme="minorHAnsi"/>
          <w:lang w:val="en-GB"/>
        </w:rPr>
        <w:lastRenderedPageBreak/>
        <w:t xml:space="preserve">The </w:t>
      </w:r>
      <w:r w:rsidRPr="00CD4D09">
        <w:rPr>
          <w:rFonts w:ascii="MetaPro-Norm" w:hAnsi="MetaPro-Norm" w:cstheme="minorHAnsi"/>
        </w:rPr>
        <w:t>Child Law of 2014 prohibits “any form of violence against the child.”</w:t>
      </w:r>
      <w:r w:rsidRPr="00CD4D09">
        <w:rPr>
          <w:rFonts w:ascii="MetaPro-Norm" w:hAnsi="MetaPro-Norm" w:cstheme="minorHAnsi"/>
          <w:lang w:val="en-GB"/>
        </w:rPr>
        <w:t xml:space="preserve"> However, the penal code of 2018 explicitly exempts “</w:t>
      </w:r>
      <w:r w:rsidRPr="00CD4D09">
        <w:rPr>
          <w:rFonts w:ascii="MetaPro-Norm" w:hAnsi="MetaPro-Norm" w:cstheme="minorHAnsi"/>
        </w:rPr>
        <w:t>the disciplining by parents, and their equivalents, of minor children within the limits of what is prescribed by Sharia or the law</w:t>
      </w:r>
      <w:r w:rsidR="00326235">
        <w:rPr>
          <w:rFonts w:ascii="MetaPro-Norm" w:hAnsi="MetaPro-Norm" w:cstheme="minorHAnsi"/>
        </w:rPr>
        <w:t>.</w:t>
      </w:r>
      <w:r w:rsidRPr="00CD4D09">
        <w:rPr>
          <w:rFonts w:ascii="MetaPro-Norm" w:hAnsi="MetaPro-Norm" w:cstheme="minorHAnsi"/>
        </w:rPr>
        <w:t>”</w:t>
      </w:r>
      <w:r w:rsidRPr="00CD4D09">
        <w:rPr>
          <w:rStyle w:val="FootnoteReference"/>
          <w:rFonts w:ascii="MetaPro-Norm" w:hAnsi="MetaPro-Norm" w:cstheme="minorHAnsi"/>
        </w:rPr>
        <w:footnoteReference w:id="15"/>
      </w:r>
      <w:r w:rsidRPr="00CD4D09">
        <w:rPr>
          <w:rFonts w:ascii="MetaPro-Norm" w:hAnsi="MetaPro-Norm" w:cstheme="minorHAnsi"/>
          <w:lang w:val="en-GB"/>
        </w:rPr>
        <w:t xml:space="preserve"> </w:t>
      </w:r>
    </w:p>
    <w:p w14:paraId="59AE4CA5" w14:textId="77777777" w:rsidR="007A01A2" w:rsidRPr="00CD4D09" w:rsidRDefault="007A01A2" w:rsidP="007A01A2">
      <w:pPr>
        <w:rPr>
          <w:rFonts w:ascii="MetaPro-Norm" w:hAnsi="MetaPro-Norm" w:cstheme="minorHAnsi"/>
        </w:rPr>
      </w:pPr>
    </w:p>
    <w:p w14:paraId="0EBF437D" w14:textId="7271E883" w:rsidR="007A01A2" w:rsidRPr="00CD4D09" w:rsidRDefault="007A01A2" w:rsidP="007A01A2">
      <w:pPr>
        <w:rPr>
          <w:rFonts w:ascii="MetaPro-Norm" w:hAnsi="MetaPro-Norm" w:cstheme="minorHAnsi"/>
        </w:rPr>
      </w:pPr>
      <w:r w:rsidRPr="00CD4D09">
        <w:rPr>
          <w:rFonts w:ascii="MetaPro-Norm" w:hAnsi="MetaPro-Norm" w:cstheme="minorHAnsi"/>
          <w:lang w:val="en-GB"/>
        </w:rPr>
        <w:t>Oman committed to “</w:t>
      </w:r>
      <w:r w:rsidRPr="00CD4D09">
        <w:rPr>
          <w:rFonts w:ascii="MetaPro-Norm" w:hAnsi="MetaPro-Norm" w:cstheme="minorHAnsi"/>
          <w:lang w:eastAsia="en-GB"/>
        </w:rPr>
        <w:t>explicitly prohibit all corporal punishment of children in all settings” during the UN Human Rights Council Universal Periodic Review in 2015.</w:t>
      </w:r>
      <w:r w:rsidRPr="00CD4D09">
        <w:rPr>
          <w:rStyle w:val="FootnoteReference"/>
          <w:rFonts w:ascii="MetaPro-Norm" w:hAnsi="MetaPro-Norm" w:cstheme="minorHAnsi"/>
          <w:lang w:eastAsia="en-GB"/>
        </w:rPr>
        <w:footnoteReference w:id="16"/>
      </w:r>
      <w:r w:rsidRPr="00CD4D09">
        <w:rPr>
          <w:rFonts w:ascii="MetaPro-Norm" w:hAnsi="MetaPro-Norm" w:cstheme="minorHAnsi"/>
          <w:lang w:eastAsia="en-GB"/>
        </w:rPr>
        <w:t xml:space="preserve"> </w:t>
      </w:r>
      <w:r w:rsidR="00A503C7">
        <w:rPr>
          <w:rFonts w:ascii="MetaPro-Norm" w:hAnsi="MetaPro-Norm" w:cstheme="minorHAnsi"/>
          <w:lang w:eastAsia="en-GB"/>
        </w:rPr>
        <w:t>I</w:t>
      </w:r>
      <w:r w:rsidR="00326235">
        <w:rPr>
          <w:rFonts w:ascii="MetaPro-Norm" w:hAnsi="MetaPro-Norm" w:cstheme="minorHAnsi"/>
          <w:lang w:eastAsia="en-GB"/>
        </w:rPr>
        <w:t>n</w:t>
      </w:r>
      <w:r w:rsidRPr="00CD4D09">
        <w:rPr>
          <w:rFonts w:ascii="MetaPro-Norm" w:hAnsi="MetaPro-Norm" w:cstheme="minorHAnsi"/>
          <w:lang w:eastAsia="en-GB"/>
        </w:rPr>
        <w:t xml:space="preserve"> 2016, the Committee on the Rights of the Child stated its concern that </w:t>
      </w:r>
      <w:r w:rsidRPr="00CD4D09">
        <w:rPr>
          <w:rFonts w:ascii="MetaPro-Norm" w:hAnsi="MetaPro-Norm" w:cstheme="minorHAnsi"/>
        </w:rPr>
        <w:t xml:space="preserve">corporal punishment </w:t>
      </w:r>
      <w:r w:rsidRPr="00CD4D09">
        <w:rPr>
          <w:rFonts w:ascii="MetaPro-Norm" w:hAnsi="MetaPro-Norm" w:cstheme="minorHAnsi"/>
          <w:shd w:val="clear" w:color="auto" w:fill="FFFFFF"/>
        </w:rPr>
        <w:t>was not explicitly prohibited and “widely accepted in society as a way to discipline children in the home, in schools and in residential institutions.</w:t>
      </w:r>
      <w:r w:rsidRPr="00CD4D09">
        <w:rPr>
          <w:rFonts w:ascii="MetaPro-Norm" w:hAnsi="MetaPro-Norm" w:cstheme="minorHAnsi"/>
        </w:rPr>
        <w:t>”</w:t>
      </w:r>
      <w:r w:rsidRPr="00CD4D09">
        <w:rPr>
          <w:rStyle w:val="FootnoteReference"/>
          <w:rFonts w:ascii="MetaPro-Norm" w:hAnsi="MetaPro-Norm" w:cstheme="minorHAnsi"/>
        </w:rPr>
        <w:footnoteReference w:id="17"/>
      </w:r>
    </w:p>
    <w:p w14:paraId="5A8CDB50" w14:textId="77777777" w:rsidR="007A01A2" w:rsidRPr="00CD4D09" w:rsidRDefault="007A01A2" w:rsidP="007A01A2">
      <w:pPr>
        <w:rPr>
          <w:rFonts w:ascii="MetaPro-Norm" w:hAnsi="MetaPro-Norm" w:cstheme="minorHAnsi"/>
          <w:lang w:val="en-GB"/>
        </w:rPr>
      </w:pPr>
    </w:p>
    <w:p w14:paraId="68C68226" w14:textId="6D2AB84E" w:rsidR="007A01A2" w:rsidRPr="00CD4D09" w:rsidRDefault="007A01A2" w:rsidP="007A01A2">
      <w:pPr>
        <w:rPr>
          <w:rFonts w:ascii="MetaPro-Norm" w:hAnsi="MetaPro-Norm" w:cstheme="minorHAnsi"/>
        </w:rPr>
      </w:pPr>
      <w:r w:rsidRPr="00CD4D09">
        <w:rPr>
          <w:rFonts w:ascii="MetaPro-Norm" w:hAnsi="MetaPro-Norm" w:cstheme="minorHAnsi"/>
        </w:rPr>
        <w:t>Corporal punishment, insults</w:t>
      </w:r>
      <w:r w:rsidR="00A67C34">
        <w:rPr>
          <w:rFonts w:ascii="MetaPro-Norm" w:hAnsi="MetaPro-Norm" w:cstheme="minorHAnsi"/>
        </w:rPr>
        <w:t>,</w:t>
      </w:r>
      <w:r w:rsidRPr="00CD4D09">
        <w:rPr>
          <w:rFonts w:ascii="MetaPro-Norm" w:hAnsi="MetaPro-Norm" w:cstheme="minorHAnsi"/>
        </w:rPr>
        <w:t xml:space="preserve"> and harsh treatment of students are prohibited under Oman’s </w:t>
      </w:r>
      <w:proofErr w:type="spellStart"/>
      <w:r w:rsidRPr="00CD4D09">
        <w:rPr>
          <w:rFonts w:ascii="MetaPro-Norm" w:hAnsi="MetaPro-Norm" w:cstheme="minorHAnsi"/>
        </w:rPr>
        <w:t>Organisational</w:t>
      </w:r>
      <w:proofErr w:type="spellEnd"/>
      <w:r w:rsidRPr="00CD4D09">
        <w:rPr>
          <w:rFonts w:ascii="MetaPro-Norm" w:hAnsi="MetaPro-Norm" w:cstheme="minorHAnsi"/>
        </w:rPr>
        <w:t xml:space="preserve"> Statutes of the General Education Schools, and Decree 91/99 provides an exclusive list of permitted disciplinary measures to be used with students, which do not include corporal punishment, according to the Global Initiative to End All Corporal Punishment of Children.</w:t>
      </w:r>
      <w:r w:rsidRPr="00CD4D09">
        <w:rPr>
          <w:rStyle w:val="FootnoteReference"/>
          <w:rFonts w:ascii="MetaPro-Norm" w:hAnsi="MetaPro-Norm" w:cstheme="minorHAnsi"/>
        </w:rPr>
        <w:footnoteReference w:id="18"/>
      </w:r>
      <w:r w:rsidRPr="00CD4D09">
        <w:rPr>
          <w:rFonts w:ascii="MetaPro-Norm" w:hAnsi="MetaPro-Norm" w:cstheme="minorHAnsi"/>
        </w:rPr>
        <w:t xml:space="preserve"> </w:t>
      </w:r>
      <w:r w:rsidR="003C6E99">
        <w:rPr>
          <w:rFonts w:ascii="MetaPro-Norm" w:hAnsi="MetaPro-Norm" w:cstheme="minorHAnsi"/>
        </w:rPr>
        <w:t>A</w:t>
      </w:r>
      <w:r w:rsidRPr="00CD4D09">
        <w:rPr>
          <w:rFonts w:ascii="MetaPro-Norm" w:hAnsi="MetaPro-Norm" w:cstheme="minorHAnsi"/>
        </w:rPr>
        <w:t>ccording to news reports, in October 2016, the Education Ministry banned corporal punishment in schools in Muscat, reportedly “for the first time</w:t>
      </w:r>
      <w:r w:rsidR="00326235">
        <w:rPr>
          <w:rFonts w:ascii="MetaPro-Norm" w:hAnsi="MetaPro-Norm" w:cstheme="minorHAnsi"/>
        </w:rPr>
        <w:t>,</w:t>
      </w:r>
      <w:r w:rsidRPr="00CD4D09">
        <w:rPr>
          <w:rFonts w:ascii="MetaPro-Norm" w:hAnsi="MetaPro-Norm" w:cstheme="minorHAnsi"/>
        </w:rPr>
        <w:t>”</w:t>
      </w:r>
      <w:r w:rsidR="003C6E99">
        <w:rPr>
          <w:rFonts w:ascii="MetaPro-Norm" w:hAnsi="MetaPro-Norm" w:cstheme="minorHAnsi"/>
        </w:rPr>
        <w:t xml:space="preserve"> with penalties of</w:t>
      </w:r>
      <w:r w:rsidRPr="00CD4D09">
        <w:rPr>
          <w:rFonts w:ascii="MetaPro-Norm" w:hAnsi="MetaPro-Norm" w:cstheme="minorHAnsi"/>
        </w:rPr>
        <w:t xml:space="preserve"> up to 5 years </w:t>
      </w:r>
      <w:r w:rsidR="003C6E99">
        <w:rPr>
          <w:rFonts w:ascii="MetaPro-Norm" w:hAnsi="MetaPro-Norm" w:cstheme="minorHAnsi"/>
        </w:rPr>
        <w:t>imprisonment</w:t>
      </w:r>
      <w:r w:rsidRPr="00CD4D09">
        <w:rPr>
          <w:rFonts w:ascii="MetaPro-Norm" w:hAnsi="MetaPro-Norm" w:cstheme="minorHAnsi"/>
        </w:rPr>
        <w:t xml:space="preserve"> and a 5,000 </w:t>
      </w:r>
      <w:r w:rsidR="003C6E99">
        <w:rPr>
          <w:rFonts w:ascii="MetaPro-Norm" w:hAnsi="MetaPro-Norm" w:cstheme="minorHAnsi"/>
        </w:rPr>
        <w:t>Omani r</w:t>
      </w:r>
      <w:r w:rsidR="003C6E99" w:rsidRPr="00CD4D09">
        <w:rPr>
          <w:rFonts w:ascii="MetaPro-Norm" w:hAnsi="MetaPro-Norm" w:cstheme="minorHAnsi"/>
        </w:rPr>
        <w:t xml:space="preserve">ial </w:t>
      </w:r>
      <w:r w:rsidRPr="00CD4D09">
        <w:rPr>
          <w:rFonts w:ascii="MetaPro-Norm" w:hAnsi="MetaPro-Norm" w:cstheme="minorHAnsi"/>
        </w:rPr>
        <w:t>fine.</w:t>
      </w:r>
      <w:r w:rsidRPr="00A67C34">
        <w:rPr>
          <w:rStyle w:val="FootnoteReference"/>
          <w:rFonts w:ascii="MetaPro-Norm" w:hAnsi="MetaPro-Norm" w:cstheme="minorHAnsi"/>
          <w:lang w:val="en-GB"/>
        </w:rPr>
        <w:footnoteReference w:id="19"/>
      </w:r>
      <w:r w:rsidR="003C6E99">
        <w:rPr>
          <w:rFonts w:ascii="MetaPro-Norm" w:hAnsi="MetaPro-Norm" w:cstheme="minorHAnsi"/>
        </w:rPr>
        <w:t xml:space="preserve"> However,</w:t>
      </w:r>
      <w:r w:rsidR="00A67C34" w:rsidRPr="00A67C34">
        <w:rPr>
          <w:rStyle w:val="Hyperlink"/>
          <w:rFonts w:ascii="MetaPro-Norm" w:hAnsi="MetaPro-Norm" w:cstheme="minorHAnsi"/>
          <w:u w:val="none"/>
          <w:lang w:val="en-GB"/>
        </w:rPr>
        <w:t xml:space="preserve"> </w:t>
      </w:r>
      <w:r w:rsidR="003C6E99">
        <w:rPr>
          <w:rFonts w:ascii="MetaPro-Norm" w:hAnsi="MetaPro-Norm" w:cstheme="minorHAnsi"/>
        </w:rPr>
        <w:t>i</w:t>
      </w:r>
      <w:r w:rsidR="003C6E99" w:rsidRPr="00CD4D09">
        <w:rPr>
          <w:rFonts w:ascii="MetaPro-Norm" w:hAnsi="MetaPro-Norm" w:cstheme="minorHAnsi"/>
        </w:rPr>
        <w:t xml:space="preserve">n </w:t>
      </w:r>
      <w:r w:rsidRPr="00CD4D09">
        <w:rPr>
          <w:rFonts w:ascii="MetaPro-Norm" w:hAnsi="MetaPro-Norm" w:cstheme="minorHAnsi"/>
        </w:rPr>
        <w:t>November</w:t>
      </w:r>
      <w:r w:rsidR="00A67C34">
        <w:rPr>
          <w:rFonts w:ascii="MetaPro-Norm" w:hAnsi="MetaPro-Norm" w:cstheme="minorHAnsi"/>
        </w:rPr>
        <w:t xml:space="preserve"> 2016,</w:t>
      </w:r>
      <w:r w:rsidRPr="00CD4D09">
        <w:rPr>
          <w:rFonts w:ascii="MetaPro-Norm" w:hAnsi="MetaPro-Norm" w:cstheme="minorHAnsi"/>
          <w:lang w:val="en-GB"/>
        </w:rPr>
        <w:t xml:space="preserve"> the education committee of the Shura Council rejected the ban on the basis that under the penal code, “parents can file a complaint against teachers or anyone who inflict scars or physical pain on their children,” according to the head of the committee.</w:t>
      </w:r>
      <w:r w:rsidRPr="00CD4D09">
        <w:rPr>
          <w:rStyle w:val="FootnoteReference"/>
          <w:rFonts w:ascii="MetaPro-Norm" w:hAnsi="MetaPro-Norm" w:cstheme="minorHAnsi"/>
          <w:lang w:val="en-GB"/>
        </w:rPr>
        <w:footnoteReference w:id="20"/>
      </w:r>
    </w:p>
    <w:p w14:paraId="227BCFD6" w14:textId="77777777" w:rsidR="007A01A2" w:rsidRPr="00CD4D09" w:rsidRDefault="007A01A2" w:rsidP="007A01A2">
      <w:pPr>
        <w:rPr>
          <w:rFonts w:ascii="MetaPro-Norm" w:hAnsi="MetaPro-Norm" w:cstheme="minorHAnsi"/>
        </w:rPr>
      </w:pPr>
    </w:p>
    <w:p w14:paraId="512B1CF0" w14:textId="1AED8A57" w:rsidR="00F572AA" w:rsidRPr="00CD4D09" w:rsidRDefault="007A01A2" w:rsidP="00A60608">
      <w:pPr>
        <w:rPr>
          <w:rFonts w:ascii="MetaPro-Norm" w:hAnsi="MetaPro-Norm"/>
        </w:rPr>
      </w:pPr>
      <w:r w:rsidRPr="00CD4D09">
        <w:rPr>
          <w:rFonts w:ascii="MetaPro-Norm" w:hAnsi="MetaPro-Norm" w:cstheme="minorHAnsi"/>
          <w:lang w:val="en"/>
        </w:rPr>
        <w:t>Oman’s child protection hotline received a total of 442 complaints of violence against children in 2017, and 299 in 2016, according to a Ministry of Social Development official</w:t>
      </w:r>
      <w:r w:rsidRPr="00CD4D09">
        <w:rPr>
          <w:rFonts w:ascii="MetaPro-Norm" w:hAnsi="MetaPro-Norm" w:cstheme="minorHAnsi"/>
        </w:rPr>
        <w:t xml:space="preserve"> at a meeting about violence in schools in February 2018</w:t>
      </w:r>
      <w:r w:rsidRPr="00CD4D09">
        <w:rPr>
          <w:rFonts w:ascii="MetaPro-Norm" w:hAnsi="MetaPro-Norm" w:cstheme="minorHAnsi"/>
          <w:lang w:val="en"/>
        </w:rPr>
        <w:t>.</w:t>
      </w:r>
      <w:r w:rsidRPr="00CD4D09">
        <w:rPr>
          <w:rStyle w:val="FootnoteReference"/>
          <w:rFonts w:ascii="MetaPro-Norm" w:hAnsi="MetaPro-Norm" w:cstheme="minorHAnsi"/>
          <w:lang w:val="en"/>
        </w:rPr>
        <w:footnoteReference w:id="21"/>
      </w:r>
      <w:r w:rsidRPr="00CD4D09">
        <w:rPr>
          <w:rFonts w:ascii="MetaPro-Norm" w:hAnsi="MetaPro-Norm" w:cstheme="minorHAnsi"/>
          <w:lang w:val="en"/>
        </w:rPr>
        <w:t xml:space="preserve"> </w:t>
      </w:r>
    </w:p>
    <w:p w14:paraId="68138D93" w14:textId="764876E7" w:rsidR="00F572AA" w:rsidRDefault="00F572AA" w:rsidP="00F572AA">
      <w:pPr>
        <w:rPr>
          <w:rFonts w:ascii="MetaPro-Norm" w:hAnsi="MetaPro-Norm"/>
        </w:rPr>
      </w:pPr>
      <w:r w:rsidRPr="005A68C1">
        <w:rPr>
          <w:rFonts w:ascii="MetaPro-Norm" w:hAnsi="MetaPro-Norm"/>
          <w:i/>
        </w:rPr>
        <w:lastRenderedPageBreak/>
        <w:t>Human Rights Watch recommends that the Committee ask the government of</w:t>
      </w:r>
      <w:r w:rsidRPr="00486507">
        <w:rPr>
          <w:rFonts w:ascii="MetaPro-Norm" w:hAnsi="MetaPro-Norm"/>
          <w:b/>
          <w:bCs/>
        </w:rPr>
        <w:t xml:space="preserve"> </w:t>
      </w:r>
      <w:r>
        <w:rPr>
          <w:rFonts w:ascii="MetaPro-Norm" w:hAnsi="MetaPro-Norm"/>
          <w:b/>
          <w:bCs/>
        </w:rPr>
        <w:t xml:space="preserve"> </w:t>
      </w:r>
      <w:r w:rsidRPr="00F572AA">
        <w:rPr>
          <w:rFonts w:ascii="MetaPro-Norm" w:hAnsi="MetaPro-Norm"/>
          <w:i/>
          <w:iCs/>
        </w:rPr>
        <w:t>Oman</w:t>
      </w:r>
      <w:r>
        <w:rPr>
          <w:rFonts w:ascii="MetaPro-Norm" w:hAnsi="MetaPro-Norm"/>
          <w:b/>
          <w:bCs/>
        </w:rPr>
        <w:t>:</w:t>
      </w:r>
    </w:p>
    <w:p w14:paraId="514C5100" w14:textId="33FE9566" w:rsidR="00F572AA" w:rsidRDefault="00F572AA" w:rsidP="00F572AA">
      <w:pPr>
        <w:pStyle w:val="ListParagraph"/>
        <w:numPr>
          <w:ilvl w:val="0"/>
          <w:numId w:val="5"/>
        </w:numPr>
        <w:rPr>
          <w:rFonts w:ascii="MetaPro-Norm" w:hAnsi="MetaPro-Norm"/>
        </w:rPr>
      </w:pPr>
      <w:r>
        <w:rPr>
          <w:rFonts w:ascii="MetaPro-Norm" w:hAnsi="MetaPro-Norm"/>
        </w:rPr>
        <w:t>What</w:t>
      </w:r>
      <w:r w:rsidRPr="00486507">
        <w:rPr>
          <w:rFonts w:ascii="MetaPro-Norm" w:hAnsi="MetaPro-Norm"/>
        </w:rPr>
        <w:t xml:space="preserve"> government initiatives</w:t>
      </w:r>
      <w:r>
        <w:rPr>
          <w:rFonts w:ascii="MetaPro-Norm" w:hAnsi="MetaPro-Norm"/>
        </w:rPr>
        <w:t xml:space="preserve"> are there</w:t>
      </w:r>
      <w:r w:rsidRPr="00486507">
        <w:rPr>
          <w:rFonts w:ascii="MetaPro-Norm" w:hAnsi="MetaPro-Norm"/>
        </w:rPr>
        <w:t xml:space="preserve"> to compile national studies or statistics on violence against </w:t>
      </w:r>
      <w:r w:rsidR="0032523C">
        <w:rPr>
          <w:rFonts w:ascii="MetaPro-Norm" w:hAnsi="MetaPro-Norm"/>
        </w:rPr>
        <w:t>girls</w:t>
      </w:r>
      <w:r w:rsidRPr="00486507">
        <w:rPr>
          <w:rFonts w:ascii="MetaPro-Norm" w:hAnsi="MetaPro-Norm"/>
        </w:rPr>
        <w:t>, including female genital mutilation</w:t>
      </w:r>
      <w:r>
        <w:rPr>
          <w:rFonts w:ascii="MetaPro-Norm" w:hAnsi="MetaPro-Norm"/>
        </w:rPr>
        <w:t>?</w:t>
      </w:r>
    </w:p>
    <w:p w14:paraId="48B63D00" w14:textId="6505C95C" w:rsidR="00B6684D" w:rsidRDefault="00B6684D" w:rsidP="00F572AA">
      <w:pPr>
        <w:pStyle w:val="ListParagraph"/>
        <w:numPr>
          <w:ilvl w:val="0"/>
          <w:numId w:val="5"/>
        </w:numPr>
        <w:rPr>
          <w:rFonts w:ascii="MetaPro-Norm" w:hAnsi="MetaPro-Norm"/>
        </w:rPr>
      </w:pPr>
      <w:r>
        <w:rPr>
          <w:rFonts w:ascii="MetaPro-Norm" w:hAnsi="MetaPro-Norm"/>
        </w:rPr>
        <w:t xml:space="preserve">How many people have been prosecuted for carrying out FGM since the 2019 decision? </w:t>
      </w:r>
    </w:p>
    <w:p w14:paraId="0512CBA4" w14:textId="0DD91F9D" w:rsidR="00B6684D" w:rsidRDefault="00B6684D" w:rsidP="00F572AA">
      <w:pPr>
        <w:pStyle w:val="ListParagraph"/>
        <w:numPr>
          <w:ilvl w:val="0"/>
          <w:numId w:val="5"/>
        </w:numPr>
        <w:rPr>
          <w:rFonts w:ascii="MetaPro-Norm" w:hAnsi="MetaPro-Norm"/>
        </w:rPr>
      </w:pPr>
      <w:r>
        <w:rPr>
          <w:rFonts w:ascii="MetaPro-Norm" w:hAnsi="MetaPro-Norm"/>
        </w:rPr>
        <w:t xml:space="preserve">What steps is the government taking to adopt national strategies to prevent and combat violence against girls including FGM? </w:t>
      </w:r>
    </w:p>
    <w:p w14:paraId="15C18D3B" w14:textId="77777777" w:rsidR="00B6684D" w:rsidRDefault="00B6684D" w:rsidP="00F572AA">
      <w:pPr>
        <w:pStyle w:val="ListParagraph"/>
        <w:numPr>
          <w:ilvl w:val="0"/>
          <w:numId w:val="5"/>
        </w:numPr>
        <w:rPr>
          <w:rFonts w:ascii="MetaPro-Norm" w:hAnsi="MetaPro-Norm"/>
        </w:rPr>
      </w:pPr>
      <w:r>
        <w:rPr>
          <w:rFonts w:ascii="MetaPro-Norm" w:hAnsi="MetaPro-Norm"/>
        </w:rPr>
        <w:t>What steps is the government taking to decriminalize consensual sexual relations, and ensure that girls have access to all forms of sexual and reproductive healthcare including abortions?</w:t>
      </w:r>
    </w:p>
    <w:p w14:paraId="5D9E7F02" w14:textId="6F40C7C7" w:rsidR="00B6684D" w:rsidRPr="00486507" w:rsidRDefault="00B6684D" w:rsidP="00F572AA">
      <w:pPr>
        <w:pStyle w:val="ListParagraph"/>
        <w:numPr>
          <w:ilvl w:val="0"/>
          <w:numId w:val="5"/>
        </w:numPr>
        <w:rPr>
          <w:rFonts w:ascii="MetaPro-Norm" w:hAnsi="MetaPro-Norm"/>
        </w:rPr>
      </w:pPr>
      <w:r>
        <w:rPr>
          <w:rFonts w:ascii="MetaPro-Norm" w:hAnsi="MetaPro-Norm"/>
        </w:rPr>
        <w:t xml:space="preserve">What steps are being taken to combat sexual harassment and assault against girls including steps to punish sexual harassment?  </w:t>
      </w:r>
    </w:p>
    <w:p w14:paraId="3711ED4A" w14:textId="401BED09" w:rsidR="00573EEE" w:rsidRPr="00573EEE" w:rsidRDefault="00B44C18" w:rsidP="00573EEE">
      <w:pPr>
        <w:pStyle w:val="ListParagraph"/>
        <w:numPr>
          <w:ilvl w:val="0"/>
          <w:numId w:val="7"/>
        </w:numPr>
        <w:rPr>
          <w:rFonts w:ascii="MetaPro-Norm" w:hAnsi="MetaPro-Norm" w:cstheme="minorHAnsi"/>
          <w:lang w:val="en-GB"/>
        </w:rPr>
      </w:pPr>
      <w:r>
        <w:rPr>
          <w:rFonts w:ascii="MetaPro-Norm" w:hAnsi="MetaPro-Norm" w:cstheme="minorHAnsi"/>
          <w:lang w:val="en-GB"/>
        </w:rPr>
        <w:t xml:space="preserve">What </w:t>
      </w:r>
      <w:r w:rsidR="00573EEE" w:rsidRPr="00573EEE">
        <w:rPr>
          <w:rFonts w:ascii="MetaPro-Norm" w:hAnsi="MetaPro-Norm" w:cstheme="minorHAnsi"/>
          <w:lang w:val="en-GB"/>
        </w:rPr>
        <w:t xml:space="preserve">laws explicitly prohibit and set penalties for </w:t>
      </w:r>
      <w:r w:rsidR="00B6684D">
        <w:rPr>
          <w:rFonts w:ascii="MetaPro-Norm" w:hAnsi="MetaPro-Norm" w:cstheme="minorHAnsi"/>
          <w:lang w:val="en-GB"/>
        </w:rPr>
        <w:t>corporal punishment</w:t>
      </w:r>
      <w:r w:rsidR="00573EEE" w:rsidRPr="00573EEE">
        <w:rPr>
          <w:rFonts w:ascii="MetaPro-Norm" w:hAnsi="MetaPro-Norm" w:cstheme="minorHAnsi"/>
          <w:lang w:val="en-GB"/>
        </w:rPr>
        <w:t xml:space="preserve"> of children at school?</w:t>
      </w:r>
    </w:p>
    <w:p w14:paraId="45C8F6EA" w14:textId="59C38BE0" w:rsidR="00573EEE" w:rsidRPr="00573EEE" w:rsidRDefault="00B44C18" w:rsidP="00573EEE">
      <w:pPr>
        <w:pStyle w:val="ListParagraph"/>
        <w:numPr>
          <w:ilvl w:val="0"/>
          <w:numId w:val="7"/>
        </w:numPr>
        <w:rPr>
          <w:rFonts w:ascii="MetaPro-Norm" w:hAnsi="MetaPro-Norm" w:cstheme="minorHAnsi"/>
          <w:lang w:val="en-GB"/>
        </w:rPr>
      </w:pPr>
      <w:r>
        <w:rPr>
          <w:rFonts w:ascii="MetaPro-Norm" w:hAnsi="MetaPro-Norm" w:cstheme="minorHAnsi"/>
          <w:lang w:val="en-GB"/>
        </w:rPr>
        <w:t xml:space="preserve">What </w:t>
      </w:r>
      <w:r w:rsidR="00573EEE" w:rsidRPr="00573EEE">
        <w:rPr>
          <w:rFonts w:ascii="MetaPro-Norm" w:hAnsi="MetaPro-Norm" w:cstheme="minorHAnsi"/>
          <w:lang w:val="en-GB"/>
        </w:rPr>
        <w:t xml:space="preserve">policies </w:t>
      </w:r>
      <w:r>
        <w:rPr>
          <w:rFonts w:ascii="MetaPro-Norm" w:hAnsi="MetaPro-Norm" w:cstheme="minorHAnsi"/>
          <w:lang w:val="en-GB"/>
        </w:rPr>
        <w:t xml:space="preserve">have </w:t>
      </w:r>
      <w:r w:rsidR="00573EEE" w:rsidRPr="00573EEE">
        <w:rPr>
          <w:rFonts w:ascii="MetaPro-Norm" w:hAnsi="MetaPro-Norm" w:cstheme="minorHAnsi"/>
          <w:lang w:val="en-GB"/>
        </w:rPr>
        <w:t xml:space="preserve">been implemented to </w:t>
      </w:r>
      <w:r w:rsidR="00573EEE" w:rsidRPr="00573EEE">
        <w:rPr>
          <w:rFonts w:ascii="MetaPro-Norm" w:hAnsi="MetaPro-Norm" w:cs="Calibri"/>
          <w:color w:val="000000"/>
        </w:rPr>
        <w:t>promote non-violent positive disciplinary techniques at school</w:t>
      </w:r>
      <w:r w:rsidR="00AD697C">
        <w:rPr>
          <w:rFonts w:ascii="MetaPro-Norm" w:hAnsi="MetaPro-Norm" w:cs="Calibri"/>
          <w:color w:val="000000"/>
        </w:rPr>
        <w:t>s</w:t>
      </w:r>
      <w:r w:rsidR="00573EEE" w:rsidRPr="00573EEE">
        <w:rPr>
          <w:rFonts w:ascii="MetaPro-Norm" w:hAnsi="MetaPro-Norm" w:cs="Calibri"/>
          <w:color w:val="000000"/>
        </w:rPr>
        <w:t>?</w:t>
      </w:r>
    </w:p>
    <w:p w14:paraId="49B55057" w14:textId="4585103E" w:rsidR="00573EEE" w:rsidRPr="00573EEE" w:rsidRDefault="00573EEE" w:rsidP="00573EEE">
      <w:pPr>
        <w:pStyle w:val="ListParagraph"/>
        <w:numPr>
          <w:ilvl w:val="0"/>
          <w:numId w:val="7"/>
        </w:numPr>
        <w:rPr>
          <w:rFonts w:ascii="MetaPro-Norm" w:hAnsi="MetaPro-Norm" w:cstheme="minorHAnsi"/>
          <w:lang w:val="en-GB"/>
        </w:rPr>
      </w:pPr>
      <w:r w:rsidRPr="00573EEE">
        <w:rPr>
          <w:rFonts w:ascii="MetaPro-Norm" w:hAnsi="MetaPro-Norm" w:cstheme="minorHAnsi"/>
          <w:lang w:val="en-GB"/>
        </w:rPr>
        <w:t xml:space="preserve">Will the government commit to </w:t>
      </w:r>
      <w:r w:rsidR="00AD697C">
        <w:rPr>
          <w:rFonts w:ascii="MetaPro-Norm" w:hAnsi="MetaPro-Norm" w:cstheme="minorHAnsi"/>
          <w:lang w:val="en-GB"/>
        </w:rPr>
        <w:t xml:space="preserve">revise the Penal Code so that all corporal punishment of children is explicitly prohibited? </w:t>
      </w:r>
    </w:p>
    <w:p w14:paraId="341837C2" w14:textId="774AB4FC" w:rsidR="00573EEE" w:rsidRPr="00573EEE" w:rsidRDefault="00B44C18" w:rsidP="000E2037">
      <w:pPr>
        <w:pStyle w:val="ListParagraph"/>
        <w:numPr>
          <w:ilvl w:val="0"/>
          <w:numId w:val="7"/>
        </w:numPr>
        <w:rPr>
          <w:lang w:val="en-GB"/>
        </w:rPr>
      </w:pPr>
      <w:r>
        <w:rPr>
          <w:rFonts w:ascii="MetaPro-Norm" w:hAnsi="MetaPro-Norm" w:cstheme="minorHAnsi"/>
          <w:lang w:val="en-GB"/>
        </w:rPr>
        <w:t>F</w:t>
      </w:r>
      <w:r w:rsidR="00573EEE" w:rsidRPr="00573EEE">
        <w:rPr>
          <w:rFonts w:ascii="MetaPro-Norm" w:hAnsi="MetaPro-Norm" w:cstheme="minorHAnsi"/>
          <w:lang w:val="en-GB"/>
        </w:rPr>
        <w:t xml:space="preserve">or the most recent </w:t>
      </w:r>
      <w:r w:rsidR="00AD697C">
        <w:rPr>
          <w:rFonts w:ascii="MetaPro-Norm" w:hAnsi="MetaPro-Norm" w:cstheme="minorHAnsi"/>
          <w:lang w:val="en-GB"/>
        </w:rPr>
        <w:t xml:space="preserve">school year for which data is </w:t>
      </w:r>
      <w:r w:rsidR="00573EEE" w:rsidRPr="00573EEE">
        <w:rPr>
          <w:rFonts w:ascii="MetaPro-Norm" w:hAnsi="MetaPro-Norm" w:cstheme="minorHAnsi"/>
          <w:lang w:val="en-GB"/>
        </w:rPr>
        <w:t xml:space="preserve">available, </w:t>
      </w:r>
      <w:r w:rsidR="00AD697C">
        <w:rPr>
          <w:rFonts w:ascii="MetaPro-Norm" w:hAnsi="MetaPro-Norm" w:cstheme="minorHAnsi"/>
          <w:lang w:val="en-GB"/>
        </w:rPr>
        <w:t xml:space="preserve">how many complaints were received from students about violence by school staff, and how many complaints resulted in disciplinary actions or criminal prosecutions? </w:t>
      </w:r>
    </w:p>
    <w:p w14:paraId="6A72E263" w14:textId="77777777" w:rsidR="005A25B7" w:rsidRPr="00573EEE" w:rsidRDefault="005A25B7" w:rsidP="00670FBF">
      <w:pPr>
        <w:rPr>
          <w:rFonts w:ascii="MetaPro-Norm" w:hAnsi="MetaPro-Norm"/>
        </w:rPr>
      </w:pPr>
    </w:p>
    <w:p w14:paraId="57C34793" w14:textId="382DBE36" w:rsidR="00EC3991" w:rsidRPr="00615191" w:rsidRDefault="00EC3991" w:rsidP="00615191">
      <w:pPr>
        <w:pStyle w:val="ListParagraph"/>
        <w:numPr>
          <w:ilvl w:val="0"/>
          <w:numId w:val="19"/>
        </w:numPr>
        <w:rPr>
          <w:rFonts w:ascii="MetaPro-Norm" w:hAnsi="MetaPro-Norm"/>
          <w:b/>
          <w:bCs/>
        </w:rPr>
      </w:pPr>
      <w:r w:rsidRPr="00615191">
        <w:rPr>
          <w:rFonts w:ascii="MetaPro-Norm" w:hAnsi="MetaPro-Norm"/>
          <w:b/>
          <w:bCs/>
        </w:rPr>
        <w:t>Child</w:t>
      </w:r>
      <w:r w:rsidR="00FB28B3" w:rsidRPr="00615191">
        <w:rPr>
          <w:rFonts w:ascii="MetaPro-Norm" w:hAnsi="MetaPro-Norm"/>
          <w:b/>
          <w:bCs/>
        </w:rPr>
        <w:t xml:space="preserve"> Labor</w:t>
      </w:r>
      <w:r w:rsidRPr="00615191">
        <w:rPr>
          <w:rFonts w:ascii="MetaPro-Norm" w:hAnsi="MetaPro-Norm"/>
          <w:b/>
          <w:bCs/>
        </w:rPr>
        <w:t xml:space="preserve"> </w:t>
      </w:r>
      <w:r w:rsidR="005E786C" w:rsidRPr="00615191">
        <w:rPr>
          <w:rFonts w:ascii="MetaPro-Norm" w:hAnsi="MetaPro-Norm"/>
          <w:b/>
          <w:bCs/>
        </w:rPr>
        <w:t xml:space="preserve">(art. 32) </w:t>
      </w:r>
    </w:p>
    <w:p w14:paraId="6A7D66EC" w14:textId="21DD2DBB" w:rsidR="00EC3991" w:rsidRDefault="00EC3991" w:rsidP="003F23D8"/>
    <w:p w14:paraId="21746E91" w14:textId="4DD1F548" w:rsidR="00740495" w:rsidRPr="00326235" w:rsidRDefault="00326235" w:rsidP="00326235">
      <w:pPr>
        <w:rPr>
          <w:rFonts w:ascii="MetaPro-Norm" w:hAnsi="MetaPro-Norm"/>
          <w:color w:val="000000" w:themeColor="text1"/>
        </w:rPr>
      </w:pPr>
      <w:r w:rsidRPr="00326235">
        <w:rPr>
          <w:rFonts w:ascii="MetaPro-Norm" w:hAnsi="MetaPro-Norm"/>
          <w:color w:val="000000" w:themeColor="text1"/>
        </w:rPr>
        <w:t>Oman reported hosting 233,046 migrant domestic workers in February 2020. Most are from the Philippines, Indonesia, India, Bangladesh, Sri Lanka, Uganda, and Tanzania.</w:t>
      </w:r>
      <w:r>
        <w:rPr>
          <w:rStyle w:val="FootnoteReference"/>
          <w:rFonts w:ascii="MetaPro-Norm" w:hAnsi="MetaPro-Norm"/>
          <w:color w:val="000000" w:themeColor="text1"/>
        </w:rPr>
        <w:footnoteReference w:id="22"/>
      </w:r>
      <w:r>
        <w:rPr>
          <w:rFonts w:ascii="MetaPro-Norm" w:hAnsi="MetaPro-Norm"/>
          <w:color w:val="000000" w:themeColor="text1"/>
        </w:rPr>
        <w:t xml:space="preserve"> </w:t>
      </w:r>
      <w:r w:rsidR="00B6684D">
        <w:rPr>
          <w:rFonts w:ascii="MetaPro-Norm" w:hAnsi="MetaPro-Norm"/>
          <w:color w:val="000000" w:themeColor="text1"/>
        </w:rPr>
        <w:t xml:space="preserve">While Oman prohibits recruitment of migrant domestic workers who are children, there are some reports of recruitment and abuse of girls as domestic workers. </w:t>
      </w:r>
      <w:r w:rsidR="000A5711">
        <w:rPr>
          <w:rFonts w:ascii="MetaPro-Norm" w:hAnsi="MetaPro-Norm"/>
        </w:rPr>
        <w:t xml:space="preserve">Middle East Eye reported on the story of </w:t>
      </w:r>
      <w:r w:rsidR="003D0483">
        <w:rPr>
          <w:rFonts w:ascii="MetaPro-Norm" w:hAnsi="MetaPro-Norm"/>
        </w:rPr>
        <w:t>“</w:t>
      </w:r>
      <w:proofErr w:type="spellStart"/>
      <w:r w:rsidR="000A5711">
        <w:rPr>
          <w:rFonts w:ascii="MetaPro-Norm" w:hAnsi="MetaPro-Norm"/>
        </w:rPr>
        <w:t>Fatia</w:t>
      </w:r>
      <w:proofErr w:type="spellEnd"/>
      <w:r w:rsidR="000A5711">
        <w:rPr>
          <w:rFonts w:ascii="MetaPro-Norm" w:hAnsi="MetaPro-Norm"/>
        </w:rPr>
        <w:t>,</w:t>
      </w:r>
      <w:r w:rsidR="003D0483">
        <w:rPr>
          <w:rFonts w:ascii="MetaPro-Norm" w:hAnsi="MetaPro-Norm"/>
        </w:rPr>
        <w:t>”</w:t>
      </w:r>
      <w:r w:rsidR="000A5711">
        <w:rPr>
          <w:rFonts w:ascii="MetaPro-Norm" w:hAnsi="MetaPro-Norm"/>
        </w:rPr>
        <w:t xml:space="preserve"> who traveled to Oman </w:t>
      </w:r>
      <w:r w:rsidR="001D130E">
        <w:rPr>
          <w:rFonts w:ascii="MetaPro-Norm" w:hAnsi="MetaPro-Norm"/>
        </w:rPr>
        <w:t xml:space="preserve">from Ethiopia </w:t>
      </w:r>
      <w:r w:rsidR="000A5711">
        <w:rPr>
          <w:rFonts w:ascii="MetaPro-Norm" w:hAnsi="MetaPro-Norm"/>
        </w:rPr>
        <w:t>to work as a maid for an Omani family at age 17.</w:t>
      </w:r>
      <w:r w:rsidR="00D030E0">
        <w:rPr>
          <w:rStyle w:val="FootnoteReference"/>
          <w:rFonts w:ascii="MetaPro-Norm" w:hAnsi="MetaPro-Norm"/>
        </w:rPr>
        <w:footnoteReference w:id="23"/>
      </w:r>
      <w:r w:rsidR="000A5711">
        <w:rPr>
          <w:rFonts w:ascii="MetaPro-Norm" w:hAnsi="MetaPro-Norm"/>
        </w:rPr>
        <w:t xml:space="preserve"> </w:t>
      </w:r>
      <w:proofErr w:type="spellStart"/>
      <w:r w:rsidR="00D030E0">
        <w:rPr>
          <w:rFonts w:ascii="MetaPro-Norm" w:hAnsi="MetaPro-Norm"/>
        </w:rPr>
        <w:t>Fatia</w:t>
      </w:r>
      <w:proofErr w:type="spellEnd"/>
      <w:r w:rsidR="00D030E0">
        <w:rPr>
          <w:rFonts w:ascii="MetaPro-Norm" w:hAnsi="MetaPro-Norm"/>
        </w:rPr>
        <w:t xml:space="preserve"> </w:t>
      </w:r>
      <w:r w:rsidR="00B6684D">
        <w:rPr>
          <w:rFonts w:ascii="MetaPro-Norm" w:hAnsi="MetaPro-Norm"/>
        </w:rPr>
        <w:t xml:space="preserve">told Middle East Eye that she </w:t>
      </w:r>
      <w:r w:rsidR="00B67D03">
        <w:rPr>
          <w:rFonts w:ascii="MetaPro-Norm" w:hAnsi="MetaPro-Norm"/>
        </w:rPr>
        <w:t xml:space="preserve">experienced physical and verbal abuse from her sponsor families, including being choked by one of her sponsor’s family members. </w:t>
      </w:r>
      <w:proofErr w:type="spellStart"/>
      <w:r w:rsidR="00740495">
        <w:rPr>
          <w:rFonts w:ascii="MetaPro-Norm" w:hAnsi="MetaPro-Norm"/>
        </w:rPr>
        <w:t>Humanium</w:t>
      </w:r>
      <w:proofErr w:type="spellEnd"/>
      <w:r w:rsidR="00740495">
        <w:rPr>
          <w:rFonts w:ascii="MetaPro-Norm" w:hAnsi="MetaPro-Norm"/>
        </w:rPr>
        <w:t xml:space="preserve">, an </w:t>
      </w:r>
      <w:r w:rsidR="00740495">
        <w:rPr>
          <w:rFonts w:ascii="MetaPro-Norm" w:hAnsi="MetaPro-Norm"/>
        </w:rPr>
        <w:lastRenderedPageBreak/>
        <w:t>international NGO, reported that girls from south and southeast Asia have been sold into servitude and forced into prostitution in Oman.</w:t>
      </w:r>
      <w:r w:rsidR="00740495">
        <w:rPr>
          <w:rStyle w:val="FootnoteReference"/>
          <w:rFonts w:ascii="MetaPro-Norm" w:hAnsi="MetaPro-Norm"/>
        </w:rPr>
        <w:footnoteReference w:id="24"/>
      </w:r>
    </w:p>
    <w:p w14:paraId="463A717C" w14:textId="4EB355A9" w:rsidR="00E32744" w:rsidRDefault="00E32744" w:rsidP="00E32744">
      <w:pPr>
        <w:rPr>
          <w:rFonts w:ascii="MetaPro-Norm" w:hAnsi="MetaPro-Norm"/>
        </w:rPr>
      </w:pPr>
    </w:p>
    <w:p w14:paraId="50EA2623" w14:textId="13706FF6" w:rsidR="00740495" w:rsidRDefault="002C392E" w:rsidP="00E32744">
      <w:pPr>
        <w:rPr>
          <w:rFonts w:ascii="MetaPro-Norm" w:hAnsi="MetaPro-Norm"/>
        </w:rPr>
      </w:pPr>
      <w:r>
        <w:rPr>
          <w:rFonts w:ascii="MetaPro-Norm" w:hAnsi="MetaPro-Norm"/>
        </w:rPr>
        <w:t>Research by the US Bureau of International Labor affairs</w:t>
      </w:r>
      <w:r w:rsidR="00740495">
        <w:rPr>
          <w:rFonts w:ascii="MetaPro-Norm" w:hAnsi="MetaPro-Norm"/>
        </w:rPr>
        <w:t xml:space="preserve"> suggests that child labor continues in sectors such as agriculture and fishing, despite the</w:t>
      </w:r>
      <w:r>
        <w:rPr>
          <w:rFonts w:ascii="MetaPro-Norm" w:hAnsi="MetaPro-Norm"/>
        </w:rPr>
        <w:t xml:space="preserve"> Omani</w:t>
      </w:r>
      <w:r w:rsidR="00740495">
        <w:rPr>
          <w:rFonts w:ascii="MetaPro-Norm" w:hAnsi="MetaPro-Norm"/>
        </w:rPr>
        <w:t xml:space="preserve"> government’s efforts to eliminate the employment of children.</w:t>
      </w:r>
      <w:r w:rsidR="00740495">
        <w:rPr>
          <w:rStyle w:val="FootnoteReference"/>
          <w:rFonts w:ascii="MetaPro-Norm" w:hAnsi="MetaPro-Norm"/>
        </w:rPr>
        <w:footnoteReference w:id="25"/>
      </w:r>
    </w:p>
    <w:p w14:paraId="47F48182" w14:textId="77777777" w:rsidR="00E32744" w:rsidRPr="003F23D8" w:rsidRDefault="00E32744" w:rsidP="00EC3991">
      <w:pPr>
        <w:rPr>
          <w:rFonts w:ascii="MetaPro-Norm" w:hAnsi="MetaPro-Norm"/>
          <w:b/>
          <w:bCs/>
        </w:rPr>
      </w:pPr>
    </w:p>
    <w:p w14:paraId="57152743" w14:textId="77777777" w:rsidR="00190F86" w:rsidRDefault="00CA522B" w:rsidP="00CA522B">
      <w:pPr>
        <w:rPr>
          <w:rFonts w:ascii="MetaPro-Norm" w:hAnsi="MetaPro-Norm"/>
          <w:b/>
          <w:bCs/>
          <w:i/>
        </w:rPr>
      </w:pPr>
      <w:r w:rsidRPr="00326235">
        <w:rPr>
          <w:rFonts w:ascii="MetaPro-Norm" w:hAnsi="MetaPro-Norm"/>
          <w:i/>
        </w:rPr>
        <w:t>Human Rights Watch recommends that the Committee ask the government of Oman:</w:t>
      </w:r>
      <w:r w:rsidRPr="00FB28B3">
        <w:rPr>
          <w:rFonts w:ascii="MetaPro-Norm" w:hAnsi="MetaPro-Norm"/>
          <w:b/>
          <w:bCs/>
          <w:i/>
        </w:rPr>
        <w:t xml:space="preserve">  </w:t>
      </w:r>
    </w:p>
    <w:p w14:paraId="10770216" w14:textId="77777777" w:rsidR="00126D21" w:rsidRDefault="00126D21" w:rsidP="00190F86">
      <w:pPr>
        <w:pStyle w:val="ListParagraph"/>
        <w:numPr>
          <w:ilvl w:val="0"/>
          <w:numId w:val="10"/>
        </w:numPr>
        <w:rPr>
          <w:rFonts w:ascii="MetaPro-Norm" w:hAnsi="MetaPro-Norm"/>
        </w:rPr>
      </w:pPr>
      <w:r>
        <w:rPr>
          <w:rFonts w:ascii="MetaPro-Norm" w:hAnsi="MetaPro-Norm"/>
        </w:rPr>
        <w:t xml:space="preserve">How many migrant workers in Oman are children? </w:t>
      </w:r>
    </w:p>
    <w:p w14:paraId="6190109A" w14:textId="5AC44818" w:rsidR="00190F86" w:rsidRDefault="00B44C18" w:rsidP="00190F86">
      <w:pPr>
        <w:pStyle w:val="ListParagraph"/>
        <w:numPr>
          <w:ilvl w:val="0"/>
          <w:numId w:val="10"/>
        </w:numPr>
        <w:rPr>
          <w:rFonts w:ascii="MetaPro-Norm" w:hAnsi="MetaPro-Norm"/>
        </w:rPr>
      </w:pPr>
      <w:r>
        <w:rPr>
          <w:rFonts w:ascii="MetaPro-Norm" w:hAnsi="MetaPro-Norm"/>
        </w:rPr>
        <w:t xml:space="preserve">What </w:t>
      </w:r>
      <w:r w:rsidR="00190F86" w:rsidRPr="0032523C">
        <w:rPr>
          <w:rFonts w:ascii="MetaPro-Norm" w:hAnsi="MetaPro-Norm"/>
        </w:rPr>
        <w:t xml:space="preserve">monitoring systems </w:t>
      </w:r>
      <w:r>
        <w:rPr>
          <w:rFonts w:ascii="MetaPro-Norm" w:hAnsi="MetaPro-Norm"/>
        </w:rPr>
        <w:t xml:space="preserve">are </w:t>
      </w:r>
      <w:r w:rsidR="00190F86" w:rsidRPr="0032523C">
        <w:rPr>
          <w:rFonts w:ascii="MetaPro-Norm" w:hAnsi="MetaPro-Norm"/>
        </w:rPr>
        <w:t xml:space="preserve">in place to identify </w:t>
      </w:r>
      <w:r w:rsidR="00190F86">
        <w:rPr>
          <w:rFonts w:ascii="MetaPro-Norm" w:hAnsi="MetaPro-Norm"/>
        </w:rPr>
        <w:t>children</w:t>
      </w:r>
      <w:r w:rsidR="00190F86" w:rsidRPr="0032523C">
        <w:rPr>
          <w:rFonts w:ascii="MetaPro-Norm" w:hAnsi="MetaPro-Norm"/>
        </w:rPr>
        <w:t xml:space="preserve"> most vulnerable to child </w:t>
      </w:r>
      <w:r w:rsidR="00190F86">
        <w:rPr>
          <w:rFonts w:ascii="MetaPro-Norm" w:hAnsi="MetaPro-Norm"/>
        </w:rPr>
        <w:t>labor</w:t>
      </w:r>
      <w:r w:rsidR="00190F86" w:rsidRPr="0032523C">
        <w:rPr>
          <w:rFonts w:ascii="MetaPro-Norm" w:hAnsi="MetaPro-Norm"/>
        </w:rPr>
        <w:t>?</w:t>
      </w:r>
    </w:p>
    <w:p w14:paraId="0A74638F" w14:textId="6CAB1E9A" w:rsidR="00190F86" w:rsidRDefault="00190F86" w:rsidP="00190F86">
      <w:pPr>
        <w:pStyle w:val="ListParagraph"/>
        <w:numPr>
          <w:ilvl w:val="0"/>
          <w:numId w:val="10"/>
        </w:numPr>
        <w:rPr>
          <w:rFonts w:ascii="MetaPro-Norm" w:hAnsi="MetaPro-Norm"/>
        </w:rPr>
      </w:pPr>
      <w:r>
        <w:rPr>
          <w:rFonts w:ascii="MetaPro-Norm" w:hAnsi="MetaPro-Norm"/>
        </w:rPr>
        <w:t xml:space="preserve">What mechanisms does the government use to ensure </w:t>
      </w:r>
      <w:r w:rsidR="00956D59">
        <w:rPr>
          <w:rFonts w:ascii="MetaPro-Norm" w:hAnsi="MetaPro-Norm"/>
        </w:rPr>
        <w:t xml:space="preserve">that migrant workers recruited to work in Oman are not abused or exploited by their sponsors? </w:t>
      </w:r>
    </w:p>
    <w:p w14:paraId="235B4498" w14:textId="370EB143" w:rsidR="00CA522B" w:rsidRPr="00126D21" w:rsidRDefault="00956D59" w:rsidP="00126D21">
      <w:pPr>
        <w:pStyle w:val="ListParagraph"/>
        <w:numPr>
          <w:ilvl w:val="0"/>
          <w:numId w:val="10"/>
        </w:numPr>
        <w:rPr>
          <w:rFonts w:ascii="MetaPro-Norm" w:hAnsi="MetaPro-Norm"/>
        </w:rPr>
      </w:pPr>
      <w:r>
        <w:rPr>
          <w:rFonts w:ascii="MetaPro-Norm" w:hAnsi="MetaPro-Norm"/>
        </w:rPr>
        <w:t xml:space="preserve">What legal redress do migrant workers, especially those recruited as children, have when in an abusive situation? </w:t>
      </w:r>
    </w:p>
    <w:p w14:paraId="2A8F5060" w14:textId="77777777" w:rsidR="00EC3991" w:rsidRPr="00EC3991" w:rsidRDefault="00EC3991" w:rsidP="00EC3991">
      <w:pPr>
        <w:rPr>
          <w:rFonts w:ascii="MetaPro-Norm" w:hAnsi="MetaPro-Norm"/>
          <w:b/>
          <w:bCs/>
        </w:rPr>
      </w:pPr>
    </w:p>
    <w:p w14:paraId="752AC48A" w14:textId="27EE3310" w:rsidR="00D109F0" w:rsidRPr="00615191" w:rsidRDefault="00D109F0" w:rsidP="00615191">
      <w:pPr>
        <w:pStyle w:val="ListParagraph"/>
        <w:numPr>
          <w:ilvl w:val="0"/>
          <w:numId w:val="19"/>
        </w:numPr>
        <w:rPr>
          <w:rFonts w:ascii="MetaPro-Norm" w:hAnsi="MetaPro-Norm"/>
          <w:b/>
          <w:bCs/>
        </w:rPr>
      </w:pPr>
      <w:r w:rsidRPr="00615191">
        <w:rPr>
          <w:rFonts w:ascii="MetaPro-Norm" w:hAnsi="MetaPro-Norm"/>
          <w:b/>
          <w:bCs/>
        </w:rPr>
        <w:t xml:space="preserve">Child </w:t>
      </w:r>
      <w:r w:rsidR="000B2DD0" w:rsidRPr="00615191">
        <w:rPr>
          <w:rFonts w:ascii="MetaPro-Norm" w:hAnsi="MetaPro-Norm"/>
          <w:b/>
          <w:bCs/>
        </w:rPr>
        <w:t>M</w:t>
      </w:r>
      <w:r w:rsidRPr="00615191">
        <w:rPr>
          <w:rFonts w:ascii="MetaPro-Norm" w:hAnsi="MetaPro-Norm"/>
          <w:b/>
          <w:bCs/>
        </w:rPr>
        <w:t>arriage</w:t>
      </w:r>
      <w:r w:rsidR="00066A11" w:rsidRPr="00615191">
        <w:rPr>
          <w:rFonts w:ascii="MetaPro-Norm" w:hAnsi="MetaPro-Norm"/>
          <w:b/>
          <w:bCs/>
        </w:rPr>
        <w:t xml:space="preserve"> (arts. 19 and 34) </w:t>
      </w:r>
    </w:p>
    <w:p w14:paraId="7A6486C3" w14:textId="41837FC6" w:rsidR="00CA522B" w:rsidRDefault="00CA522B" w:rsidP="00CA522B">
      <w:pPr>
        <w:rPr>
          <w:rFonts w:ascii="MetaPro-Norm" w:hAnsi="MetaPro-Norm"/>
          <w:b/>
          <w:bCs/>
        </w:rPr>
      </w:pPr>
    </w:p>
    <w:p w14:paraId="65020BCF" w14:textId="7A9DC850" w:rsidR="00910B8D" w:rsidRPr="004D6289" w:rsidRDefault="00CA522B" w:rsidP="004D6289">
      <w:pPr>
        <w:rPr>
          <w:rFonts w:ascii="Georgia" w:hAnsi="Georgia"/>
          <w:color w:val="444444"/>
          <w:sz w:val="30"/>
          <w:szCs w:val="30"/>
        </w:rPr>
      </w:pPr>
      <w:r>
        <w:rPr>
          <w:rFonts w:ascii="MetaPro-Norm" w:eastAsia="Times New Roman" w:hAnsi="MetaPro-Norm" w:cs="Times New Roman"/>
          <w:color w:val="222222"/>
          <w:shd w:val="clear" w:color="auto" w:fill="FFFFFF"/>
        </w:rPr>
        <w:t>The legal age of marriage in Oman is 18, established by</w:t>
      </w:r>
      <w:r w:rsidRPr="001B17ED">
        <w:rPr>
          <w:rFonts w:ascii="MetaPro-Norm" w:eastAsia="Times New Roman" w:hAnsi="MetaPro-Norm" w:cs="Times New Roman"/>
          <w:color w:val="222222"/>
          <w:shd w:val="clear" w:color="auto" w:fill="FFFFFF"/>
        </w:rPr>
        <w:t xml:space="preserve"> </w:t>
      </w:r>
      <w:r w:rsidR="005E786C">
        <w:rPr>
          <w:rFonts w:ascii="MetaPro-Norm" w:eastAsia="Times New Roman" w:hAnsi="MetaPro-Norm" w:cs="Times New Roman"/>
          <w:color w:val="222222"/>
          <w:shd w:val="clear" w:color="auto" w:fill="FFFFFF"/>
        </w:rPr>
        <w:t>a</w:t>
      </w:r>
      <w:r w:rsidRPr="001B17ED">
        <w:rPr>
          <w:rFonts w:ascii="MetaPro-Norm" w:eastAsia="Times New Roman" w:hAnsi="MetaPro-Norm" w:cs="Times New Roman"/>
          <w:color w:val="222222"/>
          <w:shd w:val="clear" w:color="auto" w:fill="FFFFFF"/>
        </w:rPr>
        <w:t>rticle 7 of the Personal Status Law</w:t>
      </w:r>
      <w:r>
        <w:rPr>
          <w:rFonts w:ascii="MetaPro-Norm" w:eastAsia="Times New Roman" w:hAnsi="MetaPro-Norm" w:cs="Times New Roman"/>
          <w:color w:val="222222"/>
          <w:shd w:val="clear" w:color="auto" w:fill="FFFFFF"/>
        </w:rPr>
        <w:t xml:space="preserve">. However, </w:t>
      </w:r>
      <w:r w:rsidR="005E786C">
        <w:rPr>
          <w:rFonts w:ascii="MetaPro-Norm" w:eastAsia="Times New Roman" w:hAnsi="MetaPro-Norm" w:cs="Times New Roman"/>
          <w:color w:val="222222"/>
          <w:shd w:val="clear" w:color="auto" w:fill="FFFFFF"/>
        </w:rPr>
        <w:t>a</w:t>
      </w:r>
      <w:r w:rsidRPr="001B17ED">
        <w:rPr>
          <w:rFonts w:ascii="MetaPro-Norm" w:eastAsia="Times New Roman" w:hAnsi="MetaPro-Norm" w:cs="Times New Roman"/>
          <w:color w:val="222222"/>
          <w:shd w:val="clear" w:color="auto" w:fill="FFFFFF"/>
        </w:rPr>
        <w:t xml:space="preserve">rticle 10 </w:t>
      </w:r>
      <w:r>
        <w:rPr>
          <w:rFonts w:ascii="MetaPro-Norm" w:eastAsia="Times New Roman" w:hAnsi="MetaPro-Norm" w:cs="Times New Roman"/>
          <w:color w:val="222222"/>
          <w:shd w:val="clear" w:color="auto" w:fill="FFFFFF"/>
        </w:rPr>
        <w:t xml:space="preserve">of the Personal Status Law allows </w:t>
      </w:r>
      <w:r w:rsidRPr="001B17ED">
        <w:rPr>
          <w:rFonts w:ascii="MetaPro-Norm" w:eastAsia="Times New Roman" w:hAnsi="MetaPro-Norm" w:cs="Times New Roman"/>
          <w:color w:val="222222"/>
          <w:shd w:val="clear" w:color="auto" w:fill="FFFFFF"/>
        </w:rPr>
        <w:t xml:space="preserve">judges to authorize the marriage of girls below 18 if </w:t>
      </w:r>
      <w:r>
        <w:rPr>
          <w:rFonts w:ascii="MetaPro-Norm" w:eastAsia="Times New Roman" w:hAnsi="MetaPro-Norm" w:cs="Times New Roman"/>
          <w:color w:val="222222"/>
          <w:shd w:val="clear" w:color="auto" w:fill="FFFFFF"/>
        </w:rPr>
        <w:t>the marriage is</w:t>
      </w:r>
      <w:r w:rsidRPr="001B17ED">
        <w:rPr>
          <w:rFonts w:ascii="MetaPro-Norm" w:eastAsia="Times New Roman" w:hAnsi="MetaPro-Norm" w:cs="Times New Roman"/>
          <w:color w:val="222222"/>
          <w:shd w:val="clear" w:color="auto" w:fill="FFFFFF"/>
        </w:rPr>
        <w:t xml:space="preserve"> considered to be in her “best interest.” </w:t>
      </w:r>
      <w:r>
        <w:rPr>
          <w:rFonts w:ascii="MetaPro-Norm" w:eastAsia="Times New Roman" w:hAnsi="MetaPro-Norm" w:cs="Times New Roman"/>
          <w:color w:val="222222"/>
          <w:shd w:val="clear" w:color="auto" w:fill="FFFFFF"/>
        </w:rPr>
        <w:t>Though data regarding the prevalence of child marriage is</w:t>
      </w:r>
      <w:r w:rsidR="0032523C">
        <w:rPr>
          <w:rFonts w:ascii="MetaPro-Norm" w:eastAsia="Times New Roman" w:hAnsi="MetaPro-Norm" w:cs="Times New Roman"/>
          <w:color w:val="222222"/>
          <w:shd w:val="clear" w:color="auto" w:fill="FFFFFF"/>
        </w:rPr>
        <w:t xml:space="preserve"> scarce</w:t>
      </w:r>
      <w:r>
        <w:rPr>
          <w:rFonts w:ascii="MetaPro-Norm" w:eastAsia="Times New Roman" w:hAnsi="MetaPro-Norm" w:cs="Times New Roman"/>
          <w:color w:val="222222"/>
          <w:shd w:val="clear" w:color="auto" w:fill="FFFFFF"/>
        </w:rPr>
        <w:t xml:space="preserve">, the CEDAW Committee noted in 2017 that these judicial </w:t>
      </w:r>
      <w:r w:rsidR="00014BD0">
        <w:rPr>
          <w:rFonts w:ascii="MetaPro-Norm" w:eastAsia="Times New Roman" w:hAnsi="MetaPro-Norm" w:cs="Times New Roman"/>
          <w:color w:val="222222"/>
          <w:shd w:val="clear" w:color="auto" w:fill="FFFFFF"/>
        </w:rPr>
        <w:t>authorizations</w:t>
      </w:r>
      <w:r>
        <w:rPr>
          <w:rFonts w:ascii="MetaPro-Norm" w:eastAsia="Times New Roman" w:hAnsi="MetaPro-Norm" w:cs="Times New Roman"/>
          <w:color w:val="222222"/>
          <w:shd w:val="clear" w:color="auto" w:fill="FFFFFF"/>
        </w:rPr>
        <w:t xml:space="preserve"> are especially prevalent in rural areas.</w:t>
      </w:r>
      <w:r>
        <w:rPr>
          <w:rStyle w:val="FootnoteReference"/>
          <w:rFonts w:ascii="MetaPro-Norm" w:eastAsia="Times New Roman" w:hAnsi="MetaPro-Norm" w:cs="Times New Roman"/>
          <w:color w:val="222222"/>
          <w:shd w:val="clear" w:color="auto" w:fill="FFFFFF"/>
        </w:rPr>
        <w:footnoteReference w:id="26"/>
      </w:r>
      <w:r w:rsidR="00A41240">
        <w:rPr>
          <w:rFonts w:ascii="MetaPro-Norm" w:eastAsia="Times New Roman" w:hAnsi="MetaPro-Norm" w:cs="Times New Roman"/>
          <w:color w:val="222222"/>
          <w:shd w:val="clear" w:color="auto" w:fill="FFFFFF"/>
        </w:rPr>
        <w:t xml:space="preserve"> </w:t>
      </w:r>
      <w:r w:rsidR="004D6289">
        <w:rPr>
          <w:rFonts w:ascii="MetaPro-Norm" w:eastAsia="Times New Roman" w:hAnsi="MetaPro-Norm" w:cs="Times New Roman"/>
          <w:color w:val="222222"/>
          <w:shd w:val="clear" w:color="auto" w:fill="FFFFFF"/>
        </w:rPr>
        <w:br/>
      </w:r>
      <w:r w:rsidR="004D6289">
        <w:rPr>
          <w:rFonts w:ascii="MetaPro-Norm" w:eastAsia="Times New Roman" w:hAnsi="MetaPro-Norm" w:cs="Times New Roman"/>
          <w:color w:val="222222"/>
          <w:shd w:val="clear" w:color="auto" w:fill="FFFFFF"/>
        </w:rPr>
        <w:br/>
      </w:r>
      <w:r w:rsidR="004D6289" w:rsidRPr="004D6289">
        <w:rPr>
          <w:rFonts w:ascii="MetaPro-Norm" w:eastAsia="Times New Roman" w:hAnsi="MetaPro-Norm" w:cs="Times New Roman"/>
          <w:color w:val="000000" w:themeColor="text1"/>
        </w:rPr>
        <w:t>Girls who enter marriages at a young age face greater risks in pregnancy, including difficulties during childbirth that can result in death. Child marriage also often ends a girl’s education and can expose her to domestic violence</w:t>
      </w:r>
      <w:r w:rsidR="004D6289" w:rsidRPr="00014BD0">
        <w:rPr>
          <w:rFonts w:ascii="MetaPro-Norm" w:eastAsia="Times New Roman" w:hAnsi="MetaPro-Norm" w:cs="Times New Roman"/>
          <w:color w:val="000000" w:themeColor="text1"/>
        </w:rPr>
        <w:t>.</w:t>
      </w:r>
      <w:r w:rsidR="004D6289" w:rsidRPr="00014BD0">
        <w:rPr>
          <w:rFonts w:ascii="Georgia" w:hAnsi="Georgia"/>
          <w:color w:val="000000" w:themeColor="text1"/>
          <w:sz w:val="30"/>
          <w:szCs w:val="30"/>
        </w:rPr>
        <w:t xml:space="preserve"> </w:t>
      </w:r>
      <w:r w:rsidR="00A41240" w:rsidRPr="00014BD0">
        <w:rPr>
          <w:rFonts w:ascii="MetaPro-Norm" w:eastAsia="Times New Roman" w:hAnsi="MetaPro-Norm" w:cs="Times New Roman"/>
          <w:color w:val="000000" w:themeColor="text1"/>
          <w:shd w:val="clear" w:color="auto" w:fill="FFFFFF"/>
        </w:rPr>
        <w:t xml:space="preserve">A 2013 study published in the Sultan Qaboos University Medical Journal, utilizing data from the 2000 Oman National Health Survey, found that “75% of married women respondents aged 20-44 years were married by age 20, with their median age at </w:t>
      </w:r>
      <w:r w:rsidR="00A41240" w:rsidRPr="00014BD0">
        <w:rPr>
          <w:rFonts w:ascii="MetaPro-Norm" w:eastAsia="Times New Roman" w:hAnsi="MetaPro-Norm" w:cs="Times New Roman"/>
          <w:color w:val="000000" w:themeColor="text1"/>
          <w:shd w:val="clear" w:color="auto" w:fill="FFFFFF"/>
        </w:rPr>
        <w:lastRenderedPageBreak/>
        <w:t>their first wedding being 16 years.”</w:t>
      </w:r>
      <w:r w:rsidR="00A41240" w:rsidRPr="00014BD0">
        <w:rPr>
          <w:rStyle w:val="FootnoteReference"/>
          <w:rFonts w:ascii="MetaPro-Norm" w:eastAsia="Times New Roman" w:hAnsi="MetaPro-Norm" w:cs="Times New Roman"/>
          <w:color w:val="000000" w:themeColor="text1"/>
          <w:shd w:val="clear" w:color="auto" w:fill="FFFFFF"/>
        </w:rPr>
        <w:footnoteReference w:id="27"/>
      </w:r>
      <w:r w:rsidR="00910B8D" w:rsidRPr="00014BD0">
        <w:rPr>
          <w:rFonts w:ascii="MetaPro-Norm" w:hAnsi="MetaPro-Norm"/>
          <w:color w:val="000000" w:themeColor="text1"/>
        </w:rPr>
        <w:t xml:space="preserve"> A</w:t>
      </w:r>
      <w:r w:rsidR="004D6289" w:rsidRPr="00014BD0">
        <w:rPr>
          <w:rFonts w:ascii="MetaPro-Norm" w:hAnsi="MetaPro-Norm"/>
          <w:color w:val="000000" w:themeColor="text1"/>
        </w:rPr>
        <w:t xml:space="preserve"> </w:t>
      </w:r>
      <w:r w:rsidR="00910B8D" w:rsidRPr="00014BD0">
        <w:rPr>
          <w:rFonts w:ascii="MetaPro-Norm" w:hAnsi="MetaPro-Norm"/>
          <w:color w:val="000000" w:themeColor="text1"/>
        </w:rPr>
        <w:t xml:space="preserve">majority of respondents </w:t>
      </w:r>
      <w:r w:rsidR="00910B8D" w:rsidRPr="004D6289">
        <w:rPr>
          <w:rFonts w:ascii="MetaPro-Norm" w:hAnsi="MetaPro-Norm"/>
          <w:color w:val="000000" w:themeColor="text1"/>
        </w:rPr>
        <w:t>had little to no education</w:t>
      </w:r>
      <w:r w:rsidR="004D6289" w:rsidRPr="004D6289">
        <w:rPr>
          <w:rFonts w:ascii="MetaPro-Norm" w:hAnsi="MetaPro-Norm"/>
          <w:color w:val="000000" w:themeColor="text1"/>
        </w:rPr>
        <w:t>; 43</w:t>
      </w:r>
      <w:r w:rsidR="00910B8D" w:rsidRPr="004D6289">
        <w:rPr>
          <w:rFonts w:ascii="MetaPro-Norm" w:hAnsi="MetaPro-Norm"/>
          <w:color w:val="000000" w:themeColor="text1"/>
        </w:rPr>
        <w:t xml:space="preserve"> percent of respondents had never attended school, and another 38 percent had </w:t>
      </w:r>
      <w:r w:rsidR="004D6289" w:rsidRPr="004D6289">
        <w:rPr>
          <w:rFonts w:ascii="MetaPro-Norm" w:hAnsi="MetaPro-Norm"/>
          <w:color w:val="000000" w:themeColor="text1"/>
        </w:rPr>
        <w:t xml:space="preserve">only </w:t>
      </w:r>
      <w:r w:rsidR="00910B8D" w:rsidRPr="004D6289">
        <w:rPr>
          <w:rFonts w:ascii="MetaPro-Norm" w:hAnsi="MetaPro-Norm"/>
          <w:color w:val="000000" w:themeColor="text1"/>
        </w:rPr>
        <w:t>completed some or all of primary school.</w:t>
      </w:r>
      <w:r w:rsidR="004D6289" w:rsidRPr="004D6289">
        <w:rPr>
          <w:rFonts w:ascii="MetaPro-Norm" w:hAnsi="MetaPro-Norm"/>
          <w:color w:val="000000" w:themeColor="text1"/>
        </w:rPr>
        <w:t xml:space="preserve"> </w:t>
      </w:r>
    </w:p>
    <w:p w14:paraId="6CC9967C" w14:textId="339FBDB7" w:rsidR="00CA522B" w:rsidRDefault="00CA522B" w:rsidP="00CA522B">
      <w:pPr>
        <w:rPr>
          <w:rFonts w:ascii="MetaPro-Norm" w:hAnsi="MetaPro-Norm"/>
          <w:b/>
          <w:bCs/>
        </w:rPr>
      </w:pPr>
    </w:p>
    <w:p w14:paraId="5DA6188D" w14:textId="494FD86A" w:rsidR="0032523C" w:rsidRDefault="00CA522B" w:rsidP="00910B8D">
      <w:pPr>
        <w:rPr>
          <w:rFonts w:ascii="MetaPro-Norm" w:hAnsi="MetaPro-Norm"/>
          <w:b/>
          <w:bCs/>
        </w:rPr>
      </w:pPr>
      <w:r w:rsidRPr="00143777">
        <w:rPr>
          <w:rFonts w:ascii="MetaPro-Norm" w:hAnsi="MetaPro-Norm"/>
          <w:i/>
        </w:rPr>
        <w:t>Human Rights Watch recommends that the Committee ask the government of Oman:</w:t>
      </w:r>
      <w:r w:rsidRPr="00143777">
        <w:rPr>
          <w:rFonts w:ascii="MetaPro-Norm" w:hAnsi="MetaPro-Norm"/>
          <w:b/>
          <w:bCs/>
        </w:rPr>
        <w:t xml:space="preserve">  </w:t>
      </w:r>
    </w:p>
    <w:p w14:paraId="0CF76DDE" w14:textId="7E8DC382" w:rsidR="0032523C" w:rsidRDefault="0032523C" w:rsidP="0032523C">
      <w:pPr>
        <w:pStyle w:val="ListParagraph"/>
        <w:numPr>
          <w:ilvl w:val="0"/>
          <w:numId w:val="10"/>
        </w:numPr>
        <w:rPr>
          <w:rFonts w:ascii="MetaPro-Norm" w:hAnsi="MetaPro-Norm"/>
        </w:rPr>
      </w:pPr>
      <w:r w:rsidRPr="0032523C">
        <w:rPr>
          <w:rFonts w:ascii="MetaPro-Norm" w:hAnsi="MetaPro-Norm"/>
        </w:rPr>
        <w:t>What mechanisms are in place to ensure accurate registration of births, deaths, marriages, and divorce</w:t>
      </w:r>
      <w:r w:rsidR="00B61409">
        <w:rPr>
          <w:rFonts w:ascii="MetaPro-Norm" w:hAnsi="MetaPro-Norm"/>
        </w:rPr>
        <w:t>s</w:t>
      </w:r>
      <w:r w:rsidRPr="0032523C">
        <w:rPr>
          <w:rFonts w:ascii="MetaPro-Norm" w:hAnsi="MetaPro-Norm"/>
        </w:rPr>
        <w:t>?</w:t>
      </w:r>
    </w:p>
    <w:p w14:paraId="1F924BC3" w14:textId="14E22BA9" w:rsidR="003D0483" w:rsidRPr="0032523C" w:rsidRDefault="003D0483" w:rsidP="0032523C">
      <w:pPr>
        <w:pStyle w:val="ListParagraph"/>
        <w:numPr>
          <w:ilvl w:val="0"/>
          <w:numId w:val="10"/>
        </w:numPr>
        <w:rPr>
          <w:rFonts w:ascii="MetaPro-Norm" w:hAnsi="MetaPro-Norm"/>
        </w:rPr>
      </w:pPr>
      <w:r>
        <w:rPr>
          <w:rFonts w:ascii="MetaPro-Norm" w:hAnsi="MetaPro-Norm"/>
        </w:rPr>
        <w:t xml:space="preserve">What steps is the government taking to reform laws that discriminate against girls by allowing child marriage for girls with judicial approval? </w:t>
      </w:r>
    </w:p>
    <w:p w14:paraId="0B3E9E51" w14:textId="77777777" w:rsidR="0032523C" w:rsidRPr="0032523C" w:rsidRDefault="0032523C" w:rsidP="0032523C">
      <w:pPr>
        <w:pStyle w:val="ListParagraph"/>
        <w:numPr>
          <w:ilvl w:val="0"/>
          <w:numId w:val="10"/>
        </w:numPr>
        <w:rPr>
          <w:rFonts w:ascii="MetaPro-Norm" w:hAnsi="MetaPro-Norm"/>
        </w:rPr>
      </w:pPr>
      <w:r w:rsidRPr="0032523C">
        <w:rPr>
          <w:rFonts w:ascii="MetaPro-Norm" w:hAnsi="MetaPro-Norm"/>
        </w:rPr>
        <w:t>How is the government working to change the cultural acceptance of child marriage and promote education for girls and women?</w:t>
      </w:r>
    </w:p>
    <w:p w14:paraId="7C4C3388" w14:textId="5165E5D5" w:rsidR="0032523C" w:rsidRPr="0032523C" w:rsidRDefault="00334880" w:rsidP="0032523C">
      <w:pPr>
        <w:pStyle w:val="ListParagraph"/>
        <w:numPr>
          <w:ilvl w:val="0"/>
          <w:numId w:val="10"/>
        </w:numPr>
        <w:rPr>
          <w:rFonts w:ascii="MetaPro-Norm" w:hAnsi="MetaPro-Norm"/>
        </w:rPr>
      </w:pPr>
      <w:r>
        <w:rPr>
          <w:rFonts w:ascii="MetaPro-Norm" w:hAnsi="MetaPro-Norm"/>
        </w:rPr>
        <w:t>What manner of access d</w:t>
      </w:r>
      <w:r w:rsidR="0032523C" w:rsidRPr="0032523C">
        <w:rPr>
          <w:rFonts w:ascii="MetaPro-Norm" w:hAnsi="MetaPro-Norm"/>
        </w:rPr>
        <w:t>o girls currently in marriages have to legal redress and child protection services?</w:t>
      </w:r>
    </w:p>
    <w:p w14:paraId="66E3E934" w14:textId="4D2EEF53" w:rsidR="006370B1" w:rsidRPr="00FA4B03" w:rsidRDefault="00334880" w:rsidP="00FA4B03">
      <w:pPr>
        <w:pStyle w:val="ListParagraph"/>
        <w:numPr>
          <w:ilvl w:val="0"/>
          <w:numId w:val="10"/>
        </w:numPr>
        <w:rPr>
          <w:rFonts w:ascii="MetaPro-Norm" w:hAnsi="MetaPro-Norm"/>
        </w:rPr>
      </w:pPr>
      <w:r>
        <w:rPr>
          <w:rFonts w:ascii="MetaPro-Norm" w:hAnsi="MetaPro-Norm"/>
        </w:rPr>
        <w:t xml:space="preserve">What </w:t>
      </w:r>
      <w:r w:rsidR="0032523C" w:rsidRPr="0032523C">
        <w:rPr>
          <w:rFonts w:ascii="MetaPro-Norm" w:hAnsi="MetaPro-Norm"/>
        </w:rPr>
        <w:t xml:space="preserve">monitoring systems </w:t>
      </w:r>
      <w:r>
        <w:rPr>
          <w:rFonts w:ascii="MetaPro-Norm" w:hAnsi="MetaPro-Norm"/>
        </w:rPr>
        <w:t xml:space="preserve">are </w:t>
      </w:r>
      <w:r w:rsidR="0032523C" w:rsidRPr="0032523C">
        <w:rPr>
          <w:rFonts w:ascii="MetaPro-Norm" w:hAnsi="MetaPro-Norm"/>
        </w:rPr>
        <w:t>in place to identify girls most vulnerable to child marriage?</w:t>
      </w:r>
    </w:p>
    <w:p w14:paraId="75464992" w14:textId="24816B0A" w:rsidR="00014BD0" w:rsidRDefault="00014BD0" w:rsidP="00CA522B">
      <w:pPr>
        <w:jc w:val="both"/>
        <w:rPr>
          <w:rFonts w:ascii="MetaPro-Norm" w:hAnsi="MetaPro-Norm"/>
          <w:color w:val="000000" w:themeColor="text1"/>
        </w:rPr>
      </w:pPr>
    </w:p>
    <w:p w14:paraId="17C8F26E" w14:textId="38988D74" w:rsidR="00014BD0" w:rsidRPr="00615191" w:rsidRDefault="00014BD0" w:rsidP="00615191">
      <w:pPr>
        <w:pStyle w:val="ListParagraph"/>
        <w:numPr>
          <w:ilvl w:val="0"/>
          <w:numId w:val="19"/>
        </w:numPr>
        <w:rPr>
          <w:rFonts w:ascii="MetaPro-Norm" w:hAnsi="MetaPro-Norm"/>
          <w:b/>
          <w:bCs/>
        </w:rPr>
      </w:pPr>
      <w:r w:rsidRPr="00615191">
        <w:rPr>
          <w:rFonts w:ascii="MetaPro-Norm" w:hAnsi="MetaPro-Norm"/>
          <w:b/>
          <w:bCs/>
        </w:rPr>
        <w:t>Access to Education during the Covid-19 Pandemic (</w:t>
      </w:r>
      <w:r w:rsidR="005E786C" w:rsidRPr="00615191">
        <w:rPr>
          <w:rFonts w:ascii="MetaPro-Norm" w:hAnsi="MetaPro-Norm"/>
          <w:b/>
          <w:bCs/>
        </w:rPr>
        <w:t>art.</w:t>
      </w:r>
      <w:r w:rsidRPr="00615191">
        <w:rPr>
          <w:rFonts w:ascii="MetaPro-Norm" w:hAnsi="MetaPro-Norm"/>
          <w:b/>
          <w:bCs/>
        </w:rPr>
        <w:t xml:space="preserve"> 10)</w:t>
      </w:r>
    </w:p>
    <w:p w14:paraId="15CC3548" w14:textId="77777777" w:rsidR="00162F14" w:rsidRDefault="00162F14" w:rsidP="00CA522B">
      <w:pPr>
        <w:jc w:val="both"/>
        <w:rPr>
          <w:rFonts w:ascii="MetaPro-Norm" w:hAnsi="MetaPro-Norm"/>
          <w:color w:val="000000" w:themeColor="text1"/>
        </w:rPr>
      </w:pPr>
    </w:p>
    <w:p w14:paraId="3A6BB195" w14:textId="7677AE28" w:rsidR="00026960" w:rsidRDefault="00162F14" w:rsidP="00516E74">
      <w:pPr>
        <w:jc w:val="both"/>
        <w:rPr>
          <w:rFonts w:ascii="MetaPro-Norm" w:hAnsi="MetaPro-Norm"/>
          <w:color w:val="000000" w:themeColor="text1"/>
        </w:rPr>
      </w:pPr>
      <w:r>
        <w:rPr>
          <w:rFonts w:ascii="MetaPro-Norm" w:hAnsi="MetaPro-Norm"/>
          <w:color w:val="000000" w:themeColor="text1"/>
        </w:rPr>
        <w:t xml:space="preserve">All </w:t>
      </w:r>
      <w:r w:rsidR="00A5474D">
        <w:rPr>
          <w:rFonts w:ascii="MetaPro-Norm" w:hAnsi="MetaPro-Norm"/>
          <w:color w:val="000000" w:themeColor="text1"/>
        </w:rPr>
        <w:t>public and private</w:t>
      </w:r>
      <w:r>
        <w:rPr>
          <w:rFonts w:ascii="MetaPro-Norm" w:hAnsi="MetaPro-Norm"/>
          <w:color w:val="000000" w:themeColor="text1"/>
        </w:rPr>
        <w:t xml:space="preserve"> schools</w:t>
      </w:r>
      <w:r w:rsidR="00A5474D">
        <w:rPr>
          <w:rFonts w:ascii="MetaPro-Norm" w:hAnsi="MetaPro-Norm"/>
          <w:color w:val="000000" w:themeColor="text1"/>
        </w:rPr>
        <w:t xml:space="preserve"> in</w:t>
      </w:r>
      <w:r>
        <w:rPr>
          <w:rFonts w:ascii="MetaPro-Norm" w:hAnsi="MetaPro-Norm"/>
          <w:color w:val="000000" w:themeColor="text1"/>
        </w:rPr>
        <w:t xml:space="preserve"> Oman halted in-person learning beginning</w:t>
      </w:r>
      <w:r w:rsidR="003C6410">
        <w:rPr>
          <w:rFonts w:ascii="MetaPro-Norm" w:hAnsi="MetaPro-Norm"/>
          <w:color w:val="000000" w:themeColor="text1"/>
        </w:rPr>
        <w:t xml:space="preserve"> March 15, 2020</w:t>
      </w:r>
      <w:r w:rsidR="003560C1">
        <w:rPr>
          <w:rFonts w:ascii="MetaPro-Norm" w:hAnsi="MetaPro-Norm"/>
          <w:color w:val="000000" w:themeColor="text1"/>
        </w:rPr>
        <w:t xml:space="preserve"> due the Covid-19 pandemic</w:t>
      </w:r>
      <w:r>
        <w:rPr>
          <w:rFonts w:ascii="MetaPro-Norm" w:hAnsi="MetaPro-Norm"/>
          <w:color w:val="000000" w:themeColor="text1"/>
        </w:rPr>
        <w:t>, and closures remained in effect until November 1, affecting the education of more than 600,000 students</w:t>
      </w:r>
      <w:r w:rsidR="00187786">
        <w:rPr>
          <w:rFonts w:ascii="MetaPro-Norm" w:hAnsi="MetaPro-Norm"/>
          <w:color w:val="000000" w:themeColor="text1"/>
        </w:rPr>
        <w:t xml:space="preserve"> who attend government schools</w:t>
      </w:r>
      <w:r w:rsidR="003C6410">
        <w:rPr>
          <w:rFonts w:ascii="MetaPro-Norm" w:hAnsi="MetaPro-Norm"/>
          <w:color w:val="000000" w:themeColor="text1"/>
        </w:rPr>
        <w:t>.</w:t>
      </w:r>
      <w:r w:rsidR="00150F2C">
        <w:rPr>
          <w:rStyle w:val="FootnoteReference"/>
          <w:rFonts w:ascii="MetaPro-Norm" w:hAnsi="MetaPro-Norm"/>
          <w:color w:val="000000" w:themeColor="text1"/>
        </w:rPr>
        <w:footnoteReference w:id="28"/>
      </w:r>
      <w:r w:rsidR="003C6410">
        <w:rPr>
          <w:rFonts w:ascii="MetaPro-Norm" w:hAnsi="MetaPro-Norm"/>
          <w:color w:val="000000" w:themeColor="text1"/>
        </w:rPr>
        <w:t xml:space="preserve"> </w:t>
      </w:r>
      <w:r w:rsidR="00A429AB">
        <w:rPr>
          <w:rFonts w:ascii="MetaPro-Norm" w:hAnsi="MetaPro-Norm"/>
          <w:color w:val="000000" w:themeColor="text1"/>
        </w:rPr>
        <w:t xml:space="preserve">Students and their parents who wished to continue distance learning </w:t>
      </w:r>
      <w:r w:rsidR="00FD140C">
        <w:rPr>
          <w:rFonts w:ascii="MetaPro-Norm" w:hAnsi="MetaPro-Norm"/>
          <w:color w:val="000000" w:themeColor="text1"/>
        </w:rPr>
        <w:t xml:space="preserve">after November 1 </w:t>
      </w:r>
      <w:r w:rsidR="00A429AB">
        <w:rPr>
          <w:rFonts w:ascii="MetaPro-Norm" w:hAnsi="MetaPro-Norm"/>
          <w:color w:val="000000" w:themeColor="text1"/>
        </w:rPr>
        <w:t xml:space="preserve">were given the opportunity to do so, </w:t>
      </w:r>
      <w:r w:rsidR="008658C7">
        <w:rPr>
          <w:rFonts w:ascii="MetaPro-Norm" w:hAnsi="MetaPro-Norm"/>
          <w:color w:val="000000" w:themeColor="text1"/>
        </w:rPr>
        <w:t>with guidelines set forth by the Ministry of Education.</w:t>
      </w:r>
      <w:r w:rsidR="008658C7">
        <w:rPr>
          <w:rStyle w:val="FootnoteReference"/>
          <w:rFonts w:ascii="MetaPro-Norm" w:hAnsi="MetaPro-Norm"/>
          <w:color w:val="000000" w:themeColor="text1"/>
        </w:rPr>
        <w:footnoteReference w:id="29"/>
      </w:r>
      <w:r w:rsidR="008658C7">
        <w:rPr>
          <w:rFonts w:ascii="MetaPro-Norm" w:hAnsi="MetaPro-Norm"/>
          <w:color w:val="000000" w:themeColor="text1"/>
        </w:rPr>
        <w:t xml:space="preserve"> </w:t>
      </w:r>
    </w:p>
    <w:p w14:paraId="2074BBAA" w14:textId="77777777" w:rsidR="00026960" w:rsidRDefault="00026960" w:rsidP="00516E74">
      <w:pPr>
        <w:jc w:val="both"/>
        <w:rPr>
          <w:rFonts w:ascii="MetaPro-Norm" w:hAnsi="MetaPro-Norm"/>
          <w:color w:val="000000" w:themeColor="text1"/>
        </w:rPr>
      </w:pPr>
    </w:p>
    <w:p w14:paraId="6DA0C22C" w14:textId="29F9B07D" w:rsidR="00E02F34" w:rsidRDefault="00334880" w:rsidP="00E02F34">
      <w:pPr>
        <w:jc w:val="both"/>
        <w:rPr>
          <w:rFonts w:ascii="MetaPro-Norm" w:hAnsi="MetaPro-Norm"/>
          <w:color w:val="000000" w:themeColor="text1"/>
        </w:rPr>
      </w:pPr>
      <w:r>
        <w:rPr>
          <w:rFonts w:ascii="MetaPro-Norm" w:hAnsi="MetaPro-Norm"/>
          <w:color w:val="000000" w:themeColor="text1"/>
        </w:rPr>
        <w:t>T</w:t>
      </w:r>
      <w:r w:rsidR="00026960">
        <w:rPr>
          <w:rFonts w:ascii="MetaPro-Norm" w:hAnsi="MetaPro-Norm"/>
          <w:color w:val="000000" w:themeColor="text1"/>
        </w:rPr>
        <w:t xml:space="preserve">he Ministry of Education </w:t>
      </w:r>
      <w:r>
        <w:rPr>
          <w:rFonts w:ascii="MetaPro-Norm" w:hAnsi="MetaPro-Norm"/>
          <w:color w:val="000000" w:themeColor="text1"/>
        </w:rPr>
        <w:t xml:space="preserve">made efforts </w:t>
      </w:r>
      <w:r w:rsidR="0098115F">
        <w:rPr>
          <w:rFonts w:ascii="MetaPro-Norm" w:hAnsi="MetaPro-Norm"/>
          <w:color w:val="000000" w:themeColor="text1"/>
        </w:rPr>
        <w:t xml:space="preserve">to transition </w:t>
      </w:r>
      <w:r>
        <w:rPr>
          <w:rFonts w:ascii="MetaPro-Norm" w:hAnsi="MetaPro-Norm"/>
          <w:color w:val="000000" w:themeColor="text1"/>
        </w:rPr>
        <w:t xml:space="preserve">to </w:t>
      </w:r>
      <w:r w:rsidR="0098115F">
        <w:rPr>
          <w:rFonts w:ascii="MetaPro-Norm" w:hAnsi="MetaPro-Norm"/>
          <w:color w:val="000000" w:themeColor="text1"/>
        </w:rPr>
        <w:t>lessons online and provide students and teachers with electronic devices</w:t>
      </w:r>
      <w:r w:rsidR="00F47871">
        <w:rPr>
          <w:rFonts w:ascii="MetaPro-Norm" w:hAnsi="MetaPro-Norm"/>
          <w:color w:val="000000" w:themeColor="text1"/>
        </w:rPr>
        <w:t xml:space="preserve">. </w:t>
      </w:r>
      <w:r w:rsidR="00626D9D">
        <w:rPr>
          <w:rFonts w:ascii="MetaPro-Norm" w:hAnsi="MetaPro-Norm"/>
          <w:color w:val="000000" w:themeColor="text1"/>
        </w:rPr>
        <w:t xml:space="preserve">The Director of the Information Technology Department at the Ministry of </w:t>
      </w:r>
      <w:r w:rsidR="00026960">
        <w:rPr>
          <w:rFonts w:ascii="MetaPro-Norm" w:hAnsi="MetaPro-Norm"/>
          <w:color w:val="000000" w:themeColor="text1"/>
        </w:rPr>
        <w:t>Education</w:t>
      </w:r>
      <w:r w:rsidR="00626D9D">
        <w:rPr>
          <w:rFonts w:ascii="MetaPro-Norm" w:hAnsi="MetaPro-Norm"/>
          <w:color w:val="000000" w:themeColor="text1"/>
        </w:rPr>
        <w:t xml:space="preserve">, </w:t>
      </w:r>
      <w:r w:rsidR="00A0330A">
        <w:rPr>
          <w:rFonts w:ascii="MetaPro-Norm" w:hAnsi="MetaPro-Norm"/>
          <w:color w:val="000000" w:themeColor="text1"/>
        </w:rPr>
        <w:t xml:space="preserve">Dr. Nasser Al Abri, </w:t>
      </w:r>
      <w:r w:rsidR="00626D9D">
        <w:rPr>
          <w:rFonts w:ascii="MetaPro-Norm" w:hAnsi="MetaPro-Norm"/>
          <w:color w:val="000000" w:themeColor="text1"/>
        </w:rPr>
        <w:t>as quoted by the Times of Oman, said that computers were available at “almost all of the Sultanate’s schools,” and that schools were given the option to redistribute those devices to students directly</w:t>
      </w:r>
      <w:r w:rsidR="00026960">
        <w:rPr>
          <w:rFonts w:ascii="MetaPro-Norm" w:hAnsi="MetaPro-Norm"/>
          <w:color w:val="000000" w:themeColor="text1"/>
        </w:rPr>
        <w:t>.</w:t>
      </w:r>
      <w:r w:rsidR="00026960">
        <w:rPr>
          <w:rStyle w:val="FootnoteReference"/>
          <w:rFonts w:ascii="MetaPro-Norm" w:hAnsi="MetaPro-Norm"/>
          <w:color w:val="000000" w:themeColor="text1"/>
        </w:rPr>
        <w:footnoteReference w:id="30"/>
      </w:r>
      <w:r w:rsidR="00026960">
        <w:rPr>
          <w:rFonts w:ascii="MetaPro-Norm" w:hAnsi="MetaPro-Norm"/>
          <w:color w:val="000000" w:themeColor="text1"/>
        </w:rPr>
        <w:t xml:space="preserve"> T</w:t>
      </w:r>
      <w:r w:rsidR="00626D9D">
        <w:rPr>
          <w:rFonts w:ascii="MetaPro-Norm" w:hAnsi="MetaPro-Norm"/>
          <w:color w:val="000000" w:themeColor="text1"/>
        </w:rPr>
        <w:t xml:space="preserve">eachers were permitted to use </w:t>
      </w:r>
      <w:r w:rsidR="00B61409">
        <w:rPr>
          <w:rFonts w:ascii="MetaPro-Norm" w:hAnsi="MetaPro-Norm"/>
          <w:color w:val="000000" w:themeColor="text1"/>
        </w:rPr>
        <w:t xml:space="preserve">the </w:t>
      </w:r>
      <w:r w:rsidR="00626D9D">
        <w:rPr>
          <w:rFonts w:ascii="MetaPro-Norm" w:hAnsi="MetaPro-Norm"/>
          <w:color w:val="000000" w:themeColor="text1"/>
        </w:rPr>
        <w:t xml:space="preserve">devices </w:t>
      </w:r>
      <w:r w:rsidR="00B61409">
        <w:rPr>
          <w:rFonts w:ascii="MetaPro-Norm" w:hAnsi="MetaPro-Norm"/>
          <w:color w:val="000000" w:themeColor="text1"/>
        </w:rPr>
        <w:t xml:space="preserve">that are at </w:t>
      </w:r>
      <w:r w:rsidR="00626D9D">
        <w:rPr>
          <w:rFonts w:ascii="MetaPro-Norm" w:hAnsi="MetaPro-Norm"/>
          <w:color w:val="000000" w:themeColor="text1"/>
        </w:rPr>
        <w:t>school facilities.</w:t>
      </w:r>
      <w:r w:rsidR="00026960">
        <w:rPr>
          <w:rStyle w:val="FootnoteReference"/>
          <w:rFonts w:ascii="MetaPro-Norm" w:hAnsi="MetaPro-Norm"/>
          <w:color w:val="000000" w:themeColor="text1"/>
        </w:rPr>
        <w:footnoteReference w:id="31"/>
      </w:r>
      <w:r w:rsidR="001720AE">
        <w:rPr>
          <w:rFonts w:ascii="MetaPro-Norm" w:hAnsi="MetaPro-Norm"/>
          <w:color w:val="000000" w:themeColor="text1"/>
        </w:rPr>
        <w:t xml:space="preserve"> </w:t>
      </w:r>
    </w:p>
    <w:p w14:paraId="03367D20" w14:textId="77777777" w:rsidR="00E02F34" w:rsidRDefault="00E02F34" w:rsidP="00E02F34">
      <w:pPr>
        <w:jc w:val="both"/>
        <w:rPr>
          <w:rFonts w:ascii="MetaPro-Norm" w:hAnsi="MetaPro-Norm"/>
          <w:color w:val="000000" w:themeColor="text1"/>
        </w:rPr>
      </w:pPr>
    </w:p>
    <w:p w14:paraId="72C4B220" w14:textId="240F538B" w:rsidR="00E02F34" w:rsidRDefault="00E02F34" w:rsidP="00E02F34">
      <w:pPr>
        <w:jc w:val="both"/>
        <w:rPr>
          <w:rFonts w:ascii="MetaPro-Norm" w:hAnsi="MetaPro-Norm"/>
          <w:color w:val="000000" w:themeColor="text1"/>
        </w:rPr>
      </w:pPr>
      <w:r>
        <w:rPr>
          <w:rFonts w:ascii="MetaPro-Norm" w:hAnsi="MetaPro-Norm"/>
          <w:color w:val="000000" w:themeColor="text1"/>
        </w:rPr>
        <w:t xml:space="preserve">Dr. Al Abri </w:t>
      </w:r>
      <w:r w:rsidR="00FD140C">
        <w:rPr>
          <w:rFonts w:ascii="MetaPro-Norm" w:hAnsi="MetaPro-Norm"/>
          <w:color w:val="000000" w:themeColor="text1"/>
        </w:rPr>
        <w:t xml:space="preserve">also </w:t>
      </w:r>
      <w:r>
        <w:rPr>
          <w:rFonts w:ascii="MetaPro-Norm" w:hAnsi="MetaPro-Norm"/>
          <w:color w:val="000000" w:themeColor="text1"/>
        </w:rPr>
        <w:t>said that the Ministry distributed devices and “internet packages” through local suppliers at “affordable rates,” though it is unclear whether the Ministry or students’ families bore the cost burden in this situation.</w:t>
      </w:r>
      <w:r>
        <w:rPr>
          <w:rStyle w:val="FootnoteReference"/>
          <w:rFonts w:ascii="MetaPro-Norm" w:hAnsi="MetaPro-Norm"/>
          <w:color w:val="000000" w:themeColor="text1"/>
        </w:rPr>
        <w:footnoteReference w:id="32"/>
      </w:r>
      <w:r>
        <w:rPr>
          <w:rFonts w:ascii="MetaPro-Norm" w:hAnsi="MetaPro-Norm"/>
          <w:color w:val="000000" w:themeColor="text1"/>
        </w:rPr>
        <w:t xml:space="preserve"> </w:t>
      </w:r>
    </w:p>
    <w:p w14:paraId="2B456711" w14:textId="208FB78B" w:rsidR="00E02F34" w:rsidRDefault="00E02F34" w:rsidP="00E02F34">
      <w:pPr>
        <w:jc w:val="both"/>
        <w:rPr>
          <w:rFonts w:ascii="MetaPro-Norm" w:hAnsi="MetaPro-Norm"/>
          <w:color w:val="000000" w:themeColor="text1"/>
        </w:rPr>
      </w:pPr>
    </w:p>
    <w:p w14:paraId="5BBFAAFD" w14:textId="3746B315" w:rsidR="006209D7" w:rsidRPr="006209D7" w:rsidRDefault="00E02F34" w:rsidP="006209D7">
      <w:pPr>
        <w:rPr>
          <w:rFonts w:ascii="MetaPro-Norm" w:hAnsi="MetaPro-Norm"/>
        </w:rPr>
      </w:pPr>
      <w:r w:rsidRPr="006209D7">
        <w:rPr>
          <w:rFonts w:ascii="MetaPro-Norm" w:hAnsi="MetaPro-Norm"/>
          <w:color w:val="000000" w:themeColor="text1"/>
        </w:rPr>
        <w:t>Students between grades 5 and 10 are reportedly receiving two classes a month on information technology.</w:t>
      </w:r>
      <w:r>
        <w:rPr>
          <w:rStyle w:val="FootnoteReference"/>
          <w:rFonts w:ascii="MetaPro-Norm" w:hAnsi="MetaPro-Norm"/>
          <w:color w:val="000000" w:themeColor="text1"/>
        </w:rPr>
        <w:footnoteReference w:id="33"/>
      </w:r>
      <w:r w:rsidRPr="006209D7">
        <w:rPr>
          <w:rFonts w:ascii="MetaPro-Norm" w:hAnsi="MetaPro-Norm"/>
          <w:color w:val="000000" w:themeColor="text1"/>
        </w:rPr>
        <w:t xml:space="preserve"> Public and private schools are reportedly using e-learning platforms such as Google classrooms, Schoology, Seesaw, Blackboard, and Moodle.</w:t>
      </w:r>
      <w:r>
        <w:rPr>
          <w:rStyle w:val="FootnoteReference"/>
          <w:rFonts w:ascii="MetaPro-Norm" w:hAnsi="MetaPro-Norm"/>
          <w:color w:val="000000" w:themeColor="text1"/>
        </w:rPr>
        <w:footnoteReference w:id="34"/>
      </w:r>
      <w:r w:rsidR="006209D7" w:rsidRPr="006209D7">
        <w:rPr>
          <w:rFonts w:ascii="MetaPro-Norm" w:hAnsi="MetaPro-Norm"/>
          <w:color w:val="000000" w:themeColor="text1"/>
        </w:rPr>
        <w:t xml:space="preserve"> Little information is available regarding whether the Ministry of Education has </w:t>
      </w:r>
      <w:r w:rsidR="006209D7">
        <w:rPr>
          <w:rFonts w:ascii="MetaPro-Norm" w:hAnsi="MetaPro-Norm"/>
          <w:color w:val="000000" w:themeColor="text1"/>
        </w:rPr>
        <w:t>ensured that these platforms</w:t>
      </w:r>
      <w:r w:rsidR="006209D7" w:rsidRPr="006209D7">
        <w:rPr>
          <w:rFonts w:ascii="MetaPro-Norm" w:hAnsi="MetaPro-Norm"/>
        </w:rPr>
        <w:t xml:space="preserve"> </w:t>
      </w:r>
      <w:r w:rsidR="006209D7">
        <w:rPr>
          <w:rFonts w:ascii="MetaPro-Norm" w:hAnsi="MetaPro-Norm"/>
        </w:rPr>
        <w:t>are protecting</w:t>
      </w:r>
      <w:r w:rsidR="004164DE">
        <w:rPr>
          <w:rFonts w:ascii="MetaPro-Norm" w:hAnsi="MetaPro-Norm"/>
        </w:rPr>
        <w:t xml:space="preserve"> </w:t>
      </w:r>
      <w:r w:rsidR="006209D7" w:rsidRPr="006209D7">
        <w:rPr>
          <w:rFonts w:ascii="MetaPro-Norm" w:hAnsi="MetaPro-Norm"/>
        </w:rPr>
        <w:t xml:space="preserve">children’s </w:t>
      </w:r>
      <w:r w:rsidR="004164DE">
        <w:rPr>
          <w:rFonts w:ascii="MetaPro-Norm" w:hAnsi="MetaPro-Norm"/>
        </w:rPr>
        <w:t xml:space="preserve">digital </w:t>
      </w:r>
      <w:r w:rsidR="006209D7" w:rsidRPr="006209D7">
        <w:rPr>
          <w:rFonts w:ascii="MetaPro-Norm" w:hAnsi="MetaPro-Norm"/>
        </w:rPr>
        <w:t xml:space="preserve">privacy </w:t>
      </w:r>
      <w:r w:rsidR="004164DE">
        <w:rPr>
          <w:rFonts w:ascii="MetaPro-Norm" w:hAnsi="MetaPro-Norm"/>
        </w:rPr>
        <w:t>and data</w:t>
      </w:r>
      <w:r w:rsidR="00FD140C">
        <w:rPr>
          <w:rFonts w:ascii="MetaPro-Norm" w:hAnsi="MetaPro-Norm"/>
        </w:rPr>
        <w:t xml:space="preserve">. </w:t>
      </w:r>
    </w:p>
    <w:p w14:paraId="4997AF36" w14:textId="77777777" w:rsidR="00D32F81" w:rsidRDefault="00D32F81" w:rsidP="00F47871">
      <w:pPr>
        <w:jc w:val="both"/>
        <w:rPr>
          <w:rFonts w:ascii="MetaPro-Norm" w:hAnsi="MetaPro-Norm"/>
          <w:color w:val="000000" w:themeColor="text1"/>
        </w:rPr>
      </w:pPr>
    </w:p>
    <w:p w14:paraId="3C7FC30A" w14:textId="692EF80A" w:rsidR="00F47871" w:rsidRDefault="00516E74" w:rsidP="00A5474D">
      <w:pPr>
        <w:jc w:val="both"/>
        <w:rPr>
          <w:rFonts w:ascii="MetaPro-Norm" w:hAnsi="MetaPro-Norm"/>
          <w:color w:val="000000" w:themeColor="text1"/>
        </w:rPr>
      </w:pPr>
      <w:r>
        <w:rPr>
          <w:rFonts w:ascii="MetaPro-Norm" w:hAnsi="MetaPro-Norm"/>
          <w:color w:val="000000" w:themeColor="text1"/>
        </w:rPr>
        <w:t>On November 8, the Oman News Agency reported that the Ministry of Education signed a cooperation agreement with Petroleum Development Oman (PDO), a production company, to finance the purchase of 2,931 computers for students in grades 7 through 12 to assist with their online learning.</w:t>
      </w:r>
      <w:r>
        <w:rPr>
          <w:rStyle w:val="FootnoteReference"/>
          <w:rFonts w:ascii="MetaPro-Norm" w:hAnsi="MetaPro-Norm"/>
          <w:color w:val="000000" w:themeColor="text1"/>
        </w:rPr>
        <w:footnoteReference w:id="35"/>
      </w:r>
      <w:r>
        <w:rPr>
          <w:rFonts w:ascii="MetaPro-Norm" w:hAnsi="MetaPro-Norm"/>
          <w:color w:val="000000" w:themeColor="text1"/>
        </w:rPr>
        <w:t xml:space="preserve"> </w:t>
      </w:r>
      <w:r w:rsidR="00F47871">
        <w:rPr>
          <w:rFonts w:ascii="MetaPro-Norm" w:hAnsi="MetaPro-Norm"/>
          <w:color w:val="000000" w:themeColor="text1"/>
        </w:rPr>
        <w:t xml:space="preserve">However, the Director General of the Directorate of Education in Muscat, as quoted by the Times of Oman, stated that students in grades 11 and 12 </w:t>
      </w:r>
      <w:r w:rsidR="00405930">
        <w:rPr>
          <w:rFonts w:ascii="MetaPro-Norm" w:hAnsi="MetaPro-Norm"/>
          <w:color w:val="000000" w:themeColor="text1"/>
        </w:rPr>
        <w:t>could</w:t>
      </w:r>
      <w:r w:rsidR="00F47871">
        <w:rPr>
          <w:rFonts w:ascii="MetaPro-Norm" w:hAnsi="MetaPro-Norm"/>
          <w:color w:val="000000" w:themeColor="text1"/>
        </w:rPr>
        <w:t xml:space="preserve"> access online learning platforms through their mobile phones, and </w:t>
      </w:r>
      <w:r w:rsidR="00405930">
        <w:rPr>
          <w:rFonts w:ascii="MetaPro-Norm" w:hAnsi="MetaPro-Norm"/>
          <w:color w:val="000000" w:themeColor="text1"/>
        </w:rPr>
        <w:t>that they do</w:t>
      </w:r>
      <w:r w:rsidR="00F47871">
        <w:rPr>
          <w:rFonts w:ascii="MetaPro-Norm" w:hAnsi="MetaPro-Norm"/>
          <w:color w:val="000000" w:themeColor="text1"/>
        </w:rPr>
        <w:t xml:space="preserve"> not require laptops</w:t>
      </w:r>
      <w:r w:rsidR="00A5474D">
        <w:rPr>
          <w:rFonts w:ascii="MetaPro-Norm" w:hAnsi="MetaPro-Norm"/>
          <w:color w:val="000000" w:themeColor="text1"/>
        </w:rPr>
        <w:t>.</w:t>
      </w:r>
      <w:r w:rsidR="004164DE">
        <w:rPr>
          <w:rStyle w:val="FootnoteReference"/>
          <w:rFonts w:ascii="MetaPro-Norm" w:hAnsi="MetaPro-Norm"/>
          <w:color w:val="000000" w:themeColor="text1"/>
        </w:rPr>
        <w:footnoteReference w:id="36"/>
      </w:r>
      <w:r w:rsidR="00A5474D">
        <w:rPr>
          <w:rFonts w:ascii="MetaPro-Norm" w:hAnsi="MetaPro-Norm"/>
          <w:color w:val="000000" w:themeColor="text1"/>
        </w:rPr>
        <w:t xml:space="preserve"> As such, it is unclear which </w:t>
      </w:r>
      <w:r w:rsidR="009D2271">
        <w:rPr>
          <w:rFonts w:ascii="MetaPro-Norm" w:hAnsi="MetaPro-Norm"/>
          <w:color w:val="000000" w:themeColor="text1"/>
        </w:rPr>
        <w:t>grades’</w:t>
      </w:r>
      <w:r w:rsidR="00A5474D">
        <w:rPr>
          <w:rFonts w:ascii="MetaPro-Norm" w:hAnsi="MetaPro-Norm"/>
          <w:color w:val="000000" w:themeColor="text1"/>
        </w:rPr>
        <w:t xml:space="preserve"> technological needs are being prioritized</w:t>
      </w:r>
      <w:r w:rsidR="00405930">
        <w:rPr>
          <w:rFonts w:ascii="MetaPro-Norm" w:hAnsi="MetaPro-Norm"/>
          <w:color w:val="000000" w:themeColor="text1"/>
        </w:rPr>
        <w:t xml:space="preserve"> by the Ministry of Education, and whether students in grades 11 and 12 are indeed receiving computers for e-learning</w:t>
      </w:r>
      <w:r w:rsidR="00A5474D">
        <w:rPr>
          <w:rFonts w:ascii="MetaPro-Norm" w:hAnsi="MetaPro-Norm"/>
          <w:color w:val="000000" w:themeColor="text1"/>
        </w:rPr>
        <w:t xml:space="preserve">. </w:t>
      </w:r>
      <w:r w:rsidR="00825610">
        <w:rPr>
          <w:rFonts w:ascii="MetaPro-Norm" w:hAnsi="MetaPro-Norm"/>
          <w:color w:val="000000" w:themeColor="text1"/>
        </w:rPr>
        <w:t xml:space="preserve">Moreover, the comment presupposes </w:t>
      </w:r>
      <w:r w:rsidR="00405930">
        <w:rPr>
          <w:rFonts w:ascii="MetaPro-Norm" w:hAnsi="MetaPro-Norm"/>
          <w:color w:val="000000" w:themeColor="text1"/>
        </w:rPr>
        <w:t xml:space="preserve">that </w:t>
      </w:r>
      <w:r w:rsidR="00825610">
        <w:rPr>
          <w:rFonts w:ascii="MetaPro-Norm" w:hAnsi="MetaPro-Norm"/>
          <w:color w:val="000000" w:themeColor="text1"/>
        </w:rPr>
        <w:t>students</w:t>
      </w:r>
      <w:r w:rsidR="00405930">
        <w:rPr>
          <w:rFonts w:ascii="MetaPro-Norm" w:hAnsi="MetaPro-Norm"/>
          <w:color w:val="000000" w:themeColor="text1"/>
        </w:rPr>
        <w:t xml:space="preserve"> have</w:t>
      </w:r>
      <w:r w:rsidR="00825610">
        <w:rPr>
          <w:rFonts w:ascii="MetaPro-Norm" w:hAnsi="MetaPro-Norm"/>
          <w:color w:val="000000" w:themeColor="text1"/>
        </w:rPr>
        <w:t xml:space="preserve"> mobile </w:t>
      </w:r>
      <w:r w:rsidR="007D351A">
        <w:rPr>
          <w:rFonts w:ascii="MetaPro-Norm" w:hAnsi="MetaPro-Norm"/>
          <w:color w:val="000000" w:themeColor="text1"/>
        </w:rPr>
        <w:t xml:space="preserve">devices. </w:t>
      </w:r>
    </w:p>
    <w:p w14:paraId="3F856077" w14:textId="7AD295E2" w:rsidR="00AA7F4E" w:rsidRDefault="00AA7F4E" w:rsidP="00A5474D">
      <w:pPr>
        <w:jc w:val="both"/>
        <w:rPr>
          <w:rFonts w:ascii="MetaPro-Norm" w:hAnsi="MetaPro-Norm"/>
          <w:color w:val="000000" w:themeColor="text1"/>
        </w:rPr>
      </w:pPr>
    </w:p>
    <w:p w14:paraId="7BCD0B70" w14:textId="08F4D6F0" w:rsidR="00AA7F4E" w:rsidRDefault="00AA7F4E" w:rsidP="00A5474D">
      <w:pPr>
        <w:jc w:val="both"/>
        <w:rPr>
          <w:rFonts w:ascii="MetaPro-Norm" w:hAnsi="MetaPro-Norm"/>
          <w:color w:val="000000" w:themeColor="text1"/>
        </w:rPr>
      </w:pPr>
      <w:r>
        <w:rPr>
          <w:rFonts w:ascii="MetaPro-Norm" w:hAnsi="MetaPro-Norm"/>
          <w:color w:val="000000" w:themeColor="text1"/>
        </w:rPr>
        <w:t xml:space="preserve">Little information is available regarding the Ministry of Education or other institutions’ efforts to provide emotional and mental health support to children and their families during this time. </w:t>
      </w:r>
    </w:p>
    <w:p w14:paraId="1617F4C3" w14:textId="30159DBB" w:rsidR="00126D21" w:rsidRDefault="00126D21">
      <w:pPr>
        <w:rPr>
          <w:rFonts w:ascii="MetaPro-Norm" w:hAnsi="MetaPro-Norm"/>
        </w:rPr>
      </w:pPr>
    </w:p>
    <w:p w14:paraId="5C3783A5" w14:textId="604EA4AF" w:rsidR="00A562E5" w:rsidRDefault="00E02F34" w:rsidP="00A562E5">
      <w:pPr>
        <w:rPr>
          <w:rFonts w:ascii="MetaPro-Norm" w:hAnsi="MetaPro-Norm"/>
        </w:rPr>
      </w:pPr>
      <w:r w:rsidRPr="00A562E5">
        <w:rPr>
          <w:rFonts w:ascii="MetaPro-Norm" w:hAnsi="MetaPro-Norm"/>
        </w:rPr>
        <w:t>The Omani government should focus on mitigating the disproportionate effects on children and youth who already experience barriers accessing education, or who are at higher risk of being excluded for a variety of reasons.</w:t>
      </w:r>
      <w:r w:rsidR="00A562E5">
        <w:rPr>
          <w:rStyle w:val="FootnoteReference"/>
          <w:rFonts w:ascii="MetaPro-Norm" w:hAnsi="MetaPro-Norm"/>
        </w:rPr>
        <w:footnoteReference w:id="37"/>
      </w:r>
      <w:r w:rsidRPr="00A562E5">
        <w:rPr>
          <w:rFonts w:ascii="MetaPro-Norm" w:hAnsi="MetaPro-Norm"/>
        </w:rPr>
        <w:t xml:space="preserve"> These include children with disabilities, </w:t>
      </w:r>
      <w:r w:rsidR="00401308">
        <w:rPr>
          <w:rFonts w:ascii="MetaPro-Norm" w:hAnsi="MetaPro-Norm"/>
        </w:rPr>
        <w:t>children</w:t>
      </w:r>
      <w:r w:rsidRPr="00A562E5">
        <w:rPr>
          <w:rFonts w:ascii="MetaPro-Norm" w:hAnsi="MetaPro-Norm"/>
        </w:rPr>
        <w:t xml:space="preserve"> in rural </w:t>
      </w:r>
      <w:r w:rsidR="00401308">
        <w:rPr>
          <w:rFonts w:ascii="MetaPro-Norm" w:hAnsi="MetaPro-Norm"/>
        </w:rPr>
        <w:lastRenderedPageBreak/>
        <w:t xml:space="preserve">and low-income </w:t>
      </w:r>
      <w:r w:rsidRPr="00A562E5">
        <w:rPr>
          <w:rFonts w:ascii="MetaPro-Norm" w:hAnsi="MetaPro-Norm"/>
        </w:rPr>
        <w:t>areas</w:t>
      </w:r>
      <w:r w:rsidR="00401308">
        <w:rPr>
          <w:rFonts w:ascii="MetaPro-Norm" w:hAnsi="MetaPro-Norm"/>
        </w:rPr>
        <w:t>, and</w:t>
      </w:r>
      <w:r w:rsidR="00A562E5" w:rsidRPr="00A562E5">
        <w:rPr>
          <w:rFonts w:ascii="MetaPro-Norm" w:hAnsi="MetaPro-Norm"/>
        </w:rPr>
        <w:t xml:space="preserve"> stateless children</w:t>
      </w:r>
      <w:r w:rsidR="00341B62">
        <w:rPr>
          <w:rFonts w:ascii="MetaPro-Norm" w:hAnsi="MetaPro-Norm"/>
        </w:rPr>
        <w:t xml:space="preserve">. Stateless children have difficulties </w:t>
      </w:r>
      <w:r w:rsidR="00A562E5" w:rsidRPr="00A562E5">
        <w:rPr>
          <w:rFonts w:ascii="MetaPro-Norm" w:hAnsi="MetaPro-Norm"/>
        </w:rPr>
        <w:t>accessing government services and higher education</w:t>
      </w:r>
      <w:r w:rsidR="00A562E5">
        <w:rPr>
          <w:rFonts w:ascii="MetaPro-Norm" w:hAnsi="MetaPro-Norm"/>
        </w:rPr>
        <w:t xml:space="preserve"> in Oman</w:t>
      </w:r>
      <w:r w:rsidR="00341B62">
        <w:rPr>
          <w:rFonts w:ascii="MetaPro-Norm" w:hAnsi="MetaPro-Norm"/>
        </w:rPr>
        <w:t xml:space="preserve"> due to their status</w:t>
      </w:r>
      <w:r w:rsidR="00A562E5">
        <w:rPr>
          <w:rFonts w:ascii="MetaPro-Norm" w:hAnsi="MetaPro-Norm"/>
        </w:rPr>
        <w:t>.</w:t>
      </w:r>
      <w:r w:rsidR="00A562E5">
        <w:rPr>
          <w:rStyle w:val="FootnoteReference"/>
          <w:rFonts w:ascii="MetaPro-Norm" w:hAnsi="MetaPro-Norm"/>
        </w:rPr>
        <w:footnoteReference w:id="38"/>
      </w:r>
      <w:r w:rsidR="00F607ED">
        <w:rPr>
          <w:rFonts w:ascii="MetaPro-Norm" w:hAnsi="MetaPro-Norm"/>
        </w:rPr>
        <w:t xml:space="preserve"> </w:t>
      </w:r>
      <w:r w:rsidR="00341B62">
        <w:rPr>
          <w:rFonts w:ascii="MetaPro-Norm" w:hAnsi="MetaPro-Norm"/>
        </w:rPr>
        <w:t>C</w:t>
      </w:r>
      <w:r w:rsidR="00F607ED">
        <w:rPr>
          <w:rFonts w:ascii="MetaPro-Norm" w:hAnsi="MetaPro-Norm"/>
        </w:rPr>
        <w:t xml:space="preserve">hildren </w:t>
      </w:r>
      <w:r w:rsidR="00341B62">
        <w:rPr>
          <w:rFonts w:ascii="MetaPro-Norm" w:hAnsi="MetaPro-Norm"/>
        </w:rPr>
        <w:t xml:space="preserve">with disabilities </w:t>
      </w:r>
      <w:r w:rsidR="003F4EF3">
        <w:rPr>
          <w:rFonts w:ascii="MetaPro-Norm" w:hAnsi="MetaPro-Norm"/>
        </w:rPr>
        <w:t xml:space="preserve">already </w:t>
      </w:r>
      <w:r w:rsidR="001D0AE4">
        <w:rPr>
          <w:rFonts w:ascii="MetaPro-Norm" w:hAnsi="MetaPro-Norm"/>
        </w:rPr>
        <w:t>face “structural” inequities</w:t>
      </w:r>
      <w:r w:rsidR="00DA2AC3">
        <w:rPr>
          <w:rFonts w:ascii="MetaPro-Norm" w:hAnsi="MetaPro-Norm"/>
        </w:rPr>
        <w:t>, especially in education</w:t>
      </w:r>
      <w:r w:rsidR="00341B62">
        <w:rPr>
          <w:rFonts w:ascii="MetaPro-Norm" w:hAnsi="MetaPro-Norm"/>
        </w:rPr>
        <w:t>, and services</w:t>
      </w:r>
      <w:r w:rsidR="00AA30E9">
        <w:rPr>
          <w:rFonts w:ascii="MetaPro-Norm" w:hAnsi="MetaPro-Norm"/>
        </w:rPr>
        <w:t xml:space="preserve"> for them </w:t>
      </w:r>
      <w:r w:rsidR="00341B62">
        <w:rPr>
          <w:rFonts w:ascii="MetaPro-Norm" w:hAnsi="MetaPro-Norm"/>
        </w:rPr>
        <w:t>are limited to major cities, as noted by UNICEF in 2017</w:t>
      </w:r>
      <w:r w:rsidR="00DA2AC3">
        <w:rPr>
          <w:rFonts w:ascii="MetaPro-Norm" w:hAnsi="MetaPro-Norm"/>
        </w:rPr>
        <w:t>.</w:t>
      </w:r>
      <w:r w:rsidR="001D0AE4">
        <w:rPr>
          <w:rStyle w:val="FootnoteReference"/>
          <w:rFonts w:ascii="MetaPro-Norm" w:hAnsi="MetaPro-Norm"/>
        </w:rPr>
        <w:footnoteReference w:id="39"/>
      </w:r>
    </w:p>
    <w:p w14:paraId="198B367E" w14:textId="4188360E" w:rsidR="006209D7" w:rsidRDefault="006209D7" w:rsidP="00A562E5">
      <w:pPr>
        <w:rPr>
          <w:rFonts w:ascii="MetaPro-Norm" w:hAnsi="MetaPro-Norm"/>
        </w:rPr>
      </w:pPr>
    </w:p>
    <w:p w14:paraId="218E8430" w14:textId="5B3C0AA3" w:rsidR="00F12E94" w:rsidRPr="00F12E94" w:rsidRDefault="00F12E94" w:rsidP="00F12E94">
      <w:pPr>
        <w:rPr>
          <w:rFonts w:ascii="MetaPro-Norm" w:hAnsi="MetaPro-Norm"/>
          <w:i/>
        </w:rPr>
      </w:pPr>
      <w:r w:rsidRPr="005A68C1">
        <w:rPr>
          <w:rFonts w:ascii="MetaPro-Norm" w:hAnsi="MetaPro-Norm"/>
          <w:i/>
        </w:rPr>
        <w:t xml:space="preserve">Human Rights Watch recommends that the Committee ask the government of </w:t>
      </w:r>
      <w:r>
        <w:rPr>
          <w:rFonts w:ascii="MetaPro-Norm" w:hAnsi="MetaPro-Norm"/>
          <w:i/>
        </w:rPr>
        <w:t>Oman</w:t>
      </w:r>
      <w:r w:rsidRPr="005A68C1">
        <w:rPr>
          <w:rFonts w:ascii="MetaPro-Norm" w:hAnsi="MetaPro-Norm"/>
          <w:i/>
        </w:rPr>
        <w:t>:</w:t>
      </w:r>
    </w:p>
    <w:p w14:paraId="0A54777A" w14:textId="51B79047" w:rsidR="006209D7" w:rsidRPr="005A68C1" w:rsidRDefault="006209D7" w:rsidP="006209D7">
      <w:pPr>
        <w:pStyle w:val="ListParagraph"/>
        <w:numPr>
          <w:ilvl w:val="0"/>
          <w:numId w:val="12"/>
        </w:numPr>
        <w:rPr>
          <w:rFonts w:ascii="MetaPro-Norm" w:hAnsi="MetaPro-Norm"/>
        </w:rPr>
      </w:pPr>
      <w:r w:rsidRPr="005A68C1">
        <w:rPr>
          <w:rFonts w:ascii="MetaPro-Norm" w:hAnsi="MetaPro-Norm"/>
        </w:rPr>
        <w:t xml:space="preserve">How is the government performing due diligence to ensure that any technology </w:t>
      </w:r>
      <w:r w:rsidR="00B61409">
        <w:rPr>
          <w:rFonts w:ascii="MetaPro-Norm" w:hAnsi="MetaPro-Norm"/>
        </w:rPr>
        <w:t>it</w:t>
      </w:r>
      <w:r w:rsidR="00B61409" w:rsidRPr="005A68C1">
        <w:rPr>
          <w:rFonts w:ascii="MetaPro-Norm" w:hAnsi="MetaPro-Norm"/>
        </w:rPr>
        <w:t xml:space="preserve"> </w:t>
      </w:r>
      <w:r w:rsidRPr="005A68C1">
        <w:rPr>
          <w:rFonts w:ascii="MetaPro-Norm" w:hAnsi="MetaPro-Norm"/>
        </w:rPr>
        <w:t>recommend</w:t>
      </w:r>
      <w:r w:rsidR="00B61409">
        <w:rPr>
          <w:rFonts w:ascii="MetaPro-Norm" w:hAnsi="MetaPro-Norm"/>
        </w:rPr>
        <w:t>s</w:t>
      </w:r>
      <w:r w:rsidRPr="005A68C1">
        <w:rPr>
          <w:rFonts w:ascii="MetaPro-Norm" w:hAnsi="MetaPro-Norm"/>
        </w:rPr>
        <w:t xml:space="preserve"> for online learning protects children’s privacy rights? Did the government include data privacy clauses in any contracts </w:t>
      </w:r>
      <w:r w:rsidR="00B61409">
        <w:rPr>
          <w:rFonts w:ascii="MetaPro-Norm" w:hAnsi="MetaPro-Norm"/>
        </w:rPr>
        <w:t>it</w:t>
      </w:r>
      <w:r w:rsidR="00B61409" w:rsidRPr="005A68C1">
        <w:rPr>
          <w:rFonts w:ascii="MetaPro-Norm" w:hAnsi="MetaPro-Norm"/>
        </w:rPr>
        <w:t xml:space="preserve"> </w:t>
      </w:r>
      <w:r w:rsidRPr="005A68C1">
        <w:rPr>
          <w:rFonts w:ascii="MetaPro-Norm" w:hAnsi="MetaPro-Norm"/>
        </w:rPr>
        <w:t>signed with technology or “Ed Tech” providers, in order to protect the data collected on children during this time from misuse?</w:t>
      </w:r>
    </w:p>
    <w:p w14:paraId="65783705" w14:textId="6FDC9F63" w:rsidR="006209D7" w:rsidRDefault="006209D7" w:rsidP="006209D7">
      <w:pPr>
        <w:pStyle w:val="ListParagraph"/>
        <w:numPr>
          <w:ilvl w:val="0"/>
          <w:numId w:val="12"/>
        </w:numPr>
        <w:rPr>
          <w:rFonts w:ascii="MetaPro-Norm" w:hAnsi="MetaPro-Norm"/>
        </w:rPr>
      </w:pPr>
      <w:r w:rsidRPr="005A68C1">
        <w:rPr>
          <w:rFonts w:ascii="MetaPro-Norm" w:hAnsi="MetaPro-Norm"/>
        </w:rPr>
        <w:t>What laws protect children’s education data and other private information collected online in connection with online learning?</w:t>
      </w:r>
    </w:p>
    <w:p w14:paraId="7DDB91F8" w14:textId="68B04A2C" w:rsidR="00F12E94" w:rsidRDefault="00F12E94" w:rsidP="00F12E94">
      <w:pPr>
        <w:pStyle w:val="ListParagraph"/>
        <w:numPr>
          <w:ilvl w:val="0"/>
          <w:numId w:val="12"/>
        </w:numPr>
        <w:rPr>
          <w:rFonts w:ascii="MetaPro-Norm" w:hAnsi="MetaPro-Norm"/>
        </w:rPr>
      </w:pPr>
      <w:r w:rsidRPr="00F12E94">
        <w:rPr>
          <w:rFonts w:ascii="MetaPro-Norm" w:hAnsi="MetaPro-Norm"/>
        </w:rPr>
        <w:t xml:space="preserve">How has the government sought to reach vulnerable student populations, such as stateless children, children with disabilities, and rural and low-income children, to ensure they are receiving a quality education on par with other students?  </w:t>
      </w:r>
    </w:p>
    <w:p w14:paraId="4E1A6368" w14:textId="77777777" w:rsidR="005E786C" w:rsidRPr="005E786C" w:rsidRDefault="005E786C" w:rsidP="005E786C">
      <w:pPr>
        <w:rPr>
          <w:rFonts w:ascii="MetaPro-Norm" w:hAnsi="MetaPro-Norm"/>
        </w:rPr>
      </w:pPr>
    </w:p>
    <w:p w14:paraId="718544B8" w14:textId="21A6E9FA" w:rsidR="00FA4B03" w:rsidRPr="00615191" w:rsidRDefault="00FA4B03" w:rsidP="00615191">
      <w:pPr>
        <w:pStyle w:val="ListParagraph"/>
        <w:numPr>
          <w:ilvl w:val="0"/>
          <w:numId w:val="19"/>
        </w:numPr>
        <w:shd w:val="clear" w:color="auto" w:fill="FFFFFF"/>
        <w:rPr>
          <w:rFonts w:ascii="MetaPro-Norm" w:hAnsi="MetaPro-Norm"/>
          <w:b/>
          <w:iCs/>
        </w:rPr>
      </w:pPr>
      <w:r w:rsidRPr="00615191">
        <w:rPr>
          <w:rFonts w:ascii="MetaPro-Norm" w:hAnsi="MetaPro-Norm"/>
          <w:b/>
          <w:iCs/>
        </w:rPr>
        <w:t>Protection of Education from Attack (art. 10)</w:t>
      </w:r>
      <w:r w:rsidR="00F04042" w:rsidRPr="00615191">
        <w:rPr>
          <w:rFonts w:ascii="MetaPro-Norm" w:hAnsi="MetaPro-Norm"/>
          <w:b/>
          <w:iCs/>
        </w:rPr>
        <w:br/>
      </w:r>
    </w:p>
    <w:p w14:paraId="245F6143" w14:textId="523A68BC" w:rsidR="00C90D16" w:rsidRDefault="00FA4B03" w:rsidP="00B61409">
      <w:pPr>
        <w:rPr>
          <w:rFonts w:ascii="MetaPro-Norm" w:hAnsi="MetaPro-Norm"/>
        </w:rPr>
      </w:pPr>
      <w:r w:rsidRPr="003320B0">
        <w:rPr>
          <w:rFonts w:ascii="MetaPro-Norm" w:hAnsi="MetaPro-Norm"/>
        </w:rPr>
        <w:t>The Safe Schools Declaration is an inter-governmental political commitment that provides countries the opportunity to express political support for the protection of students, teachers, and schools during times of armed conflict</w:t>
      </w:r>
      <w:r w:rsidR="00C90D16">
        <w:rPr>
          <w:rFonts w:ascii="MetaPro-Norm" w:hAnsi="MetaPro-Norm"/>
        </w:rPr>
        <w:t>;</w:t>
      </w:r>
      <w:r w:rsidR="00C90D16">
        <w:rPr>
          <w:rStyle w:val="FootnoteReference"/>
          <w:rFonts w:ascii="MetaPro-Norm" w:hAnsi="MetaPro-Norm"/>
        </w:rPr>
        <w:footnoteReference w:id="40"/>
      </w:r>
      <w:r w:rsidRPr="003320B0">
        <w:rPr>
          <w:rFonts w:ascii="MetaPro-Norm" w:hAnsi="MetaPro-Norm"/>
        </w:rPr>
        <w:t xml:space="preserve"> the importance of the continuation of education during armed conflict</w:t>
      </w:r>
      <w:r>
        <w:rPr>
          <w:rFonts w:ascii="MetaPro-Norm" w:hAnsi="MetaPro-Norm"/>
        </w:rPr>
        <w:t xml:space="preserve">, </w:t>
      </w:r>
      <w:r w:rsidRPr="003320B0">
        <w:rPr>
          <w:rFonts w:ascii="MetaPro-Norm" w:hAnsi="MetaPro-Norm"/>
        </w:rPr>
        <w:t>and the implementation of the </w:t>
      </w:r>
      <w:r w:rsidRPr="000E2037">
        <w:rPr>
          <w:rFonts w:ascii="MetaPro-Norm" w:hAnsi="MetaPro-Norm"/>
          <w:i/>
          <w:iCs/>
        </w:rPr>
        <w:t>Guidelines for Protecting Schools and Universities from Military Use during Armed Conflict.</w:t>
      </w:r>
      <w:r w:rsidR="00C90D16">
        <w:rPr>
          <w:rStyle w:val="FootnoteReference"/>
          <w:rFonts w:ascii="MetaPro-Norm" w:hAnsi="MetaPro-Norm"/>
          <w:i/>
          <w:iCs/>
        </w:rPr>
        <w:footnoteReference w:id="41"/>
      </w:r>
      <w:r w:rsidR="00C90D16">
        <w:rPr>
          <w:rFonts w:ascii="MetaPro-Norm" w:hAnsi="MetaPro-Norm"/>
        </w:rPr>
        <w:t xml:space="preserve"> </w:t>
      </w:r>
      <w:r w:rsidR="00C90D16" w:rsidRPr="00C90D16">
        <w:rPr>
          <w:rFonts w:ascii="MetaPro-Norm" w:hAnsi="MetaPro-Norm"/>
        </w:rPr>
        <w:t xml:space="preserve">As of November 2020, 106 countries have endorsed the Safe Schools Declaration. Oman has yet to do so.  </w:t>
      </w:r>
    </w:p>
    <w:p w14:paraId="4FB97D31" w14:textId="77777777" w:rsidR="00C90D16" w:rsidRDefault="00C90D16" w:rsidP="00B61409">
      <w:pPr>
        <w:rPr>
          <w:rFonts w:ascii="MetaPro-Norm" w:hAnsi="MetaPro-Norm"/>
        </w:rPr>
      </w:pPr>
    </w:p>
    <w:p w14:paraId="1A04A00A" w14:textId="77777777" w:rsidR="00C90D16" w:rsidRPr="00C406C9" w:rsidRDefault="00C90D16" w:rsidP="00C90D16">
      <w:pPr>
        <w:rPr>
          <w:rFonts w:ascii="MetaPro-Norm" w:hAnsi="MetaPro-Norm"/>
          <w:i/>
        </w:rPr>
      </w:pPr>
      <w:r w:rsidRPr="00C406C9">
        <w:rPr>
          <w:rFonts w:ascii="MetaPro-Norm" w:hAnsi="MetaPro-Norm"/>
          <w:i/>
        </w:rPr>
        <w:t>Human Rights Watch recommends that the Committee call upon the government to:</w:t>
      </w:r>
    </w:p>
    <w:p w14:paraId="41DC34D1" w14:textId="25308583" w:rsidR="00FA4B03" w:rsidRPr="00C90D16" w:rsidRDefault="00C90D16" w:rsidP="000E2037">
      <w:pPr>
        <w:pStyle w:val="ListParagraph"/>
        <w:numPr>
          <w:ilvl w:val="0"/>
          <w:numId w:val="21"/>
        </w:numPr>
        <w:rPr>
          <w:rFonts w:ascii="MetaPro-Norm" w:hAnsi="MetaPro-Norm"/>
        </w:rPr>
      </w:pPr>
      <w:r w:rsidRPr="00C90D16">
        <w:rPr>
          <w:rFonts w:ascii="MetaPro-Norm" w:hAnsi="MetaPro-Norm"/>
        </w:rPr>
        <w:t>Endorse the Safe Schools Declaration and take concrete measures to deter the military use of schools, including by bringing the Guidelines for Protecting Schools and Universities from Military Use during Armed Conflict into domestic military policy and operational frameworks.</w:t>
      </w:r>
      <w:r w:rsidR="00FA4B03" w:rsidRPr="00C90D16">
        <w:rPr>
          <w:rFonts w:ascii="MetaPro-Norm" w:hAnsi="MetaPro-Norm"/>
        </w:rPr>
        <w:br/>
      </w:r>
    </w:p>
    <w:p w14:paraId="202F4542" w14:textId="77777777" w:rsidR="003F4EF3" w:rsidRPr="003F4EF3" w:rsidRDefault="003F4EF3" w:rsidP="003F4EF3">
      <w:pPr>
        <w:rPr>
          <w:rFonts w:ascii="MetaPro-Norm" w:hAnsi="MetaPro-Norm"/>
          <w:i/>
        </w:rPr>
      </w:pPr>
      <w:r w:rsidRPr="003F4EF3">
        <w:rPr>
          <w:rFonts w:ascii="MetaPro-Norm" w:hAnsi="MetaPro-Norm"/>
          <w:i/>
        </w:rPr>
        <w:lastRenderedPageBreak/>
        <w:t>Human Rights Watch recommends that the Committee ask the government of Oman:</w:t>
      </w:r>
    </w:p>
    <w:p w14:paraId="1DB27A70" w14:textId="49EE7478" w:rsidR="00FA4B03" w:rsidRPr="00FA4B03" w:rsidRDefault="00334880" w:rsidP="00FA4B03">
      <w:pPr>
        <w:pStyle w:val="ListParagraph"/>
        <w:numPr>
          <w:ilvl w:val="0"/>
          <w:numId w:val="1"/>
        </w:numPr>
        <w:rPr>
          <w:rFonts w:ascii="MetaPro-Norm" w:hAnsi="MetaPro-Norm"/>
        </w:rPr>
      </w:pPr>
      <w:r>
        <w:rPr>
          <w:rFonts w:ascii="MetaPro-Norm" w:hAnsi="MetaPro-Norm"/>
        </w:rPr>
        <w:t xml:space="preserve">What </w:t>
      </w:r>
      <w:r w:rsidR="00FA4B03" w:rsidRPr="00FA4B03">
        <w:rPr>
          <w:rFonts w:ascii="MetaPro-Norm" w:hAnsi="MetaPro-Norm"/>
        </w:rPr>
        <w:t>Omani laws, policies, or trainings provide explicit protection for schools and universities from military use during armed conflict?</w:t>
      </w:r>
    </w:p>
    <w:p w14:paraId="120E92E6" w14:textId="77777777" w:rsidR="00FA4B03" w:rsidRPr="00FA4B03" w:rsidRDefault="00FA4B03" w:rsidP="00FA4B03">
      <w:pPr>
        <w:rPr>
          <w:rFonts w:ascii="MetaPro-Norm" w:hAnsi="MetaPro-Norm"/>
        </w:rPr>
      </w:pPr>
    </w:p>
    <w:p w14:paraId="465A1E98" w14:textId="77777777" w:rsidR="006209D7" w:rsidRPr="00A562E5" w:rsidRDefault="006209D7" w:rsidP="00A562E5">
      <w:pPr>
        <w:rPr>
          <w:rFonts w:ascii="MetaPro-Norm" w:hAnsi="MetaPro-Norm"/>
        </w:rPr>
      </w:pPr>
    </w:p>
    <w:p w14:paraId="55F1419A" w14:textId="77777777" w:rsidR="00A562E5" w:rsidRPr="00641EB0" w:rsidRDefault="00A562E5">
      <w:pPr>
        <w:rPr>
          <w:rFonts w:ascii="MetaPro-Norm" w:hAnsi="MetaPro-Norm"/>
        </w:rPr>
      </w:pPr>
    </w:p>
    <w:sectPr w:rsidR="00A562E5" w:rsidRPr="00641EB0" w:rsidSect="006C12C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23E10" w14:textId="77777777" w:rsidR="00381D9D" w:rsidRDefault="00381D9D" w:rsidP="00670FBF">
      <w:r>
        <w:separator/>
      </w:r>
    </w:p>
  </w:endnote>
  <w:endnote w:type="continuationSeparator" w:id="0">
    <w:p w14:paraId="06AFF10C" w14:textId="77777777" w:rsidR="00381D9D" w:rsidRDefault="00381D9D" w:rsidP="0067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Norm"/>
    <w:panose1 w:val="020B0604020202020204"/>
    <w:charset w:val="00"/>
    <w:family w:val="swiss"/>
    <w:notTrueType/>
    <w:pitch w:val="variable"/>
    <w:sig w:usb0="A00002FF" w:usb1="4000207B" w:usb2="00000000" w:usb3="00000000" w:csb0="0000009F" w:csb1="00000000"/>
  </w:font>
  <w:font w:name="Georgia">
    <w:altName w:val="﷽﷽﷽﷽﷽﷽﷽﷽"/>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4058623"/>
      <w:docPartObj>
        <w:docPartGallery w:val="Page Numbers (Bottom of Page)"/>
        <w:docPartUnique/>
      </w:docPartObj>
    </w:sdtPr>
    <w:sdtEndPr>
      <w:rPr>
        <w:rStyle w:val="PageNumber"/>
      </w:rPr>
    </w:sdtEndPr>
    <w:sdtContent>
      <w:p w14:paraId="57CFDE47" w14:textId="77777777" w:rsidR="00D66C94" w:rsidRDefault="00D66C94" w:rsidP="00DB08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8F22CE" w14:textId="77777777" w:rsidR="00D66C94" w:rsidRDefault="00D66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4927914"/>
      <w:docPartObj>
        <w:docPartGallery w:val="Page Numbers (Bottom of Page)"/>
        <w:docPartUnique/>
      </w:docPartObj>
    </w:sdtPr>
    <w:sdtEndPr>
      <w:rPr>
        <w:rStyle w:val="PageNumber"/>
      </w:rPr>
    </w:sdtEndPr>
    <w:sdtContent>
      <w:p w14:paraId="325D9446" w14:textId="77777777" w:rsidR="00D66C94" w:rsidRDefault="00D66C94" w:rsidP="00DB08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0E0BAF" w14:textId="77777777" w:rsidR="00D66C94" w:rsidRDefault="00D66C94" w:rsidP="00D66C9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07374" w14:textId="77777777" w:rsidR="00381D9D" w:rsidRDefault="00381D9D" w:rsidP="00670FBF">
      <w:r>
        <w:separator/>
      </w:r>
    </w:p>
  </w:footnote>
  <w:footnote w:type="continuationSeparator" w:id="0">
    <w:p w14:paraId="0945017D" w14:textId="77777777" w:rsidR="00381D9D" w:rsidRDefault="00381D9D" w:rsidP="00670FBF">
      <w:r>
        <w:continuationSeparator/>
      </w:r>
    </w:p>
  </w:footnote>
  <w:footnote w:id="1">
    <w:p w14:paraId="610DD0E3" w14:textId="4DA4A35A" w:rsidR="000B2DD0" w:rsidRDefault="000B2DD0">
      <w:pPr>
        <w:pStyle w:val="FootnoteText"/>
      </w:pPr>
      <w:r>
        <w:rPr>
          <w:rStyle w:val="FootnoteReference"/>
        </w:rPr>
        <w:footnoteRef/>
      </w:r>
      <w:r>
        <w:t xml:space="preserve"> </w:t>
      </w:r>
      <w:r w:rsidRPr="00D32F81">
        <w:rPr>
          <w:rFonts w:ascii="MetaPro-Norm" w:hAnsi="MetaPro-Norm" w:cs="Calibri"/>
          <w:color w:val="000000" w:themeColor="text1"/>
        </w:rPr>
        <w:t xml:space="preserve">Royal Decree No 38/2014 Promulgating the Omani Citizenship Law, available </w:t>
      </w:r>
      <w:hyperlink r:id="rId1" w:history="1">
        <w:r w:rsidRPr="00D32F81">
          <w:rPr>
            <w:rStyle w:val="Hyperlink"/>
            <w:rFonts w:ascii="MetaPro-Norm" w:hAnsi="MetaPro-Norm" w:cs="Calibri"/>
          </w:rPr>
          <w:t>https://www.refworld.org/pdfid/58dcfe444.pdf</w:t>
        </w:r>
      </w:hyperlink>
      <w:r w:rsidRPr="00D32F81">
        <w:rPr>
          <w:rFonts w:ascii="MetaPro-Norm" w:hAnsi="MetaPro-Norm" w:cs="Calibri"/>
          <w:color w:val="000000" w:themeColor="text1"/>
        </w:rPr>
        <w:t xml:space="preserve"> (accessed October 26, 2020).</w:t>
      </w:r>
    </w:p>
  </w:footnote>
  <w:footnote w:id="2">
    <w:p w14:paraId="5A9F81D9" w14:textId="41ED487F" w:rsidR="006351D6" w:rsidRPr="00D32F81" w:rsidRDefault="006351D6" w:rsidP="00BC0908">
      <w:pPr>
        <w:rPr>
          <w:rFonts w:ascii="MetaPro-Norm" w:eastAsia="Times New Roman" w:hAnsi="MetaPro-Norm" w:cs="Calibri"/>
          <w:color w:val="000000" w:themeColor="text1"/>
          <w:sz w:val="20"/>
          <w:szCs w:val="20"/>
        </w:rPr>
      </w:pPr>
      <w:r w:rsidRPr="00D32F81">
        <w:rPr>
          <w:rStyle w:val="FootnoteReference"/>
          <w:rFonts w:ascii="MetaPro-Norm" w:hAnsi="MetaPro-Norm" w:cs="Calibri"/>
          <w:color w:val="000000" w:themeColor="text1"/>
          <w:sz w:val="20"/>
          <w:szCs w:val="20"/>
        </w:rPr>
        <w:footnoteRef/>
      </w:r>
      <w:r w:rsidRPr="00D32F81">
        <w:rPr>
          <w:rFonts w:ascii="MetaPro-Norm" w:hAnsi="MetaPro-Norm" w:cs="Calibri"/>
          <w:color w:val="000000" w:themeColor="text1"/>
          <w:sz w:val="20"/>
          <w:szCs w:val="20"/>
        </w:rPr>
        <w:t xml:space="preserve"> </w:t>
      </w:r>
      <w:r w:rsidR="000B2DD0">
        <w:rPr>
          <w:rFonts w:ascii="MetaPro-Norm" w:hAnsi="MetaPro-Norm" w:cs="Calibri"/>
          <w:color w:val="000000" w:themeColor="text1"/>
          <w:sz w:val="20"/>
          <w:szCs w:val="20"/>
        </w:rPr>
        <w:t>Ibid.</w:t>
      </w:r>
      <w:r w:rsidR="009617B0" w:rsidRPr="00D32F81">
        <w:rPr>
          <w:rFonts w:ascii="MetaPro-Norm" w:hAnsi="MetaPro-Norm" w:cs="Calibri"/>
          <w:color w:val="000000" w:themeColor="text1"/>
          <w:sz w:val="20"/>
          <w:szCs w:val="20"/>
        </w:rPr>
        <w:t xml:space="preserve"> </w:t>
      </w:r>
    </w:p>
  </w:footnote>
  <w:footnote w:id="3">
    <w:p w14:paraId="34453827" w14:textId="77777777" w:rsidR="00FB24BE" w:rsidRPr="00D32F81" w:rsidRDefault="00FB24BE">
      <w:pPr>
        <w:pStyle w:val="FootnoteText"/>
        <w:rPr>
          <w:rFonts w:ascii="MetaPro-Norm" w:hAnsi="MetaPro-Norm" w:cs="Calibri"/>
        </w:rPr>
      </w:pPr>
      <w:r w:rsidRPr="00D32F81">
        <w:rPr>
          <w:rStyle w:val="FootnoteReference"/>
          <w:rFonts w:ascii="MetaPro-Norm" w:hAnsi="MetaPro-Norm" w:cs="Calibri"/>
        </w:rPr>
        <w:footnoteRef/>
      </w:r>
      <w:r w:rsidRPr="00D32F81">
        <w:rPr>
          <w:rFonts w:ascii="MetaPro-Norm" w:hAnsi="MetaPro-Norm" w:cs="Calibri"/>
        </w:rPr>
        <w:t xml:space="preserve"> </w:t>
      </w:r>
      <w:r w:rsidR="00647A13" w:rsidRPr="00D32F81">
        <w:rPr>
          <w:rFonts w:ascii="MetaPro-Norm" w:hAnsi="MetaPro-Norm" w:cs="Calibri"/>
        </w:rPr>
        <w:t>J</w:t>
      </w:r>
      <w:r w:rsidR="007E3263" w:rsidRPr="00D32F81">
        <w:rPr>
          <w:rFonts w:ascii="MetaPro-Norm" w:hAnsi="MetaPro-Norm" w:cs="Calibri"/>
        </w:rPr>
        <w:t>oint Submission to the Human Rights Council on Oman, Universal Periodic Review, 37</w:t>
      </w:r>
      <w:r w:rsidR="007E3263" w:rsidRPr="00D32F81">
        <w:rPr>
          <w:rFonts w:ascii="MetaPro-Norm" w:hAnsi="MetaPro-Norm" w:cs="Calibri"/>
          <w:vertAlign w:val="superscript"/>
        </w:rPr>
        <w:t>th</w:t>
      </w:r>
      <w:r w:rsidR="007E3263" w:rsidRPr="00D32F81">
        <w:rPr>
          <w:rFonts w:ascii="MetaPro-Norm" w:hAnsi="MetaPro-Norm" w:cs="Calibri"/>
        </w:rPr>
        <w:t xml:space="preserve"> Session, 3</w:t>
      </w:r>
      <w:r w:rsidR="007E3263" w:rsidRPr="00D32F81">
        <w:rPr>
          <w:rFonts w:ascii="MetaPro-Norm" w:hAnsi="MetaPro-Norm" w:cs="Calibri"/>
          <w:vertAlign w:val="superscript"/>
        </w:rPr>
        <w:t>rd</w:t>
      </w:r>
      <w:r w:rsidR="007E3263" w:rsidRPr="00D32F81">
        <w:rPr>
          <w:rFonts w:ascii="MetaPro-Norm" w:hAnsi="MetaPro-Norm" w:cs="Calibri"/>
        </w:rPr>
        <w:t xml:space="preserve"> Cycle, Omani Association for Human Rights et al, July 2020, available </w:t>
      </w:r>
      <w:hyperlink r:id="rId2" w:history="1">
        <w:r w:rsidR="007E3263" w:rsidRPr="00D32F81">
          <w:rPr>
            <w:rStyle w:val="Hyperlink"/>
            <w:rFonts w:ascii="MetaPro-Norm" w:hAnsi="MetaPro-Norm" w:cs="Calibri"/>
          </w:rPr>
          <w:t>https://files.institutesi.org/UPR37_Oman.pdf</w:t>
        </w:r>
      </w:hyperlink>
      <w:r w:rsidR="007E3263" w:rsidRPr="00D32F81">
        <w:rPr>
          <w:rFonts w:ascii="MetaPro-Norm" w:hAnsi="MetaPro-Norm" w:cs="Calibri"/>
        </w:rPr>
        <w:t xml:space="preserve"> (accessed October 26, 2020).</w:t>
      </w:r>
    </w:p>
  </w:footnote>
  <w:footnote w:id="4">
    <w:p w14:paraId="3BD51D4D" w14:textId="77777777" w:rsidR="008D3CAD" w:rsidRPr="00D32F81" w:rsidRDefault="008D3CAD" w:rsidP="008D3CAD">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Oman Personal Status Law, (No. 32 of 1997) arts. 158-169 </w:t>
      </w:r>
    </w:p>
  </w:footnote>
  <w:footnote w:id="5">
    <w:p w14:paraId="79D1E2B1" w14:textId="77777777" w:rsidR="008D3CAD" w:rsidRPr="00D32F81" w:rsidRDefault="008D3CAD" w:rsidP="008D3CAD">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Oman Personal Status Law, (No. 32 of 1997) art. 134</w:t>
      </w:r>
    </w:p>
  </w:footnote>
  <w:footnote w:id="6">
    <w:p w14:paraId="03F2AAB3" w14:textId="77777777" w:rsidR="008D3CAD" w:rsidRPr="00D32F81" w:rsidRDefault="008D3CAD" w:rsidP="008D3CAD">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Human Rights Watch World Report, “Oman, Events of 2017,” January 2018, </w:t>
      </w:r>
      <w:hyperlink r:id="rId3" w:anchor="1de7c4" w:history="1">
        <w:r w:rsidRPr="00D32F81">
          <w:rPr>
            <w:rStyle w:val="Hyperlink"/>
            <w:rFonts w:ascii="MetaPro-Norm" w:hAnsi="MetaPro-Norm"/>
          </w:rPr>
          <w:t>https://www.hrw.org/world-report/2018/country-chapters/oman#1de7c4</w:t>
        </w:r>
      </w:hyperlink>
      <w:r w:rsidRPr="00D32F81">
        <w:rPr>
          <w:rFonts w:ascii="MetaPro-Norm" w:hAnsi="MetaPro-Norm"/>
        </w:rPr>
        <w:t xml:space="preserve"> </w:t>
      </w:r>
    </w:p>
  </w:footnote>
  <w:footnote w:id="7">
    <w:p w14:paraId="1A66C45D" w14:textId="5B316242" w:rsidR="00F572AA" w:rsidRPr="00D32F81" w:rsidRDefault="00F572AA" w:rsidP="00F572AA">
      <w:pPr>
        <w:pStyle w:val="FootnoteText"/>
        <w:rPr>
          <w:rFonts w:ascii="MetaPro-Norm" w:hAnsi="MetaPro-Norm" w:cs="Calibri"/>
          <w:color w:val="000000" w:themeColor="text1"/>
        </w:rPr>
      </w:pPr>
      <w:r w:rsidRPr="00D32F81">
        <w:rPr>
          <w:rStyle w:val="FootnoteReference"/>
          <w:rFonts w:ascii="MetaPro-Norm" w:hAnsi="MetaPro-Norm" w:cs="Calibri"/>
          <w:color w:val="000000" w:themeColor="text1"/>
        </w:rPr>
        <w:footnoteRef/>
      </w:r>
      <w:r w:rsidRPr="00D32F81">
        <w:rPr>
          <w:rFonts w:ascii="MetaPro-Norm" w:hAnsi="MetaPro-Norm" w:cs="Calibri"/>
          <w:color w:val="000000" w:themeColor="text1"/>
        </w:rPr>
        <w:t xml:space="preserve"> “Female Genital Mutilation in the Sultanate of Oman,” January 2014, </w:t>
      </w:r>
      <w:hyperlink r:id="rId4" w:history="1">
        <w:r w:rsidR="00585933" w:rsidRPr="005B2206">
          <w:rPr>
            <w:rStyle w:val="Hyperlink"/>
            <w:rFonts w:ascii="MetaPro-Norm" w:hAnsi="MetaPro-Norm" w:cs="Calibri"/>
          </w:rPr>
          <w:t>http://www.stopfgmmideast.org/wp-content/uploads/2014/01/habiba-al-hinai-female-genital-mutilation-in-the-sultanate-of-oman1.pdf</w:t>
        </w:r>
      </w:hyperlink>
      <w:r w:rsidR="00585933">
        <w:rPr>
          <w:rFonts w:ascii="MetaPro-Norm" w:hAnsi="MetaPro-Norm" w:cs="Calibri"/>
          <w:color w:val="000000" w:themeColor="text1"/>
        </w:rPr>
        <w:t xml:space="preserve"> </w:t>
      </w:r>
      <w:r w:rsidRPr="00D32F81">
        <w:rPr>
          <w:rFonts w:ascii="MetaPro-Norm" w:hAnsi="MetaPro-Norm" w:cs="Calibri"/>
          <w:color w:val="000000" w:themeColor="text1"/>
        </w:rPr>
        <w:t xml:space="preserve">(accessed January 24, 2017.) See also “The Deepest Cut,” </w:t>
      </w:r>
      <w:r w:rsidRPr="00D32F81">
        <w:rPr>
          <w:rFonts w:ascii="MetaPro-Norm" w:hAnsi="MetaPro-Norm" w:cs="Calibri"/>
          <w:i/>
          <w:iCs/>
          <w:color w:val="000000" w:themeColor="text1"/>
        </w:rPr>
        <w:t>Y – the Pulse of Oman</w:t>
      </w:r>
      <w:r w:rsidRPr="00D32F81">
        <w:rPr>
          <w:rFonts w:ascii="MetaPro-Norm" w:hAnsi="MetaPro-Norm" w:cs="Calibri"/>
          <w:color w:val="000000" w:themeColor="text1"/>
        </w:rPr>
        <w:t xml:space="preserve">, February 5, 2014, </w:t>
      </w:r>
      <w:hyperlink r:id="rId5" w:history="1">
        <w:r w:rsidR="00585933" w:rsidRPr="005B2206">
          <w:rPr>
            <w:rStyle w:val="Hyperlink"/>
            <w:rFonts w:ascii="MetaPro-Norm" w:hAnsi="MetaPro-Norm" w:cs="Calibri"/>
          </w:rPr>
          <w:t>https://www.y-oman.com/2014/02/deepest-cut/</w:t>
        </w:r>
      </w:hyperlink>
      <w:r w:rsidR="00585933">
        <w:rPr>
          <w:rFonts w:ascii="MetaPro-Norm" w:hAnsi="MetaPro-Norm" w:cs="Calibri"/>
          <w:color w:val="000000" w:themeColor="text1"/>
        </w:rPr>
        <w:t xml:space="preserve"> </w:t>
      </w:r>
      <w:r w:rsidRPr="00D32F81">
        <w:rPr>
          <w:rFonts w:ascii="MetaPro-Norm" w:hAnsi="MetaPro-Norm" w:cs="Calibri"/>
          <w:color w:val="000000" w:themeColor="text1"/>
        </w:rPr>
        <w:t xml:space="preserve">(accessed January 23, 2017). </w:t>
      </w:r>
    </w:p>
  </w:footnote>
  <w:footnote w:id="8">
    <w:p w14:paraId="7387F049" w14:textId="1093551F" w:rsidR="00F572AA" w:rsidRPr="00D32F81" w:rsidRDefault="00F572AA" w:rsidP="00F572AA">
      <w:pPr>
        <w:pStyle w:val="FootnoteText"/>
        <w:rPr>
          <w:rFonts w:ascii="MetaPro-Norm" w:hAnsi="MetaPro-Norm" w:cs="Calibri"/>
          <w:color w:val="000000" w:themeColor="text1"/>
        </w:rPr>
      </w:pPr>
      <w:r w:rsidRPr="00D32F81">
        <w:rPr>
          <w:rStyle w:val="FootnoteReference"/>
          <w:rFonts w:ascii="MetaPro-Norm" w:hAnsi="MetaPro-Norm" w:cs="Calibri"/>
          <w:color w:val="000000" w:themeColor="text1"/>
        </w:rPr>
        <w:footnoteRef/>
      </w:r>
      <w:r w:rsidRPr="00D32F81">
        <w:rPr>
          <w:rFonts w:ascii="MetaPro-Norm" w:hAnsi="MetaPro-Norm" w:cs="Calibri"/>
          <w:color w:val="000000" w:themeColor="text1"/>
        </w:rPr>
        <w:t xml:space="preserve"> </w:t>
      </w:r>
      <w:r w:rsidR="00A16F4D" w:rsidRPr="00D32F81">
        <w:rPr>
          <w:rFonts w:ascii="MetaPro-Norm" w:hAnsi="MetaPro-Norm" w:cs="Calibri"/>
          <w:color w:val="000000" w:themeColor="text1"/>
        </w:rPr>
        <w:t xml:space="preserve">“Almost 100 percent of women mutilated in region of Oman,” Wadi Online, January 9, 2018, available </w:t>
      </w:r>
      <w:hyperlink r:id="rId6" w:history="1">
        <w:r w:rsidR="00A16F4D" w:rsidRPr="00D32F81">
          <w:rPr>
            <w:rStyle w:val="Hyperlink"/>
            <w:rFonts w:ascii="MetaPro-Norm" w:hAnsi="MetaPro-Norm" w:cs="Calibri"/>
          </w:rPr>
          <w:t>https://wadi-online.org/2018/09/01/new-study-almost-100-percent-women-mutilated-in-region-of-oman-time-to-act/</w:t>
        </w:r>
      </w:hyperlink>
      <w:r w:rsidR="00A16F4D" w:rsidRPr="00D32F81">
        <w:rPr>
          <w:rFonts w:ascii="MetaPro-Norm" w:hAnsi="MetaPro-Norm" w:cs="Calibri"/>
          <w:color w:val="000000" w:themeColor="text1"/>
        </w:rPr>
        <w:t xml:space="preserve"> (accessed November 16, 2020)</w:t>
      </w:r>
    </w:p>
  </w:footnote>
  <w:footnote w:id="9">
    <w:p w14:paraId="411A0BD1" w14:textId="77777777" w:rsidR="00F572AA" w:rsidRPr="00D32F81" w:rsidRDefault="00F572AA" w:rsidP="00F572AA">
      <w:pPr>
        <w:pStyle w:val="FootnoteText"/>
        <w:rPr>
          <w:rFonts w:ascii="MetaPro-Norm" w:hAnsi="MetaPro-Norm" w:cs="Calibri"/>
          <w:color w:val="000000" w:themeColor="text1"/>
        </w:rPr>
      </w:pPr>
      <w:r w:rsidRPr="00D32F81">
        <w:rPr>
          <w:rStyle w:val="FootnoteReference"/>
          <w:rFonts w:ascii="MetaPro-Norm" w:hAnsi="MetaPro-Norm" w:cs="Calibri"/>
          <w:color w:val="000000" w:themeColor="text1"/>
        </w:rPr>
        <w:footnoteRef/>
      </w:r>
      <w:r w:rsidRPr="00D32F81">
        <w:rPr>
          <w:rFonts w:ascii="MetaPro-Norm" w:hAnsi="MetaPro-Norm" w:cs="Calibri"/>
          <w:color w:val="000000" w:themeColor="text1"/>
        </w:rPr>
        <w:t xml:space="preserve"> UN Human Rights Council, Universal Periodic Review, Oman, Second Review, Session 23, Oman’s Responses to recommendations, May 17, 2016; Recommendation 129.84  </w:t>
      </w:r>
      <w:hyperlink r:id="rId7" w:history="1">
        <w:r w:rsidRPr="00D32F81">
          <w:rPr>
            <w:rStyle w:val="Hyperlink"/>
            <w:rFonts w:ascii="MetaPro-Norm" w:hAnsi="MetaPro-Norm" w:cs="Calibri"/>
            <w:color w:val="000000" w:themeColor="text1"/>
          </w:rPr>
          <w:t>https://www.upr-info.org/sites/default/files/document/oman/session_23_-_november_2015/recommendations_and_pledges_oman_2016.pdf</w:t>
        </w:r>
      </w:hyperlink>
      <w:r w:rsidRPr="00D32F81">
        <w:rPr>
          <w:rFonts w:ascii="MetaPro-Norm" w:hAnsi="MetaPro-Norm" w:cs="Calibri"/>
          <w:color w:val="000000" w:themeColor="text1"/>
        </w:rPr>
        <w:t xml:space="preserve"> </w:t>
      </w:r>
    </w:p>
  </w:footnote>
  <w:footnote w:id="10">
    <w:p w14:paraId="1F442EF7" w14:textId="77777777" w:rsidR="00F572AA" w:rsidRPr="00D32F81" w:rsidRDefault="00F572AA" w:rsidP="00F572AA">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“International Day of the Girl Child, 11 October,” Oman Centre for Human Rights, October 9, 2020, </w:t>
      </w:r>
      <w:hyperlink r:id="rId8" w:history="1">
        <w:r w:rsidRPr="00D32F81">
          <w:rPr>
            <w:rStyle w:val="Hyperlink"/>
            <w:rFonts w:ascii="MetaPro-Norm" w:hAnsi="MetaPro-Norm"/>
          </w:rPr>
          <w:t>https://ochroman.org/eng/2020/10/girlchild/</w:t>
        </w:r>
      </w:hyperlink>
      <w:r w:rsidRPr="00D32F81">
        <w:rPr>
          <w:rFonts w:ascii="MetaPro-Norm" w:hAnsi="MetaPro-Norm"/>
        </w:rPr>
        <w:t xml:space="preserve"> (accessed October 26, 2020). </w:t>
      </w:r>
    </w:p>
  </w:footnote>
  <w:footnote w:id="11">
    <w:p w14:paraId="76C9A97E" w14:textId="59BAD9E1" w:rsidR="00F04042" w:rsidRDefault="00F04042">
      <w:pPr>
        <w:pStyle w:val="FootnoteText"/>
      </w:pPr>
      <w:r>
        <w:rPr>
          <w:rStyle w:val="FootnoteReference"/>
        </w:rPr>
        <w:footnoteRef/>
      </w:r>
      <w:r>
        <w:t xml:space="preserve"> </w:t>
      </w:r>
      <w:r>
        <w:rPr>
          <w:rFonts w:ascii="MetaPro-Norm" w:hAnsi="MetaPro-Norm" w:cs="Calibri"/>
          <w:color w:val="000000" w:themeColor="text1"/>
        </w:rPr>
        <w:t xml:space="preserve">“Oman bans unexpectedly female genital mutilation,” Stop FGM Middle East, September 30, 2019,  </w:t>
      </w:r>
      <w:r w:rsidRPr="00D32F81">
        <w:rPr>
          <w:rFonts w:ascii="MetaPro-Norm" w:hAnsi="MetaPro-Norm" w:cs="Calibri"/>
          <w:color w:val="000000" w:themeColor="text1"/>
        </w:rPr>
        <w:t xml:space="preserve"> </w:t>
      </w:r>
      <w:hyperlink r:id="rId9" w:history="1">
        <w:r w:rsidRPr="00D32F81">
          <w:rPr>
            <w:rStyle w:val="Hyperlink"/>
            <w:rFonts w:ascii="MetaPro-Norm" w:hAnsi="MetaPro-Norm" w:cs="Calibri"/>
            <w:color w:val="000000" w:themeColor="text1"/>
          </w:rPr>
          <w:t>http://www.stopfgmmideast.org/oman-bans-unexpectedly-female-genital-mutilation/</w:t>
        </w:r>
      </w:hyperlink>
      <w:r w:rsidRPr="00D32F81">
        <w:rPr>
          <w:rFonts w:ascii="MetaPro-Norm" w:hAnsi="MetaPro-Norm" w:cs="Calibri"/>
          <w:color w:val="000000" w:themeColor="text1"/>
        </w:rPr>
        <w:t xml:space="preserve"> </w:t>
      </w:r>
      <w:r>
        <w:rPr>
          <w:rFonts w:ascii="MetaPro-Norm" w:hAnsi="MetaPro-Norm" w:cs="Calibri"/>
          <w:color w:val="000000" w:themeColor="text1"/>
        </w:rPr>
        <w:t>(accessed November 30, 2020)</w:t>
      </w:r>
    </w:p>
  </w:footnote>
  <w:footnote w:id="12">
    <w:p w14:paraId="22A61AFD" w14:textId="7F354340" w:rsidR="00670FBF" w:rsidRPr="00D32F81" w:rsidRDefault="00670FBF" w:rsidP="00670FBF">
      <w:pPr>
        <w:pStyle w:val="FootnoteText"/>
        <w:rPr>
          <w:rFonts w:ascii="MetaPro-Norm" w:hAnsi="MetaPro-Norm" w:cs="Calibri"/>
          <w:color w:val="000000" w:themeColor="text1"/>
        </w:rPr>
      </w:pPr>
      <w:r w:rsidRPr="00D32F81">
        <w:rPr>
          <w:rStyle w:val="FootnoteReference"/>
          <w:rFonts w:ascii="MetaPro-Norm" w:hAnsi="MetaPro-Norm" w:cs="Calibri"/>
          <w:color w:val="000000" w:themeColor="text1"/>
        </w:rPr>
        <w:footnoteRef/>
      </w:r>
      <w:r w:rsidRPr="00D32F81">
        <w:rPr>
          <w:rFonts w:ascii="MetaPro-Norm" w:hAnsi="MetaPro-Norm" w:cs="Calibri"/>
          <w:color w:val="000000" w:themeColor="text1"/>
        </w:rPr>
        <w:t xml:space="preserve"> </w:t>
      </w:r>
      <w:r w:rsidR="00B67CA1" w:rsidRPr="00B67CA1">
        <w:rPr>
          <w:rFonts w:ascii="MetaPro-Norm" w:hAnsi="MetaPro-Norm" w:cs="Calibri"/>
          <w:color w:val="000000" w:themeColor="text1"/>
        </w:rPr>
        <w:t xml:space="preserve">Oman Penal Code, promulgated by Royal Decree No. 8/2018, art. 259. </w:t>
      </w:r>
      <w:r w:rsidRPr="00D32F81">
        <w:rPr>
          <w:rFonts w:ascii="MetaPro-Norm" w:hAnsi="MetaPro-Norm" w:cs="Calibri"/>
          <w:color w:val="000000" w:themeColor="text1"/>
        </w:rPr>
        <w:t xml:space="preserve">The criminalization of adult consensual sexual relations violates international human rights law including the rights to privacy, nondiscrimination, physical autonomy, and health.  </w:t>
      </w:r>
    </w:p>
  </w:footnote>
  <w:footnote w:id="13">
    <w:p w14:paraId="504CF10E" w14:textId="4D482C44" w:rsidR="00965605" w:rsidRPr="00D32F81" w:rsidRDefault="00965605">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Oman Penal Code, arts. 315 and 316.</w:t>
      </w:r>
    </w:p>
  </w:footnote>
  <w:footnote w:id="14">
    <w:p w14:paraId="57B9D54D" w14:textId="3ADC0119" w:rsidR="00B67389" w:rsidRPr="00D32F81" w:rsidRDefault="00B67389">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OECD Social Institutions and Gender Index, Oman 2019, available </w:t>
      </w:r>
      <w:hyperlink r:id="rId10" w:history="1">
        <w:r w:rsidRPr="00D32F81">
          <w:rPr>
            <w:rStyle w:val="Hyperlink"/>
            <w:rFonts w:ascii="MetaPro-Norm" w:hAnsi="MetaPro-Norm"/>
          </w:rPr>
          <w:t>https://www.genderindex.org/wp-content/uploads/files/datasheets/2019/OM.pdf</w:t>
        </w:r>
      </w:hyperlink>
      <w:r w:rsidRPr="00D32F81">
        <w:rPr>
          <w:rFonts w:ascii="MetaPro-Norm" w:hAnsi="MetaPro-Norm"/>
        </w:rPr>
        <w:t xml:space="preserve"> </w:t>
      </w:r>
    </w:p>
  </w:footnote>
  <w:footnote w:id="15">
    <w:p w14:paraId="0E70CD8F" w14:textId="0E05E753" w:rsidR="007A01A2" w:rsidRPr="00D32F81" w:rsidRDefault="007A01A2" w:rsidP="007A01A2">
      <w:pPr>
        <w:rPr>
          <w:rFonts w:ascii="MetaPro-Norm" w:hAnsi="MetaPro-Norm" w:cstheme="minorHAnsi"/>
          <w:sz w:val="20"/>
          <w:szCs w:val="20"/>
        </w:rPr>
      </w:pPr>
      <w:r w:rsidRPr="00D32F81">
        <w:rPr>
          <w:rStyle w:val="FootnoteReference"/>
          <w:rFonts w:ascii="MetaPro-Norm" w:hAnsi="MetaPro-Norm" w:cstheme="minorHAnsi"/>
          <w:sz w:val="20"/>
          <w:szCs w:val="20"/>
        </w:rPr>
        <w:footnoteRef/>
      </w:r>
      <w:r w:rsidRPr="00D32F81">
        <w:rPr>
          <w:rStyle w:val="Hyperlink"/>
          <w:rFonts w:ascii="MetaPro-Norm" w:hAnsi="MetaPro-Norm" w:cstheme="minorHAnsi"/>
          <w:sz w:val="20"/>
          <w:szCs w:val="20"/>
        </w:rPr>
        <w:t xml:space="preserve"> </w:t>
      </w:r>
      <w:r w:rsidRPr="00D32F81">
        <w:rPr>
          <w:rStyle w:val="Hyperlink"/>
          <w:rFonts w:ascii="MetaPro-Norm" w:hAnsi="MetaPro-Norm" w:cstheme="minorHAnsi"/>
          <w:color w:val="000000" w:themeColor="text1"/>
          <w:sz w:val="20"/>
          <w:szCs w:val="20"/>
          <w:u w:val="none"/>
        </w:rPr>
        <w:t xml:space="preserve">Child Law, Decree 22/ 2014, </w:t>
      </w:r>
      <w:r w:rsidRPr="00D32F81">
        <w:rPr>
          <w:rFonts w:ascii="MetaPro-Norm" w:hAnsi="MetaPro-Norm" w:cstheme="minorHAnsi"/>
          <w:sz w:val="20"/>
          <w:szCs w:val="20"/>
        </w:rPr>
        <w:t>Article 56(h),</w:t>
      </w:r>
      <w:r w:rsidR="00457BA2" w:rsidRPr="00D32F81">
        <w:rPr>
          <w:rFonts w:ascii="MetaPro-Norm" w:hAnsi="MetaPro-Norm" w:cstheme="minorHAnsi"/>
          <w:sz w:val="20"/>
          <w:szCs w:val="20"/>
        </w:rPr>
        <w:t xml:space="preserve"> Promulgated by Royal Decree 7/2018, art. 44</w:t>
      </w:r>
      <w:r w:rsidRPr="00D32F81">
        <w:rPr>
          <w:rStyle w:val="Hyperlink"/>
          <w:rFonts w:ascii="MetaPro-Norm" w:hAnsi="MetaPro-Norm" w:cstheme="minorHAnsi"/>
          <w:sz w:val="20"/>
          <w:szCs w:val="20"/>
        </w:rPr>
        <w:t xml:space="preserve"> https://www.mosd.gov.om/images/rules/Childs%20Law%20en.pdf; Penal Law, Promulgated by Royal Decree 7/2018, art. 44(a), </w:t>
      </w:r>
      <w:hyperlink r:id="rId11" w:history="1">
        <w:r w:rsidRPr="00D32F81">
          <w:rPr>
            <w:rStyle w:val="Hyperlink"/>
            <w:rFonts w:ascii="MetaPro-Norm" w:hAnsi="MetaPro-Norm" w:cstheme="minorHAnsi"/>
            <w:sz w:val="20"/>
            <w:szCs w:val="20"/>
          </w:rPr>
          <w:t>http://www.mola.gov.om/eng/penallaw.aspx</w:t>
        </w:r>
      </w:hyperlink>
    </w:p>
  </w:footnote>
  <w:footnote w:id="16">
    <w:p w14:paraId="188A9B67" w14:textId="77777777" w:rsidR="007A01A2" w:rsidRPr="00D32F81" w:rsidRDefault="007A01A2" w:rsidP="007A01A2">
      <w:pPr>
        <w:pStyle w:val="FootnoteText"/>
        <w:rPr>
          <w:rFonts w:ascii="MetaPro-Norm" w:hAnsi="MetaPro-Norm" w:cstheme="minorHAnsi"/>
        </w:rPr>
      </w:pPr>
      <w:r w:rsidRPr="00D32F81">
        <w:rPr>
          <w:rStyle w:val="FootnoteReference"/>
          <w:rFonts w:ascii="MetaPro-Norm" w:eastAsiaTheme="majorEastAsia" w:hAnsi="MetaPro-Norm" w:cstheme="minorHAnsi"/>
        </w:rPr>
        <w:footnoteRef/>
      </w:r>
      <w:r w:rsidRPr="00D32F81">
        <w:rPr>
          <w:rFonts w:ascii="MetaPro-Norm" w:hAnsi="MetaPro-Norm" w:cstheme="minorHAnsi"/>
        </w:rPr>
        <w:t xml:space="preserve"> Universal Periodic Review – Oman, 5 November 2015, “Matrix of recommendations” (Recommendation 129.142, Estonia), </w:t>
      </w:r>
      <w:hyperlink r:id="rId12" w:history="1">
        <w:r w:rsidRPr="00D32F81">
          <w:rPr>
            <w:rStyle w:val="Hyperlink"/>
            <w:rFonts w:ascii="MetaPro-Norm" w:eastAsiaTheme="majorEastAsia" w:hAnsi="MetaPro-Norm" w:cstheme="minorHAnsi"/>
          </w:rPr>
          <w:t>https://www.ohchr.org/EN/HRBodies/UPR/Pages/OMindex.aspx</w:t>
        </w:r>
      </w:hyperlink>
      <w:r w:rsidRPr="00D32F81">
        <w:rPr>
          <w:rFonts w:ascii="MetaPro-Norm" w:hAnsi="MetaPro-Norm" w:cstheme="minorHAnsi"/>
        </w:rPr>
        <w:t xml:space="preserve">. </w:t>
      </w:r>
    </w:p>
  </w:footnote>
  <w:footnote w:id="17">
    <w:p w14:paraId="18788E98" w14:textId="77777777" w:rsidR="007A01A2" w:rsidRPr="00D32F81" w:rsidRDefault="007A01A2" w:rsidP="007A01A2">
      <w:pPr>
        <w:rPr>
          <w:rFonts w:ascii="MetaPro-Norm" w:hAnsi="MetaPro-Norm" w:cstheme="minorHAnsi"/>
          <w:sz w:val="20"/>
          <w:szCs w:val="20"/>
        </w:rPr>
      </w:pPr>
      <w:r w:rsidRPr="00D32F81">
        <w:rPr>
          <w:rStyle w:val="FootnoteReference"/>
          <w:rFonts w:ascii="MetaPro-Norm" w:hAnsi="MetaPro-Norm" w:cstheme="minorHAnsi"/>
          <w:sz w:val="20"/>
          <w:szCs w:val="20"/>
        </w:rPr>
        <w:footnoteRef/>
      </w:r>
      <w:r w:rsidRPr="00D32F81">
        <w:rPr>
          <w:rFonts w:ascii="MetaPro-Norm" w:hAnsi="MetaPro-Norm" w:cstheme="minorHAnsi"/>
          <w:sz w:val="20"/>
          <w:szCs w:val="20"/>
        </w:rPr>
        <w:t xml:space="preserve"> UN Committee on the Rights of the Child, “Concluding observations on the combined third and fourth periodic reports of Oman, 14 March 2016, para. 35, </w:t>
      </w:r>
      <w:r w:rsidRPr="00D32F81">
        <w:rPr>
          <w:rFonts w:ascii="MetaPro-Norm" w:hAnsi="MetaPro-Norm" w:cstheme="minorHAnsi"/>
          <w:color w:val="000000"/>
          <w:sz w:val="20"/>
          <w:szCs w:val="20"/>
        </w:rPr>
        <w:t>CRC/C/OMN/CO/3-4,</w:t>
      </w:r>
      <w:r w:rsidRPr="00D32F81">
        <w:rPr>
          <w:rFonts w:ascii="MetaPro-Norm" w:hAnsi="MetaPro-Norm" w:cstheme="minorHAnsi"/>
          <w:sz w:val="20"/>
          <w:szCs w:val="20"/>
        </w:rPr>
        <w:t xml:space="preserve">  </w:t>
      </w:r>
      <w:hyperlink r:id="rId13" w:history="1">
        <w:r w:rsidRPr="00D32F81">
          <w:rPr>
            <w:rStyle w:val="Hyperlink"/>
            <w:rFonts w:ascii="MetaPro-Norm" w:hAnsi="MetaPro-Norm" w:cstheme="minorHAnsi"/>
            <w:sz w:val="20"/>
            <w:szCs w:val="20"/>
          </w:rPr>
          <w:t>https://tbinternet.ohchr.org/_layouts/15/treatybodyexternal/Download.aspx?symbolno=CRC%2fC%2fOMN%2fCO%2f3-4&amp;Lang=en</w:t>
        </w:r>
      </w:hyperlink>
      <w:r w:rsidRPr="00D32F81">
        <w:rPr>
          <w:rFonts w:ascii="MetaPro-Norm" w:hAnsi="MetaPro-Norm" w:cstheme="minorHAnsi"/>
          <w:sz w:val="20"/>
          <w:szCs w:val="20"/>
        </w:rPr>
        <w:t>.</w:t>
      </w:r>
    </w:p>
  </w:footnote>
  <w:footnote w:id="18">
    <w:p w14:paraId="64031E54" w14:textId="77777777" w:rsidR="007A01A2" w:rsidRPr="00D32F81" w:rsidRDefault="007A01A2" w:rsidP="007A01A2">
      <w:pPr>
        <w:rPr>
          <w:rFonts w:ascii="MetaPro-Norm" w:hAnsi="MetaPro-Norm" w:cstheme="minorHAnsi"/>
          <w:sz w:val="20"/>
          <w:szCs w:val="20"/>
        </w:rPr>
      </w:pPr>
      <w:r w:rsidRPr="00D32F81">
        <w:rPr>
          <w:rStyle w:val="FootnoteReference"/>
          <w:rFonts w:ascii="MetaPro-Norm" w:hAnsi="MetaPro-Norm" w:cstheme="minorHAnsi"/>
          <w:sz w:val="20"/>
          <w:szCs w:val="20"/>
        </w:rPr>
        <w:footnoteRef/>
      </w:r>
      <w:r w:rsidRPr="00D32F81">
        <w:rPr>
          <w:rFonts w:ascii="MetaPro-Norm" w:hAnsi="MetaPro-Norm" w:cstheme="minorHAnsi"/>
          <w:sz w:val="20"/>
          <w:szCs w:val="20"/>
        </w:rPr>
        <w:t xml:space="preserve"> “Oman,” Global Initiative to End All Corporal Punishment of Children, updated January 2020, </w:t>
      </w:r>
      <w:hyperlink r:id="rId14" w:history="1">
        <w:r w:rsidRPr="00D32F81">
          <w:rPr>
            <w:rStyle w:val="Hyperlink"/>
            <w:rFonts w:ascii="MetaPro-Norm" w:eastAsiaTheme="majorEastAsia" w:hAnsi="MetaPro-Norm" w:cstheme="minorHAnsi"/>
            <w:sz w:val="20"/>
            <w:szCs w:val="20"/>
          </w:rPr>
          <w:t>https://endcorporalpunishment.org/reports-on-every-state-and-territory/oman/</w:t>
        </w:r>
      </w:hyperlink>
      <w:r w:rsidRPr="00D32F81">
        <w:rPr>
          <w:rFonts w:ascii="MetaPro-Norm" w:hAnsi="MetaPro-Norm" w:cstheme="minorHAnsi"/>
          <w:sz w:val="20"/>
          <w:szCs w:val="20"/>
        </w:rPr>
        <w:t xml:space="preserve">. </w:t>
      </w:r>
    </w:p>
  </w:footnote>
  <w:footnote w:id="19">
    <w:p w14:paraId="66AF76CC" w14:textId="77777777" w:rsidR="007A01A2" w:rsidRPr="00D32F81" w:rsidRDefault="007A01A2" w:rsidP="007A01A2">
      <w:pPr>
        <w:rPr>
          <w:rFonts w:ascii="MetaPro-Norm" w:hAnsi="MetaPro-Norm" w:cstheme="minorHAnsi"/>
          <w:sz w:val="20"/>
          <w:szCs w:val="20"/>
          <w:lang w:val="en-GB"/>
        </w:rPr>
      </w:pPr>
      <w:r w:rsidRPr="00D32F81">
        <w:rPr>
          <w:rStyle w:val="FootnoteReference"/>
          <w:rFonts w:ascii="MetaPro-Norm" w:hAnsi="MetaPro-Norm" w:cstheme="minorHAnsi"/>
          <w:sz w:val="20"/>
          <w:szCs w:val="20"/>
        </w:rPr>
        <w:footnoteRef/>
      </w:r>
      <w:r w:rsidRPr="00D32F81">
        <w:rPr>
          <w:rFonts w:ascii="MetaPro-Norm" w:hAnsi="MetaPro-Norm" w:cstheme="minorHAnsi"/>
          <w:sz w:val="20"/>
          <w:szCs w:val="20"/>
        </w:rPr>
        <w:t xml:space="preserve"> </w:t>
      </w:r>
      <w:r w:rsidRPr="00D32F81">
        <w:rPr>
          <w:rFonts w:ascii="MetaPro-Norm" w:hAnsi="MetaPro-Norm" w:cstheme="minorHAnsi"/>
          <w:sz w:val="20"/>
          <w:szCs w:val="20"/>
          <w:lang w:val="en-GB"/>
        </w:rPr>
        <w:t>Gulf News, “Oman bans corporal punishment in Muscat schools,” October 23, 2016</w:t>
      </w:r>
      <w:r w:rsidRPr="00D32F81">
        <w:rPr>
          <w:rFonts w:ascii="MetaPro-Norm" w:hAnsi="MetaPro-Norm" w:cstheme="minorHAnsi"/>
          <w:sz w:val="20"/>
          <w:szCs w:val="20"/>
        </w:rPr>
        <w:t>,</w:t>
      </w:r>
    </w:p>
    <w:p w14:paraId="746D5ABB" w14:textId="77777777" w:rsidR="007A01A2" w:rsidRPr="00D32F81" w:rsidRDefault="00381D9D" w:rsidP="007A01A2">
      <w:pPr>
        <w:pStyle w:val="FootnoteText"/>
        <w:rPr>
          <w:rFonts w:ascii="MetaPro-Norm" w:hAnsi="MetaPro-Norm" w:cstheme="minorHAnsi"/>
        </w:rPr>
      </w:pPr>
      <w:hyperlink r:id="rId15" w:history="1">
        <w:r w:rsidR="007A01A2" w:rsidRPr="00D32F81">
          <w:rPr>
            <w:rStyle w:val="Hyperlink"/>
            <w:rFonts w:ascii="MetaPro-Norm" w:eastAsiaTheme="majorEastAsia" w:hAnsi="MetaPro-Norm" w:cstheme="minorHAnsi"/>
            <w:lang w:val="en-GB"/>
          </w:rPr>
          <w:t>https://gulfnews.com/news/gulf/oman/oman-bans-corporal-punishment-in-muscat-schools-1.1917293</w:t>
        </w:r>
      </w:hyperlink>
    </w:p>
  </w:footnote>
  <w:footnote w:id="20">
    <w:p w14:paraId="223EA3FB" w14:textId="77777777" w:rsidR="007A01A2" w:rsidRPr="00D32F81" w:rsidRDefault="007A01A2" w:rsidP="007A01A2">
      <w:pPr>
        <w:rPr>
          <w:rFonts w:ascii="MetaPro-Norm" w:hAnsi="MetaPro-Norm" w:cstheme="minorHAnsi"/>
          <w:sz w:val="20"/>
          <w:szCs w:val="20"/>
          <w:lang w:val="en-GB"/>
        </w:rPr>
      </w:pPr>
      <w:r w:rsidRPr="00D32F81">
        <w:rPr>
          <w:rStyle w:val="FootnoteReference"/>
          <w:rFonts w:ascii="MetaPro-Norm" w:hAnsi="MetaPro-Norm" w:cstheme="minorHAnsi"/>
          <w:sz w:val="20"/>
          <w:szCs w:val="20"/>
        </w:rPr>
        <w:footnoteRef/>
      </w:r>
      <w:r w:rsidRPr="00D32F81">
        <w:rPr>
          <w:rFonts w:ascii="MetaPro-Norm" w:hAnsi="MetaPro-Norm" w:cstheme="minorHAnsi"/>
          <w:sz w:val="20"/>
          <w:szCs w:val="20"/>
        </w:rPr>
        <w:t xml:space="preserve"> </w:t>
      </w:r>
      <w:r w:rsidRPr="00D32F81">
        <w:rPr>
          <w:rFonts w:ascii="MetaPro-Norm" w:hAnsi="MetaPro-Norm" w:cstheme="minorHAnsi"/>
          <w:sz w:val="20"/>
          <w:szCs w:val="20"/>
          <w:lang w:val="en-GB"/>
        </w:rPr>
        <w:t xml:space="preserve">Times of Oman, “Oman education: No need to ban disciplinary beatings in schools, says Shura panel,” November 26, 2016, </w:t>
      </w:r>
      <w:hyperlink r:id="rId16" w:history="1">
        <w:r w:rsidRPr="00D32F81">
          <w:rPr>
            <w:rStyle w:val="Hyperlink"/>
            <w:rFonts w:ascii="MetaPro-Norm" w:hAnsi="MetaPro-Norm" w:cstheme="minorHAnsi"/>
            <w:sz w:val="20"/>
            <w:szCs w:val="20"/>
            <w:lang w:val="en-GB"/>
          </w:rPr>
          <w:t>http://timesofoman.com/article/97297</w:t>
        </w:r>
      </w:hyperlink>
      <w:r w:rsidRPr="00D32F81">
        <w:rPr>
          <w:rFonts w:ascii="MetaPro-Norm" w:hAnsi="MetaPro-Norm" w:cstheme="minorHAnsi"/>
          <w:sz w:val="20"/>
          <w:szCs w:val="20"/>
          <w:lang w:val="en-GB"/>
        </w:rPr>
        <w:t xml:space="preserve"> </w:t>
      </w:r>
    </w:p>
  </w:footnote>
  <w:footnote w:id="21">
    <w:p w14:paraId="5825AB53" w14:textId="77777777" w:rsidR="007A01A2" w:rsidRPr="00D32F81" w:rsidRDefault="007A01A2" w:rsidP="007A01A2">
      <w:pPr>
        <w:rPr>
          <w:rFonts w:ascii="MetaPro-Norm" w:hAnsi="MetaPro-Norm" w:cstheme="minorHAnsi"/>
          <w:sz w:val="20"/>
          <w:szCs w:val="20"/>
        </w:rPr>
      </w:pPr>
      <w:r w:rsidRPr="00D32F81">
        <w:rPr>
          <w:rStyle w:val="FootnoteReference"/>
          <w:rFonts w:ascii="MetaPro-Norm" w:hAnsi="MetaPro-Norm" w:cstheme="minorHAnsi"/>
          <w:sz w:val="20"/>
          <w:szCs w:val="20"/>
        </w:rPr>
        <w:footnoteRef/>
      </w:r>
      <w:r w:rsidRPr="00D32F81">
        <w:rPr>
          <w:rFonts w:ascii="MetaPro-Norm" w:hAnsi="MetaPro-Norm" w:cstheme="minorHAnsi"/>
          <w:sz w:val="20"/>
          <w:szCs w:val="20"/>
        </w:rPr>
        <w:t xml:space="preserve"> </w:t>
      </w:r>
      <w:hyperlink r:id="rId17" w:history="1">
        <w:r w:rsidRPr="00D32F81">
          <w:rPr>
            <w:rFonts w:ascii="MetaPro-Norm" w:hAnsi="MetaPro-Norm" w:cstheme="minorHAnsi"/>
            <w:color w:val="0000FF"/>
            <w:sz w:val="20"/>
            <w:szCs w:val="20"/>
            <w:u w:val="single"/>
          </w:rPr>
          <w:t>https://www.omandaily.om/?p=567511</w:t>
        </w:r>
      </w:hyperlink>
    </w:p>
  </w:footnote>
  <w:footnote w:id="22">
    <w:p w14:paraId="20F1C5F7" w14:textId="783D90C9" w:rsidR="00326235" w:rsidRPr="00D32F81" w:rsidRDefault="00326235" w:rsidP="00326235">
      <w:pPr>
        <w:rPr>
          <w:rFonts w:ascii="MetaPro-Norm" w:eastAsia="Times New Roman" w:hAnsi="MetaPro-Norm" w:cs="Times New Roman"/>
          <w:sz w:val="20"/>
          <w:szCs w:val="20"/>
        </w:rPr>
      </w:pPr>
      <w:r w:rsidRPr="00D32F81">
        <w:rPr>
          <w:rStyle w:val="FootnoteReference"/>
          <w:rFonts w:ascii="MetaPro-Norm" w:hAnsi="MetaPro-Norm"/>
          <w:color w:val="000000" w:themeColor="text1"/>
          <w:sz w:val="20"/>
          <w:szCs w:val="20"/>
        </w:rPr>
        <w:footnoteRef/>
      </w:r>
      <w:r w:rsidRPr="00D32F81">
        <w:rPr>
          <w:rFonts w:ascii="MetaPro-Norm" w:hAnsi="MetaPro-Norm"/>
          <w:color w:val="000000" w:themeColor="text1"/>
          <w:sz w:val="20"/>
          <w:szCs w:val="20"/>
        </w:rPr>
        <w:t xml:space="preserve"> </w:t>
      </w:r>
      <w:r w:rsidRPr="00D32F81">
        <w:rPr>
          <w:rFonts w:ascii="MetaPro-Norm" w:eastAsia="Times New Roman" w:hAnsi="MetaPro-Norm" w:cs="Times New Roman"/>
          <w:color w:val="000000" w:themeColor="text1"/>
          <w:sz w:val="20"/>
          <w:szCs w:val="20"/>
        </w:rPr>
        <w:t xml:space="preserve">Oman National Centre for Statistics and Information, “Monthly Statistical Bulletin,” March 2020, </w:t>
      </w:r>
      <w:hyperlink r:id="rId18" w:history="1">
        <w:r w:rsidRPr="00D32F81">
          <w:rPr>
            <w:rStyle w:val="Hyperlink"/>
            <w:rFonts w:ascii="MetaPro-Norm" w:eastAsia="Times New Roman" w:hAnsi="MetaPro-Norm" w:cs="Times New Roman"/>
            <w:sz w:val="20"/>
            <w:szCs w:val="20"/>
          </w:rPr>
          <w:t>https://www.ncsi.gov.om/Elibrary/LibraryContentDoc/bar_March%202020_0f7a0628-f2e1-42f2-8ed1-ca22b5bc72c3.pdf</w:t>
        </w:r>
      </w:hyperlink>
      <w:r w:rsidRPr="00D32F81">
        <w:rPr>
          <w:rFonts w:ascii="MetaPro-Norm" w:eastAsia="Times New Roman" w:hAnsi="MetaPro-Norm" w:cs="Times New Roman"/>
          <w:color w:val="000000" w:themeColor="text1"/>
          <w:sz w:val="20"/>
          <w:szCs w:val="20"/>
        </w:rPr>
        <w:t xml:space="preserve"> p.21, (accessed November 18, 2020) </w:t>
      </w:r>
    </w:p>
  </w:footnote>
  <w:footnote w:id="23">
    <w:p w14:paraId="6D89D8A6" w14:textId="460F24EA" w:rsidR="00D030E0" w:rsidRPr="00D32F81" w:rsidRDefault="00D030E0" w:rsidP="00D030E0">
      <w:pPr>
        <w:rPr>
          <w:rFonts w:ascii="MetaPro-Norm" w:hAnsi="MetaPro-Norm"/>
          <w:sz w:val="20"/>
          <w:szCs w:val="20"/>
        </w:rPr>
      </w:pPr>
      <w:r w:rsidRPr="00D32F81">
        <w:rPr>
          <w:rStyle w:val="FootnoteReference"/>
          <w:rFonts w:ascii="MetaPro-Norm" w:hAnsi="MetaPro-Norm"/>
          <w:sz w:val="20"/>
          <w:szCs w:val="20"/>
        </w:rPr>
        <w:footnoteRef/>
      </w:r>
      <w:r w:rsidRPr="00D32F81">
        <w:rPr>
          <w:rFonts w:ascii="MetaPro-Norm" w:hAnsi="MetaPro-Norm"/>
          <w:sz w:val="20"/>
          <w:szCs w:val="20"/>
        </w:rPr>
        <w:t xml:space="preserve"> “Abused, starved, and unpaid: a runaway maid in Oman,” Middle East Eye, March 11, 2016, </w:t>
      </w:r>
      <w:hyperlink r:id="rId19" w:history="1">
        <w:r w:rsidRPr="00D32F81">
          <w:rPr>
            <w:rStyle w:val="Hyperlink"/>
            <w:rFonts w:ascii="MetaPro-Norm" w:hAnsi="MetaPro-Norm"/>
            <w:sz w:val="20"/>
            <w:szCs w:val="20"/>
          </w:rPr>
          <w:t>https://www.middleeasteye.net/news/abused-starved-and-unpaid-runaway-maid-oman</w:t>
        </w:r>
      </w:hyperlink>
      <w:r w:rsidRPr="00D32F81">
        <w:rPr>
          <w:rFonts w:ascii="MetaPro-Norm" w:hAnsi="MetaPro-Norm"/>
          <w:sz w:val="20"/>
          <w:szCs w:val="20"/>
        </w:rPr>
        <w:t xml:space="preserve"> (accessed November 17, 2020)</w:t>
      </w:r>
    </w:p>
  </w:footnote>
  <w:footnote w:id="24">
    <w:p w14:paraId="5EF918CB" w14:textId="77777777" w:rsidR="00740495" w:rsidRPr="00D32F81" w:rsidRDefault="00740495" w:rsidP="00740495">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“Realizing Children’s Rights in Oman,” </w:t>
      </w:r>
      <w:proofErr w:type="spellStart"/>
      <w:r w:rsidRPr="00D32F81">
        <w:rPr>
          <w:rFonts w:ascii="MetaPro-Norm" w:hAnsi="MetaPro-Norm"/>
        </w:rPr>
        <w:t>Humanium</w:t>
      </w:r>
      <w:proofErr w:type="spellEnd"/>
      <w:r w:rsidRPr="00D32F81">
        <w:rPr>
          <w:rFonts w:ascii="MetaPro-Norm" w:hAnsi="MetaPro-Norm"/>
        </w:rPr>
        <w:t xml:space="preserve">,  </w:t>
      </w:r>
      <w:hyperlink r:id="rId20" w:history="1">
        <w:r w:rsidRPr="00D32F81">
          <w:rPr>
            <w:rStyle w:val="Hyperlink"/>
            <w:rFonts w:ascii="MetaPro-Norm" w:hAnsi="MetaPro-Norm"/>
          </w:rPr>
          <w:t>https://www.humanium.org/en/middle-east-north-africa/oman/</w:t>
        </w:r>
      </w:hyperlink>
      <w:r w:rsidRPr="00D32F81">
        <w:rPr>
          <w:rFonts w:ascii="MetaPro-Norm" w:hAnsi="MetaPro-Norm"/>
        </w:rPr>
        <w:t xml:space="preserve"> (accessed November 17, 2020)</w:t>
      </w:r>
    </w:p>
  </w:footnote>
  <w:footnote w:id="25">
    <w:p w14:paraId="7636B802" w14:textId="20208F23" w:rsidR="00740495" w:rsidRPr="00D32F81" w:rsidRDefault="00740495">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“2019 Findings on the Worst Forms of Child Labor,” US Bureau of International Labor Affairs, </w:t>
      </w:r>
      <w:hyperlink r:id="rId21" w:history="1">
        <w:r w:rsidRPr="00D32F81">
          <w:rPr>
            <w:rStyle w:val="Hyperlink"/>
            <w:rFonts w:ascii="MetaPro-Norm" w:hAnsi="MetaPro-Norm"/>
          </w:rPr>
          <w:t>https://www.justice.gov/eoir/page/file/1327796/download</w:t>
        </w:r>
      </w:hyperlink>
      <w:r w:rsidRPr="00D32F81">
        <w:rPr>
          <w:rFonts w:ascii="MetaPro-Norm" w:hAnsi="MetaPro-Norm"/>
        </w:rPr>
        <w:t xml:space="preserve"> </w:t>
      </w:r>
    </w:p>
  </w:footnote>
  <w:footnote w:id="26">
    <w:p w14:paraId="4AA19361" w14:textId="0AE42167" w:rsidR="00CA522B" w:rsidRPr="00D32F81" w:rsidRDefault="00CA522B" w:rsidP="00CA522B">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Concluding observations on the combined second and third periodic reports of Oman, November 22, 2017, CEDAW/C/OMN/CO/2-3, </w:t>
      </w:r>
      <w:hyperlink r:id="rId22" w:history="1">
        <w:r w:rsidRPr="00D32F81">
          <w:rPr>
            <w:rStyle w:val="Hyperlink"/>
            <w:rFonts w:ascii="MetaPro-Norm" w:hAnsi="MetaPro-Norm"/>
          </w:rPr>
          <w:t>https://tbinternet.ohchr.org/_layouts/treatybodyexternal/Download.aspx?Lang=En&amp;symbolno=CEDAW%2FC%2FOMN%2FCO%2F2-3</w:t>
        </w:r>
      </w:hyperlink>
      <w:r w:rsidRPr="00D32F81">
        <w:rPr>
          <w:rFonts w:ascii="MetaPro-Norm" w:hAnsi="MetaPro-Norm"/>
        </w:rPr>
        <w:t xml:space="preserve"> </w:t>
      </w:r>
    </w:p>
  </w:footnote>
  <w:footnote w:id="27">
    <w:p w14:paraId="39DC43EE" w14:textId="2E5B906E" w:rsidR="00A41240" w:rsidRPr="00D32F81" w:rsidRDefault="00A41240" w:rsidP="00096B0C">
      <w:r w:rsidRPr="00D32F81">
        <w:rPr>
          <w:rStyle w:val="FootnoteReference"/>
          <w:rFonts w:ascii="MetaPro-Norm" w:hAnsi="MetaPro-Norm"/>
          <w:sz w:val="20"/>
          <w:szCs w:val="20"/>
        </w:rPr>
        <w:footnoteRef/>
      </w:r>
      <w:r w:rsidRPr="00D32F81">
        <w:rPr>
          <w:rFonts w:ascii="MetaPro-Norm" w:hAnsi="MetaPro-Norm"/>
          <w:sz w:val="20"/>
          <w:szCs w:val="20"/>
        </w:rPr>
        <w:t xml:space="preserve"> </w:t>
      </w:r>
      <w:r w:rsidRPr="00D32F81">
        <w:rPr>
          <w:rFonts w:ascii="MetaPro-Norm" w:eastAsia="Times New Roman" w:hAnsi="MetaPro-Norm" w:cs="Arial"/>
          <w:color w:val="303030"/>
          <w:sz w:val="20"/>
          <w:szCs w:val="20"/>
          <w:shd w:val="clear" w:color="auto" w:fill="FFFFFF"/>
        </w:rPr>
        <w:t xml:space="preserve">Islam, M </w:t>
      </w:r>
      <w:proofErr w:type="spellStart"/>
      <w:r w:rsidRPr="00D32F81">
        <w:rPr>
          <w:rFonts w:ascii="MetaPro-Norm" w:eastAsia="Times New Roman" w:hAnsi="MetaPro-Norm" w:cs="Arial"/>
          <w:color w:val="303030"/>
          <w:sz w:val="20"/>
          <w:szCs w:val="20"/>
          <w:shd w:val="clear" w:color="auto" w:fill="FFFFFF"/>
        </w:rPr>
        <w:t>Mazharul</w:t>
      </w:r>
      <w:proofErr w:type="spellEnd"/>
      <w:r w:rsidRPr="00D32F81">
        <w:rPr>
          <w:rFonts w:ascii="MetaPro-Norm" w:eastAsia="Times New Roman" w:hAnsi="MetaPro-Norm" w:cs="Arial"/>
          <w:color w:val="303030"/>
          <w:sz w:val="20"/>
          <w:szCs w:val="20"/>
          <w:shd w:val="clear" w:color="auto" w:fill="FFFFFF"/>
        </w:rPr>
        <w:t xml:space="preserve"> et al. “The pattern of female nuptiality in Oman.” </w:t>
      </w:r>
      <w:r w:rsidRPr="00D32F81">
        <w:rPr>
          <w:rFonts w:ascii="MetaPro-Norm" w:eastAsia="Times New Roman" w:hAnsi="MetaPro-Norm" w:cs="Arial"/>
          <w:i/>
          <w:iCs/>
          <w:color w:val="303030"/>
          <w:sz w:val="20"/>
          <w:szCs w:val="20"/>
          <w:shd w:val="clear" w:color="auto" w:fill="FFFFFF"/>
        </w:rPr>
        <w:t xml:space="preserve">Sultan Qaboos University </w:t>
      </w:r>
      <w:r w:rsidR="00910B8D" w:rsidRPr="00D32F81">
        <w:rPr>
          <w:rFonts w:ascii="MetaPro-Norm" w:eastAsia="Times New Roman" w:hAnsi="MetaPro-Norm" w:cs="Arial"/>
          <w:i/>
          <w:iCs/>
          <w:color w:val="303030"/>
          <w:sz w:val="20"/>
          <w:szCs w:val="20"/>
          <w:shd w:val="clear" w:color="auto" w:fill="FFFFFF"/>
        </w:rPr>
        <w:t>M</w:t>
      </w:r>
      <w:r w:rsidRPr="00D32F81">
        <w:rPr>
          <w:rFonts w:ascii="MetaPro-Norm" w:eastAsia="Times New Roman" w:hAnsi="MetaPro-Norm" w:cs="Arial"/>
          <w:i/>
          <w:iCs/>
          <w:color w:val="303030"/>
          <w:sz w:val="20"/>
          <w:szCs w:val="20"/>
          <w:shd w:val="clear" w:color="auto" w:fill="FFFFFF"/>
        </w:rPr>
        <w:t xml:space="preserve">edical </w:t>
      </w:r>
      <w:r w:rsidR="00910B8D" w:rsidRPr="00D32F81">
        <w:rPr>
          <w:rFonts w:ascii="MetaPro-Norm" w:eastAsia="Times New Roman" w:hAnsi="MetaPro-Norm" w:cs="Arial"/>
          <w:i/>
          <w:iCs/>
          <w:color w:val="303030"/>
          <w:sz w:val="20"/>
          <w:szCs w:val="20"/>
          <w:shd w:val="clear" w:color="auto" w:fill="FFFFFF"/>
        </w:rPr>
        <w:t>J</w:t>
      </w:r>
      <w:r w:rsidRPr="00D32F81">
        <w:rPr>
          <w:rFonts w:ascii="MetaPro-Norm" w:eastAsia="Times New Roman" w:hAnsi="MetaPro-Norm" w:cs="Arial"/>
          <w:i/>
          <w:iCs/>
          <w:color w:val="303030"/>
          <w:sz w:val="20"/>
          <w:szCs w:val="20"/>
          <w:shd w:val="clear" w:color="auto" w:fill="FFFFFF"/>
        </w:rPr>
        <w:t>ournal</w:t>
      </w:r>
      <w:r w:rsidRPr="00D32F81">
        <w:rPr>
          <w:rFonts w:ascii="MetaPro-Norm" w:eastAsia="Times New Roman" w:hAnsi="MetaPro-Norm" w:cs="Arial"/>
          <w:color w:val="303030"/>
          <w:sz w:val="20"/>
          <w:szCs w:val="20"/>
          <w:shd w:val="clear" w:color="auto" w:fill="FFFFFF"/>
        </w:rPr>
        <w:t xml:space="preserve"> vol. 13,1 (2013): 32-42. DOI:10.12816/0003193, </w:t>
      </w:r>
      <w:hyperlink r:id="rId23" w:history="1">
        <w:r w:rsidRPr="00D32F81">
          <w:rPr>
            <w:rStyle w:val="Hyperlink"/>
            <w:rFonts w:ascii="MetaPro-Norm" w:eastAsia="Times New Roman" w:hAnsi="MetaPro-Norm" w:cs="Arial"/>
            <w:sz w:val="20"/>
            <w:szCs w:val="20"/>
            <w:shd w:val="clear" w:color="auto" w:fill="FFFFFF"/>
          </w:rPr>
          <w:t>https://www.ncbi.nlm.nih.gov/pmc/articles/PMC3616798/</w:t>
        </w:r>
      </w:hyperlink>
      <w:r w:rsidRPr="00D32F81">
        <w:rPr>
          <w:rFonts w:ascii="MetaPro-Norm" w:eastAsia="Times New Roman" w:hAnsi="MetaPro-Norm" w:cs="Arial"/>
          <w:color w:val="303030"/>
          <w:sz w:val="20"/>
          <w:szCs w:val="20"/>
          <w:shd w:val="clear" w:color="auto" w:fill="FFFFFF"/>
        </w:rPr>
        <w:t xml:space="preserve"> </w:t>
      </w:r>
    </w:p>
  </w:footnote>
  <w:footnote w:id="28">
    <w:p w14:paraId="1EB00589" w14:textId="5E21C92A" w:rsidR="00150F2C" w:rsidRDefault="00150F2C">
      <w:pPr>
        <w:pStyle w:val="FootnoteText"/>
      </w:pPr>
      <w:r>
        <w:rPr>
          <w:rStyle w:val="FootnoteReference"/>
        </w:rPr>
        <w:footnoteRef/>
      </w:r>
      <w:r>
        <w:t xml:space="preserve"> </w:t>
      </w:r>
      <w:r w:rsidRPr="00D32F81">
        <w:rPr>
          <w:rFonts w:ascii="MetaPro-Norm" w:hAnsi="MetaPro-Norm"/>
        </w:rPr>
        <w:t xml:space="preserve">“Students’ safety top priority, says official,” Times of Oman, Monday, September 28, 2020, </w:t>
      </w:r>
      <w:hyperlink r:id="rId24" w:history="1">
        <w:r w:rsidRPr="00D32F81">
          <w:rPr>
            <w:rStyle w:val="Hyperlink"/>
            <w:rFonts w:ascii="MetaPro-Norm" w:hAnsi="MetaPro-Norm"/>
          </w:rPr>
          <w:t>https://timesofoman.com/article/students-safety-top-priority-says-official</w:t>
        </w:r>
      </w:hyperlink>
      <w:r w:rsidRPr="00D32F81">
        <w:rPr>
          <w:rFonts w:ascii="MetaPro-Norm" w:hAnsi="MetaPro-Norm"/>
        </w:rPr>
        <w:t xml:space="preserve"> (accessed November 18, 2020)</w:t>
      </w:r>
    </w:p>
  </w:footnote>
  <w:footnote w:id="29">
    <w:p w14:paraId="3C009E5A" w14:textId="15719429" w:rsidR="008658C7" w:rsidRPr="00D32F81" w:rsidRDefault="008658C7">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w:t>
      </w:r>
      <w:r w:rsidR="00150F2C">
        <w:rPr>
          <w:rFonts w:ascii="MetaPro-Norm" w:hAnsi="MetaPro-Norm"/>
        </w:rPr>
        <w:t xml:space="preserve">Ibid. </w:t>
      </w:r>
    </w:p>
  </w:footnote>
  <w:footnote w:id="30">
    <w:p w14:paraId="1DDB438D" w14:textId="77777777" w:rsidR="00026960" w:rsidRPr="00D32F81" w:rsidRDefault="00026960" w:rsidP="00026960">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“School academic year in Oman begins on Sunday,” Times of Oman, October 31, 2020, </w:t>
      </w:r>
      <w:hyperlink r:id="rId25" w:history="1">
        <w:r w:rsidRPr="00D32F81">
          <w:rPr>
            <w:rStyle w:val="Hyperlink"/>
            <w:rFonts w:ascii="MetaPro-Norm" w:hAnsi="MetaPro-Norm"/>
          </w:rPr>
          <w:t>https://timesofoman.com/article/school-academic-year-in-oman-begins-on-sunday</w:t>
        </w:r>
      </w:hyperlink>
      <w:r w:rsidRPr="00D32F81">
        <w:rPr>
          <w:rFonts w:ascii="MetaPro-Norm" w:hAnsi="MetaPro-Norm"/>
        </w:rPr>
        <w:t xml:space="preserve"> (accessed November 18, 2020) </w:t>
      </w:r>
    </w:p>
  </w:footnote>
  <w:footnote w:id="31">
    <w:p w14:paraId="4DA9DE98" w14:textId="2D2F582D" w:rsidR="00026960" w:rsidRPr="00D32F81" w:rsidRDefault="00026960">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Ibid. </w:t>
      </w:r>
    </w:p>
  </w:footnote>
  <w:footnote w:id="32">
    <w:p w14:paraId="7EF26FD4" w14:textId="3F23F7D9" w:rsidR="00E02F34" w:rsidRPr="00D32F81" w:rsidRDefault="00E02F34" w:rsidP="00E02F34">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w:t>
      </w:r>
      <w:r w:rsidR="00F607ED">
        <w:rPr>
          <w:rFonts w:ascii="MetaPro-Norm" w:hAnsi="MetaPro-Norm"/>
        </w:rPr>
        <w:t>Ibid.</w:t>
      </w:r>
    </w:p>
  </w:footnote>
  <w:footnote w:id="33">
    <w:p w14:paraId="6938EBBC" w14:textId="77777777" w:rsidR="00E02F34" w:rsidRPr="00D32F81" w:rsidRDefault="00E02F34" w:rsidP="00E02F34">
      <w:pPr>
        <w:pStyle w:val="FootnoteText"/>
        <w:rPr>
          <w:rFonts w:ascii="MetaPro-Norm" w:hAnsi="MetaPro-Norm"/>
        </w:rPr>
      </w:pPr>
      <w:r w:rsidRPr="00D32F81">
        <w:rPr>
          <w:rStyle w:val="FootnoteReference"/>
          <w:rFonts w:ascii="MetaPro-Norm" w:hAnsi="MetaPro-Norm"/>
        </w:rPr>
        <w:footnoteRef/>
      </w:r>
      <w:r w:rsidRPr="00D32F81">
        <w:rPr>
          <w:rFonts w:ascii="MetaPro-Norm" w:hAnsi="MetaPro-Norm"/>
        </w:rPr>
        <w:t xml:space="preserve"> Ibid. </w:t>
      </w:r>
    </w:p>
  </w:footnote>
  <w:footnote w:id="34">
    <w:p w14:paraId="47B88581" w14:textId="77777777" w:rsidR="00E02F34" w:rsidRPr="00D32F81" w:rsidRDefault="00E02F34" w:rsidP="00E02F34">
      <w:pPr>
        <w:rPr>
          <w:rFonts w:ascii="MetaPro-Norm" w:eastAsia="Times New Roman" w:hAnsi="MetaPro-Norm" w:cs="Times New Roman"/>
          <w:sz w:val="20"/>
          <w:szCs w:val="20"/>
        </w:rPr>
      </w:pPr>
      <w:r w:rsidRPr="00D32F81">
        <w:rPr>
          <w:rStyle w:val="FootnoteReference"/>
          <w:rFonts w:ascii="MetaPro-Norm" w:hAnsi="MetaPro-Norm"/>
          <w:sz w:val="20"/>
          <w:szCs w:val="20"/>
        </w:rPr>
        <w:footnoteRef/>
      </w:r>
      <w:r w:rsidRPr="00D32F81">
        <w:rPr>
          <w:rFonts w:ascii="MetaPro-Norm" w:hAnsi="MetaPro-Norm"/>
          <w:sz w:val="20"/>
          <w:szCs w:val="20"/>
        </w:rPr>
        <w:t xml:space="preserve"> </w:t>
      </w:r>
      <w:r w:rsidRPr="00D32F81">
        <w:rPr>
          <w:rFonts w:ascii="MetaPro-Norm" w:eastAsia="Times New Roman" w:hAnsi="MetaPro-Norm" w:cs="Times New Roman"/>
          <w:sz w:val="20"/>
          <w:szCs w:val="20"/>
        </w:rPr>
        <w:t xml:space="preserve">Mohamed </w:t>
      </w:r>
      <w:proofErr w:type="spellStart"/>
      <w:r w:rsidRPr="00D32F81">
        <w:rPr>
          <w:rFonts w:ascii="MetaPro-Norm" w:eastAsia="Times New Roman" w:hAnsi="MetaPro-Norm" w:cs="Times New Roman"/>
          <w:sz w:val="20"/>
          <w:szCs w:val="20"/>
        </w:rPr>
        <w:t>ElTahir</w:t>
      </w:r>
      <w:proofErr w:type="spellEnd"/>
      <w:r w:rsidRPr="00D32F81">
        <w:rPr>
          <w:rFonts w:ascii="MetaPro-Norm" w:eastAsia="Times New Roman" w:hAnsi="MetaPro-Norm" w:cs="Times New Roman"/>
          <w:sz w:val="20"/>
          <w:szCs w:val="20"/>
        </w:rPr>
        <w:t xml:space="preserve"> Osman (2020): Global impact of COVID-19 on education systems: the emergency remote teaching at Sultan Qaboos University, Journal of Education for Teaching, DOI: 10.1080/02607476.2020.1802583</w:t>
      </w:r>
    </w:p>
  </w:footnote>
  <w:footnote w:id="35">
    <w:p w14:paraId="46EA851F" w14:textId="06CD3B54" w:rsidR="00516E74" w:rsidRPr="00D32F81" w:rsidRDefault="00516E74" w:rsidP="00D32F81">
      <w:pPr>
        <w:rPr>
          <w:rFonts w:ascii="MetaPro-Norm" w:eastAsia="Times New Roman" w:hAnsi="MetaPro-Norm" w:cs="Times New Roman"/>
          <w:sz w:val="20"/>
          <w:szCs w:val="20"/>
        </w:rPr>
      </w:pPr>
      <w:r w:rsidRPr="00D32F81">
        <w:rPr>
          <w:rStyle w:val="FootnoteReference"/>
          <w:rFonts w:ascii="MetaPro-Norm" w:hAnsi="MetaPro-Norm"/>
          <w:sz w:val="20"/>
          <w:szCs w:val="20"/>
        </w:rPr>
        <w:footnoteRef/>
      </w:r>
      <w:r w:rsidRPr="00D32F81">
        <w:rPr>
          <w:rFonts w:ascii="MetaPro-Norm" w:hAnsi="MetaPro-Norm"/>
          <w:sz w:val="20"/>
          <w:szCs w:val="20"/>
        </w:rPr>
        <w:t xml:space="preserve"> Oman News Agency, Twitter, November 8, 2020, </w:t>
      </w:r>
      <w:hyperlink r:id="rId26" w:history="1">
        <w:r w:rsidRPr="00D32F81">
          <w:rPr>
            <w:rStyle w:val="Hyperlink"/>
            <w:rFonts w:ascii="MetaPro-Norm" w:eastAsia="Times New Roman" w:hAnsi="MetaPro-Norm" w:cs="Times New Roman"/>
            <w:sz w:val="20"/>
            <w:szCs w:val="20"/>
            <w:shd w:val="clear" w:color="auto" w:fill="FFFFFF"/>
          </w:rPr>
          <w:t>https://twitter.com/OmanNewsAgency/status/1325367518299627520?s=20</w:t>
        </w:r>
      </w:hyperlink>
      <w:r w:rsidRPr="00D32F81">
        <w:rPr>
          <w:rFonts w:ascii="MetaPro-Norm" w:eastAsia="Times New Roman" w:hAnsi="MetaPro-Norm" w:cs="Times New Roman"/>
          <w:color w:val="000000"/>
          <w:sz w:val="20"/>
          <w:szCs w:val="20"/>
          <w:shd w:val="clear" w:color="auto" w:fill="FFFFFF"/>
        </w:rPr>
        <w:t xml:space="preserve"> (accessed November 18, 2020) </w:t>
      </w:r>
    </w:p>
  </w:footnote>
  <w:footnote w:id="36">
    <w:p w14:paraId="32F2B61E" w14:textId="63D54CC1" w:rsidR="004164DE" w:rsidRDefault="004164DE">
      <w:pPr>
        <w:pStyle w:val="FootnoteText"/>
      </w:pPr>
      <w:r>
        <w:rPr>
          <w:rStyle w:val="FootnoteReference"/>
        </w:rPr>
        <w:footnoteRef/>
      </w:r>
      <w:r>
        <w:t xml:space="preserve"> </w:t>
      </w:r>
      <w:r w:rsidRPr="00D32F81">
        <w:rPr>
          <w:rFonts w:ascii="MetaPro-Norm" w:hAnsi="MetaPro-Norm"/>
        </w:rPr>
        <w:t xml:space="preserve">“School academic year in Oman begins on Sunday,” Times of Oman, October 31, 2020, </w:t>
      </w:r>
      <w:hyperlink r:id="rId27" w:history="1">
        <w:r w:rsidRPr="00D32F81">
          <w:rPr>
            <w:rStyle w:val="Hyperlink"/>
            <w:rFonts w:ascii="MetaPro-Norm" w:hAnsi="MetaPro-Norm"/>
          </w:rPr>
          <w:t>https://timesofoman.com/article/school-academic-year-in-oman-begins-on-sunday</w:t>
        </w:r>
      </w:hyperlink>
      <w:r w:rsidRPr="00D32F81">
        <w:rPr>
          <w:rFonts w:ascii="MetaPro-Norm" w:hAnsi="MetaPro-Norm"/>
        </w:rPr>
        <w:t xml:space="preserve"> (accessed November 18, 2020)</w:t>
      </w:r>
    </w:p>
  </w:footnote>
  <w:footnote w:id="37">
    <w:p w14:paraId="28383E6A" w14:textId="1A00EBE2" w:rsidR="00A562E5" w:rsidRDefault="00A562E5">
      <w:pPr>
        <w:pStyle w:val="FootnoteText"/>
      </w:pPr>
      <w:r>
        <w:rPr>
          <w:rStyle w:val="FootnoteReference"/>
        </w:rPr>
        <w:footnoteRef/>
      </w:r>
      <w:r>
        <w:t xml:space="preserve"> Elin Martínez, “Pandemic Shakes Up World’s Education Systems,” Right to Education Initiative, March 19, 2020, </w:t>
      </w:r>
      <w:hyperlink r:id="rId28" w:history="1">
        <w:r w:rsidRPr="005B2206">
          <w:rPr>
            <w:rStyle w:val="Hyperlink"/>
          </w:rPr>
          <w:t>https://www.right-to-education.org/blog/pandemic-shakes-world-s-education-systems</w:t>
        </w:r>
      </w:hyperlink>
      <w:r>
        <w:t xml:space="preserve"> (accessed November 19, 2020) </w:t>
      </w:r>
    </w:p>
  </w:footnote>
  <w:footnote w:id="38">
    <w:p w14:paraId="1AA12666" w14:textId="61401A38" w:rsidR="00A562E5" w:rsidRDefault="00A562E5">
      <w:pPr>
        <w:pStyle w:val="FootnoteText"/>
      </w:pPr>
      <w:r>
        <w:rPr>
          <w:rStyle w:val="FootnoteReference"/>
        </w:rPr>
        <w:footnoteRef/>
      </w:r>
      <w:r>
        <w:t xml:space="preserve"> </w:t>
      </w:r>
      <w:r w:rsidRPr="00D32F81">
        <w:rPr>
          <w:rFonts w:ascii="MetaPro-Norm" w:hAnsi="MetaPro-Norm" w:cs="Calibri"/>
        </w:rPr>
        <w:t>Joint Submission to the Human Rights Council on Oman, Universal Periodic Review, 37</w:t>
      </w:r>
      <w:r w:rsidRPr="00D32F81">
        <w:rPr>
          <w:rFonts w:ascii="MetaPro-Norm" w:hAnsi="MetaPro-Norm" w:cs="Calibri"/>
          <w:vertAlign w:val="superscript"/>
        </w:rPr>
        <w:t>th</w:t>
      </w:r>
      <w:r w:rsidRPr="00D32F81">
        <w:rPr>
          <w:rFonts w:ascii="MetaPro-Norm" w:hAnsi="MetaPro-Norm" w:cs="Calibri"/>
        </w:rPr>
        <w:t xml:space="preserve"> Session, 3</w:t>
      </w:r>
      <w:r w:rsidRPr="00D32F81">
        <w:rPr>
          <w:rFonts w:ascii="MetaPro-Norm" w:hAnsi="MetaPro-Norm" w:cs="Calibri"/>
          <w:vertAlign w:val="superscript"/>
        </w:rPr>
        <w:t>rd</w:t>
      </w:r>
      <w:r w:rsidRPr="00D32F81">
        <w:rPr>
          <w:rFonts w:ascii="MetaPro-Norm" w:hAnsi="MetaPro-Norm" w:cs="Calibri"/>
        </w:rPr>
        <w:t xml:space="preserve"> Cycle, Omani Association for Human Rights et al, July 2020, available </w:t>
      </w:r>
      <w:hyperlink r:id="rId29" w:history="1">
        <w:r w:rsidRPr="00D32F81">
          <w:rPr>
            <w:rStyle w:val="Hyperlink"/>
            <w:rFonts w:ascii="MetaPro-Norm" w:hAnsi="MetaPro-Norm" w:cs="Calibri"/>
          </w:rPr>
          <w:t>https://files.institutesi.org/UPR37_Oman.pdf</w:t>
        </w:r>
      </w:hyperlink>
      <w:r w:rsidRPr="00D32F81">
        <w:rPr>
          <w:rFonts w:ascii="MetaPro-Norm" w:hAnsi="MetaPro-Norm" w:cs="Calibri"/>
        </w:rPr>
        <w:t xml:space="preserve"> (accessed October 26, 2020).</w:t>
      </w:r>
    </w:p>
  </w:footnote>
  <w:footnote w:id="39">
    <w:p w14:paraId="2EE636FC" w14:textId="7D0AC2C2" w:rsidR="001D0AE4" w:rsidRDefault="001D0AE4">
      <w:pPr>
        <w:pStyle w:val="FootnoteText"/>
      </w:pPr>
      <w:r>
        <w:rPr>
          <w:rStyle w:val="FootnoteReference"/>
        </w:rPr>
        <w:footnoteRef/>
      </w:r>
      <w:r>
        <w:t xml:space="preserve"> UNICEF Annual Report 2017, Oman, </w:t>
      </w:r>
      <w:hyperlink r:id="rId30" w:history="1">
        <w:r w:rsidRPr="005B2206">
          <w:rPr>
            <w:rStyle w:val="Hyperlink"/>
          </w:rPr>
          <w:t>https://www.unicef.org/about/annualreport/files/Oman_2017_COAR.pdf</w:t>
        </w:r>
      </w:hyperlink>
      <w:r>
        <w:t xml:space="preserve"> </w:t>
      </w:r>
    </w:p>
  </w:footnote>
  <w:footnote w:id="40">
    <w:p w14:paraId="7598B3CA" w14:textId="62204136" w:rsidR="00C90D16" w:rsidRDefault="00C90D16">
      <w:pPr>
        <w:pStyle w:val="FootnoteText"/>
      </w:pPr>
      <w:r>
        <w:rPr>
          <w:rStyle w:val="FootnoteReference"/>
        </w:rPr>
        <w:footnoteRef/>
      </w:r>
      <w:r>
        <w:t xml:space="preserve"> </w:t>
      </w:r>
      <w:r w:rsidRPr="00C90D16">
        <w:t xml:space="preserve">Safe Schools Declaration, May 28, 2015, https://www.regjeringen.no/globalassets/departementene/ud/vedlegg/utvikling/safe_schools_declaration.pdf (accessed </w:t>
      </w:r>
      <w:r>
        <w:t>November 24, 2020)</w:t>
      </w:r>
    </w:p>
  </w:footnote>
  <w:footnote w:id="41">
    <w:p w14:paraId="7FD68C53" w14:textId="2FBE6011" w:rsidR="00C90D16" w:rsidRDefault="00C90D16">
      <w:pPr>
        <w:pStyle w:val="FootnoteText"/>
      </w:pPr>
      <w:r>
        <w:rPr>
          <w:rStyle w:val="FootnoteReference"/>
        </w:rPr>
        <w:footnoteRef/>
      </w:r>
      <w:r>
        <w:t xml:space="preserve"> </w:t>
      </w:r>
      <w:r w:rsidRPr="00C90D16">
        <w:t xml:space="preserve">Guidelines for Protecting Schools and Universities from Military Use during Armed Conflict, March 18, 2014, http://protectingeducation.org/sites/default/files/documents/guidelines_en.pdf (accessed </w:t>
      </w:r>
      <w:r>
        <w:t>November 24,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61C0A"/>
    <w:multiLevelType w:val="hybridMultilevel"/>
    <w:tmpl w:val="E2D2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F2844"/>
    <w:multiLevelType w:val="hybridMultilevel"/>
    <w:tmpl w:val="8CD073B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B1AAB"/>
    <w:multiLevelType w:val="hybridMultilevel"/>
    <w:tmpl w:val="B45CA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D64CCD"/>
    <w:multiLevelType w:val="hybridMultilevel"/>
    <w:tmpl w:val="1DBE4934"/>
    <w:lvl w:ilvl="0" w:tplc="227661BE">
      <w:start w:val="1"/>
      <w:numFmt w:val="bullet"/>
      <w:lvlText w:val=""/>
      <w:lvlJc w:val="left"/>
      <w:pPr>
        <w:tabs>
          <w:tab w:val="num" w:pos="720"/>
        </w:tabs>
        <w:ind w:left="720" w:hanging="360"/>
      </w:pPr>
      <w:rPr>
        <w:rFonts w:ascii="Symbol" w:hAnsi="Symbol" w:hint="default"/>
        <w:sz w:val="20"/>
      </w:rPr>
    </w:lvl>
    <w:lvl w:ilvl="1" w:tplc="3244B788" w:tentative="1">
      <w:start w:val="1"/>
      <w:numFmt w:val="bullet"/>
      <w:lvlText w:val=""/>
      <w:lvlJc w:val="left"/>
      <w:pPr>
        <w:tabs>
          <w:tab w:val="num" w:pos="1440"/>
        </w:tabs>
        <w:ind w:left="1440" w:hanging="360"/>
      </w:pPr>
      <w:rPr>
        <w:rFonts w:ascii="Symbol" w:hAnsi="Symbol" w:hint="default"/>
        <w:sz w:val="20"/>
      </w:rPr>
    </w:lvl>
    <w:lvl w:ilvl="2" w:tplc="4C7A748E" w:tentative="1">
      <w:start w:val="1"/>
      <w:numFmt w:val="bullet"/>
      <w:lvlText w:val=""/>
      <w:lvlJc w:val="left"/>
      <w:pPr>
        <w:tabs>
          <w:tab w:val="num" w:pos="2160"/>
        </w:tabs>
        <w:ind w:left="2160" w:hanging="360"/>
      </w:pPr>
      <w:rPr>
        <w:rFonts w:ascii="Symbol" w:hAnsi="Symbol" w:hint="default"/>
        <w:sz w:val="20"/>
      </w:rPr>
    </w:lvl>
    <w:lvl w:ilvl="3" w:tplc="10EC97D0" w:tentative="1">
      <w:start w:val="1"/>
      <w:numFmt w:val="bullet"/>
      <w:lvlText w:val=""/>
      <w:lvlJc w:val="left"/>
      <w:pPr>
        <w:tabs>
          <w:tab w:val="num" w:pos="2880"/>
        </w:tabs>
        <w:ind w:left="2880" w:hanging="360"/>
      </w:pPr>
      <w:rPr>
        <w:rFonts w:ascii="Symbol" w:hAnsi="Symbol" w:hint="default"/>
        <w:sz w:val="20"/>
      </w:rPr>
    </w:lvl>
    <w:lvl w:ilvl="4" w:tplc="9A6CD0AE" w:tentative="1">
      <w:start w:val="1"/>
      <w:numFmt w:val="bullet"/>
      <w:lvlText w:val=""/>
      <w:lvlJc w:val="left"/>
      <w:pPr>
        <w:tabs>
          <w:tab w:val="num" w:pos="3600"/>
        </w:tabs>
        <w:ind w:left="3600" w:hanging="360"/>
      </w:pPr>
      <w:rPr>
        <w:rFonts w:ascii="Symbol" w:hAnsi="Symbol" w:hint="default"/>
        <w:sz w:val="20"/>
      </w:rPr>
    </w:lvl>
    <w:lvl w:ilvl="5" w:tplc="4992D9C2" w:tentative="1">
      <w:start w:val="1"/>
      <w:numFmt w:val="bullet"/>
      <w:lvlText w:val=""/>
      <w:lvlJc w:val="left"/>
      <w:pPr>
        <w:tabs>
          <w:tab w:val="num" w:pos="4320"/>
        </w:tabs>
        <w:ind w:left="4320" w:hanging="360"/>
      </w:pPr>
      <w:rPr>
        <w:rFonts w:ascii="Symbol" w:hAnsi="Symbol" w:hint="default"/>
        <w:sz w:val="20"/>
      </w:rPr>
    </w:lvl>
    <w:lvl w:ilvl="6" w:tplc="88FA59B8" w:tentative="1">
      <w:start w:val="1"/>
      <w:numFmt w:val="bullet"/>
      <w:lvlText w:val=""/>
      <w:lvlJc w:val="left"/>
      <w:pPr>
        <w:tabs>
          <w:tab w:val="num" w:pos="5040"/>
        </w:tabs>
        <w:ind w:left="5040" w:hanging="360"/>
      </w:pPr>
      <w:rPr>
        <w:rFonts w:ascii="Symbol" w:hAnsi="Symbol" w:hint="default"/>
        <w:sz w:val="20"/>
      </w:rPr>
    </w:lvl>
    <w:lvl w:ilvl="7" w:tplc="48BE1360" w:tentative="1">
      <w:start w:val="1"/>
      <w:numFmt w:val="bullet"/>
      <w:lvlText w:val=""/>
      <w:lvlJc w:val="left"/>
      <w:pPr>
        <w:tabs>
          <w:tab w:val="num" w:pos="5760"/>
        </w:tabs>
        <w:ind w:left="5760" w:hanging="360"/>
      </w:pPr>
      <w:rPr>
        <w:rFonts w:ascii="Symbol" w:hAnsi="Symbol" w:hint="default"/>
        <w:sz w:val="20"/>
      </w:rPr>
    </w:lvl>
    <w:lvl w:ilvl="8" w:tplc="89F4FFC4"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67266A"/>
    <w:multiLevelType w:val="multilevel"/>
    <w:tmpl w:val="E852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83513A"/>
    <w:multiLevelType w:val="hybridMultilevel"/>
    <w:tmpl w:val="4FCCB89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C52B80"/>
    <w:multiLevelType w:val="hybridMultilevel"/>
    <w:tmpl w:val="47702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05E5D"/>
    <w:multiLevelType w:val="hybridMultilevel"/>
    <w:tmpl w:val="D3F03EC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539E2"/>
    <w:multiLevelType w:val="multilevel"/>
    <w:tmpl w:val="BA3C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3F68F8"/>
    <w:multiLevelType w:val="multilevel"/>
    <w:tmpl w:val="7ACE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667BF8"/>
    <w:multiLevelType w:val="hybridMultilevel"/>
    <w:tmpl w:val="126870C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9D4658"/>
    <w:multiLevelType w:val="hybridMultilevel"/>
    <w:tmpl w:val="451840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FC66C6"/>
    <w:multiLevelType w:val="hybridMultilevel"/>
    <w:tmpl w:val="FEC0C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8A09DE"/>
    <w:multiLevelType w:val="multilevel"/>
    <w:tmpl w:val="88D6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843EE"/>
    <w:multiLevelType w:val="hybridMultilevel"/>
    <w:tmpl w:val="C078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D15F7C"/>
    <w:multiLevelType w:val="hybridMultilevel"/>
    <w:tmpl w:val="D0CE2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BE2EFC"/>
    <w:multiLevelType w:val="hybridMultilevel"/>
    <w:tmpl w:val="4EE41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DF5902"/>
    <w:multiLevelType w:val="hybridMultilevel"/>
    <w:tmpl w:val="CCD0EFAA"/>
    <w:lvl w:ilvl="0" w:tplc="50985AFA">
      <w:start w:val="14"/>
      <w:numFmt w:val="decimal"/>
      <w:lvlText w:val="%1."/>
      <w:lvlJc w:val="left"/>
      <w:pPr>
        <w:tabs>
          <w:tab w:val="num" w:pos="720"/>
        </w:tabs>
        <w:ind w:left="720" w:hanging="360"/>
      </w:pPr>
    </w:lvl>
    <w:lvl w:ilvl="1" w:tplc="AC0483F2" w:tentative="1">
      <w:start w:val="1"/>
      <w:numFmt w:val="decimal"/>
      <w:lvlText w:val="%2."/>
      <w:lvlJc w:val="left"/>
      <w:pPr>
        <w:tabs>
          <w:tab w:val="num" w:pos="1440"/>
        </w:tabs>
        <w:ind w:left="1440" w:hanging="360"/>
      </w:pPr>
    </w:lvl>
    <w:lvl w:ilvl="2" w:tplc="653623E6" w:tentative="1">
      <w:start w:val="1"/>
      <w:numFmt w:val="decimal"/>
      <w:lvlText w:val="%3."/>
      <w:lvlJc w:val="left"/>
      <w:pPr>
        <w:tabs>
          <w:tab w:val="num" w:pos="2160"/>
        </w:tabs>
        <w:ind w:left="2160" w:hanging="360"/>
      </w:pPr>
    </w:lvl>
    <w:lvl w:ilvl="3" w:tplc="7F80C0EC" w:tentative="1">
      <w:start w:val="1"/>
      <w:numFmt w:val="decimal"/>
      <w:lvlText w:val="%4."/>
      <w:lvlJc w:val="left"/>
      <w:pPr>
        <w:tabs>
          <w:tab w:val="num" w:pos="2880"/>
        </w:tabs>
        <w:ind w:left="2880" w:hanging="360"/>
      </w:pPr>
    </w:lvl>
    <w:lvl w:ilvl="4" w:tplc="AE3CD940" w:tentative="1">
      <w:start w:val="1"/>
      <w:numFmt w:val="decimal"/>
      <w:lvlText w:val="%5."/>
      <w:lvlJc w:val="left"/>
      <w:pPr>
        <w:tabs>
          <w:tab w:val="num" w:pos="3600"/>
        </w:tabs>
        <w:ind w:left="3600" w:hanging="360"/>
      </w:pPr>
    </w:lvl>
    <w:lvl w:ilvl="5" w:tplc="27ECD1C4" w:tentative="1">
      <w:start w:val="1"/>
      <w:numFmt w:val="decimal"/>
      <w:lvlText w:val="%6."/>
      <w:lvlJc w:val="left"/>
      <w:pPr>
        <w:tabs>
          <w:tab w:val="num" w:pos="4320"/>
        </w:tabs>
        <w:ind w:left="4320" w:hanging="360"/>
      </w:pPr>
    </w:lvl>
    <w:lvl w:ilvl="6" w:tplc="064272DE" w:tentative="1">
      <w:start w:val="1"/>
      <w:numFmt w:val="decimal"/>
      <w:lvlText w:val="%7."/>
      <w:lvlJc w:val="left"/>
      <w:pPr>
        <w:tabs>
          <w:tab w:val="num" w:pos="5040"/>
        </w:tabs>
        <w:ind w:left="5040" w:hanging="360"/>
      </w:pPr>
    </w:lvl>
    <w:lvl w:ilvl="7" w:tplc="41E8E364" w:tentative="1">
      <w:start w:val="1"/>
      <w:numFmt w:val="decimal"/>
      <w:lvlText w:val="%8."/>
      <w:lvlJc w:val="left"/>
      <w:pPr>
        <w:tabs>
          <w:tab w:val="num" w:pos="5760"/>
        </w:tabs>
        <w:ind w:left="5760" w:hanging="360"/>
      </w:pPr>
    </w:lvl>
    <w:lvl w:ilvl="8" w:tplc="242636E2" w:tentative="1">
      <w:start w:val="1"/>
      <w:numFmt w:val="decimal"/>
      <w:lvlText w:val="%9."/>
      <w:lvlJc w:val="left"/>
      <w:pPr>
        <w:tabs>
          <w:tab w:val="num" w:pos="6480"/>
        </w:tabs>
        <w:ind w:left="6480" w:hanging="360"/>
      </w:pPr>
    </w:lvl>
  </w:abstractNum>
  <w:abstractNum w:abstractNumId="18" w15:restartNumberingAfterBreak="0">
    <w:nsid w:val="775845AF"/>
    <w:multiLevelType w:val="hybridMultilevel"/>
    <w:tmpl w:val="863C4D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8C0747"/>
    <w:multiLevelType w:val="hybridMultilevel"/>
    <w:tmpl w:val="A61E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74931"/>
    <w:multiLevelType w:val="hybridMultilevel"/>
    <w:tmpl w:val="9C086E2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9"/>
  </w:num>
  <w:num w:numId="3">
    <w:abstractNumId w:val="16"/>
  </w:num>
  <w:num w:numId="4">
    <w:abstractNumId w:val="13"/>
  </w:num>
  <w:num w:numId="5">
    <w:abstractNumId w:val="12"/>
  </w:num>
  <w:num w:numId="6">
    <w:abstractNumId w:val="11"/>
  </w:num>
  <w:num w:numId="7">
    <w:abstractNumId w:val="15"/>
  </w:num>
  <w:num w:numId="8">
    <w:abstractNumId w:val="3"/>
  </w:num>
  <w:num w:numId="9">
    <w:abstractNumId w:val="4"/>
  </w:num>
  <w:num w:numId="10">
    <w:abstractNumId w:val="19"/>
  </w:num>
  <w:num w:numId="11">
    <w:abstractNumId w:val="17"/>
  </w:num>
  <w:num w:numId="12">
    <w:abstractNumId w:val="14"/>
  </w:num>
  <w:num w:numId="13">
    <w:abstractNumId w:val="8"/>
  </w:num>
  <w:num w:numId="14">
    <w:abstractNumId w:val="2"/>
  </w:num>
  <w:num w:numId="15">
    <w:abstractNumId w:val="10"/>
  </w:num>
  <w:num w:numId="16">
    <w:abstractNumId w:val="7"/>
  </w:num>
  <w:num w:numId="17">
    <w:abstractNumId w:val="5"/>
  </w:num>
  <w:num w:numId="18">
    <w:abstractNumId w:val="1"/>
  </w:num>
  <w:num w:numId="19">
    <w:abstractNumId w:val="18"/>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BF"/>
    <w:rsid w:val="00014AD0"/>
    <w:rsid w:val="00014BD0"/>
    <w:rsid w:val="00024539"/>
    <w:rsid w:val="00026960"/>
    <w:rsid w:val="000525F6"/>
    <w:rsid w:val="00066A11"/>
    <w:rsid w:val="00084BA0"/>
    <w:rsid w:val="00091276"/>
    <w:rsid w:val="00096B0C"/>
    <w:rsid w:val="000A062C"/>
    <w:rsid w:val="000A5711"/>
    <w:rsid w:val="000B2DD0"/>
    <w:rsid w:val="000C26B3"/>
    <w:rsid w:val="000E2037"/>
    <w:rsid w:val="000E2083"/>
    <w:rsid w:val="0011005E"/>
    <w:rsid w:val="00126D21"/>
    <w:rsid w:val="00143777"/>
    <w:rsid w:val="00150F2C"/>
    <w:rsid w:val="00152E17"/>
    <w:rsid w:val="00162F14"/>
    <w:rsid w:val="001720AE"/>
    <w:rsid w:val="00175B56"/>
    <w:rsid w:val="00187786"/>
    <w:rsid w:val="00190F86"/>
    <w:rsid w:val="001A29B0"/>
    <w:rsid w:val="001B17ED"/>
    <w:rsid w:val="001B4129"/>
    <w:rsid w:val="001D0AE4"/>
    <w:rsid w:val="001D130E"/>
    <w:rsid w:val="001D1516"/>
    <w:rsid w:val="00233D70"/>
    <w:rsid w:val="00244C04"/>
    <w:rsid w:val="00250740"/>
    <w:rsid w:val="002A674C"/>
    <w:rsid w:val="002A7ABF"/>
    <w:rsid w:val="002B6BA9"/>
    <w:rsid w:val="002C392E"/>
    <w:rsid w:val="002E2F36"/>
    <w:rsid w:val="00324AB8"/>
    <w:rsid w:val="0032523C"/>
    <w:rsid w:val="00326235"/>
    <w:rsid w:val="003320B0"/>
    <w:rsid w:val="00334880"/>
    <w:rsid w:val="00341B62"/>
    <w:rsid w:val="003560C1"/>
    <w:rsid w:val="00365FD6"/>
    <w:rsid w:val="00381D9D"/>
    <w:rsid w:val="003A5808"/>
    <w:rsid w:val="003C6410"/>
    <w:rsid w:val="003C6E99"/>
    <w:rsid w:val="003C77B5"/>
    <w:rsid w:val="003D0483"/>
    <w:rsid w:val="003F23D8"/>
    <w:rsid w:val="003F3613"/>
    <w:rsid w:val="003F4EF3"/>
    <w:rsid w:val="00401308"/>
    <w:rsid w:val="00405930"/>
    <w:rsid w:val="004164DE"/>
    <w:rsid w:val="004259F4"/>
    <w:rsid w:val="00457BA2"/>
    <w:rsid w:val="00486507"/>
    <w:rsid w:val="004B392C"/>
    <w:rsid w:val="004D6289"/>
    <w:rsid w:val="00500835"/>
    <w:rsid w:val="005009D0"/>
    <w:rsid w:val="00516E74"/>
    <w:rsid w:val="00537E60"/>
    <w:rsid w:val="00573EEE"/>
    <w:rsid w:val="005744E4"/>
    <w:rsid w:val="00575F43"/>
    <w:rsid w:val="00585933"/>
    <w:rsid w:val="005A25B7"/>
    <w:rsid w:val="005C31FC"/>
    <w:rsid w:val="005E3A73"/>
    <w:rsid w:val="005E594F"/>
    <w:rsid w:val="005E786C"/>
    <w:rsid w:val="00600683"/>
    <w:rsid w:val="00615191"/>
    <w:rsid w:val="00615FC2"/>
    <w:rsid w:val="006209D7"/>
    <w:rsid w:val="00626D9D"/>
    <w:rsid w:val="006351D6"/>
    <w:rsid w:val="006370B1"/>
    <w:rsid w:val="00641EB0"/>
    <w:rsid w:val="00646AAA"/>
    <w:rsid w:val="00647A13"/>
    <w:rsid w:val="00661533"/>
    <w:rsid w:val="00670FBF"/>
    <w:rsid w:val="0069608D"/>
    <w:rsid w:val="006C12C8"/>
    <w:rsid w:val="006C5A8B"/>
    <w:rsid w:val="006D6943"/>
    <w:rsid w:val="006E7936"/>
    <w:rsid w:val="006F36D3"/>
    <w:rsid w:val="006F67D2"/>
    <w:rsid w:val="00721FEE"/>
    <w:rsid w:val="00736AAC"/>
    <w:rsid w:val="00740495"/>
    <w:rsid w:val="00743DF8"/>
    <w:rsid w:val="007870E2"/>
    <w:rsid w:val="007A01A2"/>
    <w:rsid w:val="007D29B6"/>
    <w:rsid w:val="007D351A"/>
    <w:rsid w:val="007D5BCB"/>
    <w:rsid w:val="007E3263"/>
    <w:rsid w:val="007F0177"/>
    <w:rsid w:val="00825610"/>
    <w:rsid w:val="00854185"/>
    <w:rsid w:val="008658C7"/>
    <w:rsid w:val="0086752A"/>
    <w:rsid w:val="00880465"/>
    <w:rsid w:val="00895A5E"/>
    <w:rsid w:val="008A618D"/>
    <w:rsid w:val="008A7BBF"/>
    <w:rsid w:val="008B3EB2"/>
    <w:rsid w:val="008B6B1F"/>
    <w:rsid w:val="008D32F1"/>
    <w:rsid w:val="008D3CAD"/>
    <w:rsid w:val="00910B8D"/>
    <w:rsid w:val="0092195D"/>
    <w:rsid w:val="00932EAB"/>
    <w:rsid w:val="00951753"/>
    <w:rsid w:val="00956D59"/>
    <w:rsid w:val="0095765E"/>
    <w:rsid w:val="009617B0"/>
    <w:rsid w:val="00965605"/>
    <w:rsid w:val="0098115F"/>
    <w:rsid w:val="009A776C"/>
    <w:rsid w:val="009D2271"/>
    <w:rsid w:val="009F79DA"/>
    <w:rsid w:val="00A0330A"/>
    <w:rsid w:val="00A16F4D"/>
    <w:rsid w:val="00A34E8D"/>
    <w:rsid w:val="00A41240"/>
    <w:rsid w:val="00A429AB"/>
    <w:rsid w:val="00A46475"/>
    <w:rsid w:val="00A503C7"/>
    <w:rsid w:val="00A5474D"/>
    <w:rsid w:val="00A55BCA"/>
    <w:rsid w:val="00A562E5"/>
    <w:rsid w:val="00A57CD7"/>
    <w:rsid w:val="00A60608"/>
    <w:rsid w:val="00A67C34"/>
    <w:rsid w:val="00A7564A"/>
    <w:rsid w:val="00AA013D"/>
    <w:rsid w:val="00AA30E9"/>
    <w:rsid w:val="00AA7F4E"/>
    <w:rsid w:val="00AD0059"/>
    <w:rsid w:val="00AD697C"/>
    <w:rsid w:val="00AF5FBD"/>
    <w:rsid w:val="00B44C18"/>
    <w:rsid w:val="00B61409"/>
    <w:rsid w:val="00B6684D"/>
    <w:rsid w:val="00B67389"/>
    <w:rsid w:val="00B67CA1"/>
    <w:rsid w:val="00B67D03"/>
    <w:rsid w:val="00B83D1B"/>
    <w:rsid w:val="00B83E8B"/>
    <w:rsid w:val="00BA1A6A"/>
    <w:rsid w:val="00BB5FA5"/>
    <w:rsid w:val="00BC0908"/>
    <w:rsid w:val="00BC490A"/>
    <w:rsid w:val="00BE403A"/>
    <w:rsid w:val="00C02C75"/>
    <w:rsid w:val="00C16415"/>
    <w:rsid w:val="00C407A0"/>
    <w:rsid w:val="00C566A1"/>
    <w:rsid w:val="00C6199B"/>
    <w:rsid w:val="00C65F2C"/>
    <w:rsid w:val="00C90D16"/>
    <w:rsid w:val="00CA305D"/>
    <w:rsid w:val="00CA522B"/>
    <w:rsid w:val="00CC6362"/>
    <w:rsid w:val="00CD4D09"/>
    <w:rsid w:val="00D030E0"/>
    <w:rsid w:val="00D109F0"/>
    <w:rsid w:val="00D32F81"/>
    <w:rsid w:val="00D35F65"/>
    <w:rsid w:val="00D46481"/>
    <w:rsid w:val="00D473CA"/>
    <w:rsid w:val="00D51C11"/>
    <w:rsid w:val="00D66C94"/>
    <w:rsid w:val="00D725AC"/>
    <w:rsid w:val="00DA2AC3"/>
    <w:rsid w:val="00E02F34"/>
    <w:rsid w:val="00E228D2"/>
    <w:rsid w:val="00E2328B"/>
    <w:rsid w:val="00E32744"/>
    <w:rsid w:val="00E61773"/>
    <w:rsid w:val="00E76DF3"/>
    <w:rsid w:val="00EA4457"/>
    <w:rsid w:val="00EC3991"/>
    <w:rsid w:val="00EE2D05"/>
    <w:rsid w:val="00EF0A32"/>
    <w:rsid w:val="00EF6195"/>
    <w:rsid w:val="00F039AB"/>
    <w:rsid w:val="00F04042"/>
    <w:rsid w:val="00F12E94"/>
    <w:rsid w:val="00F47871"/>
    <w:rsid w:val="00F572AA"/>
    <w:rsid w:val="00F607ED"/>
    <w:rsid w:val="00FA4B03"/>
    <w:rsid w:val="00FB24BE"/>
    <w:rsid w:val="00FB28B3"/>
    <w:rsid w:val="00FD140C"/>
    <w:rsid w:val="00FD51FB"/>
    <w:rsid w:val="00FE0061"/>
    <w:rsid w:val="00FF248D"/>
    <w:rsid w:val="264675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82BE8"/>
  <w15:chartTrackingRefBased/>
  <w15:docId w15:val="{096D08E4-209E-DC40-9483-05F01649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BF"/>
    <w:rPr>
      <w:rFonts w:eastAsiaTheme="minorEastAs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0FBF"/>
    <w:rPr>
      <w:color w:val="0563C1" w:themeColor="hyperlink"/>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link w:val="FootnoteTextChar"/>
    <w:unhideWhenUsed/>
    <w:rsid w:val="00670FBF"/>
    <w:rPr>
      <w:sz w:val="20"/>
      <w:szCs w:val="20"/>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Schriftart: 9 pt Char"/>
    <w:basedOn w:val="DefaultParagraphFont"/>
    <w:link w:val="FootnoteText"/>
    <w:rsid w:val="00670FBF"/>
    <w:rPr>
      <w:rFonts w:eastAsiaTheme="minorEastAsia"/>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basedOn w:val="DefaultParagraphFont"/>
    <w:uiPriority w:val="99"/>
    <w:unhideWhenUsed/>
    <w:rsid w:val="00670FBF"/>
    <w:rPr>
      <w:vertAlign w:val="superscript"/>
    </w:rPr>
  </w:style>
  <w:style w:type="paragraph" w:styleId="BalloonText">
    <w:name w:val="Balloon Text"/>
    <w:basedOn w:val="Normal"/>
    <w:link w:val="BalloonTextChar"/>
    <w:uiPriority w:val="99"/>
    <w:semiHidden/>
    <w:unhideWhenUsed/>
    <w:rsid w:val="00670F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70FBF"/>
    <w:rPr>
      <w:rFonts w:ascii="Times New Roman" w:eastAsiaTheme="minorEastAsia" w:hAnsi="Times New Roman" w:cs="Times New Roman"/>
      <w:sz w:val="18"/>
      <w:szCs w:val="18"/>
    </w:rPr>
  </w:style>
  <w:style w:type="paragraph" w:styleId="NoSpacing">
    <w:name w:val="No Spacing"/>
    <w:uiPriority w:val="1"/>
    <w:qFormat/>
    <w:rsid w:val="00670FBF"/>
    <w:pPr>
      <w:suppressAutoHyphens/>
    </w:pPr>
    <w:rPr>
      <w:rFonts w:cs="Times New Roman"/>
      <w:sz w:val="22"/>
      <w:szCs w:val="22"/>
      <w:lang w:val="en-GB"/>
    </w:rPr>
  </w:style>
  <w:style w:type="paragraph" w:styleId="ListParagraph">
    <w:name w:val="List Paragraph"/>
    <w:basedOn w:val="Normal"/>
    <w:uiPriority w:val="34"/>
    <w:qFormat/>
    <w:rsid w:val="00641EB0"/>
    <w:pPr>
      <w:ind w:left="720"/>
      <w:contextualSpacing/>
    </w:pPr>
  </w:style>
  <w:style w:type="character" w:styleId="UnresolvedMention">
    <w:name w:val="Unresolved Mention"/>
    <w:basedOn w:val="DefaultParagraphFont"/>
    <w:uiPriority w:val="99"/>
    <w:semiHidden/>
    <w:unhideWhenUsed/>
    <w:rsid w:val="00CA305D"/>
    <w:rPr>
      <w:color w:val="605E5C"/>
      <w:shd w:val="clear" w:color="auto" w:fill="E1DFDD"/>
    </w:rPr>
  </w:style>
  <w:style w:type="character" w:styleId="FollowedHyperlink">
    <w:name w:val="FollowedHyperlink"/>
    <w:basedOn w:val="DefaultParagraphFont"/>
    <w:uiPriority w:val="99"/>
    <w:semiHidden/>
    <w:unhideWhenUsed/>
    <w:rsid w:val="00EF6195"/>
    <w:rPr>
      <w:color w:val="954F72" w:themeColor="followedHyperlink"/>
      <w:u w:val="single"/>
    </w:rPr>
  </w:style>
  <w:style w:type="character" w:customStyle="1" w:styleId="tooltip-container">
    <w:name w:val="tooltip-container"/>
    <w:basedOn w:val="DefaultParagraphFont"/>
    <w:rsid w:val="007D5BCB"/>
  </w:style>
  <w:style w:type="paragraph" w:styleId="Header">
    <w:name w:val="header"/>
    <w:basedOn w:val="Normal"/>
    <w:link w:val="HeaderChar"/>
    <w:uiPriority w:val="99"/>
    <w:unhideWhenUsed/>
    <w:rsid w:val="00D66C94"/>
    <w:pPr>
      <w:tabs>
        <w:tab w:val="center" w:pos="4680"/>
        <w:tab w:val="right" w:pos="9360"/>
      </w:tabs>
    </w:pPr>
  </w:style>
  <w:style w:type="character" w:customStyle="1" w:styleId="HeaderChar">
    <w:name w:val="Header Char"/>
    <w:basedOn w:val="DefaultParagraphFont"/>
    <w:link w:val="Header"/>
    <w:uiPriority w:val="99"/>
    <w:rsid w:val="00D66C94"/>
    <w:rPr>
      <w:rFonts w:eastAsiaTheme="minorEastAsia"/>
      <w:sz w:val="22"/>
      <w:szCs w:val="22"/>
    </w:rPr>
  </w:style>
  <w:style w:type="paragraph" w:styleId="Footer">
    <w:name w:val="footer"/>
    <w:basedOn w:val="Normal"/>
    <w:link w:val="FooterChar"/>
    <w:uiPriority w:val="99"/>
    <w:unhideWhenUsed/>
    <w:rsid w:val="00D66C94"/>
    <w:pPr>
      <w:tabs>
        <w:tab w:val="center" w:pos="4680"/>
        <w:tab w:val="right" w:pos="9360"/>
      </w:tabs>
    </w:pPr>
  </w:style>
  <w:style w:type="character" w:customStyle="1" w:styleId="FooterChar">
    <w:name w:val="Footer Char"/>
    <w:basedOn w:val="DefaultParagraphFont"/>
    <w:link w:val="Footer"/>
    <w:uiPriority w:val="99"/>
    <w:rsid w:val="00D66C94"/>
    <w:rPr>
      <w:rFonts w:eastAsiaTheme="minorEastAsia"/>
      <w:sz w:val="22"/>
      <w:szCs w:val="22"/>
    </w:rPr>
  </w:style>
  <w:style w:type="character" w:styleId="PageNumber">
    <w:name w:val="page number"/>
    <w:basedOn w:val="DefaultParagraphFont"/>
    <w:uiPriority w:val="99"/>
    <w:semiHidden/>
    <w:unhideWhenUsed/>
    <w:rsid w:val="00D66C94"/>
  </w:style>
  <w:style w:type="paragraph" w:styleId="NormalWeb">
    <w:name w:val="Normal (Web)"/>
    <w:basedOn w:val="Normal"/>
    <w:uiPriority w:val="99"/>
    <w:unhideWhenUsed/>
    <w:rsid w:val="00066A11"/>
    <w:pPr>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86507"/>
    <w:rPr>
      <w:sz w:val="16"/>
      <w:szCs w:val="16"/>
    </w:rPr>
  </w:style>
  <w:style w:type="paragraph" w:styleId="CommentText">
    <w:name w:val="annotation text"/>
    <w:basedOn w:val="Normal"/>
    <w:link w:val="CommentTextChar"/>
    <w:uiPriority w:val="99"/>
    <w:semiHidden/>
    <w:unhideWhenUsed/>
    <w:rsid w:val="00486507"/>
    <w:rPr>
      <w:sz w:val="20"/>
      <w:szCs w:val="20"/>
    </w:rPr>
  </w:style>
  <w:style w:type="character" w:customStyle="1" w:styleId="CommentTextChar">
    <w:name w:val="Comment Text Char"/>
    <w:basedOn w:val="DefaultParagraphFont"/>
    <w:link w:val="CommentText"/>
    <w:uiPriority w:val="99"/>
    <w:semiHidden/>
    <w:rsid w:val="00486507"/>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486507"/>
    <w:rPr>
      <w:b/>
      <w:bCs/>
    </w:rPr>
  </w:style>
  <w:style w:type="character" w:customStyle="1" w:styleId="CommentSubjectChar">
    <w:name w:val="Comment Subject Char"/>
    <w:basedOn w:val="CommentTextChar"/>
    <w:link w:val="CommentSubject"/>
    <w:uiPriority w:val="99"/>
    <w:semiHidden/>
    <w:rsid w:val="00486507"/>
    <w:rPr>
      <w:rFonts w:eastAsiaTheme="minorEastAsia"/>
      <w:b/>
      <w:bCs/>
      <w:sz w:val="20"/>
      <w:szCs w:val="20"/>
    </w:rPr>
  </w:style>
  <w:style w:type="character" w:styleId="Emphasis">
    <w:name w:val="Emphasis"/>
    <w:basedOn w:val="DefaultParagraphFont"/>
    <w:uiPriority w:val="20"/>
    <w:qFormat/>
    <w:rsid w:val="006370B1"/>
    <w:rPr>
      <w:i/>
      <w:iCs/>
    </w:rPr>
  </w:style>
  <w:style w:type="paragraph" w:styleId="Revision">
    <w:name w:val="Revision"/>
    <w:hidden/>
    <w:uiPriority w:val="99"/>
    <w:semiHidden/>
    <w:rsid w:val="00AA013D"/>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78447">
      <w:bodyDiv w:val="1"/>
      <w:marLeft w:val="0"/>
      <w:marRight w:val="0"/>
      <w:marTop w:val="0"/>
      <w:marBottom w:val="0"/>
      <w:divBdr>
        <w:top w:val="none" w:sz="0" w:space="0" w:color="auto"/>
        <w:left w:val="none" w:sz="0" w:space="0" w:color="auto"/>
        <w:bottom w:val="none" w:sz="0" w:space="0" w:color="auto"/>
        <w:right w:val="none" w:sz="0" w:space="0" w:color="auto"/>
      </w:divBdr>
    </w:div>
    <w:div w:id="46801783">
      <w:bodyDiv w:val="1"/>
      <w:marLeft w:val="0"/>
      <w:marRight w:val="0"/>
      <w:marTop w:val="0"/>
      <w:marBottom w:val="0"/>
      <w:divBdr>
        <w:top w:val="none" w:sz="0" w:space="0" w:color="auto"/>
        <w:left w:val="none" w:sz="0" w:space="0" w:color="auto"/>
        <w:bottom w:val="none" w:sz="0" w:space="0" w:color="auto"/>
        <w:right w:val="none" w:sz="0" w:space="0" w:color="auto"/>
      </w:divBdr>
    </w:div>
    <w:div w:id="68580864">
      <w:bodyDiv w:val="1"/>
      <w:marLeft w:val="0"/>
      <w:marRight w:val="0"/>
      <w:marTop w:val="0"/>
      <w:marBottom w:val="0"/>
      <w:divBdr>
        <w:top w:val="none" w:sz="0" w:space="0" w:color="auto"/>
        <w:left w:val="none" w:sz="0" w:space="0" w:color="auto"/>
        <w:bottom w:val="none" w:sz="0" w:space="0" w:color="auto"/>
        <w:right w:val="none" w:sz="0" w:space="0" w:color="auto"/>
      </w:divBdr>
    </w:div>
    <w:div w:id="93940444">
      <w:bodyDiv w:val="1"/>
      <w:marLeft w:val="0"/>
      <w:marRight w:val="0"/>
      <w:marTop w:val="0"/>
      <w:marBottom w:val="0"/>
      <w:divBdr>
        <w:top w:val="none" w:sz="0" w:space="0" w:color="auto"/>
        <w:left w:val="none" w:sz="0" w:space="0" w:color="auto"/>
        <w:bottom w:val="none" w:sz="0" w:space="0" w:color="auto"/>
        <w:right w:val="none" w:sz="0" w:space="0" w:color="auto"/>
      </w:divBdr>
    </w:div>
    <w:div w:id="211582650">
      <w:bodyDiv w:val="1"/>
      <w:marLeft w:val="0"/>
      <w:marRight w:val="0"/>
      <w:marTop w:val="0"/>
      <w:marBottom w:val="0"/>
      <w:divBdr>
        <w:top w:val="none" w:sz="0" w:space="0" w:color="auto"/>
        <w:left w:val="none" w:sz="0" w:space="0" w:color="auto"/>
        <w:bottom w:val="none" w:sz="0" w:space="0" w:color="auto"/>
        <w:right w:val="none" w:sz="0" w:space="0" w:color="auto"/>
      </w:divBdr>
    </w:div>
    <w:div w:id="224724432">
      <w:bodyDiv w:val="1"/>
      <w:marLeft w:val="0"/>
      <w:marRight w:val="0"/>
      <w:marTop w:val="0"/>
      <w:marBottom w:val="0"/>
      <w:divBdr>
        <w:top w:val="none" w:sz="0" w:space="0" w:color="auto"/>
        <w:left w:val="none" w:sz="0" w:space="0" w:color="auto"/>
        <w:bottom w:val="none" w:sz="0" w:space="0" w:color="auto"/>
        <w:right w:val="none" w:sz="0" w:space="0" w:color="auto"/>
      </w:divBdr>
    </w:div>
    <w:div w:id="261767648">
      <w:bodyDiv w:val="1"/>
      <w:marLeft w:val="0"/>
      <w:marRight w:val="0"/>
      <w:marTop w:val="0"/>
      <w:marBottom w:val="0"/>
      <w:divBdr>
        <w:top w:val="none" w:sz="0" w:space="0" w:color="auto"/>
        <w:left w:val="none" w:sz="0" w:space="0" w:color="auto"/>
        <w:bottom w:val="none" w:sz="0" w:space="0" w:color="auto"/>
        <w:right w:val="none" w:sz="0" w:space="0" w:color="auto"/>
      </w:divBdr>
    </w:div>
    <w:div w:id="268048408">
      <w:bodyDiv w:val="1"/>
      <w:marLeft w:val="0"/>
      <w:marRight w:val="0"/>
      <w:marTop w:val="0"/>
      <w:marBottom w:val="0"/>
      <w:divBdr>
        <w:top w:val="none" w:sz="0" w:space="0" w:color="auto"/>
        <w:left w:val="none" w:sz="0" w:space="0" w:color="auto"/>
        <w:bottom w:val="none" w:sz="0" w:space="0" w:color="auto"/>
        <w:right w:val="none" w:sz="0" w:space="0" w:color="auto"/>
      </w:divBdr>
    </w:div>
    <w:div w:id="358625445">
      <w:bodyDiv w:val="1"/>
      <w:marLeft w:val="0"/>
      <w:marRight w:val="0"/>
      <w:marTop w:val="0"/>
      <w:marBottom w:val="0"/>
      <w:divBdr>
        <w:top w:val="none" w:sz="0" w:space="0" w:color="auto"/>
        <w:left w:val="none" w:sz="0" w:space="0" w:color="auto"/>
        <w:bottom w:val="none" w:sz="0" w:space="0" w:color="auto"/>
        <w:right w:val="none" w:sz="0" w:space="0" w:color="auto"/>
      </w:divBdr>
    </w:div>
    <w:div w:id="386144226">
      <w:bodyDiv w:val="1"/>
      <w:marLeft w:val="0"/>
      <w:marRight w:val="0"/>
      <w:marTop w:val="0"/>
      <w:marBottom w:val="0"/>
      <w:divBdr>
        <w:top w:val="none" w:sz="0" w:space="0" w:color="auto"/>
        <w:left w:val="none" w:sz="0" w:space="0" w:color="auto"/>
        <w:bottom w:val="none" w:sz="0" w:space="0" w:color="auto"/>
        <w:right w:val="none" w:sz="0" w:space="0" w:color="auto"/>
      </w:divBdr>
    </w:div>
    <w:div w:id="394477483">
      <w:bodyDiv w:val="1"/>
      <w:marLeft w:val="0"/>
      <w:marRight w:val="0"/>
      <w:marTop w:val="0"/>
      <w:marBottom w:val="0"/>
      <w:divBdr>
        <w:top w:val="none" w:sz="0" w:space="0" w:color="auto"/>
        <w:left w:val="none" w:sz="0" w:space="0" w:color="auto"/>
        <w:bottom w:val="none" w:sz="0" w:space="0" w:color="auto"/>
        <w:right w:val="none" w:sz="0" w:space="0" w:color="auto"/>
      </w:divBdr>
    </w:div>
    <w:div w:id="394742188">
      <w:bodyDiv w:val="1"/>
      <w:marLeft w:val="0"/>
      <w:marRight w:val="0"/>
      <w:marTop w:val="0"/>
      <w:marBottom w:val="0"/>
      <w:divBdr>
        <w:top w:val="none" w:sz="0" w:space="0" w:color="auto"/>
        <w:left w:val="none" w:sz="0" w:space="0" w:color="auto"/>
        <w:bottom w:val="none" w:sz="0" w:space="0" w:color="auto"/>
        <w:right w:val="none" w:sz="0" w:space="0" w:color="auto"/>
      </w:divBdr>
    </w:div>
    <w:div w:id="396562052">
      <w:bodyDiv w:val="1"/>
      <w:marLeft w:val="0"/>
      <w:marRight w:val="0"/>
      <w:marTop w:val="0"/>
      <w:marBottom w:val="0"/>
      <w:divBdr>
        <w:top w:val="none" w:sz="0" w:space="0" w:color="auto"/>
        <w:left w:val="none" w:sz="0" w:space="0" w:color="auto"/>
        <w:bottom w:val="none" w:sz="0" w:space="0" w:color="auto"/>
        <w:right w:val="none" w:sz="0" w:space="0" w:color="auto"/>
      </w:divBdr>
    </w:div>
    <w:div w:id="452018607">
      <w:bodyDiv w:val="1"/>
      <w:marLeft w:val="0"/>
      <w:marRight w:val="0"/>
      <w:marTop w:val="0"/>
      <w:marBottom w:val="0"/>
      <w:divBdr>
        <w:top w:val="none" w:sz="0" w:space="0" w:color="auto"/>
        <w:left w:val="none" w:sz="0" w:space="0" w:color="auto"/>
        <w:bottom w:val="none" w:sz="0" w:space="0" w:color="auto"/>
        <w:right w:val="none" w:sz="0" w:space="0" w:color="auto"/>
      </w:divBdr>
    </w:div>
    <w:div w:id="487942117">
      <w:bodyDiv w:val="1"/>
      <w:marLeft w:val="0"/>
      <w:marRight w:val="0"/>
      <w:marTop w:val="0"/>
      <w:marBottom w:val="0"/>
      <w:divBdr>
        <w:top w:val="none" w:sz="0" w:space="0" w:color="auto"/>
        <w:left w:val="none" w:sz="0" w:space="0" w:color="auto"/>
        <w:bottom w:val="none" w:sz="0" w:space="0" w:color="auto"/>
        <w:right w:val="none" w:sz="0" w:space="0" w:color="auto"/>
      </w:divBdr>
    </w:div>
    <w:div w:id="537620470">
      <w:bodyDiv w:val="1"/>
      <w:marLeft w:val="0"/>
      <w:marRight w:val="0"/>
      <w:marTop w:val="0"/>
      <w:marBottom w:val="0"/>
      <w:divBdr>
        <w:top w:val="none" w:sz="0" w:space="0" w:color="auto"/>
        <w:left w:val="none" w:sz="0" w:space="0" w:color="auto"/>
        <w:bottom w:val="none" w:sz="0" w:space="0" w:color="auto"/>
        <w:right w:val="none" w:sz="0" w:space="0" w:color="auto"/>
      </w:divBdr>
    </w:div>
    <w:div w:id="588470671">
      <w:bodyDiv w:val="1"/>
      <w:marLeft w:val="0"/>
      <w:marRight w:val="0"/>
      <w:marTop w:val="0"/>
      <w:marBottom w:val="0"/>
      <w:divBdr>
        <w:top w:val="none" w:sz="0" w:space="0" w:color="auto"/>
        <w:left w:val="none" w:sz="0" w:space="0" w:color="auto"/>
        <w:bottom w:val="none" w:sz="0" w:space="0" w:color="auto"/>
        <w:right w:val="none" w:sz="0" w:space="0" w:color="auto"/>
      </w:divBdr>
    </w:div>
    <w:div w:id="593979174">
      <w:bodyDiv w:val="1"/>
      <w:marLeft w:val="0"/>
      <w:marRight w:val="0"/>
      <w:marTop w:val="0"/>
      <w:marBottom w:val="0"/>
      <w:divBdr>
        <w:top w:val="none" w:sz="0" w:space="0" w:color="auto"/>
        <w:left w:val="none" w:sz="0" w:space="0" w:color="auto"/>
        <w:bottom w:val="none" w:sz="0" w:space="0" w:color="auto"/>
        <w:right w:val="none" w:sz="0" w:space="0" w:color="auto"/>
      </w:divBdr>
    </w:div>
    <w:div w:id="614873259">
      <w:bodyDiv w:val="1"/>
      <w:marLeft w:val="0"/>
      <w:marRight w:val="0"/>
      <w:marTop w:val="0"/>
      <w:marBottom w:val="0"/>
      <w:divBdr>
        <w:top w:val="none" w:sz="0" w:space="0" w:color="auto"/>
        <w:left w:val="none" w:sz="0" w:space="0" w:color="auto"/>
        <w:bottom w:val="none" w:sz="0" w:space="0" w:color="auto"/>
        <w:right w:val="none" w:sz="0" w:space="0" w:color="auto"/>
      </w:divBdr>
    </w:div>
    <w:div w:id="660692964">
      <w:bodyDiv w:val="1"/>
      <w:marLeft w:val="0"/>
      <w:marRight w:val="0"/>
      <w:marTop w:val="0"/>
      <w:marBottom w:val="0"/>
      <w:divBdr>
        <w:top w:val="none" w:sz="0" w:space="0" w:color="auto"/>
        <w:left w:val="none" w:sz="0" w:space="0" w:color="auto"/>
        <w:bottom w:val="none" w:sz="0" w:space="0" w:color="auto"/>
        <w:right w:val="none" w:sz="0" w:space="0" w:color="auto"/>
      </w:divBdr>
    </w:div>
    <w:div w:id="725223694">
      <w:bodyDiv w:val="1"/>
      <w:marLeft w:val="0"/>
      <w:marRight w:val="0"/>
      <w:marTop w:val="0"/>
      <w:marBottom w:val="0"/>
      <w:divBdr>
        <w:top w:val="none" w:sz="0" w:space="0" w:color="auto"/>
        <w:left w:val="none" w:sz="0" w:space="0" w:color="auto"/>
        <w:bottom w:val="none" w:sz="0" w:space="0" w:color="auto"/>
        <w:right w:val="none" w:sz="0" w:space="0" w:color="auto"/>
      </w:divBdr>
    </w:div>
    <w:div w:id="725762305">
      <w:bodyDiv w:val="1"/>
      <w:marLeft w:val="0"/>
      <w:marRight w:val="0"/>
      <w:marTop w:val="0"/>
      <w:marBottom w:val="0"/>
      <w:divBdr>
        <w:top w:val="none" w:sz="0" w:space="0" w:color="auto"/>
        <w:left w:val="none" w:sz="0" w:space="0" w:color="auto"/>
        <w:bottom w:val="none" w:sz="0" w:space="0" w:color="auto"/>
        <w:right w:val="none" w:sz="0" w:space="0" w:color="auto"/>
      </w:divBdr>
    </w:div>
    <w:div w:id="735513303">
      <w:bodyDiv w:val="1"/>
      <w:marLeft w:val="0"/>
      <w:marRight w:val="0"/>
      <w:marTop w:val="0"/>
      <w:marBottom w:val="0"/>
      <w:divBdr>
        <w:top w:val="none" w:sz="0" w:space="0" w:color="auto"/>
        <w:left w:val="none" w:sz="0" w:space="0" w:color="auto"/>
        <w:bottom w:val="none" w:sz="0" w:space="0" w:color="auto"/>
        <w:right w:val="none" w:sz="0" w:space="0" w:color="auto"/>
      </w:divBdr>
    </w:div>
    <w:div w:id="775057825">
      <w:bodyDiv w:val="1"/>
      <w:marLeft w:val="0"/>
      <w:marRight w:val="0"/>
      <w:marTop w:val="0"/>
      <w:marBottom w:val="0"/>
      <w:divBdr>
        <w:top w:val="none" w:sz="0" w:space="0" w:color="auto"/>
        <w:left w:val="none" w:sz="0" w:space="0" w:color="auto"/>
        <w:bottom w:val="none" w:sz="0" w:space="0" w:color="auto"/>
        <w:right w:val="none" w:sz="0" w:space="0" w:color="auto"/>
      </w:divBdr>
    </w:div>
    <w:div w:id="836727863">
      <w:bodyDiv w:val="1"/>
      <w:marLeft w:val="0"/>
      <w:marRight w:val="0"/>
      <w:marTop w:val="0"/>
      <w:marBottom w:val="0"/>
      <w:divBdr>
        <w:top w:val="none" w:sz="0" w:space="0" w:color="auto"/>
        <w:left w:val="none" w:sz="0" w:space="0" w:color="auto"/>
        <w:bottom w:val="none" w:sz="0" w:space="0" w:color="auto"/>
        <w:right w:val="none" w:sz="0" w:space="0" w:color="auto"/>
      </w:divBdr>
    </w:div>
    <w:div w:id="842859945">
      <w:bodyDiv w:val="1"/>
      <w:marLeft w:val="0"/>
      <w:marRight w:val="0"/>
      <w:marTop w:val="0"/>
      <w:marBottom w:val="0"/>
      <w:divBdr>
        <w:top w:val="none" w:sz="0" w:space="0" w:color="auto"/>
        <w:left w:val="none" w:sz="0" w:space="0" w:color="auto"/>
        <w:bottom w:val="none" w:sz="0" w:space="0" w:color="auto"/>
        <w:right w:val="none" w:sz="0" w:space="0" w:color="auto"/>
      </w:divBdr>
    </w:div>
    <w:div w:id="916670133">
      <w:bodyDiv w:val="1"/>
      <w:marLeft w:val="0"/>
      <w:marRight w:val="0"/>
      <w:marTop w:val="0"/>
      <w:marBottom w:val="0"/>
      <w:divBdr>
        <w:top w:val="none" w:sz="0" w:space="0" w:color="auto"/>
        <w:left w:val="none" w:sz="0" w:space="0" w:color="auto"/>
        <w:bottom w:val="none" w:sz="0" w:space="0" w:color="auto"/>
        <w:right w:val="none" w:sz="0" w:space="0" w:color="auto"/>
      </w:divBdr>
    </w:div>
    <w:div w:id="974680359">
      <w:bodyDiv w:val="1"/>
      <w:marLeft w:val="0"/>
      <w:marRight w:val="0"/>
      <w:marTop w:val="0"/>
      <w:marBottom w:val="0"/>
      <w:divBdr>
        <w:top w:val="none" w:sz="0" w:space="0" w:color="auto"/>
        <w:left w:val="none" w:sz="0" w:space="0" w:color="auto"/>
        <w:bottom w:val="none" w:sz="0" w:space="0" w:color="auto"/>
        <w:right w:val="none" w:sz="0" w:space="0" w:color="auto"/>
      </w:divBdr>
    </w:div>
    <w:div w:id="1010060553">
      <w:bodyDiv w:val="1"/>
      <w:marLeft w:val="0"/>
      <w:marRight w:val="0"/>
      <w:marTop w:val="0"/>
      <w:marBottom w:val="0"/>
      <w:divBdr>
        <w:top w:val="none" w:sz="0" w:space="0" w:color="auto"/>
        <w:left w:val="none" w:sz="0" w:space="0" w:color="auto"/>
        <w:bottom w:val="none" w:sz="0" w:space="0" w:color="auto"/>
        <w:right w:val="none" w:sz="0" w:space="0" w:color="auto"/>
      </w:divBdr>
    </w:div>
    <w:div w:id="1184976713">
      <w:bodyDiv w:val="1"/>
      <w:marLeft w:val="0"/>
      <w:marRight w:val="0"/>
      <w:marTop w:val="0"/>
      <w:marBottom w:val="0"/>
      <w:divBdr>
        <w:top w:val="none" w:sz="0" w:space="0" w:color="auto"/>
        <w:left w:val="none" w:sz="0" w:space="0" w:color="auto"/>
        <w:bottom w:val="none" w:sz="0" w:space="0" w:color="auto"/>
        <w:right w:val="none" w:sz="0" w:space="0" w:color="auto"/>
      </w:divBdr>
    </w:div>
    <w:div w:id="1262451894">
      <w:bodyDiv w:val="1"/>
      <w:marLeft w:val="0"/>
      <w:marRight w:val="0"/>
      <w:marTop w:val="0"/>
      <w:marBottom w:val="0"/>
      <w:divBdr>
        <w:top w:val="none" w:sz="0" w:space="0" w:color="auto"/>
        <w:left w:val="none" w:sz="0" w:space="0" w:color="auto"/>
        <w:bottom w:val="none" w:sz="0" w:space="0" w:color="auto"/>
        <w:right w:val="none" w:sz="0" w:space="0" w:color="auto"/>
      </w:divBdr>
    </w:div>
    <w:div w:id="1323005636">
      <w:bodyDiv w:val="1"/>
      <w:marLeft w:val="0"/>
      <w:marRight w:val="0"/>
      <w:marTop w:val="0"/>
      <w:marBottom w:val="0"/>
      <w:divBdr>
        <w:top w:val="none" w:sz="0" w:space="0" w:color="auto"/>
        <w:left w:val="none" w:sz="0" w:space="0" w:color="auto"/>
        <w:bottom w:val="none" w:sz="0" w:space="0" w:color="auto"/>
        <w:right w:val="none" w:sz="0" w:space="0" w:color="auto"/>
      </w:divBdr>
    </w:div>
    <w:div w:id="1340352866">
      <w:bodyDiv w:val="1"/>
      <w:marLeft w:val="0"/>
      <w:marRight w:val="0"/>
      <w:marTop w:val="0"/>
      <w:marBottom w:val="0"/>
      <w:divBdr>
        <w:top w:val="none" w:sz="0" w:space="0" w:color="auto"/>
        <w:left w:val="none" w:sz="0" w:space="0" w:color="auto"/>
        <w:bottom w:val="none" w:sz="0" w:space="0" w:color="auto"/>
        <w:right w:val="none" w:sz="0" w:space="0" w:color="auto"/>
      </w:divBdr>
    </w:div>
    <w:div w:id="1407338699">
      <w:bodyDiv w:val="1"/>
      <w:marLeft w:val="0"/>
      <w:marRight w:val="0"/>
      <w:marTop w:val="0"/>
      <w:marBottom w:val="0"/>
      <w:divBdr>
        <w:top w:val="none" w:sz="0" w:space="0" w:color="auto"/>
        <w:left w:val="none" w:sz="0" w:space="0" w:color="auto"/>
        <w:bottom w:val="none" w:sz="0" w:space="0" w:color="auto"/>
        <w:right w:val="none" w:sz="0" w:space="0" w:color="auto"/>
      </w:divBdr>
    </w:div>
    <w:div w:id="1439982167">
      <w:bodyDiv w:val="1"/>
      <w:marLeft w:val="0"/>
      <w:marRight w:val="0"/>
      <w:marTop w:val="0"/>
      <w:marBottom w:val="0"/>
      <w:divBdr>
        <w:top w:val="none" w:sz="0" w:space="0" w:color="auto"/>
        <w:left w:val="none" w:sz="0" w:space="0" w:color="auto"/>
        <w:bottom w:val="none" w:sz="0" w:space="0" w:color="auto"/>
        <w:right w:val="none" w:sz="0" w:space="0" w:color="auto"/>
      </w:divBdr>
    </w:div>
    <w:div w:id="1470592855">
      <w:bodyDiv w:val="1"/>
      <w:marLeft w:val="0"/>
      <w:marRight w:val="0"/>
      <w:marTop w:val="0"/>
      <w:marBottom w:val="0"/>
      <w:divBdr>
        <w:top w:val="none" w:sz="0" w:space="0" w:color="auto"/>
        <w:left w:val="none" w:sz="0" w:space="0" w:color="auto"/>
        <w:bottom w:val="none" w:sz="0" w:space="0" w:color="auto"/>
        <w:right w:val="none" w:sz="0" w:space="0" w:color="auto"/>
      </w:divBdr>
    </w:div>
    <w:div w:id="1620606349">
      <w:bodyDiv w:val="1"/>
      <w:marLeft w:val="0"/>
      <w:marRight w:val="0"/>
      <w:marTop w:val="0"/>
      <w:marBottom w:val="0"/>
      <w:divBdr>
        <w:top w:val="none" w:sz="0" w:space="0" w:color="auto"/>
        <w:left w:val="none" w:sz="0" w:space="0" w:color="auto"/>
        <w:bottom w:val="none" w:sz="0" w:space="0" w:color="auto"/>
        <w:right w:val="none" w:sz="0" w:space="0" w:color="auto"/>
      </w:divBdr>
    </w:div>
    <w:div w:id="1625698386">
      <w:bodyDiv w:val="1"/>
      <w:marLeft w:val="0"/>
      <w:marRight w:val="0"/>
      <w:marTop w:val="0"/>
      <w:marBottom w:val="0"/>
      <w:divBdr>
        <w:top w:val="none" w:sz="0" w:space="0" w:color="auto"/>
        <w:left w:val="none" w:sz="0" w:space="0" w:color="auto"/>
        <w:bottom w:val="none" w:sz="0" w:space="0" w:color="auto"/>
        <w:right w:val="none" w:sz="0" w:space="0" w:color="auto"/>
      </w:divBdr>
    </w:div>
    <w:div w:id="1636981889">
      <w:bodyDiv w:val="1"/>
      <w:marLeft w:val="0"/>
      <w:marRight w:val="0"/>
      <w:marTop w:val="0"/>
      <w:marBottom w:val="0"/>
      <w:divBdr>
        <w:top w:val="none" w:sz="0" w:space="0" w:color="auto"/>
        <w:left w:val="none" w:sz="0" w:space="0" w:color="auto"/>
        <w:bottom w:val="none" w:sz="0" w:space="0" w:color="auto"/>
        <w:right w:val="none" w:sz="0" w:space="0" w:color="auto"/>
      </w:divBdr>
    </w:div>
    <w:div w:id="1669402106">
      <w:bodyDiv w:val="1"/>
      <w:marLeft w:val="0"/>
      <w:marRight w:val="0"/>
      <w:marTop w:val="0"/>
      <w:marBottom w:val="0"/>
      <w:divBdr>
        <w:top w:val="none" w:sz="0" w:space="0" w:color="auto"/>
        <w:left w:val="none" w:sz="0" w:space="0" w:color="auto"/>
        <w:bottom w:val="none" w:sz="0" w:space="0" w:color="auto"/>
        <w:right w:val="none" w:sz="0" w:space="0" w:color="auto"/>
      </w:divBdr>
    </w:div>
    <w:div w:id="1773356815">
      <w:bodyDiv w:val="1"/>
      <w:marLeft w:val="0"/>
      <w:marRight w:val="0"/>
      <w:marTop w:val="0"/>
      <w:marBottom w:val="0"/>
      <w:divBdr>
        <w:top w:val="none" w:sz="0" w:space="0" w:color="auto"/>
        <w:left w:val="none" w:sz="0" w:space="0" w:color="auto"/>
        <w:bottom w:val="none" w:sz="0" w:space="0" w:color="auto"/>
        <w:right w:val="none" w:sz="0" w:space="0" w:color="auto"/>
      </w:divBdr>
    </w:div>
    <w:div w:id="1816026748">
      <w:bodyDiv w:val="1"/>
      <w:marLeft w:val="0"/>
      <w:marRight w:val="0"/>
      <w:marTop w:val="0"/>
      <w:marBottom w:val="0"/>
      <w:divBdr>
        <w:top w:val="none" w:sz="0" w:space="0" w:color="auto"/>
        <w:left w:val="none" w:sz="0" w:space="0" w:color="auto"/>
        <w:bottom w:val="none" w:sz="0" w:space="0" w:color="auto"/>
        <w:right w:val="none" w:sz="0" w:space="0" w:color="auto"/>
      </w:divBdr>
    </w:div>
    <w:div w:id="1842309779">
      <w:bodyDiv w:val="1"/>
      <w:marLeft w:val="0"/>
      <w:marRight w:val="0"/>
      <w:marTop w:val="0"/>
      <w:marBottom w:val="0"/>
      <w:divBdr>
        <w:top w:val="none" w:sz="0" w:space="0" w:color="auto"/>
        <w:left w:val="none" w:sz="0" w:space="0" w:color="auto"/>
        <w:bottom w:val="none" w:sz="0" w:space="0" w:color="auto"/>
        <w:right w:val="none" w:sz="0" w:space="0" w:color="auto"/>
      </w:divBdr>
    </w:div>
    <w:div w:id="1845700069">
      <w:bodyDiv w:val="1"/>
      <w:marLeft w:val="0"/>
      <w:marRight w:val="0"/>
      <w:marTop w:val="0"/>
      <w:marBottom w:val="0"/>
      <w:divBdr>
        <w:top w:val="none" w:sz="0" w:space="0" w:color="auto"/>
        <w:left w:val="none" w:sz="0" w:space="0" w:color="auto"/>
        <w:bottom w:val="none" w:sz="0" w:space="0" w:color="auto"/>
        <w:right w:val="none" w:sz="0" w:space="0" w:color="auto"/>
      </w:divBdr>
    </w:div>
    <w:div w:id="1862939832">
      <w:bodyDiv w:val="1"/>
      <w:marLeft w:val="0"/>
      <w:marRight w:val="0"/>
      <w:marTop w:val="0"/>
      <w:marBottom w:val="0"/>
      <w:divBdr>
        <w:top w:val="none" w:sz="0" w:space="0" w:color="auto"/>
        <w:left w:val="none" w:sz="0" w:space="0" w:color="auto"/>
        <w:bottom w:val="none" w:sz="0" w:space="0" w:color="auto"/>
        <w:right w:val="none" w:sz="0" w:space="0" w:color="auto"/>
      </w:divBdr>
    </w:div>
    <w:div w:id="1910650215">
      <w:bodyDiv w:val="1"/>
      <w:marLeft w:val="0"/>
      <w:marRight w:val="0"/>
      <w:marTop w:val="0"/>
      <w:marBottom w:val="0"/>
      <w:divBdr>
        <w:top w:val="none" w:sz="0" w:space="0" w:color="auto"/>
        <w:left w:val="none" w:sz="0" w:space="0" w:color="auto"/>
        <w:bottom w:val="none" w:sz="0" w:space="0" w:color="auto"/>
        <w:right w:val="none" w:sz="0" w:space="0" w:color="auto"/>
      </w:divBdr>
    </w:div>
    <w:div w:id="1970815998">
      <w:bodyDiv w:val="1"/>
      <w:marLeft w:val="0"/>
      <w:marRight w:val="0"/>
      <w:marTop w:val="0"/>
      <w:marBottom w:val="0"/>
      <w:divBdr>
        <w:top w:val="none" w:sz="0" w:space="0" w:color="auto"/>
        <w:left w:val="none" w:sz="0" w:space="0" w:color="auto"/>
        <w:bottom w:val="none" w:sz="0" w:space="0" w:color="auto"/>
        <w:right w:val="none" w:sz="0" w:space="0" w:color="auto"/>
      </w:divBdr>
    </w:div>
    <w:div w:id="1978757648">
      <w:bodyDiv w:val="1"/>
      <w:marLeft w:val="0"/>
      <w:marRight w:val="0"/>
      <w:marTop w:val="0"/>
      <w:marBottom w:val="0"/>
      <w:divBdr>
        <w:top w:val="none" w:sz="0" w:space="0" w:color="auto"/>
        <w:left w:val="none" w:sz="0" w:space="0" w:color="auto"/>
        <w:bottom w:val="none" w:sz="0" w:space="0" w:color="auto"/>
        <w:right w:val="none" w:sz="0" w:space="0" w:color="auto"/>
      </w:divBdr>
    </w:div>
    <w:div w:id="208162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ochroman.org/eng/2020/10/girlchild/" TargetMode="External"/><Relationship Id="rId13" Type="http://schemas.openxmlformats.org/officeDocument/2006/relationships/hyperlink" Target="https://tbinternet.ohchr.org/_layouts/15/treatybodyexternal/Download.aspx?symbolno=CRC%2fC%2fOMN%2fCO%2f3-4&amp;Lang=en" TargetMode="External"/><Relationship Id="rId18" Type="http://schemas.openxmlformats.org/officeDocument/2006/relationships/hyperlink" Target="https://www.ncsi.gov.om/Elibrary/LibraryContentDoc/bar_March%202020_0f7a0628-f2e1-42f2-8ed1-ca22b5bc72c3.pdf" TargetMode="External"/><Relationship Id="rId26" Type="http://schemas.openxmlformats.org/officeDocument/2006/relationships/hyperlink" Target="https://twitter.com/OmanNewsAgency/status/1325367518299627520?s=20" TargetMode="External"/><Relationship Id="rId3" Type="http://schemas.openxmlformats.org/officeDocument/2006/relationships/hyperlink" Target="https://www.hrw.org/world-report/2018/country-chapters/oman" TargetMode="External"/><Relationship Id="rId21" Type="http://schemas.openxmlformats.org/officeDocument/2006/relationships/hyperlink" Target="https://www.justice.gov/eoir/page/file/1327796/download" TargetMode="External"/><Relationship Id="rId7" Type="http://schemas.openxmlformats.org/officeDocument/2006/relationships/hyperlink" Target="https://www.upr-info.org/sites/default/files/document/oman/session_23_-_november_2015/recommendations_and_pledges_oman_2016.pdf" TargetMode="External"/><Relationship Id="rId12" Type="http://schemas.openxmlformats.org/officeDocument/2006/relationships/hyperlink" Target="https://www.ohchr.org/EN/HRBodies/UPR/Pages/OMindex.aspx" TargetMode="External"/><Relationship Id="rId17" Type="http://schemas.openxmlformats.org/officeDocument/2006/relationships/hyperlink" Target="https://www.omandaily.om/?p=567511" TargetMode="External"/><Relationship Id="rId25" Type="http://schemas.openxmlformats.org/officeDocument/2006/relationships/hyperlink" Target="https://timesofoman.com/article/school-academic-year-in-oman-begins-on-sunday" TargetMode="External"/><Relationship Id="rId2" Type="http://schemas.openxmlformats.org/officeDocument/2006/relationships/hyperlink" Target="https://files.institutesi.org/UPR37_Oman.pdf" TargetMode="External"/><Relationship Id="rId16" Type="http://schemas.openxmlformats.org/officeDocument/2006/relationships/hyperlink" Target="http://timesofoman.com/article/97297" TargetMode="External"/><Relationship Id="rId20" Type="http://schemas.openxmlformats.org/officeDocument/2006/relationships/hyperlink" Target="https://www.humanium.org/en/middle-east-north-africa/oman/" TargetMode="External"/><Relationship Id="rId29" Type="http://schemas.openxmlformats.org/officeDocument/2006/relationships/hyperlink" Target="https://files.institutesi.org/UPR37_Oman.pdf" TargetMode="External"/><Relationship Id="rId1" Type="http://schemas.openxmlformats.org/officeDocument/2006/relationships/hyperlink" Target="https://www.refworld.org/pdfid/58dcfe444.pdf" TargetMode="External"/><Relationship Id="rId6" Type="http://schemas.openxmlformats.org/officeDocument/2006/relationships/hyperlink" Target="https://wadi-online.org/2018/09/01/new-study-almost-100-percent-women-mutilated-in-region-of-oman-time-to-act/" TargetMode="External"/><Relationship Id="rId11" Type="http://schemas.openxmlformats.org/officeDocument/2006/relationships/hyperlink" Target="http://www.mola.gov.om/eng/penallaw.aspx" TargetMode="External"/><Relationship Id="rId24" Type="http://schemas.openxmlformats.org/officeDocument/2006/relationships/hyperlink" Target="https://timesofoman.com/article/students-safety-top-priority-says-official" TargetMode="External"/><Relationship Id="rId5" Type="http://schemas.openxmlformats.org/officeDocument/2006/relationships/hyperlink" Target="https://www.y-oman.com/2014/02/deepest-cut/" TargetMode="External"/><Relationship Id="rId15" Type="http://schemas.openxmlformats.org/officeDocument/2006/relationships/hyperlink" Target="https://gulfnews.com/news/gulf/oman/oman-bans-corporal-punishment-in-muscat-schools-1.1917293" TargetMode="External"/><Relationship Id="rId23" Type="http://schemas.openxmlformats.org/officeDocument/2006/relationships/hyperlink" Target="https://www.ncbi.nlm.nih.gov/pmc/articles/PMC3616798/" TargetMode="External"/><Relationship Id="rId28" Type="http://schemas.openxmlformats.org/officeDocument/2006/relationships/hyperlink" Target="https://www.right-to-education.org/blog/pandemic-shakes-world-s-education-systems" TargetMode="External"/><Relationship Id="rId10" Type="http://schemas.openxmlformats.org/officeDocument/2006/relationships/hyperlink" Target="https://www.genderindex.org/wp-content/uploads/files/datasheets/2019/OM.pdf" TargetMode="External"/><Relationship Id="rId19" Type="http://schemas.openxmlformats.org/officeDocument/2006/relationships/hyperlink" Target="https://www.middleeasteye.net/news/abused-starved-and-unpaid-runaway-maid-oman" TargetMode="External"/><Relationship Id="rId4" Type="http://schemas.openxmlformats.org/officeDocument/2006/relationships/hyperlink" Target="http://www.stopfgmmideast.org/wp-content/uploads/2014/01/habiba-al-hinai-female-genital-mutilation-in-the-sultanate-of-oman1.pdf" TargetMode="External"/><Relationship Id="rId9" Type="http://schemas.openxmlformats.org/officeDocument/2006/relationships/hyperlink" Target="http://www.stopfgmmideast.org/oman-bans-unexpectedly-female-genital-mutilation/" TargetMode="External"/><Relationship Id="rId14" Type="http://schemas.openxmlformats.org/officeDocument/2006/relationships/hyperlink" Target="https://endcorporalpunishment.org/reports-on-every-state-and-territory/oman/" TargetMode="External"/><Relationship Id="rId22" Type="http://schemas.openxmlformats.org/officeDocument/2006/relationships/hyperlink" Target="https://tbinternet.ohchr.org/_layouts/treatybodyexternal/Download.aspx?Lang=En&amp;symbolno=CEDAW%2FC%2FOMN%2FCO%2F2-3" TargetMode="External"/><Relationship Id="rId27" Type="http://schemas.openxmlformats.org/officeDocument/2006/relationships/hyperlink" Target="https://timesofoman.com/article/school-academic-year-in-oman-begins-on-sunday" TargetMode="External"/><Relationship Id="rId30" Type="http://schemas.openxmlformats.org/officeDocument/2006/relationships/hyperlink" Target="https://www.unicef.org/about/annualreport/files/Oman_2017_CO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3366C-6757-4F67-988C-0DE7DB1772A3}">
  <ds:schemaRefs>
    <ds:schemaRef ds:uri="http://schemas.openxmlformats.org/officeDocument/2006/bibliography"/>
  </ds:schemaRefs>
</ds:datastoreItem>
</file>

<file path=customXml/itemProps2.xml><?xml version="1.0" encoding="utf-8"?>
<ds:datastoreItem xmlns:ds="http://schemas.openxmlformats.org/officeDocument/2006/customXml" ds:itemID="{C01DFA7D-CE81-43D8-B7DF-E5CC5CD6C4A6}"/>
</file>

<file path=customXml/itemProps3.xml><?xml version="1.0" encoding="utf-8"?>
<ds:datastoreItem xmlns:ds="http://schemas.openxmlformats.org/officeDocument/2006/customXml" ds:itemID="{303B5010-BAD5-4BBA-B08A-F83531BB70A5}"/>
</file>

<file path=customXml/itemProps4.xml><?xml version="1.0" encoding="utf-8"?>
<ds:datastoreItem xmlns:ds="http://schemas.openxmlformats.org/officeDocument/2006/customXml" ds:itemID="{7B7973D7-8A8D-420C-8724-AC29C54C389B}"/>
</file>

<file path=docProps/app.xml><?xml version="1.0" encoding="utf-8"?>
<Properties xmlns="http://schemas.openxmlformats.org/officeDocument/2006/extended-properties" xmlns:vt="http://schemas.openxmlformats.org/officeDocument/2006/docPropsVTypes">
  <Template>Normal.dotm</Template>
  <TotalTime>19</TotalTime>
  <Pages>11</Pages>
  <Words>3082</Words>
  <Characters>16433</Characters>
  <Application>Microsoft Office Word</Application>
  <DocSecurity>0</DocSecurity>
  <Lines>310</Lines>
  <Paragraphs>87</Paragraphs>
  <ScaleCrop>false</ScaleCrop>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Asma Elgamal</cp:lastModifiedBy>
  <cp:revision>13</cp:revision>
  <dcterms:created xsi:type="dcterms:W3CDTF">2020-11-26T14:23:00Z</dcterms:created>
  <dcterms:modified xsi:type="dcterms:W3CDTF">2020-11-30T21:33:00Z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