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06A24" w14:textId="77777777" w:rsidR="00E91789" w:rsidRDefault="00591EBA">
      <w:pPr>
        <w:spacing w:line="276" w:lineRule="auto"/>
        <w:jc w:val="center"/>
        <w:rPr>
          <w:rFonts w:ascii="Calibri" w:eastAsia="Calibri" w:hAnsi="Calibri" w:cs="Calibri"/>
          <w:sz w:val="22"/>
          <w:szCs w:val="22"/>
        </w:rPr>
      </w:pPr>
      <w:bookmarkStart w:id="0" w:name="_GoBack"/>
      <w:bookmarkEnd w:id="0"/>
      <w:r>
        <w:rPr>
          <w:rFonts w:ascii="Calibri" w:eastAsia="Calibri" w:hAnsi="Calibri" w:cs="Calibri"/>
          <w:sz w:val="22"/>
          <w:szCs w:val="22"/>
        </w:rPr>
        <w:t xml:space="preserve">Thematic report on the implementation of the Convention on the Rights of the Child and the Optional Protocol on the sale of children, child prostitution and child pornography </w:t>
      </w:r>
    </w:p>
    <w:p w14:paraId="19F4B741"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in the context of the Simplified Reporting Procedure (SRP)</w:t>
      </w:r>
    </w:p>
    <w:p w14:paraId="5C26F9B9" w14:textId="77777777" w:rsidR="00E91789" w:rsidRDefault="00E91789">
      <w:pPr>
        <w:spacing w:line="276" w:lineRule="auto"/>
        <w:jc w:val="center"/>
        <w:rPr>
          <w:rFonts w:ascii="Calibri" w:eastAsia="Calibri" w:hAnsi="Calibri" w:cs="Calibri"/>
          <w:b/>
          <w:sz w:val="22"/>
          <w:szCs w:val="22"/>
        </w:rPr>
      </w:pPr>
    </w:p>
    <w:p w14:paraId="5E47287D" w14:textId="77777777" w:rsidR="00E91789" w:rsidRDefault="00591EBA">
      <w:pPr>
        <w:spacing w:line="276" w:lineRule="auto"/>
        <w:jc w:val="center"/>
        <w:rPr>
          <w:rFonts w:ascii="Calibri" w:eastAsia="Calibri" w:hAnsi="Calibri" w:cs="Calibri"/>
          <w:b/>
          <w:sz w:val="22"/>
          <w:szCs w:val="22"/>
        </w:rPr>
      </w:pPr>
      <w:r>
        <w:rPr>
          <w:rFonts w:ascii="Calibri" w:eastAsia="Calibri" w:hAnsi="Calibri" w:cs="Calibri"/>
          <w:b/>
          <w:sz w:val="22"/>
          <w:szCs w:val="22"/>
        </w:rPr>
        <w:t>“Sexual Exploitation of Children in New Zealand”</w:t>
      </w:r>
    </w:p>
    <w:p w14:paraId="6AE92E08" w14:textId="77777777" w:rsidR="00E91789" w:rsidRDefault="00E91789">
      <w:pPr>
        <w:spacing w:line="276" w:lineRule="auto"/>
        <w:jc w:val="center"/>
        <w:rPr>
          <w:rFonts w:ascii="Calibri" w:eastAsia="Calibri" w:hAnsi="Calibri" w:cs="Calibri"/>
          <w:b/>
          <w:sz w:val="22"/>
          <w:szCs w:val="22"/>
        </w:rPr>
      </w:pPr>
    </w:p>
    <w:p w14:paraId="0E97D4F5" w14:textId="77777777" w:rsidR="00E91789" w:rsidRDefault="00E91789">
      <w:pPr>
        <w:spacing w:line="276" w:lineRule="auto"/>
        <w:jc w:val="center"/>
        <w:rPr>
          <w:rFonts w:ascii="Calibri" w:eastAsia="Calibri" w:hAnsi="Calibri" w:cs="Calibri"/>
          <w:b/>
          <w:sz w:val="22"/>
          <w:szCs w:val="22"/>
        </w:rPr>
      </w:pPr>
    </w:p>
    <w:p w14:paraId="71D16BC8" w14:textId="77777777" w:rsidR="00E91789" w:rsidRDefault="00E91789">
      <w:pPr>
        <w:spacing w:line="276" w:lineRule="auto"/>
        <w:jc w:val="center"/>
        <w:rPr>
          <w:rFonts w:ascii="Calibri" w:eastAsia="Calibri" w:hAnsi="Calibri" w:cs="Calibri"/>
          <w:b/>
          <w:sz w:val="22"/>
          <w:szCs w:val="22"/>
        </w:rPr>
      </w:pPr>
    </w:p>
    <w:p w14:paraId="0A20BB04" w14:textId="77777777" w:rsidR="00E91789" w:rsidRDefault="00E91789">
      <w:pPr>
        <w:spacing w:line="276" w:lineRule="auto"/>
        <w:jc w:val="center"/>
        <w:rPr>
          <w:rFonts w:ascii="Calibri" w:eastAsia="Calibri" w:hAnsi="Calibri" w:cs="Calibri"/>
          <w:b/>
          <w:sz w:val="22"/>
          <w:szCs w:val="22"/>
        </w:rPr>
      </w:pPr>
    </w:p>
    <w:p w14:paraId="24B33689" w14:textId="77777777" w:rsidR="00E91789" w:rsidRDefault="00E91789">
      <w:pPr>
        <w:spacing w:line="276" w:lineRule="auto"/>
        <w:jc w:val="center"/>
        <w:rPr>
          <w:rFonts w:ascii="Calibri" w:eastAsia="Calibri" w:hAnsi="Calibri" w:cs="Calibri"/>
          <w:b/>
          <w:sz w:val="22"/>
          <w:szCs w:val="22"/>
        </w:rPr>
      </w:pPr>
    </w:p>
    <w:p w14:paraId="0A3FF473" w14:textId="77777777" w:rsidR="00E91789" w:rsidRDefault="00E91789">
      <w:pPr>
        <w:spacing w:line="276" w:lineRule="auto"/>
        <w:jc w:val="center"/>
        <w:rPr>
          <w:rFonts w:ascii="Calibri" w:eastAsia="Calibri" w:hAnsi="Calibri" w:cs="Calibri"/>
          <w:b/>
          <w:sz w:val="22"/>
          <w:szCs w:val="22"/>
        </w:rPr>
      </w:pPr>
    </w:p>
    <w:p w14:paraId="5291889D" w14:textId="77777777" w:rsidR="00E91789" w:rsidRDefault="00E91789">
      <w:pPr>
        <w:spacing w:line="276" w:lineRule="auto"/>
        <w:jc w:val="center"/>
        <w:rPr>
          <w:rFonts w:ascii="Calibri" w:eastAsia="Calibri" w:hAnsi="Calibri" w:cs="Calibri"/>
          <w:b/>
          <w:sz w:val="22"/>
          <w:szCs w:val="22"/>
        </w:rPr>
      </w:pPr>
    </w:p>
    <w:p w14:paraId="3432C8A7"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Submitted by</w:t>
      </w:r>
    </w:p>
    <w:p w14:paraId="1B486B70" w14:textId="13BAB9F4" w:rsidR="00E91789" w:rsidRDefault="00591EBA">
      <w:pPr>
        <w:widowControl w:val="0"/>
        <w:spacing w:line="276" w:lineRule="auto"/>
        <w:ind w:right="461"/>
        <w:jc w:val="center"/>
        <w:rPr>
          <w:rFonts w:ascii="Calibri" w:eastAsia="Calibri" w:hAnsi="Calibri" w:cs="Calibri"/>
          <w:b/>
          <w:sz w:val="22"/>
          <w:szCs w:val="22"/>
        </w:rPr>
      </w:pPr>
      <w:r>
        <w:rPr>
          <w:rFonts w:ascii="Calibri" w:eastAsia="Calibri" w:hAnsi="Calibri" w:cs="Calibri"/>
          <w:b/>
          <w:sz w:val="22"/>
          <w:szCs w:val="22"/>
        </w:rPr>
        <w:t xml:space="preserve">           ECPAT Child </w:t>
      </w:r>
      <w:r w:rsidR="00231C20">
        <w:rPr>
          <w:rFonts w:ascii="Calibri" w:eastAsia="Calibri" w:hAnsi="Calibri" w:cs="Calibri"/>
          <w:b/>
          <w:sz w:val="22"/>
          <w:szCs w:val="22"/>
        </w:rPr>
        <w:t>ALERT</w:t>
      </w:r>
    </w:p>
    <w:p w14:paraId="444E6714"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and</w:t>
      </w:r>
    </w:p>
    <w:p w14:paraId="0ED5375F" w14:textId="77777777" w:rsidR="00E91789" w:rsidRDefault="00591EBA">
      <w:pPr>
        <w:spacing w:line="276" w:lineRule="auto"/>
        <w:jc w:val="center"/>
        <w:rPr>
          <w:rFonts w:ascii="Calibri" w:eastAsia="Calibri" w:hAnsi="Calibri" w:cs="Calibri"/>
          <w:b/>
          <w:sz w:val="22"/>
          <w:szCs w:val="22"/>
        </w:rPr>
      </w:pPr>
      <w:r>
        <w:rPr>
          <w:rFonts w:ascii="Calibri" w:eastAsia="Calibri" w:hAnsi="Calibri" w:cs="Calibri"/>
          <w:b/>
          <w:sz w:val="22"/>
          <w:szCs w:val="22"/>
        </w:rPr>
        <w:t>ECPAT International</w:t>
      </w:r>
    </w:p>
    <w:p w14:paraId="24B9E778"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1 March 2020</w:t>
      </w:r>
    </w:p>
    <w:p w14:paraId="0AF1A3AA" w14:textId="77777777" w:rsidR="00E91789" w:rsidRDefault="00E91789">
      <w:pPr>
        <w:spacing w:line="276" w:lineRule="auto"/>
        <w:jc w:val="center"/>
        <w:rPr>
          <w:rFonts w:ascii="Calibri" w:eastAsia="Calibri" w:hAnsi="Calibri" w:cs="Calibri"/>
          <w:sz w:val="22"/>
          <w:szCs w:val="22"/>
        </w:rPr>
      </w:pPr>
    </w:p>
    <w:p w14:paraId="732065A8" w14:textId="77777777" w:rsidR="00E91789" w:rsidRDefault="00E91789">
      <w:pPr>
        <w:spacing w:line="276" w:lineRule="auto"/>
        <w:rPr>
          <w:rFonts w:ascii="Calibri" w:eastAsia="Calibri" w:hAnsi="Calibri" w:cs="Calibri"/>
          <w:sz w:val="22"/>
          <w:szCs w:val="22"/>
        </w:rPr>
      </w:pPr>
    </w:p>
    <w:p w14:paraId="3CE8C103" w14:textId="77777777" w:rsidR="00E91789" w:rsidRDefault="00E91789">
      <w:pPr>
        <w:spacing w:line="276" w:lineRule="auto"/>
        <w:jc w:val="center"/>
        <w:rPr>
          <w:rFonts w:ascii="Calibri" w:eastAsia="Calibri" w:hAnsi="Calibri" w:cs="Calibri"/>
          <w:sz w:val="22"/>
          <w:szCs w:val="22"/>
        </w:rPr>
      </w:pPr>
    </w:p>
    <w:p w14:paraId="484167FB" w14:textId="77777777" w:rsidR="00E91789" w:rsidRDefault="00591EBA">
      <w:pPr>
        <w:spacing w:line="276" w:lineRule="auto"/>
        <w:jc w:val="center"/>
        <w:rPr>
          <w:rFonts w:ascii="Calibri" w:eastAsia="Calibri" w:hAnsi="Calibri" w:cs="Calibri"/>
          <w:b/>
          <w:sz w:val="22"/>
          <w:szCs w:val="22"/>
        </w:rPr>
      </w:pPr>
      <w:r>
        <w:rPr>
          <w:rFonts w:ascii="Calibri" w:eastAsia="Calibri" w:hAnsi="Calibri" w:cs="Calibri"/>
          <w:sz w:val="22"/>
          <w:szCs w:val="22"/>
        </w:rPr>
        <w:t xml:space="preserve">to the </w:t>
      </w:r>
      <w:r>
        <w:rPr>
          <w:rFonts w:ascii="Calibri" w:eastAsia="Calibri" w:hAnsi="Calibri" w:cs="Calibri"/>
          <w:b/>
          <w:sz w:val="22"/>
          <w:szCs w:val="22"/>
        </w:rPr>
        <w:t>Committee on the Rights of the Child</w:t>
      </w:r>
    </w:p>
    <w:p w14:paraId="103EE480"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 xml:space="preserve">87th Pre-session </w:t>
      </w:r>
    </w:p>
    <w:p w14:paraId="57D0AD95" w14:textId="77777777" w:rsidR="00E91789" w:rsidRDefault="00591EBA">
      <w:pPr>
        <w:spacing w:line="276" w:lineRule="auto"/>
        <w:jc w:val="center"/>
        <w:rPr>
          <w:rFonts w:ascii="Calibri" w:eastAsia="Calibri" w:hAnsi="Calibri" w:cs="Calibri"/>
          <w:sz w:val="22"/>
          <w:szCs w:val="22"/>
        </w:rPr>
      </w:pPr>
      <w:r>
        <w:rPr>
          <w:rFonts w:ascii="Calibri" w:eastAsia="Calibri" w:hAnsi="Calibri" w:cs="Calibri"/>
          <w:sz w:val="22"/>
          <w:szCs w:val="22"/>
        </w:rPr>
        <w:t xml:space="preserve">(1 – 5 June 2020) </w:t>
      </w:r>
    </w:p>
    <w:p w14:paraId="7BA017F9" w14:textId="77777777" w:rsidR="00E91789" w:rsidRDefault="00E91789">
      <w:pPr>
        <w:spacing w:line="276" w:lineRule="auto"/>
        <w:rPr>
          <w:rFonts w:ascii="Calibri" w:eastAsia="Calibri" w:hAnsi="Calibri" w:cs="Calibri"/>
          <w:sz w:val="22"/>
          <w:szCs w:val="22"/>
        </w:rPr>
      </w:pPr>
    </w:p>
    <w:p w14:paraId="47C4AC69" w14:textId="77777777" w:rsidR="00E91789" w:rsidRDefault="00591EBA">
      <w:pPr>
        <w:spacing w:line="276" w:lineRule="auto"/>
        <w:rPr>
          <w:rFonts w:ascii="Calibri" w:eastAsia="Calibri" w:hAnsi="Calibri" w:cs="Calibri"/>
          <w:sz w:val="22"/>
          <w:szCs w:val="22"/>
        </w:rPr>
      </w:pPr>
      <w:r>
        <w:br w:type="page"/>
      </w:r>
    </w:p>
    <w:p w14:paraId="5F1702D9" w14:textId="00F57B29" w:rsidR="00E91789" w:rsidRDefault="002B07F9">
      <w:pPr>
        <w:widowControl w:val="0"/>
        <w:pBdr>
          <w:top w:val="nil"/>
          <w:left w:val="nil"/>
          <w:bottom w:val="nil"/>
          <w:right w:val="nil"/>
          <w:between w:val="nil"/>
        </w:pBdr>
        <w:spacing w:before="288" w:line="276" w:lineRule="auto"/>
        <w:jc w:val="both"/>
        <w:rPr>
          <w:rFonts w:ascii="Calibri" w:eastAsia="Calibri" w:hAnsi="Calibri" w:cs="Calibri"/>
          <w:color w:val="000000"/>
          <w:sz w:val="22"/>
          <w:szCs w:val="22"/>
          <w:highlight w:val="green"/>
        </w:rPr>
      </w:pPr>
      <w:r>
        <w:rPr>
          <w:rFonts w:ascii="Calibri" w:eastAsia="Calibri" w:hAnsi="Calibri" w:cs="Calibri"/>
          <w:noProof/>
          <w:color w:val="000000"/>
          <w:sz w:val="22"/>
          <w:szCs w:val="22"/>
          <w:lang w:eastAsia="en-GB"/>
        </w:rPr>
        <w:lastRenderedPageBreak/>
        <w:drawing>
          <wp:anchor distT="0" distB="0" distL="114300" distR="114300" simplePos="0" relativeHeight="251661312" behindDoc="0" locked="0" layoutInCell="1" allowOverlap="1" wp14:anchorId="6A33A0F9" wp14:editId="5BA72F1F">
            <wp:simplePos x="0" y="0"/>
            <wp:positionH relativeFrom="column">
              <wp:posOffset>-144743</wp:posOffset>
            </wp:positionH>
            <wp:positionV relativeFrom="paragraph">
              <wp:posOffset>89780</wp:posOffset>
            </wp:positionV>
            <wp:extent cx="2312035" cy="608330"/>
            <wp:effectExtent l="0" t="0" r="0" b="1270"/>
            <wp:wrapThrough wrapText="bothSides">
              <wp:wrapPolygon edited="0">
                <wp:start x="0" y="0"/>
                <wp:lineTo x="0" y="21194"/>
                <wp:lineTo x="21475" y="21194"/>
                <wp:lineTo x="2147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alert-logo.png"/>
                    <pic:cNvPicPr/>
                  </pic:nvPicPr>
                  <pic:blipFill>
                    <a:blip r:embed="rId8">
                      <a:extLst>
                        <a:ext uri="{28A0092B-C50C-407E-A947-70E740481C1C}">
                          <a14:useLocalDpi xmlns:a14="http://schemas.microsoft.com/office/drawing/2010/main" val="0"/>
                        </a:ext>
                      </a:extLst>
                    </a:blip>
                    <a:stretch>
                      <a:fillRect/>
                    </a:stretch>
                  </pic:blipFill>
                  <pic:spPr>
                    <a:xfrm>
                      <a:off x="0" y="0"/>
                      <a:ext cx="2312035" cy="608330"/>
                    </a:xfrm>
                    <a:prstGeom prst="rect">
                      <a:avLst/>
                    </a:prstGeom>
                  </pic:spPr>
                </pic:pic>
              </a:graphicData>
            </a:graphic>
            <wp14:sizeRelH relativeFrom="page">
              <wp14:pctWidth>0</wp14:pctWidth>
            </wp14:sizeRelH>
            <wp14:sizeRelV relativeFrom="page">
              <wp14:pctHeight>0</wp14:pctHeight>
            </wp14:sizeRelV>
          </wp:anchor>
        </w:drawing>
      </w:r>
      <w:r w:rsidR="00591EBA">
        <w:rPr>
          <w:noProof/>
          <w:lang w:eastAsia="en-GB"/>
        </w:rPr>
        <w:drawing>
          <wp:anchor distT="0" distB="0" distL="114300" distR="114300" simplePos="0" relativeHeight="251658240" behindDoc="0" locked="0" layoutInCell="1" hidden="0" allowOverlap="1" wp14:anchorId="72C759D9" wp14:editId="3CC5676A">
            <wp:simplePos x="0" y="0"/>
            <wp:positionH relativeFrom="column">
              <wp:posOffset>3240405</wp:posOffset>
            </wp:positionH>
            <wp:positionV relativeFrom="paragraph">
              <wp:posOffset>-194309</wp:posOffset>
            </wp:positionV>
            <wp:extent cx="985997" cy="1062349"/>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985997" cy="1062349"/>
                    </a:xfrm>
                    <a:prstGeom prst="rect">
                      <a:avLst/>
                    </a:prstGeom>
                    <a:ln/>
                  </pic:spPr>
                </pic:pic>
              </a:graphicData>
            </a:graphic>
          </wp:anchor>
        </w:drawing>
      </w:r>
    </w:p>
    <w:p w14:paraId="10D51C59" w14:textId="4476144C" w:rsidR="00E91789" w:rsidRDefault="00E91789">
      <w:pPr>
        <w:widowControl w:val="0"/>
        <w:pBdr>
          <w:top w:val="nil"/>
          <w:left w:val="nil"/>
          <w:bottom w:val="nil"/>
          <w:right w:val="nil"/>
          <w:between w:val="nil"/>
        </w:pBdr>
        <w:spacing w:before="288" w:line="276" w:lineRule="auto"/>
        <w:jc w:val="both"/>
        <w:rPr>
          <w:rFonts w:ascii="Calibri" w:eastAsia="Calibri" w:hAnsi="Calibri" w:cs="Calibri"/>
          <w:color w:val="000000"/>
          <w:sz w:val="22"/>
          <w:szCs w:val="22"/>
          <w:highlight w:val="green"/>
        </w:rPr>
      </w:pPr>
    </w:p>
    <w:p w14:paraId="5AAD29D1" w14:textId="19FA571A" w:rsidR="00E91789" w:rsidRDefault="00E91789">
      <w:pPr>
        <w:widowControl w:val="0"/>
        <w:pBdr>
          <w:top w:val="nil"/>
          <w:left w:val="nil"/>
          <w:bottom w:val="nil"/>
          <w:right w:val="nil"/>
          <w:between w:val="nil"/>
        </w:pBdr>
        <w:spacing w:before="288" w:line="276" w:lineRule="auto"/>
        <w:jc w:val="both"/>
        <w:rPr>
          <w:rFonts w:ascii="Calibri" w:eastAsia="Calibri" w:hAnsi="Calibri" w:cs="Calibri"/>
          <w:color w:val="000000"/>
          <w:sz w:val="22"/>
          <w:szCs w:val="22"/>
          <w:highlight w:val="green"/>
        </w:rPr>
      </w:pPr>
    </w:p>
    <w:tbl>
      <w:tblPr>
        <w:tblStyle w:val="1"/>
        <w:tblW w:w="9580" w:type="dxa"/>
        <w:tblInd w:w="-96" w:type="dxa"/>
        <w:tblLayout w:type="fixed"/>
        <w:tblLook w:val="0000" w:firstRow="0" w:lastRow="0" w:firstColumn="0" w:lastColumn="0" w:noHBand="0" w:noVBand="0"/>
      </w:tblPr>
      <w:tblGrid>
        <w:gridCol w:w="5058"/>
        <w:gridCol w:w="4522"/>
      </w:tblGrid>
      <w:tr w:rsidR="00E91789" w14:paraId="352F8B43" w14:textId="77777777">
        <w:trPr>
          <w:trHeight w:val="3294"/>
        </w:trPr>
        <w:tc>
          <w:tcPr>
            <w:tcW w:w="5058" w:type="dxa"/>
            <w:tcMar>
              <w:top w:w="0" w:type="dxa"/>
              <w:left w:w="108" w:type="dxa"/>
              <w:bottom w:w="0" w:type="dxa"/>
              <w:right w:w="108" w:type="dxa"/>
            </w:tcMar>
          </w:tcPr>
          <w:p w14:paraId="402A2C90" w14:textId="77777777" w:rsidR="00E91789" w:rsidRDefault="00E91789">
            <w:pPr>
              <w:widowControl w:val="0"/>
              <w:pBdr>
                <w:top w:val="nil"/>
                <w:left w:val="nil"/>
                <w:bottom w:val="nil"/>
                <w:right w:val="nil"/>
                <w:between w:val="nil"/>
              </w:pBdr>
              <w:spacing w:line="276" w:lineRule="auto"/>
              <w:ind w:right="319"/>
              <w:jc w:val="both"/>
              <w:rPr>
                <w:rFonts w:ascii="Calibri" w:eastAsia="Calibri" w:hAnsi="Calibri" w:cs="Calibri"/>
                <w:b/>
                <w:color w:val="000000"/>
                <w:sz w:val="22"/>
                <w:szCs w:val="22"/>
              </w:rPr>
            </w:pPr>
          </w:p>
          <w:p w14:paraId="2CFC70E6" w14:textId="7D7C7751" w:rsidR="00E91789" w:rsidRDefault="00591EBA">
            <w:pPr>
              <w:widowControl w:val="0"/>
              <w:pBdr>
                <w:top w:val="nil"/>
                <w:left w:val="nil"/>
                <w:bottom w:val="nil"/>
                <w:right w:val="nil"/>
                <w:between w:val="nil"/>
              </w:pBdr>
              <w:spacing w:line="276" w:lineRule="auto"/>
              <w:ind w:right="319"/>
              <w:rPr>
                <w:rFonts w:ascii="Calibri" w:eastAsia="Calibri" w:hAnsi="Calibri" w:cs="Calibri"/>
                <w:b/>
                <w:color w:val="000000"/>
                <w:sz w:val="22"/>
                <w:szCs w:val="22"/>
              </w:rPr>
            </w:pPr>
            <w:r>
              <w:rPr>
                <w:rFonts w:ascii="Calibri" w:eastAsia="Calibri" w:hAnsi="Calibri" w:cs="Calibri"/>
                <w:b/>
                <w:color w:val="000000"/>
                <w:sz w:val="22"/>
                <w:szCs w:val="22"/>
              </w:rPr>
              <w:t>ECPAT Child</w:t>
            </w:r>
            <w:r w:rsidR="00231C20">
              <w:rPr>
                <w:rFonts w:ascii="Calibri" w:eastAsia="Calibri" w:hAnsi="Calibri" w:cs="Calibri"/>
                <w:b/>
                <w:color w:val="000000"/>
                <w:sz w:val="22"/>
                <w:szCs w:val="22"/>
              </w:rPr>
              <w:t xml:space="preserve"> </w:t>
            </w:r>
            <w:r>
              <w:rPr>
                <w:rFonts w:ascii="Calibri" w:eastAsia="Calibri" w:hAnsi="Calibri" w:cs="Calibri"/>
                <w:b/>
                <w:color w:val="000000"/>
                <w:sz w:val="22"/>
                <w:szCs w:val="22"/>
              </w:rPr>
              <w:t>ALERT</w:t>
            </w:r>
          </w:p>
          <w:p w14:paraId="6B83E033"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color w:val="000000"/>
                <w:sz w:val="22"/>
                <w:szCs w:val="22"/>
              </w:rPr>
            </w:pPr>
            <w:r>
              <w:rPr>
                <w:rFonts w:ascii="Calibri" w:eastAsia="Calibri" w:hAnsi="Calibri" w:cs="Calibri"/>
                <w:color w:val="000000"/>
                <w:sz w:val="22"/>
                <w:szCs w:val="22"/>
              </w:rPr>
              <w:t>Executive Director: Ms. Eleanor Parkes</w:t>
            </w:r>
          </w:p>
          <w:p w14:paraId="3D3CEAA8"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color w:val="000000"/>
                <w:sz w:val="22"/>
                <w:szCs w:val="22"/>
              </w:rPr>
            </w:pPr>
            <w:r>
              <w:rPr>
                <w:rFonts w:ascii="Calibri" w:eastAsia="Calibri" w:hAnsi="Calibri" w:cs="Calibri"/>
                <w:color w:val="000000"/>
                <w:sz w:val="22"/>
                <w:szCs w:val="22"/>
              </w:rPr>
              <w:t>Address: P.O. Box 41-264 St Lukes, Auckland</w:t>
            </w:r>
          </w:p>
          <w:p w14:paraId="6502F8AF"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color w:val="000000"/>
                <w:sz w:val="22"/>
                <w:szCs w:val="22"/>
              </w:rPr>
            </w:pPr>
            <w:r>
              <w:rPr>
                <w:rFonts w:ascii="Calibri" w:eastAsia="Calibri" w:hAnsi="Calibri" w:cs="Calibri"/>
                <w:color w:val="000000"/>
                <w:sz w:val="22"/>
                <w:szCs w:val="22"/>
              </w:rPr>
              <w:t>Phone: +64 9 3765252</w:t>
            </w:r>
          </w:p>
          <w:p w14:paraId="3E0B409E"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color w:val="000000"/>
                <w:sz w:val="22"/>
                <w:szCs w:val="22"/>
                <w:u w:val="single"/>
              </w:rPr>
            </w:pPr>
            <w:r>
              <w:rPr>
                <w:rFonts w:ascii="Calibri" w:eastAsia="Calibri" w:hAnsi="Calibri" w:cs="Calibri"/>
                <w:color w:val="000000"/>
                <w:sz w:val="22"/>
                <w:szCs w:val="22"/>
              </w:rPr>
              <w:t xml:space="preserve">Email: </w:t>
            </w:r>
            <w:r>
              <w:rPr>
                <w:rFonts w:ascii="Calibri" w:eastAsia="Calibri" w:hAnsi="Calibri" w:cs="Calibri"/>
                <w:color w:val="000000"/>
                <w:sz w:val="22"/>
                <w:szCs w:val="22"/>
                <w:u w:val="single"/>
              </w:rPr>
              <w:t>office@ecpat.org.nz</w:t>
            </w:r>
          </w:p>
          <w:p w14:paraId="50BACE94"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color w:val="000000"/>
                <w:sz w:val="22"/>
                <w:szCs w:val="22"/>
                <w:u w:val="single"/>
              </w:rPr>
            </w:pPr>
            <w:r>
              <w:rPr>
                <w:rFonts w:ascii="Calibri" w:eastAsia="Calibri" w:hAnsi="Calibri" w:cs="Calibri"/>
                <w:color w:val="000000"/>
                <w:sz w:val="22"/>
                <w:szCs w:val="22"/>
              </w:rPr>
              <w:t xml:space="preserve">Website: </w:t>
            </w:r>
            <w:r>
              <w:rPr>
                <w:rFonts w:ascii="Calibri" w:eastAsia="Calibri" w:hAnsi="Calibri" w:cs="Calibri"/>
                <w:color w:val="000000"/>
                <w:sz w:val="22"/>
                <w:szCs w:val="22"/>
                <w:u w:val="single"/>
              </w:rPr>
              <w:t>http://www.ecpat.org.nz</w:t>
            </w:r>
          </w:p>
          <w:p w14:paraId="2993F429" w14:textId="77777777" w:rsidR="00E91789" w:rsidRDefault="00E91789">
            <w:pPr>
              <w:widowControl w:val="0"/>
              <w:pBdr>
                <w:top w:val="nil"/>
                <w:left w:val="nil"/>
                <w:bottom w:val="nil"/>
                <w:right w:val="nil"/>
                <w:between w:val="nil"/>
              </w:pBdr>
              <w:spacing w:line="276" w:lineRule="auto"/>
              <w:ind w:right="319"/>
              <w:rPr>
                <w:rFonts w:ascii="Calibri" w:eastAsia="Calibri" w:hAnsi="Calibri" w:cs="Calibri"/>
                <w:i/>
                <w:color w:val="000000"/>
                <w:sz w:val="22"/>
                <w:szCs w:val="22"/>
              </w:rPr>
            </w:pPr>
          </w:p>
          <w:p w14:paraId="2C0A8E0E"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i/>
                <w:color w:val="000000"/>
                <w:sz w:val="22"/>
                <w:szCs w:val="22"/>
              </w:rPr>
            </w:pPr>
            <w:r>
              <w:rPr>
                <w:rFonts w:ascii="Calibri" w:eastAsia="Calibri" w:hAnsi="Calibri" w:cs="Calibri"/>
                <w:i/>
                <w:color w:val="000000"/>
                <w:sz w:val="22"/>
                <w:szCs w:val="22"/>
              </w:rPr>
              <w:t>ECPAT New Zealand was formed in 1993. Its earlier focus on public awareness-raising on SEC issues, law reform and advocacy has expanded to include Internet safety initiatives and research and community education on child protection and sexual exploitation of children. Through legal submissions, media releases, interviews and public debate, ECPAT NZ has ensured that SEC issues are addressed in law reform in the context of prostitution and child pornography.</w:t>
            </w:r>
          </w:p>
          <w:p w14:paraId="2BF87BAA" w14:textId="77777777" w:rsidR="00E91789" w:rsidRDefault="00591EBA">
            <w:pPr>
              <w:widowControl w:val="0"/>
              <w:pBdr>
                <w:top w:val="nil"/>
                <w:left w:val="nil"/>
                <w:bottom w:val="nil"/>
                <w:right w:val="nil"/>
                <w:between w:val="nil"/>
              </w:pBdr>
              <w:spacing w:line="276" w:lineRule="auto"/>
              <w:ind w:right="319"/>
              <w:rPr>
                <w:rFonts w:ascii="Calibri" w:eastAsia="Calibri" w:hAnsi="Calibri" w:cs="Calibri"/>
                <w:i/>
                <w:color w:val="000000"/>
                <w:sz w:val="22"/>
                <w:szCs w:val="22"/>
              </w:rPr>
            </w:pPr>
            <w:r>
              <w:rPr>
                <w:rFonts w:ascii="Calibri" w:eastAsia="Calibri" w:hAnsi="Calibri" w:cs="Calibri"/>
                <w:i/>
                <w:color w:val="000000"/>
                <w:sz w:val="22"/>
                <w:szCs w:val="22"/>
              </w:rPr>
              <w:t>A number of research papers by ECPAT NZ have been published, including papers on the involvement and victimisation of children in commercial sexual activity. ECPAT NZ works within an Auckland network on the prevention of exploitation of children in prostitution, involving practitioners, social services, police, local councils and youth advocates. The network provides opportunities for the exchange of information, collaboration and joint action. </w:t>
            </w:r>
          </w:p>
          <w:p w14:paraId="76ACF4A8" w14:textId="77777777" w:rsidR="00E91789" w:rsidRDefault="00E91789">
            <w:pPr>
              <w:widowControl w:val="0"/>
              <w:pBdr>
                <w:top w:val="nil"/>
                <w:left w:val="nil"/>
                <w:bottom w:val="nil"/>
                <w:right w:val="nil"/>
                <w:between w:val="nil"/>
              </w:pBdr>
              <w:spacing w:line="276" w:lineRule="auto"/>
              <w:ind w:right="459"/>
              <w:jc w:val="both"/>
              <w:rPr>
                <w:rFonts w:ascii="Calibri" w:eastAsia="Calibri" w:hAnsi="Calibri" w:cs="Calibri"/>
                <w:color w:val="000000"/>
                <w:sz w:val="22"/>
                <w:szCs w:val="22"/>
              </w:rPr>
            </w:pPr>
          </w:p>
        </w:tc>
        <w:tc>
          <w:tcPr>
            <w:tcW w:w="4522" w:type="dxa"/>
            <w:tcMar>
              <w:top w:w="0" w:type="dxa"/>
              <w:left w:w="108" w:type="dxa"/>
              <w:bottom w:w="0" w:type="dxa"/>
              <w:right w:w="108" w:type="dxa"/>
            </w:tcMar>
          </w:tcPr>
          <w:p w14:paraId="6432D14E" w14:textId="77777777" w:rsidR="00E91789" w:rsidRDefault="00E91789">
            <w:pPr>
              <w:widowControl w:val="0"/>
              <w:pBdr>
                <w:top w:val="nil"/>
                <w:left w:val="nil"/>
                <w:bottom w:val="nil"/>
                <w:right w:val="nil"/>
                <w:between w:val="nil"/>
              </w:pBdr>
              <w:spacing w:line="276" w:lineRule="auto"/>
              <w:jc w:val="both"/>
              <w:rPr>
                <w:rFonts w:ascii="Calibri" w:eastAsia="Calibri" w:hAnsi="Calibri" w:cs="Calibri"/>
                <w:b/>
                <w:color w:val="000000"/>
                <w:sz w:val="22"/>
                <w:szCs w:val="22"/>
              </w:rPr>
            </w:pPr>
          </w:p>
          <w:p w14:paraId="0C949C58"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b/>
                <w:color w:val="000000"/>
                <w:sz w:val="22"/>
                <w:szCs w:val="22"/>
              </w:rPr>
            </w:pPr>
            <w:r>
              <w:rPr>
                <w:rFonts w:ascii="Calibri" w:eastAsia="Calibri" w:hAnsi="Calibri" w:cs="Calibri"/>
                <w:b/>
                <w:color w:val="000000"/>
                <w:sz w:val="22"/>
                <w:szCs w:val="22"/>
              </w:rPr>
              <w:t>ECPAT International</w:t>
            </w:r>
          </w:p>
          <w:p w14:paraId="3C3E8AE0"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u w:val="single"/>
              </w:rPr>
            </w:pPr>
            <w:r>
              <w:rPr>
                <w:rFonts w:ascii="Calibri" w:eastAsia="Calibri" w:hAnsi="Calibri" w:cs="Calibri"/>
                <w:color w:val="000000"/>
                <w:sz w:val="22"/>
                <w:szCs w:val="22"/>
                <w:u w:val="single"/>
              </w:rPr>
              <w:t>Special consultative status</w:t>
            </w:r>
          </w:p>
          <w:p w14:paraId="466281FA" w14:textId="77777777" w:rsidR="00E91789" w:rsidRDefault="00E91789">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p>
          <w:p w14:paraId="4C211C0D" w14:textId="434F3E30"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Executive Director: </w:t>
            </w:r>
            <w:r w:rsidR="00231C20">
              <w:rPr>
                <w:rFonts w:ascii="Calibri" w:eastAsia="Calibri" w:hAnsi="Calibri" w:cs="Calibri"/>
                <w:color w:val="000000"/>
                <w:sz w:val="22"/>
                <w:szCs w:val="22"/>
              </w:rPr>
              <w:t>Mr. Robbert van den Berg</w:t>
            </w:r>
          </w:p>
          <w:p w14:paraId="2D3DFC76"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Address: 328/1 Phayathai Road, Ratchathewi,</w:t>
            </w:r>
          </w:p>
          <w:p w14:paraId="3E0AF743"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Bangkok 10400, Thailand</w:t>
            </w:r>
          </w:p>
          <w:p w14:paraId="45BC8840"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Phone: </w:t>
            </w:r>
            <w:hyperlink r:id="rId10">
              <w:r>
                <w:rPr>
                  <w:rFonts w:ascii="Calibri" w:eastAsia="Calibri" w:hAnsi="Calibri" w:cs="Calibri"/>
                  <w:color w:val="000000"/>
                  <w:sz w:val="22"/>
                  <w:szCs w:val="22"/>
                </w:rPr>
                <w:t>+66 2 215 3388</w:t>
              </w:r>
            </w:hyperlink>
          </w:p>
          <w:p w14:paraId="6CC3E0F4"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Email: </w:t>
            </w:r>
            <w:r>
              <w:rPr>
                <w:rFonts w:ascii="Calibri" w:eastAsia="Calibri" w:hAnsi="Calibri" w:cs="Calibri"/>
                <w:color w:val="0000FF"/>
                <w:sz w:val="22"/>
                <w:szCs w:val="22"/>
                <w:u w:val="single"/>
              </w:rPr>
              <w:t>info@ecpat.org</w:t>
            </w:r>
          </w:p>
          <w:p w14:paraId="3199EB73"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Website: </w:t>
            </w:r>
            <w:hyperlink r:id="rId11">
              <w:r>
                <w:rPr>
                  <w:rFonts w:ascii="Calibri" w:eastAsia="Calibri" w:hAnsi="Calibri" w:cs="Calibri"/>
                  <w:color w:val="0000FF"/>
                  <w:sz w:val="22"/>
                  <w:szCs w:val="22"/>
                  <w:u w:val="single"/>
                </w:rPr>
                <w:t>www.ecpat.org</w:t>
              </w:r>
            </w:hyperlink>
          </w:p>
          <w:p w14:paraId="78EA6986" w14:textId="77777777" w:rsidR="00E91789" w:rsidRDefault="00E91789">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p>
          <w:p w14:paraId="53DF3636" w14:textId="77777777" w:rsidR="00E91789" w:rsidRDefault="00591EBA">
            <w:pPr>
              <w:widowControl w:val="0"/>
              <w:pBdr>
                <w:top w:val="nil"/>
                <w:left w:val="nil"/>
                <w:bottom w:val="nil"/>
                <w:right w:val="nil"/>
                <w:between w:val="nil"/>
              </w:pBdr>
              <w:spacing w:line="276" w:lineRule="auto"/>
              <w:jc w:val="both"/>
              <w:rPr>
                <w:rFonts w:ascii="Calibri" w:eastAsia="Calibri" w:hAnsi="Calibri" w:cs="Calibri"/>
                <w:color w:val="000000"/>
                <w:sz w:val="22"/>
                <w:szCs w:val="22"/>
              </w:rPr>
            </w:pPr>
            <w:r>
              <w:rPr>
                <w:rFonts w:ascii="Calibri" w:eastAsia="Calibri" w:hAnsi="Calibri" w:cs="Calibri"/>
                <w:i/>
                <w:color w:val="000000"/>
                <w:sz w:val="22"/>
                <w:szCs w:val="22"/>
              </w:rPr>
              <w:t>ECPAT International is a global network of civil society organisations working for the eradication of all forms of sexual exploitation of children. For the past 30 years, ECPAT has acted as the international watchdog, monitoring States’ response to sexual exploitation of children, and advocating for robust international measures to protect children from sexual exploitation.</w:t>
            </w:r>
            <w:r>
              <w:rPr>
                <w:rFonts w:ascii="Calibri" w:eastAsia="Calibri" w:hAnsi="Calibri" w:cs="Calibri"/>
                <w:b/>
                <w:i/>
                <w:color w:val="000000"/>
                <w:sz w:val="22"/>
                <w:szCs w:val="22"/>
              </w:rPr>
              <w:t xml:space="preserve"> </w:t>
            </w:r>
            <w:r>
              <w:rPr>
                <w:rFonts w:ascii="Calibri" w:eastAsia="Calibri" w:hAnsi="Calibri" w:cs="Calibri"/>
                <w:i/>
                <w:color w:val="000000"/>
                <w:sz w:val="22"/>
                <w:szCs w:val="22"/>
              </w:rPr>
              <w:t>ECPAT International currently has 113 network members operating in 98 countries.</w:t>
            </w:r>
          </w:p>
        </w:tc>
      </w:tr>
    </w:tbl>
    <w:p w14:paraId="7BFE546A" w14:textId="77777777" w:rsidR="00E91789" w:rsidRDefault="00591EBA">
      <w:pPr>
        <w:spacing w:line="276" w:lineRule="auto"/>
        <w:rPr>
          <w:rFonts w:ascii="Calibri" w:eastAsia="Calibri" w:hAnsi="Calibri" w:cs="Calibri"/>
          <w:sz w:val="22"/>
          <w:szCs w:val="22"/>
        </w:rPr>
      </w:pPr>
      <w:r>
        <w:br w:type="page"/>
      </w:r>
    </w:p>
    <w:p w14:paraId="66F966DC" w14:textId="77777777" w:rsidR="00E91789" w:rsidRPr="002B07F9" w:rsidRDefault="00591EBA">
      <w:pPr>
        <w:pBdr>
          <w:top w:val="nil"/>
          <w:left w:val="nil"/>
          <w:bottom w:val="nil"/>
          <w:right w:val="nil"/>
          <w:between w:val="nil"/>
        </w:pBdr>
        <w:spacing w:after="200" w:line="276" w:lineRule="auto"/>
        <w:jc w:val="both"/>
        <w:rPr>
          <w:rFonts w:ascii="Calibri" w:eastAsia="Calibri" w:hAnsi="Calibri" w:cs="Calibri"/>
          <w:b/>
          <w:color w:val="000000"/>
          <w:sz w:val="22"/>
          <w:szCs w:val="22"/>
        </w:rPr>
      </w:pPr>
      <w:r w:rsidRPr="002B07F9">
        <w:rPr>
          <w:rFonts w:ascii="Calibri" w:eastAsia="Calibri" w:hAnsi="Calibri" w:cs="Calibri"/>
          <w:b/>
          <w:color w:val="000000"/>
          <w:sz w:val="22"/>
          <w:szCs w:val="22"/>
        </w:rPr>
        <w:lastRenderedPageBreak/>
        <w:t>Table of content</w:t>
      </w:r>
    </w:p>
    <w:sdt>
      <w:sdtPr>
        <w:rPr>
          <w:rFonts w:ascii="Calibri" w:hAnsi="Calibri" w:cs="Calibri"/>
          <w:sz w:val="22"/>
          <w:szCs w:val="22"/>
        </w:rPr>
        <w:id w:val="-810936622"/>
        <w:docPartObj>
          <w:docPartGallery w:val="Table of Contents"/>
          <w:docPartUnique/>
        </w:docPartObj>
      </w:sdtPr>
      <w:sdtEndPr>
        <w:rPr>
          <w:rFonts w:ascii="Times New Roman" w:hAnsi="Times New Roman" w:cs="Times New Roman"/>
          <w:sz w:val="24"/>
          <w:szCs w:val="24"/>
        </w:rPr>
      </w:sdtEndPr>
      <w:sdtContent>
        <w:p w14:paraId="11A628CE" w14:textId="0960870D" w:rsidR="002B07F9" w:rsidRPr="002B07F9" w:rsidRDefault="00591EBA">
          <w:pPr>
            <w:pStyle w:val="TOC1"/>
            <w:tabs>
              <w:tab w:val="right" w:pos="9350"/>
            </w:tabs>
            <w:rPr>
              <w:rFonts w:ascii="Calibri" w:hAnsi="Calibri" w:cs="Calibri"/>
              <w:noProof/>
              <w:sz w:val="22"/>
              <w:szCs w:val="22"/>
            </w:rPr>
          </w:pPr>
          <w:r w:rsidRPr="002B07F9">
            <w:rPr>
              <w:rFonts w:ascii="Calibri" w:hAnsi="Calibri" w:cs="Calibri"/>
              <w:sz w:val="22"/>
              <w:szCs w:val="22"/>
            </w:rPr>
            <w:fldChar w:fldCharType="begin"/>
          </w:r>
          <w:r w:rsidRPr="002B07F9">
            <w:rPr>
              <w:rFonts w:ascii="Calibri" w:hAnsi="Calibri" w:cs="Calibri"/>
              <w:sz w:val="22"/>
              <w:szCs w:val="22"/>
            </w:rPr>
            <w:instrText xml:space="preserve"> TOC \h \u \z </w:instrText>
          </w:r>
          <w:r w:rsidRPr="002B07F9">
            <w:rPr>
              <w:rFonts w:ascii="Calibri" w:hAnsi="Calibri" w:cs="Calibri"/>
              <w:sz w:val="22"/>
              <w:szCs w:val="22"/>
            </w:rPr>
            <w:fldChar w:fldCharType="separate"/>
          </w:r>
          <w:hyperlink w:anchor="_Toc33991030" w:history="1">
            <w:r w:rsidR="002B07F9" w:rsidRPr="002B07F9">
              <w:rPr>
                <w:rStyle w:val="Hyperlink"/>
                <w:rFonts w:ascii="Calibri" w:hAnsi="Calibri" w:cs="Calibri"/>
                <w:noProof/>
                <w:sz w:val="22"/>
                <w:szCs w:val="22"/>
              </w:rPr>
              <w:t>Context of this thematic report</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_Toc33991030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4</w:t>
            </w:r>
            <w:r w:rsidR="002B07F9" w:rsidRPr="002B07F9">
              <w:rPr>
                <w:rFonts w:ascii="Calibri" w:hAnsi="Calibri" w:cs="Calibri"/>
                <w:noProof/>
                <w:webHidden/>
                <w:sz w:val="22"/>
                <w:szCs w:val="22"/>
              </w:rPr>
              <w:fldChar w:fldCharType="end"/>
            </w:r>
          </w:hyperlink>
        </w:p>
        <w:p w14:paraId="2E781179" w14:textId="76BBF4F8" w:rsidR="002B07F9" w:rsidRPr="002B07F9" w:rsidRDefault="00527D65">
          <w:pPr>
            <w:pStyle w:val="TOC1"/>
            <w:tabs>
              <w:tab w:val="right" w:pos="9350"/>
            </w:tabs>
            <w:rPr>
              <w:rFonts w:ascii="Calibri" w:hAnsi="Calibri" w:cs="Calibri"/>
              <w:noProof/>
              <w:sz w:val="22"/>
              <w:szCs w:val="22"/>
            </w:rPr>
          </w:pPr>
          <w:hyperlink w:anchor="_Toc33991031" w:history="1">
            <w:r w:rsidR="002B07F9" w:rsidRPr="002B07F9">
              <w:rPr>
                <w:rStyle w:val="Hyperlink"/>
                <w:rFonts w:ascii="Calibri" w:hAnsi="Calibri" w:cs="Calibri"/>
                <w:noProof/>
                <w:sz w:val="22"/>
                <w:szCs w:val="22"/>
              </w:rPr>
              <w:t>Current status and developments of sexual exploitation of children in New Zealand</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_Toc33991031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4</w:t>
            </w:r>
            <w:r w:rsidR="002B07F9" w:rsidRPr="002B07F9">
              <w:rPr>
                <w:rFonts w:ascii="Calibri" w:hAnsi="Calibri" w:cs="Calibri"/>
                <w:noProof/>
                <w:webHidden/>
                <w:sz w:val="22"/>
                <w:szCs w:val="22"/>
              </w:rPr>
              <w:fldChar w:fldCharType="end"/>
            </w:r>
          </w:hyperlink>
        </w:p>
        <w:p w14:paraId="4F430FFF" w14:textId="7840FFF9" w:rsidR="002B07F9" w:rsidRPr="002B07F9" w:rsidRDefault="00527D65">
          <w:pPr>
            <w:pStyle w:val="TOC1"/>
            <w:tabs>
              <w:tab w:val="right" w:pos="9350"/>
            </w:tabs>
            <w:rPr>
              <w:rFonts w:ascii="Calibri" w:hAnsi="Calibri" w:cs="Calibri"/>
              <w:noProof/>
              <w:sz w:val="22"/>
              <w:szCs w:val="22"/>
            </w:rPr>
          </w:pPr>
          <w:hyperlink w:anchor="_Toc33991032" w:history="1">
            <w:r w:rsidR="002B07F9" w:rsidRPr="002B07F9">
              <w:rPr>
                <w:rStyle w:val="Hyperlink"/>
                <w:rFonts w:ascii="Calibri" w:hAnsi="Calibri" w:cs="Calibri"/>
                <w:noProof/>
                <w:sz w:val="22"/>
                <w:szCs w:val="22"/>
              </w:rPr>
              <w:t>General measures of implementation, coordination and evaluation</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_Toc33991032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5</w:t>
            </w:r>
            <w:r w:rsidR="002B07F9" w:rsidRPr="002B07F9">
              <w:rPr>
                <w:rFonts w:ascii="Calibri" w:hAnsi="Calibri" w:cs="Calibri"/>
                <w:noProof/>
                <w:webHidden/>
                <w:sz w:val="22"/>
                <w:szCs w:val="22"/>
              </w:rPr>
              <w:fldChar w:fldCharType="end"/>
            </w:r>
          </w:hyperlink>
        </w:p>
        <w:p w14:paraId="5AC97696" w14:textId="1AF79EF9" w:rsidR="002B07F9" w:rsidRPr="002B07F9" w:rsidRDefault="00527D65">
          <w:pPr>
            <w:pStyle w:val="TOC1"/>
            <w:tabs>
              <w:tab w:val="right" w:pos="9350"/>
            </w:tabs>
            <w:rPr>
              <w:rFonts w:ascii="Calibri" w:hAnsi="Calibri" w:cs="Calibri"/>
              <w:noProof/>
              <w:sz w:val="22"/>
              <w:szCs w:val="22"/>
            </w:rPr>
          </w:pPr>
          <w:hyperlink w:anchor="_Toc33991033" w:history="1">
            <w:r w:rsidR="002B07F9" w:rsidRPr="002B07F9">
              <w:rPr>
                <w:rStyle w:val="Hyperlink"/>
                <w:rFonts w:ascii="Calibri" w:hAnsi="Calibri" w:cs="Calibri"/>
                <w:noProof/>
                <w:sz w:val="22"/>
                <w:szCs w:val="22"/>
              </w:rPr>
              <w:t>Prevention of the sale of children, child prostitution and child pornography</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_Toc33991033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6</w:t>
            </w:r>
            <w:r w:rsidR="002B07F9" w:rsidRPr="002B07F9">
              <w:rPr>
                <w:rFonts w:ascii="Calibri" w:hAnsi="Calibri" w:cs="Calibri"/>
                <w:noProof/>
                <w:webHidden/>
                <w:sz w:val="22"/>
                <w:szCs w:val="22"/>
              </w:rPr>
              <w:fldChar w:fldCharType="end"/>
            </w:r>
          </w:hyperlink>
        </w:p>
        <w:p w14:paraId="7DD7473C" w14:textId="46774C27" w:rsidR="002B07F9" w:rsidRPr="002B07F9" w:rsidRDefault="00527D65">
          <w:pPr>
            <w:pStyle w:val="TOC1"/>
            <w:tabs>
              <w:tab w:val="right" w:pos="9350"/>
            </w:tabs>
            <w:rPr>
              <w:rFonts w:ascii="Calibri" w:hAnsi="Calibri" w:cs="Calibri"/>
              <w:noProof/>
              <w:sz w:val="22"/>
              <w:szCs w:val="22"/>
            </w:rPr>
          </w:pPr>
          <w:hyperlink w:anchor="_Toc33991034" w:history="1">
            <w:r w:rsidR="002B07F9" w:rsidRPr="002B07F9">
              <w:rPr>
                <w:rStyle w:val="Hyperlink"/>
                <w:rFonts w:ascii="Calibri" w:hAnsi="Calibri" w:cs="Calibri"/>
                <w:noProof/>
                <w:sz w:val="22"/>
                <w:szCs w:val="22"/>
              </w:rPr>
              <w:t>Prohibition of the sale of children, child prostitution and child pornography</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_Toc33991034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6</w:t>
            </w:r>
            <w:r w:rsidR="002B07F9" w:rsidRPr="002B07F9">
              <w:rPr>
                <w:rFonts w:ascii="Calibri" w:hAnsi="Calibri" w:cs="Calibri"/>
                <w:noProof/>
                <w:webHidden/>
                <w:sz w:val="22"/>
                <w:szCs w:val="22"/>
              </w:rPr>
              <w:fldChar w:fldCharType="end"/>
            </w:r>
          </w:hyperlink>
        </w:p>
        <w:p w14:paraId="46D4B478" w14:textId="5135BDF8" w:rsidR="002B07F9" w:rsidRPr="002B07F9" w:rsidRDefault="00527D65">
          <w:pPr>
            <w:pStyle w:val="TOC1"/>
            <w:tabs>
              <w:tab w:val="right" w:pos="9350"/>
            </w:tabs>
            <w:rPr>
              <w:rFonts w:ascii="Calibri" w:hAnsi="Calibri" w:cs="Calibri"/>
              <w:noProof/>
              <w:sz w:val="22"/>
              <w:szCs w:val="22"/>
            </w:rPr>
          </w:pPr>
          <w:hyperlink w:anchor="_Toc33991035" w:history="1">
            <w:r w:rsidR="002B07F9" w:rsidRPr="002B07F9">
              <w:rPr>
                <w:rStyle w:val="Hyperlink"/>
                <w:rFonts w:ascii="Calibri" w:hAnsi="Calibri" w:cs="Calibri"/>
                <w:noProof/>
                <w:sz w:val="22"/>
                <w:szCs w:val="22"/>
              </w:rPr>
              <w:t>Protection of the rights of child victims</w:t>
            </w:r>
            <w:r w:rsidR="002B07F9" w:rsidRPr="002B07F9">
              <w:rPr>
                <w:rFonts w:ascii="Calibri" w:hAnsi="Calibri" w:cs="Calibri"/>
                <w:noProof/>
                <w:webHidden/>
                <w:sz w:val="22"/>
                <w:szCs w:val="22"/>
              </w:rPr>
              <w:tab/>
            </w:r>
            <w:r w:rsidR="002B07F9" w:rsidRPr="002B07F9">
              <w:rPr>
                <w:rFonts w:ascii="Calibri" w:hAnsi="Calibri" w:cs="Calibri"/>
                <w:noProof/>
                <w:webHidden/>
                <w:sz w:val="22"/>
                <w:szCs w:val="22"/>
              </w:rPr>
              <w:fldChar w:fldCharType="begin"/>
            </w:r>
            <w:r w:rsidR="002B07F9" w:rsidRPr="002B07F9">
              <w:rPr>
                <w:rFonts w:ascii="Calibri" w:hAnsi="Calibri" w:cs="Calibri"/>
                <w:noProof/>
                <w:webHidden/>
                <w:sz w:val="22"/>
                <w:szCs w:val="22"/>
              </w:rPr>
              <w:instrText xml:space="preserve"> PAGEREF _Toc33991035 \h </w:instrText>
            </w:r>
            <w:r w:rsidR="002B07F9" w:rsidRPr="002B07F9">
              <w:rPr>
                <w:rFonts w:ascii="Calibri" w:hAnsi="Calibri" w:cs="Calibri"/>
                <w:noProof/>
                <w:webHidden/>
                <w:sz w:val="22"/>
                <w:szCs w:val="22"/>
              </w:rPr>
            </w:r>
            <w:r w:rsidR="002B07F9" w:rsidRPr="002B07F9">
              <w:rPr>
                <w:rFonts w:ascii="Calibri" w:hAnsi="Calibri" w:cs="Calibri"/>
                <w:noProof/>
                <w:webHidden/>
                <w:sz w:val="22"/>
                <w:szCs w:val="22"/>
              </w:rPr>
              <w:fldChar w:fldCharType="separate"/>
            </w:r>
            <w:r w:rsidR="00231C20">
              <w:rPr>
                <w:rFonts w:ascii="Calibri" w:hAnsi="Calibri" w:cs="Calibri"/>
                <w:noProof/>
                <w:webHidden/>
                <w:sz w:val="22"/>
                <w:szCs w:val="22"/>
              </w:rPr>
              <w:t>8</w:t>
            </w:r>
            <w:r w:rsidR="002B07F9" w:rsidRPr="002B07F9">
              <w:rPr>
                <w:rFonts w:ascii="Calibri" w:hAnsi="Calibri" w:cs="Calibri"/>
                <w:noProof/>
                <w:webHidden/>
                <w:sz w:val="22"/>
                <w:szCs w:val="22"/>
              </w:rPr>
              <w:fldChar w:fldCharType="end"/>
            </w:r>
          </w:hyperlink>
        </w:p>
        <w:p w14:paraId="554BDE56" w14:textId="459F7707" w:rsidR="00E91789" w:rsidRDefault="00591EBA">
          <w:r w:rsidRPr="002B07F9">
            <w:rPr>
              <w:rFonts w:ascii="Calibri" w:hAnsi="Calibri" w:cs="Calibri"/>
              <w:sz w:val="22"/>
              <w:szCs w:val="22"/>
            </w:rPr>
            <w:fldChar w:fldCharType="end"/>
          </w:r>
        </w:p>
      </w:sdtContent>
    </w:sdt>
    <w:p w14:paraId="5A9D6567" w14:textId="77777777" w:rsidR="00E91789" w:rsidRDefault="00591EBA">
      <w:pPr>
        <w:spacing w:line="276" w:lineRule="auto"/>
        <w:rPr>
          <w:rFonts w:ascii="Calibri" w:eastAsia="Calibri" w:hAnsi="Calibri" w:cs="Calibri"/>
          <w:sz w:val="22"/>
          <w:szCs w:val="22"/>
        </w:rPr>
      </w:pPr>
      <w:r>
        <w:br w:type="page"/>
      </w:r>
    </w:p>
    <w:p w14:paraId="634815C1" w14:textId="77777777" w:rsidR="00E91789" w:rsidRDefault="00591EBA">
      <w:pPr>
        <w:pStyle w:val="Heading1"/>
      </w:pPr>
      <w:bookmarkStart w:id="1" w:name="_Toc33991030"/>
      <w:r>
        <w:lastRenderedPageBreak/>
        <w:t>Context of this thematic report</w:t>
      </w:r>
      <w:bookmarkEnd w:id="1"/>
    </w:p>
    <w:p w14:paraId="5F77782F" w14:textId="77777777" w:rsidR="00E91789" w:rsidRDefault="00E91789">
      <w:pPr>
        <w:pBdr>
          <w:top w:val="nil"/>
          <w:left w:val="nil"/>
          <w:bottom w:val="nil"/>
          <w:right w:val="nil"/>
          <w:between w:val="nil"/>
        </w:pBdr>
        <w:spacing w:line="276" w:lineRule="auto"/>
        <w:rPr>
          <w:rFonts w:ascii="Calibri" w:eastAsia="Calibri" w:hAnsi="Calibri" w:cs="Calibri"/>
          <w:b/>
          <w:color w:val="000000"/>
          <w:sz w:val="22"/>
          <w:szCs w:val="22"/>
        </w:rPr>
      </w:pPr>
    </w:p>
    <w:p w14:paraId="054A9292" w14:textId="6551CB63" w:rsidR="00231C20" w:rsidRDefault="00591EBA">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bookmarkStart w:id="2" w:name="_30j0zll" w:colFirst="0" w:colLast="0"/>
      <w:bookmarkEnd w:id="2"/>
      <w:r>
        <w:rPr>
          <w:rFonts w:ascii="Calibri" w:eastAsia="Calibri" w:hAnsi="Calibri" w:cs="Calibri"/>
          <w:color w:val="000000"/>
          <w:sz w:val="22"/>
          <w:szCs w:val="22"/>
        </w:rPr>
        <w:t>In 2011, the Government of New Zealand (GoNZ) ratified the Optional Protocol on the sale of children, child prostitution and child pornography (OPSC) and thus committed explicitly to combat child sexual exploitation (SEC) in New Zealand. In September 2015, through the adoption of the 2030 agenda for Sustainable Development, the GoNZ re-committed explicitly to eliminate all forms of violence against children, including sexual abuse and exploitation.</w:t>
      </w:r>
      <w:r w:rsidR="00231C20">
        <w:rPr>
          <w:rFonts w:ascii="Calibri" w:eastAsia="Calibri" w:hAnsi="Calibri" w:cs="Calibri"/>
          <w:color w:val="000000"/>
          <w:sz w:val="22"/>
          <w:szCs w:val="22"/>
          <w:vertAlign w:val="superscript"/>
        </w:rPr>
        <w:endnoteReference w:id="1"/>
      </w:r>
    </w:p>
    <w:p w14:paraId="18E5A94F" w14:textId="77777777"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bookmarkStart w:id="3" w:name="_1fob9te" w:colFirst="0" w:colLast="0"/>
      <w:bookmarkEnd w:id="3"/>
      <w:r>
        <w:rPr>
          <w:rFonts w:ascii="Calibri" w:eastAsia="Calibri" w:hAnsi="Calibri" w:cs="Calibri"/>
          <w:color w:val="000000"/>
          <w:sz w:val="22"/>
          <w:szCs w:val="22"/>
        </w:rPr>
        <w:t>This thematic report is submitted to the CRC Committee in the context of the Simplified Reporting Procedure (SRP). The purpose of the report is to provide the CRC Committee with background information and suggestions of questions for the List of Issues Prior to the Reporting (LoIPR).</w:t>
      </w:r>
    </w:p>
    <w:p w14:paraId="3D9CED01" w14:textId="5D063542"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The content of this report is based on ECPAT International’s desk research and work experience and knowledge of ECPAT Child ALERT. The scope of this thematic report is limited to SEC and its different manifestations, including exploitation of children in prostitution;</w:t>
      </w:r>
      <w:r>
        <w:rPr>
          <w:rFonts w:ascii="Calibri" w:eastAsia="Calibri" w:hAnsi="Calibri" w:cs="Calibri"/>
          <w:color w:val="000000"/>
          <w:sz w:val="22"/>
          <w:szCs w:val="22"/>
          <w:vertAlign w:val="superscript"/>
        </w:rPr>
        <w:endnoteReference w:id="2"/>
      </w:r>
      <w:r>
        <w:rPr>
          <w:rFonts w:ascii="Calibri" w:eastAsia="Calibri" w:hAnsi="Calibri" w:cs="Calibri"/>
          <w:color w:val="000000"/>
          <w:sz w:val="22"/>
          <w:szCs w:val="22"/>
        </w:rPr>
        <w:t xml:space="preserve"> online child sexual exploitation (OCSE); child sexual exploitation materials or abuse materials (CSEM/CSAM);</w:t>
      </w:r>
      <w:r>
        <w:rPr>
          <w:rFonts w:ascii="Calibri" w:eastAsia="Calibri" w:hAnsi="Calibri" w:cs="Calibri"/>
          <w:color w:val="000000"/>
          <w:sz w:val="22"/>
          <w:szCs w:val="22"/>
          <w:vertAlign w:val="superscript"/>
        </w:rPr>
        <w:endnoteReference w:id="3"/>
      </w:r>
      <w:r>
        <w:rPr>
          <w:rFonts w:ascii="Calibri" w:eastAsia="Calibri" w:hAnsi="Calibri" w:cs="Calibri"/>
          <w:color w:val="000000"/>
          <w:sz w:val="22"/>
          <w:szCs w:val="22"/>
        </w:rPr>
        <w:t xml:space="preserve"> trafficking of children for sexual purposes; sexual exploitation of children in the context of travel and tourism (SECTT)</w:t>
      </w:r>
      <w:r>
        <w:rPr>
          <w:rFonts w:ascii="Calibri" w:eastAsia="Calibri" w:hAnsi="Calibri" w:cs="Calibri"/>
          <w:color w:val="000000"/>
          <w:sz w:val="22"/>
          <w:szCs w:val="22"/>
          <w:vertAlign w:val="superscript"/>
        </w:rPr>
        <w:t xml:space="preserve"> </w:t>
      </w:r>
      <w:r>
        <w:rPr>
          <w:rFonts w:ascii="Calibri" w:eastAsia="Calibri" w:hAnsi="Calibri" w:cs="Calibri"/>
          <w:color w:val="000000"/>
          <w:sz w:val="22"/>
          <w:szCs w:val="22"/>
          <w:vertAlign w:val="superscript"/>
        </w:rPr>
        <w:endnoteReference w:id="4"/>
      </w:r>
      <w:r>
        <w:rPr>
          <w:rFonts w:ascii="Calibri" w:eastAsia="Calibri" w:hAnsi="Calibri" w:cs="Calibri"/>
          <w:color w:val="000000"/>
          <w:sz w:val="22"/>
          <w:szCs w:val="22"/>
        </w:rPr>
        <w:t xml:space="preserve"> and child, early and forced marriage (CEFM).</w:t>
      </w:r>
    </w:p>
    <w:p w14:paraId="483D06C5" w14:textId="77777777" w:rsidR="00231C20" w:rsidRDefault="00231C20">
      <w:pPr>
        <w:pStyle w:val="Heading1"/>
      </w:pPr>
      <w:bookmarkStart w:id="4" w:name="_Toc33991031"/>
      <w:r>
        <w:t>Current status and developments of sexual exploitation of children in New Zealand</w:t>
      </w:r>
      <w:bookmarkEnd w:id="4"/>
    </w:p>
    <w:p w14:paraId="68399160" w14:textId="77777777" w:rsidR="00231C20" w:rsidRDefault="00231C20">
      <w:pPr>
        <w:pBdr>
          <w:top w:val="nil"/>
          <w:left w:val="nil"/>
          <w:bottom w:val="nil"/>
          <w:right w:val="nil"/>
          <w:between w:val="nil"/>
        </w:pBdr>
        <w:spacing w:line="276" w:lineRule="auto"/>
        <w:rPr>
          <w:rFonts w:ascii="Calibri" w:eastAsia="Calibri" w:hAnsi="Calibri" w:cs="Calibri"/>
          <w:b/>
          <w:color w:val="000000"/>
          <w:sz w:val="22"/>
          <w:szCs w:val="22"/>
        </w:rPr>
      </w:pPr>
    </w:p>
    <w:p w14:paraId="059647BD" w14:textId="3E1FF89B" w:rsidR="00231C20" w:rsidRPr="00231C20" w:rsidRDefault="00231C20" w:rsidP="00591EBA">
      <w:pPr>
        <w:numPr>
          <w:ilvl w:val="0"/>
          <w:numId w:val="1"/>
        </w:numPr>
        <w:pBdr>
          <w:top w:val="nil"/>
          <w:left w:val="nil"/>
          <w:bottom w:val="nil"/>
          <w:right w:val="nil"/>
          <w:between w:val="nil"/>
        </w:pBdr>
        <w:spacing w:line="276" w:lineRule="auto"/>
        <w:ind w:left="0" w:hanging="357"/>
        <w:jc w:val="both"/>
        <w:rPr>
          <w:rFonts w:ascii="Calibri" w:eastAsia="Calibri" w:hAnsi="Calibri" w:cs="Calibri"/>
          <w:sz w:val="22"/>
          <w:szCs w:val="22"/>
        </w:rPr>
      </w:pPr>
      <w:r w:rsidRPr="003D6021">
        <w:rPr>
          <w:rFonts w:ascii="Calibri" w:eastAsia="Calibri" w:hAnsi="Calibri" w:cs="Calibri"/>
          <w:color w:val="000000"/>
          <w:sz w:val="22"/>
          <w:szCs w:val="22"/>
        </w:rPr>
        <w:t>In 2018, the country’s population was 4,743 million inhabitants, of which 1,112 were under 18.</w:t>
      </w:r>
      <w:r>
        <w:rPr>
          <w:rFonts w:ascii="Calibri" w:eastAsia="Calibri" w:hAnsi="Calibri" w:cs="Calibri"/>
          <w:color w:val="000000"/>
          <w:sz w:val="22"/>
          <w:szCs w:val="22"/>
          <w:vertAlign w:val="superscript"/>
        </w:rPr>
        <w:endnoteReference w:id="5"/>
      </w:r>
      <w:r w:rsidRPr="003D6021">
        <w:rPr>
          <w:rFonts w:ascii="Calibri" w:eastAsia="Calibri" w:hAnsi="Calibri" w:cs="Calibri"/>
          <w:color w:val="000000"/>
          <w:sz w:val="22"/>
          <w:szCs w:val="22"/>
        </w:rPr>
        <w:t xml:space="preserve"> New Zealand is the world’s 52</w:t>
      </w:r>
      <w:r w:rsidRPr="003D6021">
        <w:rPr>
          <w:rFonts w:ascii="Calibri" w:eastAsia="Calibri" w:hAnsi="Calibri" w:cs="Calibri"/>
          <w:color w:val="000000"/>
          <w:sz w:val="22"/>
          <w:szCs w:val="22"/>
          <w:vertAlign w:val="superscript"/>
        </w:rPr>
        <w:t>th</w:t>
      </w:r>
      <w:r w:rsidRPr="003D6021">
        <w:rPr>
          <w:rFonts w:ascii="Calibri" w:eastAsia="Calibri" w:hAnsi="Calibri" w:cs="Calibri"/>
          <w:color w:val="000000"/>
          <w:sz w:val="22"/>
          <w:szCs w:val="22"/>
        </w:rPr>
        <w:t xml:space="preserve"> largest economy.</w:t>
      </w:r>
      <w:r>
        <w:rPr>
          <w:rFonts w:ascii="Calibri" w:eastAsia="Calibri" w:hAnsi="Calibri" w:cs="Calibri"/>
          <w:color w:val="000000"/>
          <w:sz w:val="22"/>
          <w:szCs w:val="22"/>
          <w:vertAlign w:val="superscript"/>
        </w:rPr>
        <w:endnoteReference w:id="6"/>
      </w:r>
      <w:r w:rsidRPr="003D6021">
        <w:rPr>
          <w:rFonts w:ascii="Calibri" w:eastAsia="Calibri" w:hAnsi="Calibri" w:cs="Calibri"/>
          <w:color w:val="000000"/>
          <w:sz w:val="22"/>
          <w:szCs w:val="22"/>
        </w:rPr>
        <w:t xml:space="preserve"> It ranked 14th out of 189 countries in the latest Human Development Index released in 2019 by the United Nations Development Programme, indicating a very high human development.</w:t>
      </w:r>
      <w:r>
        <w:rPr>
          <w:rFonts w:ascii="Calibri" w:eastAsia="Calibri" w:hAnsi="Calibri" w:cs="Calibri"/>
          <w:color w:val="000000"/>
          <w:sz w:val="22"/>
          <w:szCs w:val="22"/>
          <w:vertAlign w:val="superscript"/>
        </w:rPr>
        <w:endnoteReference w:id="7"/>
      </w:r>
      <w:r w:rsidRPr="003D6021">
        <w:rPr>
          <w:rFonts w:ascii="Calibri" w:eastAsia="Calibri" w:hAnsi="Calibri" w:cs="Calibri"/>
          <w:color w:val="000000"/>
          <w:sz w:val="22"/>
          <w:szCs w:val="22"/>
        </w:rPr>
        <w:t xml:space="preserve"> Unfortunately children are not faring as well as expected. In a report from 2017, UNICEF showed that approximately 12% of children were living in material hardship and 27% (+-290,000) were living beneath the income poverty line.</w:t>
      </w:r>
      <w:r>
        <w:rPr>
          <w:rFonts w:ascii="Calibri" w:eastAsia="Calibri" w:hAnsi="Calibri" w:cs="Calibri"/>
          <w:color w:val="000000"/>
          <w:sz w:val="22"/>
          <w:szCs w:val="22"/>
          <w:vertAlign w:val="superscript"/>
        </w:rPr>
        <w:endnoteReference w:id="8"/>
      </w:r>
      <w:r w:rsidRPr="003D6021">
        <w:rPr>
          <w:rFonts w:ascii="Calibri" w:eastAsia="Calibri" w:hAnsi="Calibri" w:cs="Calibri"/>
          <w:color w:val="000000"/>
          <w:sz w:val="22"/>
          <w:szCs w:val="22"/>
        </w:rPr>
        <w:t xml:space="preserve"> According to HELP, a national helpline for sexual abuse, most cases of sexual abuse (90%) reportedly involve someone the children know.</w:t>
      </w:r>
      <w:r>
        <w:rPr>
          <w:rFonts w:ascii="Calibri" w:eastAsia="Calibri" w:hAnsi="Calibri" w:cs="Calibri"/>
          <w:color w:val="000000"/>
          <w:sz w:val="22"/>
          <w:szCs w:val="22"/>
          <w:vertAlign w:val="superscript"/>
        </w:rPr>
        <w:endnoteReference w:id="9"/>
      </w:r>
      <w:r w:rsidRPr="003D6021">
        <w:rPr>
          <w:rFonts w:ascii="Calibri" w:eastAsia="Calibri" w:hAnsi="Calibri" w:cs="Calibri"/>
          <w:color w:val="000000"/>
          <w:sz w:val="22"/>
          <w:szCs w:val="22"/>
        </w:rPr>
        <w:t xml:space="preserve"> Indigenous children appear to be at a higher risk than the other children.</w:t>
      </w:r>
      <w:r>
        <w:rPr>
          <w:rStyle w:val="EndnoteReference"/>
          <w:rFonts w:ascii="Calibri" w:eastAsia="Calibri" w:hAnsi="Calibri" w:cs="Calibri"/>
          <w:color w:val="000000"/>
          <w:sz w:val="22"/>
          <w:szCs w:val="22"/>
        </w:rPr>
        <w:endnoteReference w:id="10"/>
      </w:r>
      <w:r w:rsidRPr="003D6021">
        <w:rPr>
          <w:rFonts w:ascii="Calibri" w:eastAsia="Calibri" w:hAnsi="Calibri" w:cs="Calibri"/>
          <w:color w:val="000000"/>
          <w:sz w:val="22"/>
          <w:szCs w:val="22"/>
        </w:rPr>
        <w:t xml:space="preserve"> </w:t>
      </w:r>
    </w:p>
    <w:p w14:paraId="6B9119DD" w14:textId="77777777" w:rsidR="00231C20" w:rsidRPr="003D6021" w:rsidRDefault="00231C20" w:rsidP="00231C20">
      <w:pPr>
        <w:pBdr>
          <w:top w:val="nil"/>
          <w:left w:val="nil"/>
          <w:bottom w:val="nil"/>
          <w:right w:val="nil"/>
          <w:between w:val="nil"/>
        </w:pBdr>
        <w:spacing w:line="276" w:lineRule="auto"/>
        <w:jc w:val="both"/>
        <w:rPr>
          <w:rFonts w:ascii="Calibri" w:eastAsia="Calibri" w:hAnsi="Calibri" w:cs="Calibri"/>
          <w:sz w:val="22"/>
          <w:szCs w:val="22"/>
        </w:rPr>
      </w:pPr>
    </w:p>
    <w:p w14:paraId="714AD960" w14:textId="611C169B"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Current estimates on </w:t>
      </w:r>
      <w:r w:rsidRPr="00A40075">
        <w:rPr>
          <w:rFonts w:ascii="Calibri" w:eastAsia="Calibri" w:hAnsi="Calibri" w:cs="Calibri"/>
          <w:b/>
          <w:color w:val="000000"/>
          <w:sz w:val="22"/>
          <w:szCs w:val="22"/>
        </w:rPr>
        <w:t>children exploited in prostitution</w:t>
      </w:r>
      <w:r>
        <w:rPr>
          <w:rFonts w:ascii="Calibri" w:eastAsia="Calibri" w:hAnsi="Calibri" w:cs="Calibri"/>
          <w:color w:val="000000"/>
          <w:sz w:val="22"/>
          <w:szCs w:val="22"/>
        </w:rPr>
        <w:t xml:space="preserve"> are complicated to establish as there are no official national statistics on this topic</w:t>
      </w:r>
      <w:r>
        <w:rPr>
          <w:rFonts w:ascii="Calibri" w:eastAsia="Calibri" w:hAnsi="Calibri" w:cs="Calibri"/>
          <w:b/>
          <w:color w:val="000000"/>
          <w:sz w:val="22"/>
          <w:szCs w:val="22"/>
        </w:rPr>
        <w:t xml:space="preserve"> </w:t>
      </w:r>
      <w:r>
        <w:rPr>
          <w:rFonts w:ascii="Calibri" w:eastAsia="Calibri" w:hAnsi="Calibri" w:cs="Calibri"/>
          <w:color w:val="000000"/>
          <w:sz w:val="22"/>
          <w:szCs w:val="22"/>
        </w:rPr>
        <w:t>in New Zealand.</w:t>
      </w:r>
      <w:r>
        <w:rPr>
          <w:rFonts w:ascii="Calibri" w:eastAsia="Calibri" w:hAnsi="Calibri" w:cs="Calibri"/>
          <w:color w:val="000000"/>
          <w:sz w:val="22"/>
          <w:szCs w:val="22"/>
          <w:vertAlign w:val="superscript"/>
        </w:rPr>
        <w:endnoteReference w:id="11"/>
      </w:r>
      <w:r>
        <w:rPr>
          <w:rFonts w:ascii="Calibri" w:eastAsia="Calibri" w:hAnsi="Calibri" w:cs="Calibri"/>
          <w:color w:val="000000"/>
          <w:sz w:val="22"/>
          <w:szCs w:val="22"/>
        </w:rPr>
        <w:t xml:space="preserve"> According to the 2019 U.S. Department of State’s Trafficking in Persons’ (TIP) report, young children and teenagers are recruited into prostitution by gang members, boyfriends, family members, or others.</w:t>
      </w:r>
      <w:r>
        <w:rPr>
          <w:rFonts w:ascii="Calibri" w:eastAsia="Calibri" w:hAnsi="Calibri" w:cs="Calibri"/>
          <w:color w:val="000000"/>
          <w:sz w:val="22"/>
          <w:szCs w:val="22"/>
          <w:vertAlign w:val="superscript"/>
        </w:rPr>
        <w:endnoteReference w:id="12"/>
      </w:r>
      <w:r>
        <w:rPr>
          <w:rFonts w:ascii="Calibri" w:eastAsia="Calibri" w:hAnsi="Calibri" w:cs="Calibri"/>
          <w:color w:val="000000"/>
          <w:sz w:val="22"/>
          <w:szCs w:val="22"/>
        </w:rPr>
        <w:t xml:space="preserve"> Some victims are coerced into prostitution through drug dependencies or threats by family members.</w:t>
      </w:r>
      <w:r>
        <w:rPr>
          <w:rFonts w:ascii="Calibri" w:eastAsia="Calibri" w:hAnsi="Calibri" w:cs="Calibri"/>
          <w:color w:val="000000"/>
          <w:sz w:val="22"/>
          <w:szCs w:val="22"/>
          <w:vertAlign w:val="superscript"/>
        </w:rPr>
        <w:endnoteReference w:id="13"/>
      </w:r>
      <w:r>
        <w:rPr>
          <w:rFonts w:ascii="Calibri" w:eastAsia="Calibri" w:hAnsi="Calibri" w:cs="Calibri"/>
          <w:color w:val="000000"/>
          <w:sz w:val="22"/>
          <w:szCs w:val="22"/>
        </w:rPr>
        <w:t xml:space="preserve"> Moreover, some international students and temporary visa holders are vulnerable to forced labour or prostitution.</w:t>
      </w:r>
      <w:r>
        <w:rPr>
          <w:rFonts w:ascii="Calibri" w:eastAsia="Calibri" w:hAnsi="Calibri" w:cs="Calibri"/>
          <w:color w:val="000000"/>
          <w:sz w:val="22"/>
          <w:szCs w:val="22"/>
          <w:vertAlign w:val="superscript"/>
        </w:rPr>
        <w:endnoteReference w:id="14"/>
      </w:r>
      <w:r>
        <w:rPr>
          <w:rFonts w:ascii="Calibri" w:eastAsia="Calibri" w:hAnsi="Calibri" w:cs="Calibri"/>
          <w:color w:val="000000"/>
          <w:sz w:val="22"/>
          <w:szCs w:val="22"/>
        </w:rPr>
        <w:t xml:space="preserve"> </w:t>
      </w:r>
    </w:p>
    <w:p w14:paraId="5F822F29" w14:textId="77777777" w:rsidR="00231C20" w:rsidRDefault="00231C20">
      <w:pPr>
        <w:pBdr>
          <w:top w:val="nil"/>
          <w:left w:val="nil"/>
          <w:bottom w:val="nil"/>
          <w:right w:val="nil"/>
          <w:between w:val="nil"/>
        </w:pBdr>
        <w:ind w:left="720" w:hanging="720"/>
        <w:rPr>
          <w:rFonts w:ascii="Calibri" w:eastAsia="Calibri" w:hAnsi="Calibri" w:cs="Calibri"/>
          <w:color w:val="000000"/>
          <w:sz w:val="22"/>
          <w:szCs w:val="22"/>
        </w:rPr>
      </w:pPr>
    </w:p>
    <w:p w14:paraId="20581854" w14:textId="59EFBE61"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In June 2019, the Minister of Justice's draft report to the United Nations about torture stated that no cases of </w:t>
      </w:r>
      <w:r>
        <w:rPr>
          <w:rFonts w:ascii="Calibri" w:eastAsia="Calibri" w:hAnsi="Calibri" w:cs="Calibri"/>
          <w:b/>
          <w:color w:val="000000"/>
          <w:sz w:val="22"/>
          <w:szCs w:val="22"/>
        </w:rPr>
        <w:t>trafficking for sexual exploitation</w:t>
      </w:r>
      <w:r>
        <w:rPr>
          <w:rFonts w:ascii="Calibri" w:eastAsia="Calibri" w:hAnsi="Calibri" w:cs="Calibri"/>
          <w:color w:val="000000"/>
          <w:sz w:val="22"/>
          <w:szCs w:val="22"/>
        </w:rPr>
        <w:t xml:space="preserve"> had been confirmed during the past five years.</w:t>
      </w:r>
      <w:r>
        <w:rPr>
          <w:rFonts w:ascii="Calibri" w:eastAsia="Calibri" w:hAnsi="Calibri" w:cs="Calibri"/>
          <w:color w:val="000000"/>
          <w:sz w:val="22"/>
          <w:szCs w:val="22"/>
          <w:vertAlign w:val="superscript"/>
        </w:rPr>
        <w:endnoteReference w:id="15"/>
      </w:r>
      <w:r>
        <w:rPr>
          <w:rFonts w:ascii="Calibri" w:eastAsia="Calibri" w:hAnsi="Calibri" w:cs="Calibri"/>
          <w:color w:val="000000"/>
          <w:sz w:val="22"/>
          <w:szCs w:val="22"/>
        </w:rPr>
        <w:t xml:space="preserve"> Independent research commissioned by the ministry in 2018 reached the same conclusion and police reported that no allegations met the threshold for prosecution.</w:t>
      </w:r>
      <w:r>
        <w:rPr>
          <w:rFonts w:ascii="Calibri" w:eastAsia="Calibri" w:hAnsi="Calibri" w:cs="Calibri"/>
          <w:color w:val="000000"/>
          <w:sz w:val="22"/>
          <w:szCs w:val="22"/>
          <w:vertAlign w:val="superscript"/>
        </w:rPr>
        <w:endnoteReference w:id="16"/>
      </w:r>
      <w:r>
        <w:rPr>
          <w:rFonts w:ascii="Calibri" w:eastAsia="Calibri" w:hAnsi="Calibri" w:cs="Calibri"/>
          <w:color w:val="000000"/>
          <w:sz w:val="22"/>
          <w:szCs w:val="22"/>
        </w:rPr>
        <w:t xml:space="preserve"> This could be partially explained by the fact that police don’t have any internal classification for domestic sex trafficking, which is instead classified as sexual offence.</w:t>
      </w:r>
      <w:r>
        <w:rPr>
          <w:rStyle w:val="EndnoteReference"/>
          <w:rFonts w:ascii="Calibri" w:eastAsia="Calibri" w:hAnsi="Calibri" w:cs="Calibri"/>
          <w:color w:val="000000"/>
          <w:sz w:val="22"/>
          <w:szCs w:val="22"/>
        </w:rPr>
        <w:endnoteReference w:id="17"/>
      </w:r>
      <w:r>
        <w:rPr>
          <w:rFonts w:ascii="Calibri" w:eastAsia="Calibri" w:hAnsi="Calibri" w:cs="Calibri"/>
          <w:color w:val="000000"/>
          <w:sz w:val="22"/>
          <w:szCs w:val="22"/>
        </w:rPr>
        <w:t xml:space="preserve"> According to the 2019 TIP’s report, the GoNZ initiated two prosecutions for sex trafficking and </w:t>
      </w:r>
      <w:r>
        <w:rPr>
          <w:rFonts w:ascii="Calibri" w:eastAsia="Calibri" w:hAnsi="Calibri" w:cs="Calibri"/>
          <w:color w:val="000000"/>
          <w:sz w:val="22"/>
          <w:szCs w:val="22"/>
        </w:rPr>
        <w:lastRenderedPageBreak/>
        <w:t>obtained five convictions in 2018.</w:t>
      </w:r>
      <w:r>
        <w:rPr>
          <w:rFonts w:ascii="Calibri" w:eastAsia="Calibri" w:hAnsi="Calibri" w:cs="Calibri"/>
          <w:color w:val="000000"/>
          <w:sz w:val="22"/>
          <w:szCs w:val="22"/>
          <w:vertAlign w:val="superscript"/>
        </w:rPr>
        <w:endnoteReference w:id="18"/>
      </w:r>
      <w:r>
        <w:rPr>
          <w:rFonts w:ascii="Calibri" w:eastAsia="Calibri" w:hAnsi="Calibri" w:cs="Calibri"/>
          <w:color w:val="000000"/>
          <w:sz w:val="22"/>
          <w:szCs w:val="22"/>
        </w:rPr>
        <w:t xml:space="preserve"> Courts convicted five individuals in three child sex trafficking cases, with sentences ranging from nine months’ home detention to 10 years and three months’ imprisonment.</w:t>
      </w:r>
      <w:r>
        <w:rPr>
          <w:rFonts w:ascii="Calibri" w:eastAsia="Calibri" w:hAnsi="Calibri" w:cs="Calibri"/>
          <w:color w:val="000000"/>
          <w:sz w:val="22"/>
          <w:szCs w:val="22"/>
          <w:vertAlign w:val="superscript"/>
        </w:rPr>
        <w:endnoteReference w:id="19"/>
      </w:r>
      <w:r>
        <w:rPr>
          <w:rFonts w:ascii="Calibri" w:eastAsia="Calibri" w:hAnsi="Calibri" w:cs="Calibri"/>
          <w:color w:val="000000"/>
          <w:sz w:val="22"/>
          <w:szCs w:val="22"/>
        </w:rPr>
        <w:t xml:space="preserve"> However, offenders were convicted under lesser offences such as sexual assault or offences include in the Prostitution Reform Act.</w:t>
      </w:r>
      <w:r>
        <w:rPr>
          <w:rStyle w:val="EndnoteReference"/>
          <w:rFonts w:ascii="Calibri" w:eastAsia="Calibri" w:hAnsi="Calibri" w:cs="Calibri"/>
          <w:color w:val="000000"/>
          <w:sz w:val="22"/>
          <w:szCs w:val="22"/>
        </w:rPr>
        <w:endnoteReference w:id="20"/>
      </w:r>
      <w:r>
        <w:rPr>
          <w:rFonts w:ascii="Calibri" w:eastAsia="Calibri" w:hAnsi="Calibri" w:cs="Calibri"/>
          <w:color w:val="000000"/>
          <w:sz w:val="22"/>
          <w:szCs w:val="22"/>
        </w:rPr>
        <w:t xml:space="preserve"> </w:t>
      </w:r>
    </w:p>
    <w:p w14:paraId="6EAA1F96" w14:textId="77777777" w:rsidR="00231C20" w:rsidRDefault="00231C20">
      <w:pPr>
        <w:spacing w:line="276" w:lineRule="auto"/>
        <w:rPr>
          <w:rFonts w:ascii="Calibri" w:eastAsia="Calibri" w:hAnsi="Calibri" w:cs="Calibri"/>
          <w:sz w:val="22"/>
          <w:szCs w:val="22"/>
        </w:rPr>
      </w:pPr>
    </w:p>
    <w:p w14:paraId="0F8AABDD" w14:textId="7D98D77D"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Around 3.90 million overseas visitors came to New Zealand in 2019, which represents a 2.5% increase compared to 2018.</w:t>
      </w:r>
      <w:r>
        <w:rPr>
          <w:rFonts w:ascii="Calibri" w:eastAsia="Calibri" w:hAnsi="Calibri" w:cs="Calibri"/>
          <w:color w:val="000000"/>
          <w:sz w:val="22"/>
          <w:szCs w:val="22"/>
          <w:vertAlign w:val="superscript"/>
        </w:rPr>
        <w:endnoteReference w:id="21"/>
      </w:r>
      <w:r>
        <w:rPr>
          <w:rFonts w:ascii="Calibri" w:eastAsia="Calibri" w:hAnsi="Calibri" w:cs="Calibri"/>
          <w:color w:val="000000"/>
          <w:sz w:val="22"/>
          <w:szCs w:val="22"/>
        </w:rPr>
        <w:t xml:space="preserve"> Even though there is no updated data that would allow to assess the scope of </w:t>
      </w:r>
      <w:r>
        <w:rPr>
          <w:rFonts w:ascii="Calibri" w:eastAsia="Calibri" w:hAnsi="Calibri" w:cs="Calibri"/>
          <w:b/>
          <w:color w:val="000000"/>
          <w:sz w:val="22"/>
          <w:szCs w:val="22"/>
        </w:rPr>
        <w:t>SECTT</w:t>
      </w:r>
      <w:r>
        <w:rPr>
          <w:rFonts w:ascii="Calibri" w:eastAsia="Calibri" w:hAnsi="Calibri" w:cs="Calibri"/>
          <w:color w:val="000000"/>
          <w:sz w:val="22"/>
          <w:szCs w:val="22"/>
        </w:rPr>
        <w:t xml:space="preserve"> in New Zealand, it is highly likely that children are being sexually exploited in the travel and tourism industry.</w:t>
      </w:r>
      <w:r>
        <w:rPr>
          <w:rFonts w:ascii="Calibri" w:eastAsia="Calibri" w:hAnsi="Calibri" w:cs="Calibri"/>
          <w:color w:val="000000"/>
          <w:sz w:val="22"/>
          <w:szCs w:val="22"/>
          <w:vertAlign w:val="superscript"/>
        </w:rPr>
        <w:endnoteReference w:id="22"/>
      </w:r>
      <w:r>
        <w:rPr>
          <w:rFonts w:ascii="Calibri" w:eastAsia="Calibri" w:hAnsi="Calibri" w:cs="Calibri"/>
          <w:color w:val="000000"/>
          <w:sz w:val="22"/>
          <w:szCs w:val="22"/>
        </w:rPr>
        <w:t xml:space="preserve"> Although twelve stakeholders from the international tourism industry with operations in the country signed the </w:t>
      </w:r>
      <w:r w:rsidRPr="00231C20">
        <w:rPr>
          <w:rFonts w:ascii="Calibri" w:eastAsia="Calibri" w:hAnsi="Calibri" w:cs="Calibri"/>
          <w:color w:val="000000"/>
          <w:sz w:val="22"/>
          <w:szCs w:val="22"/>
        </w:rPr>
        <w:t>Code of Conduct for the Protection of Children from Sexual Exploitation in Travel and Tourism</w:t>
      </w:r>
      <w:r>
        <w:rPr>
          <w:rFonts w:ascii="Calibri" w:eastAsia="Calibri" w:hAnsi="Calibri" w:cs="Calibri"/>
          <w:color w:val="000000"/>
          <w:sz w:val="22"/>
          <w:szCs w:val="22"/>
        </w:rPr>
        <w:t>, no local business did.</w:t>
      </w:r>
      <w:r>
        <w:rPr>
          <w:rFonts w:ascii="Calibri" w:eastAsia="Calibri" w:hAnsi="Calibri" w:cs="Calibri"/>
          <w:color w:val="000000"/>
          <w:sz w:val="22"/>
          <w:szCs w:val="22"/>
          <w:vertAlign w:val="superscript"/>
        </w:rPr>
        <w:endnoteReference w:id="23"/>
      </w:r>
    </w:p>
    <w:p w14:paraId="55F00630" w14:textId="77777777" w:rsidR="00231C20" w:rsidRDefault="00231C20">
      <w:pPr>
        <w:pBdr>
          <w:top w:val="nil"/>
          <w:left w:val="nil"/>
          <w:bottom w:val="nil"/>
          <w:right w:val="nil"/>
          <w:between w:val="nil"/>
        </w:pBdr>
        <w:spacing w:line="276" w:lineRule="auto"/>
        <w:ind w:left="720" w:hanging="720"/>
        <w:jc w:val="both"/>
        <w:rPr>
          <w:rFonts w:ascii="Calibri" w:eastAsia="Calibri" w:hAnsi="Calibri" w:cs="Calibri"/>
          <w:color w:val="000000"/>
          <w:sz w:val="22"/>
          <w:szCs w:val="22"/>
        </w:rPr>
      </w:pPr>
    </w:p>
    <w:p w14:paraId="742A5586" w14:textId="0FC5BB1D"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There is no official data regarding cases of </w:t>
      </w:r>
      <w:r>
        <w:rPr>
          <w:rFonts w:ascii="Calibri" w:eastAsia="Calibri" w:hAnsi="Calibri" w:cs="Calibri"/>
          <w:b/>
          <w:color w:val="000000"/>
          <w:sz w:val="22"/>
          <w:szCs w:val="22"/>
        </w:rPr>
        <w:t>OCSE</w:t>
      </w:r>
      <w:r>
        <w:rPr>
          <w:rFonts w:ascii="Calibri" w:eastAsia="Calibri" w:hAnsi="Calibri" w:cs="Calibri"/>
          <w:color w:val="000000"/>
          <w:sz w:val="22"/>
          <w:szCs w:val="22"/>
        </w:rPr>
        <w:t xml:space="preserve"> in New Zealand. According to the Netsafe 2018 report, seven in ten teenagers have experienced at least one type of unwanted digital communication in 2017.</w:t>
      </w:r>
      <w:r>
        <w:rPr>
          <w:rFonts w:ascii="Calibri" w:eastAsia="Calibri" w:hAnsi="Calibri" w:cs="Calibri"/>
          <w:color w:val="000000"/>
          <w:sz w:val="22"/>
          <w:szCs w:val="22"/>
          <w:vertAlign w:val="superscript"/>
        </w:rPr>
        <w:endnoteReference w:id="24"/>
      </w:r>
      <w:r>
        <w:rPr>
          <w:rFonts w:ascii="Calibri" w:eastAsia="Calibri" w:hAnsi="Calibri" w:cs="Calibri"/>
          <w:color w:val="000000"/>
          <w:sz w:val="22"/>
          <w:szCs w:val="22"/>
        </w:rPr>
        <w:t xml:space="preserve"> Evidence also shows that girls are more likely than boys to be the target of online behaviours such as being asked for nude pictures or videos of themselves.</w:t>
      </w:r>
      <w:r>
        <w:rPr>
          <w:rFonts w:ascii="Calibri" w:eastAsia="Calibri" w:hAnsi="Calibri" w:cs="Calibri"/>
          <w:color w:val="000000"/>
          <w:sz w:val="22"/>
          <w:szCs w:val="22"/>
          <w:vertAlign w:val="superscript"/>
        </w:rPr>
        <w:endnoteReference w:id="25"/>
      </w:r>
    </w:p>
    <w:p w14:paraId="171FD9B6" w14:textId="77777777" w:rsidR="00231C20" w:rsidRDefault="00231C20">
      <w:pPr>
        <w:pBdr>
          <w:top w:val="nil"/>
          <w:left w:val="nil"/>
          <w:bottom w:val="nil"/>
          <w:right w:val="nil"/>
          <w:between w:val="nil"/>
        </w:pBdr>
        <w:spacing w:line="276" w:lineRule="auto"/>
        <w:ind w:hanging="720"/>
        <w:jc w:val="both"/>
        <w:rPr>
          <w:rFonts w:ascii="Calibri" w:eastAsia="Calibri" w:hAnsi="Calibri" w:cs="Calibri"/>
          <w:color w:val="000000"/>
          <w:sz w:val="22"/>
          <w:szCs w:val="22"/>
        </w:rPr>
      </w:pPr>
    </w:p>
    <w:p w14:paraId="3BEFE17A" w14:textId="77118B1E"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In 2018, a law that gives children more protection against </w:t>
      </w:r>
      <w:r>
        <w:rPr>
          <w:rFonts w:ascii="Calibri" w:eastAsia="Calibri" w:hAnsi="Calibri" w:cs="Calibri"/>
          <w:b/>
          <w:color w:val="000000"/>
          <w:sz w:val="22"/>
          <w:szCs w:val="22"/>
        </w:rPr>
        <w:t>forced marriage</w:t>
      </w:r>
      <w:r>
        <w:rPr>
          <w:rFonts w:ascii="Calibri" w:eastAsia="Calibri" w:hAnsi="Calibri" w:cs="Calibri"/>
          <w:color w:val="000000"/>
          <w:sz w:val="22"/>
          <w:szCs w:val="22"/>
        </w:rPr>
        <w:t xml:space="preserve"> was unanimously adopted by the Parliament.</w:t>
      </w:r>
      <w:r>
        <w:rPr>
          <w:rFonts w:ascii="Calibri" w:eastAsia="Calibri" w:hAnsi="Calibri" w:cs="Calibri"/>
          <w:color w:val="000000"/>
          <w:sz w:val="22"/>
          <w:szCs w:val="22"/>
          <w:vertAlign w:val="superscript"/>
        </w:rPr>
        <w:endnoteReference w:id="26"/>
      </w:r>
      <w:r>
        <w:rPr>
          <w:rFonts w:ascii="Calibri" w:eastAsia="Calibri" w:hAnsi="Calibri" w:cs="Calibri"/>
          <w:color w:val="000000"/>
          <w:sz w:val="22"/>
          <w:szCs w:val="22"/>
        </w:rPr>
        <w:t xml:space="preserve"> The latest UNICEF’s State of the World’s Children Report does not include data on child marriage in New Zealand. Similarly, there are no government data on this issue. </w:t>
      </w:r>
    </w:p>
    <w:p w14:paraId="7CA9CE4C" w14:textId="77777777" w:rsidR="00231C20" w:rsidRDefault="00231C20">
      <w:pPr>
        <w:pStyle w:val="Heading1"/>
      </w:pPr>
      <w:bookmarkStart w:id="5" w:name="_Toc33991032"/>
      <w:r>
        <w:t>General measures of implementation, coordination and evaluation</w:t>
      </w:r>
      <w:bookmarkEnd w:id="5"/>
      <w:r>
        <w:t xml:space="preserve"> </w:t>
      </w:r>
    </w:p>
    <w:p w14:paraId="195C36AB" w14:textId="77777777" w:rsidR="00231C20" w:rsidRDefault="00231C20">
      <w:pPr>
        <w:spacing w:line="276" w:lineRule="auto"/>
        <w:rPr>
          <w:rFonts w:ascii="Calibri" w:eastAsia="Calibri" w:hAnsi="Calibri" w:cs="Calibri"/>
          <w:sz w:val="22"/>
          <w:szCs w:val="22"/>
        </w:rPr>
      </w:pPr>
    </w:p>
    <w:p w14:paraId="01A9F7BF" w14:textId="22DABBD5"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The Children’s Action Plan is a cross-sector programme established to protect vulnerable children by proactively reducing child abuse and neglect.</w:t>
      </w:r>
      <w:r>
        <w:rPr>
          <w:rFonts w:ascii="Calibri" w:eastAsia="Calibri" w:hAnsi="Calibri" w:cs="Calibri"/>
          <w:color w:val="000000"/>
          <w:sz w:val="22"/>
          <w:szCs w:val="22"/>
          <w:vertAlign w:val="superscript"/>
        </w:rPr>
        <w:endnoteReference w:id="27"/>
      </w:r>
      <w:r>
        <w:rPr>
          <w:rFonts w:ascii="Calibri" w:eastAsia="Calibri" w:hAnsi="Calibri" w:cs="Calibri"/>
          <w:color w:val="000000"/>
          <w:sz w:val="22"/>
          <w:szCs w:val="22"/>
        </w:rPr>
        <w:t xml:space="preserve"> It was adopted based on the White Paper for Vulnerable Children released in 2012, following a public consultation led by </w:t>
      </w:r>
      <w:r w:rsidRPr="00A40075">
        <w:rPr>
          <w:rFonts w:asciiTheme="majorHAnsi" w:eastAsia="Calibri" w:hAnsiTheme="majorHAnsi" w:cstheme="majorHAnsi"/>
          <w:color w:val="000000"/>
          <w:sz w:val="22"/>
          <w:szCs w:val="22"/>
        </w:rPr>
        <w:t>the Government.</w:t>
      </w:r>
      <w:r w:rsidRPr="00A40075">
        <w:rPr>
          <w:rFonts w:asciiTheme="majorHAnsi" w:eastAsia="Calibri" w:hAnsiTheme="majorHAnsi" w:cstheme="majorHAnsi"/>
          <w:color w:val="000000"/>
          <w:sz w:val="22"/>
          <w:szCs w:val="22"/>
          <w:vertAlign w:val="superscript"/>
        </w:rPr>
        <w:endnoteReference w:id="28"/>
      </w:r>
      <w:r w:rsidRPr="00A40075">
        <w:rPr>
          <w:rFonts w:asciiTheme="majorHAnsi" w:eastAsia="Calibri" w:hAnsiTheme="majorHAnsi" w:cstheme="majorHAnsi"/>
          <w:color w:val="000000"/>
          <w:sz w:val="22"/>
          <w:szCs w:val="22"/>
        </w:rPr>
        <w:t xml:space="preserve"> It involves different government agencies, New Zealand Police and </w:t>
      </w:r>
      <w:r w:rsidRPr="00A40075">
        <w:rPr>
          <w:rFonts w:asciiTheme="majorHAnsi" w:eastAsia="Calibri" w:hAnsiTheme="majorHAnsi" w:cstheme="majorHAnsi"/>
          <w:i/>
          <w:color w:val="000000"/>
          <w:sz w:val="22"/>
          <w:szCs w:val="22"/>
        </w:rPr>
        <w:t xml:space="preserve">Te Puni Koriki </w:t>
      </w:r>
      <w:r w:rsidRPr="00A40075">
        <w:rPr>
          <w:rFonts w:asciiTheme="majorHAnsi" w:eastAsia="Calibri" w:hAnsiTheme="majorHAnsi" w:cstheme="majorHAnsi"/>
          <w:color w:val="000000"/>
          <w:sz w:val="22"/>
          <w:szCs w:val="22"/>
        </w:rPr>
        <w:t xml:space="preserve">(Ministry of </w:t>
      </w:r>
      <w:r w:rsidRPr="00A40075">
        <w:rPr>
          <w:rFonts w:asciiTheme="majorHAnsi" w:eastAsia="Arial" w:hAnsiTheme="majorHAnsi" w:cstheme="majorHAnsi"/>
          <w:color w:val="000000"/>
          <w:sz w:val="22"/>
          <w:szCs w:val="22"/>
        </w:rPr>
        <w:t>Māori Development)</w:t>
      </w:r>
      <w:r w:rsidRPr="00A40075">
        <w:rPr>
          <w:rFonts w:asciiTheme="majorHAnsi" w:eastAsia="Calibri" w:hAnsiTheme="majorHAnsi" w:cstheme="majorHAnsi"/>
          <w:color w:val="000000"/>
          <w:sz w:val="22"/>
          <w:szCs w:val="22"/>
        </w:rPr>
        <w:t>. All</w:t>
      </w:r>
      <w:r>
        <w:rPr>
          <w:rFonts w:ascii="Calibri" w:eastAsia="Calibri" w:hAnsi="Calibri" w:cs="Calibri"/>
          <w:color w:val="000000"/>
          <w:sz w:val="22"/>
          <w:szCs w:val="22"/>
        </w:rPr>
        <w:t xml:space="preserve"> of them are jointly responsible for achieving results for vulnerable children and work together to deliver the initiatives outlined in the Children’s Action Plan.</w:t>
      </w:r>
      <w:r>
        <w:rPr>
          <w:rFonts w:ascii="Calibri" w:eastAsia="Calibri" w:hAnsi="Calibri" w:cs="Calibri"/>
          <w:color w:val="000000"/>
          <w:sz w:val="22"/>
          <w:szCs w:val="22"/>
          <w:vertAlign w:val="superscript"/>
        </w:rPr>
        <w:endnoteReference w:id="29"/>
      </w:r>
    </w:p>
    <w:p w14:paraId="709201A6" w14:textId="77777777" w:rsidR="00231C20" w:rsidRDefault="00231C20">
      <w:pPr>
        <w:pBdr>
          <w:top w:val="nil"/>
          <w:left w:val="nil"/>
          <w:bottom w:val="nil"/>
          <w:right w:val="nil"/>
          <w:between w:val="nil"/>
        </w:pBdr>
        <w:spacing w:line="276" w:lineRule="auto"/>
        <w:ind w:hanging="720"/>
        <w:jc w:val="both"/>
        <w:rPr>
          <w:rFonts w:ascii="Calibri" w:eastAsia="Calibri" w:hAnsi="Calibri" w:cs="Calibri"/>
          <w:color w:val="000000"/>
          <w:sz w:val="22"/>
          <w:szCs w:val="22"/>
        </w:rPr>
      </w:pPr>
    </w:p>
    <w:p w14:paraId="2C561E0A" w14:textId="77777777"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The Children’s Action Plan provides the set of actions and initiatives to respond to the issues affecting vulnerable children It is a living document that continues to evolve and to be updated in line with the changes outlined in the White Paper.</w:t>
      </w:r>
      <w:r>
        <w:rPr>
          <w:rFonts w:ascii="Calibri" w:eastAsia="Calibri" w:hAnsi="Calibri" w:cs="Calibri"/>
          <w:color w:val="000000"/>
          <w:sz w:val="22"/>
          <w:szCs w:val="22"/>
          <w:vertAlign w:val="superscript"/>
        </w:rPr>
        <w:endnoteReference w:id="30"/>
      </w:r>
      <w:r>
        <w:rPr>
          <w:rFonts w:ascii="Calibri" w:eastAsia="Calibri" w:hAnsi="Calibri" w:cs="Calibri"/>
          <w:color w:val="000000"/>
          <w:sz w:val="22"/>
          <w:szCs w:val="22"/>
        </w:rPr>
        <w:t xml:space="preserve"> The White Paper contained a range of solutions including legislative changes, information sharing, tougher penalties and monitoring of child abusers, screening those who work with children, local children’s teams and shared responsibilities for all New Zealanders.</w:t>
      </w:r>
      <w:r>
        <w:rPr>
          <w:rFonts w:ascii="Calibri" w:eastAsia="Calibri" w:hAnsi="Calibri" w:cs="Calibri"/>
          <w:color w:val="000000"/>
          <w:sz w:val="22"/>
          <w:szCs w:val="22"/>
          <w:vertAlign w:val="superscript"/>
        </w:rPr>
        <w:endnoteReference w:id="31"/>
      </w:r>
      <w:r>
        <w:rPr>
          <w:rFonts w:ascii="Calibri" w:eastAsia="Calibri" w:hAnsi="Calibri" w:cs="Calibri"/>
          <w:color w:val="000000"/>
          <w:sz w:val="22"/>
          <w:szCs w:val="22"/>
        </w:rPr>
        <w:t xml:space="preserve"> Some of these key initiatives have already been adopted. For example, local multi-disciplinary Children’s Teams have been established across the country to work together and share responsibility to better achieve results for vulnerable children.</w:t>
      </w:r>
      <w:r>
        <w:rPr>
          <w:rFonts w:ascii="Calibri" w:eastAsia="Calibri" w:hAnsi="Calibri" w:cs="Calibri"/>
          <w:color w:val="000000"/>
          <w:sz w:val="22"/>
          <w:szCs w:val="22"/>
          <w:vertAlign w:val="superscript"/>
        </w:rPr>
        <w:endnoteReference w:id="32"/>
      </w:r>
      <w:r>
        <w:rPr>
          <w:rFonts w:ascii="Calibri" w:eastAsia="Calibri" w:hAnsi="Calibri" w:cs="Calibri"/>
          <w:color w:val="000000"/>
          <w:sz w:val="22"/>
          <w:szCs w:val="22"/>
        </w:rPr>
        <w:t xml:space="preserve"> Moreover, Community Responsibility initiatives are being led by the Ministry of Health as part of the ‘Mentoring and Support’ activities in the Children’s Action Plan.</w:t>
      </w:r>
      <w:r>
        <w:rPr>
          <w:rFonts w:ascii="Calibri" w:eastAsia="Calibri" w:hAnsi="Calibri" w:cs="Calibri"/>
          <w:color w:val="000000"/>
          <w:sz w:val="22"/>
          <w:szCs w:val="22"/>
          <w:vertAlign w:val="superscript"/>
        </w:rPr>
        <w:endnoteReference w:id="33"/>
      </w:r>
      <w:r>
        <w:rPr>
          <w:rFonts w:ascii="Calibri" w:eastAsia="Calibri" w:hAnsi="Calibri" w:cs="Calibri"/>
          <w:color w:val="000000"/>
          <w:sz w:val="22"/>
          <w:szCs w:val="22"/>
        </w:rPr>
        <w:t xml:space="preserve"> </w:t>
      </w:r>
    </w:p>
    <w:p w14:paraId="7ECB37D3" w14:textId="77777777" w:rsidR="00231C20" w:rsidRDefault="00231C20">
      <w:pPr>
        <w:spacing w:line="276" w:lineRule="auto"/>
        <w:jc w:val="both"/>
        <w:rPr>
          <w:rFonts w:ascii="Calibri" w:eastAsia="Calibri" w:hAnsi="Calibri" w:cs="Calibri"/>
          <w:sz w:val="22"/>
          <w:szCs w:val="22"/>
        </w:rPr>
      </w:pPr>
    </w:p>
    <w:p w14:paraId="5529A3D2" w14:textId="77777777"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In August 2019, the Child and Youth Wellbeing Strategy was launched. It sets out a shared understanding of what is important for child and youth wellbeing, what government is doing, and how others can help.</w:t>
      </w:r>
      <w:r>
        <w:rPr>
          <w:rFonts w:ascii="Calibri" w:eastAsia="Calibri" w:hAnsi="Calibri" w:cs="Calibri"/>
          <w:color w:val="000000"/>
          <w:sz w:val="22"/>
          <w:szCs w:val="22"/>
          <w:vertAlign w:val="superscript"/>
        </w:rPr>
        <w:endnoteReference w:id="34"/>
      </w:r>
      <w:r>
        <w:rPr>
          <w:rFonts w:ascii="Helvetica Neue" w:eastAsia="Helvetica Neue" w:hAnsi="Helvetica Neue" w:cs="Helvetica Neue"/>
          <w:color w:val="333333"/>
          <w:sz w:val="27"/>
          <w:szCs w:val="27"/>
        </w:rPr>
        <w:t xml:space="preserve"> </w:t>
      </w:r>
      <w:r>
        <w:rPr>
          <w:rFonts w:ascii="Calibri" w:eastAsia="Calibri" w:hAnsi="Calibri" w:cs="Calibri"/>
          <w:color w:val="000000"/>
          <w:sz w:val="22"/>
          <w:szCs w:val="22"/>
        </w:rPr>
        <w:lastRenderedPageBreak/>
        <w:t>The initiative was led by the Department of the Prime Minister and Cabinet, in collaboration with other agencies and with the help of over 6000 children. The Strategy includes a Current Programme of Action, which sets out the policies, programmes and plans to help achieve the vision and outcomes.</w:t>
      </w:r>
      <w:r>
        <w:rPr>
          <w:rFonts w:ascii="Calibri" w:eastAsia="Calibri" w:hAnsi="Calibri" w:cs="Calibri"/>
          <w:color w:val="000000"/>
          <w:sz w:val="22"/>
          <w:szCs w:val="22"/>
          <w:vertAlign w:val="superscript"/>
        </w:rPr>
        <w:endnoteReference w:id="35"/>
      </w:r>
    </w:p>
    <w:p w14:paraId="397E8708" w14:textId="77777777" w:rsidR="00231C20" w:rsidRDefault="00231C20">
      <w:pPr>
        <w:pBdr>
          <w:top w:val="nil"/>
          <w:left w:val="nil"/>
          <w:bottom w:val="nil"/>
          <w:right w:val="nil"/>
          <w:between w:val="nil"/>
        </w:pBdr>
        <w:spacing w:line="276" w:lineRule="auto"/>
        <w:ind w:hanging="720"/>
        <w:jc w:val="both"/>
        <w:rPr>
          <w:rFonts w:ascii="Calibri" w:eastAsia="Calibri" w:hAnsi="Calibri" w:cs="Calibri"/>
          <w:color w:val="000000"/>
          <w:sz w:val="22"/>
          <w:szCs w:val="22"/>
        </w:rPr>
      </w:pPr>
    </w:p>
    <w:p w14:paraId="460F0C48" w14:textId="48F7D2F3"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Regarding trafficking in particular, the government continued a review and update of its 2009 anti-trafficking action plan. The plan was to be completed by the end of 2019,</w:t>
      </w:r>
      <w:r>
        <w:rPr>
          <w:rFonts w:ascii="Calibri" w:eastAsia="Calibri" w:hAnsi="Calibri" w:cs="Calibri"/>
          <w:color w:val="000000"/>
          <w:sz w:val="22"/>
          <w:szCs w:val="22"/>
          <w:vertAlign w:val="superscript"/>
        </w:rPr>
        <w:t xml:space="preserve"> </w:t>
      </w:r>
      <w:r>
        <w:rPr>
          <w:rFonts w:ascii="Calibri" w:eastAsia="Calibri" w:hAnsi="Calibri" w:cs="Calibri"/>
          <w:color w:val="000000"/>
          <w:sz w:val="22"/>
          <w:szCs w:val="22"/>
          <w:vertAlign w:val="superscript"/>
        </w:rPr>
        <w:endnoteReference w:id="36"/>
      </w:r>
      <w:r>
        <w:rPr>
          <w:rFonts w:ascii="Calibri" w:eastAsia="Calibri" w:hAnsi="Calibri" w:cs="Calibri"/>
          <w:color w:val="000000"/>
          <w:sz w:val="22"/>
          <w:szCs w:val="22"/>
        </w:rPr>
        <w:t xml:space="preserve">  but no update could be found online at the time of drafting. </w:t>
      </w:r>
    </w:p>
    <w:p w14:paraId="4A56FFD8" w14:textId="77777777" w:rsidR="00231C20" w:rsidRDefault="00231C20">
      <w:pPr>
        <w:pBdr>
          <w:top w:val="nil"/>
          <w:left w:val="nil"/>
          <w:bottom w:val="nil"/>
          <w:right w:val="nil"/>
          <w:between w:val="nil"/>
        </w:pBdr>
        <w:ind w:left="720" w:hanging="720"/>
        <w:rPr>
          <w:rFonts w:ascii="Calibri" w:eastAsia="Calibri" w:hAnsi="Calibri" w:cs="Calibri"/>
          <w:color w:val="000000"/>
          <w:sz w:val="22"/>
          <w:szCs w:val="22"/>
        </w:rPr>
      </w:pPr>
    </w:p>
    <w:p w14:paraId="06A1EB92" w14:textId="77777777"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Despite these programmes, there appears to be a lack of coordination between different government agencies and social services. For example, in 2001, the Government of New Zealand launched the “Protect Our Innocence” initiative to tackle SEC, including SECTT, but it failed to implement it due to low levels of interagency coordination.</w:t>
      </w:r>
      <w:r>
        <w:rPr>
          <w:rFonts w:ascii="Calibri" w:eastAsia="Calibri" w:hAnsi="Calibri" w:cs="Calibri"/>
          <w:color w:val="000000"/>
          <w:sz w:val="22"/>
          <w:szCs w:val="22"/>
          <w:vertAlign w:val="superscript"/>
        </w:rPr>
        <w:t xml:space="preserve"> </w:t>
      </w:r>
      <w:r>
        <w:rPr>
          <w:rFonts w:ascii="Calibri" w:eastAsia="Calibri" w:hAnsi="Calibri" w:cs="Calibri"/>
          <w:color w:val="000000"/>
          <w:sz w:val="22"/>
          <w:szCs w:val="22"/>
          <w:vertAlign w:val="superscript"/>
        </w:rPr>
        <w:endnoteReference w:id="37"/>
      </w:r>
    </w:p>
    <w:p w14:paraId="0CD6FB50" w14:textId="77777777" w:rsidR="00231C20" w:rsidRDefault="00231C20">
      <w:pPr>
        <w:pStyle w:val="Heading1"/>
      </w:pPr>
      <w:bookmarkStart w:id="6" w:name="_Toc33991033"/>
      <w:r>
        <w:t>Prevention of the sale of children, child prostitution and child pornography</w:t>
      </w:r>
      <w:bookmarkEnd w:id="6"/>
    </w:p>
    <w:p w14:paraId="2E73D32D" w14:textId="77777777" w:rsidR="00231C20" w:rsidRDefault="00231C20">
      <w:pPr>
        <w:spacing w:line="276" w:lineRule="auto"/>
        <w:rPr>
          <w:rFonts w:ascii="Calibri" w:eastAsia="Calibri" w:hAnsi="Calibri" w:cs="Calibri"/>
          <w:sz w:val="22"/>
          <w:szCs w:val="22"/>
        </w:rPr>
      </w:pPr>
    </w:p>
    <w:p w14:paraId="2C793825" w14:textId="642EAA65"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242424"/>
          <w:sz w:val="22"/>
          <w:szCs w:val="22"/>
        </w:rPr>
        <w:t>According to ECPAT Child ALERT, the GoNZ provides several educational and awareness-raising measures and programmes focusing on the identification and the monitoring of vulnerable groups of children, especially victims of domestic violence and sexual abuse, children using the Internet without proper supervision, refugees and asylum seekers.</w:t>
      </w:r>
      <w:r>
        <w:rPr>
          <w:rFonts w:ascii="Calibri" w:eastAsia="Calibri" w:hAnsi="Calibri" w:cs="Calibri"/>
          <w:color w:val="242424"/>
          <w:sz w:val="22"/>
          <w:szCs w:val="22"/>
          <w:vertAlign w:val="superscript"/>
        </w:rPr>
        <w:endnoteReference w:id="38"/>
      </w:r>
      <w:r>
        <w:rPr>
          <w:rFonts w:ascii="Calibri" w:eastAsia="Calibri" w:hAnsi="Calibri" w:cs="Calibri"/>
          <w:color w:val="242424"/>
          <w:sz w:val="22"/>
          <w:szCs w:val="22"/>
        </w:rPr>
        <w:t xml:space="preserve"> </w:t>
      </w:r>
    </w:p>
    <w:p w14:paraId="416BB244" w14:textId="09DCB794"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242424"/>
          <w:sz w:val="22"/>
          <w:szCs w:val="22"/>
        </w:rPr>
      </w:pPr>
      <w:r>
        <w:rPr>
          <w:rFonts w:ascii="Calibri" w:eastAsia="Calibri" w:hAnsi="Calibri" w:cs="Calibri"/>
          <w:color w:val="242424"/>
          <w:sz w:val="22"/>
          <w:szCs w:val="22"/>
        </w:rPr>
        <w:t>Regarding trafficking in particular, the GoNZ maintained efforts to prevent trafficking and implemented an interagency working group on trafficking.</w:t>
      </w:r>
      <w:r>
        <w:rPr>
          <w:rFonts w:ascii="Calibri" w:eastAsia="Calibri" w:hAnsi="Calibri" w:cs="Calibri"/>
          <w:color w:val="242424"/>
          <w:sz w:val="22"/>
          <w:szCs w:val="22"/>
          <w:vertAlign w:val="superscript"/>
        </w:rPr>
        <w:endnoteReference w:id="39"/>
      </w:r>
      <w:r>
        <w:rPr>
          <w:rFonts w:ascii="Calibri" w:eastAsia="Calibri" w:hAnsi="Calibri" w:cs="Calibri"/>
          <w:color w:val="242424"/>
          <w:sz w:val="22"/>
          <w:szCs w:val="22"/>
        </w:rPr>
        <w:t xml:space="preserve"> It continued to host workshops with businesses and NGO to increase awareness and engage the private sector to combat trafficking in supply chains.</w:t>
      </w:r>
      <w:r>
        <w:rPr>
          <w:rFonts w:ascii="Calibri" w:eastAsia="Calibri" w:hAnsi="Calibri" w:cs="Calibri"/>
          <w:color w:val="242424"/>
          <w:sz w:val="22"/>
          <w:szCs w:val="22"/>
          <w:vertAlign w:val="superscript"/>
        </w:rPr>
        <w:endnoteReference w:id="40"/>
      </w:r>
      <w:r>
        <w:rPr>
          <w:rFonts w:ascii="Calibri" w:eastAsia="Calibri" w:hAnsi="Calibri" w:cs="Calibri"/>
          <w:color w:val="242424"/>
          <w:sz w:val="22"/>
          <w:szCs w:val="22"/>
        </w:rPr>
        <w:t xml:space="preserve"> However, the interagency working group seems to be mainly focusing on labour trafficking.</w:t>
      </w:r>
      <w:r>
        <w:rPr>
          <w:rStyle w:val="EndnoteReference"/>
          <w:rFonts w:ascii="Calibri" w:eastAsia="Calibri" w:hAnsi="Calibri" w:cs="Calibri"/>
          <w:color w:val="242424"/>
          <w:sz w:val="22"/>
          <w:szCs w:val="22"/>
        </w:rPr>
        <w:endnoteReference w:id="41"/>
      </w:r>
      <w:r>
        <w:rPr>
          <w:rFonts w:ascii="Calibri" w:eastAsia="Calibri" w:hAnsi="Calibri" w:cs="Calibri"/>
          <w:color w:val="242424"/>
          <w:sz w:val="22"/>
          <w:szCs w:val="22"/>
        </w:rPr>
        <w:t xml:space="preserve"> </w:t>
      </w:r>
    </w:p>
    <w:p w14:paraId="5BA2B7D6" w14:textId="01917AFD"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242424"/>
          <w:sz w:val="22"/>
          <w:szCs w:val="22"/>
        </w:rPr>
      </w:pPr>
      <w:r>
        <w:rPr>
          <w:rFonts w:ascii="Calibri" w:eastAsia="Calibri" w:hAnsi="Calibri" w:cs="Calibri"/>
          <w:color w:val="242424"/>
          <w:sz w:val="22"/>
          <w:szCs w:val="22"/>
        </w:rPr>
        <w:t>The New Zealand Police also provides prevention activities targeting sexual abuse generally. In December 2019, the New Zealand Police published a Guide to Crime Prevention Booklet, with a specific section focused on children, as well as on online and identity safety.</w:t>
      </w:r>
      <w:r>
        <w:rPr>
          <w:rFonts w:ascii="Calibri" w:eastAsia="Calibri" w:hAnsi="Calibri" w:cs="Calibri"/>
          <w:color w:val="242424"/>
          <w:sz w:val="22"/>
          <w:szCs w:val="22"/>
          <w:vertAlign w:val="superscript"/>
        </w:rPr>
        <w:endnoteReference w:id="42"/>
      </w:r>
    </w:p>
    <w:p w14:paraId="0C73847B" w14:textId="77777777" w:rsidR="00231C20" w:rsidRDefault="00231C20">
      <w:pPr>
        <w:pBdr>
          <w:top w:val="nil"/>
          <w:left w:val="nil"/>
          <w:bottom w:val="nil"/>
          <w:right w:val="nil"/>
          <w:between w:val="nil"/>
        </w:pBdr>
        <w:spacing w:line="276" w:lineRule="auto"/>
        <w:ind w:hanging="720"/>
        <w:jc w:val="both"/>
        <w:rPr>
          <w:rFonts w:ascii="Calibri" w:eastAsia="Calibri" w:hAnsi="Calibri" w:cs="Calibri"/>
          <w:color w:val="242424"/>
          <w:sz w:val="22"/>
          <w:szCs w:val="22"/>
        </w:rPr>
      </w:pPr>
    </w:p>
    <w:p w14:paraId="46AE2033" w14:textId="0965A9D4"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242424"/>
          <w:sz w:val="22"/>
          <w:szCs w:val="22"/>
        </w:rPr>
      </w:pPr>
      <w:r>
        <w:rPr>
          <w:rFonts w:ascii="Calibri" w:eastAsia="Calibri" w:hAnsi="Calibri" w:cs="Calibri"/>
          <w:color w:val="000000"/>
          <w:sz w:val="22"/>
          <w:szCs w:val="22"/>
        </w:rPr>
        <w:t>Apart from government-led initiatives, there are a range of organisations across New Zealand that promote and support sexual violence prevention. Abuse and Rape Crisis Support Manawatu exists to eliminate rape and sexual violence through social change and specialised education and crisis intervention.</w:t>
      </w:r>
      <w:r>
        <w:rPr>
          <w:rFonts w:ascii="Calibri" w:eastAsia="Calibri" w:hAnsi="Calibri" w:cs="Calibri"/>
          <w:color w:val="000000"/>
          <w:sz w:val="22"/>
          <w:szCs w:val="22"/>
          <w:vertAlign w:val="superscript"/>
        </w:rPr>
        <w:endnoteReference w:id="43"/>
      </w:r>
      <w:r>
        <w:rPr>
          <w:rFonts w:ascii="Calibri" w:eastAsia="Calibri" w:hAnsi="Calibri" w:cs="Calibri"/>
          <w:color w:val="000000"/>
          <w:sz w:val="22"/>
          <w:szCs w:val="22"/>
        </w:rPr>
        <w:t xml:space="preserve"> The Kidpower Teenpower Fullpower Trust works nationwide with schools, businesses and community groups to integrate ‘people safety’ skills (skills that prevent sexual and general violence) into everyday interactions.</w:t>
      </w:r>
      <w:r>
        <w:rPr>
          <w:rFonts w:ascii="Calibri" w:eastAsia="Calibri" w:hAnsi="Calibri" w:cs="Calibri"/>
          <w:color w:val="000000"/>
          <w:sz w:val="22"/>
          <w:szCs w:val="22"/>
          <w:vertAlign w:val="superscript"/>
        </w:rPr>
        <w:endnoteReference w:id="44"/>
      </w:r>
      <w:r>
        <w:rPr>
          <w:rFonts w:ascii="Georgia" w:eastAsia="Georgia" w:hAnsi="Georgia" w:cs="Georgia"/>
          <w:color w:val="000000"/>
          <w:sz w:val="32"/>
          <w:szCs w:val="32"/>
        </w:rPr>
        <w:t xml:space="preserve"> </w:t>
      </w:r>
      <w:r>
        <w:rPr>
          <w:rFonts w:ascii="Calibri" w:eastAsia="Calibri" w:hAnsi="Calibri" w:cs="Calibri"/>
          <w:color w:val="000000"/>
          <w:sz w:val="22"/>
          <w:szCs w:val="22"/>
        </w:rPr>
        <w:t>Mates &amp; Dates is designed to help prevent sexual and dating violence by teaching young people relationship skills and behaviours to carry with them throughout their lives.</w:t>
      </w:r>
      <w:r>
        <w:rPr>
          <w:rFonts w:ascii="Calibri" w:eastAsia="Calibri" w:hAnsi="Calibri" w:cs="Calibri"/>
          <w:color w:val="000000"/>
          <w:sz w:val="22"/>
          <w:szCs w:val="22"/>
          <w:vertAlign w:val="superscript"/>
        </w:rPr>
        <w:endnoteReference w:id="45"/>
      </w:r>
      <w:r>
        <w:rPr>
          <w:rFonts w:ascii="Calibri" w:eastAsia="Calibri" w:hAnsi="Calibri" w:cs="Calibri"/>
          <w:color w:val="000000"/>
          <w:sz w:val="22"/>
          <w:szCs w:val="22"/>
        </w:rPr>
        <w:t xml:space="preserve"> Rape Prevention Education (RPE) works to prevent sexual violence through education and health, and promoting prevention activities.</w:t>
      </w:r>
      <w:r>
        <w:rPr>
          <w:rFonts w:ascii="Calibri" w:eastAsia="Calibri" w:hAnsi="Calibri" w:cs="Calibri"/>
          <w:color w:val="000000"/>
          <w:sz w:val="22"/>
          <w:szCs w:val="22"/>
          <w:vertAlign w:val="superscript"/>
        </w:rPr>
        <w:endnoteReference w:id="46"/>
      </w:r>
      <w:r>
        <w:rPr>
          <w:rFonts w:ascii="Calibri" w:eastAsia="Calibri" w:hAnsi="Calibri" w:cs="Calibri"/>
          <w:color w:val="242424"/>
          <w:sz w:val="22"/>
          <w:szCs w:val="22"/>
        </w:rPr>
        <w:t xml:space="preserve"> </w:t>
      </w:r>
      <w:r>
        <w:rPr>
          <w:rFonts w:ascii="Calibri" w:eastAsia="Calibri" w:hAnsi="Calibri" w:cs="Calibri"/>
          <w:color w:val="000000"/>
          <w:sz w:val="22"/>
          <w:szCs w:val="22"/>
        </w:rPr>
        <w:t>The Sexual Abuse Prevention Network works with schools, businesses and community groups like the Wellington Rape Crisis to educate and create open dialogues about sexual violence and to teach strategies and skills to prevent it.</w:t>
      </w:r>
      <w:r>
        <w:rPr>
          <w:rFonts w:ascii="Calibri" w:eastAsia="Calibri" w:hAnsi="Calibri" w:cs="Calibri"/>
          <w:color w:val="000000"/>
          <w:sz w:val="22"/>
          <w:szCs w:val="22"/>
          <w:vertAlign w:val="superscript"/>
        </w:rPr>
        <w:endnoteReference w:id="47"/>
      </w:r>
    </w:p>
    <w:p w14:paraId="2116233D" w14:textId="77777777" w:rsidR="00231C20" w:rsidRDefault="00231C20">
      <w:pPr>
        <w:pStyle w:val="Heading1"/>
      </w:pPr>
      <w:bookmarkStart w:id="7" w:name="_Toc33991034"/>
      <w:r>
        <w:t>Prohibition of the sale of children, child prostitution and child pornography</w:t>
      </w:r>
      <w:bookmarkEnd w:id="7"/>
    </w:p>
    <w:p w14:paraId="6952A569" w14:textId="77777777" w:rsidR="00231C20" w:rsidRDefault="00231C20">
      <w:pPr>
        <w:spacing w:line="276" w:lineRule="auto"/>
        <w:rPr>
          <w:rFonts w:ascii="Calibri" w:eastAsia="Calibri" w:hAnsi="Calibri" w:cs="Calibri"/>
          <w:sz w:val="22"/>
          <w:szCs w:val="22"/>
        </w:rPr>
      </w:pPr>
    </w:p>
    <w:p w14:paraId="22A0AD93" w14:textId="4527FEBF"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The White Paper for Vulnerable Children 2012 introduced new legislation, the Vulnerable Children Act 2014, to better protect vulnerable children.</w:t>
      </w:r>
      <w:r>
        <w:rPr>
          <w:rFonts w:ascii="Calibri" w:eastAsia="Calibri" w:hAnsi="Calibri" w:cs="Calibri"/>
          <w:color w:val="000000"/>
          <w:sz w:val="22"/>
          <w:szCs w:val="22"/>
          <w:vertAlign w:val="superscript"/>
        </w:rPr>
        <w:endnoteReference w:id="48"/>
      </w:r>
      <w:r>
        <w:rPr>
          <w:rFonts w:ascii="Calibri" w:eastAsia="Calibri" w:hAnsi="Calibri" w:cs="Calibri"/>
          <w:color w:val="000000"/>
          <w:sz w:val="22"/>
          <w:szCs w:val="22"/>
        </w:rPr>
        <w:t xml:space="preserve"> </w:t>
      </w:r>
    </w:p>
    <w:p w14:paraId="092FA09F" w14:textId="77777777" w:rsidR="00231C20" w:rsidRDefault="00231C20">
      <w:pPr>
        <w:pBdr>
          <w:top w:val="nil"/>
          <w:left w:val="nil"/>
          <w:bottom w:val="nil"/>
          <w:right w:val="nil"/>
          <w:between w:val="nil"/>
        </w:pBdr>
        <w:spacing w:line="276" w:lineRule="auto"/>
        <w:ind w:hanging="720"/>
        <w:jc w:val="both"/>
        <w:rPr>
          <w:rFonts w:ascii="Calibri" w:eastAsia="Calibri" w:hAnsi="Calibri" w:cs="Calibri"/>
          <w:color w:val="000000"/>
          <w:sz w:val="22"/>
          <w:szCs w:val="22"/>
        </w:rPr>
      </w:pPr>
    </w:p>
    <w:p w14:paraId="20FE16F3" w14:textId="6123D997"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bookmarkStart w:id="8" w:name="_1t3h5sf" w:colFirst="0" w:colLast="0"/>
      <w:bookmarkEnd w:id="8"/>
      <w:r>
        <w:rPr>
          <w:rFonts w:ascii="Calibri" w:eastAsia="Calibri" w:hAnsi="Calibri" w:cs="Calibri"/>
          <w:color w:val="000000"/>
          <w:sz w:val="22"/>
          <w:szCs w:val="22"/>
        </w:rPr>
        <w:t xml:space="preserve">While noting that </w:t>
      </w:r>
      <w:r w:rsidRPr="002B07F9">
        <w:rPr>
          <w:rFonts w:ascii="Calibri" w:eastAsia="Calibri" w:hAnsi="Calibri" w:cs="Calibri"/>
          <w:color w:val="000000"/>
          <w:sz w:val="22"/>
          <w:szCs w:val="22"/>
        </w:rPr>
        <w:t>the Prostitution Reform</w:t>
      </w:r>
      <w:r>
        <w:rPr>
          <w:rFonts w:ascii="Calibri" w:eastAsia="Calibri" w:hAnsi="Calibri" w:cs="Calibri"/>
          <w:color w:val="000000"/>
          <w:sz w:val="22"/>
          <w:szCs w:val="22"/>
        </w:rPr>
        <w:t xml:space="preserve"> Act (2003) establishes the prohibition to use and assist persons under 18 for prostitution,</w:t>
      </w:r>
      <w:r>
        <w:rPr>
          <w:rFonts w:ascii="Calibri" w:eastAsia="Calibri" w:hAnsi="Calibri" w:cs="Calibri"/>
          <w:color w:val="000000"/>
          <w:sz w:val="22"/>
          <w:szCs w:val="22"/>
          <w:vertAlign w:val="superscript"/>
        </w:rPr>
        <w:endnoteReference w:id="49"/>
      </w:r>
      <w:r>
        <w:rPr>
          <w:rFonts w:ascii="Calibri" w:eastAsia="Calibri" w:hAnsi="Calibri" w:cs="Calibri"/>
          <w:color w:val="000000"/>
          <w:sz w:val="22"/>
          <w:szCs w:val="22"/>
        </w:rPr>
        <w:t xml:space="preserve"> ECPAT Child ALERT is concerned that there is no definition of exploitation of children in prostitution in line with article 2(b) of the OPSC. The Prostitution Reform Act (2003) purports to create a framework for the sex industry with licensed brothels operating under strict health, safety and employment guidelines that “safeguards the human rights of sex workers and protects them from exploitation and prohibits the use of persons of under 18 years of age in prostitution”.</w:t>
      </w:r>
      <w:r>
        <w:rPr>
          <w:rFonts w:ascii="Calibri" w:eastAsia="Calibri" w:hAnsi="Calibri" w:cs="Calibri"/>
          <w:color w:val="000000"/>
          <w:sz w:val="22"/>
          <w:szCs w:val="22"/>
          <w:vertAlign w:val="superscript"/>
        </w:rPr>
        <w:endnoteReference w:id="50"/>
      </w:r>
      <w:r>
        <w:rPr>
          <w:rFonts w:ascii="Calibri" w:eastAsia="Calibri" w:hAnsi="Calibri" w:cs="Calibri"/>
          <w:color w:val="000000"/>
          <w:sz w:val="22"/>
          <w:szCs w:val="22"/>
        </w:rPr>
        <w:t xml:space="preserve"> However, ECPAT Child ALERT </w:t>
      </w:r>
      <w:r w:rsidRPr="002B07F9">
        <w:rPr>
          <w:rFonts w:asciiTheme="majorHAnsi" w:eastAsia="Calibri" w:hAnsiTheme="majorHAnsi" w:cstheme="majorHAnsi"/>
          <w:color w:val="000000"/>
          <w:sz w:val="22"/>
          <w:szCs w:val="22"/>
        </w:rPr>
        <w:t xml:space="preserve">notes that measures to maintain the prohibition </w:t>
      </w:r>
      <w:r w:rsidRPr="002B07F9">
        <w:rPr>
          <w:rFonts w:asciiTheme="majorHAnsi" w:hAnsiTheme="majorHAnsi" w:cstheme="majorHAnsi"/>
          <w:sz w:val="22"/>
          <w:szCs w:val="22"/>
        </w:rPr>
        <w:t>of child participation within the regulated sex work industry are sufficient, but that attempts to identify and protect young people exploited through street prostitution or exploited by partners or families members through covert prostitution are inadequate</w:t>
      </w:r>
      <w:r w:rsidRPr="002B07F9">
        <w:rPr>
          <w:rFonts w:asciiTheme="majorHAnsi" w:eastAsia="Calibri" w:hAnsiTheme="majorHAnsi" w:cstheme="majorHAnsi"/>
          <w:color w:val="000000"/>
          <w:sz w:val="22"/>
          <w:szCs w:val="22"/>
        </w:rPr>
        <w:t>.</w:t>
      </w:r>
      <w:r w:rsidRPr="002B07F9">
        <w:rPr>
          <w:rFonts w:asciiTheme="majorHAnsi" w:eastAsia="Calibri" w:hAnsiTheme="majorHAnsi" w:cstheme="majorHAnsi"/>
          <w:color w:val="000000"/>
          <w:sz w:val="22"/>
          <w:szCs w:val="22"/>
          <w:vertAlign w:val="superscript"/>
        </w:rPr>
        <w:endnoteReference w:id="51"/>
      </w:r>
    </w:p>
    <w:p w14:paraId="6DEB4220" w14:textId="0B74DB8D" w:rsidR="00231C20" w:rsidRDefault="00231C20" w:rsidP="00305168">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The only legislation which may be used to protect children from conduct related to child, sexual abuse material is the Films, Videos, and Publications Classification Act 1993.</w:t>
      </w:r>
      <w:r>
        <w:rPr>
          <w:rFonts w:ascii="Calibri" w:eastAsia="Calibri" w:hAnsi="Calibri" w:cs="Calibri"/>
          <w:color w:val="000000"/>
          <w:sz w:val="22"/>
          <w:szCs w:val="22"/>
          <w:vertAlign w:val="superscript"/>
        </w:rPr>
        <w:endnoteReference w:id="52"/>
      </w:r>
      <w:r>
        <w:rPr>
          <w:rFonts w:ascii="Calibri" w:eastAsia="Calibri" w:hAnsi="Calibri" w:cs="Calibri"/>
          <w:color w:val="000000"/>
          <w:sz w:val="22"/>
          <w:szCs w:val="22"/>
        </w:rPr>
        <w:t xml:space="preserve"> Although the Act does not explicitly mention CSAM, it does include as “objectionable” publications those that promote or support the exploitation of children for sexual purposes. </w:t>
      </w:r>
      <w:r>
        <w:rPr>
          <w:rStyle w:val="EndnoteReference"/>
          <w:rFonts w:ascii="Calibri" w:eastAsia="Calibri" w:hAnsi="Calibri" w:cs="Calibri"/>
          <w:color w:val="000000"/>
          <w:sz w:val="22"/>
          <w:szCs w:val="22"/>
        </w:rPr>
        <w:endnoteReference w:id="53"/>
      </w:r>
      <w:r>
        <w:rPr>
          <w:rFonts w:ascii="Calibri" w:eastAsia="Calibri" w:hAnsi="Calibri" w:cs="Calibri"/>
          <w:color w:val="000000"/>
          <w:sz w:val="22"/>
          <w:szCs w:val="22"/>
        </w:rPr>
        <w:t xml:space="preserve"> However, the Act as well as other pieces of legislation do not criminalise other forms of OCSE, such as online grooming (only the meeting following sexual grooming is penalised by the Crimes Act</w:t>
      </w:r>
      <w:r>
        <w:rPr>
          <w:rStyle w:val="EndnoteReference"/>
          <w:rFonts w:ascii="Calibri" w:eastAsia="Calibri" w:hAnsi="Calibri" w:cs="Calibri"/>
          <w:color w:val="000000"/>
          <w:sz w:val="22"/>
          <w:szCs w:val="22"/>
        </w:rPr>
        <w:endnoteReference w:id="54"/>
      </w:r>
      <w:r>
        <w:rPr>
          <w:rFonts w:ascii="Calibri" w:eastAsia="Calibri" w:hAnsi="Calibri" w:cs="Calibri"/>
          <w:color w:val="000000"/>
          <w:sz w:val="22"/>
          <w:szCs w:val="22"/>
        </w:rPr>
        <w:t>).</w:t>
      </w:r>
    </w:p>
    <w:p w14:paraId="35464773" w14:textId="2678C30E" w:rsidR="00231C20" w:rsidRPr="00B53E7F" w:rsidRDefault="00231C20" w:rsidP="008D68D7">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sidRPr="00B53E7F">
        <w:rPr>
          <w:rFonts w:ascii="Calibri" w:eastAsia="Calibri" w:hAnsi="Calibri" w:cs="Calibri"/>
          <w:color w:val="000000"/>
          <w:sz w:val="22"/>
          <w:szCs w:val="22"/>
        </w:rPr>
        <w:t>Definitions of trafficking and exploitation appear to be ambiguous and outdated, and trafficking is commonly conflated with other phenomena such as sex work, sexual violence, or family violence.</w:t>
      </w:r>
      <w:r w:rsidRPr="00305168">
        <w:rPr>
          <w:rFonts w:ascii="Calibri" w:eastAsia="Calibri" w:hAnsi="Calibri" w:cs="Calibri"/>
          <w:color w:val="000000"/>
          <w:sz w:val="22"/>
          <w:szCs w:val="22"/>
          <w:vertAlign w:val="superscript"/>
        </w:rPr>
        <w:endnoteReference w:id="55"/>
      </w:r>
      <w:r w:rsidRPr="00B53E7F">
        <w:rPr>
          <w:rFonts w:ascii="Calibri" w:eastAsia="Calibri" w:hAnsi="Calibri" w:cs="Calibri"/>
          <w:color w:val="000000"/>
          <w:sz w:val="22"/>
          <w:szCs w:val="22"/>
        </w:rPr>
        <w:t xml:space="preserve"> This has also been reflected by the New Zealand Prostitutes Collective who believe that trafficking, sex work and child sexual abuse appear to be conflated.</w:t>
      </w:r>
      <w:r>
        <w:rPr>
          <w:rFonts w:ascii="Calibri" w:eastAsia="Calibri" w:hAnsi="Calibri" w:cs="Calibri"/>
          <w:color w:val="000000"/>
          <w:sz w:val="22"/>
          <w:szCs w:val="22"/>
          <w:vertAlign w:val="superscript"/>
        </w:rPr>
        <w:endnoteReference w:id="56"/>
      </w:r>
      <w:r w:rsidRPr="00B53E7F">
        <w:rPr>
          <w:rFonts w:ascii="Calibri" w:eastAsia="Calibri" w:hAnsi="Calibri" w:cs="Calibri"/>
          <w:color w:val="000000"/>
          <w:sz w:val="22"/>
          <w:szCs w:val="22"/>
        </w:rPr>
        <w:t xml:space="preserve"> </w:t>
      </w:r>
      <w:r w:rsidRPr="00B53E7F">
        <w:rPr>
          <w:rFonts w:asciiTheme="majorHAnsi" w:eastAsiaTheme="minorEastAsia" w:hAnsiTheme="majorHAnsi" w:cstheme="majorHAnsi"/>
          <w:sz w:val="22"/>
          <w:szCs w:val="22"/>
        </w:rPr>
        <w:t>New Zealand has seen an increase in prosecutions for trafficking-type offences, including the coercion of a daughter into prostitution by a parent or friends assisting a minor into prostitution. These prosecutions, however, omit the term trafficking and have yet to employ anti-trafficking legislation, leading offenders to be prosecuted under lesser charges. As of yet, there have been no sex-related prosecutions under the legislation since its introduction.</w:t>
      </w:r>
      <w:r w:rsidRPr="00B53E7F">
        <w:rPr>
          <w:rFonts w:eastAsiaTheme="minorEastAsia"/>
        </w:rPr>
        <w:t xml:space="preserve"> </w:t>
      </w:r>
      <w:r>
        <w:rPr>
          <w:rStyle w:val="EndnoteReference"/>
          <w:rFonts w:eastAsiaTheme="minorEastAsia"/>
        </w:rPr>
        <w:endnoteReference w:id="57"/>
      </w:r>
    </w:p>
    <w:p w14:paraId="4EC32977" w14:textId="4ADA56F1" w:rsidR="00231C20" w:rsidRPr="00B53E7F" w:rsidRDefault="00231C20" w:rsidP="008D68D7">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sidRPr="00B53E7F">
        <w:rPr>
          <w:rFonts w:ascii="Calibri" w:eastAsia="Calibri" w:hAnsi="Calibri" w:cs="Calibri"/>
          <w:color w:val="000000"/>
          <w:sz w:val="22"/>
          <w:szCs w:val="22"/>
        </w:rPr>
        <w:t xml:space="preserve">Regarding </w:t>
      </w:r>
      <w:r w:rsidRPr="00B53E7F">
        <w:rPr>
          <w:rFonts w:ascii="Calibri" w:eastAsia="Calibri" w:hAnsi="Calibri" w:cs="Calibri"/>
          <w:b/>
          <w:color w:val="000000"/>
          <w:sz w:val="22"/>
          <w:szCs w:val="22"/>
        </w:rPr>
        <w:t>SECTT</w:t>
      </w:r>
      <w:r w:rsidRPr="00B53E7F">
        <w:rPr>
          <w:rFonts w:ascii="Calibri" w:eastAsia="Calibri" w:hAnsi="Calibri" w:cs="Calibri"/>
          <w:color w:val="000000"/>
          <w:sz w:val="22"/>
          <w:szCs w:val="22"/>
        </w:rPr>
        <w:t>, Section 144C of the Crimes Act criminalises “organising or promoting child sex tours”. The arrangements include the purchase or reservation of tickets for travelling outside of New Zealand or of accommodation in a country outside of New Zealand.</w:t>
      </w:r>
      <w:r w:rsidRPr="00B53E7F">
        <w:rPr>
          <w:rFonts w:ascii="Calibri" w:eastAsia="Calibri" w:hAnsi="Calibri" w:cs="Calibri"/>
          <w:color w:val="000000"/>
          <w:sz w:val="22"/>
          <w:szCs w:val="22"/>
          <w:vertAlign w:val="superscript"/>
        </w:rPr>
        <w:t xml:space="preserve"> </w:t>
      </w:r>
      <w:r>
        <w:rPr>
          <w:rFonts w:ascii="Calibri" w:eastAsia="Calibri" w:hAnsi="Calibri" w:cs="Calibri"/>
          <w:color w:val="000000"/>
          <w:sz w:val="22"/>
          <w:szCs w:val="22"/>
          <w:vertAlign w:val="superscript"/>
        </w:rPr>
        <w:endnoteReference w:id="58"/>
      </w:r>
      <w:r w:rsidRPr="00B53E7F">
        <w:rPr>
          <w:rFonts w:ascii="Calibri" w:eastAsia="Calibri" w:hAnsi="Calibri" w:cs="Calibri"/>
          <w:color w:val="000000"/>
          <w:sz w:val="22"/>
          <w:szCs w:val="22"/>
        </w:rPr>
        <w:t xml:space="preserve"> The law in New Zealand covers international sexual exploitation of children but leaves a gap for domestic sexual exploitation.</w:t>
      </w:r>
    </w:p>
    <w:p w14:paraId="0A49FEB3" w14:textId="39CFA4E8" w:rsidR="00231C20" w:rsidRDefault="00231C20">
      <w:pPr>
        <w:numPr>
          <w:ilvl w:val="0"/>
          <w:numId w:val="1"/>
        </w:numPr>
        <w:pBdr>
          <w:top w:val="nil"/>
          <w:left w:val="nil"/>
          <w:bottom w:val="nil"/>
          <w:right w:val="nil"/>
          <w:between w:val="nil"/>
        </w:pBdr>
        <w:spacing w:line="276" w:lineRule="auto"/>
        <w:ind w:left="0" w:hanging="357"/>
        <w:jc w:val="both"/>
        <w:rPr>
          <w:rFonts w:ascii="Calibri" w:eastAsia="Calibri" w:hAnsi="Calibri" w:cs="Calibri"/>
          <w:color w:val="000000"/>
          <w:sz w:val="22"/>
          <w:szCs w:val="22"/>
        </w:rPr>
      </w:pPr>
      <w:r>
        <w:rPr>
          <w:rFonts w:ascii="Calibri" w:eastAsia="Calibri" w:hAnsi="Calibri" w:cs="Calibri"/>
          <w:b/>
          <w:color w:val="000000"/>
          <w:sz w:val="22"/>
          <w:szCs w:val="22"/>
        </w:rPr>
        <w:t>CEFM</w:t>
      </w:r>
      <w:r>
        <w:rPr>
          <w:rFonts w:ascii="Calibri" w:eastAsia="Calibri" w:hAnsi="Calibri" w:cs="Calibri"/>
          <w:color w:val="000000"/>
          <w:sz w:val="22"/>
          <w:szCs w:val="22"/>
        </w:rPr>
        <w:t xml:space="preserve"> is also prohibited. The legal age to marry in New Zealand is 18 years old.</w:t>
      </w:r>
      <w:r>
        <w:rPr>
          <w:rFonts w:ascii="Calibri" w:eastAsia="Calibri" w:hAnsi="Calibri" w:cs="Calibri"/>
          <w:color w:val="000000"/>
          <w:sz w:val="22"/>
          <w:szCs w:val="22"/>
          <w:vertAlign w:val="superscript"/>
        </w:rPr>
        <w:endnoteReference w:id="59"/>
      </w:r>
      <w:r>
        <w:rPr>
          <w:rFonts w:ascii="Calibri" w:eastAsia="Calibri" w:hAnsi="Calibri" w:cs="Calibri"/>
          <w:color w:val="000000"/>
          <w:sz w:val="22"/>
          <w:szCs w:val="22"/>
        </w:rPr>
        <w:t xml:space="preserve"> Since the adoption of the Marriage Amendment Bill in 2018, parental consent is no longer sufficient for children aged 16 or 17 to marry: they now need to convince a Family Court judge that they understand marriage and are not being pressured before they can wed.</w:t>
      </w:r>
      <w:r>
        <w:rPr>
          <w:rFonts w:ascii="Calibri" w:eastAsia="Calibri" w:hAnsi="Calibri" w:cs="Calibri"/>
          <w:color w:val="000000"/>
          <w:sz w:val="22"/>
          <w:szCs w:val="22"/>
          <w:vertAlign w:val="superscript"/>
        </w:rPr>
        <w:endnoteReference w:id="60"/>
      </w:r>
      <w:r>
        <w:rPr>
          <w:rFonts w:ascii="Calibri" w:eastAsia="Calibri" w:hAnsi="Calibri" w:cs="Calibri"/>
          <w:color w:val="000000"/>
          <w:sz w:val="22"/>
          <w:szCs w:val="22"/>
        </w:rPr>
        <w:t xml:space="preserve"> Reportedly since the law came into effect till mid-2019, only six applications have been approved.</w:t>
      </w:r>
      <w:r>
        <w:rPr>
          <w:rFonts w:ascii="Calibri" w:eastAsia="Calibri" w:hAnsi="Calibri" w:cs="Calibri"/>
          <w:color w:val="000000"/>
          <w:sz w:val="22"/>
          <w:szCs w:val="22"/>
          <w:vertAlign w:val="superscript"/>
        </w:rPr>
        <w:endnoteReference w:id="61"/>
      </w:r>
      <w:r>
        <w:rPr>
          <w:rFonts w:ascii="Calibri" w:eastAsia="Calibri" w:hAnsi="Calibri" w:cs="Calibri"/>
          <w:color w:val="000000"/>
          <w:sz w:val="22"/>
          <w:szCs w:val="22"/>
        </w:rPr>
        <w:t xml:space="preserve"> An issue is however the absence of clear provision sanctioning child marriage. Section 208 of the Crimes Act 1961 ('Abduction for purposes of marriage or sexual connection') is the most likely avenue for prosecution in case of forced marriage,</w:t>
      </w:r>
      <w:r>
        <w:rPr>
          <w:rFonts w:ascii="Calibri" w:eastAsia="Calibri" w:hAnsi="Calibri" w:cs="Calibri"/>
          <w:color w:val="000000"/>
          <w:sz w:val="22"/>
          <w:szCs w:val="22"/>
          <w:vertAlign w:val="superscript"/>
        </w:rPr>
        <w:endnoteReference w:id="62"/>
      </w:r>
      <w:r>
        <w:rPr>
          <w:rFonts w:ascii="Calibri" w:eastAsia="Calibri" w:hAnsi="Calibri" w:cs="Calibri"/>
          <w:color w:val="000000"/>
          <w:sz w:val="22"/>
          <w:szCs w:val="22"/>
        </w:rPr>
        <w:t xml:space="preserve"> but this provision is not adequate to sanction all situations of forced marriage and the parents. </w:t>
      </w:r>
    </w:p>
    <w:p w14:paraId="53BCDFE9" w14:textId="77777777" w:rsidR="00231C20" w:rsidRDefault="00231C20">
      <w:pPr>
        <w:spacing w:line="276" w:lineRule="auto"/>
        <w:jc w:val="both"/>
        <w:rPr>
          <w:rFonts w:ascii="Calibri" w:eastAsia="Calibri" w:hAnsi="Calibri" w:cs="Calibri"/>
          <w:sz w:val="22"/>
          <w:szCs w:val="22"/>
        </w:rPr>
      </w:pPr>
    </w:p>
    <w:p w14:paraId="0FE6C10B" w14:textId="461A18C1"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b/>
          <w:color w:val="000000"/>
          <w:sz w:val="22"/>
          <w:szCs w:val="22"/>
        </w:rPr>
        <w:t>Extradition</w:t>
      </w:r>
      <w:r>
        <w:rPr>
          <w:rFonts w:ascii="Calibri" w:eastAsia="Calibri" w:hAnsi="Calibri" w:cs="Calibri"/>
          <w:color w:val="000000"/>
          <w:sz w:val="22"/>
          <w:szCs w:val="22"/>
        </w:rPr>
        <w:t xml:space="preserve"> is regulated by the 1999 Extradition Act. It imposes the double criminality principle which requires the offence to be both an offence under the law of the State requesting extradition and New Zealand’s law.</w:t>
      </w:r>
      <w:r>
        <w:rPr>
          <w:rFonts w:ascii="Calibri" w:eastAsia="Calibri" w:hAnsi="Calibri" w:cs="Calibri"/>
          <w:color w:val="000000"/>
          <w:sz w:val="22"/>
          <w:szCs w:val="22"/>
          <w:vertAlign w:val="superscript"/>
        </w:rPr>
        <w:endnoteReference w:id="63"/>
      </w:r>
      <w:r>
        <w:rPr>
          <w:rFonts w:ascii="Calibri" w:eastAsia="Calibri" w:hAnsi="Calibri" w:cs="Calibri"/>
          <w:color w:val="000000"/>
          <w:sz w:val="22"/>
          <w:szCs w:val="22"/>
        </w:rPr>
        <w:t xml:space="preserve"> This undermines the implementation of the OPSC.</w:t>
      </w:r>
    </w:p>
    <w:p w14:paraId="22887CD8" w14:textId="256376ED"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000000"/>
          <w:sz w:val="22"/>
          <w:szCs w:val="22"/>
        </w:rPr>
        <w:t xml:space="preserve">Regarding </w:t>
      </w:r>
      <w:r>
        <w:rPr>
          <w:rFonts w:ascii="Calibri" w:eastAsia="Calibri" w:hAnsi="Calibri" w:cs="Calibri"/>
          <w:b/>
          <w:color w:val="000000"/>
          <w:sz w:val="22"/>
          <w:szCs w:val="22"/>
        </w:rPr>
        <w:t>extraterritorial jurisdiction</w:t>
      </w:r>
      <w:r>
        <w:rPr>
          <w:rFonts w:ascii="Calibri" w:eastAsia="Calibri" w:hAnsi="Calibri" w:cs="Calibri"/>
          <w:color w:val="000000"/>
          <w:sz w:val="22"/>
          <w:szCs w:val="22"/>
        </w:rPr>
        <w:t>, Sections 6 and 7 of the Crimes Act 1961 limit the application of the Crimes Act and any other criminal offences, unless otherwise stated, to conduct that occurs within New Zealand.</w:t>
      </w:r>
      <w:r>
        <w:rPr>
          <w:rFonts w:ascii="Calibri" w:eastAsia="Calibri" w:hAnsi="Calibri" w:cs="Calibri"/>
          <w:color w:val="000000"/>
          <w:sz w:val="22"/>
          <w:szCs w:val="22"/>
          <w:vertAlign w:val="superscript"/>
        </w:rPr>
        <w:endnoteReference w:id="64"/>
      </w:r>
      <w:r>
        <w:rPr>
          <w:rFonts w:ascii="Calibri" w:eastAsia="Calibri" w:hAnsi="Calibri" w:cs="Calibri"/>
          <w:color w:val="000000"/>
          <w:sz w:val="22"/>
          <w:szCs w:val="22"/>
        </w:rPr>
        <w:t xml:space="preserve"> While there are no provisions on extraterritoriality in the relevant acts, the Crimes Amendment Act of 2005 introduced extraterritorial legislation, with the section 144A entitled “Sexual conduct with children and young people outside New Zealand”.</w:t>
      </w:r>
      <w:r>
        <w:rPr>
          <w:rFonts w:ascii="Calibri" w:eastAsia="Calibri" w:hAnsi="Calibri" w:cs="Calibri"/>
          <w:color w:val="000000"/>
          <w:sz w:val="22"/>
          <w:szCs w:val="22"/>
          <w:vertAlign w:val="superscript"/>
        </w:rPr>
        <w:endnoteReference w:id="65"/>
      </w:r>
      <w:r>
        <w:rPr>
          <w:rFonts w:ascii="Calibri" w:eastAsia="Calibri" w:hAnsi="Calibri" w:cs="Calibri"/>
          <w:color w:val="000000"/>
          <w:sz w:val="22"/>
          <w:szCs w:val="22"/>
        </w:rPr>
        <w:t xml:space="preserve"> The section targets New Zealand citizens or anyone ordinarily resident in New Zealand, who committed an offence specified within the Crimes Act or in Section 23(1) of the Prostitution Reform Act 2003, outside of New Zealand with or on a child.</w:t>
      </w:r>
      <w:r>
        <w:rPr>
          <w:rFonts w:ascii="Calibri" w:eastAsia="Calibri" w:hAnsi="Calibri" w:cs="Calibri"/>
          <w:color w:val="000000"/>
          <w:sz w:val="22"/>
          <w:szCs w:val="22"/>
          <w:vertAlign w:val="superscript"/>
        </w:rPr>
        <w:endnoteReference w:id="66"/>
      </w:r>
      <w:r>
        <w:rPr>
          <w:rFonts w:ascii="Calibri" w:eastAsia="Calibri" w:hAnsi="Calibri" w:cs="Calibri"/>
          <w:color w:val="000000"/>
          <w:sz w:val="22"/>
          <w:szCs w:val="22"/>
        </w:rPr>
        <w:t xml:space="preserve"> The extraterritorial comes in addition to section 144C inserted in 1995, on “organizing or promoting child sex tours”. New Zealand is lacking extraterritorial jurisdiction for cases of OCSE and forced marriages, beyond abduction cases, and does not have jurisdiction for offences perpetrated against a national abroad.</w:t>
      </w:r>
    </w:p>
    <w:p w14:paraId="692A26A2" w14:textId="1D749F19" w:rsidR="00231C20" w:rsidRDefault="00231C20">
      <w:pPr>
        <w:pStyle w:val="Heading1"/>
      </w:pPr>
      <w:bookmarkStart w:id="9" w:name="_Toc33991035"/>
      <w:r>
        <w:t>Protection of the rights of child victims</w:t>
      </w:r>
      <w:bookmarkEnd w:id="9"/>
    </w:p>
    <w:p w14:paraId="1E085687" w14:textId="77777777" w:rsidR="00231C20" w:rsidRPr="00305168" w:rsidRDefault="00231C20" w:rsidP="00305168"/>
    <w:p w14:paraId="67A30F2F" w14:textId="1DA99D79" w:rsidR="00231C20" w:rsidRPr="00916D70" w:rsidRDefault="00231C20" w:rsidP="00916D7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242424"/>
          <w:sz w:val="22"/>
          <w:szCs w:val="22"/>
        </w:rPr>
        <w:t>The New Zealand Accident Compensation Corporation (ACC) funds support, counselling and other treatment, as well as medical care, rehabilitation services and financial entitlements under certain circumstances, for children and young people who may have suffered a mental injury as a result of sexual abuse or assault.</w:t>
      </w:r>
      <w:r>
        <w:rPr>
          <w:rFonts w:ascii="Calibri" w:eastAsia="Calibri" w:hAnsi="Calibri" w:cs="Calibri"/>
          <w:color w:val="242424"/>
          <w:sz w:val="22"/>
          <w:szCs w:val="22"/>
          <w:vertAlign w:val="superscript"/>
        </w:rPr>
        <w:endnoteReference w:id="67"/>
      </w:r>
      <w:r>
        <w:rPr>
          <w:rFonts w:ascii="Calibri" w:eastAsia="Calibri" w:hAnsi="Calibri" w:cs="Calibri"/>
          <w:color w:val="242424"/>
          <w:sz w:val="22"/>
          <w:szCs w:val="22"/>
        </w:rPr>
        <w:t xml:space="preserve"> However, ECPAT Child ALERT is concerned that the measures for the recovery and reintegration of victims of all offences under the OPSC remain insufficient. Staff working for victim support are not adequately trained to be able to provide initial support to any child reporting a crime under the Optional Protocol. Furthermore, SEC victims are not made aware of their eligibility to ACC services, which are usually only publicised as an option for victims of sexual abuse or assault.</w:t>
      </w:r>
      <w:r>
        <w:rPr>
          <w:rFonts w:ascii="Calibri" w:eastAsia="Calibri" w:hAnsi="Calibri" w:cs="Calibri"/>
          <w:color w:val="242424"/>
          <w:sz w:val="22"/>
          <w:szCs w:val="22"/>
          <w:vertAlign w:val="superscript"/>
        </w:rPr>
        <w:endnoteReference w:id="68"/>
      </w:r>
      <w:r>
        <w:rPr>
          <w:rFonts w:ascii="Calibri" w:eastAsia="Calibri" w:hAnsi="Calibri" w:cs="Calibri"/>
          <w:color w:val="242424"/>
          <w:sz w:val="22"/>
          <w:szCs w:val="22"/>
        </w:rPr>
        <w:t xml:space="preserve"> </w:t>
      </w:r>
    </w:p>
    <w:p w14:paraId="42D405E5" w14:textId="61B432A3" w:rsidR="00231C20" w:rsidRPr="00916D70" w:rsidRDefault="00231C20" w:rsidP="00916D70">
      <w:pPr>
        <w:numPr>
          <w:ilvl w:val="0"/>
          <w:numId w:val="1"/>
        </w:numPr>
        <w:pBdr>
          <w:top w:val="nil"/>
          <w:left w:val="nil"/>
          <w:bottom w:val="nil"/>
          <w:right w:val="nil"/>
          <w:between w:val="nil"/>
        </w:pBdr>
        <w:spacing w:after="200" w:line="276" w:lineRule="auto"/>
        <w:ind w:left="0" w:hanging="357"/>
        <w:jc w:val="both"/>
        <w:rPr>
          <w:rFonts w:asciiTheme="majorHAnsi" w:eastAsia="Calibri" w:hAnsiTheme="majorHAnsi" w:cstheme="majorHAnsi"/>
          <w:color w:val="000000"/>
          <w:sz w:val="22"/>
          <w:szCs w:val="22"/>
        </w:rPr>
      </w:pPr>
      <w:r w:rsidRPr="00916D70">
        <w:rPr>
          <w:rFonts w:asciiTheme="majorHAnsi" w:eastAsia="Calibri" w:hAnsiTheme="majorHAnsi" w:cstheme="majorHAnsi"/>
          <w:color w:val="242424"/>
          <w:sz w:val="22"/>
          <w:szCs w:val="22"/>
        </w:rPr>
        <w:t>The New Zealand Police and the Ministry for Children (</w:t>
      </w:r>
      <w:r w:rsidRPr="00916D70">
        <w:rPr>
          <w:rFonts w:asciiTheme="majorHAnsi" w:eastAsia="Calibri" w:hAnsiTheme="majorHAnsi" w:cstheme="majorHAnsi"/>
          <w:i/>
          <w:color w:val="242424"/>
          <w:sz w:val="22"/>
          <w:szCs w:val="22"/>
        </w:rPr>
        <w:t>Oranga Tamariki</w:t>
      </w:r>
      <w:r w:rsidRPr="00916D70">
        <w:rPr>
          <w:rFonts w:asciiTheme="majorHAnsi" w:eastAsia="Calibri" w:hAnsiTheme="majorHAnsi" w:cstheme="majorHAnsi"/>
          <w:color w:val="242424"/>
          <w:sz w:val="22"/>
          <w:szCs w:val="22"/>
        </w:rPr>
        <w:t xml:space="preserve">) </w:t>
      </w:r>
      <w:r w:rsidRPr="00916D70">
        <w:rPr>
          <w:rFonts w:asciiTheme="majorHAnsi" w:hAnsiTheme="majorHAnsi" w:cstheme="majorHAnsi"/>
          <w:sz w:val="22"/>
          <w:szCs w:val="22"/>
        </w:rPr>
        <w:t>don’t appear to have any policies regarding classifying and responding to SEC victims, so it’s unlikely victims coming to their attention would be offered specific support. It’s also unlikely that anyone in their organisation has the necessary training, since it is not recognised as a distinct problem.</w:t>
      </w:r>
      <w:r>
        <w:rPr>
          <w:rStyle w:val="EndnoteReference"/>
          <w:rFonts w:asciiTheme="majorHAnsi" w:hAnsiTheme="majorHAnsi" w:cstheme="majorHAnsi"/>
          <w:sz w:val="22"/>
          <w:szCs w:val="22"/>
        </w:rPr>
        <w:endnoteReference w:id="69"/>
      </w:r>
      <w:r w:rsidRPr="00916D70">
        <w:rPr>
          <w:rFonts w:asciiTheme="majorHAnsi" w:hAnsiTheme="majorHAnsi" w:cstheme="majorHAnsi"/>
          <w:sz w:val="22"/>
          <w:szCs w:val="22"/>
        </w:rPr>
        <w:t xml:space="preserve"> </w:t>
      </w:r>
    </w:p>
    <w:p w14:paraId="55E4B612" w14:textId="17EEE501"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242424"/>
          <w:sz w:val="22"/>
          <w:szCs w:val="22"/>
        </w:rPr>
        <w:t>According to a report published by the New Zealand Police in March 2019, up to 500 New Zealand Dollars are available to help with emergency costs incurred immediately after a sexual violence crime, e.g. replacing clothing or emergency accommodation. Grants can be applied for where any child or adult has been the subject of a sexual crime whether or not the matter proceeds to a prosecution, so long as the matter has been reported to Police.</w:t>
      </w:r>
      <w:r>
        <w:rPr>
          <w:rFonts w:ascii="Calibri" w:eastAsia="Calibri" w:hAnsi="Calibri" w:cs="Calibri"/>
          <w:color w:val="242424"/>
          <w:sz w:val="22"/>
          <w:szCs w:val="22"/>
          <w:vertAlign w:val="superscript"/>
        </w:rPr>
        <w:endnoteReference w:id="70"/>
      </w:r>
      <w:r>
        <w:rPr>
          <w:rFonts w:ascii="Calibri" w:eastAsia="Calibri" w:hAnsi="Calibri" w:cs="Calibri"/>
          <w:color w:val="242424"/>
          <w:sz w:val="22"/>
          <w:szCs w:val="22"/>
        </w:rPr>
        <w:t xml:space="preserve"> </w:t>
      </w:r>
    </w:p>
    <w:p w14:paraId="4229B731" w14:textId="7BE4315D" w:rsidR="00231C20"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000000"/>
          <w:sz w:val="22"/>
          <w:szCs w:val="22"/>
        </w:rPr>
      </w:pPr>
      <w:r>
        <w:rPr>
          <w:rFonts w:ascii="Calibri" w:eastAsia="Calibri" w:hAnsi="Calibri" w:cs="Calibri"/>
          <w:color w:val="242424"/>
          <w:sz w:val="22"/>
          <w:szCs w:val="22"/>
        </w:rPr>
        <w:t>ECPAT Child ALERT commends the work of OCEANZ (Online Child Exploitation Across New Zealand), a specialist team within New Zealand Police working in close cooperation with NetSafe to protect children from OCSE as part of a Virtual Global Taskforce (VGT) focused on this SEC manifestation.</w:t>
      </w:r>
      <w:r>
        <w:rPr>
          <w:rFonts w:ascii="Calibri" w:eastAsia="Calibri" w:hAnsi="Calibri" w:cs="Calibri"/>
          <w:color w:val="242424"/>
          <w:sz w:val="22"/>
          <w:szCs w:val="22"/>
          <w:vertAlign w:val="superscript"/>
        </w:rPr>
        <w:endnoteReference w:id="71"/>
      </w:r>
      <w:r>
        <w:rPr>
          <w:rFonts w:ascii="Calibri" w:eastAsia="Calibri" w:hAnsi="Calibri" w:cs="Calibri"/>
          <w:color w:val="242424"/>
          <w:sz w:val="22"/>
          <w:szCs w:val="22"/>
        </w:rPr>
        <w:t xml:space="preserve"> OCEANZ is competent to coordinate international investigations into online paedophile networks and to identify child sexual offenders by monitoring social network websites. It also targets New Zealand child exploitation sites in an effort to identify and assist victims.</w:t>
      </w:r>
      <w:r>
        <w:rPr>
          <w:rFonts w:ascii="Calibri" w:eastAsia="Calibri" w:hAnsi="Calibri" w:cs="Calibri"/>
          <w:color w:val="242424"/>
          <w:sz w:val="22"/>
          <w:szCs w:val="22"/>
          <w:vertAlign w:val="superscript"/>
        </w:rPr>
        <w:endnoteReference w:id="72"/>
      </w:r>
      <w:r>
        <w:rPr>
          <w:rFonts w:ascii="Calibri" w:eastAsia="Calibri" w:hAnsi="Calibri" w:cs="Calibri"/>
          <w:color w:val="242424"/>
          <w:sz w:val="22"/>
          <w:szCs w:val="22"/>
        </w:rPr>
        <w:t xml:space="preserve"> </w:t>
      </w:r>
    </w:p>
    <w:p w14:paraId="5565A6CB" w14:textId="44015396" w:rsidR="00E91789" w:rsidRDefault="00231C20">
      <w:pPr>
        <w:numPr>
          <w:ilvl w:val="0"/>
          <w:numId w:val="1"/>
        </w:numPr>
        <w:pBdr>
          <w:top w:val="nil"/>
          <w:left w:val="nil"/>
          <w:bottom w:val="nil"/>
          <w:right w:val="nil"/>
          <w:between w:val="nil"/>
        </w:pBdr>
        <w:spacing w:after="200" w:line="276" w:lineRule="auto"/>
        <w:ind w:left="0" w:hanging="357"/>
        <w:jc w:val="both"/>
        <w:rPr>
          <w:rFonts w:ascii="Calibri" w:eastAsia="Calibri" w:hAnsi="Calibri" w:cs="Calibri"/>
          <w:color w:val="242424"/>
          <w:sz w:val="22"/>
          <w:szCs w:val="22"/>
        </w:rPr>
      </w:pPr>
      <w:r>
        <w:rPr>
          <w:rFonts w:ascii="Calibri" w:eastAsia="Calibri" w:hAnsi="Calibri" w:cs="Calibri"/>
          <w:color w:val="242424"/>
          <w:sz w:val="22"/>
          <w:szCs w:val="22"/>
        </w:rPr>
        <w:t>Other organisations aid children victims. For example, Southland Help provides sexual abuse support and education in Southland.</w:t>
      </w:r>
      <w:r>
        <w:rPr>
          <w:rFonts w:ascii="Calibri" w:eastAsia="Calibri" w:hAnsi="Calibri" w:cs="Calibri"/>
          <w:color w:val="242424"/>
          <w:sz w:val="22"/>
          <w:szCs w:val="22"/>
          <w:vertAlign w:val="superscript"/>
        </w:rPr>
        <w:endnoteReference w:id="73"/>
      </w:r>
      <w:r>
        <w:rPr>
          <w:rFonts w:ascii="Calibri" w:eastAsia="Calibri" w:hAnsi="Calibri" w:cs="Calibri"/>
          <w:color w:val="242424"/>
          <w:sz w:val="22"/>
          <w:szCs w:val="22"/>
        </w:rPr>
        <w:t xml:space="preserve"> START Healing is an organisation in Christchurch that provides early intervention, counselling and support for children, youth and adults and their families who have experienced sexual violence or other trauma.</w:t>
      </w:r>
      <w:r>
        <w:rPr>
          <w:rFonts w:ascii="Calibri" w:eastAsia="Calibri" w:hAnsi="Calibri" w:cs="Calibri"/>
          <w:color w:val="242424"/>
          <w:sz w:val="22"/>
          <w:szCs w:val="22"/>
          <w:vertAlign w:val="superscript"/>
        </w:rPr>
        <w:endnoteReference w:id="74"/>
      </w:r>
      <w:r>
        <w:rPr>
          <w:rFonts w:ascii="Calibri" w:eastAsia="Calibri" w:hAnsi="Calibri" w:cs="Calibri"/>
          <w:color w:val="242424"/>
          <w:sz w:val="22"/>
          <w:szCs w:val="22"/>
        </w:rPr>
        <w:t xml:space="preserve">  Support of Sexually Abused (SOS) supports women, children and </w:t>
      </w:r>
      <w:r w:rsidRPr="00B409E3">
        <w:rPr>
          <w:rFonts w:ascii="Calibri" w:eastAsia="Calibri" w:hAnsi="Calibri" w:cs="Calibri"/>
          <w:i/>
          <w:color w:val="242424"/>
          <w:sz w:val="22"/>
          <w:szCs w:val="22"/>
        </w:rPr>
        <w:t>whānau</w:t>
      </w:r>
      <w:r>
        <w:rPr>
          <w:rFonts w:ascii="Calibri" w:eastAsia="Calibri" w:hAnsi="Calibri" w:cs="Calibri"/>
          <w:color w:val="242424"/>
          <w:sz w:val="22"/>
          <w:szCs w:val="22"/>
        </w:rPr>
        <w:t xml:space="preserve"> affected by sexual abuse and violence and works to strengthen communities in the Kaipara district.</w:t>
      </w:r>
      <w:r>
        <w:rPr>
          <w:rFonts w:ascii="Calibri" w:eastAsia="Calibri" w:hAnsi="Calibri" w:cs="Calibri"/>
          <w:color w:val="242424"/>
          <w:sz w:val="22"/>
          <w:szCs w:val="22"/>
          <w:vertAlign w:val="superscript"/>
        </w:rPr>
        <w:endnoteReference w:id="75"/>
      </w:r>
      <w:r>
        <w:rPr>
          <w:rFonts w:ascii="Calibri" w:eastAsia="Calibri" w:hAnsi="Calibri" w:cs="Calibri"/>
          <w:color w:val="242424"/>
          <w:sz w:val="22"/>
          <w:szCs w:val="22"/>
        </w:rPr>
        <w:t xml:space="preserve"> The Wellington Sexual Abuse Help Foundation provides comprehensive rape and sexual abuse crisis support and counselling in Wellington and Porirua.</w:t>
      </w:r>
      <w:r>
        <w:rPr>
          <w:rFonts w:ascii="Calibri" w:eastAsia="Calibri" w:hAnsi="Calibri" w:cs="Calibri"/>
          <w:color w:val="242424"/>
          <w:sz w:val="22"/>
          <w:szCs w:val="22"/>
          <w:vertAlign w:val="superscript"/>
        </w:rPr>
        <w:endnoteReference w:id="76"/>
      </w:r>
      <w:r>
        <w:rPr>
          <w:rFonts w:ascii="Calibri" w:eastAsia="Calibri" w:hAnsi="Calibri" w:cs="Calibri"/>
          <w:color w:val="242424"/>
          <w:sz w:val="22"/>
          <w:szCs w:val="22"/>
        </w:rPr>
        <w:t xml:space="preserve"> </w:t>
      </w:r>
      <w:r w:rsidR="00332020">
        <w:rPr>
          <w:rFonts w:ascii="Calibri" w:eastAsia="Calibri" w:hAnsi="Calibri" w:cs="Calibri"/>
          <w:color w:val="242424"/>
          <w:sz w:val="22"/>
          <w:szCs w:val="22"/>
        </w:rPr>
        <w:t xml:space="preserve">Several other sexual violence organisations that are members of Te Ohaaki a Hine – National Network Ending Sexual Violence Together (TOAH-NNEST) offer some counselling or therapy support to children (for example, Counselling Services Centre in Manukau, and Auckland HELP in central Auckland). </w:t>
      </w:r>
      <w:r w:rsidR="00591EBA">
        <w:rPr>
          <w:rFonts w:ascii="Calibri" w:eastAsia="Calibri" w:hAnsi="Calibri" w:cs="Calibri"/>
          <w:color w:val="242424"/>
          <w:sz w:val="22"/>
          <w:szCs w:val="22"/>
        </w:rPr>
        <w:t xml:space="preserve">Finally, Korowai Tumanaki is a </w:t>
      </w:r>
      <w:r w:rsidR="00591EBA" w:rsidRPr="00B409E3">
        <w:rPr>
          <w:rFonts w:ascii="Calibri" w:eastAsia="Calibri" w:hAnsi="Calibri" w:cs="Calibri"/>
          <w:i/>
          <w:color w:val="242424"/>
          <w:sz w:val="22"/>
          <w:szCs w:val="22"/>
        </w:rPr>
        <w:t xml:space="preserve">kaupapa </w:t>
      </w:r>
      <w:r w:rsidR="00591EBA">
        <w:rPr>
          <w:rFonts w:ascii="Calibri" w:eastAsia="Calibri" w:hAnsi="Calibri" w:cs="Calibri"/>
          <w:color w:val="242424"/>
          <w:sz w:val="22"/>
          <w:szCs w:val="22"/>
        </w:rPr>
        <w:t xml:space="preserve">Māori service designed to support </w:t>
      </w:r>
      <w:r w:rsidR="00591EBA" w:rsidRPr="00B409E3">
        <w:rPr>
          <w:rFonts w:ascii="Calibri" w:eastAsia="Calibri" w:hAnsi="Calibri" w:cs="Calibri"/>
          <w:i/>
          <w:color w:val="242424"/>
          <w:sz w:val="22"/>
          <w:szCs w:val="22"/>
        </w:rPr>
        <w:t xml:space="preserve">iwi, hapu </w:t>
      </w:r>
      <w:r w:rsidR="00591EBA">
        <w:rPr>
          <w:rFonts w:ascii="Calibri" w:eastAsia="Calibri" w:hAnsi="Calibri" w:cs="Calibri"/>
          <w:color w:val="242424"/>
          <w:sz w:val="22"/>
          <w:szCs w:val="22"/>
        </w:rPr>
        <w:t>and</w:t>
      </w:r>
      <w:r w:rsidR="00591EBA" w:rsidRPr="00B409E3">
        <w:rPr>
          <w:rFonts w:ascii="Calibri" w:eastAsia="Calibri" w:hAnsi="Calibri" w:cs="Calibri"/>
          <w:i/>
          <w:color w:val="242424"/>
          <w:sz w:val="22"/>
          <w:szCs w:val="22"/>
        </w:rPr>
        <w:t xml:space="preserve"> whānau</w:t>
      </w:r>
      <w:r w:rsidR="00591EBA">
        <w:rPr>
          <w:rFonts w:ascii="Calibri" w:eastAsia="Calibri" w:hAnsi="Calibri" w:cs="Calibri"/>
          <w:color w:val="242424"/>
          <w:sz w:val="22"/>
          <w:szCs w:val="22"/>
        </w:rPr>
        <w:t xml:space="preserve"> children who have been affected by sexual violence.</w:t>
      </w:r>
    </w:p>
    <w:p w14:paraId="4E13843F" w14:textId="37645001" w:rsidR="00B53E7F" w:rsidRPr="00B53E7F" w:rsidRDefault="00B53E7F" w:rsidP="00B53E7F">
      <w:pPr>
        <w:numPr>
          <w:ilvl w:val="0"/>
          <w:numId w:val="1"/>
        </w:numPr>
        <w:pBdr>
          <w:top w:val="nil"/>
          <w:left w:val="nil"/>
          <w:bottom w:val="nil"/>
          <w:right w:val="nil"/>
          <w:between w:val="nil"/>
        </w:pBdr>
        <w:spacing w:after="200" w:line="276" w:lineRule="auto"/>
        <w:ind w:left="90"/>
        <w:jc w:val="both"/>
        <w:rPr>
          <w:rFonts w:ascii="Calibri" w:eastAsia="Calibri" w:hAnsi="Calibri" w:cs="Calibri"/>
          <w:color w:val="242424"/>
          <w:sz w:val="22"/>
          <w:szCs w:val="22"/>
        </w:rPr>
      </w:pPr>
      <w:r w:rsidRPr="00B53E7F">
        <w:rPr>
          <w:rFonts w:ascii="Calibri" w:eastAsia="Calibri" w:hAnsi="Calibri" w:cs="Calibri"/>
          <w:color w:val="242424"/>
          <w:sz w:val="22"/>
          <w:szCs w:val="22"/>
        </w:rPr>
        <w:t>It is evident that the lack of a common and collective understanding of what constitutes trafficking continues to affect government responses to domestic trafficking in New Zealand. Given the lack of trafficking related prosecutions, government response has been minimal</w:t>
      </w:r>
      <w:r w:rsidR="00332020">
        <w:rPr>
          <w:rFonts w:ascii="Calibri" w:eastAsia="Calibri" w:hAnsi="Calibri" w:cs="Calibri"/>
          <w:color w:val="242424"/>
          <w:sz w:val="22"/>
          <w:szCs w:val="22"/>
        </w:rPr>
        <w:t>,</w:t>
      </w:r>
      <w:r w:rsidRPr="00B53E7F">
        <w:rPr>
          <w:rFonts w:ascii="Calibri" w:eastAsia="Calibri" w:hAnsi="Calibri" w:cs="Calibri"/>
          <w:color w:val="242424"/>
          <w:sz w:val="22"/>
          <w:szCs w:val="22"/>
        </w:rPr>
        <w:t xml:space="preserve"> further limiting resources available for victim supports and services.</w:t>
      </w:r>
    </w:p>
    <w:p w14:paraId="479E73E7" w14:textId="2C6815D4" w:rsidR="00B53E7F" w:rsidRDefault="00B53E7F" w:rsidP="00B53E7F">
      <w:pPr>
        <w:pBdr>
          <w:top w:val="nil"/>
          <w:left w:val="nil"/>
          <w:bottom w:val="nil"/>
          <w:right w:val="nil"/>
          <w:between w:val="nil"/>
        </w:pBdr>
        <w:spacing w:after="200" w:line="276" w:lineRule="auto"/>
        <w:jc w:val="both"/>
        <w:rPr>
          <w:rFonts w:ascii="Calibri" w:eastAsia="Calibri" w:hAnsi="Calibri" w:cs="Calibri"/>
          <w:color w:val="242424"/>
          <w:sz w:val="22"/>
          <w:szCs w:val="22"/>
        </w:rPr>
        <w:sectPr w:rsidR="00B53E7F">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1"/>
          <w:cols w:space="720" w:equalWidth="0">
            <w:col w:w="9360"/>
          </w:cols>
        </w:sectPr>
      </w:pPr>
    </w:p>
    <w:p w14:paraId="37BCAB57" w14:textId="77777777" w:rsidR="00E91789" w:rsidRDefault="00E91789">
      <w:pPr>
        <w:pBdr>
          <w:top w:val="nil"/>
          <w:left w:val="nil"/>
          <w:bottom w:val="nil"/>
          <w:right w:val="nil"/>
          <w:between w:val="nil"/>
        </w:pBdr>
        <w:spacing w:after="200" w:line="276" w:lineRule="auto"/>
        <w:ind w:hanging="720"/>
        <w:jc w:val="both"/>
        <w:rPr>
          <w:rFonts w:ascii="Calibri" w:eastAsia="Calibri" w:hAnsi="Calibri" w:cs="Calibri"/>
          <w:color w:val="000000"/>
          <w:sz w:val="22"/>
          <w:szCs w:val="22"/>
        </w:rPr>
        <w:sectPr w:rsidR="00E91789">
          <w:type w:val="continuous"/>
          <w:pgSz w:w="12240" w:h="15840"/>
          <w:pgMar w:top="1440" w:right="1440" w:bottom="1440" w:left="1440" w:header="720" w:footer="720" w:gutter="0"/>
          <w:cols w:space="720" w:equalWidth="0">
            <w:col w:w="9360"/>
          </w:cols>
        </w:sectPr>
      </w:pPr>
    </w:p>
    <w:p w14:paraId="0394D622" w14:textId="14F6A7C1" w:rsidR="00E91789" w:rsidRPr="0020560A" w:rsidRDefault="0020560A" w:rsidP="0020560A">
      <w:pPr>
        <w:pBdr>
          <w:top w:val="nil"/>
          <w:left w:val="nil"/>
          <w:bottom w:val="nil"/>
          <w:right w:val="nil"/>
          <w:between w:val="nil"/>
        </w:pBdr>
        <w:spacing w:after="200" w:line="276" w:lineRule="auto"/>
        <w:ind w:hanging="720"/>
        <w:rPr>
          <w:rFonts w:ascii="Calibri" w:eastAsia="Calibri" w:hAnsi="Calibri" w:cs="Calibri"/>
          <w:b/>
          <w:color w:val="000000"/>
          <w:sz w:val="22"/>
          <w:szCs w:val="22"/>
          <w:u w:val="single"/>
        </w:rPr>
      </w:pPr>
      <w:r w:rsidRPr="0020560A">
        <w:rPr>
          <w:rFonts w:ascii="Calibri" w:eastAsia="Calibri" w:hAnsi="Calibri" w:cs="Calibri"/>
          <w:b/>
          <w:color w:val="000000"/>
          <w:sz w:val="22"/>
          <w:szCs w:val="22"/>
        </w:rPr>
        <w:t xml:space="preserve">                     </w:t>
      </w:r>
      <w:r w:rsidR="00591EBA" w:rsidRPr="0020560A">
        <w:rPr>
          <w:rFonts w:ascii="Calibri" w:eastAsia="Calibri" w:hAnsi="Calibri" w:cs="Calibri"/>
          <w:b/>
          <w:color w:val="000000"/>
          <w:sz w:val="22"/>
          <w:szCs w:val="22"/>
          <w:u w:val="single"/>
        </w:rPr>
        <w:t>List of suggested issues to be presented to the Government of New Zealand</w:t>
      </w:r>
      <w:bookmarkStart w:id="10" w:name="_2s8eyo1" w:colFirst="0" w:colLast="0"/>
      <w:bookmarkEnd w:id="10"/>
    </w:p>
    <w:p w14:paraId="2C810562" w14:textId="17792654" w:rsidR="00916D70" w:rsidRPr="00916D70" w:rsidRDefault="00916D70"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hAnsiTheme="majorHAnsi" w:cstheme="majorHAnsi"/>
          <w:sz w:val="22"/>
          <w:szCs w:val="22"/>
        </w:rPr>
        <w:t>What steps are taken to improve police capacity to instigate investigations into domestic sex trafficking?</w:t>
      </w:r>
    </w:p>
    <w:p w14:paraId="6C201FC5" w14:textId="453E2929"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What are the statistical data on sexual exploitation of children annually disaggregated by manifestation, age and gender of the victim?</w:t>
      </w:r>
    </w:p>
    <w:p w14:paraId="7CBDD9FD" w14:textId="791E5995" w:rsidR="00916D70" w:rsidRPr="00916D70" w:rsidRDefault="00916D70" w:rsidP="00916D70">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hAnsiTheme="majorHAnsi" w:cstheme="majorHAnsi"/>
          <w:sz w:val="22"/>
          <w:szCs w:val="22"/>
        </w:rPr>
        <w:t xml:space="preserve">How can the classification of sexual exploitation of children cases that come to the attention of statutory bodies and law enforcement be strengthened so that this data becomes available? </w:t>
      </w:r>
    </w:p>
    <w:p w14:paraId="276FB7E9" w14:textId="77777777"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What are the steps taken to adopt a national action plan addressing all manifestations of sexual exploitation of children?</w:t>
      </w:r>
    </w:p>
    <w:p w14:paraId="03EF3C7E" w14:textId="77777777"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 xml:space="preserve">What are the steps taken to implement a dedicated coordination body on sexual exploitation of children and strengthen the coordination and cooperation between child protection stakeholders? </w:t>
      </w:r>
    </w:p>
    <w:p w14:paraId="0BF04EE5" w14:textId="77777777"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What are the awareness initiatives for on all manifestations of the sexual exploitation of children?</w:t>
      </w:r>
    </w:p>
    <w:p w14:paraId="1D0F659C" w14:textId="3B076F10"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 xml:space="preserve">What are the steps taken to ensure the </w:t>
      </w:r>
      <w:r w:rsidR="00916D70" w:rsidRPr="00916D70">
        <w:rPr>
          <w:rFonts w:asciiTheme="majorHAnsi" w:eastAsia="Calibri" w:hAnsiTheme="majorHAnsi" w:cstheme="majorHAnsi"/>
          <w:sz w:val="22"/>
          <w:szCs w:val="22"/>
          <w:lang w:val="en-US"/>
        </w:rPr>
        <w:t xml:space="preserve">creation of </w:t>
      </w:r>
      <w:r w:rsidRPr="00916D70">
        <w:rPr>
          <w:rFonts w:asciiTheme="majorHAnsi" w:eastAsia="Calibri" w:hAnsiTheme="majorHAnsi" w:cstheme="majorHAnsi"/>
          <w:sz w:val="22"/>
          <w:szCs w:val="22"/>
          <w:lang w:val="en-US"/>
        </w:rPr>
        <w:t xml:space="preserve">effective and efficient functioning of shelters for children victims of </w:t>
      </w:r>
      <w:r w:rsidR="00916D70">
        <w:rPr>
          <w:rFonts w:asciiTheme="majorHAnsi" w:eastAsia="Calibri" w:hAnsiTheme="majorHAnsi" w:cstheme="majorHAnsi"/>
          <w:sz w:val="22"/>
          <w:szCs w:val="22"/>
          <w:lang w:val="en-US"/>
        </w:rPr>
        <w:t>sexual exploitation</w:t>
      </w:r>
      <w:r w:rsidRPr="00916D70">
        <w:rPr>
          <w:rFonts w:asciiTheme="majorHAnsi" w:eastAsia="Calibri" w:hAnsiTheme="majorHAnsi" w:cstheme="majorHAnsi"/>
          <w:sz w:val="22"/>
          <w:szCs w:val="22"/>
          <w:lang w:val="en-US"/>
        </w:rPr>
        <w:t>?</w:t>
      </w:r>
    </w:p>
    <w:p w14:paraId="72B9D0E9" w14:textId="23B22ACF" w:rsidR="0020560A" w:rsidRPr="00916D70" w:rsidRDefault="0020560A" w:rsidP="0020560A">
      <w:pPr>
        <w:numPr>
          <w:ilvl w:val="0"/>
          <w:numId w:val="2"/>
        </w:numPr>
        <w:shd w:val="clear" w:color="auto" w:fill="E7E6E6"/>
        <w:spacing w:after="160" w:line="259" w:lineRule="auto"/>
        <w:contextualSpacing/>
        <w:rPr>
          <w:rFonts w:asciiTheme="majorHAnsi" w:eastAsia="Calibri" w:hAnsiTheme="majorHAnsi" w:cstheme="majorHAnsi"/>
          <w:sz w:val="22"/>
          <w:szCs w:val="22"/>
          <w:lang w:val="en-US"/>
        </w:rPr>
      </w:pPr>
      <w:r w:rsidRPr="00916D70">
        <w:rPr>
          <w:rFonts w:asciiTheme="majorHAnsi" w:eastAsia="Calibri" w:hAnsiTheme="majorHAnsi" w:cstheme="majorHAnsi"/>
          <w:sz w:val="22"/>
          <w:szCs w:val="22"/>
          <w:lang w:val="en-US"/>
        </w:rPr>
        <w:t>What are the steps taken to ensure that the law agencies and child protection organ</w:t>
      </w:r>
      <w:r w:rsidR="00332020" w:rsidRPr="00916D70">
        <w:rPr>
          <w:rFonts w:asciiTheme="majorHAnsi" w:eastAsia="Calibri" w:hAnsiTheme="majorHAnsi" w:cstheme="majorHAnsi"/>
          <w:sz w:val="22"/>
          <w:szCs w:val="22"/>
          <w:lang w:val="en-US"/>
        </w:rPr>
        <w:t>isations</w:t>
      </w:r>
      <w:r w:rsidRPr="00916D70">
        <w:rPr>
          <w:rFonts w:asciiTheme="majorHAnsi" w:eastAsia="Calibri" w:hAnsiTheme="majorHAnsi" w:cstheme="majorHAnsi"/>
          <w:sz w:val="22"/>
          <w:szCs w:val="22"/>
          <w:lang w:val="en-US"/>
        </w:rPr>
        <w:t xml:space="preserve"> have the funds, resources and skills to respond to sexual exploitation of children?</w:t>
      </w:r>
    </w:p>
    <w:p w14:paraId="7FE79836" w14:textId="77777777" w:rsidR="00E91789" w:rsidRPr="0020560A" w:rsidRDefault="00E91789">
      <w:pPr>
        <w:spacing w:line="276" w:lineRule="auto"/>
        <w:rPr>
          <w:rFonts w:ascii="Calibri" w:eastAsia="Calibri" w:hAnsi="Calibri" w:cs="Calibri"/>
          <w:sz w:val="22"/>
          <w:szCs w:val="22"/>
          <w:lang w:val="en-US"/>
        </w:rPr>
      </w:pPr>
    </w:p>
    <w:sectPr w:rsidR="00E91789" w:rsidRPr="0020560A">
      <w:type w:val="continuous"/>
      <w:pgSz w:w="12240" w:h="15840"/>
      <w:pgMar w:top="1440" w:right="1440" w:bottom="1440" w:left="144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3F43E" w14:textId="77777777" w:rsidR="00FA3B3D" w:rsidRDefault="00FA3B3D">
      <w:r>
        <w:separator/>
      </w:r>
    </w:p>
  </w:endnote>
  <w:endnote w:type="continuationSeparator" w:id="0">
    <w:p w14:paraId="1F01CC2E" w14:textId="77777777" w:rsidR="00FA3B3D" w:rsidRDefault="00FA3B3D">
      <w:r>
        <w:continuationSeparator/>
      </w:r>
    </w:p>
  </w:endnote>
  <w:endnote w:id="1">
    <w:p w14:paraId="5317736C"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Sustainable Development Goal Targets 5.2, 8.7 and 16.2.</w:t>
      </w:r>
    </w:p>
  </w:endnote>
  <w:endnote w:id="2">
    <w:p w14:paraId="45B3D368" w14:textId="77777777" w:rsidR="00231C20" w:rsidRPr="00231C20" w:rsidRDefault="00231C20" w:rsidP="005F162E">
      <w:pPr>
        <w:widowControl w:val="0"/>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ECPAT prefers the term ‘exploitation of children in prostitution’ instead of ‘child prostitution’ in line with the recently widely adopted Terminology Guidelines. ECPAT International. (2016). </w:t>
      </w:r>
      <w:hyperlink r:id="rId1">
        <w:r w:rsidRPr="00231C20">
          <w:rPr>
            <w:rFonts w:asciiTheme="majorHAnsi" w:eastAsia="Calibri" w:hAnsiTheme="majorHAnsi" w:cstheme="majorHAnsi"/>
            <w:i/>
            <w:color w:val="0000FF"/>
            <w:sz w:val="20"/>
            <w:szCs w:val="20"/>
            <w:u w:val="single"/>
          </w:rPr>
          <w:t>Terminology Guidelines for the Protection of Children from Sexual Exploitation and Sexual Abuse, Adopted by the Interagency Working Group in Luxembourg, 28 January 2016</w:t>
        </w:r>
      </w:hyperlink>
      <w:r w:rsidRPr="00231C20">
        <w:rPr>
          <w:rFonts w:asciiTheme="majorHAnsi" w:eastAsia="Calibri" w:hAnsiTheme="majorHAnsi" w:cstheme="majorHAnsi"/>
          <w:color w:val="000000"/>
          <w:sz w:val="20"/>
          <w:szCs w:val="20"/>
        </w:rPr>
        <w:t xml:space="preserve">. </w:t>
      </w:r>
    </w:p>
  </w:endnote>
  <w:endnote w:id="3">
    <w:p w14:paraId="1EC224C9" w14:textId="77777777" w:rsidR="00231C20" w:rsidRPr="00231C20" w:rsidRDefault="00231C20" w:rsidP="005F162E">
      <w:pPr>
        <w:widowControl w:val="0"/>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ECPAT prefers the term ‘child sexual exploitation material’ or ‘child sexual abuse material’ over the often still used ‘child pornography’ in line with the recently widely adopted Terminology Guidelines.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39.</w:t>
      </w:r>
    </w:p>
  </w:endnote>
  <w:endnote w:id="4">
    <w:p w14:paraId="1909EAFE" w14:textId="77777777" w:rsidR="00231C20" w:rsidRPr="00231C20" w:rsidRDefault="00231C20" w:rsidP="005F162E">
      <w:pPr>
        <w:widowControl w:val="0"/>
        <w:pBdr>
          <w:top w:val="nil"/>
          <w:left w:val="nil"/>
          <w:bottom w:val="nil"/>
          <w:right w:val="nil"/>
          <w:between w:val="nil"/>
        </w:pBdr>
        <w:ind w:left="283" w:hanging="283"/>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i/>
          <w:color w:val="000000"/>
          <w:sz w:val="20"/>
          <w:szCs w:val="20"/>
        </w:rPr>
        <w:t xml:space="preserve"> Ibid</w:t>
      </w:r>
      <w:r w:rsidRPr="00231C20">
        <w:rPr>
          <w:rFonts w:asciiTheme="majorHAnsi" w:eastAsia="Calibri" w:hAnsiTheme="majorHAnsi" w:cstheme="majorHAnsi"/>
          <w:color w:val="000000"/>
          <w:sz w:val="20"/>
          <w:szCs w:val="20"/>
        </w:rPr>
        <w:t>., 54.</w:t>
      </w:r>
    </w:p>
  </w:endnote>
  <w:endnote w:id="5">
    <w:p w14:paraId="2C88E00D"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UNICEF. (2019). “</w:t>
      </w:r>
      <w:hyperlink r:id="rId2" w:anchor="targetText=The%20State%20of%20the%20World's%20Children%202019%3A%20Children%2C%20food%20and,overweight%20among%20children%20under%205.">
        <w:r w:rsidRPr="00231C20">
          <w:rPr>
            <w:rFonts w:asciiTheme="majorHAnsi" w:eastAsia="Calibri" w:hAnsiTheme="majorHAnsi" w:cstheme="majorHAnsi"/>
            <w:i/>
            <w:color w:val="0000FF"/>
            <w:sz w:val="20"/>
            <w:szCs w:val="20"/>
            <w:u w:val="single"/>
          </w:rPr>
          <w:t>The State of the World’s Children 2019: Children, food and nutrition – growing well in a changing world</w:t>
        </w:r>
      </w:hyperlink>
      <w:r w:rsidRPr="00231C20">
        <w:rPr>
          <w:rFonts w:asciiTheme="majorHAnsi" w:eastAsia="Calibri" w:hAnsiTheme="majorHAnsi" w:cstheme="majorHAnsi"/>
          <w:color w:val="000000"/>
          <w:sz w:val="20"/>
          <w:szCs w:val="20"/>
        </w:rPr>
        <w:t>”. 194.</w:t>
      </w:r>
    </w:p>
  </w:endnote>
  <w:endnote w:id="6">
    <w:p w14:paraId="1A081B08"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The World Bank. (2019). </w:t>
      </w:r>
      <w:hyperlink r:id="rId3">
        <w:r w:rsidRPr="00231C20">
          <w:rPr>
            <w:rFonts w:asciiTheme="majorHAnsi" w:eastAsia="Calibri" w:hAnsiTheme="majorHAnsi" w:cstheme="majorHAnsi"/>
            <w:color w:val="0000FF"/>
            <w:sz w:val="20"/>
            <w:szCs w:val="20"/>
            <w:u w:val="single"/>
          </w:rPr>
          <w:t>GDP Ranking Table 2018.</w:t>
        </w:r>
      </w:hyperlink>
    </w:p>
  </w:endnote>
  <w:endnote w:id="7">
    <w:p w14:paraId="4401C03F"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UNDP. (2019). “</w:t>
      </w:r>
      <w:hyperlink r:id="rId4">
        <w:r w:rsidRPr="00231C20">
          <w:rPr>
            <w:rFonts w:asciiTheme="majorHAnsi" w:eastAsia="Calibri" w:hAnsiTheme="majorHAnsi" w:cstheme="majorHAnsi"/>
            <w:i/>
            <w:color w:val="0000FF"/>
            <w:sz w:val="20"/>
            <w:szCs w:val="20"/>
            <w:u w:val="single"/>
          </w:rPr>
          <w:t>Inequalities in Human Development in the 21st Century - Briefing note for countries on the 2019 Human Development Report – New Zealand</w:t>
        </w:r>
      </w:hyperlink>
      <w:r w:rsidRPr="00231C20">
        <w:rPr>
          <w:rFonts w:asciiTheme="majorHAnsi" w:eastAsia="Calibri" w:hAnsiTheme="majorHAnsi" w:cstheme="majorHAnsi"/>
          <w:color w:val="000000"/>
          <w:sz w:val="20"/>
          <w:szCs w:val="20"/>
        </w:rPr>
        <w:t>”.</w:t>
      </w:r>
    </w:p>
  </w:endnote>
  <w:endnote w:id="8">
    <w:p w14:paraId="12390F86"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UNICEF. (2017). “</w:t>
      </w:r>
      <w:hyperlink r:id="rId5">
        <w:r w:rsidRPr="00231C20">
          <w:rPr>
            <w:rFonts w:asciiTheme="majorHAnsi" w:eastAsia="Calibri" w:hAnsiTheme="majorHAnsi" w:cstheme="majorHAnsi"/>
            <w:i/>
            <w:color w:val="0000FF"/>
            <w:sz w:val="20"/>
            <w:szCs w:val="20"/>
            <w:u w:val="single"/>
          </w:rPr>
          <w:t>A fair childhood: what are the facts in New Zealand?</w:t>
        </w:r>
      </w:hyperlink>
      <w:r w:rsidRPr="00231C20">
        <w:rPr>
          <w:rFonts w:asciiTheme="majorHAnsi" w:eastAsia="Calibri" w:hAnsiTheme="majorHAnsi" w:cstheme="majorHAnsi"/>
          <w:color w:val="000000"/>
          <w:sz w:val="20"/>
          <w:szCs w:val="20"/>
        </w:rPr>
        <w:t xml:space="preserve">”. </w:t>
      </w:r>
    </w:p>
  </w:endnote>
  <w:endnote w:id="9">
    <w:p w14:paraId="75E9C3EA"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HELP. </w:t>
      </w:r>
      <w:hyperlink r:id="rId6">
        <w:r w:rsidRPr="00231C20">
          <w:rPr>
            <w:rFonts w:asciiTheme="majorHAnsi" w:eastAsia="Calibri" w:hAnsiTheme="majorHAnsi" w:cstheme="majorHAnsi"/>
            <w:i/>
            <w:color w:val="0000FF"/>
            <w:sz w:val="20"/>
            <w:szCs w:val="20"/>
            <w:u w:val="single"/>
          </w:rPr>
          <w:t>Sexual Abuse Statistics</w:t>
        </w:r>
      </w:hyperlink>
      <w:r w:rsidRPr="00231C20">
        <w:rPr>
          <w:rFonts w:asciiTheme="majorHAnsi" w:eastAsia="Calibri" w:hAnsiTheme="majorHAnsi" w:cstheme="majorHAnsi"/>
          <w:i/>
          <w:color w:val="000000"/>
          <w:sz w:val="20"/>
          <w:szCs w:val="20"/>
        </w:rPr>
        <w:t xml:space="preserve">. </w:t>
      </w:r>
      <w:r w:rsidRPr="00231C20">
        <w:rPr>
          <w:rFonts w:asciiTheme="majorHAnsi" w:eastAsia="Calibri" w:hAnsiTheme="majorHAnsi" w:cstheme="majorHAnsi"/>
          <w:color w:val="000000"/>
          <w:sz w:val="20"/>
          <w:szCs w:val="20"/>
        </w:rPr>
        <w:t>See also: RNZ. (2019). “</w:t>
      </w:r>
      <w:hyperlink r:id="rId7">
        <w:r w:rsidRPr="00231C20">
          <w:rPr>
            <w:rFonts w:asciiTheme="majorHAnsi" w:eastAsia="Calibri" w:hAnsiTheme="majorHAnsi" w:cstheme="majorHAnsi"/>
            <w:i/>
            <w:color w:val="0000FF"/>
            <w:sz w:val="20"/>
            <w:szCs w:val="20"/>
            <w:u w:val="single"/>
          </w:rPr>
          <w:t>Rate of child sexual exploitation in the Pacific ‘appalling’</w:t>
        </w:r>
      </w:hyperlink>
      <w:r w:rsidRPr="00231C20">
        <w:rPr>
          <w:rFonts w:asciiTheme="majorHAnsi" w:eastAsia="Calibri" w:hAnsiTheme="majorHAnsi" w:cstheme="majorHAnsi"/>
          <w:i/>
          <w:color w:val="000000"/>
          <w:sz w:val="20"/>
          <w:szCs w:val="20"/>
        </w:rPr>
        <w:t xml:space="preserve">”. </w:t>
      </w:r>
    </w:p>
  </w:endnote>
  <w:endnote w:id="10">
    <w:p w14:paraId="211BA856" w14:textId="3189F6B4" w:rsidR="00231C20" w:rsidRPr="00231C20" w:rsidRDefault="00231C20">
      <w:pPr>
        <w:pStyle w:val="EndnoteText"/>
        <w:rPr>
          <w:rFonts w:asciiTheme="majorHAnsi" w:hAnsiTheme="majorHAnsi" w:cstheme="majorHAns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lang w:val="it-IT"/>
        </w:rPr>
        <w:t xml:space="preserve">Ministry of Women’s Affairs. (2010, August). </w:t>
      </w:r>
      <w:hyperlink r:id="rId8" w:history="1">
        <w:r w:rsidRPr="00231C20">
          <w:rPr>
            <w:rStyle w:val="Hyperlink"/>
            <w:rFonts w:asciiTheme="majorHAnsi" w:hAnsiTheme="majorHAnsi" w:cstheme="majorHAnsi"/>
            <w:i/>
            <w:lang w:val="it-IT"/>
          </w:rPr>
          <w:t>Sexual Coercion, Resilience and Young Māori: A scoping review</w:t>
        </w:r>
      </w:hyperlink>
      <w:r w:rsidRPr="00231C20">
        <w:rPr>
          <w:rFonts w:asciiTheme="majorHAnsi" w:hAnsiTheme="majorHAnsi" w:cstheme="majorHAnsi"/>
          <w:i/>
          <w:lang w:val="it-IT"/>
        </w:rPr>
        <w:t>.</w:t>
      </w:r>
    </w:p>
  </w:endnote>
  <w:endnote w:id="11">
    <w:p w14:paraId="3E083536"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Thorburn, N. (2017). “</w:t>
      </w:r>
      <w:hyperlink r:id="rId9">
        <w:r w:rsidRPr="00231C20">
          <w:rPr>
            <w:rFonts w:asciiTheme="majorHAnsi" w:eastAsia="Calibri" w:hAnsiTheme="majorHAnsi" w:cstheme="majorHAnsi"/>
            <w:i/>
            <w:color w:val="0000FF"/>
            <w:sz w:val="20"/>
            <w:szCs w:val="20"/>
            <w:u w:val="single"/>
          </w:rPr>
          <w:t>Practitioner Knowledge and Responsiveness to Victims of Sex Trafficking in Aotearoa/New Zealand</w:t>
        </w:r>
      </w:hyperlink>
      <w:r w:rsidRPr="00231C20">
        <w:rPr>
          <w:rFonts w:asciiTheme="majorHAnsi" w:eastAsia="Calibri" w:hAnsiTheme="majorHAnsi" w:cstheme="majorHAnsi"/>
          <w:color w:val="000000"/>
          <w:sz w:val="20"/>
          <w:szCs w:val="20"/>
        </w:rPr>
        <w:t>”. Women's Studies Journal.  77.</w:t>
      </w:r>
    </w:p>
  </w:endnote>
  <w:endnote w:id="12">
    <w:p w14:paraId="5BEE3E4B"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U.S. Department of State. (2019). </w:t>
      </w:r>
      <w:hyperlink r:id="rId10">
        <w:r w:rsidRPr="00231C20">
          <w:rPr>
            <w:rFonts w:asciiTheme="majorHAnsi" w:eastAsia="Calibri" w:hAnsiTheme="majorHAnsi" w:cstheme="majorHAnsi"/>
            <w:i/>
            <w:color w:val="0000FF"/>
            <w:sz w:val="20"/>
            <w:szCs w:val="20"/>
            <w:u w:val="single"/>
          </w:rPr>
          <w:t>Trafficking in Persons Report</w:t>
        </w:r>
      </w:hyperlink>
      <w:r w:rsidRPr="00231C20">
        <w:rPr>
          <w:rFonts w:asciiTheme="majorHAnsi" w:eastAsia="Calibri" w:hAnsiTheme="majorHAnsi" w:cstheme="majorHAnsi"/>
          <w:color w:val="000000"/>
          <w:sz w:val="20"/>
          <w:szCs w:val="20"/>
        </w:rPr>
        <w:t>. 349.</w:t>
      </w:r>
    </w:p>
  </w:endnote>
  <w:endnote w:id="13">
    <w:p w14:paraId="5DD8AFBE" w14:textId="2B6BF0FB" w:rsidR="00231C20" w:rsidRPr="00231C20" w:rsidRDefault="00231C20" w:rsidP="002B07F9">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xml:space="preserve">., 349; Thorburn, N. (2018). </w:t>
      </w:r>
      <w:hyperlink r:id="rId11" w:history="1">
        <w:r w:rsidRPr="00231C20">
          <w:rPr>
            <w:rStyle w:val="Hyperlink"/>
            <w:rFonts w:asciiTheme="majorHAnsi" w:eastAsia="Calibri" w:hAnsiTheme="majorHAnsi" w:cstheme="majorHAnsi"/>
            <w:i/>
            <w:sz w:val="20"/>
            <w:szCs w:val="20"/>
          </w:rPr>
          <w:t>You can't see it if you’re not looking: Sex trafficking in Aotearoa New Zealand</w:t>
        </w:r>
      </w:hyperlink>
      <w:r w:rsidRPr="00231C20">
        <w:rPr>
          <w:rFonts w:asciiTheme="majorHAnsi" w:eastAsia="Calibri" w:hAnsiTheme="majorHAnsi" w:cstheme="majorHAnsi"/>
          <w:color w:val="000000"/>
          <w:sz w:val="20"/>
          <w:szCs w:val="20"/>
        </w:rPr>
        <w:t xml:space="preserve">. PhD thesis. University of Auckland. </w:t>
      </w:r>
    </w:p>
  </w:endnote>
  <w:endnote w:id="14">
    <w:p w14:paraId="5CDAE676"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349.</w:t>
      </w:r>
    </w:p>
  </w:endnote>
  <w:endnote w:id="15">
    <w:p w14:paraId="54C81FEC"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Stuff. (2019). “</w:t>
      </w:r>
      <w:hyperlink r:id="rId12">
        <w:r w:rsidRPr="00231C20">
          <w:rPr>
            <w:rFonts w:asciiTheme="majorHAnsi" w:eastAsia="Calibri" w:hAnsiTheme="majorHAnsi" w:cstheme="majorHAnsi"/>
            <w:i/>
            <w:color w:val="0000FF"/>
            <w:sz w:val="20"/>
            <w:szCs w:val="20"/>
            <w:u w:val="single"/>
          </w:rPr>
          <w:t>Human Trafficking in NZ: Government accused of having its ‘head in the sand’</w:t>
        </w:r>
      </w:hyperlink>
      <w:r w:rsidRPr="00231C20">
        <w:rPr>
          <w:rFonts w:asciiTheme="majorHAnsi" w:eastAsia="Calibri" w:hAnsiTheme="majorHAnsi" w:cstheme="majorHAnsi"/>
          <w:color w:val="000000"/>
          <w:sz w:val="20"/>
          <w:szCs w:val="20"/>
        </w:rPr>
        <w:t xml:space="preserve">”. </w:t>
      </w:r>
    </w:p>
  </w:endnote>
  <w:endnote w:id="16">
    <w:p w14:paraId="1C7D7F85"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w:t>
      </w:r>
    </w:p>
  </w:endnote>
  <w:endnote w:id="17">
    <w:p w14:paraId="6B876CE2" w14:textId="71FA92CE" w:rsidR="00231C20" w:rsidRPr="00231C20" w:rsidRDefault="00231C20">
      <w:pPr>
        <w:pStyle w:val="EndnoteText"/>
        <w:rPr>
          <w:rFonts w:asciiTheme="majorHAnsi" w:hAnsiTheme="majorHAnsi" w:cstheme="majorHAnsi"/>
          <w: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lang w:val="it-IT"/>
        </w:rPr>
        <w:t xml:space="preserve">ECPAT Child ALERT. (2020, February). </w:t>
      </w:r>
      <w:r w:rsidRPr="00231C20">
        <w:rPr>
          <w:rFonts w:asciiTheme="majorHAnsi" w:hAnsiTheme="majorHAnsi" w:cstheme="majorHAnsi"/>
          <w:i/>
          <w:lang w:val="it-IT"/>
        </w:rPr>
        <w:t>Personal Communication.</w:t>
      </w:r>
    </w:p>
  </w:endnote>
  <w:endnote w:id="18">
    <w:p w14:paraId="18AC9E14"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U.S. Department of State. (2019). </w:t>
      </w:r>
      <w:hyperlink r:id="rId13">
        <w:r w:rsidRPr="00231C20">
          <w:rPr>
            <w:rFonts w:asciiTheme="majorHAnsi" w:eastAsia="Calibri" w:hAnsiTheme="majorHAnsi" w:cstheme="majorHAnsi"/>
            <w:i/>
            <w:color w:val="0000FF"/>
            <w:sz w:val="20"/>
            <w:szCs w:val="20"/>
            <w:u w:val="single"/>
          </w:rPr>
          <w:t>Trafficking in Persons Report</w:t>
        </w:r>
      </w:hyperlink>
      <w:r w:rsidRPr="00231C20">
        <w:rPr>
          <w:rFonts w:asciiTheme="majorHAnsi" w:eastAsia="Calibri" w:hAnsiTheme="majorHAnsi" w:cstheme="majorHAnsi"/>
          <w:color w:val="000000"/>
          <w:sz w:val="20"/>
          <w:szCs w:val="20"/>
        </w:rPr>
        <w:t>. 348.</w:t>
      </w:r>
    </w:p>
  </w:endnote>
  <w:endnote w:id="19">
    <w:p w14:paraId="313925DB"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348.</w:t>
      </w:r>
    </w:p>
  </w:endnote>
  <w:endnote w:id="20">
    <w:p w14:paraId="7CD344A6" w14:textId="6A635755" w:rsidR="00231C20" w:rsidRPr="00231C20" w:rsidRDefault="00231C20">
      <w:pPr>
        <w:pStyle w:val="EndnoteText"/>
        <w:rPr>
          <w:rFonts w:asciiTheme="majorHAnsi" w:hAnsiTheme="majorHAnsi" w:cstheme="majorHAns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lang w:val="it-IT"/>
        </w:rPr>
        <w:t xml:space="preserve">ECPAT Child ALERT. (2020, February). </w:t>
      </w:r>
      <w:r w:rsidRPr="00231C20">
        <w:rPr>
          <w:rFonts w:asciiTheme="majorHAnsi" w:hAnsiTheme="majorHAnsi" w:cstheme="majorHAnsi"/>
          <w:i/>
          <w:lang w:val="it-IT"/>
        </w:rPr>
        <w:t>Personal Communication.</w:t>
      </w:r>
    </w:p>
  </w:endnote>
  <w:endnote w:id="21">
    <w:p w14:paraId="30D1A2EC"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b/>
          <w: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Stats NZ. (2019). “</w:t>
      </w:r>
      <w:hyperlink r:id="rId14">
        <w:r w:rsidRPr="00231C20">
          <w:rPr>
            <w:rFonts w:asciiTheme="majorHAnsi" w:eastAsia="Calibri" w:hAnsiTheme="majorHAnsi" w:cstheme="majorHAnsi"/>
            <w:i/>
            <w:color w:val="0000FF"/>
            <w:sz w:val="20"/>
            <w:szCs w:val="20"/>
            <w:u w:val="single"/>
          </w:rPr>
          <w:t>International travel: September 2019</w:t>
        </w:r>
      </w:hyperlink>
      <w:r w:rsidRPr="00231C20">
        <w:rPr>
          <w:rFonts w:asciiTheme="majorHAnsi" w:eastAsia="Calibri" w:hAnsiTheme="majorHAnsi" w:cstheme="majorHAnsi"/>
          <w:i/>
          <w:color w:val="000000"/>
          <w:sz w:val="20"/>
          <w:szCs w:val="20"/>
        </w:rPr>
        <w:t>”.</w:t>
      </w:r>
    </w:p>
  </w:endnote>
  <w:endnote w:id="22">
    <w:p w14:paraId="7563FACB"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ECPAT International (2016). “</w:t>
      </w:r>
      <w:hyperlink r:id="rId15">
        <w:r w:rsidRPr="00231C20">
          <w:rPr>
            <w:rFonts w:asciiTheme="majorHAnsi" w:eastAsia="Calibri" w:hAnsiTheme="majorHAnsi" w:cstheme="majorHAnsi"/>
            <w:i/>
            <w:color w:val="0000FF"/>
            <w:sz w:val="20"/>
            <w:szCs w:val="20"/>
            <w:u w:val="single"/>
          </w:rPr>
          <w:t>Global Study on Sexual Exploitation of Children in Travel and Tourism – Regional Report: Pacific</w:t>
        </w:r>
      </w:hyperlink>
      <w:r w:rsidRPr="00231C20">
        <w:rPr>
          <w:rFonts w:asciiTheme="majorHAnsi" w:eastAsia="Calibri" w:hAnsiTheme="majorHAnsi" w:cstheme="majorHAnsi"/>
          <w:color w:val="000000"/>
          <w:sz w:val="20"/>
          <w:szCs w:val="20"/>
        </w:rPr>
        <w:t>”. 10.</w:t>
      </w:r>
    </w:p>
  </w:endnote>
  <w:endnote w:id="23">
    <w:p w14:paraId="17992D64" w14:textId="77777777" w:rsidR="00231C20" w:rsidRPr="00231C20" w:rsidRDefault="00231C20" w:rsidP="005F162E">
      <w:pPr>
        <w:widowControl w:val="0"/>
        <w:pBdr>
          <w:top w:val="nil"/>
          <w:left w:val="nil"/>
          <w:bottom w:val="nil"/>
          <w:right w:val="nil"/>
          <w:between w:val="nil"/>
        </w:pBdr>
        <w:tabs>
          <w:tab w:val="left" w:pos="843"/>
          <w:tab w:val="left" w:pos="1403"/>
          <w:tab w:val="left" w:pos="1963"/>
          <w:tab w:val="left" w:pos="2523"/>
          <w:tab w:val="left" w:pos="3083"/>
          <w:tab w:val="left" w:pos="3643"/>
          <w:tab w:val="left" w:pos="4203"/>
          <w:tab w:val="left" w:pos="4763"/>
          <w:tab w:val="left" w:pos="5323"/>
          <w:tab w:val="left" w:pos="5883"/>
          <w:tab w:val="left" w:pos="6443"/>
          <w:tab w:val="left" w:pos="7003"/>
        </w:tabs>
        <w:ind w:left="283" w:hanging="283"/>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The Code. “</w:t>
      </w:r>
      <w:hyperlink r:id="rId16">
        <w:r w:rsidRPr="00231C20">
          <w:rPr>
            <w:rFonts w:asciiTheme="majorHAnsi" w:eastAsia="Calibri" w:hAnsiTheme="majorHAnsi" w:cstheme="majorHAnsi"/>
            <w:color w:val="0000FF"/>
            <w:sz w:val="20"/>
            <w:szCs w:val="20"/>
            <w:u w:val="single"/>
          </w:rPr>
          <w:t>Members of The Code”.</w:t>
        </w:r>
      </w:hyperlink>
      <w:r w:rsidRPr="00231C20">
        <w:rPr>
          <w:rFonts w:asciiTheme="majorHAnsi" w:eastAsia="Calibri" w:hAnsiTheme="majorHAnsi" w:cstheme="majorHAnsi"/>
          <w:color w:val="000000"/>
          <w:sz w:val="20"/>
          <w:szCs w:val="20"/>
        </w:rPr>
        <w:t xml:space="preserve"> </w:t>
      </w:r>
    </w:p>
  </w:endnote>
  <w:endnote w:id="24">
    <w:p w14:paraId="6A6F21AE"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NetSafe. (2018). “</w:t>
      </w:r>
      <w:hyperlink r:id="rId17">
        <w:r w:rsidRPr="00231C20">
          <w:rPr>
            <w:rFonts w:asciiTheme="majorHAnsi" w:eastAsia="Calibri" w:hAnsiTheme="majorHAnsi" w:cstheme="majorHAnsi"/>
            <w:i/>
            <w:color w:val="0000FF"/>
            <w:sz w:val="20"/>
            <w:szCs w:val="20"/>
            <w:u w:val="single"/>
          </w:rPr>
          <w:t>New Zealand Teens and Digital Harm: Statistical Insights Into Experiences, Impact and Response</w:t>
        </w:r>
      </w:hyperlink>
      <w:r w:rsidRPr="00231C20">
        <w:rPr>
          <w:rFonts w:asciiTheme="majorHAnsi" w:eastAsia="Calibri" w:hAnsiTheme="majorHAnsi" w:cstheme="majorHAnsi"/>
          <w:color w:val="000000"/>
          <w:sz w:val="20"/>
          <w:szCs w:val="20"/>
        </w:rPr>
        <w:t>”.</w:t>
      </w:r>
    </w:p>
  </w:endnote>
  <w:endnote w:id="25">
    <w:p w14:paraId="446BED92"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w:t>
      </w:r>
    </w:p>
  </w:endnote>
  <w:endnote w:id="26">
    <w:p w14:paraId="7B85E050"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Parliamentary Counsel Office. (2018). </w:t>
      </w:r>
      <w:hyperlink r:id="rId18">
        <w:r w:rsidRPr="00231C20">
          <w:rPr>
            <w:rFonts w:asciiTheme="majorHAnsi" w:eastAsia="Calibri" w:hAnsiTheme="majorHAnsi" w:cstheme="majorHAnsi"/>
            <w:color w:val="0000FF"/>
            <w:sz w:val="20"/>
            <w:szCs w:val="20"/>
            <w:u w:val="single"/>
          </w:rPr>
          <w:t>Marriage (Definition of Marriage) Amendement Bill.</w:t>
        </w:r>
      </w:hyperlink>
    </w:p>
  </w:endnote>
  <w:endnote w:id="27">
    <w:p w14:paraId="1ADCAF63"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Government. (2012). </w:t>
      </w:r>
      <w:hyperlink r:id="rId19">
        <w:r w:rsidRPr="00231C20">
          <w:rPr>
            <w:rFonts w:asciiTheme="majorHAnsi" w:eastAsia="Calibri" w:hAnsiTheme="majorHAnsi" w:cstheme="majorHAnsi"/>
            <w:color w:val="0000FF"/>
            <w:sz w:val="20"/>
            <w:szCs w:val="20"/>
            <w:u w:val="single"/>
          </w:rPr>
          <w:t>Children’s Action Plan</w:t>
        </w:r>
      </w:hyperlink>
      <w:r w:rsidRPr="00231C20">
        <w:rPr>
          <w:rFonts w:asciiTheme="majorHAnsi" w:eastAsia="Calibri" w:hAnsiTheme="majorHAnsi" w:cstheme="majorHAnsi"/>
          <w:color w:val="000000"/>
          <w:sz w:val="20"/>
          <w:szCs w:val="20"/>
        </w:rPr>
        <w:t xml:space="preserve">. </w:t>
      </w:r>
    </w:p>
  </w:endnote>
  <w:endnote w:id="28">
    <w:p w14:paraId="1F4128A8"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Government. (2012). </w:t>
      </w:r>
      <w:hyperlink r:id="rId20">
        <w:r w:rsidRPr="00231C20">
          <w:rPr>
            <w:rFonts w:asciiTheme="majorHAnsi" w:eastAsia="Calibri" w:hAnsiTheme="majorHAnsi" w:cstheme="majorHAnsi"/>
            <w:color w:val="0000FF"/>
            <w:sz w:val="20"/>
            <w:szCs w:val="20"/>
            <w:u w:val="single"/>
          </w:rPr>
          <w:t>The White Paper for Vulnerable Children</w:t>
        </w:r>
      </w:hyperlink>
      <w:r w:rsidRPr="00231C20">
        <w:rPr>
          <w:rFonts w:asciiTheme="majorHAnsi" w:eastAsia="Calibri" w:hAnsiTheme="majorHAnsi" w:cstheme="majorHAnsi"/>
          <w:color w:val="000000"/>
          <w:sz w:val="20"/>
          <w:szCs w:val="20"/>
        </w:rPr>
        <w:t>.</w:t>
      </w:r>
    </w:p>
  </w:endnote>
  <w:endnote w:id="29">
    <w:p w14:paraId="21C177A5"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Ministry of Health. (2019). </w:t>
      </w:r>
      <w:hyperlink r:id="rId21">
        <w:r w:rsidRPr="00231C20">
          <w:rPr>
            <w:rFonts w:asciiTheme="majorHAnsi" w:eastAsia="Calibri" w:hAnsiTheme="majorHAnsi" w:cstheme="majorHAnsi"/>
            <w:color w:val="0000FF"/>
            <w:sz w:val="20"/>
            <w:szCs w:val="20"/>
            <w:u w:val="single"/>
          </w:rPr>
          <w:t>Children’s Action Plan Programme</w:t>
        </w:r>
      </w:hyperlink>
      <w:r w:rsidRPr="00231C20">
        <w:rPr>
          <w:rFonts w:asciiTheme="majorHAnsi" w:eastAsia="Calibri" w:hAnsiTheme="majorHAnsi" w:cstheme="majorHAnsi"/>
          <w:color w:val="000000"/>
          <w:sz w:val="20"/>
          <w:szCs w:val="20"/>
        </w:rPr>
        <w:t>.</w:t>
      </w:r>
    </w:p>
  </w:endnote>
  <w:endnote w:id="30">
    <w:p w14:paraId="1617BAC7"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xml:space="preserve">. </w:t>
      </w:r>
    </w:p>
  </w:endnote>
  <w:endnote w:id="31">
    <w:p w14:paraId="276522DC"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 xml:space="preserve">. </w:t>
      </w:r>
    </w:p>
  </w:endnote>
  <w:endnote w:id="32">
    <w:p w14:paraId="6DF71F18"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Ministry for Children. </w:t>
      </w:r>
      <w:hyperlink r:id="rId22">
        <w:r w:rsidRPr="00231C20">
          <w:rPr>
            <w:rFonts w:asciiTheme="majorHAnsi" w:eastAsia="Calibri" w:hAnsiTheme="majorHAnsi" w:cstheme="majorHAnsi"/>
            <w:color w:val="0000FF"/>
            <w:sz w:val="20"/>
            <w:szCs w:val="20"/>
            <w:u w:val="single"/>
          </w:rPr>
          <w:t>Children’s Teams</w:t>
        </w:r>
      </w:hyperlink>
      <w:r w:rsidRPr="00231C20">
        <w:rPr>
          <w:rFonts w:asciiTheme="majorHAnsi" w:eastAsia="Calibri" w:hAnsiTheme="majorHAnsi" w:cstheme="majorHAnsi"/>
          <w:color w:val="000000"/>
          <w:sz w:val="20"/>
          <w:szCs w:val="20"/>
        </w:rPr>
        <w:t>.</w:t>
      </w:r>
    </w:p>
  </w:endnote>
  <w:endnote w:id="33">
    <w:p w14:paraId="3C70DF5E"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Ministry of Health. (2019). </w:t>
      </w:r>
      <w:hyperlink r:id="rId23">
        <w:r w:rsidRPr="00231C20">
          <w:rPr>
            <w:rFonts w:asciiTheme="majorHAnsi" w:eastAsia="Calibri" w:hAnsiTheme="majorHAnsi" w:cstheme="majorHAnsi"/>
            <w:color w:val="0000FF"/>
            <w:sz w:val="20"/>
            <w:szCs w:val="20"/>
            <w:u w:val="single"/>
          </w:rPr>
          <w:t>Children’s Action Plan Programme</w:t>
        </w:r>
      </w:hyperlink>
      <w:r w:rsidRPr="00231C20">
        <w:rPr>
          <w:rFonts w:asciiTheme="majorHAnsi" w:eastAsia="Calibri" w:hAnsiTheme="majorHAnsi" w:cstheme="majorHAnsi"/>
          <w:color w:val="000000"/>
          <w:sz w:val="20"/>
          <w:szCs w:val="20"/>
        </w:rPr>
        <w:t>.</w:t>
      </w:r>
    </w:p>
  </w:endnote>
  <w:endnote w:id="34">
    <w:p w14:paraId="5135F888"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Department of the Prime Minister and Cabinet. </w:t>
      </w:r>
      <w:hyperlink r:id="rId24">
        <w:r w:rsidRPr="00231C20">
          <w:rPr>
            <w:rFonts w:asciiTheme="majorHAnsi" w:eastAsia="Calibri" w:hAnsiTheme="majorHAnsi" w:cstheme="majorHAnsi"/>
            <w:color w:val="0000FF"/>
            <w:sz w:val="20"/>
            <w:szCs w:val="20"/>
            <w:u w:val="single"/>
          </w:rPr>
          <w:t>Child and Youth Wellbeing Strategy</w:t>
        </w:r>
      </w:hyperlink>
      <w:r w:rsidRPr="00231C20">
        <w:rPr>
          <w:rFonts w:asciiTheme="majorHAnsi" w:eastAsia="Calibri" w:hAnsiTheme="majorHAnsi" w:cstheme="majorHAnsi"/>
          <w:color w:val="000000"/>
          <w:sz w:val="20"/>
          <w:szCs w:val="20"/>
        </w:rPr>
        <w:t>.</w:t>
      </w:r>
    </w:p>
  </w:endnote>
  <w:endnote w:id="35">
    <w:p w14:paraId="1E8C5C04"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w:t>
      </w:r>
    </w:p>
  </w:endnote>
  <w:endnote w:id="36">
    <w:p w14:paraId="28A6D18C" w14:textId="04110C5E"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U.S. Department of State. (2019). </w:t>
      </w:r>
      <w:hyperlink r:id="rId25">
        <w:r w:rsidRPr="00231C20">
          <w:rPr>
            <w:rFonts w:asciiTheme="majorHAnsi" w:eastAsia="Calibri" w:hAnsiTheme="majorHAnsi" w:cstheme="majorHAnsi"/>
            <w:i/>
            <w:color w:val="0000FF"/>
            <w:sz w:val="20"/>
            <w:szCs w:val="20"/>
            <w:u w:val="single"/>
          </w:rPr>
          <w:t>Trafficking in Persons Report</w:t>
        </w:r>
      </w:hyperlink>
      <w:r w:rsidRPr="00231C20">
        <w:rPr>
          <w:rFonts w:asciiTheme="majorHAnsi" w:eastAsia="Calibri" w:hAnsiTheme="majorHAnsi" w:cstheme="majorHAnsi"/>
          <w:color w:val="000000"/>
          <w:sz w:val="20"/>
          <w:szCs w:val="20"/>
        </w:rPr>
        <w:t>. 349.</w:t>
      </w:r>
    </w:p>
  </w:endnote>
  <w:endnote w:id="37">
    <w:p w14:paraId="5CF5DE62"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ECPAT International (2016). “</w:t>
      </w:r>
      <w:hyperlink r:id="rId26">
        <w:r w:rsidRPr="00231C20">
          <w:rPr>
            <w:rFonts w:asciiTheme="majorHAnsi" w:eastAsia="Calibri" w:hAnsiTheme="majorHAnsi" w:cstheme="majorHAnsi"/>
            <w:i/>
            <w:color w:val="0000FF"/>
            <w:sz w:val="20"/>
            <w:szCs w:val="20"/>
            <w:u w:val="single"/>
          </w:rPr>
          <w:t>Global Study on Sexual Exploitation of Children in Travel and Tourism – Regional Report: Pacific</w:t>
        </w:r>
      </w:hyperlink>
      <w:r w:rsidRPr="00231C20">
        <w:rPr>
          <w:rFonts w:asciiTheme="majorHAnsi" w:eastAsia="Calibri" w:hAnsiTheme="majorHAnsi" w:cstheme="majorHAnsi"/>
          <w:color w:val="000000"/>
          <w:sz w:val="20"/>
          <w:szCs w:val="20"/>
        </w:rPr>
        <w:t>”. 11.</w:t>
      </w:r>
    </w:p>
  </w:endnote>
  <w:endnote w:id="38">
    <w:p w14:paraId="5F612B8B" w14:textId="32C6703B"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hAnsiTheme="majorHAnsi" w:cstheme="majorHAnsi"/>
          <w:sz w:val="20"/>
          <w:szCs w:val="20"/>
          <w:lang w:val="it-IT"/>
        </w:rPr>
        <w:t xml:space="preserve">ECPAT Child ALERT. (2020, February). </w:t>
      </w:r>
      <w:r w:rsidRPr="00231C20">
        <w:rPr>
          <w:rFonts w:asciiTheme="majorHAnsi" w:hAnsiTheme="majorHAnsi" w:cstheme="majorHAnsi"/>
          <w:i/>
          <w:sz w:val="20"/>
          <w:szCs w:val="20"/>
          <w:lang w:val="it-IT"/>
        </w:rPr>
        <w:t>Personal Communication.</w:t>
      </w:r>
    </w:p>
  </w:endnote>
  <w:endnote w:id="39">
    <w:p w14:paraId="2DD05A73"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U.S. Department of State. (2019). </w:t>
      </w:r>
      <w:hyperlink r:id="rId27">
        <w:r w:rsidRPr="00231C20">
          <w:rPr>
            <w:rFonts w:asciiTheme="majorHAnsi" w:eastAsia="Calibri" w:hAnsiTheme="majorHAnsi" w:cstheme="majorHAnsi"/>
            <w:i/>
            <w:color w:val="0000FF"/>
            <w:sz w:val="20"/>
            <w:szCs w:val="20"/>
            <w:u w:val="single"/>
          </w:rPr>
          <w:t>Trafficking in Persons Report</w:t>
        </w:r>
      </w:hyperlink>
      <w:r w:rsidRPr="00231C20">
        <w:rPr>
          <w:rFonts w:asciiTheme="majorHAnsi" w:eastAsia="Calibri" w:hAnsiTheme="majorHAnsi" w:cstheme="majorHAnsi"/>
          <w:color w:val="000000"/>
          <w:sz w:val="20"/>
          <w:szCs w:val="20"/>
        </w:rPr>
        <w:t>. 349.</w:t>
      </w:r>
    </w:p>
  </w:endnote>
  <w:endnote w:id="40">
    <w:p w14:paraId="2D2AB749"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eastAsia="Calibri" w:hAnsiTheme="majorHAnsi" w:cstheme="majorHAnsi"/>
          <w:i/>
          <w:color w:val="000000"/>
          <w:sz w:val="20"/>
          <w:szCs w:val="20"/>
        </w:rPr>
        <w:t>Ibid</w:t>
      </w:r>
      <w:r w:rsidRPr="00231C20">
        <w:rPr>
          <w:rFonts w:asciiTheme="majorHAnsi" w:eastAsia="Calibri" w:hAnsiTheme="majorHAnsi" w:cstheme="majorHAnsi"/>
          <w:color w:val="000000"/>
          <w:sz w:val="20"/>
          <w:szCs w:val="20"/>
        </w:rPr>
        <w:t>.</w:t>
      </w:r>
    </w:p>
  </w:endnote>
  <w:endnote w:id="41">
    <w:p w14:paraId="0D4808EC" w14:textId="6DF7CECC" w:rsidR="00231C20" w:rsidRPr="00231C20" w:rsidRDefault="00231C20">
      <w:pPr>
        <w:pStyle w:val="EndnoteText"/>
        <w:rPr>
          <w:rFonts w:asciiTheme="majorHAnsi" w:hAnsiTheme="majorHAnsi" w:cstheme="majorHAns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lang w:val="it-IT"/>
        </w:rPr>
        <w:t xml:space="preserve">ECPAT Child ALERT. (2020, February). </w:t>
      </w:r>
      <w:r w:rsidRPr="00231C20">
        <w:rPr>
          <w:rFonts w:asciiTheme="majorHAnsi" w:hAnsiTheme="majorHAnsi" w:cstheme="majorHAnsi"/>
          <w:i/>
          <w:lang w:val="it-IT"/>
        </w:rPr>
        <w:t>Personal Communication.</w:t>
      </w:r>
    </w:p>
  </w:endnote>
  <w:endnote w:id="42">
    <w:p w14:paraId="7EB6C1C3" w14:textId="77777777" w:rsidR="00231C20" w:rsidRPr="00231C20" w:rsidRDefault="00231C20" w:rsidP="005F162E">
      <w:pPr>
        <w:pBdr>
          <w:top w:val="nil"/>
          <w:left w:val="nil"/>
          <w:bottom w:val="nil"/>
          <w:right w:val="nil"/>
          <w:between w:val="nil"/>
        </w:pBdr>
        <w:rPr>
          <w:rFonts w:asciiTheme="majorHAnsi" w:eastAsia="Calibri" w:hAnsiTheme="majorHAnsi" w:cstheme="majorHAnsi"/>
          <w: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Police. (2019). “</w:t>
      </w:r>
      <w:hyperlink r:id="rId28">
        <w:r w:rsidRPr="00231C20">
          <w:rPr>
            <w:rFonts w:asciiTheme="majorHAnsi" w:eastAsia="Calibri" w:hAnsiTheme="majorHAnsi" w:cstheme="majorHAnsi"/>
            <w:i/>
            <w:color w:val="0000FF"/>
            <w:sz w:val="20"/>
            <w:szCs w:val="20"/>
            <w:u w:val="single"/>
          </w:rPr>
          <w:t>Be Safe, Feel Safe</w:t>
        </w:r>
      </w:hyperlink>
      <w:r w:rsidRPr="00231C20">
        <w:rPr>
          <w:rFonts w:asciiTheme="majorHAnsi" w:eastAsia="Calibri" w:hAnsiTheme="majorHAnsi" w:cstheme="majorHAnsi"/>
          <w:i/>
          <w:color w:val="000000"/>
          <w:sz w:val="20"/>
          <w:szCs w:val="20"/>
        </w:rPr>
        <w:t>”.</w:t>
      </w:r>
    </w:p>
  </w:endnote>
  <w:endnote w:id="43">
    <w:p w14:paraId="4434457C"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29">
        <w:r w:rsidRPr="00231C20">
          <w:rPr>
            <w:rFonts w:asciiTheme="majorHAnsi" w:eastAsia="Calibri" w:hAnsiTheme="majorHAnsi" w:cstheme="majorHAnsi"/>
            <w:color w:val="0000FF"/>
            <w:sz w:val="20"/>
            <w:szCs w:val="20"/>
            <w:u w:val="single"/>
          </w:rPr>
          <w:t>http://arcsmanawatu.org.nz/</w:t>
        </w:r>
      </w:hyperlink>
      <w:r w:rsidRPr="00231C20">
        <w:rPr>
          <w:rFonts w:asciiTheme="majorHAnsi" w:eastAsia="Calibri" w:hAnsiTheme="majorHAnsi" w:cstheme="majorHAnsi"/>
          <w:color w:val="000000"/>
          <w:sz w:val="20"/>
          <w:szCs w:val="20"/>
        </w:rPr>
        <w:t>.</w:t>
      </w:r>
    </w:p>
  </w:endnote>
  <w:endnote w:id="44">
    <w:p w14:paraId="245A7267"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30">
        <w:r w:rsidRPr="00231C20">
          <w:rPr>
            <w:rFonts w:asciiTheme="majorHAnsi" w:eastAsia="Calibri" w:hAnsiTheme="majorHAnsi" w:cstheme="majorHAnsi"/>
            <w:color w:val="0000FF"/>
            <w:sz w:val="20"/>
            <w:szCs w:val="20"/>
            <w:u w:val="single"/>
          </w:rPr>
          <w:t>http://www.kidpower.org.nz/</w:t>
        </w:r>
      </w:hyperlink>
      <w:r w:rsidRPr="00231C20">
        <w:rPr>
          <w:rFonts w:asciiTheme="majorHAnsi" w:eastAsia="Calibri" w:hAnsiTheme="majorHAnsi" w:cstheme="majorHAnsi"/>
          <w:color w:val="000000"/>
          <w:sz w:val="20"/>
          <w:szCs w:val="20"/>
        </w:rPr>
        <w:t>.</w:t>
      </w:r>
    </w:p>
  </w:endnote>
  <w:endnote w:id="45">
    <w:p w14:paraId="3CE3906A"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31">
        <w:r w:rsidRPr="00231C20">
          <w:rPr>
            <w:rFonts w:asciiTheme="majorHAnsi" w:eastAsia="Calibri" w:hAnsiTheme="majorHAnsi" w:cstheme="majorHAnsi"/>
            <w:color w:val="0000FF"/>
            <w:sz w:val="20"/>
            <w:szCs w:val="20"/>
            <w:u w:val="single"/>
          </w:rPr>
          <w:t>https://www.matesanddates.co.nz/</w:t>
        </w:r>
      </w:hyperlink>
      <w:r w:rsidRPr="00231C20">
        <w:rPr>
          <w:rFonts w:asciiTheme="majorHAnsi" w:eastAsia="Calibri" w:hAnsiTheme="majorHAnsi" w:cstheme="majorHAnsi"/>
          <w:color w:val="000000"/>
          <w:sz w:val="20"/>
          <w:szCs w:val="20"/>
        </w:rPr>
        <w:t>.</w:t>
      </w:r>
    </w:p>
  </w:endnote>
  <w:endnote w:id="46">
    <w:p w14:paraId="012818CA"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32">
        <w:r w:rsidRPr="00231C20">
          <w:rPr>
            <w:rFonts w:asciiTheme="majorHAnsi" w:eastAsia="Calibri" w:hAnsiTheme="majorHAnsi" w:cstheme="majorHAnsi"/>
            <w:color w:val="0000FF"/>
            <w:sz w:val="20"/>
            <w:szCs w:val="20"/>
            <w:u w:val="single"/>
          </w:rPr>
          <w:t>https://rpe.co.nz/</w:t>
        </w:r>
      </w:hyperlink>
      <w:r w:rsidRPr="00231C20">
        <w:rPr>
          <w:rFonts w:asciiTheme="majorHAnsi" w:eastAsia="Calibri" w:hAnsiTheme="majorHAnsi" w:cstheme="majorHAnsi"/>
          <w:color w:val="000000"/>
          <w:sz w:val="20"/>
          <w:szCs w:val="20"/>
        </w:rPr>
        <w:t>.</w:t>
      </w:r>
    </w:p>
  </w:endnote>
  <w:endnote w:id="47">
    <w:p w14:paraId="7A4BAE88"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33">
        <w:r w:rsidRPr="00231C20">
          <w:rPr>
            <w:rFonts w:asciiTheme="majorHAnsi" w:eastAsia="Calibri" w:hAnsiTheme="majorHAnsi" w:cstheme="majorHAnsi"/>
            <w:color w:val="0000FF"/>
            <w:sz w:val="20"/>
            <w:szCs w:val="20"/>
            <w:u w:val="single"/>
          </w:rPr>
          <w:t>http://sexualabuseprevention.org.nz/</w:t>
        </w:r>
      </w:hyperlink>
      <w:r w:rsidRPr="00231C20">
        <w:rPr>
          <w:rFonts w:asciiTheme="majorHAnsi" w:eastAsia="Calibri" w:hAnsiTheme="majorHAnsi" w:cstheme="majorHAnsi"/>
          <w:color w:val="000000"/>
          <w:sz w:val="20"/>
          <w:szCs w:val="20"/>
        </w:rPr>
        <w:t>.</w:t>
      </w:r>
    </w:p>
  </w:endnote>
  <w:endnote w:id="48">
    <w:p w14:paraId="44739D9B"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Legislation. (2014). </w:t>
      </w:r>
      <w:hyperlink r:id="rId34">
        <w:r w:rsidRPr="00231C20">
          <w:rPr>
            <w:rFonts w:asciiTheme="majorHAnsi" w:eastAsia="Calibri" w:hAnsiTheme="majorHAnsi" w:cstheme="majorHAnsi"/>
            <w:color w:val="0000FF"/>
            <w:sz w:val="20"/>
            <w:szCs w:val="20"/>
            <w:u w:val="single"/>
          </w:rPr>
          <w:t>Children’s Act 2014</w:t>
        </w:r>
      </w:hyperlink>
      <w:r w:rsidRPr="00231C20">
        <w:rPr>
          <w:rFonts w:asciiTheme="majorHAnsi" w:eastAsia="Calibri" w:hAnsiTheme="majorHAnsi" w:cstheme="majorHAnsi"/>
          <w:color w:val="000000"/>
          <w:sz w:val="20"/>
          <w:szCs w:val="20"/>
        </w:rPr>
        <w:t>.</w:t>
      </w:r>
    </w:p>
  </w:endnote>
  <w:endnote w:id="49">
    <w:p w14:paraId="77AAB601"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35" w:anchor="DLM197815">
        <w:r w:rsidRPr="00231C20">
          <w:rPr>
            <w:rFonts w:asciiTheme="majorHAnsi" w:eastAsia="Calibri" w:hAnsiTheme="majorHAnsi" w:cstheme="majorHAnsi"/>
            <w:color w:val="0000FF"/>
            <w:sz w:val="20"/>
            <w:szCs w:val="20"/>
            <w:u w:val="single"/>
          </w:rPr>
          <w:t>Prostitution Reform Act (2003)</w:t>
        </w:r>
      </w:hyperlink>
      <w:r w:rsidRPr="00231C20">
        <w:rPr>
          <w:rFonts w:asciiTheme="majorHAnsi" w:eastAsia="Calibri" w:hAnsiTheme="majorHAnsi" w:cstheme="majorHAnsi"/>
          <w:color w:val="000000"/>
          <w:sz w:val="20"/>
          <w:szCs w:val="20"/>
        </w:rPr>
        <w:t>, Part 2.</w:t>
      </w:r>
    </w:p>
  </w:endnote>
  <w:endnote w:id="50">
    <w:p w14:paraId="6B152F22"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Raymond, J. G. (2018), “</w:t>
      </w:r>
      <w:hyperlink r:id="rId36">
        <w:r w:rsidRPr="00231C20">
          <w:rPr>
            <w:rFonts w:asciiTheme="majorHAnsi" w:eastAsia="Calibri" w:hAnsiTheme="majorHAnsi" w:cstheme="majorHAnsi"/>
            <w:i/>
            <w:color w:val="0000FF"/>
            <w:sz w:val="20"/>
            <w:szCs w:val="20"/>
            <w:u w:val="single"/>
          </w:rPr>
          <w:t>Gatekeeping Decriminalized Prostitution: The Influence of the New Zealand Prostitutes’ Collective</w:t>
        </w:r>
      </w:hyperlink>
      <w:r w:rsidRPr="00231C20">
        <w:rPr>
          <w:rFonts w:asciiTheme="majorHAnsi" w:eastAsia="Calibri" w:hAnsiTheme="majorHAnsi" w:cstheme="majorHAnsi"/>
          <w:color w:val="000000"/>
          <w:sz w:val="20"/>
          <w:szCs w:val="20"/>
        </w:rPr>
        <w:t>”. Dignity: A Journal of Sexual Exploitation and Violence 3 no.2.</w:t>
      </w:r>
    </w:p>
  </w:endnote>
  <w:endnote w:id="51">
    <w:p w14:paraId="26BE2569" w14:textId="52F8CB12"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hAnsiTheme="majorHAnsi" w:cstheme="majorHAnsi"/>
          <w:sz w:val="20"/>
          <w:szCs w:val="20"/>
          <w:lang w:val="it-IT"/>
        </w:rPr>
        <w:t xml:space="preserve">ECPAT Child ALERT. (2020, February). </w:t>
      </w:r>
      <w:r w:rsidRPr="00231C20">
        <w:rPr>
          <w:rFonts w:asciiTheme="majorHAnsi" w:hAnsiTheme="majorHAnsi" w:cstheme="majorHAnsi"/>
          <w:i/>
          <w:sz w:val="20"/>
          <w:szCs w:val="20"/>
          <w:lang w:val="it-IT"/>
        </w:rPr>
        <w:t>Personal Communication.</w:t>
      </w:r>
    </w:p>
  </w:endnote>
  <w:endnote w:id="52">
    <w:p w14:paraId="289C8410"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37">
        <w:r w:rsidRPr="00231C20">
          <w:rPr>
            <w:rFonts w:asciiTheme="majorHAnsi" w:eastAsia="Calibri" w:hAnsiTheme="majorHAnsi" w:cstheme="majorHAnsi"/>
            <w:color w:val="0000FF"/>
            <w:sz w:val="20"/>
            <w:szCs w:val="20"/>
            <w:u w:val="single"/>
          </w:rPr>
          <w:t>Films, Videos, and Publications Classification Act (1993)</w:t>
        </w:r>
      </w:hyperlink>
      <w:r w:rsidRPr="00231C20">
        <w:rPr>
          <w:rFonts w:asciiTheme="majorHAnsi" w:eastAsia="Calibri" w:hAnsiTheme="majorHAnsi" w:cstheme="majorHAnsi"/>
          <w:color w:val="000000"/>
          <w:sz w:val="20"/>
          <w:szCs w:val="20"/>
        </w:rPr>
        <w:t>.</w:t>
      </w:r>
    </w:p>
  </w:endnote>
  <w:endnote w:id="53">
    <w:p w14:paraId="222CD745" w14:textId="46F488A0" w:rsidR="00231C20" w:rsidRPr="00231C20" w:rsidRDefault="00231C20">
      <w:pPr>
        <w:pStyle w:val="EndnoteText"/>
        <w:rPr>
          <w:rFonts w:asciiTheme="majorHAnsi" w:hAnsiTheme="majorHAnsi" w:cstheme="majorHAnsi"/>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i/>
        </w:rPr>
        <w:t xml:space="preserve">Ibid. </w:t>
      </w:r>
      <w:r w:rsidRPr="00231C20">
        <w:rPr>
          <w:rFonts w:asciiTheme="majorHAnsi" w:hAnsiTheme="majorHAnsi" w:cstheme="majorHAnsi"/>
        </w:rPr>
        <w:t xml:space="preserve">Article 3. </w:t>
      </w:r>
    </w:p>
  </w:endnote>
  <w:endnote w:id="54">
    <w:p w14:paraId="361FD93B" w14:textId="08A51D78" w:rsidR="00231C20" w:rsidRPr="00231C20" w:rsidRDefault="00231C20">
      <w:pPr>
        <w:pStyle w:val="EndnoteText"/>
        <w:rPr>
          <w:rFonts w:asciiTheme="majorHAnsi" w:hAnsiTheme="majorHAnsi" w:cstheme="majorHAnsi"/>
          <w:lang w:val="en-US"/>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hyperlink r:id="rId38" w:history="1">
        <w:r w:rsidRPr="00231C20">
          <w:rPr>
            <w:rStyle w:val="Hyperlink"/>
            <w:rFonts w:asciiTheme="majorHAnsi" w:hAnsiTheme="majorHAnsi" w:cstheme="majorHAnsi"/>
            <w:i/>
          </w:rPr>
          <w:t>Crimes Act 1961.</w:t>
        </w:r>
      </w:hyperlink>
      <w:r w:rsidRPr="00231C20">
        <w:rPr>
          <w:rFonts w:asciiTheme="majorHAnsi" w:hAnsiTheme="majorHAnsi" w:cstheme="majorHAnsi"/>
        </w:rPr>
        <w:t xml:space="preserve"> Article 131B.</w:t>
      </w:r>
    </w:p>
  </w:endnote>
  <w:endnote w:id="55">
    <w:p w14:paraId="716B1468"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Thorburn, N. (2017). “</w:t>
      </w:r>
      <w:hyperlink r:id="rId39">
        <w:r w:rsidRPr="00231C20">
          <w:rPr>
            <w:rFonts w:asciiTheme="majorHAnsi" w:eastAsia="Calibri" w:hAnsiTheme="majorHAnsi" w:cstheme="majorHAnsi"/>
            <w:i/>
            <w:color w:val="0000FF"/>
            <w:sz w:val="20"/>
            <w:szCs w:val="20"/>
            <w:u w:val="single"/>
          </w:rPr>
          <w:t>Practitioner Knowledge and Responsiveness to Victims of Sex Trafficking in Aotearoa/New Zealand</w:t>
        </w:r>
      </w:hyperlink>
      <w:r w:rsidRPr="00231C20">
        <w:rPr>
          <w:rFonts w:asciiTheme="majorHAnsi" w:eastAsia="Calibri" w:hAnsiTheme="majorHAnsi" w:cstheme="majorHAnsi"/>
          <w:color w:val="000000"/>
          <w:sz w:val="20"/>
          <w:szCs w:val="20"/>
        </w:rPr>
        <w:t>”. Women's Studies Journal.  77.</w:t>
      </w:r>
    </w:p>
  </w:endnote>
  <w:endnote w:id="56">
    <w:p w14:paraId="33FACAB3"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Newshub. (2017). </w:t>
      </w:r>
      <w:r w:rsidRPr="00231C20">
        <w:rPr>
          <w:rFonts w:asciiTheme="majorHAnsi" w:eastAsia="Calibri" w:hAnsiTheme="majorHAnsi" w:cstheme="majorHAnsi"/>
          <w:i/>
          <w:color w:val="000000"/>
          <w:sz w:val="20"/>
          <w:szCs w:val="20"/>
        </w:rPr>
        <w:t>“</w:t>
      </w:r>
      <w:hyperlink r:id="rId40">
        <w:r w:rsidRPr="00231C20">
          <w:rPr>
            <w:rFonts w:asciiTheme="majorHAnsi" w:eastAsia="Calibri" w:hAnsiTheme="majorHAnsi" w:cstheme="majorHAnsi"/>
            <w:i/>
            <w:color w:val="0000FF"/>
            <w:sz w:val="20"/>
            <w:szCs w:val="20"/>
            <w:u w:val="single"/>
          </w:rPr>
          <w:t>Prostitutes' Collective Questions Report on Child Sex Tafficking in NZ'</w:t>
        </w:r>
      </w:hyperlink>
      <w:r w:rsidRPr="00231C20">
        <w:rPr>
          <w:rFonts w:asciiTheme="majorHAnsi" w:eastAsia="Calibri" w:hAnsiTheme="majorHAnsi" w:cstheme="majorHAnsi"/>
          <w:color w:val="000000"/>
          <w:sz w:val="20"/>
          <w:szCs w:val="20"/>
        </w:rPr>
        <w:t>”.</w:t>
      </w:r>
    </w:p>
  </w:endnote>
  <w:endnote w:id="57">
    <w:p w14:paraId="01DFBD7E" w14:textId="1C286A93" w:rsidR="00231C20" w:rsidRPr="00231C20" w:rsidRDefault="00231C20">
      <w:pPr>
        <w:pStyle w:val="EndnoteText"/>
        <w:rPr>
          <w:rFonts w:asciiTheme="majorHAnsi" w:hAnsiTheme="majorHAnsi" w:cstheme="majorHAns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lang w:val="it-IT"/>
        </w:rPr>
        <w:t xml:space="preserve">ECPAT Child ALERT. (2020, February). </w:t>
      </w:r>
      <w:r w:rsidRPr="00231C20">
        <w:rPr>
          <w:rFonts w:asciiTheme="majorHAnsi" w:hAnsiTheme="majorHAnsi" w:cstheme="majorHAnsi"/>
          <w:i/>
          <w:lang w:val="it-IT"/>
        </w:rPr>
        <w:t>Personal Communication.</w:t>
      </w:r>
    </w:p>
  </w:endnote>
  <w:endnote w:id="58">
    <w:p w14:paraId="19B38A34" w14:textId="31874806" w:rsidR="00231C20" w:rsidRPr="00231C20" w:rsidRDefault="00231C20" w:rsidP="00A133A2">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1">
        <w:r w:rsidRPr="00231C20">
          <w:rPr>
            <w:rFonts w:asciiTheme="majorHAnsi" w:eastAsia="Calibri" w:hAnsiTheme="majorHAnsi" w:cstheme="majorHAnsi"/>
            <w:color w:val="0000FF"/>
            <w:sz w:val="20"/>
            <w:szCs w:val="20"/>
            <w:u w:val="single"/>
          </w:rPr>
          <w:t>Crimes Act (1961)</w:t>
        </w:r>
      </w:hyperlink>
      <w:r w:rsidRPr="00231C20">
        <w:rPr>
          <w:rFonts w:asciiTheme="majorHAnsi" w:eastAsia="Calibri" w:hAnsiTheme="majorHAnsi" w:cstheme="majorHAnsi"/>
          <w:color w:val="000000"/>
          <w:sz w:val="20"/>
          <w:szCs w:val="20"/>
        </w:rPr>
        <w:t>, Section 144C.</w:t>
      </w:r>
    </w:p>
  </w:endnote>
  <w:endnote w:id="59">
    <w:p w14:paraId="1C4F5F5B"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2" w:anchor="DLM292096">
        <w:r w:rsidRPr="00231C20">
          <w:rPr>
            <w:rFonts w:asciiTheme="majorHAnsi" w:eastAsia="Calibri" w:hAnsiTheme="majorHAnsi" w:cstheme="majorHAnsi"/>
            <w:color w:val="0000FF"/>
            <w:sz w:val="20"/>
            <w:szCs w:val="20"/>
            <w:u w:val="single"/>
          </w:rPr>
          <w:t>Marriage Act (1955)</w:t>
        </w:r>
      </w:hyperlink>
      <w:r w:rsidRPr="00231C20">
        <w:rPr>
          <w:rFonts w:asciiTheme="majorHAnsi" w:eastAsia="Calibri" w:hAnsiTheme="majorHAnsi" w:cstheme="majorHAnsi"/>
          <w:color w:val="000000"/>
          <w:sz w:val="20"/>
          <w:szCs w:val="20"/>
        </w:rPr>
        <w:t>, Sections 17 and 18.</w:t>
      </w:r>
    </w:p>
  </w:endnote>
  <w:endnote w:id="60">
    <w:p w14:paraId="2C09EE84"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Parliamentary Counsel Office. (2018). </w:t>
      </w:r>
      <w:hyperlink r:id="rId43">
        <w:r w:rsidRPr="00231C20">
          <w:rPr>
            <w:rFonts w:asciiTheme="majorHAnsi" w:eastAsia="Calibri" w:hAnsiTheme="majorHAnsi" w:cstheme="majorHAnsi"/>
            <w:color w:val="0000FF"/>
            <w:sz w:val="20"/>
            <w:szCs w:val="20"/>
            <w:u w:val="single"/>
          </w:rPr>
          <w:t>Marriage (Definition of Marriage) Amendment Bill.</w:t>
        </w:r>
      </w:hyperlink>
    </w:p>
  </w:endnote>
  <w:endnote w:id="61">
    <w:p w14:paraId="14100A3C"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Stuff. (2019). “</w:t>
      </w:r>
      <w:hyperlink r:id="rId44">
        <w:r w:rsidRPr="00231C20">
          <w:rPr>
            <w:rFonts w:asciiTheme="majorHAnsi" w:eastAsia="Calibri" w:hAnsiTheme="majorHAnsi" w:cstheme="majorHAnsi"/>
            <w:i/>
            <w:color w:val="0000FF"/>
            <w:sz w:val="20"/>
            <w:szCs w:val="20"/>
            <w:u w:val="single"/>
          </w:rPr>
          <w:t>Only six child marriages approved since law changed to prevent forced marriage</w:t>
        </w:r>
      </w:hyperlink>
      <w:r w:rsidRPr="00231C20">
        <w:rPr>
          <w:rFonts w:asciiTheme="majorHAnsi" w:eastAsia="Calibri" w:hAnsiTheme="majorHAnsi" w:cstheme="majorHAnsi"/>
          <w:color w:val="000000"/>
          <w:sz w:val="20"/>
          <w:szCs w:val="20"/>
        </w:rPr>
        <w:t>”.</w:t>
      </w:r>
    </w:p>
  </w:endnote>
  <w:endnote w:id="62">
    <w:p w14:paraId="46654FD3"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5">
        <w:r w:rsidRPr="00231C20">
          <w:rPr>
            <w:rFonts w:asciiTheme="majorHAnsi" w:eastAsia="Calibri" w:hAnsiTheme="majorHAnsi" w:cstheme="majorHAnsi"/>
            <w:color w:val="0000FF"/>
            <w:sz w:val="20"/>
            <w:szCs w:val="20"/>
            <w:u w:val="single"/>
          </w:rPr>
          <w:t>Crimes Act (1961)</w:t>
        </w:r>
      </w:hyperlink>
      <w:r w:rsidRPr="00231C20">
        <w:rPr>
          <w:rFonts w:asciiTheme="majorHAnsi" w:eastAsia="Calibri" w:hAnsiTheme="majorHAnsi" w:cstheme="majorHAnsi"/>
          <w:color w:val="000000"/>
          <w:sz w:val="20"/>
          <w:szCs w:val="20"/>
        </w:rPr>
        <w:t>, Section 208.</w:t>
      </w:r>
    </w:p>
  </w:endnote>
  <w:endnote w:id="63">
    <w:p w14:paraId="37B43C0D"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6">
        <w:r w:rsidRPr="00231C20">
          <w:rPr>
            <w:rFonts w:asciiTheme="majorHAnsi" w:eastAsia="Calibri" w:hAnsiTheme="majorHAnsi" w:cstheme="majorHAnsi"/>
            <w:color w:val="0000FF"/>
            <w:sz w:val="20"/>
            <w:szCs w:val="20"/>
            <w:u w:val="single"/>
          </w:rPr>
          <w:t>Extradition Act (1999)</w:t>
        </w:r>
      </w:hyperlink>
      <w:r w:rsidRPr="00231C20">
        <w:rPr>
          <w:rFonts w:asciiTheme="majorHAnsi" w:eastAsia="Calibri" w:hAnsiTheme="majorHAnsi" w:cstheme="majorHAnsi"/>
          <w:color w:val="000000"/>
          <w:sz w:val="20"/>
          <w:szCs w:val="20"/>
        </w:rPr>
        <w:t>, Section 4.</w:t>
      </w:r>
    </w:p>
  </w:endnote>
  <w:endnote w:id="64">
    <w:p w14:paraId="187095DE"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7">
        <w:r w:rsidRPr="00231C20">
          <w:rPr>
            <w:rFonts w:asciiTheme="majorHAnsi" w:eastAsia="Calibri" w:hAnsiTheme="majorHAnsi" w:cstheme="majorHAnsi"/>
            <w:color w:val="0000FF"/>
            <w:sz w:val="20"/>
            <w:szCs w:val="20"/>
            <w:u w:val="single"/>
          </w:rPr>
          <w:t>Crimes Act (1961)</w:t>
        </w:r>
      </w:hyperlink>
      <w:r w:rsidRPr="00231C20">
        <w:rPr>
          <w:rFonts w:asciiTheme="majorHAnsi" w:eastAsia="Calibri" w:hAnsiTheme="majorHAnsi" w:cstheme="majorHAnsi"/>
          <w:color w:val="000000"/>
          <w:sz w:val="20"/>
          <w:szCs w:val="20"/>
        </w:rPr>
        <w:t>, Sections 6 and 7.</w:t>
      </w:r>
    </w:p>
  </w:endnote>
  <w:endnote w:id="65">
    <w:p w14:paraId="323222A4"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hyperlink r:id="rId48">
        <w:r w:rsidRPr="00231C20">
          <w:rPr>
            <w:rFonts w:asciiTheme="majorHAnsi" w:eastAsia="Calibri" w:hAnsiTheme="majorHAnsi" w:cstheme="majorHAnsi"/>
            <w:color w:val="0000FF"/>
            <w:sz w:val="20"/>
            <w:szCs w:val="20"/>
            <w:u w:val="single"/>
          </w:rPr>
          <w:t>Crimes Amendement Act (2005)</w:t>
        </w:r>
      </w:hyperlink>
      <w:r w:rsidRPr="00231C20">
        <w:rPr>
          <w:rFonts w:asciiTheme="majorHAnsi" w:eastAsia="Calibri" w:hAnsiTheme="majorHAnsi" w:cstheme="majorHAnsi"/>
          <w:color w:val="000000"/>
          <w:sz w:val="20"/>
          <w:szCs w:val="20"/>
        </w:rPr>
        <w:t>, Section 144A.</w:t>
      </w:r>
    </w:p>
  </w:endnote>
  <w:endnote w:id="66">
    <w:p w14:paraId="4867C1DF" w14:textId="77777777" w:rsidR="00231C20" w:rsidRPr="00231C20" w:rsidRDefault="00231C20" w:rsidP="005F162E">
      <w:pPr>
        <w:pBdr>
          <w:top w:val="nil"/>
          <w:left w:val="nil"/>
          <w:bottom w:val="nil"/>
          <w:right w:val="nil"/>
          <w:between w:val="nil"/>
        </w:pBdr>
        <w:jc w:val="both"/>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ECPAT International (2016). “</w:t>
      </w:r>
      <w:hyperlink r:id="rId49">
        <w:r w:rsidRPr="00231C20">
          <w:rPr>
            <w:rFonts w:asciiTheme="majorHAnsi" w:eastAsia="Calibri" w:hAnsiTheme="majorHAnsi" w:cstheme="majorHAnsi"/>
            <w:i/>
            <w:color w:val="0000FF"/>
            <w:sz w:val="20"/>
            <w:szCs w:val="20"/>
            <w:u w:val="single"/>
          </w:rPr>
          <w:t>Global Study on Sexual Exploitation of Children in Travel and Tourism – Regional Report: Pacific</w:t>
        </w:r>
      </w:hyperlink>
      <w:r w:rsidRPr="00231C20">
        <w:rPr>
          <w:rFonts w:asciiTheme="majorHAnsi" w:eastAsia="Calibri" w:hAnsiTheme="majorHAnsi" w:cstheme="majorHAnsi"/>
          <w:color w:val="000000"/>
          <w:sz w:val="20"/>
          <w:szCs w:val="20"/>
        </w:rPr>
        <w:t>”.</w:t>
      </w:r>
    </w:p>
  </w:endnote>
  <w:endnote w:id="67">
    <w:p w14:paraId="4D0482FA"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50">
        <w:r w:rsidRPr="00231C20">
          <w:rPr>
            <w:rFonts w:asciiTheme="majorHAnsi" w:eastAsia="Calibri" w:hAnsiTheme="majorHAnsi" w:cstheme="majorHAnsi"/>
            <w:color w:val="0000FF"/>
            <w:sz w:val="20"/>
            <w:szCs w:val="20"/>
            <w:u w:val="single"/>
          </w:rPr>
          <w:t>https://www.acc.co.nz/im-injured/injuries-we-cover/what-we-cover/</w:t>
        </w:r>
      </w:hyperlink>
      <w:r w:rsidRPr="00231C20">
        <w:rPr>
          <w:rFonts w:asciiTheme="majorHAnsi" w:eastAsia="Calibri" w:hAnsiTheme="majorHAnsi" w:cstheme="majorHAnsi"/>
          <w:color w:val="000000"/>
          <w:sz w:val="20"/>
          <w:szCs w:val="20"/>
        </w:rPr>
        <w:t>.</w:t>
      </w:r>
    </w:p>
  </w:endnote>
  <w:endnote w:id="68">
    <w:p w14:paraId="412189AF" w14:textId="71B9EDC4"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hAnsiTheme="majorHAnsi" w:cstheme="majorHAnsi"/>
          <w:sz w:val="20"/>
          <w:szCs w:val="20"/>
          <w:lang w:val="it-IT"/>
        </w:rPr>
        <w:t xml:space="preserve">ECPAT Child ALERT. (2020, February). </w:t>
      </w:r>
      <w:r w:rsidRPr="00231C20">
        <w:rPr>
          <w:rFonts w:asciiTheme="majorHAnsi" w:hAnsiTheme="majorHAnsi" w:cstheme="majorHAnsi"/>
          <w:i/>
          <w:sz w:val="20"/>
          <w:szCs w:val="20"/>
          <w:lang w:val="it-IT"/>
        </w:rPr>
        <w:t>Personal Communication.</w:t>
      </w:r>
    </w:p>
  </w:endnote>
  <w:endnote w:id="69">
    <w:p w14:paraId="59078DC0" w14:textId="16660D2B" w:rsidR="00231C20" w:rsidRPr="00231C20" w:rsidRDefault="00231C20">
      <w:pPr>
        <w:pStyle w:val="EndnoteText"/>
        <w:rPr>
          <w:rFonts w:asciiTheme="majorHAnsi" w:hAnsiTheme="majorHAnsi" w:cstheme="majorHAnsi"/>
          <w:i/>
          <w:lang w:val="it-IT"/>
        </w:rPr>
      </w:pPr>
      <w:r w:rsidRPr="00231C20">
        <w:rPr>
          <w:rStyle w:val="EndnoteReference"/>
          <w:rFonts w:asciiTheme="majorHAnsi" w:hAnsiTheme="majorHAnsi" w:cstheme="majorHAnsi"/>
        </w:rPr>
        <w:endnoteRef/>
      </w:r>
      <w:r w:rsidRPr="00231C20">
        <w:rPr>
          <w:rFonts w:asciiTheme="majorHAnsi" w:hAnsiTheme="majorHAnsi" w:cstheme="majorHAnsi"/>
        </w:rPr>
        <w:t xml:space="preserve"> </w:t>
      </w:r>
      <w:r w:rsidRPr="00231C20">
        <w:rPr>
          <w:rFonts w:asciiTheme="majorHAnsi" w:hAnsiTheme="majorHAnsi" w:cstheme="majorHAnsi"/>
          <w:i/>
        </w:rPr>
        <w:t>Ibid.</w:t>
      </w:r>
    </w:p>
  </w:endnote>
  <w:endnote w:id="70">
    <w:p w14:paraId="3EABE8BF"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Police. (2019). </w:t>
      </w:r>
      <w:hyperlink r:id="rId51">
        <w:r w:rsidRPr="00231C20">
          <w:rPr>
            <w:rFonts w:asciiTheme="majorHAnsi" w:eastAsia="Calibri" w:hAnsiTheme="majorHAnsi" w:cstheme="majorHAnsi"/>
            <w:color w:val="0000FF"/>
            <w:sz w:val="20"/>
            <w:szCs w:val="20"/>
            <w:u w:val="single"/>
          </w:rPr>
          <w:t>Child Protection Policy</w:t>
        </w:r>
      </w:hyperlink>
      <w:r w:rsidRPr="00231C20">
        <w:rPr>
          <w:rFonts w:asciiTheme="majorHAnsi" w:eastAsia="Calibri" w:hAnsiTheme="majorHAnsi" w:cstheme="majorHAnsi"/>
          <w:color w:val="000000"/>
          <w:sz w:val="20"/>
          <w:szCs w:val="20"/>
        </w:rPr>
        <w:t>.</w:t>
      </w:r>
    </w:p>
  </w:endnote>
  <w:endnote w:id="71">
    <w:p w14:paraId="640CCFFC"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New Zealand Police. </w:t>
      </w:r>
      <w:hyperlink r:id="rId52">
        <w:r w:rsidRPr="00231C20">
          <w:rPr>
            <w:rFonts w:asciiTheme="majorHAnsi" w:eastAsia="Calibri" w:hAnsiTheme="majorHAnsi" w:cstheme="majorHAnsi"/>
            <w:color w:val="0000FF"/>
            <w:sz w:val="20"/>
            <w:szCs w:val="20"/>
            <w:u w:val="single"/>
          </w:rPr>
          <w:t>Online Child Safety</w:t>
        </w:r>
      </w:hyperlink>
      <w:r w:rsidRPr="00231C20">
        <w:rPr>
          <w:rFonts w:asciiTheme="majorHAnsi" w:eastAsia="Calibri" w:hAnsiTheme="majorHAnsi" w:cstheme="majorHAnsi"/>
          <w:color w:val="000000"/>
          <w:sz w:val="20"/>
          <w:szCs w:val="20"/>
        </w:rPr>
        <w:t>.</w:t>
      </w:r>
    </w:p>
  </w:endnote>
  <w:endnote w:id="72">
    <w:p w14:paraId="5A93E643" w14:textId="219A12FF"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w:t>
      </w:r>
      <w:r w:rsidRPr="00231C20">
        <w:rPr>
          <w:rFonts w:asciiTheme="majorHAnsi" w:hAnsiTheme="majorHAnsi" w:cstheme="majorHAnsi"/>
          <w:sz w:val="20"/>
          <w:szCs w:val="20"/>
          <w:lang w:val="it-IT"/>
        </w:rPr>
        <w:t xml:space="preserve">ECPAT Child ALERT. (2020, February). </w:t>
      </w:r>
      <w:r w:rsidRPr="00231C20">
        <w:rPr>
          <w:rFonts w:asciiTheme="majorHAnsi" w:hAnsiTheme="majorHAnsi" w:cstheme="majorHAnsi"/>
          <w:i/>
          <w:sz w:val="20"/>
          <w:szCs w:val="20"/>
          <w:lang w:val="it-IT"/>
        </w:rPr>
        <w:t>Personal Communication.</w:t>
      </w:r>
    </w:p>
  </w:endnote>
  <w:endnote w:id="73">
    <w:p w14:paraId="76F591DF"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53">
        <w:r w:rsidRPr="00231C20">
          <w:rPr>
            <w:rFonts w:asciiTheme="majorHAnsi" w:eastAsia="Calibri" w:hAnsiTheme="majorHAnsi" w:cstheme="majorHAnsi"/>
            <w:color w:val="0000FF"/>
            <w:sz w:val="20"/>
            <w:szCs w:val="20"/>
            <w:u w:val="single"/>
          </w:rPr>
          <w:t>https://www.southlandhelp.nz/</w:t>
        </w:r>
      </w:hyperlink>
    </w:p>
  </w:endnote>
  <w:endnote w:id="74">
    <w:p w14:paraId="45EA09AE"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54">
        <w:r w:rsidRPr="00231C20">
          <w:rPr>
            <w:rFonts w:asciiTheme="majorHAnsi" w:eastAsia="Calibri" w:hAnsiTheme="majorHAnsi" w:cstheme="majorHAnsi"/>
            <w:color w:val="0000FF"/>
            <w:sz w:val="20"/>
            <w:szCs w:val="20"/>
            <w:u w:val="single"/>
          </w:rPr>
          <w:t>http://www.starthealing.org/</w:t>
        </w:r>
      </w:hyperlink>
    </w:p>
  </w:endnote>
  <w:endnote w:id="75">
    <w:p w14:paraId="3E8220D1" w14:textId="77777777" w:rsidR="00231C20" w:rsidRPr="00231C20" w:rsidRDefault="00231C20" w:rsidP="005F162E">
      <w:pPr>
        <w:pBdr>
          <w:top w:val="nil"/>
          <w:left w:val="nil"/>
          <w:bottom w:val="nil"/>
          <w:right w:val="nil"/>
          <w:between w:val="nil"/>
        </w:pBdr>
        <w:rPr>
          <w:rFonts w:asciiTheme="majorHAnsi" w:eastAsia="Calibri" w:hAnsiTheme="majorHAnsi" w:cstheme="majorHAns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55">
        <w:r w:rsidRPr="00231C20">
          <w:rPr>
            <w:rFonts w:asciiTheme="majorHAnsi" w:eastAsia="Calibri" w:hAnsiTheme="majorHAnsi" w:cstheme="majorHAnsi"/>
            <w:color w:val="0000FF"/>
            <w:sz w:val="20"/>
            <w:szCs w:val="20"/>
            <w:u w:val="single"/>
          </w:rPr>
          <w:t>https://www.soskaipara.com/</w:t>
        </w:r>
      </w:hyperlink>
    </w:p>
  </w:endnote>
  <w:endnote w:id="76">
    <w:p w14:paraId="2131CC24" w14:textId="77777777" w:rsidR="00231C20" w:rsidRPr="005F162E" w:rsidRDefault="00231C20" w:rsidP="005F162E">
      <w:pPr>
        <w:pBdr>
          <w:top w:val="nil"/>
          <w:left w:val="nil"/>
          <w:bottom w:val="nil"/>
          <w:right w:val="nil"/>
          <w:between w:val="nil"/>
        </w:pBdr>
        <w:rPr>
          <w:rFonts w:ascii="Calibri" w:eastAsia="Calibri" w:hAnsi="Calibri" w:cs="Calibri"/>
          <w:color w:val="000000"/>
          <w:sz w:val="20"/>
          <w:szCs w:val="20"/>
        </w:rPr>
      </w:pPr>
      <w:r w:rsidRPr="00231C20">
        <w:rPr>
          <w:rFonts w:asciiTheme="majorHAnsi" w:hAnsiTheme="majorHAnsi" w:cstheme="majorHAnsi"/>
          <w:sz w:val="20"/>
          <w:szCs w:val="20"/>
          <w:vertAlign w:val="superscript"/>
        </w:rPr>
        <w:endnoteRef/>
      </w:r>
      <w:r w:rsidRPr="00231C20">
        <w:rPr>
          <w:rFonts w:asciiTheme="majorHAnsi" w:eastAsia="Calibri" w:hAnsiTheme="majorHAnsi" w:cstheme="majorHAnsi"/>
          <w:color w:val="000000"/>
          <w:sz w:val="20"/>
          <w:szCs w:val="20"/>
        </w:rPr>
        <w:t xml:space="preserve"> See: </w:t>
      </w:r>
      <w:hyperlink r:id="rId56">
        <w:r w:rsidRPr="00231C20">
          <w:rPr>
            <w:rFonts w:asciiTheme="majorHAnsi" w:eastAsia="Calibri" w:hAnsiTheme="majorHAnsi" w:cstheme="majorHAnsi"/>
            <w:color w:val="0000FF"/>
            <w:sz w:val="20"/>
            <w:szCs w:val="20"/>
            <w:u w:val="single"/>
          </w:rPr>
          <w:t>https://www.wellingtonhelp.org.nz/</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76BDA" w14:textId="77777777" w:rsidR="00E91789" w:rsidRDefault="00E91789">
    <w:pPr>
      <w:pBdr>
        <w:top w:val="nil"/>
        <w:left w:val="nil"/>
        <w:bottom w:val="nil"/>
        <w:right w:val="nil"/>
        <w:between w:val="nil"/>
      </w:pBdr>
      <w:tabs>
        <w:tab w:val="center" w:pos="4536"/>
        <w:tab w:val="right" w:pos="9072"/>
      </w:tabs>
      <w:jc w:val="right"/>
      <w:rPr>
        <w:color w:val="000000"/>
      </w:rPr>
    </w:pPr>
  </w:p>
  <w:p w14:paraId="1B914FCE" w14:textId="77777777" w:rsidR="00E91789" w:rsidRDefault="00591EBA">
    <w:pPr>
      <w:pBdr>
        <w:top w:val="nil"/>
        <w:left w:val="nil"/>
        <w:bottom w:val="nil"/>
        <w:right w:val="nil"/>
        <w:between w:val="nil"/>
      </w:pBdr>
      <w:tabs>
        <w:tab w:val="center" w:pos="4536"/>
        <w:tab w:val="right" w:pos="9072"/>
      </w:tabs>
      <w:ind w:right="360"/>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A0E76" w14:textId="09B8CCD8" w:rsidR="00E91789" w:rsidRDefault="00E91789">
    <w:pPr>
      <w:pBdr>
        <w:top w:val="nil"/>
        <w:left w:val="nil"/>
        <w:bottom w:val="nil"/>
        <w:right w:val="nil"/>
        <w:between w:val="nil"/>
      </w:pBdr>
      <w:tabs>
        <w:tab w:val="center" w:pos="4536"/>
        <w:tab w:val="right" w:pos="9072"/>
      </w:tabs>
      <w:jc w:val="right"/>
      <w:rPr>
        <w:color w:val="000000"/>
      </w:rPr>
    </w:pPr>
  </w:p>
  <w:p w14:paraId="5B19A107" w14:textId="77777777" w:rsidR="00E91789" w:rsidRDefault="00E91789">
    <w:pPr>
      <w:pBdr>
        <w:top w:val="nil"/>
        <w:left w:val="nil"/>
        <w:bottom w:val="nil"/>
        <w:right w:val="nil"/>
        <w:between w:val="nil"/>
      </w:pBdr>
      <w:tabs>
        <w:tab w:val="center" w:pos="4536"/>
        <w:tab w:val="right" w:pos="9072"/>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93EE7" w14:textId="77777777" w:rsidR="00DB773F" w:rsidRDefault="00DB7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CD81C3" w14:textId="77777777" w:rsidR="00FA3B3D" w:rsidRDefault="00FA3B3D">
      <w:r>
        <w:separator/>
      </w:r>
    </w:p>
  </w:footnote>
  <w:footnote w:type="continuationSeparator" w:id="0">
    <w:p w14:paraId="1FE0B5D1" w14:textId="77777777" w:rsidR="00FA3B3D" w:rsidRDefault="00FA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C4D6E" w14:textId="77777777" w:rsidR="00DB773F" w:rsidRDefault="00DB7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21113" w14:textId="77777777" w:rsidR="00DB773F" w:rsidRDefault="00DB7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B1396" w14:textId="77777777" w:rsidR="00DB773F" w:rsidRDefault="00DB7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F7006"/>
    <w:multiLevelType w:val="multilevel"/>
    <w:tmpl w:val="BBA425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DF548B"/>
    <w:multiLevelType w:val="hybridMultilevel"/>
    <w:tmpl w:val="F5401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789"/>
    <w:rsid w:val="0020560A"/>
    <w:rsid w:val="00231C20"/>
    <w:rsid w:val="002B07F9"/>
    <w:rsid w:val="00305168"/>
    <w:rsid w:val="00332020"/>
    <w:rsid w:val="003D6021"/>
    <w:rsid w:val="00527D65"/>
    <w:rsid w:val="00591EBA"/>
    <w:rsid w:val="005C74CD"/>
    <w:rsid w:val="005F162E"/>
    <w:rsid w:val="00613068"/>
    <w:rsid w:val="008D0C79"/>
    <w:rsid w:val="008F6310"/>
    <w:rsid w:val="00916D70"/>
    <w:rsid w:val="00A133A2"/>
    <w:rsid w:val="00A40075"/>
    <w:rsid w:val="00B409E3"/>
    <w:rsid w:val="00B44F3F"/>
    <w:rsid w:val="00B53E7F"/>
    <w:rsid w:val="00C32CE3"/>
    <w:rsid w:val="00CD64EB"/>
    <w:rsid w:val="00CE203F"/>
    <w:rsid w:val="00D47150"/>
    <w:rsid w:val="00D53721"/>
    <w:rsid w:val="00DB773F"/>
    <w:rsid w:val="00E91789"/>
    <w:rsid w:val="00F0674A"/>
    <w:rsid w:val="00FA3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50D7FD"/>
  <w15:docId w15:val="{C5681E60-7A05-45ED-BC64-0799D6DBF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b/>
    </w:rPr>
  </w:style>
  <w:style w:type="paragraph" w:styleId="Heading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4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10" w:type="dxa"/>
        <w:right w:w="1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F6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31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D6021"/>
    <w:rPr>
      <w:b/>
      <w:bCs/>
    </w:rPr>
  </w:style>
  <w:style w:type="character" w:customStyle="1" w:styleId="CommentSubjectChar">
    <w:name w:val="Comment Subject Char"/>
    <w:basedOn w:val="CommentTextChar"/>
    <w:link w:val="CommentSubject"/>
    <w:uiPriority w:val="99"/>
    <w:semiHidden/>
    <w:rsid w:val="003D6021"/>
    <w:rPr>
      <w:b/>
      <w:bCs/>
      <w:sz w:val="20"/>
      <w:szCs w:val="20"/>
    </w:rPr>
  </w:style>
  <w:style w:type="paragraph" w:styleId="FootnoteText">
    <w:name w:val="footnote text"/>
    <w:basedOn w:val="Normal"/>
    <w:link w:val="FootnoteTextChar"/>
    <w:uiPriority w:val="99"/>
    <w:semiHidden/>
    <w:unhideWhenUsed/>
    <w:rsid w:val="00D53721"/>
    <w:rPr>
      <w:sz w:val="20"/>
      <w:szCs w:val="20"/>
    </w:rPr>
  </w:style>
  <w:style w:type="character" w:customStyle="1" w:styleId="FootnoteTextChar">
    <w:name w:val="Footnote Text Char"/>
    <w:basedOn w:val="DefaultParagraphFont"/>
    <w:link w:val="FootnoteText"/>
    <w:uiPriority w:val="99"/>
    <w:semiHidden/>
    <w:rsid w:val="00D53721"/>
    <w:rPr>
      <w:sz w:val="20"/>
      <w:szCs w:val="20"/>
    </w:rPr>
  </w:style>
  <w:style w:type="character" w:styleId="FootnoteReference">
    <w:name w:val="footnote reference"/>
    <w:basedOn w:val="DefaultParagraphFont"/>
    <w:uiPriority w:val="99"/>
    <w:semiHidden/>
    <w:unhideWhenUsed/>
    <w:rsid w:val="00D53721"/>
    <w:rPr>
      <w:vertAlign w:val="superscript"/>
    </w:rPr>
  </w:style>
  <w:style w:type="character" w:styleId="Hyperlink">
    <w:name w:val="Hyperlink"/>
    <w:basedOn w:val="DefaultParagraphFont"/>
    <w:uiPriority w:val="99"/>
    <w:unhideWhenUsed/>
    <w:rsid w:val="00D53721"/>
    <w:rPr>
      <w:color w:val="0000FF" w:themeColor="hyperlink"/>
      <w:u w:val="single"/>
    </w:rPr>
  </w:style>
  <w:style w:type="paragraph" w:styleId="TOC1">
    <w:name w:val="toc 1"/>
    <w:basedOn w:val="Normal"/>
    <w:next w:val="Normal"/>
    <w:autoRedefine/>
    <w:uiPriority w:val="39"/>
    <w:unhideWhenUsed/>
    <w:rsid w:val="002B07F9"/>
    <w:pPr>
      <w:spacing w:after="100"/>
    </w:pPr>
  </w:style>
  <w:style w:type="character" w:styleId="FollowedHyperlink">
    <w:name w:val="FollowedHyperlink"/>
    <w:basedOn w:val="DefaultParagraphFont"/>
    <w:uiPriority w:val="99"/>
    <w:semiHidden/>
    <w:unhideWhenUsed/>
    <w:rsid w:val="002B07F9"/>
    <w:rPr>
      <w:color w:val="800080" w:themeColor="followedHyperlink"/>
      <w:u w:val="single"/>
    </w:rPr>
  </w:style>
  <w:style w:type="character" w:customStyle="1" w:styleId="UnresolvedMention">
    <w:name w:val="Unresolved Mention"/>
    <w:basedOn w:val="DefaultParagraphFont"/>
    <w:uiPriority w:val="99"/>
    <w:semiHidden/>
    <w:unhideWhenUsed/>
    <w:rsid w:val="002B07F9"/>
    <w:rPr>
      <w:color w:val="605E5C"/>
      <w:shd w:val="clear" w:color="auto" w:fill="E1DFDD"/>
    </w:rPr>
  </w:style>
  <w:style w:type="paragraph" w:styleId="EndnoteText">
    <w:name w:val="endnote text"/>
    <w:basedOn w:val="Normal"/>
    <w:link w:val="EndnoteTextChar"/>
    <w:uiPriority w:val="99"/>
    <w:semiHidden/>
    <w:unhideWhenUsed/>
    <w:rsid w:val="00231C20"/>
    <w:rPr>
      <w:sz w:val="20"/>
      <w:szCs w:val="20"/>
    </w:rPr>
  </w:style>
  <w:style w:type="character" w:customStyle="1" w:styleId="EndnoteTextChar">
    <w:name w:val="Endnote Text Char"/>
    <w:basedOn w:val="DefaultParagraphFont"/>
    <w:link w:val="EndnoteText"/>
    <w:uiPriority w:val="99"/>
    <w:semiHidden/>
    <w:rsid w:val="00231C20"/>
    <w:rPr>
      <w:sz w:val="20"/>
      <w:szCs w:val="20"/>
    </w:rPr>
  </w:style>
  <w:style w:type="character" w:styleId="EndnoteReference">
    <w:name w:val="endnote reference"/>
    <w:basedOn w:val="DefaultParagraphFont"/>
    <w:uiPriority w:val="99"/>
    <w:semiHidden/>
    <w:unhideWhenUsed/>
    <w:rsid w:val="00231C20"/>
    <w:rPr>
      <w:vertAlign w:val="superscript"/>
    </w:rPr>
  </w:style>
  <w:style w:type="paragraph" w:styleId="Header">
    <w:name w:val="header"/>
    <w:basedOn w:val="Normal"/>
    <w:link w:val="HeaderChar"/>
    <w:uiPriority w:val="99"/>
    <w:unhideWhenUsed/>
    <w:rsid w:val="00DB773F"/>
    <w:pPr>
      <w:tabs>
        <w:tab w:val="center" w:pos="4819"/>
        <w:tab w:val="right" w:pos="9638"/>
      </w:tabs>
    </w:pPr>
  </w:style>
  <w:style w:type="character" w:customStyle="1" w:styleId="HeaderChar">
    <w:name w:val="Header Char"/>
    <w:basedOn w:val="DefaultParagraphFont"/>
    <w:link w:val="Header"/>
    <w:uiPriority w:val="99"/>
    <w:rsid w:val="00DB773F"/>
  </w:style>
  <w:style w:type="paragraph" w:styleId="Footer">
    <w:name w:val="footer"/>
    <w:basedOn w:val="Normal"/>
    <w:link w:val="FooterChar"/>
    <w:uiPriority w:val="99"/>
    <w:unhideWhenUsed/>
    <w:rsid w:val="00DB773F"/>
    <w:pPr>
      <w:tabs>
        <w:tab w:val="center" w:pos="4819"/>
        <w:tab w:val="right" w:pos="9638"/>
      </w:tabs>
    </w:pPr>
  </w:style>
  <w:style w:type="character" w:customStyle="1" w:styleId="FooterChar">
    <w:name w:val="Footer Char"/>
    <w:basedOn w:val="DefaultParagraphFont"/>
    <w:link w:val="Footer"/>
    <w:uiPriority w:val="99"/>
    <w:rsid w:val="00DB7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610611">
      <w:bodyDiv w:val="1"/>
      <w:marLeft w:val="0"/>
      <w:marRight w:val="0"/>
      <w:marTop w:val="0"/>
      <w:marBottom w:val="0"/>
      <w:divBdr>
        <w:top w:val="none" w:sz="0" w:space="0" w:color="auto"/>
        <w:left w:val="none" w:sz="0" w:space="0" w:color="auto"/>
        <w:bottom w:val="none" w:sz="0" w:space="0" w:color="auto"/>
        <w:right w:val="none" w:sz="0" w:space="0" w:color="auto"/>
      </w:divBdr>
      <w:divsChild>
        <w:div w:id="264382887">
          <w:marLeft w:val="0"/>
          <w:marRight w:val="0"/>
          <w:marTop w:val="0"/>
          <w:marBottom w:val="0"/>
          <w:divBdr>
            <w:top w:val="none" w:sz="0" w:space="0" w:color="auto"/>
            <w:left w:val="none" w:sz="0" w:space="0" w:color="auto"/>
            <w:bottom w:val="none" w:sz="0" w:space="0" w:color="auto"/>
            <w:right w:val="none" w:sz="0" w:space="0" w:color="auto"/>
          </w:divBdr>
          <w:divsChild>
            <w:div w:id="415979246">
              <w:marLeft w:val="0"/>
              <w:marRight w:val="0"/>
              <w:marTop w:val="0"/>
              <w:marBottom w:val="0"/>
              <w:divBdr>
                <w:top w:val="none" w:sz="0" w:space="0" w:color="auto"/>
                <w:left w:val="none" w:sz="0" w:space="0" w:color="auto"/>
                <w:bottom w:val="none" w:sz="0" w:space="0" w:color="auto"/>
                <w:right w:val="none" w:sz="0" w:space="0" w:color="auto"/>
              </w:divBdr>
              <w:divsChild>
                <w:div w:id="747312305">
                  <w:marLeft w:val="0"/>
                  <w:marRight w:val="0"/>
                  <w:marTop w:val="0"/>
                  <w:marBottom w:val="0"/>
                  <w:divBdr>
                    <w:top w:val="none" w:sz="0" w:space="0" w:color="auto"/>
                    <w:left w:val="none" w:sz="0" w:space="0" w:color="auto"/>
                    <w:bottom w:val="none" w:sz="0" w:space="0" w:color="auto"/>
                    <w:right w:val="none" w:sz="0" w:space="0" w:color="auto"/>
                  </w:divBdr>
                  <w:divsChild>
                    <w:div w:id="1191604780">
                      <w:marLeft w:val="0"/>
                      <w:marRight w:val="0"/>
                      <w:marTop w:val="0"/>
                      <w:marBottom w:val="0"/>
                      <w:divBdr>
                        <w:top w:val="none" w:sz="0" w:space="0" w:color="auto"/>
                        <w:left w:val="none" w:sz="0" w:space="0" w:color="auto"/>
                        <w:bottom w:val="none" w:sz="0" w:space="0" w:color="auto"/>
                        <w:right w:val="none" w:sz="0" w:space="0" w:color="auto"/>
                      </w:divBdr>
                    </w:div>
                  </w:divsChild>
                </w:div>
                <w:div w:id="1561360421">
                  <w:marLeft w:val="0"/>
                  <w:marRight w:val="0"/>
                  <w:marTop w:val="0"/>
                  <w:marBottom w:val="0"/>
                  <w:divBdr>
                    <w:top w:val="none" w:sz="0" w:space="0" w:color="auto"/>
                    <w:left w:val="none" w:sz="0" w:space="0" w:color="auto"/>
                    <w:bottom w:val="none" w:sz="0" w:space="0" w:color="auto"/>
                    <w:right w:val="none" w:sz="0" w:space="0" w:color="auto"/>
                  </w:divBdr>
                  <w:divsChild>
                    <w:div w:id="1658727469">
                      <w:marLeft w:val="0"/>
                      <w:marRight w:val="0"/>
                      <w:marTop w:val="0"/>
                      <w:marBottom w:val="0"/>
                      <w:divBdr>
                        <w:top w:val="none" w:sz="0" w:space="0" w:color="auto"/>
                        <w:left w:val="none" w:sz="0" w:space="0" w:color="auto"/>
                        <w:bottom w:val="none" w:sz="0" w:space="0" w:color="auto"/>
                        <w:right w:val="none" w:sz="0" w:space="0" w:color="auto"/>
                      </w:divBdr>
                    </w:div>
                  </w:divsChild>
                </w:div>
                <w:div w:id="2020807612">
                  <w:marLeft w:val="0"/>
                  <w:marRight w:val="0"/>
                  <w:marTop w:val="0"/>
                  <w:marBottom w:val="0"/>
                  <w:divBdr>
                    <w:top w:val="none" w:sz="0" w:space="0" w:color="auto"/>
                    <w:left w:val="none" w:sz="0" w:space="0" w:color="auto"/>
                    <w:bottom w:val="none" w:sz="0" w:space="0" w:color="auto"/>
                    <w:right w:val="none" w:sz="0" w:space="0" w:color="auto"/>
                  </w:divBdr>
                  <w:divsChild>
                    <w:div w:id="10502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pa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3" Type="http://schemas.openxmlformats.org/officeDocument/2006/relationships/hyperlink" Target="https://www.state.gov/wp-content/uploads/2019/06/2019-Trafficking-in-Persons-Report.pdf" TargetMode="External"/><Relationship Id="rId18" Type="http://schemas.openxmlformats.org/officeDocument/2006/relationships/hyperlink" Target="http://www.legislation.govt.nz/bill/member/2012/0039/latest/whole.html" TargetMode="External"/><Relationship Id="rId26" Type="http://schemas.openxmlformats.org/officeDocument/2006/relationships/hyperlink" Target="http://www.globalstudysectt.org/wp-content/uploads/2016/08/2.-Region-PACIFIC.pdf" TargetMode="External"/><Relationship Id="rId39" Type="http://schemas.openxmlformats.org/officeDocument/2006/relationships/hyperlink" Target="https://www.questia.com/library/journal/1P4-2002003620/practitioner-knowledge-and-responsiveness-to-victims" TargetMode="External"/><Relationship Id="rId21" Type="http://schemas.openxmlformats.org/officeDocument/2006/relationships/hyperlink" Target="https://www.police.govt.nz/advice-services/cybercrime-and-internet/online-child-safety" TargetMode="External"/><Relationship Id="rId34" Type="http://schemas.openxmlformats.org/officeDocument/2006/relationships/hyperlink" Target="http://www.legislation.govt.nz/act/public/2014/0040/latest/whole.html" TargetMode="External"/><Relationship Id="rId42" Type="http://schemas.openxmlformats.org/officeDocument/2006/relationships/hyperlink" Target="http://www.legislation.govt.nz/act/public/1955/0092/latest/whole.html" TargetMode="External"/><Relationship Id="rId47" Type="http://schemas.openxmlformats.org/officeDocument/2006/relationships/hyperlink" Target="http://www.legislation.govt.nz/act/public/1961/0043/latest/DLM327382.html" TargetMode="External"/><Relationship Id="rId50" Type="http://schemas.openxmlformats.org/officeDocument/2006/relationships/hyperlink" Target="https://www.acc.co.nz/im-injured/injuries-we-cover/what-we-cover/" TargetMode="External"/><Relationship Id="rId55" Type="http://schemas.openxmlformats.org/officeDocument/2006/relationships/hyperlink" Target="https://www.soskaipara.com/" TargetMode="External"/><Relationship Id="rId7" Type="http://schemas.openxmlformats.org/officeDocument/2006/relationships/hyperlink" Target="https://www.rnz.co.nz/international/pacific-news/393610/rate-of-child-sexual-exploitation-in-pacific-appalling" TargetMode="External"/><Relationship Id="rId12" Type="http://schemas.openxmlformats.org/officeDocument/2006/relationships/hyperlink" Target="https://www.stuff.co.nz/national/crime/113722839/human-trafficking-in-nz-government-accused-of-having-its-head-in-the-sand" TargetMode="External"/><Relationship Id="rId17" Type="http://schemas.openxmlformats.org/officeDocument/2006/relationships/hyperlink" Target="https://www.netsafe.org.nz/wp-content/uploads/2018/05/NZ-teens-and-digital-harm_statistical-insights_2018.pdf" TargetMode="External"/><Relationship Id="rId25" Type="http://schemas.openxmlformats.org/officeDocument/2006/relationships/hyperlink" Target="https://www.state.gov/wp-content/uploads/2019/06/2019-Trafficking-in-Persons-Report.pdf" TargetMode="External"/><Relationship Id="rId33" Type="http://schemas.openxmlformats.org/officeDocument/2006/relationships/hyperlink" Target="http://sexualabuseprevention.org.nz/" TargetMode="External"/><Relationship Id="rId38" Type="http://schemas.openxmlformats.org/officeDocument/2006/relationships/hyperlink" Target="http://www.legislation.govt.nz/act/public/1961/0043/latest/whole.html" TargetMode="External"/><Relationship Id="rId46" Type="http://schemas.openxmlformats.org/officeDocument/2006/relationships/hyperlink" Target="http://www.legislation.govt.nz/act/public/1999/0055/latest/whole.html" TargetMode="External"/><Relationship Id="rId2" Type="http://schemas.openxmlformats.org/officeDocument/2006/relationships/hyperlink" Target="https://data.unicef.org/resources/state-of-the-worlds-children-2019/" TargetMode="External"/><Relationship Id="rId16" Type="http://schemas.openxmlformats.org/officeDocument/2006/relationships/hyperlink" Target="http://www.thecode.org/who-have-signed/" TargetMode="External"/><Relationship Id="rId20" Type="http://schemas.openxmlformats.org/officeDocument/2006/relationships/hyperlink" Target="https://www.orangatamariki.govt.nz/assets/Uploads/Documents/whitepaper-volume-ii-web.pdf" TargetMode="External"/><Relationship Id="rId29" Type="http://schemas.openxmlformats.org/officeDocument/2006/relationships/hyperlink" Target="http://arcsmanawatu.org.nz/" TargetMode="External"/><Relationship Id="rId41" Type="http://schemas.openxmlformats.org/officeDocument/2006/relationships/hyperlink" Target="http://www.legislation.govt.nz/act/public/1961/0043/latest/DLM327382.html" TargetMode="External"/><Relationship Id="rId54" Type="http://schemas.openxmlformats.org/officeDocument/2006/relationships/hyperlink" Target="http://www.starthealing.org/"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helpauckland.org.nz/sexual-abuse-statistics.html" TargetMode="External"/><Relationship Id="rId11" Type="http://schemas.openxmlformats.org/officeDocument/2006/relationships/hyperlink" Target="https://researchspace.auckland.ac.nz/bitstream/handle/2292/37158/whole.pdf?sequence=6" TargetMode="External"/><Relationship Id="rId24" Type="http://schemas.openxmlformats.org/officeDocument/2006/relationships/hyperlink" Target="https://dpmc.govt.nz/our-programmes/child-and-youth-wellbeing-strategy" TargetMode="External"/><Relationship Id="rId32" Type="http://schemas.openxmlformats.org/officeDocument/2006/relationships/hyperlink" Target="https://rpe.co.nz/" TargetMode="External"/><Relationship Id="rId37" Type="http://schemas.openxmlformats.org/officeDocument/2006/relationships/hyperlink" Target="http://www.legislation.govt.nz/act/public/1993/0094/55.0/DLM312895.html" TargetMode="External"/><Relationship Id="rId40" Type="http://schemas.openxmlformats.org/officeDocument/2006/relationships/hyperlink" Target="https://www.newshub.co.nz/home/new-zealand/2017/09/prostitutes-collective-questions-report-on-child-sex-trafficking-in-nz.html" TargetMode="External"/><Relationship Id="rId45" Type="http://schemas.openxmlformats.org/officeDocument/2006/relationships/hyperlink" Target="http://www.legislation.govt.nz/act/public/1961/0043/latest/DLM327382.html" TargetMode="External"/><Relationship Id="rId53" Type="http://schemas.openxmlformats.org/officeDocument/2006/relationships/hyperlink" Target="https://www.southlandhelp.nz/" TargetMode="External"/><Relationship Id="rId5" Type="http://schemas.openxmlformats.org/officeDocument/2006/relationships/hyperlink" Target="https://www.unicef.org.nz/in-new-zealand/fair-childhood" TargetMode="External"/><Relationship Id="rId15" Type="http://schemas.openxmlformats.org/officeDocument/2006/relationships/hyperlink" Target="http://www.globalstudysectt.org/wp-content/uploads/2016/08/2.-Region-PACIFIC.pdf" TargetMode="External"/><Relationship Id="rId23" Type="http://schemas.openxmlformats.org/officeDocument/2006/relationships/hyperlink" Target="https://www.police.govt.nz/advice-services/cybercrime-and-internet/online-child-safety" TargetMode="External"/><Relationship Id="rId28" Type="http://schemas.openxmlformats.org/officeDocument/2006/relationships/hyperlink" Target="https://www.police.govt.nz/sites/default/files/publications/guide-to-crime-prevention-english.pdf" TargetMode="External"/><Relationship Id="rId36" Type="http://schemas.openxmlformats.org/officeDocument/2006/relationships/hyperlink" Target="http://digitalcommons.uri.edu/dignity/vol3/iss2/6" TargetMode="External"/><Relationship Id="rId49" Type="http://schemas.openxmlformats.org/officeDocument/2006/relationships/hyperlink" Target="http://www.globalstudysectt.org/wp-content/uploads/2016/08/2.-Region-PACIFIC.pdf" TargetMode="External"/><Relationship Id="rId10" Type="http://schemas.openxmlformats.org/officeDocument/2006/relationships/hyperlink" Target="https://www.state.gov/wp-content/uploads/2019/06/2019-Trafficking-in-Persons-Report.pdf" TargetMode="External"/><Relationship Id="rId19" Type="http://schemas.openxmlformats.org/officeDocument/2006/relationships/hyperlink" Target="http://gdsindexnz.org/wp-content/uploads/2015/10/Childrens-Action-Plan-Identifying-Supporting-and-Protecting-Vulnerable-Children-The-White-Paper-for-Vulnerable-Children.pdf" TargetMode="External"/><Relationship Id="rId31" Type="http://schemas.openxmlformats.org/officeDocument/2006/relationships/hyperlink" Target="https://www.matesanddates.co.nz/" TargetMode="External"/><Relationship Id="rId44" Type="http://schemas.openxmlformats.org/officeDocument/2006/relationships/hyperlink" Target="https://www.stuff.co.nz/national/113861736/only-six-child-marriages-approved-since-law-changed-to-prevent-forced-marriage" TargetMode="External"/><Relationship Id="rId52" Type="http://schemas.openxmlformats.org/officeDocument/2006/relationships/hyperlink" Target="https://www.police.govt.nz/advice-services/cybercrime-and-internet/online-child-safety" TargetMode="External"/><Relationship Id="rId4" Type="http://schemas.openxmlformats.org/officeDocument/2006/relationships/hyperlink" Target="http://hdr.undp.org/sites/all/themes/hdr_theme/country-notes/NZL.pdf" TargetMode="External"/><Relationship Id="rId9" Type="http://schemas.openxmlformats.org/officeDocument/2006/relationships/hyperlink" Target="https://www.questia.com/library/journal/1P4-2002003620/practitioner-knowledge-and-responsiveness-to-victims" TargetMode="External"/><Relationship Id="rId14" Type="http://schemas.openxmlformats.org/officeDocument/2006/relationships/hyperlink" Target="https://www.stats.govt.nz/information-releases/international-travel-september-2019" TargetMode="External"/><Relationship Id="rId22" Type="http://schemas.openxmlformats.org/officeDocument/2006/relationships/hyperlink" Target="https://www.orangatamariki.govt.nz/working-with-children/childrens-teams/" TargetMode="External"/><Relationship Id="rId27" Type="http://schemas.openxmlformats.org/officeDocument/2006/relationships/hyperlink" Target="https://www.state.gov/wp-content/uploads/2019/06/2019-Trafficking-in-Persons-Report.pdf" TargetMode="External"/><Relationship Id="rId30" Type="http://schemas.openxmlformats.org/officeDocument/2006/relationships/hyperlink" Target="http://www.kidpower.org.nz/" TargetMode="External"/><Relationship Id="rId35" Type="http://schemas.openxmlformats.org/officeDocument/2006/relationships/hyperlink" Target="http://www.legislation.govt.nz/act/public/2003/0028/latest/whole.html" TargetMode="External"/><Relationship Id="rId43" Type="http://schemas.openxmlformats.org/officeDocument/2006/relationships/hyperlink" Target="http://www.legislation.govt.nz/bill/member/2012/0039/latest/whole.html" TargetMode="External"/><Relationship Id="rId48" Type="http://schemas.openxmlformats.org/officeDocument/2006/relationships/hyperlink" Target="http://www.legislation.govt.nz/act/public/2005/0041/latest/DLM346175.html" TargetMode="External"/><Relationship Id="rId56" Type="http://schemas.openxmlformats.org/officeDocument/2006/relationships/hyperlink" Target="https://www.wellingtonhelp.org.nz/" TargetMode="External"/><Relationship Id="rId8" Type="http://schemas.openxmlformats.org/officeDocument/2006/relationships/hyperlink" Target="https://women.govt.nz/sites/public_files/sexual-coercion-resilience-and-young-maori-a-scoping-review-pdf.pdf" TargetMode="External"/><Relationship Id="rId51" Type="http://schemas.openxmlformats.org/officeDocument/2006/relationships/hyperlink" Target="https://www.police.govt.nz/sites/default/files/publications/child-protection-policy.pdf" TargetMode="External"/><Relationship Id="rId3" Type="http://schemas.openxmlformats.org/officeDocument/2006/relationships/hyperlink" Target="http://databank.worldbank.org/data/download/GD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D0C50-3025-47E5-9A3D-381FC8472A4D}">
  <ds:schemaRefs>
    <ds:schemaRef ds:uri="http://schemas.openxmlformats.org/officeDocument/2006/bibliography"/>
  </ds:schemaRefs>
</ds:datastoreItem>
</file>

<file path=customXml/itemProps2.xml><?xml version="1.0" encoding="utf-8"?>
<ds:datastoreItem xmlns:ds="http://schemas.openxmlformats.org/officeDocument/2006/customXml" ds:itemID="{90E37E37-C8B7-408B-B02F-19A643ACBC19}"/>
</file>

<file path=customXml/itemProps3.xml><?xml version="1.0" encoding="utf-8"?>
<ds:datastoreItem xmlns:ds="http://schemas.openxmlformats.org/officeDocument/2006/customXml" ds:itemID="{F49AA301-BBA1-4660-BFDE-F84E01E94CD4}"/>
</file>

<file path=customXml/itemProps4.xml><?xml version="1.0" encoding="utf-8"?>
<ds:datastoreItem xmlns:ds="http://schemas.openxmlformats.org/officeDocument/2006/customXml" ds:itemID="{E32BDC94-DC8C-4D04-8D28-C06D81B85CD5}"/>
</file>

<file path=docProps/app.xml><?xml version="1.0" encoding="utf-8"?>
<Properties xmlns="http://schemas.openxmlformats.org/officeDocument/2006/extended-properties" xmlns:vt="http://schemas.openxmlformats.org/officeDocument/2006/docPropsVTypes">
  <Template>Normal.dotm</Template>
  <TotalTime>1</TotalTime>
  <Pages>11</Pages>
  <Words>3385</Words>
  <Characters>19432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Varrella</dc:creator>
  <cp:keywords/>
  <dc:description/>
  <cp:lastModifiedBy>BOIT James</cp:lastModifiedBy>
  <cp:revision>2</cp:revision>
  <dcterms:created xsi:type="dcterms:W3CDTF">2020-05-12T07:49:00Z</dcterms:created>
  <dcterms:modified xsi:type="dcterms:W3CDTF">2020-05-12T07:49:00Z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