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43D6" w:rsidRPr="00402803" w:rsidRDefault="008243D6" w:rsidP="007E01EE">
      <w:pPr>
        <w:rPr>
          <w:b/>
        </w:rPr>
      </w:pPr>
      <w:r w:rsidRPr="00402803">
        <w:rPr>
          <w:rFonts w:hint="eastAsia"/>
          <w:b/>
        </w:rPr>
        <w:t>A</w:t>
      </w:r>
      <w:r w:rsidRPr="00402803">
        <w:rPr>
          <w:b/>
        </w:rPr>
        <w:t xml:space="preserve">ttachment on the additional information </w:t>
      </w:r>
      <w:r w:rsidR="00C77A30">
        <w:rPr>
          <w:rFonts w:hint="eastAsia"/>
          <w:b/>
        </w:rPr>
        <w:t>from</w:t>
      </w:r>
      <w:r w:rsidRPr="00402803">
        <w:rPr>
          <w:b/>
        </w:rPr>
        <w:t xml:space="preserve"> the Japan Federation of Bar Associations</w:t>
      </w:r>
    </w:p>
    <w:p w:rsidR="00746A0B" w:rsidRDefault="00746A0B" w:rsidP="00746A0B">
      <w:r>
        <w:rPr>
          <w:rFonts w:hint="eastAsia"/>
        </w:rPr>
        <w:t>*</w:t>
      </w:r>
      <w:r>
        <w:t xml:space="preserve"> The numbers below correspond to the numbers of the main text.</w:t>
      </w:r>
    </w:p>
    <w:p w:rsidR="008243D6" w:rsidRDefault="008243D6" w:rsidP="007E01EE"/>
    <w:p w:rsidR="008243D6" w:rsidRPr="00746A0B" w:rsidRDefault="008243D6" w:rsidP="007E01EE">
      <w:pPr>
        <w:rPr>
          <w:b/>
        </w:rPr>
      </w:pPr>
      <w:r w:rsidRPr="00746A0B">
        <w:rPr>
          <w:b/>
        </w:rPr>
        <w:t>1</w:t>
      </w:r>
      <w:r w:rsidRPr="00746A0B">
        <w:rPr>
          <w:b/>
        </w:rPr>
        <w:tab/>
      </w:r>
      <w:r w:rsidRPr="00746A0B">
        <w:rPr>
          <w:rFonts w:hint="eastAsia"/>
          <w:b/>
        </w:rPr>
        <w:t xml:space="preserve">Exclusion </w:t>
      </w:r>
      <w:r w:rsidRPr="00746A0B">
        <w:rPr>
          <w:b/>
        </w:rPr>
        <w:t>of Korean schools from the High School Tuition Support Fund</w:t>
      </w:r>
    </w:p>
    <w:p w:rsidR="00695FF1" w:rsidRPr="00695FF1" w:rsidRDefault="00695FF1" w:rsidP="00695FF1">
      <w:r w:rsidRPr="00695FF1">
        <w:t>（１）Fact</w:t>
      </w:r>
    </w:p>
    <w:p w:rsidR="00695FF1" w:rsidRPr="00695FF1" w:rsidRDefault="00695FF1" w:rsidP="00746A0B">
      <w:pPr>
        <w:ind w:firstLine="840"/>
      </w:pPr>
      <w:r w:rsidRPr="00695FF1">
        <w:t>The Ordinance for Enforcement of the Act on Free Tuition at Public High Schools before the revision stated in connection with schools in which children of foreign nationals were enrolled such as international schools and ethnic schools that in addition to [1] schools which could be confirmed to have a curriculum equivalent to a curriculum of a high school in its country through embassies and other official organizations and [2] schools which were accredited by international evaluation organizations, [3] schools which did not fall under these could be designated by the Minister of Education, Culture, Sports, Science and Technology (MEXT) to be eligible for the enrollment support fund and other funds if such schools were recognized to have a curriculum equivalent to that of high school in Japan, regardless of whether diplomatic relationships exists or not. The Government of Japan determined that Korean schools did not fall under [1] due to its lack of diplomatic relationship with the Democratic People’s Republic of Korea (but Chinese Schools, whose home country Taiwan has no diplomatic relationship with Japan, have become eligible for the Act based on [1] above), and they do not fall under [2] above, either, since Korean schools are not European or US international schools. Thus, the Korean schools applied for designation to be eligible for the enrollment support fund based on the provision of [3] above. However, on February 20, 2013, the MEXT revised the Ordinance for Enforcement of the Act on Free Tuition at Public High Schools and deleted the underlying provision for individual designation of [3] above (it was decided that such deletion of the underlying provision for individual designation of [3] would not affect the schools which had been already designated based on this provision). Consequently, legal room for Korean schools to be eligible for the enrollment support fund was lost. In addition, the MEXT took a measure not to designate any Korean school which had made application based on the Act on Free Tuition at High School to be eligible for the enrollment support fund under the Act. Since then, all Korean schools in Japan have been excluded from provision of enrollment support fund.</w:t>
      </w:r>
    </w:p>
    <w:p w:rsidR="00695FF1" w:rsidRPr="00695FF1" w:rsidRDefault="00695FF1" w:rsidP="00695FF1">
      <w:r w:rsidRPr="00695FF1">
        <w:t>（２）</w:t>
      </w:r>
      <w:r w:rsidR="00746A0B">
        <w:t>Our o</w:t>
      </w:r>
      <w:r w:rsidRPr="00695FF1">
        <w:rPr>
          <w:rFonts w:hint="eastAsia"/>
        </w:rPr>
        <w:t>pinion</w:t>
      </w:r>
    </w:p>
    <w:p w:rsidR="00695FF1" w:rsidRPr="00695FF1" w:rsidRDefault="00695FF1" w:rsidP="00695FF1">
      <w:r w:rsidRPr="00695FF1">
        <w:rPr>
          <w:rFonts w:hint="eastAsia"/>
        </w:rPr>
        <w:t>a</w:t>
      </w:r>
      <w:r w:rsidRPr="00695FF1">
        <w:t xml:space="preserve">. </w:t>
      </w:r>
      <w:r w:rsidR="00746A0B">
        <w:tab/>
      </w:r>
      <w:r w:rsidRPr="00695FF1">
        <w:t>Korean schools are attended by children of Korean residents in Japan who settled in Japan because of the historical background during WW2 and live in Japan as members of Japanese society, and these schools have already earned certain social recognition as a place to provide school education centering on ethnic education.</w:t>
      </w:r>
    </w:p>
    <w:p w:rsidR="00695FF1" w:rsidRPr="00695FF1" w:rsidRDefault="00695FF1" w:rsidP="00695FF1">
      <w:r w:rsidRPr="00695FF1">
        <w:rPr>
          <w:rFonts w:hint="eastAsia"/>
        </w:rPr>
        <w:t>b</w:t>
      </w:r>
      <w:r w:rsidRPr="00695FF1">
        <w:t xml:space="preserve">. </w:t>
      </w:r>
      <w:r w:rsidR="00746A0B">
        <w:tab/>
      </w:r>
      <w:r w:rsidRPr="00695FF1">
        <w:t xml:space="preserve">Children attending Korean schools are also guaranteed the right to education </w:t>
      </w:r>
      <w:r w:rsidRPr="00695FF1">
        <w:lastRenderedPageBreak/>
        <w:t>(Article 26 (1) and Article 13 of the Constitution of Japan), which is an inherent right to receive education necessary to grow, develop, and complete and realize their own personality as human beings and as citizens. Further, equal opportunity in education, which is the purport of the Act on Free Tuition at Public High Schools, is required also by Article 28 of the Convention on the Rights of the Child. Moreover, the said Convention and the ICCPR guarantee the right to receive education while maintaining ethnic identity. It falls under unjust discriminatory treatment to exclude them from the application of the Act on Free Tuition at Public High Schools and cause them to suffer disadvantages different from children attending other schools on the grounds of matters totally unrelated to the rights of children to receive education, such as lack of diplomatic relationships and the degree of progress in the issue of Japanese citizens abducted by North Korea, etc., despite the above guarantee.</w:t>
      </w:r>
    </w:p>
    <w:p w:rsidR="00695FF1" w:rsidRDefault="00695FF1" w:rsidP="007E01EE"/>
    <w:p w:rsidR="007E01EE" w:rsidRPr="00746A0B" w:rsidRDefault="00746A0B" w:rsidP="007E01EE">
      <w:pPr>
        <w:rPr>
          <w:b/>
        </w:rPr>
      </w:pPr>
      <w:r>
        <w:rPr>
          <w:b/>
        </w:rPr>
        <w:t>4</w:t>
      </w:r>
      <w:r w:rsidR="008243D6" w:rsidRPr="00746A0B">
        <w:rPr>
          <w:b/>
        </w:rPr>
        <w:tab/>
        <w:t xml:space="preserve">Stateless children </w:t>
      </w:r>
    </w:p>
    <w:p w:rsidR="008243D6" w:rsidRPr="007E01EE" w:rsidRDefault="008243D6" w:rsidP="008243D6">
      <w:pPr>
        <w:jc w:val="left"/>
      </w:pPr>
      <w:r>
        <w:rPr>
          <w:rFonts w:hint="eastAsia"/>
        </w:rPr>
        <w:t>(</w:t>
      </w:r>
      <w:r w:rsidRPr="008243D6">
        <w:t xml:space="preserve">excerpt from our </w:t>
      </w:r>
      <w:r w:rsidR="001F1295">
        <w:t xml:space="preserve">original </w:t>
      </w:r>
      <w:r w:rsidRPr="008243D6">
        <w:t xml:space="preserve">report: </w:t>
      </w:r>
      <w:hyperlink r:id="rId7" w:history="1">
        <w:r w:rsidRPr="008243D6">
          <w:rPr>
            <w:rStyle w:val="a7"/>
          </w:rPr>
          <w:t>https://tbinternet.ohchr.org/_layouts/treatybodyexternal/Download.aspx?symbolno=INT%2fCRC%2fNGO%2fJPN%2f29998&amp;Lang=en</w:t>
        </w:r>
      </w:hyperlink>
      <w:r w:rsidRPr="008243D6">
        <w:t>)</w:t>
      </w:r>
    </w:p>
    <w:p w:rsidR="007E01EE" w:rsidRPr="007E01EE" w:rsidRDefault="007E01EE" w:rsidP="007E01EE">
      <w:r w:rsidRPr="007E01EE">
        <w:t xml:space="preserve">109. According to Japanese law and regulations, the definition of a “stateless person” does not exist and there is no protection system to recognize stateless persons uniformly and grant resident permission. In Resident Foreigners Statistics at the end of 2016 published by the Ministry of Justice, there were 626 persons who were registered as “stateless” and out of which, children under 18 years of age totaled 164. However, as the definition of “stateless” cannot be said to be clearly defined as stated above, we cannot say “stateless persons” in the statistics conform to the definition of a stateless person under international law. In fact, descriptions of incorrect nationalities are frequently found in the “Nationality and Region” column of resident cards (for example, as the Republic of Paraguay adopts strict jus soli principle, a child born to Paraguayan parents in Japan does not acquire Paraguayan nationality or Japanese nationality and is born stateless. However, it is reported that there are a considerable number of cases which are stated “Paraguay” in the “Nationality and Region” column of resident cards). As unauthorized stateless persons are not included in the statistics, anyway, we cannot consider that the Japanese Government recognizes the real number of stateless persons in Japan. </w:t>
      </w:r>
    </w:p>
    <w:p w:rsidR="007E01EE" w:rsidRDefault="007E01EE" w:rsidP="007E01EE">
      <w:r w:rsidRPr="007E01EE">
        <w:t xml:space="preserve">110. Looking at the current related laws and regulations, the Nationality Act, Article 2, item 3, permits acquisition of Japanese Nationality of a child born in Japan whose parents are unknown or stateless in order to prevent statelessness and in terms of reducing statelessness, there is the Nationality Act, Article 8, item 4, which permits a child born in Japan to apply for simplified naturalization. However, these provisions alone cannot prevent the occurrence of </w:t>
      </w:r>
      <w:r w:rsidRPr="007E01EE">
        <w:lastRenderedPageBreak/>
        <w:t>statelessness completely, where cases have been reported that reporting of a child born in Japan cannot succeed to the nationality of the parent like the cases of Paraguay, which does not satisfy the standards under the Convention on the Reduction of Statelessness, Article 1, paragraph 1. Even in the cases of actual implementation, a birth by a stateless mother was not accepted by a municipal office and the Nationality Act, Article 2, item 3 was not applied at the reporting stage or that 45 application for simplified naturalization could not be made smoothly because the officer in charge did not understand the Nationality Act, Article 8, item 4 at the time of consultation on naturalization at a Legal Affairs Bureau, which means there is a concern that these provisions are not being properly implemented.</w:t>
      </w:r>
    </w:p>
    <w:p w:rsidR="007E01EE" w:rsidRDefault="007E01EE" w:rsidP="007E01EE"/>
    <w:p w:rsidR="007E01EE" w:rsidRPr="00746A0B" w:rsidRDefault="00746A0B" w:rsidP="007E01EE">
      <w:pPr>
        <w:rPr>
          <w:b/>
        </w:rPr>
      </w:pPr>
      <w:r>
        <w:rPr>
          <w:b/>
        </w:rPr>
        <w:t>5</w:t>
      </w:r>
      <w:r w:rsidR="008243D6" w:rsidRPr="00746A0B">
        <w:rPr>
          <w:b/>
        </w:rPr>
        <w:tab/>
      </w:r>
      <w:r w:rsidR="007E01EE" w:rsidRPr="00746A0B">
        <w:rPr>
          <w:b/>
        </w:rPr>
        <w:t>Rights of the child to maintain relations with both parents after divorce</w:t>
      </w:r>
    </w:p>
    <w:p w:rsidR="008243D6" w:rsidRPr="008243D6" w:rsidRDefault="008243D6" w:rsidP="008243D6">
      <w:pPr>
        <w:jc w:val="left"/>
      </w:pPr>
      <w:r>
        <w:rPr>
          <w:rFonts w:hint="eastAsia"/>
        </w:rPr>
        <w:t>(</w:t>
      </w:r>
      <w:r>
        <w:t xml:space="preserve">excerpt from our </w:t>
      </w:r>
      <w:r w:rsidR="001F1295">
        <w:t xml:space="preserve">additional </w:t>
      </w:r>
      <w:r>
        <w:t xml:space="preserve">report: </w:t>
      </w:r>
    </w:p>
    <w:p w:rsidR="008243D6" w:rsidRPr="008243D6" w:rsidRDefault="008243D6" w:rsidP="008243D6">
      <w:pPr>
        <w:jc w:val="left"/>
      </w:pPr>
      <w:r w:rsidRPr="008243D6">
        <w:t>https://tbinternet.ohchr.org/_layouts/treatybodyexternal/Download.aspx?symbolno=INT%2fCRC%2fNGO%2fJPN%2f33502&amp;Lang=en</w:t>
      </w:r>
      <w:r>
        <w:t>)</w:t>
      </w:r>
    </w:p>
    <w:p w:rsidR="007E01EE" w:rsidRPr="007E01EE" w:rsidRDefault="007E01EE" w:rsidP="007E01EE">
      <w:r w:rsidRPr="007E01EE">
        <w:t xml:space="preserve">21. Under the Civil Code of Japan, sole custody is applied after divorce and joint custody is not permitted. A person without custody rights shall maintain a relationship through visitation exchanges and payment of child support. More than 80% of divorce cases grant mothers custody rights and custodians are mothers in many cases, but as of 2016, approximately 60% of mother-child families have not arranged for child support payment and approximately 75% of children do not receive child support. Over 70% have not arranged for visitation exchanges or visitation exchanges are not conducted (MHLW, “National Survey on Single Parent Household in 2016” </w:t>
      </w:r>
      <w:proofErr w:type="gramStart"/>
      <w:r w:rsidRPr="007E01EE">
        <w:t>1 )</w:t>
      </w:r>
      <w:proofErr w:type="gramEnd"/>
      <w:r w:rsidRPr="007E01EE">
        <w:t xml:space="preserve">. In Japan, approximately 90% of couples divorce by agreement without involvement of courts 1 http://www.mhlw.go.jp/stf/houdou/0000188138.html 9 (MHLW, “Overview of ‘Statistics on Divorce’ in 2009” </w:t>
      </w:r>
      <w:proofErr w:type="gramStart"/>
      <w:r w:rsidRPr="007E01EE">
        <w:t>2 )</w:t>
      </w:r>
      <w:proofErr w:type="gramEnd"/>
      <w:r w:rsidRPr="007E01EE">
        <w:t xml:space="preserve">. Divorce by agreement shows a higher percentage of not </w:t>
      </w:r>
      <w:proofErr w:type="gramStart"/>
      <w:r w:rsidRPr="007E01EE">
        <w:t>making an arrangement</w:t>
      </w:r>
      <w:proofErr w:type="gramEnd"/>
      <w:r w:rsidRPr="007E01EE">
        <w:t xml:space="preserve"> than other forms of divorce. Even if an arrangement is made, there is no effective means to secure performance in the case of non-performance. Support for visitation (securing the number of visitation exchange support organizations across Japan and reducing the expense burden of users) is inadequate and a system to secure payment of childcare support expenses has not been prepared. Family courts in Japan take the position that visitation exchanges shall generally be conducted after separation or divorce, but visitations permitted by courts is limited to approximately once a month and more than 90% do not permit overnight stays (Justice Statistics in 2016, Table No. </w:t>
      </w:r>
      <w:proofErr w:type="gramStart"/>
      <w:r w:rsidRPr="007E01EE">
        <w:t>243 )</w:t>
      </w:r>
      <w:proofErr w:type="gramEnd"/>
      <w:r w:rsidRPr="007E01EE">
        <w:t xml:space="preserve"> and in many cases the time for visitation is a few hours or less. Current situations are criticized by organizations supporting DV victims as it is inappropriate to presuppose visitation exchanges </w:t>
      </w:r>
      <w:proofErr w:type="gramStart"/>
      <w:r w:rsidRPr="007E01EE">
        <w:t>and also</w:t>
      </w:r>
      <w:proofErr w:type="gramEnd"/>
      <w:r w:rsidRPr="007E01EE">
        <w:t xml:space="preserve"> criticized by Western countries and the parties focusing on the roles of non-guardians as visitation exchanges are too restrictive. 22. In a case where a foreign </w:t>
      </w:r>
      <w:r w:rsidRPr="007E01EE">
        <w:lastRenderedPageBreak/>
        <w:t>national who had resident status due to marriage to a spouse becomes the person without custody rights, in determination of the resident status after divorce, there is no explicit provision in the laws that provide for consideration of maintaining a relationship with the child even if the foreign national maintains the relationship through visitation and support with a child residing in Japan, and it is rarely considered in practice. Consequently, a person without custody rights is not generally permitted to continue to reside by reason that the person is a parent of the child residing in Japan.</w:t>
      </w:r>
    </w:p>
    <w:p w:rsidR="007E01EE" w:rsidRDefault="007E01EE" w:rsidP="007E01EE"/>
    <w:p w:rsidR="007E01EE" w:rsidRPr="00746A0B" w:rsidRDefault="00746A0B" w:rsidP="007E01EE">
      <w:pPr>
        <w:rPr>
          <w:b/>
        </w:rPr>
      </w:pPr>
      <w:r>
        <w:rPr>
          <w:b/>
        </w:rPr>
        <w:t>6</w:t>
      </w:r>
      <w:r w:rsidR="008243D6" w:rsidRPr="00746A0B">
        <w:rPr>
          <w:b/>
        </w:rPr>
        <w:tab/>
      </w:r>
      <w:r w:rsidR="007E01EE" w:rsidRPr="00746A0B">
        <w:rPr>
          <w:b/>
        </w:rPr>
        <w:t>Immigration detention of asylum-seeking children/ parents and others</w:t>
      </w:r>
    </w:p>
    <w:p w:rsidR="00DE47A0" w:rsidRDefault="007E01EE" w:rsidP="007E01EE">
      <w:r w:rsidRPr="007E01EE">
        <w:t xml:space="preserve"> (In general) </w:t>
      </w:r>
    </w:p>
    <w:p w:rsidR="00DE47A0" w:rsidRDefault="007E01EE" w:rsidP="00DE47A0">
      <w:pPr>
        <w:ind w:firstLine="840"/>
      </w:pPr>
      <w:r w:rsidRPr="007E01EE">
        <w:t xml:space="preserve">The Japanese government </w:t>
      </w:r>
      <w:r w:rsidR="008243D6">
        <w:t xml:space="preserve">usually </w:t>
      </w:r>
      <w:r w:rsidRPr="007E01EE">
        <w:t>explains that in principle all foreigners under the deportation procedure (except for the case where illegal stay is for the first time and the foreigner appeared to the immigration voluntarily) or issued deportation order are detained. Once the deportation order is issued, the detention continues until deportation becomes possible (Para 5, Art. 52 of the Immigration Control and Refugee Recognition Act). Release from the detention is allowed by provisional release but only on a discretion</w:t>
      </w:r>
      <w:r w:rsidR="00BD5AFF">
        <w:t>ary</w:t>
      </w:r>
      <w:r w:rsidRPr="007E01EE">
        <w:t xml:space="preserve"> basis. The principle of the best interest of the child is not applied. Although there is a court procedure to suspend detention, it does not work as the court dismisses the request usually. </w:t>
      </w:r>
    </w:p>
    <w:p w:rsidR="007E01EE" w:rsidRPr="007E01EE" w:rsidRDefault="00D6309F" w:rsidP="00DE47A0">
      <w:pPr>
        <w:ind w:firstLine="840"/>
      </w:pPr>
      <w:r>
        <w:t>Furthermore, t</w:t>
      </w:r>
      <w:r w:rsidR="007E01EE" w:rsidRPr="007E01EE">
        <w:t xml:space="preserve">he immigration clarified recently that it </w:t>
      </w:r>
      <w:r>
        <w:t xml:space="preserve">deprives </w:t>
      </w:r>
      <w:r w:rsidR="007E01EE" w:rsidRPr="007E01EE">
        <w:t xml:space="preserve">almost all reapplicants for refugee status </w:t>
      </w:r>
      <w:r>
        <w:t xml:space="preserve">of their status and detains them </w:t>
      </w:r>
      <w:r w:rsidR="007E01EE" w:rsidRPr="007E01EE">
        <w:t>until deportation without provisional release unless detention is impossible</w:t>
      </w:r>
      <w:r w:rsidRPr="00D6309F">
        <w:t xml:space="preserve"> </w:t>
      </w:r>
      <w:r>
        <w:t>due to severe illness of t</w:t>
      </w:r>
      <w:r w:rsidRPr="007E01EE">
        <w:t>he detainee</w:t>
      </w:r>
      <w:r w:rsidR="007E01EE" w:rsidRPr="007E01EE">
        <w:t>. As only 65 out of 19867 applicants were given refugee status or some status last year, almost all refugee applicants are detained in the end</w:t>
      </w:r>
      <w:r w:rsidR="00BD5AFF">
        <w:t xml:space="preserve"> unless they give up</w:t>
      </w:r>
      <w:r w:rsidR="007E01EE" w:rsidRPr="007E01EE">
        <w:t xml:space="preserve">. </w:t>
      </w:r>
      <w:r w:rsidR="00DE47A0">
        <w:t>Also, although t</w:t>
      </w:r>
      <w:r w:rsidR="00DE47A0" w:rsidRPr="00DE47A0">
        <w:t xml:space="preserve">here are not a few </w:t>
      </w:r>
      <w:r w:rsidR="00DE47A0">
        <w:t>asylum-seekers who have stayed</w:t>
      </w:r>
      <w:r w:rsidR="00DE47A0" w:rsidRPr="00DE47A0">
        <w:t xml:space="preserve"> in Japan for more than 10 years </w:t>
      </w:r>
      <w:r w:rsidR="00DE47A0">
        <w:t>as asylum-seekers and some of them have had their families including children during the stay</w:t>
      </w:r>
      <w:r w:rsidR="00DE47A0" w:rsidRPr="00DE47A0">
        <w:t xml:space="preserve">, </w:t>
      </w:r>
      <w:r w:rsidR="00DE47A0">
        <w:t>they are detained or deported or facing the risk</w:t>
      </w:r>
      <w:r w:rsidR="00DE47A0" w:rsidRPr="00DE47A0">
        <w:t>.</w:t>
      </w:r>
      <w:r w:rsidR="00DE47A0">
        <w:t xml:space="preserve"> If either of the parents has no Japanese nationality, their children are also deprived of the status and benefits as legal residents suddenly. </w:t>
      </w:r>
    </w:p>
    <w:p w:rsidR="00746A0B" w:rsidRDefault="007E01EE" w:rsidP="00746A0B">
      <w:r w:rsidRPr="007E01EE">
        <w:t>(</w:t>
      </w:r>
      <w:r w:rsidR="00DE47A0">
        <w:t>As for p</w:t>
      </w:r>
      <w:r w:rsidRPr="007E01EE">
        <w:t>ara 99</w:t>
      </w:r>
      <w:r w:rsidR="00CD6E63">
        <w:t xml:space="preserve"> of the reply to the list of issues from the government</w:t>
      </w:r>
      <w:r w:rsidRPr="007E01EE">
        <w:t xml:space="preserve">) </w:t>
      </w:r>
    </w:p>
    <w:p w:rsidR="007E01EE" w:rsidRPr="007E01EE" w:rsidRDefault="007E01EE" w:rsidP="00746A0B">
      <w:pPr>
        <w:ind w:firstLine="840"/>
      </w:pPr>
      <w:r w:rsidRPr="007E01EE">
        <w:t xml:space="preserve">The percentage of the permission of the provisional stay is only four (4) percent (35 out of 784) </w:t>
      </w:r>
      <w:r w:rsidR="00CD6E63">
        <w:t>in 2017</w:t>
      </w:r>
      <w:r w:rsidRPr="007E01EE">
        <w:t xml:space="preserve"> according to the press release of the government. That means that most of the refugee applicants without status to stay are not given </w:t>
      </w:r>
      <w:r w:rsidR="00BD5AFF">
        <w:t>any permission to stay</w:t>
      </w:r>
      <w:r w:rsidRPr="007E01EE">
        <w:t xml:space="preserve"> and detained. In addition, “refugee applicants without status to stay” include almost all refugee applicants who applied for refugee status at the port of entry. </w:t>
      </w:r>
      <w:r w:rsidR="00746A0B">
        <w:t>Although t</w:t>
      </w:r>
      <w:r w:rsidRPr="007E01EE">
        <w:t>here is another exceptional stay for such cases</w:t>
      </w:r>
      <w:r w:rsidR="00746A0B">
        <w:t>,</w:t>
      </w:r>
      <w:r w:rsidRPr="007E01EE">
        <w:t xml:space="preserve"> it is not granted almost at all. </w:t>
      </w:r>
    </w:p>
    <w:p w:rsidR="00746A0B" w:rsidRDefault="007E01EE" w:rsidP="007E01EE">
      <w:r w:rsidRPr="007E01EE">
        <w:t>(</w:t>
      </w:r>
      <w:r w:rsidR="00DE47A0">
        <w:t>As for p</w:t>
      </w:r>
      <w:r w:rsidRPr="007E01EE">
        <w:t xml:space="preserve">ara 100) </w:t>
      </w:r>
    </w:p>
    <w:p w:rsidR="007E01EE" w:rsidRPr="007E01EE" w:rsidRDefault="007E01EE" w:rsidP="00746A0B">
      <w:pPr>
        <w:ind w:firstLine="840"/>
      </w:pPr>
      <w:r w:rsidRPr="007E01EE">
        <w:t xml:space="preserve">All practice explained by the government is not based on any law or regulation. When </w:t>
      </w:r>
      <w:r w:rsidRPr="007E01EE">
        <w:lastRenderedPageBreak/>
        <w:t>the child has his/her parents, one parent is detained usually. If the parent does not have parental authority, the existence of the child is not taken into consideration. As a result, even in the case where a child, Japanese national, had stayed with his father under provisional release who had no parental authority</w:t>
      </w:r>
      <w:r w:rsidR="00CD6E63">
        <w:t>,</w:t>
      </w:r>
      <w:r w:rsidRPr="007E01EE">
        <w:t xml:space="preserve"> escaping from abuse by his mother, which was recognized by the police and the child guidance center, the father was detained </w:t>
      </w:r>
      <w:r w:rsidR="00BD5AFF">
        <w:t xml:space="preserve">just </w:t>
      </w:r>
      <w:r w:rsidRPr="007E01EE">
        <w:t xml:space="preserve">because he went outside the prefecture he lived without permission once, which consists of violation of conditions for provisional release. </w:t>
      </w:r>
    </w:p>
    <w:p w:rsidR="00746A0B" w:rsidRDefault="007E01EE" w:rsidP="00746A0B">
      <w:r w:rsidRPr="007E01EE">
        <w:t>(</w:t>
      </w:r>
      <w:r w:rsidR="00DE47A0">
        <w:t>As for p</w:t>
      </w:r>
      <w:r w:rsidRPr="007E01EE">
        <w:t xml:space="preserve">ara 102) </w:t>
      </w:r>
    </w:p>
    <w:p w:rsidR="007E01EE" w:rsidRDefault="007E01EE" w:rsidP="00746A0B">
      <w:pPr>
        <w:ind w:firstLine="840"/>
      </w:pPr>
      <w:r w:rsidRPr="007E01EE">
        <w:rPr>
          <w:rFonts w:hint="eastAsia"/>
        </w:rPr>
        <w:t>T</w:t>
      </w:r>
      <w:r w:rsidRPr="007E01EE">
        <w:t xml:space="preserve">he government explains </w:t>
      </w:r>
      <w:r w:rsidR="00DE47A0">
        <w:t xml:space="preserve">in the reply </w:t>
      </w:r>
      <w:r w:rsidRPr="007E01EE">
        <w:t xml:space="preserve">that an effort is made to minimize the detention </w:t>
      </w:r>
      <w:r w:rsidR="00CD6E63">
        <w:t>term</w:t>
      </w:r>
      <w:r w:rsidRPr="007E01EE">
        <w:t xml:space="preserve"> for children, for example, by priority processing deportation procedure or application for refugee recognition for the children over other cases. However, the civil society has not heard such practice.</w:t>
      </w:r>
    </w:p>
    <w:p w:rsidR="007E01EE" w:rsidRDefault="001F1295" w:rsidP="007E01EE">
      <w:r w:rsidRPr="001F1295">
        <w:rPr>
          <w:rFonts w:hint="eastAsia"/>
        </w:rPr>
        <w:t>*</w:t>
      </w:r>
      <w:r w:rsidRPr="001F1295">
        <w:t xml:space="preserve"> Deportation of children and their parents is also a very serious issue. Please see para105 our original report (URL is shown in #</w:t>
      </w:r>
      <w:r w:rsidR="00746A0B">
        <w:t>4</w:t>
      </w:r>
      <w:r w:rsidRPr="001F1295">
        <w:t xml:space="preserve"> in this document).</w:t>
      </w:r>
    </w:p>
    <w:p w:rsidR="001F1295" w:rsidRDefault="001F1295" w:rsidP="007E01EE"/>
    <w:p w:rsidR="007E01EE" w:rsidRPr="00746A0B" w:rsidRDefault="00746A0B" w:rsidP="007E01EE">
      <w:pPr>
        <w:rPr>
          <w:b/>
        </w:rPr>
      </w:pPr>
      <w:r>
        <w:rPr>
          <w:b/>
        </w:rPr>
        <w:t>7</w:t>
      </w:r>
      <w:r w:rsidR="00CD6E63" w:rsidRPr="00746A0B">
        <w:rPr>
          <w:b/>
        </w:rPr>
        <w:tab/>
      </w:r>
      <w:r w:rsidR="007E01EE" w:rsidRPr="00746A0B">
        <w:rPr>
          <w:b/>
        </w:rPr>
        <w:t>Life imprisonment with parole</w:t>
      </w:r>
    </w:p>
    <w:p w:rsidR="007E01EE" w:rsidRPr="007E01EE" w:rsidRDefault="007E01EE" w:rsidP="00CD6E63">
      <w:pPr>
        <w:ind w:firstLine="840"/>
      </w:pPr>
      <w:r w:rsidRPr="007E01EE">
        <w:t xml:space="preserve">According to the letter of the law (Juvenile Act, article 58, para1, item1), the person sentenced to life imprisonment </w:t>
      </w:r>
      <w:r w:rsidR="00BD5AFF">
        <w:t>before</w:t>
      </w:r>
      <w:r w:rsidRPr="007E01EE">
        <w:t xml:space="preserve"> he or she </w:t>
      </w:r>
      <w:r w:rsidR="00BD5AFF">
        <w:t xml:space="preserve">turns </w:t>
      </w:r>
      <w:r w:rsidRPr="007E01EE">
        <w:t>20 years old may be given parole after the passage of seven years.</w:t>
      </w:r>
    </w:p>
    <w:p w:rsidR="007E01EE" w:rsidRPr="007E01EE" w:rsidRDefault="007E01EE" w:rsidP="00CD6E63">
      <w:pPr>
        <w:ind w:firstLine="840"/>
      </w:pPr>
      <w:r w:rsidRPr="007E01EE">
        <w:t>However,</w:t>
      </w:r>
      <w:r w:rsidRPr="007E01EE">
        <w:rPr>
          <w:rFonts w:hint="eastAsia"/>
        </w:rPr>
        <w:t xml:space="preserve"> </w:t>
      </w:r>
      <w:r w:rsidRPr="007E01EE">
        <w:t xml:space="preserve">in practice parole is not given in seven years. There are no data about juveniles who were sentenced to life imprisonment. According to the MOJ, in 2017, while the number of the persons (including juveniles) who were imprisoned after sentence to life imprisonment at the end of the year was 1795, the number of the persons who had been sentenced to life imprisonment and were given parole was eight (8), whose term of imprisonment on an average was 33 years and two (2) months </w:t>
      </w:r>
      <w:r w:rsidR="00BD5AFF">
        <w:t xml:space="preserve">and </w:t>
      </w:r>
      <w:r w:rsidRPr="007E01EE">
        <w:t xml:space="preserve">the number of the persons who died during life imprisonment was 30. </w:t>
      </w:r>
    </w:p>
    <w:p w:rsidR="007E01EE" w:rsidRPr="007E01EE" w:rsidRDefault="007E01EE" w:rsidP="00CD6E63">
      <w:pPr>
        <w:ind w:firstLine="840"/>
      </w:pPr>
      <w:r w:rsidRPr="007E01EE">
        <w:t>Since 2009, the average term of imprisonment of the persons who newly got parole each year was over 30 years. Most of the persons sentenced to life imprisonment died in the prison without given parole. There is no information that practice is different for the persons who were under 20 years old at the time of the sentence.</w:t>
      </w:r>
      <w:bookmarkStart w:id="0" w:name="_GoBack"/>
      <w:bookmarkEnd w:id="0"/>
    </w:p>
    <w:p w:rsidR="007E01EE" w:rsidRPr="007E01EE" w:rsidRDefault="007E01EE"/>
    <w:sectPr w:rsidR="007E01EE" w:rsidRPr="007E01EE">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78E2" w:rsidRDefault="008278E2" w:rsidP="008243D6">
      <w:r>
        <w:separator/>
      </w:r>
    </w:p>
  </w:endnote>
  <w:endnote w:type="continuationSeparator" w:id="0">
    <w:p w:rsidR="008278E2" w:rsidRDefault="008278E2" w:rsidP="00824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6227826"/>
      <w:docPartObj>
        <w:docPartGallery w:val="Page Numbers (Bottom of Page)"/>
        <w:docPartUnique/>
      </w:docPartObj>
    </w:sdtPr>
    <w:sdtEndPr/>
    <w:sdtContent>
      <w:p w:rsidR="00746A0B" w:rsidRDefault="00746A0B">
        <w:pPr>
          <w:pStyle w:val="a5"/>
          <w:jc w:val="center"/>
        </w:pPr>
        <w:r>
          <w:fldChar w:fldCharType="begin"/>
        </w:r>
        <w:r>
          <w:instrText>PAGE   \* MERGEFORMAT</w:instrText>
        </w:r>
        <w:r>
          <w:fldChar w:fldCharType="separate"/>
        </w:r>
        <w:r>
          <w:rPr>
            <w:lang w:val="ja-JP"/>
          </w:rPr>
          <w:t>2</w:t>
        </w:r>
        <w:r>
          <w:fldChar w:fldCharType="end"/>
        </w:r>
      </w:p>
    </w:sdtContent>
  </w:sdt>
  <w:p w:rsidR="00746A0B" w:rsidRDefault="00746A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78E2" w:rsidRDefault="008278E2" w:rsidP="008243D6">
      <w:r>
        <w:separator/>
      </w:r>
    </w:p>
  </w:footnote>
  <w:footnote w:type="continuationSeparator" w:id="0">
    <w:p w:rsidR="008278E2" w:rsidRDefault="008278E2" w:rsidP="008243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D23283"/>
    <w:multiLevelType w:val="hybridMultilevel"/>
    <w:tmpl w:val="AB8EF20E"/>
    <w:lvl w:ilvl="0" w:tplc="9B827616">
      <w:start w:val="7"/>
      <w:numFmt w:val="bullet"/>
      <w:lvlText w:val=""/>
      <w:lvlJc w:val="left"/>
      <w:pPr>
        <w:ind w:left="360" w:hanging="360"/>
      </w:pPr>
      <w:rPr>
        <w:rFonts w:ascii="Wingdings" w:eastAsiaTheme="minorEastAsia" w:hAnsi="Wingdings"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1EE"/>
    <w:rsid w:val="001F1295"/>
    <w:rsid w:val="00402803"/>
    <w:rsid w:val="00695FF1"/>
    <w:rsid w:val="00746A0B"/>
    <w:rsid w:val="007E01EE"/>
    <w:rsid w:val="00816B4F"/>
    <w:rsid w:val="008243D6"/>
    <w:rsid w:val="008278E2"/>
    <w:rsid w:val="00AB286F"/>
    <w:rsid w:val="00B6745B"/>
    <w:rsid w:val="00BD5AFF"/>
    <w:rsid w:val="00C77A30"/>
    <w:rsid w:val="00CD6E63"/>
    <w:rsid w:val="00D6309F"/>
    <w:rsid w:val="00DE47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19AF3AF"/>
  <w15:chartTrackingRefBased/>
  <w15:docId w15:val="{32187882-0CED-4D7D-A996-FB047E9EB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43D6"/>
    <w:pPr>
      <w:tabs>
        <w:tab w:val="center" w:pos="4252"/>
        <w:tab w:val="right" w:pos="8504"/>
      </w:tabs>
      <w:snapToGrid w:val="0"/>
    </w:pPr>
  </w:style>
  <w:style w:type="character" w:customStyle="1" w:styleId="a4">
    <w:name w:val="ヘッダー (文字)"/>
    <w:basedOn w:val="a0"/>
    <w:link w:val="a3"/>
    <w:uiPriority w:val="99"/>
    <w:rsid w:val="008243D6"/>
  </w:style>
  <w:style w:type="paragraph" w:styleId="a5">
    <w:name w:val="footer"/>
    <w:basedOn w:val="a"/>
    <w:link w:val="a6"/>
    <w:uiPriority w:val="99"/>
    <w:unhideWhenUsed/>
    <w:rsid w:val="008243D6"/>
    <w:pPr>
      <w:tabs>
        <w:tab w:val="center" w:pos="4252"/>
        <w:tab w:val="right" w:pos="8504"/>
      </w:tabs>
      <w:snapToGrid w:val="0"/>
    </w:pPr>
  </w:style>
  <w:style w:type="character" w:customStyle="1" w:styleId="a6">
    <w:name w:val="フッター (文字)"/>
    <w:basedOn w:val="a0"/>
    <w:link w:val="a5"/>
    <w:uiPriority w:val="99"/>
    <w:rsid w:val="008243D6"/>
  </w:style>
  <w:style w:type="character" w:styleId="a7">
    <w:name w:val="Hyperlink"/>
    <w:basedOn w:val="a0"/>
    <w:uiPriority w:val="99"/>
    <w:unhideWhenUsed/>
    <w:rsid w:val="008243D6"/>
    <w:rPr>
      <w:color w:val="0563C1" w:themeColor="hyperlink"/>
      <w:u w:val="single"/>
    </w:rPr>
  </w:style>
  <w:style w:type="character" w:styleId="a8">
    <w:name w:val="Unresolved Mention"/>
    <w:basedOn w:val="a0"/>
    <w:uiPriority w:val="99"/>
    <w:semiHidden/>
    <w:unhideWhenUsed/>
    <w:rsid w:val="008243D6"/>
    <w:rPr>
      <w:color w:val="605E5C"/>
      <w:shd w:val="clear" w:color="auto" w:fill="E1DFDD"/>
    </w:rPr>
  </w:style>
  <w:style w:type="character" w:styleId="a9">
    <w:name w:val="FollowedHyperlink"/>
    <w:basedOn w:val="a0"/>
    <w:uiPriority w:val="99"/>
    <w:semiHidden/>
    <w:unhideWhenUsed/>
    <w:rsid w:val="008243D6"/>
    <w:rPr>
      <w:color w:val="954F72" w:themeColor="followedHyperlink"/>
      <w:u w:val="single"/>
    </w:rPr>
  </w:style>
  <w:style w:type="paragraph" w:styleId="aa">
    <w:name w:val="List Paragraph"/>
    <w:basedOn w:val="a"/>
    <w:uiPriority w:val="34"/>
    <w:qFormat/>
    <w:rsid w:val="00746A0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tbinternet.ohchr.org/_layouts/treatybodyexternal/Download.aspx?symbolno=INT%2fCRC%2fNGO%2fJPN%2f29998&amp;Lang=en"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16B74D-CB6A-4F3B-8B5C-B7E9ADD725E7}"/>
</file>

<file path=customXml/itemProps2.xml><?xml version="1.0" encoding="utf-8"?>
<ds:datastoreItem xmlns:ds="http://schemas.openxmlformats.org/officeDocument/2006/customXml" ds:itemID="{E89EA27C-7A0B-4FAC-AB70-8DAEF359313E}"/>
</file>

<file path=customXml/itemProps3.xml><?xml version="1.0" encoding="utf-8"?>
<ds:datastoreItem xmlns:ds="http://schemas.openxmlformats.org/officeDocument/2006/customXml" ds:itemID="{A69EC2E9-B0EE-42F8-BA21-FEE64195BCD3}"/>
</file>

<file path=docProps/app.xml><?xml version="1.0" encoding="utf-8"?>
<Properties xmlns="http://schemas.openxmlformats.org/officeDocument/2006/extended-properties" xmlns:vt="http://schemas.openxmlformats.org/officeDocument/2006/docPropsVTypes">
  <Template>Normal</Template>
  <TotalTime>60</TotalTime>
  <Pages>5</Pages>
  <Words>2105</Words>
  <Characters>12004</Characters>
  <Application>Microsoft Office Word</Application>
  <DocSecurity>0</DocSecurity>
  <Lines>100</Lines>
  <Paragraphs>28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雅子 鈴木</dc:creator>
  <cp:keywords/>
  <dc:description/>
  <cp:lastModifiedBy>雅子 鈴木</cp:lastModifiedBy>
  <cp:revision>6</cp:revision>
  <dcterms:created xsi:type="dcterms:W3CDTF">2019-01-17T17:35:00Z</dcterms:created>
  <dcterms:modified xsi:type="dcterms:W3CDTF">2019-01-18T13:05:00Z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