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E6935" w14:textId="229D1B68" w:rsidR="001768E1" w:rsidRPr="00792AC5" w:rsidRDefault="001768E1">
      <w:pPr>
        <w:rPr>
          <w:rFonts w:ascii="Calibri" w:hAnsi="Calibri" w:cs="Calibri"/>
          <w:lang w:val="en-GB"/>
        </w:rPr>
      </w:pPr>
    </w:p>
    <w:p w14:paraId="0286DB31" w14:textId="77777777" w:rsidR="001768E1" w:rsidRPr="00792AC5" w:rsidRDefault="001870D8">
      <w:pPr>
        <w:pStyle w:val="Ttulo1"/>
        <w:jc w:val="center"/>
        <w:rPr>
          <w:rFonts w:ascii="Calibri" w:hAnsi="Calibri" w:cs="Calibri"/>
          <w:color w:val="000000"/>
          <w:sz w:val="28"/>
          <w:szCs w:val="28"/>
          <w:lang w:val="en-GB"/>
        </w:rPr>
      </w:pPr>
      <w:bookmarkStart w:id="0" w:name="_Toc198569884"/>
      <w:r w:rsidRPr="00792AC5">
        <w:rPr>
          <w:rFonts w:ascii="Calibri" w:hAnsi="Calibri" w:cs="Calibri"/>
          <w:color w:val="000000"/>
          <w:sz w:val="28"/>
          <w:szCs w:val="28"/>
          <w:lang w:val="en-GB"/>
        </w:rPr>
        <w:t>Alternative Report on Guinea-Bissau for the CEDAW Committee Session</w:t>
      </w:r>
      <w:bookmarkEnd w:id="0"/>
      <w:r w:rsidRPr="00792AC5">
        <w:rPr>
          <w:rFonts w:ascii="Calibri" w:hAnsi="Calibri" w:cs="Calibri"/>
          <w:color w:val="000000"/>
          <w:sz w:val="28"/>
          <w:szCs w:val="28"/>
          <w:lang w:val="en-GB"/>
        </w:rPr>
        <w:t xml:space="preserve"> </w:t>
      </w:r>
    </w:p>
    <w:p w14:paraId="0A939E7A" w14:textId="77777777" w:rsidR="001768E1" w:rsidRPr="00792AC5" w:rsidRDefault="001870D8">
      <w:pPr>
        <w:jc w:val="center"/>
        <w:rPr>
          <w:rFonts w:ascii="Calibri" w:hAnsi="Calibri" w:cs="Calibri"/>
          <w:b/>
          <w:sz w:val="32"/>
          <w:szCs w:val="32"/>
          <w:lang w:val="en-GB"/>
        </w:rPr>
      </w:pPr>
      <w:r w:rsidRPr="00792AC5">
        <w:rPr>
          <w:rFonts w:ascii="Calibri" w:hAnsi="Calibri" w:cs="Calibri"/>
          <w:b/>
          <w:sz w:val="32"/>
          <w:szCs w:val="32"/>
          <w:lang w:val="en-GB"/>
        </w:rPr>
        <w:t xml:space="preserve">Different forms of gender-based violence against women and girls in Guinea-Bissau </w:t>
      </w:r>
    </w:p>
    <w:p w14:paraId="5C336039" w14:textId="77777777" w:rsidR="001768E1" w:rsidRPr="00792AC5" w:rsidRDefault="001768E1">
      <w:pPr>
        <w:jc w:val="center"/>
        <w:rPr>
          <w:rFonts w:ascii="Calibri" w:hAnsi="Calibri" w:cs="Calibri"/>
          <w:b/>
          <w:lang w:val="en-GB"/>
        </w:rPr>
      </w:pPr>
    </w:p>
    <w:p w14:paraId="39FF5A7E" w14:textId="77777777" w:rsidR="001768E1" w:rsidRPr="00792AC5" w:rsidRDefault="001870D8">
      <w:pPr>
        <w:jc w:val="center"/>
        <w:rPr>
          <w:rFonts w:ascii="Calibri" w:hAnsi="Calibri" w:cs="Calibri"/>
          <w:b/>
          <w:lang w:val="en-GB"/>
        </w:rPr>
      </w:pPr>
      <w:r w:rsidRPr="00792AC5">
        <w:rPr>
          <w:rFonts w:ascii="Calibri" w:hAnsi="Calibri" w:cs="Calibri"/>
          <w:b/>
          <w:lang w:val="en-GB"/>
        </w:rPr>
        <w:t xml:space="preserve">May 19, 2025 </w:t>
      </w:r>
    </w:p>
    <w:p w14:paraId="33748765" w14:textId="77777777" w:rsidR="00653AE2" w:rsidRPr="00792AC5" w:rsidRDefault="00653AE2">
      <w:pPr>
        <w:jc w:val="both"/>
        <w:rPr>
          <w:rFonts w:ascii="Calibri" w:eastAsia="Times New Roman" w:hAnsi="Calibri" w:cs="Calibri"/>
          <w:sz w:val="24"/>
          <w:szCs w:val="24"/>
          <w:lang w:val="en-GB"/>
        </w:rPr>
      </w:pPr>
      <w:bookmarkStart w:id="1" w:name="_heading=h.pgrc9mnkhqa3" w:colFirst="0" w:colLast="0"/>
      <w:bookmarkEnd w:id="1"/>
    </w:p>
    <w:p w14:paraId="5E1E0B92" w14:textId="77777777" w:rsidR="001768E1" w:rsidRPr="00792AC5" w:rsidRDefault="001870D8">
      <w:pPr>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We thank the Committee on the Elimination of Discrimination against Women for this opportunity to address them during the second Guinea-Bissau Review. The focus of this report is on the different forms of gender-based violence against women and girls in the country.  </w:t>
      </w:r>
    </w:p>
    <w:p w14:paraId="41AECC03" w14:textId="77777777" w:rsidR="001768E1" w:rsidRPr="00792AC5" w:rsidRDefault="001870D8">
      <w:pPr>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Below, relevant data and information on the various types of gender violence that occurred in the country are presented, as well as analyses on the main challenges, failures and bottlenecks in legislation, public policies and other institutional responses. </w:t>
      </w:r>
    </w:p>
    <w:p w14:paraId="69D55F1C" w14:textId="77777777" w:rsidR="001768E1" w:rsidRPr="00792AC5" w:rsidRDefault="001870D8">
      <w:pPr>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Our key recommendations to the Committee are respectfully noted at the end of each topic and highlighted within a box, as well as suggestions for questions to be asked to the State during the review.</w:t>
      </w:r>
    </w:p>
    <w:p w14:paraId="1E915ACA" w14:textId="77777777" w:rsidR="00653AE2" w:rsidRPr="00792AC5" w:rsidRDefault="00653AE2">
      <w:pPr>
        <w:jc w:val="both"/>
        <w:rPr>
          <w:rFonts w:ascii="Calibri" w:eastAsia="Times New Roman" w:hAnsi="Calibri" w:cs="Calibri"/>
          <w:sz w:val="24"/>
          <w:szCs w:val="24"/>
          <w:lang w:val="en-GB"/>
        </w:rPr>
      </w:pPr>
    </w:p>
    <w:p w14:paraId="39AEB513" w14:textId="77777777" w:rsidR="001768E1" w:rsidRPr="00792AC5" w:rsidRDefault="001870D8">
      <w:pPr>
        <w:pStyle w:val="Ttulo3"/>
        <w:rPr>
          <w:rFonts w:ascii="Calibri" w:hAnsi="Calibri" w:cs="Calibri"/>
          <w:color w:val="000000"/>
          <w:lang w:val="en-GB"/>
        </w:rPr>
      </w:pPr>
      <w:bookmarkStart w:id="2" w:name="_Toc198569885"/>
      <w:r w:rsidRPr="00792AC5">
        <w:rPr>
          <w:rFonts w:ascii="Calibri" w:hAnsi="Calibri" w:cs="Calibri"/>
          <w:color w:val="000000"/>
          <w:lang w:val="en-GB"/>
        </w:rPr>
        <w:t>Methodology</w:t>
      </w:r>
      <w:bookmarkEnd w:id="2"/>
      <w:r w:rsidRPr="00792AC5">
        <w:rPr>
          <w:rFonts w:ascii="Calibri" w:hAnsi="Calibri" w:cs="Calibri"/>
          <w:color w:val="000000"/>
          <w:lang w:val="en-GB"/>
        </w:rPr>
        <w:t xml:space="preserve"> </w:t>
      </w:r>
    </w:p>
    <w:p w14:paraId="7E657610" w14:textId="3A3D629D"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This Alternative Report was prepared by the organizations listed below, based on a Workshop promoted by the United Nations High Commissioner for Human Rights in Bissau/Guinea-Bissau, within the framework of the project "Improving the Human Rights Protection System in Guinea-Bissau", financed by the Peacebuilding Fund and implemented by the </w:t>
      </w:r>
      <w:r w:rsidR="00792AC5" w:rsidRPr="00792AC5">
        <w:rPr>
          <w:rFonts w:ascii="Calibri" w:eastAsia="Times New Roman" w:hAnsi="Calibri" w:cs="Calibri"/>
          <w:sz w:val="24"/>
          <w:szCs w:val="24"/>
          <w:lang w:val="en-GB"/>
        </w:rPr>
        <w:t>OHCHR, by</w:t>
      </w:r>
      <w:r w:rsidRPr="00792AC5">
        <w:rPr>
          <w:rFonts w:ascii="Calibri" w:eastAsia="Times New Roman" w:hAnsi="Calibri" w:cs="Calibri"/>
          <w:sz w:val="24"/>
          <w:szCs w:val="24"/>
          <w:lang w:val="en-GB"/>
        </w:rPr>
        <w:t xml:space="preserve"> UNDP and UNICEF. The workshop, held between May 7 and 9, 2025, involved 19 local organizations and networks and its main objective </w:t>
      </w:r>
      <w:r w:rsidR="00792AC5" w:rsidRPr="00792AC5">
        <w:rPr>
          <w:rFonts w:ascii="Calibri" w:eastAsia="Times New Roman" w:hAnsi="Calibri" w:cs="Calibri"/>
          <w:sz w:val="24"/>
          <w:szCs w:val="24"/>
          <w:lang w:val="en-GB"/>
        </w:rPr>
        <w:t xml:space="preserve">was </w:t>
      </w:r>
      <w:r w:rsidRPr="00792AC5">
        <w:rPr>
          <w:rFonts w:ascii="Calibri" w:eastAsia="Times New Roman" w:hAnsi="Calibri" w:cs="Calibri"/>
          <w:sz w:val="24"/>
          <w:szCs w:val="24"/>
          <w:lang w:val="en-GB"/>
        </w:rPr>
        <w:t xml:space="preserve">to strengthen the capacity of civil society organizations in the country to effectively influence the CEDAW Committee, contributing to the process of periodic review of the State. </w:t>
      </w:r>
    </w:p>
    <w:p w14:paraId="156F2DB0"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information presented here was widely discussed by the participating organisations </w:t>
      </w:r>
      <w:proofErr w:type="gramStart"/>
      <w:r w:rsidRPr="00792AC5">
        <w:rPr>
          <w:rFonts w:ascii="Calibri" w:eastAsia="Times New Roman" w:hAnsi="Calibri" w:cs="Calibri"/>
          <w:sz w:val="24"/>
          <w:szCs w:val="24"/>
          <w:lang w:val="en-GB"/>
        </w:rPr>
        <w:t>in order to</w:t>
      </w:r>
      <w:proofErr w:type="gramEnd"/>
      <w:r w:rsidRPr="00792AC5">
        <w:rPr>
          <w:rFonts w:ascii="Calibri" w:eastAsia="Times New Roman" w:hAnsi="Calibri" w:cs="Calibri"/>
          <w:sz w:val="24"/>
          <w:szCs w:val="24"/>
          <w:lang w:val="en-GB"/>
        </w:rPr>
        <w:t xml:space="preserve"> choose the best way to address each of the themes, as well as the priority issues. In addition, they are based on the daily work of organizations in </w:t>
      </w:r>
      <w:proofErr w:type="spellStart"/>
      <w:r w:rsidRPr="00792AC5">
        <w:rPr>
          <w:rFonts w:ascii="Calibri" w:eastAsia="Times New Roman" w:hAnsi="Calibri" w:cs="Calibri"/>
          <w:sz w:val="24"/>
          <w:szCs w:val="24"/>
          <w:lang w:val="en-GB"/>
        </w:rPr>
        <w:t>favor</w:t>
      </w:r>
      <w:proofErr w:type="spellEnd"/>
      <w:r w:rsidRPr="00792AC5">
        <w:rPr>
          <w:rFonts w:ascii="Calibri" w:eastAsia="Times New Roman" w:hAnsi="Calibri" w:cs="Calibri"/>
          <w:sz w:val="24"/>
          <w:szCs w:val="24"/>
          <w:lang w:val="en-GB"/>
        </w:rPr>
        <w:t xml:space="preserve"> of the rights of women and girls in the country, in their reports, research and complaints. </w:t>
      </w:r>
    </w:p>
    <w:p w14:paraId="653885BD" w14:textId="77777777" w:rsidR="001768E1" w:rsidRPr="00792AC5" w:rsidRDefault="001768E1">
      <w:pPr>
        <w:rPr>
          <w:rFonts w:ascii="Calibri" w:hAnsi="Calibri" w:cs="Calibri"/>
          <w:b/>
          <w:lang w:val="en-GB"/>
        </w:rPr>
      </w:pPr>
    </w:p>
    <w:p w14:paraId="446F8478" w14:textId="77777777" w:rsidR="001768E1" w:rsidRPr="00792AC5" w:rsidRDefault="001870D8">
      <w:pPr>
        <w:pStyle w:val="Ttulo3"/>
        <w:rPr>
          <w:rFonts w:ascii="Calibri" w:hAnsi="Calibri" w:cs="Calibri"/>
          <w:color w:val="000000"/>
          <w:lang w:val="en-GB"/>
        </w:rPr>
      </w:pPr>
      <w:bookmarkStart w:id="3" w:name="_Toc198569886"/>
      <w:r w:rsidRPr="00792AC5">
        <w:rPr>
          <w:rFonts w:ascii="Calibri" w:hAnsi="Calibri" w:cs="Calibri"/>
          <w:color w:val="000000"/>
          <w:lang w:val="en-GB"/>
        </w:rPr>
        <w:lastRenderedPageBreak/>
        <w:t>Signatory organizations</w:t>
      </w:r>
      <w:bookmarkEnd w:id="3"/>
      <w:r w:rsidRPr="00792AC5">
        <w:rPr>
          <w:rFonts w:ascii="Calibri" w:hAnsi="Calibri" w:cs="Calibri"/>
          <w:color w:val="000000"/>
          <w:lang w:val="en-GB"/>
        </w:rPr>
        <w:t xml:space="preserve"> </w:t>
      </w:r>
    </w:p>
    <w:p w14:paraId="0539BD26" w14:textId="38B917B8" w:rsidR="001768E1" w:rsidRPr="00792AC5" w:rsidRDefault="001870D8">
      <w:pPr>
        <w:spacing w:before="240" w:after="240" w:line="288" w:lineRule="auto"/>
        <w:jc w:val="both"/>
        <w:rPr>
          <w:rFonts w:ascii="Calibri" w:eastAsia="Times New Roman" w:hAnsi="Calibri" w:cs="Calibri"/>
          <w:b/>
          <w:sz w:val="24"/>
          <w:szCs w:val="24"/>
          <w:lang w:val="en-GB"/>
        </w:rPr>
      </w:pPr>
      <w:bookmarkStart w:id="4" w:name="_heading=h.qu50skt4ry8i" w:colFirst="0" w:colLast="0"/>
      <w:bookmarkEnd w:id="4"/>
      <w:r w:rsidRPr="00792AC5">
        <w:rPr>
          <w:rFonts w:ascii="Calibri" w:eastAsia="Times New Roman" w:hAnsi="Calibri" w:cs="Calibri"/>
          <w:b/>
          <w:sz w:val="24"/>
          <w:szCs w:val="24"/>
          <w:lang w:val="en-GB"/>
        </w:rPr>
        <w:t xml:space="preserve">YOUTH ASSOCIATION FOR THE PROMOTION AND DEFENSE OF HUMAN RIGHTS (AJPDH):  </w:t>
      </w:r>
      <w:r w:rsidRPr="00792AC5">
        <w:rPr>
          <w:rFonts w:ascii="Calibri" w:eastAsia="Times New Roman" w:hAnsi="Calibri" w:cs="Calibri"/>
          <w:sz w:val="24"/>
          <w:szCs w:val="24"/>
          <w:lang w:val="en-GB"/>
        </w:rPr>
        <w:t xml:space="preserve">The AJPDH is a Guinean, non-governmental and non-profit youth organization dedicated to the promotion and </w:t>
      </w:r>
      <w:r w:rsidR="00792AC5" w:rsidRPr="00792AC5">
        <w:rPr>
          <w:rFonts w:ascii="Calibri" w:eastAsia="Times New Roman" w:hAnsi="Calibri" w:cs="Calibri"/>
          <w:sz w:val="24"/>
          <w:szCs w:val="24"/>
          <w:lang w:val="en-GB"/>
        </w:rPr>
        <w:t>defence</w:t>
      </w:r>
      <w:r w:rsidRPr="00792AC5">
        <w:rPr>
          <w:rFonts w:ascii="Calibri" w:eastAsia="Times New Roman" w:hAnsi="Calibri" w:cs="Calibri"/>
          <w:sz w:val="24"/>
          <w:szCs w:val="24"/>
          <w:lang w:val="en-GB"/>
        </w:rPr>
        <w:t xml:space="preserve"> of human rights, with a special focus on youth. It operates throughout the national territory through awareness-raising, training and advocacy actions, promoting values such as justice, freedom, equality and civic participation. The association fights gender-based violence, including early marriage and female genital mutilation, defends the rights of people with disabilities and promotes social inclusion. It also intervenes in the areas of citizenship, education, environment, volunteering and children's rights. The AJPDH trains young leaders and collaborates with national and international partners to strengthen its mission and contribute to the development of Guinea-Bissau. </w:t>
      </w:r>
    </w:p>
    <w:p w14:paraId="131A0E35" w14:textId="7E8C74F7" w:rsidR="001768E1" w:rsidRPr="00792AC5" w:rsidRDefault="001870D8">
      <w:pPr>
        <w:spacing w:before="240" w:after="240" w:line="288" w:lineRule="auto"/>
        <w:jc w:val="both"/>
        <w:rPr>
          <w:rFonts w:ascii="Calibri" w:eastAsia="Times New Roman" w:hAnsi="Calibri" w:cs="Calibri"/>
          <w:sz w:val="24"/>
          <w:szCs w:val="24"/>
          <w:lang w:val="en-GB"/>
        </w:rPr>
      </w:pPr>
      <w:bookmarkStart w:id="5" w:name="_heading=h.big2cl2w7ro2" w:colFirst="0" w:colLast="0"/>
      <w:bookmarkEnd w:id="5"/>
      <w:r w:rsidRPr="00792AC5">
        <w:rPr>
          <w:rFonts w:ascii="Calibri" w:eastAsia="Times New Roman" w:hAnsi="Calibri" w:cs="Calibri"/>
          <w:b/>
          <w:sz w:val="24"/>
          <w:szCs w:val="24"/>
          <w:lang w:val="en-GB"/>
        </w:rPr>
        <w:t xml:space="preserve">GUINEAN ASSOCIATION OF WOMEN JURISTS (AGMJ): </w:t>
      </w:r>
      <w:r w:rsidRPr="00792AC5">
        <w:rPr>
          <w:rFonts w:ascii="Calibri" w:eastAsia="Times New Roman" w:hAnsi="Calibri" w:cs="Calibri"/>
          <w:sz w:val="24"/>
          <w:szCs w:val="24"/>
          <w:lang w:val="en-GB"/>
        </w:rPr>
        <w:t xml:space="preserve">is a civil society organization composed of women lawyers and legal professionals from Guinea-Bissau, dedicated to the promotion of women's rights, gender equality and access to justice. The AGMJ works on several fronts, such as defending </w:t>
      </w:r>
      <w:r w:rsidR="004F50D6" w:rsidRPr="00792AC5">
        <w:rPr>
          <w:rFonts w:ascii="Calibri" w:eastAsia="Times New Roman" w:hAnsi="Calibri" w:cs="Calibri"/>
          <w:sz w:val="24"/>
          <w:szCs w:val="24"/>
          <w:lang w:val="en-GB"/>
        </w:rPr>
        <w:t>constitutionalising</w:t>
      </w:r>
      <w:r w:rsidRPr="00792AC5">
        <w:rPr>
          <w:rFonts w:ascii="Calibri" w:eastAsia="Times New Roman" w:hAnsi="Calibri" w:cs="Calibri"/>
          <w:sz w:val="24"/>
          <w:szCs w:val="24"/>
          <w:lang w:val="en-GB"/>
        </w:rPr>
        <w:t xml:space="preserve"> gender equality, protecting women's rights in marriage, work and access to land, as well as the fight against harmful practices such as female genital mutilation. She has actively participated in legislative processes, promoted debates on gender justice and integrated international networks, such as the International Federation of Women in Legal Careers. </w:t>
      </w:r>
    </w:p>
    <w:p w14:paraId="699FD1F5" w14:textId="77777777" w:rsidR="001768E1" w:rsidRPr="00792AC5" w:rsidRDefault="001870D8">
      <w:pPr>
        <w:spacing w:before="240" w:after="240" w:line="288" w:lineRule="auto"/>
        <w:jc w:val="both"/>
        <w:rPr>
          <w:rFonts w:ascii="Calibri" w:eastAsia="Times New Roman" w:hAnsi="Calibri" w:cs="Calibri"/>
          <w:sz w:val="24"/>
          <w:szCs w:val="24"/>
          <w:lang w:val="en-GB"/>
        </w:rPr>
      </w:pPr>
      <w:bookmarkStart w:id="6" w:name="_heading=h.58p90z71dfdc" w:colFirst="0" w:colLast="0"/>
      <w:bookmarkEnd w:id="6"/>
      <w:r w:rsidRPr="00792AC5">
        <w:rPr>
          <w:rFonts w:ascii="Calibri" w:eastAsia="Times New Roman" w:hAnsi="Calibri" w:cs="Calibri"/>
          <w:b/>
          <w:sz w:val="24"/>
          <w:szCs w:val="24"/>
          <w:lang w:val="en-GB"/>
        </w:rPr>
        <w:t>GUINEA-BISSAU HUMAN RIGHTS DEFENDERS NETWORK / RDDH-GB:</w:t>
      </w:r>
      <w:r w:rsidRPr="00792AC5">
        <w:rPr>
          <w:rFonts w:ascii="Calibri" w:eastAsia="Times New Roman" w:hAnsi="Calibri" w:cs="Calibri"/>
          <w:sz w:val="24"/>
          <w:szCs w:val="24"/>
          <w:lang w:val="en-GB"/>
        </w:rPr>
        <w:t xml:space="preserve"> Founded in 2013, the RDDH-GB is a civil society organization that aims to promote and defend the rights of human rights defenders in the country. With administrative, financial, and patrimonial autonomy, the network works to train defenders, monitor the human rights situation, and support defenders in vulnerable situations. In addition, she is a member of the West African Network of Human Rights Defenders (WAHRDN) and works in accordance with international standards for the protection of human rights defenders.  </w:t>
      </w:r>
    </w:p>
    <w:p w14:paraId="33468184" w14:textId="77777777" w:rsidR="001768E1" w:rsidRPr="00792AC5" w:rsidRDefault="001870D8">
      <w:pPr>
        <w:spacing w:before="240" w:after="240" w:line="288" w:lineRule="auto"/>
        <w:jc w:val="both"/>
        <w:rPr>
          <w:rFonts w:ascii="Calibri" w:eastAsia="Times New Roman" w:hAnsi="Calibri" w:cs="Calibri"/>
          <w:b/>
          <w:sz w:val="24"/>
          <w:szCs w:val="24"/>
          <w:lang w:val="en-GB"/>
        </w:rPr>
      </w:pPr>
      <w:bookmarkStart w:id="7" w:name="_heading=h.10t9cbx45pet" w:colFirst="0" w:colLast="0"/>
      <w:bookmarkEnd w:id="7"/>
      <w:r w:rsidRPr="00792AC5">
        <w:rPr>
          <w:rFonts w:ascii="Calibri" w:eastAsia="Times New Roman" w:hAnsi="Calibri" w:cs="Calibri"/>
          <w:b/>
          <w:sz w:val="24"/>
          <w:szCs w:val="24"/>
          <w:lang w:val="en-GB"/>
        </w:rPr>
        <w:t xml:space="preserve">NATIONAL NETWORK OF WOMEN WITH DISABILITIES:  </w:t>
      </w:r>
      <w:r w:rsidRPr="00792AC5">
        <w:rPr>
          <w:rFonts w:ascii="Calibri" w:eastAsia="Times New Roman" w:hAnsi="Calibri" w:cs="Calibri"/>
          <w:sz w:val="24"/>
          <w:szCs w:val="24"/>
          <w:lang w:val="en-GB"/>
        </w:rPr>
        <w:t xml:space="preserve">This network is made up of women with disabilities who seek to promote the inclusion and rights of women with disabilities in the country. The network works to raise awareness about the issues faced by these women, to promote their full and effective participation in society, and to advocate for public policies that guarantee their rights, including access to education, health, employment, and political participation. </w:t>
      </w:r>
    </w:p>
    <w:p w14:paraId="32E372CE" w14:textId="77777777" w:rsidR="001768E1" w:rsidRPr="00792AC5" w:rsidRDefault="001870D8">
      <w:pPr>
        <w:spacing w:before="240" w:after="240" w:line="288" w:lineRule="auto"/>
        <w:jc w:val="both"/>
        <w:rPr>
          <w:rFonts w:ascii="Calibri" w:eastAsia="Times New Roman" w:hAnsi="Calibri" w:cs="Calibri"/>
          <w:sz w:val="24"/>
          <w:szCs w:val="24"/>
          <w:lang w:val="en-GB"/>
        </w:rPr>
      </w:pPr>
      <w:bookmarkStart w:id="8" w:name="_heading=h.gqznzgrr1y0o" w:colFirst="0" w:colLast="0"/>
      <w:bookmarkEnd w:id="8"/>
      <w:r w:rsidRPr="00792AC5">
        <w:rPr>
          <w:rFonts w:ascii="Calibri" w:eastAsia="Times New Roman" w:hAnsi="Calibri" w:cs="Calibri"/>
          <w:b/>
          <w:sz w:val="24"/>
          <w:szCs w:val="24"/>
          <w:lang w:val="en-GB"/>
        </w:rPr>
        <w:t>NATIONAL NETWORK FOR THE FIGHT AGAINST GENDER-BASED VIOLENCE AND CHILDREN IN GUINEA-BISSAU (RENLUV – GC/GB):</w:t>
      </w:r>
      <w:r w:rsidRPr="00792AC5">
        <w:rPr>
          <w:rFonts w:ascii="Calibri" w:eastAsia="Times New Roman" w:hAnsi="Calibri" w:cs="Calibri"/>
          <w:sz w:val="24"/>
          <w:szCs w:val="24"/>
          <w:lang w:val="en-GB"/>
        </w:rPr>
        <w:t xml:space="preserve">  is a network of non-governmental organizations that works against gender-based violence and promotes access to justice </w:t>
      </w:r>
      <w:r w:rsidRPr="00792AC5">
        <w:rPr>
          <w:rFonts w:ascii="Calibri" w:eastAsia="Times New Roman" w:hAnsi="Calibri" w:cs="Calibri"/>
          <w:sz w:val="24"/>
          <w:szCs w:val="24"/>
          <w:lang w:val="en-GB"/>
        </w:rPr>
        <w:lastRenderedPageBreak/>
        <w:t>in Guinea-Bissau. The network works to raise awareness, training, advocate, prevent, protect and monitor gender-based violence and child violence, in addition to offering support to victims and promoting public policies aimed at gender equality and child protection.</w:t>
      </w:r>
    </w:p>
    <w:p w14:paraId="0EABA916" w14:textId="77777777" w:rsidR="00B15ECD" w:rsidRDefault="00B15ECD">
      <w:pPr>
        <w:rPr>
          <w:rFonts w:ascii="Calibri" w:hAnsi="Calibri" w:cs="Calibri"/>
          <w:lang w:val="en-GB"/>
        </w:rPr>
      </w:pPr>
    </w:p>
    <w:p w14:paraId="1DF23432" w14:textId="77777777" w:rsidR="00B15ECD" w:rsidRDefault="00B15ECD">
      <w:pPr>
        <w:keepNext/>
        <w:keepLines/>
        <w:pBdr>
          <w:top w:val="nil"/>
          <w:left w:val="nil"/>
          <w:bottom w:val="nil"/>
          <w:right w:val="nil"/>
          <w:between w:val="nil"/>
        </w:pBdr>
        <w:spacing w:before="240" w:after="0"/>
        <w:rPr>
          <w:rFonts w:ascii="Calibri" w:eastAsia="Play" w:hAnsi="Calibri" w:cs="Calibri"/>
          <w:sz w:val="32"/>
          <w:szCs w:val="32"/>
          <w:lang w:val="en-GB"/>
        </w:rPr>
      </w:pPr>
    </w:p>
    <w:p w14:paraId="054C2D20" w14:textId="0DF227EC" w:rsidR="001768E1" w:rsidRPr="00B15ECD" w:rsidRDefault="001870D8">
      <w:pPr>
        <w:keepNext/>
        <w:keepLines/>
        <w:pBdr>
          <w:top w:val="nil"/>
          <w:left w:val="nil"/>
          <w:bottom w:val="nil"/>
          <w:right w:val="nil"/>
          <w:between w:val="nil"/>
        </w:pBdr>
        <w:spacing w:before="240" w:after="0"/>
        <w:rPr>
          <w:rFonts w:ascii="Calibri" w:eastAsia="Play" w:hAnsi="Calibri" w:cs="Calibri"/>
          <w:sz w:val="32"/>
          <w:szCs w:val="32"/>
        </w:rPr>
      </w:pPr>
      <w:proofErr w:type="spellStart"/>
      <w:r w:rsidRPr="00B15ECD">
        <w:rPr>
          <w:rFonts w:ascii="Calibri" w:eastAsia="Play" w:hAnsi="Calibri" w:cs="Calibri"/>
          <w:sz w:val="32"/>
          <w:szCs w:val="32"/>
        </w:rPr>
        <w:t>Summary</w:t>
      </w:r>
      <w:proofErr w:type="spellEnd"/>
    </w:p>
    <w:sdt>
      <w:sdtPr>
        <w:id w:val="-1172187381"/>
        <w:docPartObj>
          <w:docPartGallery w:val="Table of Contents"/>
          <w:docPartUnique/>
        </w:docPartObj>
      </w:sdtPr>
      <w:sdtEndPr>
        <w:rPr>
          <w:rFonts w:ascii="Aptos" w:eastAsia="Aptos" w:hAnsi="Aptos" w:cs="Aptos"/>
          <w:b/>
          <w:bCs/>
          <w:color w:val="auto"/>
          <w:sz w:val="22"/>
          <w:szCs w:val="22"/>
        </w:rPr>
      </w:sdtEndPr>
      <w:sdtContent>
        <w:p w14:paraId="341A4E85" w14:textId="2562DEFA" w:rsidR="00B15ECD" w:rsidRDefault="00B15ECD">
          <w:pPr>
            <w:pStyle w:val="CabealhodoSumrio"/>
          </w:pPr>
          <w:r>
            <w:t>Sumário</w:t>
          </w:r>
        </w:p>
        <w:p w14:paraId="4E243C7E" w14:textId="365C08CA" w:rsidR="00B15ECD" w:rsidRDefault="00B15ECD">
          <w:pPr>
            <w:pStyle w:val="Sumrio1"/>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8569884" w:history="1">
            <w:r w:rsidRPr="008A0221">
              <w:rPr>
                <w:rStyle w:val="Hyperlink"/>
                <w:rFonts w:ascii="Calibri" w:hAnsi="Calibri" w:cs="Calibri"/>
                <w:noProof/>
                <w:lang w:val="en-GB"/>
              </w:rPr>
              <w:t>Alternative Report on Guinea-Bissau for the CEDAW Committee Session</w:t>
            </w:r>
            <w:r>
              <w:rPr>
                <w:noProof/>
                <w:webHidden/>
              </w:rPr>
              <w:tab/>
            </w:r>
            <w:r>
              <w:rPr>
                <w:noProof/>
                <w:webHidden/>
              </w:rPr>
              <w:fldChar w:fldCharType="begin"/>
            </w:r>
            <w:r>
              <w:rPr>
                <w:noProof/>
                <w:webHidden/>
              </w:rPr>
              <w:instrText xml:space="preserve"> PAGEREF _Toc198569884 \h </w:instrText>
            </w:r>
            <w:r>
              <w:rPr>
                <w:noProof/>
                <w:webHidden/>
              </w:rPr>
            </w:r>
            <w:r>
              <w:rPr>
                <w:noProof/>
                <w:webHidden/>
              </w:rPr>
              <w:fldChar w:fldCharType="separate"/>
            </w:r>
            <w:r>
              <w:rPr>
                <w:noProof/>
                <w:webHidden/>
              </w:rPr>
              <w:t>1</w:t>
            </w:r>
            <w:r>
              <w:rPr>
                <w:noProof/>
                <w:webHidden/>
              </w:rPr>
              <w:fldChar w:fldCharType="end"/>
            </w:r>
          </w:hyperlink>
        </w:p>
        <w:p w14:paraId="5F3181FE" w14:textId="776F6ABB" w:rsidR="00B15ECD" w:rsidRDefault="00B15ECD">
          <w:pPr>
            <w:pStyle w:val="Sumrio3"/>
            <w:tabs>
              <w:tab w:val="right" w:leader="dot" w:pos="8494"/>
            </w:tabs>
            <w:rPr>
              <w:rFonts w:asciiTheme="minorHAnsi" w:eastAsiaTheme="minorEastAsia" w:hAnsiTheme="minorHAnsi" w:cstheme="minorBidi"/>
              <w:noProof/>
              <w:kern w:val="2"/>
              <w:sz w:val="24"/>
              <w:szCs w:val="24"/>
              <w14:ligatures w14:val="standardContextual"/>
            </w:rPr>
          </w:pPr>
          <w:hyperlink w:anchor="_Toc198569885" w:history="1">
            <w:r w:rsidRPr="008A0221">
              <w:rPr>
                <w:rStyle w:val="Hyperlink"/>
                <w:rFonts w:ascii="Calibri" w:hAnsi="Calibri" w:cs="Calibri"/>
                <w:noProof/>
                <w:lang w:val="en-GB"/>
              </w:rPr>
              <w:t>Methodology</w:t>
            </w:r>
            <w:r>
              <w:rPr>
                <w:noProof/>
                <w:webHidden/>
              </w:rPr>
              <w:tab/>
            </w:r>
            <w:r>
              <w:rPr>
                <w:noProof/>
                <w:webHidden/>
              </w:rPr>
              <w:fldChar w:fldCharType="begin"/>
            </w:r>
            <w:r>
              <w:rPr>
                <w:noProof/>
                <w:webHidden/>
              </w:rPr>
              <w:instrText xml:space="preserve"> PAGEREF _Toc198569885 \h </w:instrText>
            </w:r>
            <w:r>
              <w:rPr>
                <w:noProof/>
                <w:webHidden/>
              </w:rPr>
            </w:r>
            <w:r>
              <w:rPr>
                <w:noProof/>
                <w:webHidden/>
              </w:rPr>
              <w:fldChar w:fldCharType="separate"/>
            </w:r>
            <w:r>
              <w:rPr>
                <w:noProof/>
                <w:webHidden/>
              </w:rPr>
              <w:t>1</w:t>
            </w:r>
            <w:r>
              <w:rPr>
                <w:noProof/>
                <w:webHidden/>
              </w:rPr>
              <w:fldChar w:fldCharType="end"/>
            </w:r>
          </w:hyperlink>
        </w:p>
        <w:p w14:paraId="0954CD69" w14:textId="3C7C63BA" w:rsidR="00B15ECD" w:rsidRDefault="00B15ECD">
          <w:pPr>
            <w:pStyle w:val="Sumrio3"/>
            <w:tabs>
              <w:tab w:val="right" w:leader="dot" w:pos="8494"/>
            </w:tabs>
            <w:rPr>
              <w:rFonts w:asciiTheme="minorHAnsi" w:eastAsiaTheme="minorEastAsia" w:hAnsiTheme="minorHAnsi" w:cstheme="minorBidi"/>
              <w:noProof/>
              <w:kern w:val="2"/>
              <w:sz w:val="24"/>
              <w:szCs w:val="24"/>
              <w14:ligatures w14:val="standardContextual"/>
            </w:rPr>
          </w:pPr>
          <w:hyperlink w:anchor="_Toc198569886" w:history="1">
            <w:r w:rsidRPr="008A0221">
              <w:rPr>
                <w:rStyle w:val="Hyperlink"/>
                <w:rFonts w:ascii="Calibri" w:hAnsi="Calibri" w:cs="Calibri"/>
                <w:noProof/>
                <w:lang w:val="en-GB"/>
              </w:rPr>
              <w:t>Signatory organizations</w:t>
            </w:r>
            <w:r>
              <w:rPr>
                <w:noProof/>
                <w:webHidden/>
              </w:rPr>
              <w:tab/>
            </w:r>
            <w:r>
              <w:rPr>
                <w:noProof/>
                <w:webHidden/>
              </w:rPr>
              <w:fldChar w:fldCharType="begin"/>
            </w:r>
            <w:r>
              <w:rPr>
                <w:noProof/>
                <w:webHidden/>
              </w:rPr>
              <w:instrText xml:space="preserve"> PAGEREF _Toc198569886 \h </w:instrText>
            </w:r>
            <w:r>
              <w:rPr>
                <w:noProof/>
                <w:webHidden/>
              </w:rPr>
            </w:r>
            <w:r>
              <w:rPr>
                <w:noProof/>
                <w:webHidden/>
              </w:rPr>
              <w:fldChar w:fldCharType="separate"/>
            </w:r>
            <w:r>
              <w:rPr>
                <w:noProof/>
                <w:webHidden/>
              </w:rPr>
              <w:t>2</w:t>
            </w:r>
            <w:r>
              <w:rPr>
                <w:noProof/>
                <w:webHidden/>
              </w:rPr>
              <w:fldChar w:fldCharType="end"/>
            </w:r>
          </w:hyperlink>
        </w:p>
        <w:p w14:paraId="1558EA59" w14:textId="070CE5C9" w:rsidR="00B15ECD" w:rsidRDefault="00B15ECD">
          <w:pPr>
            <w:pStyle w:val="Sumrio1"/>
            <w:rPr>
              <w:rFonts w:asciiTheme="minorHAnsi" w:eastAsiaTheme="minorEastAsia" w:hAnsiTheme="minorHAnsi" w:cstheme="minorBidi"/>
              <w:noProof/>
              <w:kern w:val="2"/>
              <w:sz w:val="24"/>
              <w:szCs w:val="24"/>
              <w14:ligatures w14:val="standardContextual"/>
            </w:rPr>
          </w:pPr>
          <w:hyperlink w:anchor="_Toc198569887" w:history="1">
            <w:r w:rsidRPr="008A0221">
              <w:rPr>
                <w:rStyle w:val="Hyperlink"/>
                <w:rFonts w:ascii="Calibri" w:hAnsi="Calibri" w:cs="Calibri"/>
                <w:b/>
                <w:noProof/>
                <w:lang w:val="en-GB"/>
              </w:rPr>
              <w:t>Different forms of gender-based violence against women and girls</w:t>
            </w:r>
            <w:r>
              <w:rPr>
                <w:noProof/>
                <w:webHidden/>
              </w:rPr>
              <w:tab/>
            </w:r>
            <w:r>
              <w:rPr>
                <w:noProof/>
                <w:webHidden/>
              </w:rPr>
              <w:fldChar w:fldCharType="begin"/>
            </w:r>
            <w:r>
              <w:rPr>
                <w:noProof/>
                <w:webHidden/>
              </w:rPr>
              <w:instrText xml:space="preserve"> PAGEREF _Toc198569887 \h </w:instrText>
            </w:r>
            <w:r>
              <w:rPr>
                <w:noProof/>
                <w:webHidden/>
              </w:rPr>
            </w:r>
            <w:r>
              <w:rPr>
                <w:noProof/>
                <w:webHidden/>
              </w:rPr>
              <w:fldChar w:fldCharType="separate"/>
            </w:r>
            <w:r>
              <w:rPr>
                <w:noProof/>
                <w:webHidden/>
              </w:rPr>
              <w:t>4</w:t>
            </w:r>
            <w:r>
              <w:rPr>
                <w:noProof/>
                <w:webHidden/>
              </w:rPr>
              <w:fldChar w:fldCharType="end"/>
            </w:r>
          </w:hyperlink>
        </w:p>
        <w:p w14:paraId="0F230A76" w14:textId="5C3350E3" w:rsidR="00B15ECD" w:rsidRDefault="00B15ECD">
          <w:pPr>
            <w:pStyle w:val="Sumrio2"/>
            <w:tabs>
              <w:tab w:val="right" w:leader="dot" w:pos="8494"/>
            </w:tabs>
            <w:rPr>
              <w:rFonts w:asciiTheme="minorHAnsi" w:eastAsiaTheme="minorEastAsia" w:hAnsiTheme="minorHAnsi" w:cstheme="minorBidi"/>
              <w:noProof/>
              <w:kern w:val="2"/>
              <w:sz w:val="24"/>
              <w:szCs w:val="24"/>
              <w14:ligatures w14:val="standardContextual"/>
            </w:rPr>
          </w:pPr>
          <w:hyperlink w:anchor="_Toc198569888" w:history="1">
            <w:r w:rsidRPr="008A0221">
              <w:rPr>
                <w:rStyle w:val="Hyperlink"/>
                <w:rFonts w:ascii="Calibri" w:hAnsi="Calibri" w:cs="Calibri"/>
                <w:noProof/>
                <w:lang w:val="en-GB"/>
              </w:rPr>
              <w:t>2.1) The lack of data on gender-based violence against women and girls</w:t>
            </w:r>
            <w:r>
              <w:rPr>
                <w:noProof/>
                <w:webHidden/>
              </w:rPr>
              <w:tab/>
            </w:r>
            <w:r>
              <w:rPr>
                <w:noProof/>
                <w:webHidden/>
              </w:rPr>
              <w:fldChar w:fldCharType="begin"/>
            </w:r>
            <w:r>
              <w:rPr>
                <w:noProof/>
                <w:webHidden/>
              </w:rPr>
              <w:instrText xml:space="preserve"> PAGEREF _Toc198569888 \h </w:instrText>
            </w:r>
            <w:r>
              <w:rPr>
                <w:noProof/>
                <w:webHidden/>
              </w:rPr>
            </w:r>
            <w:r>
              <w:rPr>
                <w:noProof/>
                <w:webHidden/>
              </w:rPr>
              <w:fldChar w:fldCharType="separate"/>
            </w:r>
            <w:r>
              <w:rPr>
                <w:noProof/>
                <w:webHidden/>
              </w:rPr>
              <w:t>4</w:t>
            </w:r>
            <w:r>
              <w:rPr>
                <w:noProof/>
                <w:webHidden/>
              </w:rPr>
              <w:fldChar w:fldCharType="end"/>
            </w:r>
          </w:hyperlink>
        </w:p>
        <w:p w14:paraId="4E551833" w14:textId="2DF86C92" w:rsidR="00B15ECD" w:rsidRDefault="00B15ECD">
          <w:pPr>
            <w:pStyle w:val="Sumrio2"/>
            <w:tabs>
              <w:tab w:val="right" w:leader="dot" w:pos="8494"/>
            </w:tabs>
            <w:rPr>
              <w:rFonts w:asciiTheme="minorHAnsi" w:eastAsiaTheme="minorEastAsia" w:hAnsiTheme="minorHAnsi" w:cstheme="minorBidi"/>
              <w:noProof/>
              <w:kern w:val="2"/>
              <w:sz w:val="24"/>
              <w:szCs w:val="24"/>
              <w14:ligatures w14:val="standardContextual"/>
            </w:rPr>
          </w:pPr>
          <w:hyperlink w:anchor="_Toc198569889" w:history="1">
            <w:r w:rsidRPr="008A0221">
              <w:rPr>
                <w:rStyle w:val="Hyperlink"/>
                <w:rFonts w:ascii="Calibri" w:hAnsi="Calibri" w:cs="Calibri"/>
                <w:noProof/>
                <w:lang w:val="en-GB"/>
              </w:rPr>
              <w:t>2.2) Domestic violence</w:t>
            </w:r>
            <w:r>
              <w:rPr>
                <w:noProof/>
                <w:webHidden/>
              </w:rPr>
              <w:tab/>
            </w:r>
            <w:r>
              <w:rPr>
                <w:noProof/>
                <w:webHidden/>
              </w:rPr>
              <w:fldChar w:fldCharType="begin"/>
            </w:r>
            <w:r>
              <w:rPr>
                <w:noProof/>
                <w:webHidden/>
              </w:rPr>
              <w:instrText xml:space="preserve"> PAGEREF _Toc198569889 \h </w:instrText>
            </w:r>
            <w:r>
              <w:rPr>
                <w:noProof/>
                <w:webHidden/>
              </w:rPr>
            </w:r>
            <w:r>
              <w:rPr>
                <w:noProof/>
                <w:webHidden/>
              </w:rPr>
              <w:fldChar w:fldCharType="separate"/>
            </w:r>
            <w:r>
              <w:rPr>
                <w:noProof/>
                <w:webHidden/>
              </w:rPr>
              <w:t>5</w:t>
            </w:r>
            <w:r>
              <w:rPr>
                <w:noProof/>
                <w:webHidden/>
              </w:rPr>
              <w:fldChar w:fldCharType="end"/>
            </w:r>
          </w:hyperlink>
        </w:p>
        <w:p w14:paraId="318E335F" w14:textId="13D32BAB" w:rsidR="00B15ECD" w:rsidRDefault="00B15ECD">
          <w:pPr>
            <w:pStyle w:val="Sumrio3"/>
            <w:tabs>
              <w:tab w:val="right" w:leader="dot" w:pos="8494"/>
            </w:tabs>
            <w:rPr>
              <w:rFonts w:asciiTheme="minorHAnsi" w:eastAsiaTheme="minorEastAsia" w:hAnsiTheme="minorHAnsi" w:cstheme="minorBidi"/>
              <w:noProof/>
              <w:kern w:val="2"/>
              <w:sz w:val="24"/>
              <w:szCs w:val="24"/>
              <w14:ligatures w14:val="standardContextual"/>
            </w:rPr>
          </w:pPr>
          <w:hyperlink w:anchor="_Toc198569890" w:history="1">
            <w:r w:rsidRPr="008A0221">
              <w:rPr>
                <w:rStyle w:val="Hyperlink"/>
                <w:rFonts w:ascii="Calibri" w:hAnsi="Calibri" w:cs="Calibri"/>
                <w:noProof/>
                <w:lang w:val="en-GB"/>
              </w:rPr>
              <w:t>a) Domestic Violence Law: criticisms and gaps</w:t>
            </w:r>
            <w:r>
              <w:rPr>
                <w:noProof/>
                <w:webHidden/>
              </w:rPr>
              <w:tab/>
            </w:r>
            <w:r>
              <w:rPr>
                <w:noProof/>
                <w:webHidden/>
              </w:rPr>
              <w:fldChar w:fldCharType="begin"/>
            </w:r>
            <w:r>
              <w:rPr>
                <w:noProof/>
                <w:webHidden/>
              </w:rPr>
              <w:instrText xml:space="preserve"> PAGEREF _Toc198569890 \h </w:instrText>
            </w:r>
            <w:r>
              <w:rPr>
                <w:noProof/>
                <w:webHidden/>
              </w:rPr>
            </w:r>
            <w:r>
              <w:rPr>
                <w:noProof/>
                <w:webHidden/>
              </w:rPr>
              <w:fldChar w:fldCharType="separate"/>
            </w:r>
            <w:r>
              <w:rPr>
                <w:noProof/>
                <w:webHidden/>
              </w:rPr>
              <w:t>5</w:t>
            </w:r>
            <w:r>
              <w:rPr>
                <w:noProof/>
                <w:webHidden/>
              </w:rPr>
              <w:fldChar w:fldCharType="end"/>
            </w:r>
          </w:hyperlink>
        </w:p>
        <w:p w14:paraId="37558AFF" w14:textId="63A78EA7" w:rsidR="00B15ECD" w:rsidRDefault="00B15ECD">
          <w:pPr>
            <w:pStyle w:val="Sumrio3"/>
            <w:tabs>
              <w:tab w:val="right" w:leader="dot" w:pos="8494"/>
            </w:tabs>
            <w:rPr>
              <w:rFonts w:asciiTheme="minorHAnsi" w:eastAsiaTheme="minorEastAsia" w:hAnsiTheme="minorHAnsi" w:cstheme="minorBidi"/>
              <w:noProof/>
              <w:kern w:val="2"/>
              <w:sz w:val="24"/>
              <w:szCs w:val="24"/>
              <w14:ligatures w14:val="standardContextual"/>
            </w:rPr>
          </w:pPr>
          <w:hyperlink w:anchor="_Toc198569891" w:history="1">
            <w:r w:rsidRPr="008A0221">
              <w:rPr>
                <w:rStyle w:val="Hyperlink"/>
                <w:rFonts w:ascii="Calibri" w:hAnsi="Calibri" w:cs="Calibri"/>
                <w:noProof/>
                <w:lang w:val="en-GB"/>
              </w:rPr>
              <w:t>b) Domestic Violence Law: bottlenecks and obstacles to its implementation</w:t>
            </w:r>
            <w:r>
              <w:rPr>
                <w:noProof/>
                <w:webHidden/>
              </w:rPr>
              <w:tab/>
            </w:r>
            <w:r>
              <w:rPr>
                <w:noProof/>
                <w:webHidden/>
              </w:rPr>
              <w:fldChar w:fldCharType="begin"/>
            </w:r>
            <w:r>
              <w:rPr>
                <w:noProof/>
                <w:webHidden/>
              </w:rPr>
              <w:instrText xml:space="preserve"> PAGEREF _Toc198569891 \h </w:instrText>
            </w:r>
            <w:r>
              <w:rPr>
                <w:noProof/>
                <w:webHidden/>
              </w:rPr>
            </w:r>
            <w:r>
              <w:rPr>
                <w:noProof/>
                <w:webHidden/>
              </w:rPr>
              <w:fldChar w:fldCharType="separate"/>
            </w:r>
            <w:r>
              <w:rPr>
                <w:noProof/>
                <w:webHidden/>
              </w:rPr>
              <w:t>6</w:t>
            </w:r>
            <w:r>
              <w:rPr>
                <w:noProof/>
                <w:webHidden/>
              </w:rPr>
              <w:fldChar w:fldCharType="end"/>
            </w:r>
          </w:hyperlink>
        </w:p>
        <w:p w14:paraId="67C2170D" w14:textId="4441E330" w:rsidR="00B15ECD" w:rsidRDefault="00B15ECD">
          <w:pPr>
            <w:pStyle w:val="Sumrio3"/>
            <w:tabs>
              <w:tab w:val="right" w:leader="dot" w:pos="8494"/>
            </w:tabs>
            <w:rPr>
              <w:rFonts w:asciiTheme="minorHAnsi" w:eastAsiaTheme="minorEastAsia" w:hAnsiTheme="minorHAnsi" w:cstheme="minorBidi"/>
              <w:noProof/>
              <w:kern w:val="2"/>
              <w:sz w:val="24"/>
              <w:szCs w:val="24"/>
              <w14:ligatures w14:val="standardContextual"/>
            </w:rPr>
          </w:pPr>
          <w:hyperlink w:anchor="_Toc198569892" w:history="1">
            <w:r w:rsidRPr="008A0221">
              <w:rPr>
                <w:rStyle w:val="Hyperlink"/>
                <w:rFonts w:ascii="Calibri" w:hAnsi="Calibri" w:cs="Calibri"/>
                <w:noProof/>
                <w:lang w:val="en-GB"/>
              </w:rPr>
              <w:t>c) Increase in the number of femicides in Guinea-Bissau and cases of extreme violence</w:t>
            </w:r>
            <w:r>
              <w:rPr>
                <w:noProof/>
                <w:webHidden/>
              </w:rPr>
              <w:tab/>
            </w:r>
            <w:r>
              <w:rPr>
                <w:noProof/>
                <w:webHidden/>
              </w:rPr>
              <w:fldChar w:fldCharType="begin"/>
            </w:r>
            <w:r>
              <w:rPr>
                <w:noProof/>
                <w:webHidden/>
              </w:rPr>
              <w:instrText xml:space="preserve"> PAGEREF _Toc198569892 \h </w:instrText>
            </w:r>
            <w:r>
              <w:rPr>
                <w:noProof/>
                <w:webHidden/>
              </w:rPr>
            </w:r>
            <w:r>
              <w:rPr>
                <w:noProof/>
                <w:webHidden/>
              </w:rPr>
              <w:fldChar w:fldCharType="separate"/>
            </w:r>
            <w:r>
              <w:rPr>
                <w:noProof/>
                <w:webHidden/>
              </w:rPr>
              <w:t>8</w:t>
            </w:r>
            <w:r>
              <w:rPr>
                <w:noProof/>
                <w:webHidden/>
              </w:rPr>
              <w:fldChar w:fldCharType="end"/>
            </w:r>
          </w:hyperlink>
        </w:p>
        <w:p w14:paraId="1BFB3354" w14:textId="56E325BD" w:rsidR="00B15ECD" w:rsidRDefault="00B15ECD">
          <w:pPr>
            <w:pStyle w:val="Sumrio2"/>
            <w:tabs>
              <w:tab w:val="right" w:leader="dot" w:pos="8494"/>
            </w:tabs>
            <w:rPr>
              <w:rFonts w:asciiTheme="minorHAnsi" w:eastAsiaTheme="minorEastAsia" w:hAnsiTheme="minorHAnsi" w:cstheme="minorBidi"/>
              <w:noProof/>
              <w:kern w:val="2"/>
              <w:sz w:val="24"/>
              <w:szCs w:val="24"/>
              <w14:ligatures w14:val="standardContextual"/>
            </w:rPr>
          </w:pPr>
          <w:hyperlink w:anchor="_Toc198569893" w:history="1">
            <w:r w:rsidRPr="008A0221">
              <w:rPr>
                <w:rStyle w:val="Hyperlink"/>
                <w:rFonts w:ascii="Calibri" w:hAnsi="Calibri" w:cs="Calibri"/>
                <w:noProof/>
                <w:lang w:val="en-GB"/>
              </w:rPr>
              <w:t>2.3) Female Genital Mutilation (FGM)</w:t>
            </w:r>
            <w:r>
              <w:rPr>
                <w:noProof/>
                <w:webHidden/>
              </w:rPr>
              <w:tab/>
            </w:r>
            <w:r>
              <w:rPr>
                <w:noProof/>
                <w:webHidden/>
              </w:rPr>
              <w:fldChar w:fldCharType="begin"/>
            </w:r>
            <w:r>
              <w:rPr>
                <w:noProof/>
                <w:webHidden/>
              </w:rPr>
              <w:instrText xml:space="preserve"> PAGEREF _Toc198569893 \h </w:instrText>
            </w:r>
            <w:r>
              <w:rPr>
                <w:noProof/>
                <w:webHidden/>
              </w:rPr>
            </w:r>
            <w:r>
              <w:rPr>
                <w:noProof/>
                <w:webHidden/>
              </w:rPr>
              <w:fldChar w:fldCharType="separate"/>
            </w:r>
            <w:r>
              <w:rPr>
                <w:noProof/>
                <w:webHidden/>
              </w:rPr>
              <w:t>10</w:t>
            </w:r>
            <w:r>
              <w:rPr>
                <w:noProof/>
                <w:webHidden/>
              </w:rPr>
              <w:fldChar w:fldCharType="end"/>
            </w:r>
          </w:hyperlink>
        </w:p>
        <w:p w14:paraId="0EECDCAF" w14:textId="7446163E" w:rsidR="00B15ECD" w:rsidRDefault="00B15ECD">
          <w:pPr>
            <w:pStyle w:val="Sumrio2"/>
            <w:tabs>
              <w:tab w:val="right" w:leader="dot" w:pos="8494"/>
            </w:tabs>
            <w:rPr>
              <w:rFonts w:asciiTheme="minorHAnsi" w:eastAsiaTheme="minorEastAsia" w:hAnsiTheme="minorHAnsi" w:cstheme="minorBidi"/>
              <w:noProof/>
              <w:kern w:val="2"/>
              <w:sz w:val="24"/>
              <w:szCs w:val="24"/>
              <w14:ligatures w14:val="standardContextual"/>
            </w:rPr>
          </w:pPr>
          <w:hyperlink w:anchor="_Toc198569894" w:history="1">
            <w:r w:rsidRPr="008A0221">
              <w:rPr>
                <w:rStyle w:val="Hyperlink"/>
                <w:rFonts w:ascii="Calibri" w:hAnsi="Calibri" w:cs="Calibri"/>
                <w:noProof/>
                <w:lang w:val="en-GB"/>
              </w:rPr>
              <w:t>2.4) Human trafficking and sexual exploitation of women and girls (Art. 6)</w:t>
            </w:r>
            <w:r>
              <w:rPr>
                <w:noProof/>
                <w:webHidden/>
              </w:rPr>
              <w:tab/>
            </w:r>
            <w:r>
              <w:rPr>
                <w:noProof/>
                <w:webHidden/>
              </w:rPr>
              <w:fldChar w:fldCharType="begin"/>
            </w:r>
            <w:r>
              <w:rPr>
                <w:noProof/>
                <w:webHidden/>
              </w:rPr>
              <w:instrText xml:space="preserve"> PAGEREF _Toc198569894 \h </w:instrText>
            </w:r>
            <w:r>
              <w:rPr>
                <w:noProof/>
                <w:webHidden/>
              </w:rPr>
            </w:r>
            <w:r>
              <w:rPr>
                <w:noProof/>
                <w:webHidden/>
              </w:rPr>
              <w:fldChar w:fldCharType="separate"/>
            </w:r>
            <w:r>
              <w:rPr>
                <w:noProof/>
                <w:webHidden/>
              </w:rPr>
              <w:t>13</w:t>
            </w:r>
            <w:r>
              <w:rPr>
                <w:noProof/>
                <w:webHidden/>
              </w:rPr>
              <w:fldChar w:fldCharType="end"/>
            </w:r>
          </w:hyperlink>
        </w:p>
        <w:p w14:paraId="2FDADDC6" w14:textId="47E9B68F" w:rsidR="00B15ECD" w:rsidRDefault="00B15ECD">
          <w:pPr>
            <w:pStyle w:val="Sumrio2"/>
            <w:tabs>
              <w:tab w:val="right" w:leader="dot" w:pos="8494"/>
            </w:tabs>
            <w:rPr>
              <w:rFonts w:asciiTheme="minorHAnsi" w:eastAsiaTheme="minorEastAsia" w:hAnsiTheme="minorHAnsi" w:cstheme="minorBidi"/>
              <w:noProof/>
              <w:kern w:val="2"/>
              <w:sz w:val="24"/>
              <w:szCs w:val="24"/>
              <w14:ligatures w14:val="standardContextual"/>
            </w:rPr>
          </w:pPr>
          <w:hyperlink w:anchor="_Toc198569895" w:history="1">
            <w:r w:rsidRPr="008A0221">
              <w:rPr>
                <w:rStyle w:val="Hyperlink"/>
                <w:rFonts w:ascii="Calibri" w:hAnsi="Calibri" w:cs="Calibri"/>
                <w:noProof/>
                <w:lang w:val="en-GB"/>
              </w:rPr>
              <w:t>2.5) Child marriage</w:t>
            </w:r>
            <w:r>
              <w:rPr>
                <w:noProof/>
                <w:webHidden/>
              </w:rPr>
              <w:tab/>
            </w:r>
            <w:r>
              <w:rPr>
                <w:noProof/>
                <w:webHidden/>
              </w:rPr>
              <w:fldChar w:fldCharType="begin"/>
            </w:r>
            <w:r>
              <w:rPr>
                <w:noProof/>
                <w:webHidden/>
              </w:rPr>
              <w:instrText xml:space="preserve"> PAGEREF _Toc198569895 \h </w:instrText>
            </w:r>
            <w:r>
              <w:rPr>
                <w:noProof/>
                <w:webHidden/>
              </w:rPr>
            </w:r>
            <w:r>
              <w:rPr>
                <w:noProof/>
                <w:webHidden/>
              </w:rPr>
              <w:fldChar w:fldCharType="separate"/>
            </w:r>
            <w:r>
              <w:rPr>
                <w:noProof/>
                <w:webHidden/>
              </w:rPr>
              <w:t>15</w:t>
            </w:r>
            <w:r>
              <w:rPr>
                <w:noProof/>
                <w:webHidden/>
              </w:rPr>
              <w:fldChar w:fldCharType="end"/>
            </w:r>
          </w:hyperlink>
        </w:p>
        <w:p w14:paraId="7A7AB13E" w14:textId="042769A2" w:rsidR="00B15ECD" w:rsidRDefault="00B15ECD">
          <w:pPr>
            <w:pStyle w:val="Sumrio2"/>
            <w:tabs>
              <w:tab w:val="right" w:leader="dot" w:pos="8494"/>
            </w:tabs>
            <w:rPr>
              <w:rFonts w:asciiTheme="minorHAnsi" w:eastAsiaTheme="minorEastAsia" w:hAnsiTheme="minorHAnsi" w:cstheme="minorBidi"/>
              <w:noProof/>
              <w:kern w:val="2"/>
              <w:sz w:val="24"/>
              <w:szCs w:val="24"/>
              <w14:ligatures w14:val="standardContextual"/>
            </w:rPr>
          </w:pPr>
          <w:hyperlink w:anchor="_Toc198569896" w:history="1">
            <w:r w:rsidRPr="008A0221">
              <w:rPr>
                <w:rStyle w:val="Hyperlink"/>
                <w:rFonts w:ascii="Calibri" w:hAnsi="Calibri" w:cs="Calibri"/>
                <w:noProof/>
                <w:lang w:val="en-GB"/>
              </w:rPr>
              <w:t>2.6) Lack of care for women's health (Art. 12): precariousness, negligence and violence</w:t>
            </w:r>
            <w:r>
              <w:rPr>
                <w:noProof/>
                <w:webHidden/>
              </w:rPr>
              <w:tab/>
            </w:r>
            <w:r>
              <w:rPr>
                <w:noProof/>
                <w:webHidden/>
              </w:rPr>
              <w:fldChar w:fldCharType="begin"/>
            </w:r>
            <w:r>
              <w:rPr>
                <w:noProof/>
                <w:webHidden/>
              </w:rPr>
              <w:instrText xml:space="preserve"> PAGEREF _Toc198569896 \h </w:instrText>
            </w:r>
            <w:r>
              <w:rPr>
                <w:noProof/>
                <w:webHidden/>
              </w:rPr>
            </w:r>
            <w:r>
              <w:rPr>
                <w:noProof/>
                <w:webHidden/>
              </w:rPr>
              <w:fldChar w:fldCharType="separate"/>
            </w:r>
            <w:r>
              <w:rPr>
                <w:noProof/>
                <w:webHidden/>
              </w:rPr>
              <w:t>17</w:t>
            </w:r>
            <w:r>
              <w:rPr>
                <w:noProof/>
                <w:webHidden/>
              </w:rPr>
              <w:fldChar w:fldCharType="end"/>
            </w:r>
          </w:hyperlink>
        </w:p>
        <w:p w14:paraId="704314B6" w14:textId="770C13DC" w:rsidR="00B15ECD" w:rsidRDefault="00B15ECD">
          <w:r>
            <w:rPr>
              <w:b/>
              <w:bCs/>
            </w:rPr>
            <w:fldChar w:fldCharType="end"/>
          </w:r>
        </w:p>
      </w:sdtContent>
    </w:sdt>
    <w:p w14:paraId="6DAB247B" w14:textId="77777777" w:rsidR="001768E1" w:rsidRPr="00B15ECD" w:rsidRDefault="001768E1">
      <w:pPr>
        <w:rPr>
          <w:rFonts w:ascii="Calibri" w:hAnsi="Calibri" w:cs="Calibri"/>
        </w:rPr>
      </w:pPr>
    </w:p>
    <w:p w14:paraId="59A366F0" w14:textId="77777777" w:rsidR="001768E1" w:rsidRPr="00B15ECD" w:rsidRDefault="001870D8">
      <w:pPr>
        <w:rPr>
          <w:rFonts w:ascii="Calibri" w:eastAsia="Play" w:hAnsi="Calibri" w:cs="Calibri"/>
          <w:b/>
          <w:color w:val="0F4761"/>
          <w:sz w:val="40"/>
          <w:szCs w:val="40"/>
        </w:rPr>
      </w:pPr>
      <w:r w:rsidRPr="00B15ECD">
        <w:rPr>
          <w:rFonts w:ascii="Calibri" w:hAnsi="Calibri" w:cs="Calibri"/>
        </w:rPr>
        <w:br w:type="page"/>
      </w:r>
    </w:p>
    <w:p w14:paraId="6CB0E086" w14:textId="77777777" w:rsidR="001768E1" w:rsidRPr="00792AC5" w:rsidRDefault="001870D8">
      <w:pPr>
        <w:pStyle w:val="Ttulo1"/>
        <w:jc w:val="both"/>
        <w:rPr>
          <w:rFonts w:ascii="Calibri" w:hAnsi="Calibri" w:cs="Calibri"/>
          <w:b/>
          <w:color w:val="auto"/>
          <w:lang w:val="en-GB"/>
        </w:rPr>
      </w:pPr>
      <w:bookmarkStart w:id="9" w:name="_Toc198569887"/>
      <w:r w:rsidRPr="00792AC5">
        <w:rPr>
          <w:rFonts w:ascii="Calibri" w:hAnsi="Calibri" w:cs="Calibri"/>
          <w:b/>
          <w:color w:val="auto"/>
          <w:lang w:val="en-GB"/>
        </w:rPr>
        <w:lastRenderedPageBreak/>
        <w:t>Different forms of gender-based violence against women and girls</w:t>
      </w:r>
      <w:bookmarkEnd w:id="9"/>
      <w:r w:rsidRPr="00792AC5">
        <w:rPr>
          <w:rFonts w:ascii="Calibri" w:hAnsi="Calibri" w:cs="Calibri"/>
          <w:b/>
          <w:color w:val="auto"/>
          <w:lang w:val="en-GB"/>
        </w:rPr>
        <w:t xml:space="preserve"> </w:t>
      </w:r>
    </w:p>
    <w:p w14:paraId="58A25EA1" w14:textId="77777777" w:rsidR="001768E1" w:rsidRPr="00792AC5" w:rsidRDefault="001768E1">
      <w:pPr>
        <w:pStyle w:val="Ttulo2"/>
        <w:rPr>
          <w:rFonts w:ascii="Calibri" w:hAnsi="Calibri" w:cs="Calibri"/>
          <w:color w:val="auto"/>
          <w:lang w:val="en-GB"/>
        </w:rPr>
      </w:pPr>
    </w:p>
    <w:p w14:paraId="68151A55" w14:textId="77777777" w:rsidR="001768E1" w:rsidRPr="00792AC5" w:rsidRDefault="001870D8">
      <w:pPr>
        <w:pStyle w:val="Ttulo2"/>
        <w:rPr>
          <w:rFonts w:ascii="Calibri" w:hAnsi="Calibri" w:cs="Calibri"/>
          <w:color w:val="auto"/>
          <w:lang w:val="en-GB"/>
        </w:rPr>
      </w:pPr>
      <w:bookmarkStart w:id="10" w:name="_Toc198569888"/>
      <w:r w:rsidRPr="00792AC5">
        <w:rPr>
          <w:rFonts w:ascii="Calibri" w:hAnsi="Calibri" w:cs="Calibri"/>
          <w:color w:val="auto"/>
          <w:lang w:val="en-GB"/>
        </w:rPr>
        <w:t>2.1) The lack of data on gender-based violence against women and girls</w:t>
      </w:r>
      <w:bookmarkEnd w:id="10"/>
      <w:r w:rsidRPr="00792AC5">
        <w:rPr>
          <w:rFonts w:ascii="Calibri" w:hAnsi="Calibri" w:cs="Calibri"/>
          <w:color w:val="auto"/>
          <w:lang w:val="en-GB"/>
        </w:rPr>
        <w:t xml:space="preserve"> </w:t>
      </w:r>
    </w:p>
    <w:p w14:paraId="0CA01289"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Despite CEDAW recommendations since 2009, Guinea-Bissau still lacks comprehensive, up-to-date and disaggregated data on gender-based violence. The state report presents limited numbers from the Judiciary Police (2017–2022), restricted to domestic violence and sexual abuse, far below the legal scope defined by Law No. 06/2014 and General Recommendation No. 35 of CEDAW. </w:t>
      </w:r>
    </w:p>
    <w:p w14:paraId="73F3DB92" w14:textId="75312238"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Data from civil society organizations, such as RENLUV-GB and previous surveys, reveal systematic underreporting, institutional </w:t>
      </w:r>
      <w:r w:rsidR="0051694A" w:rsidRPr="00792AC5">
        <w:rPr>
          <w:rFonts w:ascii="Calibri" w:eastAsia="Times New Roman" w:hAnsi="Calibri" w:cs="Calibri"/>
          <w:sz w:val="24"/>
          <w:szCs w:val="24"/>
          <w:lang w:val="en-GB"/>
        </w:rPr>
        <w:t>under sizing</w:t>
      </w:r>
      <w:r w:rsidRPr="00792AC5">
        <w:rPr>
          <w:rFonts w:ascii="Calibri" w:eastAsia="Times New Roman" w:hAnsi="Calibri" w:cs="Calibri"/>
          <w:sz w:val="24"/>
          <w:szCs w:val="24"/>
          <w:lang w:val="en-GB"/>
        </w:rPr>
        <w:t xml:space="preserve"> and a wide diversity of types of violence made invisible in official statistics. These alternative data point to an alarming reality, with multiple forms of violence (physical, psychological, sexual, patrimonial, forced marriages, FGM, among others) and a prevalence much higher than that reported by the State, especially in regions such as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w:t>
      </w:r>
      <w:proofErr w:type="spellStart"/>
      <w:r w:rsidRPr="00792AC5">
        <w:rPr>
          <w:rFonts w:ascii="Calibri" w:eastAsia="Times New Roman" w:hAnsi="Calibri" w:cs="Calibri"/>
          <w:sz w:val="24"/>
          <w:szCs w:val="24"/>
          <w:lang w:val="en-GB"/>
        </w:rPr>
        <w:t>Bafatá</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Tombali</w:t>
      </w:r>
      <w:proofErr w:type="spellEnd"/>
      <w:r w:rsidRPr="00792AC5">
        <w:rPr>
          <w:rFonts w:ascii="Calibri" w:eastAsia="Times New Roman" w:hAnsi="Calibri" w:cs="Calibri"/>
          <w:sz w:val="24"/>
          <w:szCs w:val="24"/>
          <w:lang w:val="en-GB"/>
        </w:rPr>
        <w:t xml:space="preserve">. </w:t>
      </w:r>
    </w:p>
    <w:p w14:paraId="6D3B6D04"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systematic production of reliable data is urgent to support public policies and combat impunity.  </w:t>
      </w:r>
    </w:p>
    <w:tbl>
      <w:tblPr>
        <w:tblStyle w:val="a0"/>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03839C29" w14:textId="77777777">
        <w:tc>
          <w:tcPr>
            <w:tcW w:w="8494" w:type="dxa"/>
          </w:tcPr>
          <w:p w14:paraId="1BD231C2"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questions to be asked to the State: </w:t>
            </w:r>
          </w:p>
          <w:p w14:paraId="69CBAA54" w14:textId="77777777" w:rsidR="001768E1" w:rsidRPr="00792AC5" w:rsidRDefault="001768E1">
            <w:pPr>
              <w:jc w:val="both"/>
              <w:rPr>
                <w:rFonts w:ascii="Calibri" w:eastAsia="Times New Roman" w:hAnsi="Calibri" w:cs="Calibri"/>
                <w:sz w:val="24"/>
                <w:szCs w:val="24"/>
                <w:lang w:val="en-GB"/>
              </w:rPr>
            </w:pPr>
          </w:p>
          <w:p w14:paraId="455243F6" w14:textId="77777777"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FF0000"/>
                <w:sz w:val="24"/>
                <w:szCs w:val="24"/>
                <w:lang w:val="en-GB"/>
              </w:rPr>
            </w:pPr>
            <w:r w:rsidRPr="00792AC5">
              <w:rPr>
                <w:rFonts w:ascii="Calibri" w:eastAsia="Times New Roman" w:hAnsi="Calibri" w:cs="Calibri"/>
                <w:color w:val="000000"/>
                <w:sz w:val="24"/>
                <w:szCs w:val="24"/>
                <w:lang w:val="en-GB"/>
              </w:rPr>
              <w:t>In its report, the State states that it "</w:t>
            </w:r>
            <w:r w:rsidRPr="00792AC5">
              <w:rPr>
                <w:rFonts w:ascii="Calibri" w:eastAsia="Times New Roman" w:hAnsi="Calibri" w:cs="Calibri"/>
                <w:i/>
                <w:color w:val="000000"/>
                <w:sz w:val="24"/>
                <w:szCs w:val="24"/>
                <w:lang w:val="en-GB"/>
              </w:rPr>
              <w:t>has been monitoring the increase in cases of femicide" (paragraph 55).</w:t>
            </w:r>
            <w:r w:rsidRPr="00792AC5">
              <w:rPr>
                <w:rFonts w:ascii="Calibri" w:eastAsia="Times New Roman" w:hAnsi="Calibri" w:cs="Calibri"/>
                <w:color w:val="000000"/>
                <w:sz w:val="24"/>
                <w:szCs w:val="24"/>
                <w:lang w:val="en-GB"/>
              </w:rPr>
              <w:t xml:space="preserve"> How have you carried out this monitoring? What are the rules that establish the guidelines for this activity and which institutions are involved in monitoring cases of femicide? What has already been possible to observe about the phenomenon: what is the dimension of the increase, what are the causes already identified?   </w:t>
            </w:r>
          </w:p>
          <w:p w14:paraId="00062058" w14:textId="77777777" w:rsidR="001768E1" w:rsidRPr="00792AC5" w:rsidRDefault="001768E1">
            <w:pPr>
              <w:jc w:val="both"/>
              <w:rPr>
                <w:rFonts w:ascii="Calibri" w:eastAsia="Times New Roman" w:hAnsi="Calibri" w:cs="Calibri"/>
                <w:sz w:val="24"/>
                <w:szCs w:val="24"/>
                <w:lang w:val="en-GB"/>
              </w:rPr>
            </w:pPr>
          </w:p>
          <w:p w14:paraId="061379A2" w14:textId="77777777" w:rsidR="001768E1" w:rsidRPr="00792AC5" w:rsidRDefault="001870D8">
            <w:pPr>
              <w:jc w:val="center"/>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 </w:t>
            </w:r>
          </w:p>
          <w:p w14:paraId="342DEF08" w14:textId="77777777" w:rsidR="001768E1" w:rsidRPr="00792AC5" w:rsidRDefault="001768E1">
            <w:pPr>
              <w:jc w:val="center"/>
              <w:rPr>
                <w:rFonts w:ascii="Calibri" w:eastAsia="Times New Roman" w:hAnsi="Calibri" w:cs="Calibri"/>
                <w:sz w:val="24"/>
                <w:szCs w:val="24"/>
                <w:lang w:val="en-GB"/>
              </w:rPr>
            </w:pPr>
          </w:p>
          <w:p w14:paraId="6137C95C"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3434B2AD" w14:textId="77777777" w:rsidR="001768E1" w:rsidRPr="00792AC5" w:rsidRDefault="001768E1">
            <w:pPr>
              <w:jc w:val="both"/>
              <w:rPr>
                <w:rFonts w:ascii="Calibri" w:eastAsia="Times New Roman" w:hAnsi="Calibri" w:cs="Calibri"/>
                <w:b/>
                <w:sz w:val="24"/>
                <w:szCs w:val="24"/>
                <w:lang w:val="en-GB"/>
              </w:rPr>
            </w:pPr>
          </w:p>
          <w:p w14:paraId="64B77209" w14:textId="471C2AA4"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It is essential and a priority that the State of Guinea-Bissau respects the obligation to produce data on violence against women in line with the international standards enshrined in General Recommendation No. 35, ensuring: (</w:t>
            </w:r>
            <w:proofErr w:type="spellStart"/>
            <w:r w:rsidRPr="00792AC5">
              <w:rPr>
                <w:rFonts w:ascii="Calibri" w:eastAsia="Times New Roman" w:hAnsi="Calibri" w:cs="Calibri"/>
                <w:color w:val="000000"/>
                <w:sz w:val="24"/>
                <w:szCs w:val="24"/>
                <w:lang w:val="en-GB"/>
              </w:rPr>
              <w:t>i</w:t>
            </w:r>
            <w:proofErr w:type="spellEnd"/>
            <w:r w:rsidRPr="00792AC5">
              <w:rPr>
                <w:rFonts w:ascii="Calibri" w:eastAsia="Times New Roman" w:hAnsi="Calibri" w:cs="Calibri"/>
                <w:color w:val="000000"/>
                <w:sz w:val="24"/>
                <w:szCs w:val="24"/>
                <w:lang w:val="en-GB"/>
              </w:rPr>
              <w:t xml:space="preserve">) data collection, analysis and dissemination; (ii) the disaggregation of data by age, ethnicity, location, relationship with the aggressor, type of </w:t>
            </w:r>
            <w:r w:rsidRPr="00792AC5">
              <w:rPr>
                <w:rFonts w:ascii="Calibri" w:eastAsia="Times New Roman" w:hAnsi="Calibri" w:cs="Calibri"/>
                <w:color w:val="000000"/>
                <w:sz w:val="24"/>
                <w:szCs w:val="24"/>
                <w:lang w:val="en-GB"/>
              </w:rPr>
              <w:lastRenderedPageBreak/>
              <w:t>violence, etc., (iii) the use of data to evaluate the effectiveness of legislation and public policies, guide both, as well as prevention actions; and (iv) the production of reliable indicators to combat the invisibility of the problem</w:t>
            </w:r>
            <w:r w:rsidR="0051694A">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6C9E9F47"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1C516919" w14:textId="7E865092"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That the State replicate the Management System for Cases of Violence Against Children for cases of Violence against </w:t>
            </w:r>
            <w:proofErr w:type="gramStart"/>
            <w:r w:rsidRPr="00792AC5">
              <w:rPr>
                <w:rFonts w:ascii="Calibri" w:eastAsia="Times New Roman" w:hAnsi="Calibri" w:cs="Calibri"/>
                <w:color w:val="000000"/>
                <w:sz w:val="24"/>
                <w:szCs w:val="24"/>
                <w:lang w:val="en-GB"/>
              </w:rPr>
              <w:t>Women;</w:t>
            </w:r>
            <w:r w:rsidR="0051694A">
              <w:rPr>
                <w:rFonts w:ascii="Calibri" w:eastAsia="Times New Roman" w:hAnsi="Calibri" w:cs="Calibri"/>
                <w:color w:val="000000"/>
                <w:sz w:val="24"/>
                <w:szCs w:val="24"/>
                <w:lang w:val="en-GB"/>
              </w:rPr>
              <w:t>.</w:t>
            </w:r>
            <w:proofErr w:type="gramEnd"/>
          </w:p>
          <w:p w14:paraId="7A3992C2"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0DC022E7" w14:textId="77777777"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That the State ensure the creation of a mechanism for the production and collection of data on GBV that guarantees coordination and dialogue between various public institutions that work on the subject, such as CAJ, criminal police bodies (judicial police, the Public Order Police and National Guard), the Public Prosecutor's Office, the Ministry of Women, Family and Social Solidarity, the Institute of Women and Children),  in addition to the guarantee of civil society participation and the guarantee of the data produced by it in the research work and care for victims of violence.   </w:t>
            </w:r>
          </w:p>
          <w:p w14:paraId="1F07A64D" w14:textId="77777777" w:rsidR="001768E1" w:rsidRPr="00792AC5" w:rsidRDefault="001768E1">
            <w:pPr>
              <w:jc w:val="both"/>
              <w:rPr>
                <w:rFonts w:ascii="Calibri" w:eastAsia="Times New Roman" w:hAnsi="Calibri" w:cs="Calibri"/>
                <w:sz w:val="24"/>
                <w:szCs w:val="24"/>
                <w:lang w:val="en-GB"/>
              </w:rPr>
            </w:pPr>
          </w:p>
        </w:tc>
      </w:tr>
    </w:tbl>
    <w:p w14:paraId="6B0A8F9B" w14:textId="77777777" w:rsidR="001768E1" w:rsidRPr="00792AC5" w:rsidRDefault="001768E1">
      <w:pPr>
        <w:jc w:val="both"/>
        <w:rPr>
          <w:rFonts w:ascii="Calibri" w:eastAsia="Times New Roman" w:hAnsi="Calibri" w:cs="Calibri"/>
          <w:sz w:val="24"/>
          <w:szCs w:val="24"/>
          <w:lang w:val="en-GB"/>
        </w:rPr>
      </w:pPr>
    </w:p>
    <w:p w14:paraId="5FF3AA10" w14:textId="77777777" w:rsidR="001768E1" w:rsidRPr="00792AC5" w:rsidRDefault="001870D8">
      <w:pPr>
        <w:pStyle w:val="Ttulo2"/>
        <w:rPr>
          <w:rFonts w:ascii="Calibri" w:hAnsi="Calibri" w:cs="Calibri"/>
          <w:color w:val="auto"/>
          <w:lang w:val="en-GB"/>
        </w:rPr>
      </w:pPr>
      <w:bookmarkStart w:id="11" w:name="_Toc198569889"/>
      <w:r w:rsidRPr="00792AC5">
        <w:rPr>
          <w:rFonts w:ascii="Calibri" w:hAnsi="Calibri" w:cs="Calibri"/>
          <w:color w:val="auto"/>
          <w:lang w:val="en-GB"/>
        </w:rPr>
        <w:t>2.2) Domestic violence</w:t>
      </w:r>
      <w:bookmarkEnd w:id="11"/>
      <w:r w:rsidRPr="00792AC5">
        <w:rPr>
          <w:rFonts w:ascii="Calibri" w:hAnsi="Calibri" w:cs="Calibri"/>
          <w:color w:val="auto"/>
          <w:lang w:val="en-GB"/>
        </w:rPr>
        <w:t xml:space="preserve"> </w:t>
      </w:r>
    </w:p>
    <w:p w14:paraId="21D007DF" w14:textId="77777777" w:rsidR="001768E1" w:rsidRPr="00792AC5" w:rsidRDefault="001870D8">
      <w:pPr>
        <w:pStyle w:val="Ttulo3"/>
        <w:rPr>
          <w:rFonts w:ascii="Calibri" w:hAnsi="Calibri" w:cs="Calibri"/>
          <w:color w:val="auto"/>
          <w:u w:val="single"/>
          <w:lang w:val="en-GB"/>
        </w:rPr>
      </w:pPr>
      <w:bookmarkStart w:id="12" w:name="_Toc198569890"/>
      <w:r w:rsidRPr="00792AC5">
        <w:rPr>
          <w:rFonts w:ascii="Calibri" w:hAnsi="Calibri" w:cs="Calibri"/>
          <w:color w:val="auto"/>
          <w:u w:val="single"/>
          <w:lang w:val="en-GB"/>
        </w:rPr>
        <w:t>a) Domestic Violence Law: criticisms and gaps</w:t>
      </w:r>
      <w:bookmarkEnd w:id="12"/>
      <w:r w:rsidRPr="00792AC5">
        <w:rPr>
          <w:rFonts w:ascii="Calibri" w:hAnsi="Calibri" w:cs="Calibri"/>
          <w:color w:val="auto"/>
          <w:u w:val="single"/>
          <w:lang w:val="en-GB"/>
        </w:rPr>
        <w:t xml:space="preserve"> </w:t>
      </w:r>
    </w:p>
    <w:p w14:paraId="44CACA9B" w14:textId="004DD20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approval of the Law against Domestic Violence No. 6, on February 4, </w:t>
      </w:r>
      <w:r w:rsidR="0051694A" w:rsidRPr="00792AC5">
        <w:rPr>
          <w:rFonts w:ascii="Calibri" w:eastAsia="Times New Roman" w:hAnsi="Calibri" w:cs="Calibri"/>
          <w:sz w:val="24"/>
          <w:szCs w:val="24"/>
          <w:lang w:val="en-GB"/>
        </w:rPr>
        <w:t>2014,</w:t>
      </w:r>
      <w:r w:rsidRPr="00792AC5">
        <w:rPr>
          <w:rFonts w:ascii="Calibri" w:eastAsia="Times New Roman" w:hAnsi="Calibri" w:cs="Calibri"/>
          <w:sz w:val="24"/>
          <w:szCs w:val="24"/>
          <w:lang w:val="en-GB"/>
        </w:rPr>
        <w:t xml:space="preserve"> was a great achievement. In fact, having a normative framework that typifies the crime is a fundamental step towards confronting GBV, ensuring legal protection for victims and breaking with the pattern of naturalization and impunity that feeds the scenario of violence. However, as has happened in several countries, these laws need to be improved </w:t>
      </w:r>
      <w:r w:rsidR="0051694A" w:rsidRPr="00792AC5">
        <w:rPr>
          <w:rFonts w:ascii="Calibri" w:eastAsia="Times New Roman" w:hAnsi="Calibri" w:cs="Calibri"/>
          <w:sz w:val="24"/>
          <w:szCs w:val="24"/>
          <w:lang w:val="en-GB"/>
        </w:rPr>
        <w:t>to</w:t>
      </w:r>
      <w:r w:rsidRPr="00792AC5">
        <w:rPr>
          <w:rFonts w:ascii="Calibri" w:eastAsia="Times New Roman" w:hAnsi="Calibri" w:cs="Calibri"/>
          <w:sz w:val="24"/>
          <w:szCs w:val="24"/>
          <w:lang w:val="en-GB"/>
        </w:rPr>
        <w:t xml:space="preserve"> suppress gaps or flaws that hinder and</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in some cases</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 compromise their effectiveness. </w:t>
      </w:r>
    </w:p>
    <w:p w14:paraId="32CB78EC"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the case of Guinea Bissau, there are two aspects that have been the target of criticism by organizations that work daily with the agenda to combat violence against women, they are: </w:t>
      </w:r>
    </w:p>
    <w:p w14:paraId="42EABCB1"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1) The law does not provide for a guarantee of budget and concrete resources for its effective implementation. </w:t>
      </w:r>
    </w:p>
    <w:p w14:paraId="4255ACAA"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lack of structure for the implementation of policies to combat discrimination against women had already been pointed out by the Committee in the review carried out in 2009. Law No. 6/2014 was approved a few years later, in 2014, and even so it did not incorporate provisions for structure and resources into its text. </w:t>
      </w:r>
    </w:p>
    <w:p w14:paraId="6BCDD1D8"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lastRenderedPageBreak/>
        <w:t>The reference to budget is generic and non-binding ("</w:t>
      </w:r>
      <w:r w:rsidRPr="00792AC5">
        <w:rPr>
          <w:rFonts w:ascii="Calibri" w:eastAsia="Times New Roman" w:hAnsi="Calibri" w:cs="Calibri"/>
          <w:i/>
          <w:sz w:val="24"/>
          <w:szCs w:val="24"/>
          <w:lang w:val="en-GB"/>
        </w:rPr>
        <w:t>Article 13 The State budget shall provide for and allocate funds necessary to comply with the obligations described in Article 9 of this law</w:t>
      </w:r>
      <w:r w:rsidRPr="00792AC5">
        <w:rPr>
          <w:rFonts w:ascii="Calibri" w:eastAsia="Times New Roman" w:hAnsi="Calibri" w:cs="Calibri"/>
          <w:sz w:val="24"/>
          <w:szCs w:val="24"/>
          <w:lang w:val="en-GB"/>
        </w:rPr>
        <w:t xml:space="preserve">").  </w:t>
      </w:r>
    </w:p>
    <w:p w14:paraId="51F82E60" w14:textId="4792B732"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2) </w:t>
      </w:r>
      <w:r w:rsidRPr="00792AC5">
        <w:rPr>
          <w:rFonts w:ascii="Calibri" w:eastAsia="Times New Roman" w:hAnsi="Calibri" w:cs="Calibri"/>
          <w:sz w:val="24"/>
          <w:szCs w:val="24"/>
          <w:lang w:val="en-GB"/>
        </w:rPr>
        <w:t>The possibility of withdrawing the victim's consent at any time has proven to be a significant obstacle to the continuation of cases of domestic violence. Article 7 of Law No. 6/2014 allows the victim to withdraw her consent at any time, which, in contexts where women face reprisals or pressure from their aggressors, makes it difficult to continue the process. International experience indicates that, in serious cases of violence, the State must act ex officio, regardless of the victim's wishes, as a way of protecting women in situations of oppression and emotional, economic or social dependence. In many cases, victims may withdraw the report due to fear, family pressure or threats from the aggressor, which perpetuates the cycle of violence.</w:t>
      </w:r>
    </w:p>
    <w:p w14:paraId="3917E9B9"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Therefore, it is crucial that the legal system strikes a balance between guaranteeing the autonomy of the victim and the need for effective criminal action by the State. To this end, legal tools can be adopted, such as the requirement that the withdrawal of the complaint be made under judicial protection and monitoring by the Public Prosecutor's Office, in addition to limitations on the revocation of consent, especially before the complaint is formalized. For more serious cases, such as serious bodily injury or death, it is necessary for the State to investigate and prosecute regardless of the victim's manifestation.</w:t>
      </w:r>
    </w:p>
    <w:p w14:paraId="656E37AB"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3) </w:t>
      </w:r>
      <w:r w:rsidRPr="00792AC5">
        <w:rPr>
          <w:rFonts w:ascii="Calibri" w:eastAsia="Times New Roman" w:hAnsi="Calibri" w:cs="Calibri"/>
          <w:sz w:val="24"/>
          <w:szCs w:val="24"/>
          <w:lang w:val="en-GB"/>
        </w:rPr>
        <w:t xml:space="preserve">In addition to these two very specific criticisms about the content of the national law, it is necessary to update it with regard to the recognition of the types of violence, in accordance with General Comment No. 35, in order to incorporate new forms of violence, such as: online and digital violence, reproductive violence, gender hate crimes and institutional impunity, and lack of access to justice. </w:t>
      </w:r>
    </w:p>
    <w:p w14:paraId="3E5358D8" w14:textId="77777777" w:rsidR="001768E1" w:rsidRPr="00792AC5" w:rsidRDefault="001870D8">
      <w:pPr>
        <w:pStyle w:val="Ttulo3"/>
        <w:jc w:val="both"/>
        <w:rPr>
          <w:rFonts w:ascii="Calibri" w:hAnsi="Calibri" w:cs="Calibri"/>
          <w:color w:val="000000"/>
          <w:u w:val="single"/>
          <w:lang w:val="en-GB"/>
        </w:rPr>
      </w:pPr>
      <w:bookmarkStart w:id="13" w:name="_Toc198569891"/>
      <w:r w:rsidRPr="00792AC5">
        <w:rPr>
          <w:rFonts w:ascii="Calibri" w:hAnsi="Calibri" w:cs="Calibri"/>
          <w:color w:val="000000"/>
          <w:u w:val="single"/>
          <w:lang w:val="en-GB"/>
        </w:rPr>
        <w:t>b) Domestic Violence Law: bottlenecks and obstacles to its implementation</w:t>
      </w:r>
      <w:bookmarkEnd w:id="13"/>
      <w:r w:rsidRPr="00792AC5">
        <w:rPr>
          <w:rFonts w:ascii="Calibri" w:hAnsi="Calibri" w:cs="Calibri"/>
          <w:color w:val="000000"/>
          <w:u w:val="single"/>
          <w:lang w:val="en-GB"/>
        </w:rPr>
        <w:t xml:space="preserve"> </w:t>
      </w:r>
    </w:p>
    <w:p w14:paraId="1E8422D3"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the 2009 review, the CEDAW Committee recommended that Guinea-Bissau establish mechanisms to monitor the impact of gender policies and overcome obstacles. However, the State reports little about the implementation and difficulties. </w:t>
      </w:r>
    </w:p>
    <w:p w14:paraId="4E38AFA6"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Among the main challenges are: </w:t>
      </w:r>
    </w:p>
    <w:p w14:paraId="6FB75994"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1) The lack of dissemination of the Law in society.</w:t>
      </w:r>
      <w:r w:rsidRPr="00792AC5">
        <w:rPr>
          <w:rFonts w:ascii="Calibri" w:eastAsia="Times New Roman" w:hAnsi="Calibri" w:cs="Calibri"/>
          <w:sz w:val="24"/>
          <w:szCs w:val="24"/>
          <w:lang w:val="en-GB"/>
        </w:rPr>
        <w:t xml:space="preserve"> This helps to understand the data, brought by the State in its report, according to which "</w:t>
      </w:r>
      <w:r w:rsidRPr="00792AC5">
        <w:rPr>
          <w:rFonts w:ascii="Calibri" w:eastAsia="Times New Roman" w:hAnsi="Calibri" w:cs="Calibri"/>
          <w:i/>
          <w:sz w:val="24"/>
          <w:szCs w:val="24"/>
          <w:lang w:val="en-GB"/>
        </w:rPr>
        <w:t xml:space="preserve">36.4% of women aged between 15 and 49 consider it justified for a husband to beat his wife". </w:t>
      </w:r>
      <w:r w:rsidRPr="00792AC5">
        <w:rPr>
          <w:rFonts w:ascii="Calibri" w:eastAsia="Times New Roman" w:hAnsi="Calibri" w:cs="Calibri"/>
          <w:sz w:val="24"/>
          <w:szCs w:val="24"/>
          <w:lang w:val="en-GB"/>
        </w:rPr>
        <w:t xml:space="preserve">(paragraph 51) </w:t>
      </w:r>
    </w:p>
    <w:p w14:paraId="67F480A5"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lastRenderedPageBreak/>
        <w:t xml:space="preserve">The </w:t>
      </w:r>
      <w:r w:rsidRPr="00792AC5">
        <w:rPr>
          <w:rFonts w:ascii="Calibri" w:eastAsia="Times New Roman" w:hAnsi="Calibri" w:cs="Calibri"/>
          <w:b/>
          <w:sz w:val="24"/>
          <w:szCs w:val="24"/>
          <w:lang w:val="en-GB"/>
        </w:rPr>
        <w:t>broad social acceptance of violence against women</w:t>
      </w:r>
      <w:r w:rsidRPr="00792AC5">
        <w:rPr>
          <w:rFonts w:ascii="Calibri" w:eastAsia="Times New Roman" w:hAnsi="Calibri" w:cs="Calibri"/>
          <w:sz w:val="24"/>
          <w:szCs w:val="24"/>
          <w:lang w:val="en-GB"/>
        </w:rPr>
        <w:t xml:space="preserve"> does not exempt or attenuate the responsibility of the State in relation to the phenomenon. On the contrary, they reinforce their obligation to eliminate cultural or traditional practices that encourage or justify violence, to confront gender stereotypes and harmful social practices, through awareness-raising measures and educational campaigns on women's rights, including on the content of the law. </w:t>
      </w:r>
    </w:p>
    <w:p w14:paraId="29F819C7" w14:textId="65141B21"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In this regard, in 2009 the Committee urged the State to "</w:t>
      </w:r>
      <w:r w:rsidRPr="00792AC5">
        <w:rPr>
          <w:rFonts w:ascii="Calibri" w:eastAsia="Times New Roman" w:hAnsi="Calibri" w:cs="Calibri"/>
          <w:i/>
          <w:sz w:val="24"/>
          <w:szCs w:val="24"/>
          <w:lang w:val="en-GB"/>
        </w:rPr>
        <w:t xml:space="preserve">take special measures to increase women's legal literacy and awareness of their rights" </w:t>
      </w:r>
      <w:r w:rsidRPr="00792AC5">
        <w:rPr>
          <w:rFonts w:ascii="Calibri" w:eastAsia="Times New Roman" w:hAnsi="Calibri" w:cs="Calibri"/>
          <w:sz w:val="24"/>
          <w:szCs w:val="24"/>
          <w:lang w:val="en-GB"/>
        </w:rPr>
        <w:t>(para. 18). After 15 years since the first revision, women</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 xml:space="preserve">s legal literacy and awareness programs about their rights continue to be a necessity and urgency in the country's context. </w:t>
      </w:r>
    </w:p>
    <w:p w14:paraId="2E01A6FC" w14:textId="5A39CB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2) Commonly, the aggressors</w:t>
      </w:r>
      <w:r w:rsidR="00880F33">
        <w:rPr>
          <w:rFonts w:ascii="Calibri" w:eastAsia="Times New Roman" w:hAnsi="Calibri" w:cs="Calibri"/>
          <w:b/>
          <w:sz w:val="24"/>
          <w:szCs w:val="24"/>
          <w:lang w:val="en-GB"/>
        </w:rPr>
        <w:t>’</w:t>
      </w:r>
      <w:r w:rsidRPr="00792AC5">
        <w:rPr>
          <w:rFonts w:ascii="Calibri" w:eastAsia="Times New Roman" w:hAnsi="Calibri" w:cs="Calibri"/>
          <w:b/>
          <w:sz w:val="24"/>
          <w:szCs w:val="24"/>
          <w:lang w:val="en-GB"/>
        </w:rPr>
        <w:t xml:space="preserve"> families pressure the victims to keep the cases of violence as private matters</w:t>
      </w:r>
      <w:r w:rsidRPr="00792AC5">
        <w:rPr>
          <w:rFonts w:ascii="Calibri" w:eastAsia="Times New Roman" w:hAnsi="Calibri" w:cs="Calibri"/>
          <w:sz w:val="24"/>
          <w:szCs w:val="24"/>
          <w:lang w:val="en-GB"/>
        </w:rPr>
        <w:t xml:space="preserve">, without bringing them to the attention of the authorities or refluxing into the complaints made.  </w:t>
      </w:r>
    </w:p>
    <w:p w14:paraId="106FD429" w14:textId="7306EC60"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3)</w:t>
      </w:r>
      <w:r w:rsidRPr="00792AC5">
        <w:rPr>
          <w:rFonts w:ascii="Calibri" w:eastAsia="Times New Roman" w:hAnsi="Calibri" w:cs="Calibri"/>
          <w:sz w:val="24"/>
          <w:szCs w:val="24"/>
          <w:lang w:val="en-GB"/>
        </w:rPr>
        <w:t xml:space="preserve"> In Guinea-Bissau, there is a widespread perception that the justice system does not work for women victims of violence, with an absence of legal protection, impunity and lack of access to justice. Security forces often omit themselves, acting with violence and stigmatization against the women who denounce. The Public Prosecutor</w:t>
      </w:r>
      <w:r w:rsidR="00880F33">
        <w:rPr>
          <w:rFonts w:ascii="Calibri" w:eastAsia="Times New Roman" w:hAnsi="Calibri" w:cs="Calibri"/>
          <w:sz w:val="24"/>
          <w:szCs w:val="24"/>
          <w:lang w:val="en-GB"/>
        </w:rPr>
        <w:t>’</w:t>
      </w:r>
      <w:r w:rsidRPr="00792AC5">
        <w:rPr>
          <w:rFonts w:ascii="Calibri" w:eastAsia="Times New Roman" w:hAnsi="Calibri" w:cs="Calibri"/>
          <w:sz w:val="24"/>
          <w:szCs w:val="24"/>
          <w:lang w:val="en-GB"/>
        </w:rPr>
        <w:t>s Office, despite its legal responsibility to carry out the processes, is identified as one of the main obstacles, with cases often stalled for years. The judiciary also suffers from a lack of adequate training to apply the Law, which compromises the effectiveness of investigations and punishments.</w:t>
      </w:r>
    </w:p>
    <w:p w14:paraId="2D2AEEBB"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Although the Committee recommended in 2009 the training of justice and security professionals on gender equality and violence against women, there is still a significant failure to apply these guidelines. The State attributes the low rate of convictions to the social acceptance of violence and the attitude of the victims, but the organizations denounce that the problem is structural. The responsibility for impunity lies with the failures of authorities, such as the police and the judiciary, who often treat these cases as family issues, perpetuating violence and impunity.</w:t>
      </w:r>
    </w:p>
    <w:p w14:paraId="63153A7F"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4) </w:t>
      </w:r>
      <w:r w:rsidRPr="00792AC5">
        <w:rPr>
          <w:rFonts w:ascii="Calibri" w:eastAsia="Times New Roman" w:hAnsi="Calibri" w:cs="Calibri"/>
          <w:sz w:val="24"/>
          <w:szCs w:val="24"/>
          <w:lang w:val="en-GB"/>
        </w:rPr>
        <w:t xml:space="preserve">The </w:t>
      </w:r>
      <w:r w:rsidRPr="00792AC5">
        <w:rPr>
          <w:rFonts w:ascii="Calibri" w:eastAsia="Times New Roman" w:hAnsi="Calibri" w:cs="Calibri"/>
          <w:b/>
          <w:sz w:val="24"/>
          <w:szCs w:val="24"/>
          <w:lang w:val="en-GB"/>
        </w:rPr>
        <w:t>failures in the processing of complaints associated with the legal provision for the withdrawal of the victim's consent at any time</w:t>
      </w:r>
      <w:r w:rsidRPr="00792AC5">
        <w:rPr>
          <w:rFonts w:ascii="Calibri" w:eastAsia="Times New Roman" w:hAnsi="Calibri" w:cs="Calibri"/>
          <w:sz w:val="24"/>
          <w:szCs w:val="24"/>
          <w:lang w:val="en-GB"/>
        </w:rPr>
        <w:t xml:space="preserve">, mentioned above, has been a major obstacle to the continuation of the cases. </w:t>
      </w:r>
    </w:p>
    <w:p w14:paraId="40720DAD" w14:textId="021F4D93"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5) Absence of shelters for women victims of violence. </w:t>
      </w:r>
      <w:r w:rsidRPr="00792AC5">
        <w:rPr>
          <w:rFonts w:ascii="Calibri" w:eastAsia="Times New Roman" w:hAnsi="Calibri" w:cs="Calibri"/>
          <w:sz w:val="24"/>
          <w:szCs w:val="24"/>
          <w:lang w:val="en-GB"/>
        </w:rPr>
        <w:t xml:space="preserve">The Committee, in its General Recommendation No. 33, highlights the importance of welcoming spaces to protect women from violence, promote their autonomy and prevent re-victimization. In its 2009 Concluding Observations, the Committee called on the State to provide effective </w:t>
      </w:r>
      <w:r w:rsidRPr="00792AC5">
        <w:rPr>
          <w:rFonts w:ascii="Calibri" w:eastAsia="Times New Roman" w:hAnsi="Calibri" w:cs="Calibri"/>
          <w:sz w:val="24"/>
          <w:szCs w:val="24"/>
          <w:lang w:val="en-GB"/>
        </w:rPr>
        <w:lastRenderedPageBreak/>
        <w:t xml:space="preserve">support to victims, including shelter and legal, medical and psychological support. Despite this, Law No. 6/2014 provides for these services, but there are no reception </w:t>
      </w:r>
      <w:r w:rsidR="009F6A52" w:rsidRPr="00792AC5">
        <w:rPr>
          <w:rFonts w:ascii="Calibri" w:eastAsia="Times New Roman" w:hAnsi="Calibri" w:cs="Calibri"/>
          <w:sz w:val="24"/>
          <w:szCs w:val="24"/>
          <w:lang w:val="en-GB"/>
        </w:rPr>
        <w:t>centres</w:t>
      </w:r>
      <w:r w:rsidRPr="00792AC5">
        <w:rPr>
          <w:rFonts w:ascii="Calibri" w:eastAsia="Times New Roman" w:hAnsi="Calibri" w:cs="Calibri"/>
          <w:sz w:val="24"/>
          <w:szCs w:val="24"/>
          <w:lang w:val="en-GB"/>
        </w:rPr>
        <w:t xml:space="preserve"> for women victims of violence in Guinea-Bissau. The absence of these spaces makes it difficult for women to get out of the cycle of violence, contrary to the State's obligation to guarantee full protection. The National Report on the Implementation of the Beijing Declaration points to the creation of psychological support services and shelters as a priority to address violence effectively (para. 44).</w:t>
      </w:r>
    </w:p>
    <w:tbl>
      <w:tblPr>
        <w:tblStyle w:val="a1"/>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6EDE70A3" w14:textId="77777777">
        <w:tc>
          <w:tcPr>
            <w:tcW w:w="8494" w:type="dxa"/>
          </w:tcPr>
          <w:p w14:paraId="3A4A8EA9" w14:textId="1BC60012"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 </w:t>
            </w:r>
            <w:r w:rsidRPr="00792AC5">
              <w:rPr>
                <w:rFonts w:ascii="Calibri" w:eastAsia="Times New Roman" w:hAnsi="Calibri" w:cs="Calibri"/>
                <w:b/>
                <w:sz w:val="24"/>
                <w:szCs w:val="24"/>
                <w:u w:val="single"/>
                <w:lang w:val="en-GB"/>
              </w:rPr>
              <w:t xml:space="preserve">Good practices: Gender cabinet within police institutions </w:t>
            </w:r>
          </w:p>
          <w:p w14:paraId="594FC508" w14:textId="5A0DB6CE" w:rsidR="001768E1" w:rsidRPr="00792AC5" w:rsidRDefault="009F6A52">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Amid</w:t>
            </w:r>
            <w:r w:rsidR="001870D8" w:rsidRPr="00792AC5">
              <w:rPr>
                <w:rFonts w:ascii="Calibri" w:eastAsia="Times New Roman" w:hAnsi="Calibri" w:cs="Calibri"/>
                <w:sz w:val="24"/>
                <w:szCs w:val="24"/>
                <w:lang w:val="en-GB"/>
              </w:rPr>
              <w:t xml:space="preserve"> a very precarious context of access to justice and legal protection for women victims of violence, it is important to highlight good practices. </w:t>
            </w:r>
          </w:p>
          <w:p w14:paraId="6446A35D"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Gender Office within the police institutions has guaranteed a more dignified treatment of women and avoided the occurrence of new violations of rights associated with the treatment received when they decide to report cases of domestic violence. </w:t>
            </w:r>
          </w:p>
          <w:p w14:paraId="04F6105D"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existence of female police officers has proven to be fundamental in guaranteeing and protecting women's rights both in the processing and reception of cases of domestic violence and in situations of deprivation of liberty. </w:t>
            </w:r>
          </w:p>
        </w:tc>
      </w:tr>
    </w:tbl>
    <w:p w14:paraId="57F20961" w14:textId="77777777" w:rsidR="001768E1" w:rsidRPr="00792AC5" w:rsidRDefault="001870D8">
      <w:pPr>
        <w:pStyle w:val="Ttulo3"/>
        <w:jc w:val="both"/>
        <w:rPr>
          <w:rFonts w:ascii="Calibri" w:hAnsi="Calibri" w:cs="Calibri"/>
          <w:color w:val="000000"/>
          <w:u w:val="single"/>
          <w:lang w:val="en-GB"/>
        </w:rPr>
      </w:pPr>
      <w:bookmarkStart w:id="14" w:name="_Toc198569892"/>
      <w:r w:rsidRPr="00792AC5">
        <w:rPr>
          <w:rFonts w:ascii="Calibri" w:hAnsi="Calibri" w:cs="Calibri"/>
          <w:color w:val="000000"/>
          <w:u w:val="single"/>
          <w:lang w:val="en-GB"/>
        </w:rPr>
        <w:t>c) Increase in the number of femicides in Guinea-Bissau and cases of extreme violence</w:t>
      </w:r>
      <w:bookmarkEnd w:id="14"/>
      <w:r w:rsidRPr="00792AC5">
        <w:rPr>
          <w:rFonts w:ascii="Calibri" w:hAnsi="Calibri" w:cs="Calibri"/>
          <w:color w:val="000000"/>
          <w:u w:val="single"/>
          <w:lang w:val="en-GB"/>
        </w:rPr>
        <w:t xml:space="preserve"> </w:t>
      </w:r>
    </w:p>
    <w:p w14:paraId="7B5EBCAE"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State mentioned that it monitors the increase in cases of femicide, but did not provide concrete data. In March 2024, two cases of femicide shocked Guinea-Bissau, generating outrage and leading to a vigil organized by civil society. Prior to these crimes, in February 2024, eight women were murdered following accusations of witchcraft, and in August, a young woman was beaten to death for refusing to marry. Human rights organizations point out that, in 2022, five women were murdered without those responsible being punished.</w:t>
      </w:r>
      <w:r w:rsidRPr="00792AC5">
        <w:rPr>
          <w:rFonts w:ascii="Calibri" w:eastAsia="Times New Roman" w:hAnsi="Calibri" w:cs="Calibri"/>
          <w:bCs/>
          <w:sz w:val="24"/>
          <w:szCs w:val="24"/>
          <w:vertAlign w:val="superscript"/>
          <w:lang w:val="en-GB"/>
        </w:rPr>
        <w:footnoteReference w:id="1"/>
      </w:r>
      <w:r w:rsidRPr="00792AC5">
        <w:rPr>
          <w:rFonts w:ascii="Calibri" w:eastAsia="Times New Roman" w:hAnsi="Calibri" w:cs="Calibri"/>
          <w:bCs/>
          <w:sz w:val="24"/>
          <w:szCs w:val="24"/>
          <w:lang w:val="en-GB"/>
        </w:rPr>
        <w:t xml:space="preserve"> </w:t>
      </w:r>
      <w:r w:rsidRPr="00792AC5">
        <w:rPr>
          <w:rFonts w:ascii="Calibri" w:eastAsia="Times New Roman" w:hAnsi="Calibri" w:cs="Calibri"/>
          <w:sz w:val="24"/>
          <w:szCs w:val="24"/>
          <w:lang w:val="en-GB"/>
        </w:rPr>
        <w:t xml:space="preserve">Femicide is not typified in legislation, and civil society is pushing for specific legislation to combat it. </w:t>
      </w:r>
    </w:p>
    <w:p w14:paraId="7C79555F"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lastRenderedPageBreak/>
        <w:t xml:space="preserve">It is also worth noting that violence against elderly women in the communities and against children born with disabilities has not received attention from public institutions and was not even mentioned in the State Report. </w:t>
      </w:r>
    </w:p>
    <w:p w14:paraId="55CD0895" w14:textId="77777777" w:rsidR="001768E1" w:rsidRPr="00792AC5" w:rsidRDefault="001768E1">
      <w:pPr>
        <w:spacing w:after="0" w:line="240" w:lineRule="auto"/>
        <w:jc w:val="both"/>
        <w:rPr>
          <w:rFonts w:ascii="Calibri" w:eastAsia="Times New Roman" w:hAnsi="Calibri" w:cs="Calibri"/>
          <w:b/>
          <w:sz w:val="24"/>
          <w:szCs w:val="24"/>
          <w:u w:val="single"/>
          <w:lang w:val="en-GB"/>
        </w:rPr>
      </w:pPr>
    </w:p>
    <w:tbl>
      <w:tblPr>
        <w:tblStyle w:val="a2"/>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448CCAF0" w14:textId="77777777">
        <w:tc>
          <w:tcPr>
            <w:tcW w:w="8494" w:type="dxa"/>
          </w:tcPr>
          <w:p w14:paraId="35CF2BB3" w14:textId="77777777" w:rsidR="001768E1" w:rsidRPr="00792AC5" w:rsidRDefault="001768E1">
            <w:pPr>
              <w:jc w:val="both"/>
              <w:rPr>
                <w:rFonts w:ascii="Calibri" w:eastAsia="Times New Roman" w:hAnsi="Calibri" w:cs="Calibri"/>
                <w:b/>
                <w:sz w:val="24"/>
                <w:szCs w:val="24"/>
                <w:lang w:val="en-GB"/>
              </w:rPr>
            </w:pPr>
          </w:p>
          <w:p w14:paraId="67CC3742"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questions to be asked to the State: </w:t>
            </w:r>
          </w:p>
          <w:p w14:paraId="2070D8E3" w14:textId="77777777" w:rsidR="001768E1" w:rsidRPr="00792AC5" w:rsidRDefault="001768E1">
            <w:pPr>
              <w:jc w:val="both"/>
              <w:rPr>
                <w:rFonts w:ascii="Calibri" w:eastAsia="Times New Roman" w:hAnsi="Calibri" w:cs="Calibri"/>
                <w:sz w:val="24"/>
                <w:szCs w:val="24"/>
                <w:lang w:val="en-GB"/>
              </w:rPr>
            </w:pPr>
          </w:p>
          <w:p w14:paraId="243D4440" w14:textId="77777777"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How has the possibility of withdrawing the victim's consent at any time in cases of domestic violence reporting impacted the processing of cases? </w:t>
            </w:r>
          </w:p>
          <w:p w14:paraId="5D6FFF2D" w14:textId="77777777"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What is the procedure for state action in cases of extreme violence against women? </w:t>
            </w:r>
          </w:p>
          <w:p w14:paraId="2C9D3678" w14:textId="77777777"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What is the public budget allocated to the policy to combat domestic violence? And what of this amount is specifically intended for the implementation of the law?  </w:t>
            </w:r>
          </w:p>
          <w:p w14:paraId="263F5A42" w14:textId="77777777"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How has conciliation been applied as part of the judicial procedure in cases of domestic violence, provided for in article 41.2 of Law No. 6/2014?   </w:t>
            </w:r>
          </w:p>
          <w:p w14:paraId="67766673" w14:textId="77777777" w:rsidR="001768E1" w:rsidRPr="00792AC5" w:rsidRDefault="001768E1">
            <w:pPr>
              <w:jc w:val="both"/>
              <w:rPr>
                <w:rFonts w:ascii="Calibri" w:eastAsia="Times New Roman" w:hAnsi="Calibri" w:cs="Calibri"/>
                <w:sz w:val="24"/>
                <w:szCs w:val="24"/>
                <w:lang w:val="en-GB"/>
              </w:rPr>
            </w:pPr>
          </w:p>
          <w:p w14:paraId="444526C3" w14:textId="77777777" w:rsidR="001768E1" w:rsidRPr="00792AC5" w:rsidRDefault="001870D8">
            <w:pPr>
              <w:jc w:val="center"/>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 </w:t>
            </w:r>
          </w:p>
          <w:p w14:paraId="2BECF0A4" w14:textId="77777777" w:rsidR="001768E1" w:rsidRPr="00792AC5" w:rsidRDefault="001768E1">
            <w:pPr>
              <w:jc w:val="center"/>
              <w:rPr>
                <w:rFonts w:ascii="Calibri" w:eastAsia="Times New Roman" w:hAnsi="Calibri" w:cs="Calibri"/>
                <w:sz w:val="24"/>
                <w:szCs w:val="24"/>
                <w:lang w:val="en-GB"/>
              </w:rPr>
            </w:pPr>
          </w:p>
          <w:p w14:paraId="3BD88956"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7D198633" w14:textId="77777777" w:rsidR="001768E1" w:rsidRPr="00792AC5" w:rsidRDefault="001768E1">
            <w:pPr>
              <w:jc w:val="both"/>
              <w:rPr>
                <w:rFonts w:ascii="Calibri" w:eastAsia="Times New Roman" w:hAnsi="Calibri" w:cs="Calibri"/>
                <w:b/>
                <w:sz w:val="24"/>
                <w:szCs w:val="24"/>
                <w:lang w:val="en-GB"/>
              </w:rPr>
            </w:pPr>
          </w:p>
          <w:p w14:paraId="573E4A30" w14:textId="40135EB2"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Strengthen and expand the Gender Office within law enforcement institutions</w:t>
            </w:r>
            <w:r w:rsidR="009F6A52">
              <w:rPr>
                <w:rFonts w:ascii="Calibri" w:eastAsia="Times New Roman" w:hAnsi="Calibri" w:cs="Calibri"/>
                <w:color w:val="000000"/>
                <w:sz w:val="24"/>
                <w:szCs w:val="24"/>
                <w:lang w:val="en-GB"/>
              </w:rPr>
              <w:t>.</w:t>
            </w:r>
          </w:p>
          <w:p w14:paraId="0BB0F06D"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1E044909" w14:textId="58FCF735"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Preparation of a concrete Action Plan for the implementation of the Domestic Violence Law</w:t>
            </w:r>
            <w:r w:rsidR="009F6A52">
              <w:rPr>
                <w:rFonts w:ascii="Calibri" w:eastAsia="Times New Roman" w:hAnsi="Calibri" w:cs="Calibri"/>
                <w:color w:val="000000"/>
                <w:sz w:val="24"/>
                <w:szCs w:val="24"/>
                <w:lang w:val="en-GB"/>
              </w:rPr>
              <w:t>.</w:t>
            </w:r>
          </w:p>
          <w:p w14:paraId="2572A408"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3A0B7E81" w14:textId="5903C10E"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Prepare a gender-sensitive budget, with the inclusion of items in the general state budget</w:t>
            </w:r>
            <w:r w:rsidR="009F6A52">
              <w:rPr>
                <w:rFonts w:ascii="Calibri" w:eastAsia="Times New Roman" w:hAnsi="Calibri" w:cs="Calibri"/>
                <w:color w:val="000000"/>
                <w:sz w:val="24"/>
                <w:szCs w:val="24"/>
                <w:lang w:val="en-GB"/>
              </w:rPr>
              <w:t>.</w:t>
            </w:r>
          </w:p>
          <w:p w14:paraId="6600EC29" w14:textId="77777777" w:rsidR="001768E1" w:rsidRPr="00792AC5" w:rsidRDefault="001768E1">
            <w:pPr>
              <w:jc w:val="both"/>
              <w:rPr>
                <w:rFonts w:ascii="Calibri" w:eastAsia="Times New Roman" w:hAnsi="Calibri" w:cs="Calibri"/>
                <w:sz w:val="24"/>
                <w:szCs w:val="24"/>
                <w:lang w:val="en-GB"/>
              </w:rPr>
            </w:pPr>
          </w:p>
          <w:p w14:paraId="4C70BDCE" w14:textId="52CE282E"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Revise the Law on Domestic Violence, in order to: (</w:t>
            </w:r>
            <w:proofErr w:type="spellStart"/>
            <w:r w:rsidRPr="00792AC5">
              <w:rPr>
                <w:rFonts w:ascii="Calibri" w:eastAsia="Times New Roman" w:hAnsi="Calibri" w:cs="Calibri"/>
                <w:color w:val="000000"/>
                <w:sz w:val="24"/>
                <w:szCs w:val="24"/>
                <w:lang w:val="en-GB"/>
              </w:rPr>
              <w:t>i</w:t>
            </w:r>
            <w:proofErr w:type="spellEnd"/>
            <w:r w:rsidRPr="00792AC5">
              <w:rPr>
                <w:rFonts w:ascii="Calibri" w:eastAsia="Times New Roman" w:hAnsi="Calibri" w:cs="Calibri"/>
                <w:color w:val="000000"/>
                <w:sz w:val="24"/>
                <w:szCs w:val="24"/>
                <w:lang w:val="en-GB"/>
              </w:rPr>
              <w:t>) ensure the balance between the autonomy of the will and the duty of protagonism of the State's criminal action; (ii), incorporating the new forms of violence recognized in General Comment No. 35 of the CEDAW Committee, such as: online and digital violence, reproductive violence, gender-based hate crimes and institutional impunity, and lack of access to justice; (iii) create and implement mechanisms for reporting and systematizing cases of institutional violence</w:t>
            </w:r>
            <w:r w:rsidR="009F6A52">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1C2E6AAB" w14:textId="77777777" w:rsidR="001768E1" w:rsidRPr="00792AC5" w:rsidRDefault="001768E1">
            <w:pPr>
              <w:pBdr>
                <w:top w:val="nil"/>
                <w:left w:val="nil"/>
                <w:bottom w:val="nil"/>
                <w:right w:val="nil"/>
                <w:between w:val="nil"/>
              </w:pBdr>
              <w:spacing w:line="259" w:lineRule="auto"/>
              <w:ind w:left="720"/>
              <w:rPr>
                <w:rFonts w:ascii="Calibri" w:eastAsia="Times New Roman" w:hAnsi="Calibri" w:cs="Calibri"/>
                <w:color w:val="000000"/>
                <w:sz w:val="24"/>
                <w:szCs w:val="24"/>
                <w:lang w:val="en-GB"/>
              </w:rPr>
            </w:pPr>
          </w:p>
          <w:p w14:paraId="3BBEEC00" w14:textId="77777777" w:rsidR="001768E1" w:rsidRPr="00792AC5" w:rsidRDefault="001870D8">
            <w:pPr>
              <w:numPr>
                <w:ilvl w:val="0"/>
                <w:numId w:val="3"/>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Create, within a period of no more than 2 years, a Shelter for Women Victims of Violence, in accordance with the parameters established in the Committee's General Recommendation No. 33 (2015).  </w:t>
            </w:r>
          </w:p>
          <w:p w14:paraId="26709996" w14:textId="77777777" w:rsidR="001768E1" w:rsidRPr="00792AC5" w:rsidRDefault="001768E1">
            <w:pPr>
              <w:pBdr>
                <w:top w:val="nil"/>
                <w:left w:val="nil"/>
                <w:bottom w:val="nil"/>
                <w:right w:val="nil"/>
                <w:between w:val="nil"/>
              </w:pBdr>
              <w:spacing w:line="259" w:lineRule="auto"/>
              <w:ind w:left="720"/>
              <w:rPr>
                <w:rFonts w:ascii="Calibri" w:eastAsia="Times New Roman" w:hAnsi="Calibri" w:cs="Calibri"/>
                <w:color w:val="000000"/>
                <w:sz w:val="24"/>
                <w:szCs w:val="24"/>
                <w:lang w:val="en-GB"/>
              </w:rPr>
            </w:pPr>
          </w:p>
          <w:p w14:paraId="48C0E450" w14:textId="5B7C79EA" w:rsidR="001768E1" w:rsidRPr="00792AC5" w:rsidRDefault="001870D8">
            <w:pPr>
              <w:numPr>
                <w:ilvl w:val="0"/>
                <w:numId w:val="3"/>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lastRenderedPageBreak/>
              <w:t>Prioritize implementation actions that benefit women in rural and island areas.</w:t>
            </w:r>
          </w:p>
          <w:p w14:paraId="2B039C38" w14:textId="77777777" w:rsidR="001768E1" w:rsidRPr="00792AC5" w:rsidRDefault="001768E1">
            <w:pPr>
              <w:jc w:val="both"/>
              <w:rPr>
                <w:rFonts w:ascii="Calibri" w:eastAsia="Times New Roman" w:hAnsi="Calibri" w:cs="Calibri"/>
                <w:sz w:val="24"/>
                <w:szCs w:val="24"/>
                <w:lang w:val="en-GB"/>
              </w:rPr>
            </w:pPr>
          </w:p>
        </w:tc>
      </w:tr>
    </w:tbl>
    <w:p w14:paraId="685234AC" w14:textId="77777777" w:rsidR="001768E1" w:rsidRPr="00792AC5" w:rsidRDefault="001768E1">
      <w:pPr>
        <w:jc w:val="both"/>
        <w:rPr>
          <w:rFonts w:ascii="Calibri" w:eastAsia="Times New Roman" w:hAnsi="Calibri" w:cs="Calibri"/>
          <w:sz w:val="24"/>
          <w:szCs w:val="24"/>
          <w:lang w:val="en-GB"/>
        </w:rPr>
      </w:pPr>
    </w:p>
    <w:p w14:paraId="34BBA25F" w14:textId="77777777" w:rsidR="001768E1" w:rsidRPr="00792AC5" w:rsidRDefault="001870D8">
      <w:pPr>
        <w:pStyle w:val="Ttulo2"/>
        <w:rPr>
          <w:rFonts w:ascii="Calibri" w:hAnsi="Calibri" w:cs="Calibri"/>
          <w:color w:val="000000"/>
          <w:lang w:val="en-GB"/>
        </w:rPr>
      </w:pPr>
      <w:bookmarkStart w:id="15" w:name="_Toc198569893"/>
      <w:r w:rsidRPr="00792AC5">
        <w:rPr>
          <w:rFonts w:ascii="Calibri" w:hAnsi="Calibri" w:cs="Calibri"/>
          <w:color w:val="000000"/>
          <w:lang w:val="en-GB"/>
        </w:rPr>
        <w:t>2.3) Female Genital Mutilation (FGM)</w:t>
      </w:r>
      <w:bookmarkEnd w:id="15"/>
      <w:r w:rsidRPr="00792AC5">
        <w:rPr>
          <w:rFonts w:ascii="Calibri" w:hAnsi="Calibri" w:cs="Calibri"/>
          <w:color w:val="000000"/>
          <w:lang w:val="en-GB"/>
        </w:rPr>
        <w:t xml:space="preserve"> </w:t>
      </w:r>
    </w:p>
    <w:p w14:paraId="1D50E1F8"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Female Genital Mutilation remains a deep-rooted practice in many communities in Guinea-Bissau, especially in the eastern and northern regions. The country is among the top 30 in the study Female Genital Mutilation/Excision: A Global Concern and is one of 17 countries of high relevance in terms of the Global Program to Accelerate the Abandonment of FGM, led by UNFPA in conjunction with UNICEF. </w:t>
      </w:r>
    </w:p>
    <w:p w14:paraId="42F99733" w14:textId="4BC14EF4"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concern with the incidence of FGM in the country has been widely recognized within the United Nations and its agencies, such as UNICEF, UNFPA and UN Women, which have been technically and financially supporting national initiatives to eradicate FGM. In addition to a serious violation of the human rights of girls and women, UN agencies consider FGM an obstacle to the </w:t>
      </w:r>
      <w:r w:rsidR="009F6A52" w:rsidRPr="00792AC5">
        <w:rPr>
          <w:rFonts w:ascii="Calibri" w:eastAsia="Times New Roman" w:hAnsi="Calibri" w:cs="Calibri"/>
          <w:sz w:val="24"/>
          <w:szCs w:val="24"/>
          <w:lang w:val="en-GB"/>
        </w:rPr>
        <w:t>fulfilment</w:t>
      </w:r>
      <w:r w:rsidRPr="00792AC5">
        <w:rPr>
          <w:rFonts w:ascii="Calibri" w:eastAsia="Times New Roman" w:hAnsi="Calibri" w:cs="Calibri"/>
          <w:sz w:val="24"/>
          <w:szCs w:val="24"/>
          <w:lang w:val="en-GB"/>
        </w:rPr>
        <w:t xml:space="preserve"> of the 2030 Agenda for Sustainable Development, especially</w:t>
      </w:r>
      <w:r w:rsidR="009F6A52">
        <w:rPr>
          <w:rFonts w:ascii="Calibri" w:eastAsia="Times New Roman" w:hAnsi="Calibri" w:cs="Calibri"/>
          <w:sz w:val="24"/>
          <w:szCs w:val="24"/>
          <w:lang w:val="en-GB"/>
        </w:rPr>
        <w:t xml:space="preserve"> regarding</w:t>
      </w:r>
      <w:r w:rsidRPr="00792AC5">
        <w:rPr>
          <w:rFonts w:ascii="Calibri" w:eastAsia="Times New Roman" w:hAnsi="Calibri" w:cs="Calibri"/>
          <w:sz w:val="24"/>
          <w:szCs w:val="24"/>
          <w:lang w:val="en-GB"/>
        </w:rPr>
        <w:t xml:space="preserve"> gender equality (SDG 5). </w:t>
      </w:r>
    </w:p>
    <w:p w14:paraId="7C2A4A87" w14:textId="51FEC19A"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In the periodic review carried out in 2009, the CEDAW Committee had expressed extreme concern about the high rates of what was named the "</w:t>
      </w:r>
      <w:r w:rsidRPr="00792AC5">
        <w:rPr>
          <w:rFonts w:ascii="Calibri" w:eastAsia="Times New Roman" w:hAnsi="Calibri" w:cs="Calibri"/>
          <w:i/>
          <w:sz w:val="24"/>
          <w:szCs w:val="24"/>
          <w:lang w:val="en-GB"/>
        </w:rPr>
        <w:t>scourge of female genital mutilation</w:t>
      </w:r>
      <w:r w:rsidRPr="00792AC5">
        <w:rPr>
          <w:rFonts w:ascii="Calibri" w:eastAsia="Times New Roman" w:hAnsi="Calibri" w:cs="Calibri"/>
          <w:sz w:val="24"/>
          <w:szCs w:val="24"/>
          <w:lang w:val="en-GB"/>
        </w:rPr>
        <w:t xml:space="preserve">" and the persistence of this practice, understood as </w:t>
      </w:r>
      <w:r w:rsidRPr="00792AC5">
        <w:rPr>
          <w:rFonts w:ascii="Calibri" w:eastAsia="Times New Roman" w:hAnsi="Calibri" w:cs="Calibri"/>
          <w:i/>
          <w:sz w:val="24"/>
          <w:szCs w:val="24"/>
          <w:lang w:val="en-GB"/>
        </w:rPr>
        <w:t>"a serious violation of the human rights of girls and women to bodily integrity and health, and of the obligations of the State Party under the Convention</w:t>
      </w:r>
      <w:r w:rsidRPr="00792AC5">
        <w:rPr>
          <w:rFonts w:ascii="Calibri" w:eastAsia="Times New Roman" w:hAnsi="Calibri" w:cs="Calibri"/>
          <w:sz w:val="24"/>
          <w:szCs w:val="24"/>
          <w:lang w:val="en-GB"/>
        </w:rPr>
        <w:t>". On the occasion, it urged the State to "</w:t>
      </w:r>
      <w:r w:rsidRPr="00792AC5">
        <w:rPr>
          <w:rFonts w:ascii="Calibri" w:eastAsia="Times New Roman" w:hAnsi="Calibri" w:cs="Calibri"/>
          <w:i/>
          <w:sz w:val="24"/>
          <w:szCs w:val="24"/>
          <w:lang w:val="en-GB"/>
        </w:rPr>
        <w:t>strengthen its awareness and education efforts, aimed at both women and men, including government officials at all levels, traditional and community leaders, and religious leaders, to eliminate the practice of female genital mutilation and its underlying cultural justifications</w:t>
      </w:r>
      <w:r w:rsidRPr="00792AC5">
        <w:rPr>
          <w:rFonts w:ascii="Calibri" w:eastAsia="Times New Roman" w:hAnsi="Calibri" w:cs="Calibri"/>
          <w:sz w:val="24"/>
          <w:szCs w:val="24"/>
          <w:lang w:val="en-GB"/>
        </w:rPr>
        <w:t xml:space="preserve">." (par. 25-26) </w:t>
      </w:r>
    </w:p>
    <w:p w14:paraId="7D7A166C"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During the last cycle of the Universal Periodic Review that took place in May 2025, the country received 31 recommendations related to combating gender-based violence, 19 of which had specific recommendations on combating female genital mutilation, the need to eradicate the practice, strictly enforce the laws that criminalize it, and include its eradication in the national strategy and implementation plan,  and all this with special attention to regions of high prevalence, such as </w:t>
      </w:r>
      <w:proofErr w:type="spellStart"/>
      <w:r w:rsidRPr="00792AC5">
        <w:rPr>
          <w:rFonts w:ascii="Calibri" w:eastAsia="Times New Roman" w:hAnsi="Calibri" w:cs="Calibri"/>
          <w:sz w:val="24"/>
          <w:szCs w:val="24"/>
          <w:lang w:val="en-GB"/>
        </w:rPr>
        <w:t>Gabú</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Bafatá</w:t>
      </w:r>
      <w:proofErr w:type="spellEnd"/>
      <w:r w:rsidRPr="00792AC5">
        <w:rPr>
          <w:rFonts w:ascii="Calibri" w:eastAsia="Times New Roman" w:hAnsi="Calibri" w:cs="Calibri"/>
          <w:sz w:val="24"/>
          <w:szCs w:val="24"/>
          <w:lang w:val="en-GB"/>
        </w:rPr>
        <w:t xml:space="preserve">. </w:t>
      </w:r>
    </w:p>
    <w:p w14:paraId="4FBB3754"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Despite the criminalization of the practice by law since 2011 and some good practices such as the work that has been carried out by the National Committee for the Abandonment of Harmful Traditional Practices (CNAPN), the rates available today reveal an increase in the number of cases. </w:t>
      </w: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5BA7D40B" w14:textId="77777777">
        <w:tc>
          <w:tcPr>
            <w:tcW w:w="8494" w:type="dxa"/>
          </w:tcPr>
          <w:p w14:paraId="5C46625D" w14:textId="77777777" w:rsidR="001768E1" w:rsidRPr="00792AC5" w:rsidRDefault="001870D8">
            <w:pPr>
              <w:spacing w:after="160" w:line="259"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lastRenderedPageBreak/>
              <w:t xml:space="preserve"> </w:t>
            </w:r>
          </w:p>
          <w:p w14:paraId="13386341" w14:textId="77777777" w:rsidR="001768E1" w:rsidRPr="00792AC5" w:rsidRDefault="001870D8">
            <w:pPr>
              <w:spacing w:after="160" w:line="259" w:lineRule="auto"/>
              <w:jc w:val="both"/>
              <w:rPr>
                <w:rFonts w:ascii="Calibri" w:eastAsia="Times New Roman" w:hAnsi="Calibri" w:cs="Calibri"/>
                <w:sz w:val="24"/>
                <w:szCs w:val="24"/>
                <w:lang w:val="en-GB"/>
              </w:rPr>
            </w:pPr>
            <w:r w:rsidRPr="00792AC5">
              <w:rPr>
                <w:rFonts w:ascii="Calibri" w:eastAsia="Times New Roman" w:hAnsi="Calibri" w:cs="Calibri"/>
                <w:b/>
                <w:sz w:val="24"/>
                <w:szCs w:val="24"/>
                <w:u w:val="single"/>
                <w:lang w:val="en-GB"/>
              </w:rPr>
              <w:t>Good practice: the creation and work of the National Committee for the Abandonment of Harmful Traditional Practices (CNAPN)</w:t>
            </w:r>
          </w:p>
          <w:p w14:paraId="75446371" w14:textId="77777777" w:rsidR="001768E1" w:rsidRPr="00792AC5" w:rsidRDefault="001870D8">
            <w:pPr>
              <w:spacing w:before="240" w:after="240" w:line="288" w:lineRule="auto"/>
              <w:jc w:val="both"/>
              <w:rPr>
                <w:rFonts w:ascii="Calibri" w:hAnsi="Calibri" w:cs="Calibri"/>
                <w:lang w:val="en-GB"/>
              </w:rPr>
            </w:pPr>
            <w:r w:rsidRPr="00792AC5">
              <w:rPr>
                <w:rFonts w:ascii="Calibri" w:eastAsia="Times New Roman" w:hAnsi="Calibri" w:cs="Calibri"/>
                <w:sz w:val="24"/>
                <w:szCs w:val="24"/>
                <w:lang w:val="en-GB"/>
              </w:rPr>
              <w:t xml:space="preserve">The </w:t>
            </w:r>
            <w:r w:rsidRPr="00792AC5">
              <w:rPr>
                <w:rFonts w:ascii="Calibri" w:eastAsia="Times New Roman" w:hAnsi="Calibri" w:cs="Calibri"/>
                <w:b/>
                <w:sz w:val="24"/>
                <w:szCs w:val="24"/>
                <w:lang w:val="en-GB"/>
              </w:rPr>
              <w:t>National Committee for the Abandonment of Harmful Traditional Practices (CNAPN),</w:t>
            </w:r>
            <w:r w:rsidRPr="00792AC5">
              <w:rPr>
                <w:rFonts w:ascii="Calibri" w:eastAsia="Times New Roman" w:hAnsi="Calibri" w:cs="Calibri"/>
                <w:sz w:val="24"/>
                <w:szCs w:val="24"/>
                <w:lang w:val="en-GB"/>
              </w:rPr>
              <w:t xml:space="preserve"> linked to the Ministry of Women of Guinea-Bissau, coordinates actions to eliminate practices such as female genital mutilation (FGM). Created in 1996, it works with local leaders and civil organizations, guided by a national strategy updated in 2018. Despite advances in campaigns and public statements of abandonment of FGM, CNAPN recognizes that violence against women and children </w:t>
            </w:r>
            <w:proofErr w:type="gramStart"/>
            <w:r w:rsidRPr="00792AC5">
              <w:rPr>
                <w:rFonts w:ascii="Calibri" w:eastAsia="Times New Roman" w:hAnsi="Calibri" w:cs="Calibri"/>
                <w:sz w:val="24"/>
                <w:szCs w:val="24"/>
                <w:lang w:val="en-GB"/>
              </w:rPr>
              <w:t>persists</w:t>
            </w:r>
            <w:proofErr w:type="gramEnd"/>
            <w:r w:rsidRPr="00792AC5">
              <w:rPr>
                <w:rFonts w:ascii="Calibri" w:eastAsia="Times New Roman" w:hAnsi="Calibri" w:cs="Calibri"/>
                <w:sz w:val="24"/>
                <w:szCs w:val="24"/>
                <w:lang w:val="en-GB"/>
              </w:rPr>
              <w:t xml:space="preserve"> and that the judicial system still faces challenges in enforcing the laws.   </w:t>
            </w:r>
          </w:p>
        </w:tc>
      </w:tr>
    </w:tbl>
    <w:p w14:paraId="507E9CB6" w14:textId="77777777" w:rsidR="001768E1" w:rsidRPr="00792AC5" w:rsidRDefault="001768E1">
      <w:pPr>
        <w:jc w:val="both"/>
        <w:rPr>
          <w:rFonts w:ascii="Calibri" w:eastAsia="Times New Roman" w:hAnsi="Calibri" w:cs="Calibri"/>
          <w:sz w:val="24"/>
          <w:szCs w:val="24"/>
          <w:lang w:val="en-GB"/>
        </w:rPr>
      </w:pPr>
    </w:p>
    <w:p w14:paraId="244ECF7B"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following are the main notes on the scenario of practice in Guinea-Bissau made by the organizations participating in the workshop for the construction of this Alternative Report: </w:t>
      </w:r>
    </w:p>
    <w:p w14:paraId="37893E42" w14:textId="27263CB3" w:rsidR="00E02B37" w:rsidRPr="00E02B37" w:rsidRDefault="001870D8" w:rsidP="00E02B37">
      <w:pPr>
        <w:pStyle w:val="PargrafodaLista"/>
        <w:numPr>
          <w:ilvl w:val="0"/>
          <w:numId w:val="5"/>
        </w:numPr>
        <w:spacing w:before="240" w:after="240" w:line="288" w:lineRule="auto"/>
        <w:jc w:val="both"/>
        <w:rPr>
          <w:rFonts w:ascii="Calibri" w:eastAsia="Times New Roman" w:hAnsi="Calibri" w:cs="Calibri"/>
          <w:b/>
          <w:sz w:val="24"/>
          <w:szCs w:val="24"/>
          <w:lang w:val="en-GB"/>
        </w:rPr>
      </w:pPr>
      <w:r w:rsidRPr="00E02B37">
        <w:rPr>
          <w:rFonts w:ascii="Calibri" w:eastAsia="Times New Roman" w:hAnsi="Calibri" w:cs="Calibri"/>
          <w:b/>
          <w:sz w:val="24"/>
          <w:szCs w:val="24"/>
          <w:lang w:val="en-GB"/>
        </w:rPr>
        <w:t>Persistence of FGM and lack of effectiveness in state actions</w:t>
      </w:r>
    </w:p>
    <w:p w14:paraId="7E7A6198" w14:textId="0512A67A" w:rsidR="001768E1" w:rsidRPr="00E02B37" w:rsidRDefault="001870D8" w:rsidP="00E02B37">
      <w:pPr>
        <w:spacing w:before="240" w:after="240" w:line="288" w:lineRule="auto"/>
        <w:jc w:val="both"/>
        <w:rPr>
          <w:rFonts w:ascii="Calibri" w:eastAsia="Times New Roman" w:hAnsi="Calibri" w:cs="Calibri"/>
          <w:bCs/>
          <w:sz w:val="24"/>
          <w:szCs w:val="24"/>
          <w:lang w:val="en-GB"/>
        </w:rPr>
      </w:pPr>
      <w:r w:rsidRPr="00E02B37">
        <w:rPr>
          <w:rFonts w:ascii="Calibri" w:eastAsia="Times New Roman" w:hAnsi="Calibri" w:cs="Calibri"/>
          <w:bCs/>
          <w:sz w:val="24"/>
          <w:szCs w:val="24"/>
          <w:lang w:val="en-GB"/>
        </w:rPr>
        <w:t>Guinea-Bissau still faces high rates of Female Genital Mutilation (FGM), with alarming data indicating a continuous increase in the practice. Although the State has adopted some initiatives, such as the criminalization of the practice and the creation of the CNAPN, the actions have not generated a significant decrease in the incidence of FGM. The lack of mechanisms to evaluate the effectiveness of these actions and the non-compliance with the National Strategy for the Abandonment of FGM result in doubts about the real effectiveness of the measures adopted.</w:t>
      </w:r>
    </w:p>
    <w:p w14:paraId="3478B472" w14:textId="77777777" w:rsidR="00F50388"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2) Social strategies that perpetuate FGM</w:t>
      </w:r>
    </w:p>
    <w:p w14:paraId="37FF0219" w14:textId="15AF40AC"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While there is a national strategy to combat FGM, there are also social practices that continue to allow for the perpetuation of mutilation. In some communities, FGM is performed on infants,</w:t>
      </w:r>
      <w:r w:rsidRPr="00792AC5">
        <w:rPr>
          <w:rFonts w:ascii="Calibri" w:eastAsia="Times New Roman" w:hAnsi="Calibri" w:cs="Calibri"/>
          <w:sz w:val="24"/>
          <w:szCs w:val="24"/>
          <w:vertAlign w:val="superscript"/>
          <w:lang w:val="en-GB"/>
        </w:rPr>
        <w:footnoteReference w:id="2"/>
      </w:r>
      <w:r w:rsidRPr="00792AC5">
        <w:rPr>
          <w:rFonts w:ascii="Calibri" w:eastAsia="Times New Roman" w:hAnsi="Calibri" w:cs="Calibri"/>
          <w:sz w:val="24"/>
          <w:szCs w:val="24"/>
          <w:lang w:val="en-GB"/>
        </w:rPr>
        <w:t xml:space="preserve"> which makes it difficult to identify. The persistence of this practice, recognized even by UN agencies, reflects the continuity of social strategies in </w:t>
      </w:r>
      <w:proofErr w:type="spellStart"/>
      <w:r w:rsidRPr="00792AC5">
        <w:rPr>
          <w:rFonts w:ascii="Calibri" w:eastAsia="Times New Roman" w:hAnsi="Calibri" w:cs="Calibri"/>
          <w:sz w:val="24"/>
          <w:szCs w:val="24"/>
          <w:lang w:val="en-GB"/>
        </w:rPr>
        <w:t>defense</w:t>
      </w:r>
      <w:proofErr w:type="spellEnd"/>
      <w:r w:rsidRPr="00792AC5">
        <w:rPr>
          <w:rFonts w:ascii="Calibri" w:eastAsia="Times New Roman" w:hAnsi="Calibri" w:cs="Calibri"/>
          <w:sz w:val="24"/>
          <w:szCs w:val="24"/>
          <w:lang w:val="en-GB"/>
        </w:rPr>
        <w:t xml:space="preserve"> of FGM, which weakens eradication efforts.</w:t>
      </w:r>
    </w:p>
    <w:p w14:paraId="53780000" w14:textId="77777777" w:rsidR="00D45313"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3) Ineffectiveness of the law in implementation and accountability</w:t>
      </w:r>
    </w:p>
    <w:p w14:paraId="4D0058EA" w14:textId="52138F94"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criminalization of FGM by Law No. 14/2011 has not been enough to curb the practice. Despite the legislation, FGM cases are rarely reported or prosecuted, and those </w:t>
      </w:r>
      <w:r w:rsidRPr="00792AC5">
        <w:rPr>
          <w:rFonts w:ascii="Calibri" w:eastAsia="Times New Roman" w:hAnsi="Calibri" w:cs="Calibri"/>
          <w:sz w:val="24"/>
          <w:szCs w:val="24"/>
          <w:lang w:val="en-GB"/>
        </w:rPr>
        <w:lastRenderedPageBreak/>
        <w:t>responsible are not held accountable. The lack of criminal accountability and cultural, social and religious resistance hinder the effective implementation of the law, which is pointed out by the organizations as an important failure in the actions of the State.</w:t>
      </w:r>
    </w:p>
    <w:p w14:paraId="777F87B3" w14:textId="77777777" w:rsidR="00D45313"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4) Need for greater institutional capillarity and partnerships</w:t>
      </w:r>
    </w:p>
    <w:p w14:paraId="215FEF10" w14:textId="7285C739"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Given the widespread spread of FGM and strategies to conceal its practice, such as performing it in newborns, it is essential to expand actions to combat FGM beyond local institutions. Collaboration between public institutions, in addition to joint work with civil society organizations, is essential to increase the State's capacity to identify and combat this practice in the country. </w:t>
      </w:r>
    </w:p>
    <w:tbl>
      <w:tblPr>
        <w:tblStyle w:val="a4"/>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2B1A83E5" w14:textId="77777777">
        <w:tc>
          <w:tcPr>
            <w:tcW w:w="8494" w:type="dxa"/>
          </w:tcPr>
          <w:p w14:paraId="08544A6F"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questions to be asked to the State: </w:t>
            </w:r>
          </w:p>
          <w:p w14:paraId="24B842E4" w14:textId="77777777"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How many cases of FGM have been examined by the Justice System of Guinea Bissau since the enactment of the Law that prohibits the practice? What was the penalty applied? How many people are serving time in the case of conviction?  </w:t>
            </w:r>
          </w:p>
          <w:p w14:paraId="4BEAF201"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color w:val="000000"/>
                <w:sz w:val="24"/>
                <w:szCs w:val="24"/>
                <w:lang w:val="en-GB"/>
              </w:rPr>
            </w:pPr>
          </w:p>
          <w:p w14:paraId="0F52EDA7" w14:textId="77777777" w:rsidR="001768E1" w:rsidRPr="00792AC5" w:rsidRDefault="001870D8">
            <w:pPr>
              <w:jc w:val="center"/>
              <w:rPr>
                <w:rFonts w:ascii="Calibri" w:eastAsia="Times New Roman" w:hAnsi="Calibri" w:cs="Calibri"/>
                <w:b/>
                <w:sz w:val="24"/>
                <w:szCs w:val="24"/>
                <w:lang w:val="en-GB"/>
              </w:rPr>
            </w:pPr>
            <w:r w:rsidRPr="00792AC5">
              <w:rPr>
                <w:rFonts w:ascii="Calibri" w:eastAsia="Times New Roman" w:hAnsi="Calibri" w:cs="Calibri"/>
                <w:sz w:val="24"/>
                <w:szCs w:val="24"/>
                <w:lang w:val="en-GB"/>
              </w:rPr>
              <w:t xml:space="preserve">******************************* </w:t>
            </w:r>
          </w:p>
          <w:p w14:paraId="7B73D89C"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2649DAAD" w14:textId="77777777"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Reinforce the commitment to confront FGM, through the improvement of the National Strategy, ensuring more resources, more dissemination of the law, intensification of social awareness campaigns, training of health and justice professionals (security forces, Public Prosecutor's Office and Judiciary</w:t>
            </w:r>
            <w:proofErr w:type="gramStart"/>
            <w:r w:rsidRPr="00792AC5">
              <w:rPr>
                <w:rFonts w:ascii="Calibri" w:eastAsia="Times New Roman" w:hAnsi="Calibri" w:cs="Calibri"/>
                <w:color w:val="000000"/>
                <w:sz w:val="24"/>
                <w:szCs w:val="24"/>
                <w:lang w:val="en-GB"/>
              </w:rPr>
              <w:t>);</w:t>
            </w:r>
            <w:proofErr w:type="gramEnd"/>
            <w:r w:rsidRPr="00792AC5">
              <w:rPr>
                <w:rFonts w:ascii="Calibri" w:eastAsia="Times New Roman" w:hAnsi="Calibri" w:cs="Calibri"/>
                <w:color w:val="000000"/>
                <w:sz w:val="24"/>
                <w:szCs w:val="24"/>
                <w:lang w:val="en-GB"/>
              </w:rPr>
              <w:t xml:space="preserve"> </w:t>
            </w:r>
          </w:p>
          <w:p w14:paraId="7A56D804"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color w:val="000000"/>
                <w:sz w:val="24"/>
                <w:szCs w:val="24"/>
                <w:lang w:val="en-GB"/>
              </w:rPr>
            </w:pPr>
          </w:p>
          <w:p w14:paraId="70AA01FE" w14:textId="7ED40C82"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Incorporate the policy to combat FGM into other health services, such as vaccination, prenatal consultations, and other public services, such as civil registry, </w:t>
            </w:r>
            <w:r w:rsidR="00E02B37" w:rsidRPr="00792AC5">
              <w:rPr>
                <w:rFonts w:ascii="Calibri" w:eastAsia="Times New Roman" w:hAnsi="Calibri" w:cs="Calibri"/>
                <w:color w:val="000000"/>
                <w:sz w:val="24"/>
                <w:szCs w:val="24"/>
                <w:lang w:val="en-GB"/>
              </w:rPr>
              <w:t>to</w:t>
            </w:r>
            <w:r w:rsidRPr="00792AC5">
              <w:rPr>
                <w:rFonts w:ascii="Calibri" w:eastAsia="Times New Roman" w:hAnsi="Calibri" w:cs="Calibri"/>
                <w:color w:val="000000"/>
                <w:sz w:val="24"/>
                <w:szCs w:val="24"/>
                <w:lang w:val="en-GB"/>
              </w:rPr>
              <w:t xml:space="preserve"> expand the capillarity of the coping network and the possibilities of identification. Ensure that protocols are in place with local social services for the exchange of information and appropriate referral to law enforcement and social services</w:t>
            </w:r>
            <w:r w:rsidR="00E02B37">
              <w:rPr>
                <w:rFonts w:ascii="Calibri" w:eastAsia="Times New Roman" w:hAnsi="Calibri" w:cs="Calibri"/>
                <w:color w:val="000000"/>
                <w:sz w:val="24"/>
                <w:szCs w:val="24"/>
                <w:lang w:val="en-GB"/>
              </w:rPr>
              <w:t>.</w:t>
            </w:r>
          </w:p>
          <w:p w14:paraId="451B66E2"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4746BE73" w14:textId="13106AFF"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Improve collaboration between health services and civil society to identify risks and refer victims</w:t>
            </w:r>
            <w:r w:rsidR="00E02B37">
              <w:rPr>
                <w:rFonts w:ascii="Calibri" w:eastAsia="Times New Roman" w:hAnsi="Calibri" w:cs="Calibri"/>
                <w:color w:val="000000"/>
                <w:sz w:val="24"/>
                <w:szCs w:val="24"/>
                <w:lang w:val="en-GB"/>
              </w:rPr>
              <w:t>.</w:t>
            </w:r>
          </w:p>
          <w:p w14:paraId="00050D29"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5CD68707" w14:textId="729A9A5A"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Improve and support the State's collaboration with civil society, </w:t>
            </w:r>
            <w:proofErr w:type="gramStart"/>
            <w:r w:rsidRPr="00792AC5">
              <w:rPr>
                <w:rFonts w:ascii="Calibri" w:eastAsia="Times New Roman" w:hAnsi="Calibri" w:cs="Calibri"/>
                <w:color w:val="000000"/>
                <w:sz w:val="24"/>
                <w:szCs w:val="24"/>
                <w:lang w:val="en-GB"/>
              </w:rPr>
              <w:t>in order to</w:t>
            </w:r>
            <w:proofErr w:type="gramEnd"/>
            <w:r w:rsidRPr="00792AC5">
              <w:rPr>
                <w:rFonts w:ascii="Calibri" w:eastAsia="Times New Roman" w:hAnsi="Calibri" w:cs="Calibri"/>
                <w:color w:val="000000"/>
                <w:sz w:val="24"/>
                <w:szCs w:val="24"/>
                <w:lang w:val="en-GB"/>
              </w:rPr>
              <w:t xml:space="preserve"> expand capillarity and access to information on cases</w:t>
            </w:r>
            <w:r w:rsidR="00E02B37">
              <w:rPr>
                <w:rFonts w:ascii="Calibri" w:eastAsia="Times New Roman" w:hAnsi="Calibri" w:cs="Calibri"/>
                <w:color w:val="000000"/>
                <w:sz w:val="24"/>
                <w:szCs w:val="24"/>
                <w:lang w:val="en-GB"/>
              </w:rPr>
              <w:t>.</w:t>
            </w:r>
          </w:p>
          <w:p w14:paraId="2D070D09"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color w:val="000000"/>
                <w:sz w:val="24"/>
                <w:szCs w:val="24"/>
                <w:lang w:val="en-GB"/>
              </w:rPr>
            </w:pPr>
          </w:p>
          <w:p w14:paraId="028BCC6B" w14:textId="0A94E4D7"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Create a mechanism for evaluating the implementation of the National Strategy for Quitting FGM that includes data on reporting and processing of cases; To date, these efforts have not been evaluated or implemented at scale</w:t>
            </w:r>
            <w:r w:rsidR="00E02B37">
              <w:rPr>
                <w:rFonts w:ascii="Calibri" w:eastAsia="Times New Roman" w:hAnsi="Calibri" w:cs="Calibri"/>
                <w:color w:val="000000"/>
                <w:sz w:val="24"/>
                <w:szCs w:val="24"/>
                <w:lang w:val="en-GB"/>
              </w:rPr>
              <w:t>.</w:t>
            </w:r>
          </w:p>
          <w:p w14:paraId="482DD68C"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218CA31D" w14:textId="0406AABE"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lastRenderedPageBreak/>
              <w:t>That any policy to combat FGM devote special attention and resources to women in rural areas</w:t>
            </w:r>
            <w:r w:rsidR="00E02B37">
              <w:rPr>
                <w:rFonts w:ascii="Calibri" w:eastAsia="Times New Roman" w:hAnsi="Calibri" w:cs="Calibri"/>
                <w:color w:val="000000"/>
                <w:sz w:val="24"/>
                <w:szCs w:val="24"/>
                <w:lang w:val="en-GB"/>
              </w:rPr>
              <w:t>.</w:t>
            </w:r>
          </w:p>
          <w:p w14:paraId="2B5A4962"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41BDF0C5" w14:textId="77777777" w:rsidR="001768E1" w:rsidRPr="00792AC5" w:rsidRDefault="001870D8">
            <w:pPr>
              <w:numPr>
                <w:ilvl w:val="0"/>
                <w:numId w:val="3"/>
              </w:numPr>
              <w:pBdr>
                <w:top w:val="nil"/>
                <w:left w:val="nil"/>
                <w:bottom w:val="nil"/>
                <w:right w:val="nil"/>
                <w:between w:val="nil"/>
              </w:pBdr>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Ensure the prohibition of FGM and marriage at the constitutional level. </w:t>
            </w:r>
          </w:p>
          <w:p w14:paraId="2ECA89F0" w14:textId="77777777" w:rsidR="001768E1" w:rsidRPr="00792AC5" w:rsidRDefault="001768E1">
            <w:pPr>
              <w:rPr>
                <w:rFonts w:ascii="Calibri" w:hAnsi="Calibri" w:cs="Calibri"/>
                <w:lang w:val="en-GB"/>
              </w:rPr>
            </w:pPr>
          </w:p>
        </w:tc>
      </w:tr>
    </w:tbl>
    <w:p w14:paraId="3342BB83" w14:textId="77777777" w:rsidR="001768E1" w:rsidRPr="00792AC5" w:rsidRDefault="001768E1">
      <w:pPr>
        <w:rPr>
          <w:rFonts w:ascii="Calibri" w:hAnsi="Calibri" w:cs="Calibri"/>
          <w:lang w:val="en-GB"/>
        </w:rPr>
      </w:pPr>
    </w:p>
    <w:p w14:paraId="222069D5" w14:textId="77777777" w:rsidR="001768E1" w:rsidRPr="00792AC5" w:rsidRDefault="001870D8">
      <w:pPr>
        <w:pStyle w:val="Ttulo2"/>
        <w:jc w:val="both"/>
        <w:rPr>
          <w:rFonts w:ascii="Calibri" w:hAnsi="Calibri" w:cs="Calibri"/>
          <w:color w:val="000000"/>
          <w:lang w:val="en-GB"/>
        </w:rPr>
      </w:pPr>
      <w:bookmarkStart w:id="16" w:name="_Toc198569894"/>
      <w:r w:rsidRPr="00792AC5">
        <w:rPr>
          <w:rFonts w:ascii="Calibri" w:hAnsi="Calibri" w:cs="Calibri"/>
          <w:color w:val="000000"/>
          <w:lang w:val="en-GB"/>
        </w:rPr>
        <w:t>2.4) Human trafficking and sexual exploitation of women and girls (Art. 6)</w:t>
      </w:r>
      <w:bookmarkEnd w:id="16"/>
      <w:r w:rsidRPr="00792AC5">
        <w:rPr>
          <w:rFonts w:ascii="Calibri" w:hAnsi="Calibri" w:cs="Calibri"/>
          <w:color w:val="000000"/>
          <w:lang w:val="en-GB"/>
        </w:rPr>
        <w:t xml:space="preserve"> </w:t>
      </w:r>
    </w:p>
    <w:p w14:paraId="5088D0AB"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1) Serious occurrence of sex tourism in the </w:t>
      </w:r>
      <w:proofErr w:type="spellStart"/>
      <w:r w:rsidRPr="00792AC5">
        <w:rPr>
          <w:rFonts w:ascii="Calibri" w:eastAsia="Times New Roman" w:hAnsi="Calibri" w:cs="Calibri"/>
          <w:b/>
          <w:sz w:val="24"/>
          <w:szCs w:val="24"/>
          <w:lang w:val="en-GB"/>
        </w:rPr>
        <w:t>Bijagós</w:t>
      </w:r>
      <w:proofErr w:type="spellEnd"/>
      <w:r w:rsidRPr="00792AC5">
        <w:rPr>
          <w:rFonts w:ascii="Calibri" w:eastAsia="Times New Roman" w:hAnsi="Calibri" w:cs="Calibri"/>
          <w:b/>
          <w:sz w:val="24"/>
          <w:szCs w:val="24"/>
          <w:lang w:val="en-GB"/>
        </w:rPr>
        <w:t xml:space="preserve"> Islands</w:t>
      </w:r>
      <w:r w:rsidRPr="00792AC5">
        <w:rPr>
          <w:rFonts w:ascii="Calibri" w:eastAsia="Times New Roman" w:hAnsi="Calibri" w:cs="Calibri"/>
          <w:vertAlign w:val="superscript"/>
          <w:lang w:val="en-GB"/>
        </w:rPr>
        <w:footnoteReference w:id="3"/>
      </w:r>
      <w:r w:rsidRPr="00792AC5">
        <w:rPr>
          <w:rFonts w:ascii="Calibri" w:eastAsia="Times New Roman" w:hAnsi="Calibri" w:cs="Calibri"/>
          <w:b/>
          <w:sz w:val="24"/>
          <w:szCs w:val="24"/>
          <w:lang w:val="en-GB"/>
        </w:rPr>
        <w:t xml:space="preserve">  </w:t>
      </w:r>
    </w:p>
    <w:p w14:paraId="2BBA041E" w14:textId="04DB13F6"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the </w:t>
      </w:r>
      <w:proofErr w:type="spellStart"/>
      <w:r w:rsidRPr="00792AC5">
        <w:rPr>
          <w:rFonts w:ascii="Calibri" w:eastAsia="Times New Roman" w:hAnsi="Calibri" w:cs="Calibri"/>
          <w:sz w:val="24"/>
          <w:szCs w:val="24"/>
          <w:lang w:val="en-GB"/>
        </w:rPr>
        <w:t>Bijagós</w:t>
      </w:r>
      <w:proofErr w:type="spellEnd"/>
      <w:r w:rsidRPr="00792AC5">
        <w:rPr>
          <w:rFonts w:ascii="Calibri" w:eastAsia="Times New Roman" w:hAnsi="Calibri" w:cs="Calibri"/>
          <w:sz w:val="24"/>
          <w:szCs w:val="24"/>
          <w:lang w:val="en-GB"/>
        </w:rPr>
        <w:t xml:space="preserve"> Islands, there are worrying records of sex tourism involving girls and women, with traffickers sexually exploiting girls between the ages of 13 and 17. Some hotel owners facilitate this exploration, and families may even encourage it due to financial hardship. The lack of birth records and impunity aggravate the situation. Despite the ban on unaccompanied girls entering hotels, sexual exploitation persists, and the government recognizes the problem, although there is a naturalization stance in addition to questions about the effectiveness of child protection measures.</w:t>
      </w:r>
    </w:p>
    <w:p w14:paraId="1A3CBE21"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2) Extreme Violence against Children in São Domingos</w:t>
      </w:r>
      <w:r w:rsidRPr="00792AC5">
        <w:rPr>
          <w:rFonts w:ascii="Calibri" w:eastAsia="Times New Roman" w:hAnsi="Calibri" w:cs="Calibri"/>
          <w:vertAlign w:val="superscript"/>
          <w:lang w:val="en-GB"/>
        </w:rPr>
        <w:footnoteReference w:id="4"/>
      </w:r>
      <w:r w:rsidRPr="00792AC5">
        <w:rPr>
          <w:rFonts w:ascii="Calibri" w:eastAsia="Times New Roman" w:hAnsi="Calibri" w:cs="Calibri"/>
          <w:b/>
          <w:sz w:val="24"/>
          <w:szCs w:val="24"/>
          <w:lang w:val="en-GB"/>
        </w:rPr>
        <w:t xml:space="preserve"> </w:t>
      </w:r>
    </w:p>
    <w:p w14:paraId="2756B98D"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March 2025, a six-year-old girl was found dead and dismembered in São Domingos, with organs removed. The Guinean Human Rights League suspects involvement in organ trafficking and has called for justice, and the case is being investigated by authorities. </w:t>
      </w:r>
    </w:p>
    <w:p w14:paraId="45192D97"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3) In May </w:t>
      </w:r>
      <w:r w:rsidRPr="00792AC5">
        <w:rPr>
          <w:rFonts w:ascii="Calibri" w:eastAsia="Times New Roman" w:hAnsi="Calibri" w:cs="Calibri"/>
          <w:sz w:val="24"/>
          <w:szCs w:val="24"/>
          <w:lang w:val="en-GB"/>
        </w:rPr>
        <w:t xml:space="preserve">2024, 57 people were detained - including seven women and a 14-year-old child and five alleged fundraisers - by the Judiciary Police after complaints from the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authorities. The police force specified that the arrests are associated with a human trafficking network.</w:t>
      </w:r>
      <w:r w:rsidRPr="00792AC5">
        <w:rPr>
          <w:rFonts w:ascii="Calibri" w:eastAsia="Times New Roman" w:hAnsi="Calibri" w:cs="Calibri"/>
          <w:sz w:val="24"/>
          <w:szCs w:val="24"/>
          <w:vertAlign w:val="superscript"/>
          <w:lang w:val="en-GB"/>
        </w:rPr>
        <w:footnoteReference w:id="5"/>
      </w:r>
      <w:r w:rsidRPr="00792AC5">
        <w:rPr>
          <w:rFonts w:ascii="Calibri" w:eastAsia="Times New Roman" w:hAnsi="Calibri" w:cs="Calibri"/>
          <w:sz w:val="24"/>
          <w:szCs w:val="24"/>
          <w:lang w:val="en-GB"/>
        </w:rPr>
        <w:t xml:space="preserve"> </w:t>
      </w:r>
    </w:p>
    <w:p w14:paraId="71F6CBC0"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4) Attention is drawn to the fact that child informal workers are more vulnerable to sexual exploitation  </w:t>
      </w:r>
    </w:p>
    <w:tbl>
      <w:tblPr>
        <w:tblStyle w:val="a5"/>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35D0C442" w14:textId="77777777">
        <w:tc>
          <w:tcPr>
            <w:tcW w:w="8494" w:type="dxa"/>
          </w:tcPr>
          <w:p w14:paraId="4D915539" w14:textId="77777777" w:rsidR="001768E1" w:rsidRPr="00792AC5" w:rsidRDefault="001870D8">
            <w:pPr>
              <w:spacing w:before="240" w:after="240" w:line="288" w:lineRule="auto"/>
              <w:jc w:val="both"/>
              <w:rPr>
                <w:rFonts w:ascii="Calibri" w:eastAsia="Times New Roman" w:hAnsi="Calibri" w:cs="Calibri"/>
                <w:b/>
                <w:sz w:val="24"/>
                <w:szCs w:val="24"/>
                <w:u w:val="single"/>
                <w:lang w:val="en-GB"/>
              </w:rPr>
            </w:pPr>
            <w:r w:rsidRPr="00792AC5">
              <w:rPr>
                <w:rFonts w:ascii="Calibri" w:eastAsia="Times New Roman" w:hAnsi="Calibri" w:cs="Calibri"/>
                <w:b/>
                <w:sz w:val="24"/>
                <w:szCs w:val="24"/>
                <w:u w:val="single"/>
                <w:lang w:val="en-GB"/>
              </w:rPr>
              <w:lastRenderedPageBreak/>
              <w:t xml:space="preserve">Visit of the UN Special Rapporteur on Trafficking in Persons in November 2024: Key Highlights and Points of Concern  </w:t>
            </w:r>
          </w:p>
          <w:p w14:paraId="5B7F3895" w14:textId="2D3F2361"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visit of the UN Special Rapporteur on trafficking in persons, Siobhán Mullally, to Guinea-Bissau in November 2024 highlighted significant concerns about the situation of girls and women in the country. During her mission, the Rapporteur emphasized that girls are particularly vulnerable to trafficking, being often exploited as domestic workers and subjected to sexual exploitation, that factors such as child poverty, food insecurity, and limited access to quality education increase the risks of trafficking, especially for girls in rural areas. In addition, </w:t>
            </w:r>
            <w:r w:rsidR="00850D27">
              <w:rPr>
                <w:rFonts w:ascii="Calibri" w:eastAsia="Times New Roman" w:hAnsi="Calibri" w:cs="Calibri"/>
                <w:sz w:val="24"/>
                <w:szCs w:val="24"/>
                <w:lang w:val="en-GB"/>
              </w:rPr>
              <w:t>she</w:t>
            </w:r>
            <w:r w:rsidRPr="00792AC5">
              <w:rPr>
                <w:rFonts w:ascii="Calibri" w:eastAsia="Times New Roman" w:hAnsi="Calibri" w:cs="Calibri"/>
                <w:sz w:val="24"/>
                <w:szCs w:val="24"/>
                <w:lang w:val="en-GB"/>
              </w:rPr>
              <w:t xml:space="preserve"> highlighted </w:t>
            </w:r>
            <w:proofErr w:type="gramStart"/>
            <w:r w:rsidRPr="00792AC5">
              <w:rPr>
                <w:rFonts w:ascii="Calibri" w:eastAsia="Times New Roman" w:hAnsi="Calibri" w:cs="Calibri"/>
                <w:sz w:val="24"/>
                <w:szCs w:val="24"/>
                <w:lang w:val="en-GB"/>
              </w:rPr>
              <w:t>that children</w:t>
            </w:r>
            <w:proofErr w:type="gramEnd"/>
            <w:r w:rsidRPr="00792AC5">
              <w:rPr>
                <w:rFonts w:ascii="Calibri" w:eastAsia="Times New Roman" w:hAnsi="Calibri" w:cs="Calibri"/>
                <w:sz w:val="24"/>
                <w:szCs w:val="24"/>
                <w:lang w:val="en-GB"/>
              </w:rPr>
              <w:t xml:space="preserve"> in street situations, involved in begging or street trading, are also at high risk of exploitation. </w:t>
            </w:r>
          </w:p>
          <w:p w14:paraId="3AAA93E8"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Special Rapporteur also specifically addressed the impact of gender inequality and discrimination on trafficking in women and girls, including forced marriage and sexual exploitation. It underscored </w:t>
            </w:r>
            <w:r w:rsidRPr="00792AC5">
              <w:rPr>
                <w:rFonts w:ascii="Calibri" w:eastAsia="Times New Roman" w:hAnsi="Calibri" w:cs="Calibri"/>
                <w:b/>
                <w:sz w:val="24"/>
                <w:szCs w:val="24"/>
                <w:lang w:val="en-GB"/>
              </w:rPr>
              <w:t>the urgent need for reforms in the criminal justice system, with a focus on gender sensitivity and a trauma-informed approach, to improve access to justice, especially in rural areas</w:t>
            </w:r>
            <w:r w:rsidRPr="00792AC5">
              <w:rPr>
                <w:rFonts w:ascii="Calibri" w:eastAsia="Times New Roman" w:hAnsi="Calibri" w:cs="Calibri"/>
                <w:sz w:val="24"/>
                <w:szCs w:val="24"/>
                <w:lang w:val="en-GB"/>
              </w:rPr>
              <w:t xml:space="preserve">. </w:t>
            </w:r>
            <w:r w:rsidRPr="00792AC5">
              <w:rPr>
                <w:rFonts w:ascii="Calibri" w:eastAsia="Times New Roman" w:hAnsi="Calibri" w:cs="Calibri"/>
                <w:b/>
                <w:sz w:val="24"/>
                <w:szCs w:val="24"/>
                <w:lang w:val="en-GB"/>
              </w:rPr>
              <w:t>Mullally stressed the importance of strengthening the protection of workers' rights in high-risk sectors such as domestic work, agriculture, fishing and mining, where women and girls face high risks of forced labour and sexual exploitation.</w:t>
            </w:r>
            <w:r w:rsidRPr="00792AC5">
              <w:rPr>
                <w:rFonts w:ascii="Calibri" w:eastAsia="Times New Roman" w:hAnsi="Calibri" w:cs="Calibri"/>
                <w:sz w:val="24"/>
                <w:szCs w:val="24"/>
                <w:lang w:val="en-GB"/>
              </w:rPr>
              <w:t xml:space="preserve"> She also highlighted the need to strengthen the capacity of civil society organizations, unions and lawyers to assist and advocate for victims. </w:t>
            </w:r>
          </w:p>
          <w:p w14:paraId="3CF8F4B6"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Despite efforts by the government of Guinea-Bissau, including the adoption of a new national strategic plan, Mullally noted that limited financial resources, fragile child protection systems, and widespread impunity continue to allow child trafficking to persist.</w:t>
            </w:r>
          </w:p>
        </w:tc>
      </w:tr>
    </w:tbl>
    <w:p w14:paraId="2505DF29" w14:textId="77777777" w:rsidR="001768E1" w:rsidRPr="00792AC5" w:rsidRDefault="001768E1">
      <w:pPr>
        <w:spacing w:before="240" w:after="240" w:line="288" w:lineRule="auto"/>
        <w:jc w:val="both"/>
        <w:rPr>
          <w:rFonts w:ascii="Calibri" w:eastAsia="Times New Roman" w:hAnsi="Calibri" w:cs="Calibri"/>
          <w:sz w:val="24"/>
          <w:szCs w:val="24"/>
          <w:lang w:val="en-GB"/>
        </w:rPr>
      </w:pPr>
    </w:p>
    <w:tbl>
      <w:tblPr>
        <w:tblStyle w:val="a6"/>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75800FCE" w14:textId="77777777">
        <w:tc>
          <w:tcPr>
            <w:tcW w:w="8494" w:type="dxa"/>
          </w:tcPr>
          <w:p w14:paraId="6D4EF0CC" w14:textId="77777777" w:rsidR="001768E1" w:rsidRPr="00792AC5" w:rsidRDefault="001870D8">
            <w:pPr>
              <w:jc w:val="both"/>
              <w:rPr>
                <w:rFonts w:ascii="Calibri" w:hAnsi="Calibri" w:cs="Calibri"/>
                <w:b/>
                <w:lang w:val="en-GB"/>
              </w:rPr>
            </w:pPr>
            <w:r w:rsidRPr="00792AC5">
              <w:rPr>
                <w:rFonts w:ascii="Calibri" w:hAnsi="Calibri" w:cs="Calibri"/>
                <w:b/>
                <w:lang w:val="en-GB"/>
              </w:rPr>
              <w:t xml:space="preserve"> </w:t>
            </w:r>
          </w:p>
          <w:p w14:paraId="0878B833"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1A3F3A32" w14:textId="4529C26C"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Strengthen, in line with SDG target 16.9, birth registration campaigns to ensure that all children are registered, allowing for greater collaboration with local communities to ensure the registration of children at birth through different mechanisms adapted to the local context, together with the civil registry office</w:t>
            </w:r>
            <w:r w:rsidR="00850D27">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06A85673" w14:textId="77777777" w:rsidR="001768E1" w:rsidRPr="00792AC5" w:rsidRDefault="001768E1">
            <w:pPr>
              <w:pBdr>
                <w:top w:val="nil"/>
                <w:left w:val="nil"/>
                <w:bottom w:val="nil"/>
                <w:right w:val="nil"/>
                <w:between w:val="nil"/>
              </w:pBdr>
              <w:spacing w:after="0" w:line="240" w:lineRule="auto"/>
              <w:ind w:left="783"/>
              <w:jc w:val="both"/>
              <w:rPr>
                <w:rFonts w:ascii="Calibri" w:eastAsia="Times New Roman" w:hAnsi="Calibri" w:cs="Calibri"/>
                <w:b/>
                <w:color w:val="000000"/>
                <w:sz w:val="24"/>
                <w:szCs w:val="24"/>
                <w:lang w:val="en-GB"/>
              </w:rPr>
            </w:pPr>
          </w:p>
          <w:p w14:paraId="03093BCB" w14:textId="216B9ECE"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 xml:space="preserve">In relation to sexual exploitation in tourism, implement current initiatives such as the National Code of Conduct for the protection of children from </w:t>
            </w:r>
            <w:r w:rsidRPr="00792AC5">
              <w:rPr>
                <w:rFonts w:ascii="Calibri" w:eastAsia="Times New Roman" w:hAnsi="Calibri" w:cs="Calibri"/>
                <w:color w:val="000000"/>
                <w:sz w:val="24"/>
                <w:szCs w:val="24"/>
                <w:lang w:val="en-GB"/>
              </w:rPr>
              <w:lastRenderedPageBreak/>
              <w:t>sexual abuse and exploitation in the tourism sector, establishing and developing agreements with the private sector in the hospitality industry and affected communities to implement and operationalize the Code of Conduct</w:t>
            </w:r>
            <w:r w:rsidR="00850D27">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lang w:val="en-GB"/>
              </w:rPr>
              <w:t xml:space="preserve"> </w:t>
            </w:r>
          </w:p>
          <w:p w14:paraId="14478F33"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184D50B4" w14:textId="19B1D4D2"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Expand the presence of health actors in rural regions and collaborate with civil society and international organizations to conduct trauma-informed, child-sensitive, and gender-responsive training to identify risk factors for all forms of trafficking. Ensure that protocols are in place with local social services for the exchange of information and appropriate referral to law enforcement and social services</w:t>
            </w:r>
            <w:r w:rsidR="00850D27">
              <w:rPr>
                <w:rFonts w:ascii="Calibri" w:eastAsia="Times New Roman" w:hAnsi="Calibri" w:cs="Calibri"/>
                <w:color w:val="000000"/>
                <w:sz w:val="24"/>
                <w:szCs w:val="24"/>
                <w:lang w:val="en-GB"/>
              </w:rPr>
              <w:t>.</w:t>
            </w:r>
          </w:p>
          <w:p w14:paraId="691DC435" w14:textId="77777777" w:rsidR="001768E1" w:rsidRPr="00792AC5" w:rsidRDefault="001768E1">
            <w:pPr>
              <w:pBdr>
                <w:top w:val="nil"/>
                <w:left w:val="nil"/>
                <w:bottom w:val="nil"/>
                <w:right w:val="nil"/>
                <w:between w:val="nil"/>
              </w:pBdr>
              <w:spacing w:after="0"/>
              <w:ind w:left="720"/>
              <w:rPr>
                <w:rFonts w:ascii="Calibri" w:eastAsia="Times New Roman" w:hAnsi="Calibri" w:cs="Calibri"/>
                <w:color w:val="000000"/>
                <w:sz w:val="24"/>
                <w:szCs w:val="24"/>
                <w:lang w:val="en-GB"/>
              </w:rPr>
            </w:pPr>
          </w:p>
          <w:p w14:paraId="35FD15A6" w14:textId="77777777" w:rsidR="001768E1" w:rsidRPr="00792AC5" w:rsidRDefault="001870D8">
            <w:pPr>
              <w:numPr>
                <w:ilvl w:val="0"/>
                <w:numId w:val="3"/>
              </w:numPr>
              <w:pBdr>
                <w:top w:val="nil"/>
                <w:left w:val="nil"/>
                <w:bottom w:val="nil"/>
                <w:right w:val="nil"/>
                <w:between w:val="nil"/>
              </w:pBdr>
              <w:spacing w:after="0" w:line="240" w:lineRule="auto"/>
              <w:jc w:val="both"/>
              <w:rPr>
                <w:rFonts w:ascii="Calibri" w:eastAsia="Times New Roman" w:hAnsi="Calibri" w:cs="Calibri"/>
                <w:b/>
                <w:color w:val="000000"/>
                <w:sz w:val="24"/>
                <w:szCs w:val="24"/>
                <w:lang w:val="en-GB"/>
              </w:rPr>
            </w:pPr>
            <w:r w:rsidRPr="00792AC5">
              <w:rPr>
                <w:rFonts w:ascii="Calibri" w:eastAsia="Times New Roman" w:hAnsi="Calibri" w:cs="Calibri"/>
                <w:color w:val="000000"/>
                <w:sz w:val="24"/>
                <w:szCs w:val="24"/>
                <w:lang w:val="en-GB"/>
              </w:rPr>
              <w:t xml:space="preserve">In collaboration with civil society and local community leaders, design, develop and implement awareness-raising campaigns tailored to the specific risks identified in each area/region, on issues such as children in forced begging, child marriage, exploitation in tourism, street vendors, as well as the use of technologies, including the risk of recruitment through fraudulent offers on social media.  </w:t>
            </w:r>
          </w:p>
          <w:p w14:paraId="49344677" w14:textId="77777777" w:rsidR="001768E1" w:rsidRPr="00792AC5" w:rsidRDefault="001768E1">
            <w:pPr>
              <w:spacing w:after="0" w:line="240" w:lineRule="auto"/>
              <w:jc w:val="both"/>
              <w:rPr>
                <w:rFonts w:ascii="Calibri" w:eastAsia="Times New Roman" w:hAnsi="Calibri" w:cs="Calibri"/>
                <w:b/>
                <w:sz w:val="24"/>
                <w:szCs w:val="24"/>
                <w:lang w:val="en-GB"/>
              </w:rPr>
            </w:pPr>
          </w:p>
        </w:tc>
      </w:tr>
    </w:tbl>
    <w:p w14:paraId="4CEB441A" w14:textId="77777777" w:rsidR="001768E1" w:rsidRPr="00792AC5" w:rsidRDefault="001768E1">
      <w:pPr>
        <w:pStyle w:val="Ttulo2"/>
        <w:rPr>
          <w:rFonts w:ascii="Calibri" w:hAnsi="Calibri" w:cs="Calibri"/>
          <w:color w:val="000000"/>
          <w:lang w:val="en-GB"/>
        </w:rPr>
      </w:pPr>
    </w:p>
    <w:p w14:paraId="78A0736E" w14:textId="49CEEBD8" w:rsidR="001768E1" w:rsidRPr="00792AC5" w:rsidRDefault="001870D8">
      <w:pPr>
        <w:pStyle w:val="Ttulo2"/>
        <w:rPr>
          <w:rFonts w:ascii="Calibri" w:hAnsi="Calibri" w:cs="Calibri"/>
          <w:color w:val="000000"/>
          <w:lang w:val="en-GB"/>
        </w:rPr>
      </w:pPr>
      <w:bookmarkStart w:id="17" w:name="_Toc198569895"/>
      <w:r w:rsidRPr="00792AC5">
        <w:rPr>
          <w:rFonts w:ascii="Calibri" w:hAnsi="Calibri" w:cs="Calibri"/>
          <w:color w:val="000000"/>
          <w:lang w:val="en-GB"/>
        </w:rPr>
        <w:t>2.5) Child marriage</w:t>
      </w:r>
      <w:bookmarkEnd w:id="17"/>
      <w:r w:rsidRPr="00792AC5">
        <w:rPr>
          <w:rFonts w:ascii="Calibri" w:hAnsi="Calibri" w:cs="Calibri"/>
          <w:color w:val="000000"/>
          <w:lang w:val="en-GB"/>
        </w:rPr>
        <w:t xml:space="preserve">  </w:t>
      </w:r>
    </w:p>
    <w:p w14:paraId="3E7948EF" w14:textId="563E30BD"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Child marriage is an alarming practice in Guinea-Bissau, especially in rural regions such as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Quinara</w:t>
      </w:r>
      <w:proofErr w:type="spellEnd"/>
      <w:r w:rsidRPr="00792AC5">
        <w:rPr>
          <w:rFonts w:ascii="Calibri" w:eastAsia="Times New Roman" w:hAnsi="Calibri" w:cs="Calibri"/>
          <w:sz w:val="24"/>
          <w:szCs w:val="24"/>
          <w:lang w:val="en-GB"/>
        </w:rPr>
        <w:t>. Approximately 26% of women between the ages of 20 and 24 were married before the age of 18, with peaks of up to 50% in some areas. These marriages often involve physical, psychological, and social violence, with extreme cases of girls being forced into marriage at night after being held tied up for several hours.</w:t>
      </w:r>
      <w:r w:rsidRPr="00792AC5">
        <w:rPr>
          <w:rFonts w:ascii="Calibri" w:eastAsia="Times New Roman" w:hAnsi="Calibri" w:cs="Calibri"/>
          <w:sz w:val="24"/>
          <w:szCs w:val="24"/>
          <w:vertAlign w:val="superscript"/>
          <w:lang w:val="en-GB"/>
        </w:rPr>
        <w:footnoteReference w:id="6"/>
      </w:r>
      <w:r w:rsidRPr="00792AC5">
        <w:rPr>
          <w:rFonts w:ascii="Calibri" w:eastAsia="Times New Roman" w:hAnsi="Calibri" w:cs="Calibri"/>
          <w:sz w:val="24"/>
          <w:szCs w:val="24"/>
          <w:lang w:val="en-GB"/>
        </w:rPr>
        <w:t xml:space="preserve"> </w:t>
      </w:r>
    </w:p>
    <w:p w14:paraId="4DEFC9F9"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2019, the MICS revealed that 25.7% of women between the ages of 20 and 24 were married before the age of 18, with 8.1% before the age of 15. Data from 2011 ("A portrait of violence against women in Guinea-Bissau" (2011) on violence rates between 2006 and 2010) indicate that the number of reports of forced marriage, especially in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exceeded cases of sexual violence, with the phenomenon being more prevalent in regions such as </w:t>
      </w:r>
      <w:proofErr w:type="spellStart"/>
      <w:r w:rsidRPr="00792AC5">
        <w:rPr>
          <w:rFonts w:ascii="Calibri" w:eastAsia="Times New Roman" w:hAnsi="Calibri" w:cs="Calibri"/>
          <w:sz w:val="24"/>
          <w:szCs w:val="24"/>
          <w:lang w:val="en-GB"/>
        </w:rPr>
        <w:t>Gabu</w:t>
      </w:r>
      <w:proofErr w:type="spellEnd"/>
      <w:r w:rsidRPr="00792AC5">
        <w:rPr>
          <w:rFonts w:ascii="Calibri" w:eastAsia="Times New Roman" w:hAnsi="Calibri" w:cs="Calibri"/>
          <w:sz w:val="24"/>
          <w:szCs w:val="24"/>
          <w:lang w:val="en-GB"/>
        </w:rPr>
        <w:t xml:space="preserve">, Bissau, </w:t>
      </w:r>
      <w:proofErr w:type="spellStart"/>
      <w:r w:rsidRPr="00792AC5">
        <w:rPr>
          <w:rFonts w:ascii="Calibri" w:eastAsia="Times New Roman" w:hAnsi="Calibri" w:cs="Calibri"/>
          <w:sz w:val="24"/>
          <w:szCs w:val="24"/>
          <w:lang w:val="en-GB"/>
        </w:rPr>
        <w:t>Oio</w:t>
      </w:r>
      <w:proofErr w:type="spellEnd"/>
      <w:r w:rsidRPr="00792AC5">
        <w:rPr>
          <w:rFonts w:ascii="Calibri" w:eastAsia="Times New Roman" w:hAnsi="Calibri" w:cs="Calibri"/>
          <w:sz w:val="24"/>
          <w:szCs w:val="24"/>
          <w:lang w:val="en-GB"/>
        </w:rPr>
        <w:t xml:space="preserve"> and </w:t>
      </w:r>
      <w:proofErr w:type="spellStart"/>
      <w:r w:rsidRPr="00792AC5">
        <w:rPr>
          <w:rFonts w:ascii="Calibri" w:eastAsia="Times New Roman" w:hAnsi="Calibri" w:cs="Calibri"/>
          <w:sz w:val="24"/>
          <w:szCs w:val="24"/>
          <w:lang w:val="en-GB"/>
        </w:rPr>
        <w:t>Bafatá</w:t>
      </w:r>
      <w:proofErr w:type="spellEnd"/>
      <w:r w:rsidRPr="00792AC5">
        <w:rPr>
          <w:rFonts w:ascii="Calibri" w:eastAsia="Times New Roman" w:hAnsi="Calibri" w:cs="Calibri"/>
          <w:sz w:val="24"/>
          <w:szCs w:val="24"/>
          <w:lang w:val="en-GB"/>
        </w:rPr>
        <w:t xml:space="preserve">. The increase in complaints may be related to the actions of local organizations and the greater sensitivity of the police. </w:t>
      </w:r>
    </w:p>
    <w:p w14:paraId="0324246F"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COVID-19 pandemic has further aggravated the situation, increasing the rates of early marriages due to school interruption, impoverishment of families, and setbacks in protection mechanisms.</w:t>
      </w:r>
      <w:r w:rsidRPr="00792AC5">
        <w:rPr>
          <w:rFonts w:ascii="Calibri" w:eastAsia="Times New Roman" w:hAnsi="Calibri" w:cs="Calibri"/>
          <w:sz w:val="24"/>
          <w:szCs w:val="24"/>
          <w:vertAlign w:val="superscript"/>
          <w:lang w:val="en-GB"/>
        </w:rPr>
        <w:footnoteReference w:id="7"/>
      </w:r>
      <w:r w:rsidRPr="00792AC5">
        <w:rPr>
          <w:rFonts w:ascii="Calibri" w:eastAsia="Times New Roman" w:hAnsi="Calibri" w:cs="Calibri"/>
          <w:sz w:val="24"/>
          <w:szCs w:val="24"/>
          <w:lang w:val="en-GB"/>
        </w:rPr>
        <w:t xml:space="preserve"> The consequences were serious: girls were removed from </w:t>
      </w:r>
      <w:r w:rsidRPr="00792AC5">
        <w:rPr>
          <w:rFonts w:ascii="Calibri" w:eastAsia="Times New Roman" w:hAnsi="Calibri" w:cs="Calibri"/>
          <w:sz w:val="24"/>
          <w:szCs w:val="24"/>
          <w:lang w:val="en-GB"/>
        </w:rPr>
        <w:lastRenderedPageBreak/>
        <w:t xml:space="preserve">school, exposed to risks of domestic violence, early pregnancy and economic dependence. </w:t>
      </w:r>
    </w:p>
    <w:p w14:paraId="1C967B09" w14:textId="33D65CEC"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National Report on the Beijing Platform for Action (2025), child marriage is closely linked to poverty, lack of education, and cultural norms that see it as a solution to economic hardship (para. 75). According to the document, the "</w:t>
      </w:r>
      <w:r w:rsidRPr="00792AC5">
        <w:rPr>
          <w:rFonts w:ascii="Calibri" w:eastAsia="Times New Roman" w:hAnsi="Calibri" w:cs="Calibri"/>
          <w:i/>
          <w:sz w:val="24"/>
          <w:szCs w:val="24"/>
          <w:lang w:val="en-GB"/>
        </w:rPr>
        <w:t>Government of Guinea-Bissau, with the support of civil society organizations, has identified and referred to assistance 75 child victims of forced begging and 24 child victims of forced marriage, including potential victims of trafficking in 2024</w:t>
      </w:r>
      <w:r w:rsidRPr="00792AC5">
        <w:rPr>
          <w:rFonts w:ascii="Calibri" w:eastAsia="Times New Roman" w:hAnsi="Calibri" w:cs="Calibri"/>
          <w:sz w:val="24"/>
          <w:szCs w:val="24"/>
          <w:lang w:val="en-GB"/>
        </w:rPr>
        <w:t>" (para. 113) and "</w:t>
      </w:r>
      <w:r w:rsidRPr="00792AC5">
        <w:rPr>
          <w:rFonts w:ascii="Calibri" w:eastAsia="Times New Roman" w:hAnsi="Calibri" w:cs="Calibri"/>
          <w:i/>
          <w:sz w:val="24"/>
          <w:szCs w:val="24"/>
          <w:lang w:val="en-GB"/>
        </w:rPr>
        <w:t xml:space="preserve">in the previous period, 158 victims of forced child </w:t>
      </w:r>
      <w:r w:rsidR="00296F0F" w:rsidRPr="00792AC5">
        <w:rPr>
          <w:rFonts w:ascii="Calibri" w:eastAsia="Times New Roman" w:hAnsi="Calibri" w:cs="Calibri"/>
          <w:i/>
          <w:sz w:val="24"/>
          <w:szCs w:val="24"/>
          <w:lang w:val="en-GB"/>
        </w:rPr>
        <w:t>labour</w:t>
      </w:r>
      <w:r w:rsidRPr="00792AC5">
        <w:rPr>
          <w:rFonts w:ascii="Calibri" w:eastAsia="Times New Roman" w:hAnsi="Calibri" w:cs="Calibri"/>
          <w:i/>
          <w:sz w:val="24"/>
          <w:szCs w:val="24"/>
          <w:lang w:val="en-GB"/>
        </w:rPr>
        <w:t xml:space="preserve"> and child beggars and 22 victims of forced marriage were identified"</w:t>
      </w:r>
      <w:r w:rsidRPr="00792AC5">
        <w:rPr>
          <w:rFonts w:ascii="Calibri" w:eastAsia="Times New Roman" w:hAnsi="Calibri" w:cs="Calibri"/>
          <w:sz w:val="24"/>
          <w:szCs w:val="24"/>
          <w:lang w:val="en-GB"/>
        </w:rPr>
        <w:t xml:space="preserve"> (para. 114).</w:t>
      </w:r>
    </w:p>
    <w:p w14:paraId="53FAD167"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Recently, at the end of her visit to the country, the UN Special Rapporteur on trafficking in persons also warned that forced marriage is one of the ways for the exploitation of girls in human trafficking contexts. In her press release, Mullally stated that girls are particularly exposed to the risk of being exploited as domestic workers, trafficked for the purpose of domestic servitude from rural to urban areas, and are at a high risk of sexual exploitation. He also mentioned that child poverty, food insecurity and limited access to quality education contribute to serious risks of child trafficking in Guinea-Bissau and highlighted that impunity and lack of accountability are serious threats to the country's efforts to combat human trafficking.</w:t>
      </w:r>
      <w:r w:rsidRPr="00792AC5">
        <w:rPr>
          <w:rFonts w:ascii="Calibri" w:eastAsia="Times New Roman" w:hAnsi="Calibri" w:cs="Calibri"/>
          <w:sz w:val="24"/>
          <w:szCs w:val="24"/>
          <w:vertAlign w:val="superscript"/>
          <w:lang w:val="en-GB"/>
        </w:rPr>
        <w:footnoteReference w:id="8"/>
      </w:r>
    </w:p>
    <w:p w14:paraId="584031AF"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In response to this serious scenario, organizations such as UNICEF and the National Network for the Fight Against Gender-Based Violence (RENLUV)</w:t>
      </w:r>
      <w:r w:rsidRPr="00792AC5">
        <w:rPr>
          <w:rFonts w:ascii="Calibri" w:eastAsia="Times New Roman" w:hAnsi="Calibri" w:cs="Calibri"/>
          <w:sz w:val="24"/>
          <w:szCs w:val="24"/>
          <w:vertAlign w:val="superscript"/>
          <w:lang w:val="en-GB"/>
        </w:rPr>
        <w:footnoteReference w:id="9"/>
      </w:r>
      <w:r w:rsidRPr="00792AC5">
        <w:rPr>
          <w:rFonts w:ascii="Calibri" w:eastAsia="Times New Roman" w:hAnsi="Calibri" w:cs="Calibri"/>
          <w:sz w:val="24"/>
          <w:szCs w:val="24"/>
          <w:lang w:val="en-GB"/>
        </w:rPr>
        <w:t xml:space="preserve"> have worked to sensitize communities, religious leaders, and families about the risks of early marriage. These actions include awareness campaigns, psychosocial support, and encouragement of education.  </w:t>
      </w:r>
    </w:p>
    <w:tbl>
      <w:tblPr>
        <w:tblStyle w:val="a7"/>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1B24B6D1" w14:textId="77777777">
        <w:tc>
          <w:tcPr>
            <w:tcW w:w="8494" w:type="dxa"/>
          </w:tcPr>
          <w:p w14:paraId="31BEFB8A" w14:textId="77777777" w:rsidR="001768E1" w:rsidRPr="00792AC5" w:rsidRDefault="001768E1">
            <w:pPr>
              <w:jc w:val="both"/>
              <w:rPr>
                <w:rFonts w:ascii="Calibri" w:eastAsia="Times New Roman" w:hAnsi="Calibri" w:cs="Calibri"/>
                <w:b/>
                <w:sz w:val="24"/>
                <w:szCs w:val="24"/>
                <w:lang w:val="en-GB"/>
              </w:rPr>
            </w:pPr>
          </w:p>
          <w:p w14:paraId="06C4A55E"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questions to be asked to the State: </w:t>
            </w:r>
          </w:p>
          <w:p w14:paraId="4108BE85" w14:textId="2EB5951D" w:rsidR="001768E1" w:rsidRPr="00792AC5" w:rsidRDefault="001870D8">
            <w:pPr>
              <w:numPr>
                <w:ilvl w:val="0"/>
                <w:numId w:val="1"/>
              </w:numPr>
              <w:pBdr>
                <w:top w:val="nil"/>
                <w:left w:val="nil"/>
                <w:bottom w:val="nil"/>
                <w:right w:val="nil"/>
                <w:between w:val="nil"/>
              </w:pBdr>
              <w:spacing w:after="160"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What is the procedure adopted by the State of Guinea-Bissau when it becomes aware of a case of forced marriage? What is the procedure when the case involves girls under 18 years of age? </w:t>
            </w:r>
          </w:p>
          <w:p w14:paraId="0781D713" w14:textId="77777777" w:rsidR="001768E1" w:rsidRPr="00792AC5" w:rsidRDefault="001768E1">
            <w:pPr>
              <w:rPr>
                <w:rFonts w:ascii="Calibri" w:eastAsia="Times New Roman" w:hAnsi="Calibri" w:cs="Calibri"/>
                <w:b/>
                <w:sz w:val="24"/>
                <w:szCs w:val="24"/>
                <w:lang w:val="en-GB"/>
              </w:rPr>
            </w:pPr>
          </w:p>
        </w:tc>
      </w:tr>
    </w:tbl>
    <w:p w14:paraId="3836CA83" w14:textId="77777777" w:rsidR="001768E1" w:rsidRPr="00792AC5" w:rsidRDefault="001870D8">
      <w:pPr>
        <w:rPr>
          <w:rFonts w:ascii="Calibri" w:hAnsi="Calibri" w:cs="Calibri"/>
          <w:lang w:val="en-GB"/>
        </w:rPr>
      </w:pPr>
      <w:r w:rsidRPr="00792AC5">
        <w:rPr>
          <w:rFonts w:ascii="Calibri" w:hAnsi="Calibri" w:cs="Calibri"/>
          <w:lang w:val="en-GB"/>
        </w:rPr>
        <w:t xml:space="preserve"> </w:t>
      </w:r>
    </w:p>
    <w:p w14:paraId="2903D244" w14:textId="77777777" w:rsidR="001768E1" w:rsidRPr="00792AC5" w:rsidRDefault="001870D8">
      <w:pPr>
        <w:pStyle w:val="Ttulo2"/>
        <w:jc w:val="both"/>
        <w:rPr>
          <w:rFonts w:ascii="Calibri" w:hAnsi="Calibri" w:cs="Calibri"/>
          <w:color w:val="000000"/>
          <w:lang w:val="en-GB"/>
        </w:rPr>
      </w:pPr>
      <w:bookmarkStart w:id="18" w:name="_Toc198569896"/>
      <w:r w:rsidRPr="00792AC5">
        <w:rPr>
          <w:rFonts w:ascii="Calibri" w:hAnsi="Calibri" w:cs="Calibri"/>
          <w:color w:val="000000"/>
          <w:lang w:val="en-GB"/>
        </w:rPr>
        <w:lastRenderedPageBreak/>
        <w:t>2.6) Lack of care for women's health (Art. 12): precariousness, negligence and violence</w:t>
      </w:r>
      <w:bookmarkEnd w:id="18"/>
      <w:r w:rsidRPr="00792AC5">
        <w:rPr>
          <w:rFonts w:ascii="Calibri" w:hAnsi="Calibri" w:cs="Calibri"/>
          <w:color w:val="000000"/>
          <w:lang w:val="en-GB"/>
        </w:rPr>
        <w:t xml:space="preserve">    </w:t>
      </w:r>
    </w:p>
    <w:p w14:paraId="12A649E8"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1. Low life expectancy at birth </w:t>
      </w:r>
    </w:p>
    <w:p w14:paraId="106DFC89"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first indicator that shows limited and precarious access to health services and policies and the right to health in Guinea-Bissau is the very low life expectancy at birth: 60.21 years for women and 56.31 years for men (National Institute of Statistics, 2022). In this sense, life expectancy is much more than a demographic indicator and expresses the degree of realization of basic social rights, such as health and basic sanitation, as well as a mirror of the lack of social justice. </w:t>
      </w:r>
    </w:p>
    <w:p w14:paraId="667DD089"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following are some of the practical aspects that corroborate the current precariousness of health services for pregnant and postpartum women. </w:t>
      </w:r>
    </w:p>
    <w:p w14:paraId="03B5FD87"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2. Lack of conditions in health services  </w:t>
      </w:r>
    </w:p>
    <w:p w14:paraId="77CBCAC7"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There is a lack of conditions for the work of medical teams and nurses in health units, especially in rural and island areas: lack of payment of wages, absence of equipment and hygiene. The generalized scenario of lack of conditions explains the occurrence of many strikes. The situation in the country is so precarious that it is very common for the population to move to the border with other countries, such as Senegal.  </w:t>
      </w:r>
    </w:p>
    <w:p w14:paraId="602F30F9" w14:textId="6D8CCD8C"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This precarious situation has specific and more serious impacts on groups in situations of greater vulnerability, such as women, especially pregnant women, and women with disabilities. </w:t>
      </w:r>
    </w:p>
    <w:p w14:paraId="0D76A3E4" w14:textId="77777777" w:rsidR="001768E1" w:rsidRPr="00792AC5" w:rsidRDefault="001870D8">
      <w:pPr>
        <w:spacing w:before="240" w:after="240" w:line="288" w:lineRule="auto"/>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3. Medical services for pregnant women and lack of right to family planning  </w:t>
      </w:r>
    </w:p>
    <w:p w14:paraId="1B7A16BB"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The maternal mortality rate in Guinea-Bissau is one of the highest in the world. Recent studies indicate that the maternal mortality rate in the country is estimated at </w:t>
      </w:r>
      <w:r w:rsidRPr="00792AC5">
        <w:rPr>
          <w:rFonts w:ascii="Calibri" w:eastAsia="Times New Roman" w:hAnsi="Calibri" w:cs="Calibri"/>
          <w:b/>
          <w:sz w:val="24"/>
          <w:szCs w:val="24"/>
          <w:lang w:val="en-GB"/>
        </w:rPr>
        <w:t>667 deaths per 100,000 live births</w:t>
      </w:r>
      <w:r w:rsidRPr="00792AC5">
        <w:rPr>
          <w:rFonts w:ascii="Calibri" w:eastAsia="Times New Roman" w:hAnsi="Calibri" w:cs="Calibri"/>
          <w:sz w:val="24"/>
          <w:szCs w:val="24"/>
          <w:lang w:val="en-GB"/>
        </w:rPr>
        <w:t>, according to UNICEF data. This rate is practically 10 times higher than the target established by the Sustainable Development Goals (SDGs), which is less than 70 deaths per 100,000 live births.</w:t>
      </w:r>
      <w:r w:rsidRPr="00792AC5">
        <w:rPr>
          <w:rFonts w:ascii="Calibri" w:eastAsia="Times New Roman" w:hAnsi="Calibri" w:cs="Calibri"/>
          <w:sz w:val="24"/>
          <w:szCs w:val="24"/>
          <w:vertAlign w:val="superscript"/>
          <w:lang w:val="en-GB"/>
        </w:rPr>
        <w:footnoteReference w:id="10"/>
      </w:r>
      <w:r w:rsidRPr="00792AC5">
        <w:rPr>
          <w:rFonts w:ascii="Calibri" w:eastAsia="Times New Roman" w:hAnsi="Calibri" w:cs="Calibri"/>
          <w:sz w:val="24"/>
          <w:szCs w:val="24"/>
          <w:lang w:val="en-GB"/>
        </w:rPr>
        <w:t xml:space="preserve"> </w:t>
      </w:r>
    </w:p>
    <w:p w14:paraId="35C6C08D"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Between 2018 and 2022, there was a reduction in the maternal mortality rate, from 746 to 548 deaths per 100,000 live births, according to UNFPA data. Despite this progress, Guinea-Bissau continues to face significant challenges </w:t>
      </w:r>
      <w:proofErr w:type="gramStart"/>
      <w:r w:rsidRPr="00792AC5">
        <w:rPr>
          <w:rFonts w:ascii="Calibri" w:eastAsia="Times New Roman" w:hAnsi="Calibri" w:cs="Calibri"/>
          <w:sz w:val="24"/>
          <w:szCs w:val="24"/>
          <w:lang w:val="en-GB"/>
        </w:rPr>
        <w:t>in the area of</w:t>
      </w:r>
      <w:proofErr w:type="gramEnd"/>
      <w:r w:rsidRPr="00792AC5">
        <w:rPr>
          <w:rFonts w:ascii="Calibri" w:eastAsia="Times New Roman" w:hAnsi="Calibri" w:cs="Calibri"/>
          <w:sz w:val="24"/>
          <w:szCs w:val="24"/>
          <w:lang w:val="en-GB"/>
        </w:rPr>
        <w:t xml:space="preserve"> maternal health. </w:t>
      </w:r>
    </w:p>
    <w:p w14:paraId="24D5B90A"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lastRenderedPageBreak/>
        <w:t xml:space="preserve">In its report, the State presented information on advances in the coverage of health services, however, there is no improvement in the quality and installed capacity. </w:t>
      </w:r>
    </w:p>
    <w:p w14:paraId="362889FA"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Prenatal, during, and postpartum care is very precarious. In regions that suffer from a lack of electricity, this problem affects health units, making it common for women to need to give birth by candlelight. </w:t>
      </w:r>
    </w:p>
    <w:p w14:paraId="4C421163"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Under pressure from their husbands, women cannot do family planning, they cannot decide on the number and spacing between children. This reality is in direct contradiction to the Beijing Plan of Action regarding women's bodily autonomy and universal access to sexual and reproductive health services that include family planning, among others. This reality is corroborated by an official document on the Implementation of the Beijing Declaration and Platform for Action (para. 21).   </w:t>
      </w:r>
    </w:p>
    <w:p w14:paraId="1DA1ED71" w14:textId="77777777" w:rsidR="001768E1" w:rsidRPr="00792AC5" w:rsidRDefault="001870D8">
      <w:pPr>
        <w:keepNext/>
        <w:spacing w:before="240" w:after="240" w:line="288" w:lineRule="auto"/>
        <w:rPr>
          <w:rFonts w:ascii="Calibri" w:eastAsia="Times New Roman" w:hAnsi="Calibri" w:cs="Calibri"/>
          <w:sz w:val="24"/>
          <w:szCs w:val="24"/>
          <w:lang w:val="en-GB"/>
        </w:rPr>
      </w:pPr>
      <w:r w:rsidRPr="00792AC5">
        <w:rPr>
          <w:rFonts w:ascii="Calibri" w:eastAsia="Times New Roman" w:hAnsi="Calibri" w:cs="Calibri"/>
          <w:b/>
          <w:sz w:val="24"/>
          <w:szCs w:val="24"/>
          <w:lang w:val="en-GB"/>
        </w:rPr>
        <w:t xml:space="preserve">4. Difficulties in accessing public health services </w:t>
      </w:r>
    </w:p>
    <w:p w14:paraId="681EBFCC"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The difficulties in accessing public health services are associated with a number of factors, such as: (</w:t>
      </w:r>
      <w:proofErr w:type="spellStart"/>
      <w:r w:rsidRPr="00792AC5">
        <w:rPr>
          <w:rFonts w:ascii="Calibri" w:eastAsia="Times New Roman" w:hAnsi="Calibri" w:cs="Calibri"/>
          <w:sz w:val="24"/>
          <w:szCs w:val="24"/>
          <w:lang w:val="en-GB"/>
        </w:rPr>
        <w:t>i</w:t>
      </w:r>
      <w:proofErr w:type="spellEnd"/>
      <w:r w:rsidRPr="00792AC5">
        <w:rPr>
          <w:rFonts w:ascii="Calibri" w:eastAsia="Times New Roman" w:hAnsi="Calibri" w:cs="Calibri"/>
          <w:sz w:val="24"/>
          <w:szCs w:val="24"/>
          <w:lang w:val="en-GB"/>
        </w:rPr>
        <w:t xml:space="preserve">) Illegal collection of fees: there is an illegal practice, however, very widespread in the public health network, of charging amounts to assist pregnant women and specifically at the time of childbirth; (ii) Many women do not have the resources to get to the health units and there is no transportation for pregnant women to access health services at the time of delivery, there are reports of women being taken by motorcycle at the time of giving birth; (iii) Men hinder women's access to health services, especially pregnant women. </w:t>
      </w:r>
    </w:p>
    <w:p w14:paraId="7EB0D457" w14:textId="77777777" w:rsidR="001768E1" w:rsidRPr="00792AC5" w:rsidRDefault="001870D8">
      <w:pPr>
        <w:spacing w:before="240" w:after="240" w:line="288" w:lineRule="auto"/>
        <w:rPr>
          <w:rFonts w:ascii="Calibri" w:eastAsia="Times New Roman" w:hAnsi="Calibri" w:cs="Calibri"/>
          <w:sz w:val="24"/>
          <w:szCs w:val="24"/>
          <w:lang w:val="en-GB"/>
        </w:rPr>
      </w:pPr>
      <w:r w:rsidRPr="00792AC5">
        <w:rPr>
          <w:rFonts w:ascii="Calibri" w:eastAsia="Times New Roman" w:hAnsi="Calibri" w:cs="Calibri"/>
          <w:sz w:val="24"/>
          <w:szCs w:val="24"/>
          <w:lang w:val="en-GB"/>
        </w:rPr>
        <w:t>The general context of poor conditions in hospitals reinforces a widely held understanding in society that leads people not to go to health units. Concrete measures to improve health services need to be accompanied by awareness programs on medical and hospital care.</w:t>
      </w:r>
    </w:p>
    <w:p w14:paraId="60CF08A3" w14:textId="77777777" w:rsidR="001768E1" w:rsidRPr="00792AC5" w:rsidRDefault="001870D8">
      <w:pPr>
        <w:spacing w:before="240" w:after="240" w:line="288" w:lineRule="auto"/>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5. Lack of menstrual dignity   </w:t>
      </w:r>
    </w:p>
    <w:p w14:paraId="018B38F3" w14:textId="6E296468" w:rsidR="001768E1"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Guinea Bissau, sanitary pads are very </w:t>
      </w:r>
      <w:r w:rsidR="00296F0F" w:rsidRPr="00792AC5">
        <w:rPr>
          <w:rFonts w:ascii="Calibri" w:eastAsia="Times New Roman" w:hAnsi="Calibri" w:cs="Calibri"/>
          <w:sz w:val="24"/>
          <w:szCs w:val="24"/>
          <w:lang w:val="en-GB"/>
        </w:rPr>
        <w:t>expensive,</w:t>
      </w:r>
      <w:r w:rsidRPr="00792AC5">
        <w:rPr>
          <w:rFonts w:ascii="Calibri" w:eastAsia="Times New Roman" w:hAnsi="Calibri" w:cs="Calibri"/>
          <w:sz w:val="24"/>
          <w:szCs w:val="24"/>
          <w:lang w:val="en-GB"/>
        </w:rPr>
        <w:t xml:space="preserve"> and many institutions do not have a toilet or suffer from a lack of access to water. In the conditions of (lack of) access to water and sanitation, described by the UN Special Rapporteur, it is imperative to recognize the lack of menstrual dignity for women, girls and young people in the country. </w:t>
      </w:r>
    </w:p>
    <w:p w14:paraId="5C623627" w14:textId="77777777" w:rsidR="00296F0F" w:rsidRPr="00792AC5" w:rsidRDefault="00296F0F">
      <w:pPr>
        <w:spacing w:before="240" w:after="240" w:line="288" w:lineRule="auto"/>
        <w:jc w:val="both"/>
        <w:rPr>
          <w:rFonts w:ascii="Calibri" w:eastAsia="Times New Roman" w:hAnsi="Calibri" w:cs="Calibri"/>
          <w:sz w:val="24"/>
          <w:szCs w:val="24"/>
          <w:lang w:val="en-GB"/>
        </w:rPr>
      </w:pPr>
    </w:p>
    <w:tbl>
      <w:tblPr>
        <w:tblStyle w:val="a8"/>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481895E3" w14:textId="77777777">
        <w:tc>
          <w:tcPr>
            <w:tcW w:w="8494" w:type="dxa"/>
          </w:tcPr>
          <w:p w14:paraId="55146CB0" w14:textId="77777777" w:rsidR="001768E1" w:rsidRPr="00792AC5" w:rsidRDefault="001870D8">
            <w:pPr>
              <w:spacing w:before="240" w:after="240" w:line="288" w:lineRule="auto"/>
              <w:jc w:val="both"/>
              <w:rPr>
                <w:rFonts w:ascii="Calibri" w:eastAsia="Times New Roman" w:hAnsi="Calibri" w:cs="Calibri"/>
                <w:b/>
                <w:sz w:val="24"/>
                <w:szCs w:val="24"/>
                <w:u w:val="single"/>
                <w:lang w:val="en-GB"/>
              </w:rPr>
            </w:pPr>
            <w:r w:rsidRPr="00792AC5">
              <w:rPr>
                <w:rFonts w:ascii="Calibri" w:eastAsia="Times New Roman" w:hAnsi="Calibri" w:cs="Calibri"/>
                <w:b/>
                <w:sz w:val="24"/>
                <w:szCs w:val="24"/>
                <w:u w:val="single"/>
                <w:lang w:val="en-GB"/>
              </w:rPr>
              <w:lastRenderedPageBreak/>
              <w:t xml:space="preserve">Visit of the UN Special Rapporteur on the human rights to safe drinking water and sanitation, Pedro Arrojo-Agudo, to Guinea Bissau from 10 to 19 March 2025 </w:t>
            </w:r>
          </w:p>
          <w:p w14:paraId="0B9A6E70" w14:textId="77777777"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In the statement made at the end of the visit, the Rapporteur highlighted the urgent need for the government to prioritize water and sanitation services to improve the lives of the population, especially women and children. </w:t>
            </w:r>
          </w:p>
          <w:p w14:paraId="3E8B7D1A" w14:textId="672B6E0C"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According to the Rapporteur, only 24% of the population has access to safely managed drinking water services, 15% have access to safely managed sanitation and 20% have hygiene facilities with soap at home. The lack of access to clean water and sanitation facilities also affects schools, health centres, hospitals and detention centres, facilitating the spread of diseases such as malaria. He stated that: "The lack of access to safe drinking water disproportionately affects the lives and health of women and children, who are usually responsible for collecting water" and noted having met "</w:t>
            </w:r>
            <w:r w:rsidRPr="00792AC5">
              <w:rPr>
                <w:rFonts w:ascii="Calibri" w:eastAsia="Times New Roman" w:hAnsi="Calibri" w:cs="Calibri"/>
                <w:i/>
                <w:sz w:val="24"/>
                <w:szCs w:val="24"/>
                <w:lang w:val="en-GB"/>
              </w:rPr>
              <w:t>women and girls who start queuing at 5 am to get water</w:t>
            </w:r>
            <w:r w:rsidRPr="00792AC5">
              <w:rPr>
                <w:rFonts w:ascii="Calibri" w:eastAsia="Times New Roman" w:hAnsi="Calibri" w:cs="Calibri"/>
                <w:sz w:val="24"/>
                <w:szCs w:val="24"/>
                <w:lang w:val="en-GB"/>
              </w:rPr>
              <w:t>".</w:t>
            </w:r>
          </w:p>
          <w:p w14:paraId="084B340D" w14:textId="450B80A2" w:rsidR="001768E1" w:rsidRPr="00792AC5" w:rsidRDefault="001870D8">
            <w:pPr>
              <w:spacing w:before="240" w:after="240" w:line="288" w:lineRule="auto"/>
              <w:jc w:val="both"/>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He emphasized that the priority of national funding for clean water and sanitation for all, without discrimination, is more important than ever and </w:t>
            </w:r>
            <w:r w:rsidRPr="00792AC5">
              <w:rPr>
                <w:rFonts w:ascii="Calibri" w:eastAsia="Times New Roman" w:hAnsi="Calibri" w:cs="Calibri"/>
                <w:b/>
                <w:sz w:val="24"/>
                <w:szCs w:val="24"/>
                <w:lang w:val="en-GB"/>
              </w:rPr>
              <w:t>recommended</w:t>
            </w:r>
            <w:r w:rsidRPr="00792AC5">
              <w:rPr>
                <w:rFonts w:ascii="Calibri" w:eastAsia="Times New Roman" w:hAnsi="Calibri" w:cs="Calibri"/>
                <w:sz w:val="24"/>
                <w:szCs w:val="24"/>
                <w:lang w:val="en-GB"/>
              </w:rPr>
              <w:t xml:space="preserve"> that the government carry out a public awareness campaign on the importance of water chlorination and provide the product free of charge; develop sanitation and waste collection systems to address issues related to water pollution; protect the country's aquifers.  </w:t>
            </w:r>
          </w:p>
        </w:tc>
      </w:tr>
    </w:tbl>
    <w:p w14:paraId="5D163CDC" w14:textId="77777777" w:rsidR="001768E1" w:rsidRPr="00792AC5" w:rsidRDefault="001870D8">
      <w:pPr>
        <w:spacing w:before="240" w:after="240" w:line="288" w:lineRule="auto"/>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6. Lack of access to medicines  </w:t>
      </w:r>
    </w:p>
    <w:p w14:paraId="3929A64E" w14:textId="77777777" w:rsidR="001768E1" w:rsidRPr="00792AC5" w:rsidRDefault="001870D8">
      <w:pPr>
        <w:spacing w:before="240" w:after="240" w:line="288" w:lineRule="auto"/>
        <w:rPr>
          <w:rFonts w:ascii="Calibri" w:eastAsia="Times New Roman" w:hAnsi="Calibri" w:cs="Calibri"/>
          <w:sz w:val="24"/>
          <w:szCs w:val="24"/>
          <w:lang w:val="en-GB"/>
        </w:rPr>
      </w:pPr>
      <w:r w:rsidRPr="00792AC5">
        <w:rPr>
          <w:rFonts w:ascii="Calibri" w:eastAsia="Times New Roman" w:hAnsi="Calibri" w:cs="Calibri"/>
          <w:sz w:val="24"/>
          <w:szCs w:val="24"/>
          <w:lang w:val="en-GB"/>
        </w:rPr>
        <w:t xml:space="preserve">Even in relation to those in which there is provision for free supply by the State, there is an illegal practice - however, widely disseminated - of irregular sale of medicines by personnel in health units. </w:t>
      </w:r>
    </w:p>
    <w:tbl>
      <w:tblPr>
        <w:tblStyle w:val="a9"/>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1768E1" w:rsidRPr="00B15ECD" w14:paraId="35950F58" w14:textId="77777777">
        <w:tc>
          <w:tcPr>
            <w:tcW w:w="8494" w:type="dxa"/>
          </w:tcPr>
          <w:p w14:paraId="1AF25F87" w14:textId="77777777" w:rsidR="001768E1" w:rsidRPr="00792AC5" w:rsidRDefault="001768E1">
            <w:pPr>
              <w:jc w:val="both"/>
              <w:rPr>
                <w:rFonts w:ascii="Calibri" w:eastAsia="Times New Roman" w:hAnsi="Calibri" w:cs="Calibri"/>
                <w:b/>
                <w:sz w:val="24"/>
                <w:szCs w:val="24"/>
                <w:lang w:val="en-GB"/>
              </w:rPr>
            </w:pPr>
          </w:p>
          <w:p w14:paraId="5F4777F6" w14:textId="77777777" w:rsidR="001768E1" w:rsidRPr="00792AC5" w:rsidRDefault="001870D8">
            <w:pPr>
              <w:jc w:val="both"/>
              <w:rPr>
                <w:rFonts w:ascii="Calibri" w:eastAsia="Times New Roman" w:hAnsi="Calibri" w:cs="Calibri"/>
                <w:b/>
                <w:sz w:val="24"/>
                <w:szCs w:val="24"/>
                <w:lang w:val="en-GB"/>
              </w:rPr>
            </w:pPr>
            <w:r w:rsidRPr="00792AC5">
              <w:rPr>
                <w:rFonts w:ascii="Calibri" w:eastAsia="Times New Roman" w:hAnsi="Calibri" w:cs="Calibri"/>
                <w:b/>
                <w:sz w:val="24"/>
                <w:szCs w:val="24"/>
                <w:lang w:val="en-GB"/>
              </w:rPr>
              <w:t xml:space="preserve">Suggestions for recommendations to be made to the State: </w:t>
            </w:r>
          </w:p>
          <w:p w14:paraId="53D201DE"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3A9E71E6" w14:textId="51ABF571" w:rsidR="001768E1" w:rsidRPr="00792AC5" w:rsidRDefault="001870D8">
            <w:pPr>
              <w:numPr>
                <w:ilvl w:val="0"/>
                <w:numId w:val="1"/>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Improve the country's health infrastructure </w:t>
            </w:r>
            <w:proofErr w:type="gramStart"/>
            <w:r w:rsidRPr="00792AC5">
              <w:rPr>
                <w:rFonts w:ascii="Calibri" w:eastAsia="Times New Roman" w:hAnsi="Calibri" w:cs="Calibri"/>
                <w:color w:val="000000"/>
                <w:sz w:val="24"/>
                <w:szCs w:val="24"/>
                <w:lang w:val="en-GB"/>
              </w:rPr>
              <w:t>in order to</w:t>
            </w:r>
            <w:proofErr w:type="gramEnd"/>
            <w:r w:rsidRPr="00792AC5">
              <w:rPr>
                <w:rFonts w:ascii="Calibri" w:eastAsia="Times New Roman" w:hAnsi="Calibri" w:cs="Calibri"/>
                <w:color w:val="000000"/>
                <w:sz w:val="24"/>
                <w:szCs w:val="24"/>
                <w:lang w:val="en-GB"/>
              </w:rPr>
              <w:t xml:space="preserve"> ensure women's access to health care and services, including sexual and reproductive health and related information, especially in rural areas</w:t>
            </w:r>
            <w:r w:rsidR="00296F0F">
              <w:rPr>
                <w:rFonts w:ascii="Calibri" w:eastAsia="Times New Roman" w:hAnsi="Calibri" w:cs="Calibri"/>
                <w:color w:val="000000"/>
                <w:sz w:val="24"/>
                <w:szCs w:val="24"/>
                <w:lang w:val="en-GB"/>
              </w:rPr>
              <w:t>.</w:t>
            </w:r>
          </w:p>
          <w:p w14:paraId="6B844CA2"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4D7CD903" w14:textId="150380C6" w:rsidR="001768E1" w:rsidRPr="00792AC5" w:rsidRDefault="001870D8">
            <w:pPr>
              <w:numPr>
                <w:ilvl w:val="0"/>
                <w:numId w:val="1"/>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Intensify efforts to reduce the incidence of maternal mortality and early pregnancy, and to improve the availability of sexual and reproductive health services, including family planning and sexuality education information and services, as well as access to free antenatal, postnatal and obstetric services</w:t>
            </w:r>
            <w:r w:rsidR="00296F0F">
              <w:rPr>
                <w:rFonts w:ascii="Calibri" w:eastAsia="Times New Roman" w:hAnsi="Calibri" w:cs="Calibri"/>
                <w:color w:val="000000"/>
                <w:sz w:val="24"/>
                <w:szCs w:val="24"/>
                <w:lang w:val="en-GB"/>
              </w:rPr>
              <w:t>.</w:t>
            </w:r>
            <w:r w:rsidRPr="00792AC5">
              <w:rPr>
                <w:rFonts w:ascii="Calibri" w:eastAsia="Times New Roman" w:hAnsi="Calibri" w:cs="Calibri"/>
                <w:color w:val="000000"/>
                <w:sz w:val="24"/>
                <w:szCs w:val="24"/>
                <w:u w:val="single"/>
                <w:lang w:val="en-GB"/>
              </w:rPr>
              <w:t xml:space="preserve"> </w:t>
            </w:r>
          </w:p>
          <w:p w14:paraId="499E332A" w14:textId="77777777" w:rsidR="001768E1" w:rsidRPr="00792AC5" w:rsidRDefault="001768E1">
            <w:pPr>
              <w:pBdr>
                <w:top w:val="nil"/>
                <w:left w:val="nil"/>
                <w:bottom w:val="nil"/>
                <w:right w:val="nil"/>
                <w:between w:val="nil"/>
              </w:pBdr>
              <w:spacing w:line="259" w:lineRule="auto"/>
              <w:ind w:left="783"/>
              <w:jc w:val="both"/>
              <w:rPr>
                <w:rFonts w:ascii="Calibri" w:eastAsia="Times New Roman" w:hAnsi="Calibri" w:cs="Calibri"/>
                <w:color w:val="000000"/>
                <w:sz w:val="24"/>
                <w:szCs w:val="24"/>
                <w:lang w:val="en-GB"/>
              </w:rPr>
            </w:pPr>
          </w:p>
          <w:p w14:paraId="551D9B63" w14:textId="5BB1A9BB" w:rsidR="001768E1" w:rsidRPr="00792AC5" w:rsidRDefault="001870D8">
            <w:pPr>
              <w:numPr>
                <w:ilvl w:val="0"/>
                <w:numId w:val="1"/>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lastRenderedPageBreak/>
              <w:t>Integrate a gender perspective into all health sector programmes and policies. The Committee recommends that the State Party</w:t>
            </w:r>
            <w:r w:rsidR="00296F0F">
              <w:rPr>
                <w:rFonts w:ascii="Calibri" w:eastAsia="Times New Roman" w:hAnsi="Calibri" w:cs="Calibri"/>
                <w:color w:val="000000"/>
                <w:sz w:val="24"/>
                <w:szCs w:val="24"/>
                <w:lang w:val="en-GB"/>
              </w:rPr>
              <w:t>.</w:t>
            </w:r>
          </w:p>
          <w:p w14:paraId="6BDF0997" w14:textId="77777777" w:rsidR="001768E1" w:rsidRPr="00792AC5" w:rsidRDefault="001768E1">
            <w:pPr>
              <w:pBdr>
                <w:top w:val="nil"/>
                <w:left w:val="nil"/>
                <w:bottom w:val="nil"/>
                <w:right w:val="nil"/>
                <w:between w:val="nil"/>
              </w:pBdr>
              <w:spacing w:line="259" w:lineRule="auto"/>
              <w:ind w:left="720"/>
              <w:rPr>
                <w:rFonts w:ascii="Calibri" w:eastAsia="Times New Roman" w:hAnsi="Calibri" w:cs="Calibri"/>
                <w:color w:val="000000"/>
                <w:sz w:val="24"/>
                <w:szCs w:val="24"/>
                <w:lang w:val="en-GB"/>
              </w:rPr>
            </w:pPr>
          </w:p>
          <w:p w14:paraId="667FE3E2" w14:textId="77777777" w:rsidR="001768E1" w:rsidRPr="00792AC5" w:rsidRDefault="001870D8">
            <w:pPr>
              <w:numPr>
                <w:ilvl w:val="0"/>
                <w:numId w:val="1"/>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Strengthen work with community leaders and health workers to eliminate female genital mutilation and early marriage. </w:t>
            </w:r>
          </w:p>
          <w:p w14:paraId="53564305" w14:textId="77777777" w:rsidR="001768E1" w:rsidRPr="00792AC5" w:rsidRDefault="001768E1">
            <w:pPr>
              <w:pBdr>
                <w:top w:val="nil"/>
                <w:left w:val="nil"/>
                <w:bottom w:val="nil"/>
                <w:right w:val="nil"/>
                <w:between w:val="nil"/>
              </w:pBdr>
              <w:spacing w:line="259" w:lineRule="auto"/>
              <w:ind w:left="720"/>
              <w:rPr>
                <w:rFonts w:ascii="Calibri" w:eastAsia="Times New Roman" w:hAnsi="Calibri" w:cs="Calibri"/>
                <w:color w:val="000000"/>
                <w:sz w:val="24"/>
                <w:szCs w:val="24"/>
                <w:lang w:val="en-GB"/>
              </w:rPr>
            </w:pPr>
          </w:p>
          <w:p w14:paraId="2F560291" w14:textId="77777777" w:rsidR="001768E1" w:rsidRPr="00792AC5" w:rsidRDefault="001870D8">
            <w:pPr>
              <w:numPr>
                <w:ilvl w:val="0"/>
                <w:numId w:val="1"/>
              </w:numPr>
              <w:pBdr>
                <w:top w:val="nil"/>
                <w:left w:val="nil"/>
                <w:bottom w:val="nil"/>
                <w:right w:val="nil"/>
                <w:between w:val="nil"/>
              </w:pBdr>
              <w:spacing w:line="259" w:lineRule="auto"/>
              <w:jc w:val="both"/>
              <w:rPr>
                <w:rFonts w:ascii="Calibri" w:eastAsia="Times New Roman" w:hAnsi="Calibri" w:cs="Calibri"/>
                <w:color w:val="000000"/>
                <w:sz w:val="24"/>
                <w:szCs w:val="24"/>
                <w:lang w:val="en-GB"/>
              </w:rPr>
            </w:pPr>
            <w:r w:rsidRPr="00792AC5">
              <w:rPr>
                <w:rFonts w:ascii="Calibri" w:eastAsia="Times New Roman" w:hAnsi="Calibri" w:cs="Calibri"/>
                <w:color w:val="000000"/>
                <w:sz w:val="24"/>
                <w:szCs w:val="24"/>
                <w:lang w:val="en-GB"/>
              </w:rPr>
              <w:t xml:space="preserve">Implementation of a National Program on Menstrual Hygiene and Dignity. </w:t>
            </w:r>
          </w:p>
          <w:p w14:paraId="11AD2FCC" w14:textId="77777777" w:rsidR="001768E1" w:rsidRPr="00792AC5" w:rsidRDefault="001768E1">
            <w:pPr>
              <w:pBdr>
                <w:top w:val="nil"/>
                <w:left w:val="nil"/>
                <w:bottom w:val="nil"/>
                <w:right w:val="nil"/>
                <w:between w:val="nil"/>
              </w:pBdr>
              <w:spacing w:after="160" w:line="259" w:lineRule="auto"/>
              <w:ind w:left="783"/>
              <w:jc w:val="both"/>
              <w:rPr>
                <w:rFonts w:ascii="Calibri" w:eastAsia="Times New Roman" w:hAnsi="Calibri" w:cs="Calibri"/>
                <w:color w:val="000000"/>
                <w:sz w:val="24"/>
                <w:szCs w:val="24"/>
                <w:lang w:val="en-GB"/>
              </w:rPr>
            </w:pPr>
          </w:p>
          <w:p w14:paraId="3C0F64A6" w14:textId="77777777" w:rsidR="001768E1" w:rsidRPr="00792AC5" w:rsidRDefault="001768E1">
            <w:pPr>
              <w:rPr>
                <w:rFonts w:ascii="Calibri" w:hAnsi="Calibri" w:cs="Calibri"/>
                <w:lang w:val="en-GB"/>
              </w:rPr>
            </w:pPr>
          </w:p>
        </w:tc>
      </w:tr>
    </w:tbl>
    <w:p w14:paraId="327A710C" w14:textId="77777777" w:rsidR="001768E1" w:rsidRPr="00792AC5" w:rsidRDefault="001768E1">
      <w:pPr>
        <w:rPr>
          <w:rFonts w:ascii="Calibri" w:hAnsi="Calibri" w:cs="Calibri"/>
          <w:lang w:val="en-GB"/>
        </w:rPr>
      </w:pPr>
    </w:p>
    <w:p w14:paraId="1E4F972D" w14:textId="7BA27630" w:rsidR="001768E1" w:rsidRPr="00792AC5" w:rsidRDefault="001768E1">
      <w:pPr>
        <w:rPr>
          <w:rFonts w:ascii="Calibri" w:hAnsi="Calibri" w:cs="Calibri"/>
          <w:lang w:val="en-GB"/>
        </w:rPr>
      </w:pPr>
    </w:p>
    <w:sectPr w:rsidR="001768E1" w:rsidRPr="00792AC5">
      <w:foot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BB1E" w14:textId="77777777" w:rsidR="0062473D" w:rsidRDefault="0062473D">
      <w:pPr>
        <w:spacing w:after="0" w:line="240" w:lineRule="auto"/>
      </w:pPr>
      <w:r>
        <w:separator/>
      </w:r>
    </w:p>
  </w:endnote>
  <w:endnote w:type="continuationSeparator" w:id="0">
    <w:p w14:paraId="11A1C9FA" w14:textId="77777777" w:rsidR="0062473D" w:rsidRDefault="00624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7D907DCA-49FB-41CA-B94C-C23DCE765CFA}"/>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103E68C8-5E30-489A-A670-1728E9829E6A}"/>
    <w:embedBold r:id="rId3" w:fontKey="{673BAED3-A889-48E2-8149-DB6CB62F0E23}"/>
    <w:embedItalic r:id="rId4" w:fontKey="{00ECD6BB-AB95-44C2-8508-FC839124854A}"/>
  </w:font>
  <w:font w:name="Aptos Display">
    <w:charset w:val="00"/>
    <w:family w:val="swiss"/>
    <w:pitch w:val="variable"/>
    <w:sig w:usb0="20000287" w:usb1="00000003" w:usb2="00000000" w:usb3="00000000" w:csb0="0000019F" w:csb1="00000000"/>
    <w:embedRegular r:id="rId5" w:fontKey="{58B4112B-B0AA-44C3-AC0C-DF067AB6A5F3}"/>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embedRegular r:id="rId6" w:fontKey="{472AEF56-B781-4B1D-9B6D-AAA8FF7728F2}"/>
    <w:embedBold r:id="rId7" w:fontKey="{CFC727DD-71DE-4C8F-99DD-675E52475CD2}"/>
    <w:embedItalic r:id="rId8" w:fontKey="{11B2AF00-112E-445B-BE37-4EAD938EEB7F}"/>
  </w:font>
  <w:font w:name="Play">
    <w:charset w:val="00"/>
    <w:family w:val="auto"/>
    <w:pitch w:val="default"/>
    <w:embedRegular r:id="rId9" w:fontKey="{32AFCF5C-81FE-4AE1-A532-BFA3A3978389}"/>
    <w:embedBold r:id="rId10" w:fontKey="{C42214CE-DCBC-497B-A534-86EBD09AE936}"/>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0C0BC" w14:textId="77777777" w:rsidR="001768E1" w:rsidRDefault="001870D8">
    <w:pPr>
      <w:pBdr>
        <w:top w:val="nil"/>
        <w:left w:val="nil"/>
        <w:bottom w:val="nil"/>
        <w:right w:val="nil"/>
        <w:between w:val="nil"/>
      </w:pBdr>
      <w:tabs>
        <w:tab w:val="center" w:pos="4252"/>
        <w:tab w:val="right" w:pos="8504"/>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369F0">
      <w:rPr>
        <w:noProof/>
        <w:color w:val="000000"/>
      </w:rPr>
      <w:t>1</w:t>
    </w:r>
    <w:r>
      <w:rPr>
        <w:color w:val="000000"/>
      </w:rPr>
      <w:fldChar w:fldCharType="end"/>
    </w:r>
  </w:p>
  <w:p w14:paraId="6EBE9D99" w14:textId="77777777" w:rsidR="001768E1" w:rsidRDefault="001768E1">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EF8A6" w14:textId="77777777" w:rsidR="0062473D" w:rsidRDefault="0062473D">
      <w:pPr>
        <w:spacing w:after="0" w:line="240" w:lineRule="auto"/>
      </w:pPr>
      <w:r>
        <w:separator/>
      </w:r>
    </w:p>
  </w:footnote>
  <w:footnote w:type="continuationSeparator" w:id="0">
    <w:p w14:paraId="42A3D4C0" w14:textId="77777777" w:rsidR="0062473D" w:rsidRDefault="0062473D">
      <w:pPr>
        <w:spacing w:after="0" w:line="240" w:lineRule="auto"/>
      </w:pPr>
      <w:r>
        <w:continuationSeparator/>
      </w:r>
    </w:p>
  </w:footnote>
  <w:footnote w:id="1">
    <w:p w14:paraId="0548D476" w14:textId="77777777" w:rsidR="001768E1" w:rsidRPr="00F50388" w:rsidRDefault="001870D8" w:rsidP="00F50388">
      <w:pPr>
        <w:pBdr>
          <w:top w:val="nil"/>
          <w:left w:val="nil"/>
          <w:bottom w:val="nil"/>
          <w:right w:val="nil"/>
          <w:between w:val="nil"/>
        </w:pBdr>
        <w:spacing w:after="0" w:line="240" w:lineRule="auto"/>
        <w:rPr>
          <w:rFonts w:ascii="Calibri" w:hAnsi="Calibri" w:cs="Calibri"/>
          <w:color w:val="000000"/>
          <w:sz w:val="20"/>
          <w:szCs w:val="20"/>
        </w:rPr>
      </w:pPr>
      <w:r w:rsidRPr="00F50388">
        <w:rPr>
          <w:rFonts w:ascii="Calibri" w:hAnsi="Calibri" w:cs="Calibri"/>
          <w:vertAlign w:val="superscript"/>
        </w:rPr>
        <w:footnoteRef/>
      </w:r>
      <w:r w:rsidRPr="00F50388">
        <w:rPr>
          <w:rFonts w:ascii="Calibri" w:eastAsia="Calibri" w:hAnsi="Calibri" w:cs="Calibri"/>
          <w:color w:val="000000"/>
          <w:sz w:val="20"/>
          <w:szCs w:val="20"/>
        </w:rPr>
        <w:t xml:space="preserve"> </w:t>
      </w:r>
      <w:hyperlink r:id="rId1">
        <w:r w:rsidR="001768E1" w:rsidRPr="00F50388">
          <w:rPr>
            <w:rFonts w:ascii="Calibri" w:eastAsia="Calibri" w:hAnsi="Calibri" w:cs="Calibri"/>
            <w:color w:val="467886"/>
            <w:sz w:val="20"/>
            <w:szCs w:val="20"/>
            <w:u w:val="single"/>
          </w:rPr>
          <w:t>https://observador.pt/2024/04/03/sociedade-civil-guineense-denuncia-aumento-de-casos-de-feminicidio-no-pais/</w:t>
        </w:r>
      </w:hyperlink>
      <w:r w:rsidRPr="00F50388">
        <w:rPr>
          <w:rFonts w:ascii="Calibri" w:eastAsia="Calibri" w:hAnsi="Calibri" w:cs="Calibri"/>
          <w:color w:val="000000"/>
          <w:sz w:val="20"/>
          <w:szCs w:val="20"/>
        </w:rPr>
        <w:t xml:space="preserve">; </w:t>
      </w:r>
      <w:hyperlink r:id="rId2">
        <w:r w:rsidR="001768E1" w:rsidRPr="00F50388">
          <w:rPr>
            <w:rFonts w:ascii="Calibri" w:eastAsia="Calibri" w:hAnsi="Calibri" w:cs="Calibri"/>
            <w:color w:val="467886"/>
            <w:sz w:val="20"/>
            <w:szCs w:val="20"/>
            <w:u w:val="single"/>
          </w:rPr>
          <w:t>https://www.voaportugues.com/a/vig%C3%ADlia-pede-criminaliza%C3%A7%C3%A3o-do-feminic%C3%ADdio-na-guin%C3%A9-bissau/7556169.html?utm_source=chatgpt.com</w:t>
        </w:r>
      </w:hyperlink>
      <w:r w:rsidRPr="00F50388">
        <w:rPr>
          <w:rFonts w:ascii="Calibri" w:eastAsia="Calibri" w:hAnsi="Calibri" w:cs="Calibri"/>
          <w:color w:val="000000"/>
          <w:sz w:val="20"/>
          <w:szCs w:val="20"/>
        </w:rPr>
        <w:t xml:space="preserve">; </w:t>
      </w:r>
      <w:hyperlink r:id="rId3">
        <w:r w:rsidR="001768E1" w:rsidRPr="00F50388">
          <w:rPr>
            <w:rFonts w:ascii="Calibri" w:eastAsia="Calibri" w:hAnsi="Calibri" w:cs="Calibri"/>
            <w:color w:val="467886"/>
            <w:sz w:val="20"/>
            <w:szCs w:val="20"/>
            <w:u w:val="single"/>
          </w:rPr>
          <w:t>https://www.voaportugues.com/a/7503975.html</w:t>
        </w:r>
      </w:hyperlink>
      <w:r w:rsidRPr="00F50388">
        <w:rPr>
          <w:rFonts w:ascii="Calibri" w:eastAsia="Calibri" w:hAnsi="Calibri" w:cs="Calibri"/>
          <w:color w:val="000000"/>
          <w:sz w:val="20"/>
          <w:szCs w:val="20"/>
        </w:rPr>
        <w:t xml:space="preserve">; </w:t>
      </w:r>
      <w:hyperlink r:id="rId4">
        <w:r w:rsidR="001768E1" w:rsidRPr="00F50388">
          <w:rPr>
            <w:rFonts w:ascii="Calibri" w:eastAsia="Calibri" w:hAnsi="Calibri" w:cs="Calibri"/>
            <w:color w:val="467886"/>
            <w:sz w:val="20"/>
            <w:szCs w:val="20"/>
            <w:u w:val="single"/>
          </w:rPr>
          <w:t>https://fronteiraeconomica.com.br/vozes-silenciadas-observatorio-de-direitos-humanos-revela-a-realidade-dos-feminicidios-na-guine-bissau/</w:t>
        </w:r>
      </w:hyperlink>
      <w:r w:rsidRPr="00F50388">
        <w:rPr>
          <w:rFonts w:ascii="Calibri" w:hAnsi="Calibri" w:cs="Calibri"/>
          <w:color w:val="000000"/>
          <w:sz w:val="20"/>
          <w:szCs w:val="20"/>
        </w:rPr>
        <w:t xml:space="preserve">; </w:t>
      </w:r>
      <w:hyperlink r:id="rId5">
        <w:r w:rsidR="001768E1" w:rsidRPr="00F50388">
          <w:rPr>
            <w:rFonts w:ascii="Calibri" w:hAnsi="Calibri" w:cs="Calibri"/>
            <w:color w:val="467886"/>
            <w:sz w:val="20"/>
            <w:szCs w:val="20"/>
            <w:u w:val="single"/>
          </w:rPr>
          <w:t>https://24.sapo.pt/atualidade/artigos/sociedade-civil-guineense-denuncia-aumento-de-casos-de-feminicidio-no-pais</w:t>
        </w:r>
      </w:hyperlink>
      <w:r w:rsidRPr="00F50388">
        <w:rPr>
          <w:rFonts w:ascii="Calibri" w:hAnsi="Calibri" w:cs="Calibri"/>
          <w:color w:val="000000"/>
          <w:sz w:val="20"/>
          <w:szCs w:val="20"/>
        </w:rPr>
        <w:t xml:space="preserve">  </w:t>
      </w:r>
    </w:p>
    <w:p w14:paraId="560B6D89" w14:textId="77777777" w:rsidR="001768E1" w:rsidRPr="00F50388" w:rsidRDefault="001768E1" w:rsidP="00F50388">
      <w:pPr>
        <w:pBdr>
          <w:top w:val="nil"/>
          <w:left w:val="nil"/>
          <w:bottom w:val="nil"/>
          <w:right w:val="nil"/>
          <w:between w:val="nil"/>
        </w:pBdr>
        <w:spacing w:after="0" w:line="240" w:lineRule="auto"/>
        <w:rPr>
          <w:rFonts w:ascii="Calibri" w:eastAsia="Calibri" w:hAnsi="Calibri" w:cs="Calibri"/>
          <w:color w:val="000000"/>
          <w:sz w:val="20"/>
          <w:szCs w:val="20"/>
        </w:rPr>
      </w:pPr>
    </w:p>
  </w:footnote>
  <w:footnote w:id="2">
    <w:p w14:paraId="0F76033B" w14:textId="77777777" w:rsidR="001768E1" w:rsidRPr="004E50F4"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4E50F4">
        <w:rPr>
          <w:rFonts w:ascii="Calibri" w:hAnsi="Calibri" w:cs="Calibri"/>
          <w:color w:val="000000"/>
          <w:sz w:val="20"/>
          <w:szCs w:val="20"/>
          <w:lang w:val="en-US"/>
        </w:rPr>
        <w:t xml:space="preserve"> </w:t>
      </w:r>
      <w:hyperlink r:id="rId6">
        <w:r w:rsidR="001768E1" w:rsidRPr="004E50F4">
          <w:rPr>
            <w:rFonts w:ascii="Calibri" w:eastAsia="Times New Roman" w:hAnsi="Calibri" w:cs="Calibri"/>
            <w:color w:val="467886"/>
            <w:sz w:val="24"/>
            <w:szCs w:val="24"/>
            <w:u w:val="single"/>
            <w:lang w:val="en-US"/>
          </w:rPr>
          <w:t>https://news.un.org/pt/story/2017/02/1576331</w:t>
        </w:r>
      </w:hyperlink>
      <w:r w:rsidRPr="004E50F4">
        <w:rPr>
          <w:rFonts w:ascii="Calibri" w:hAnsi="Calibri" w:cs="Calibri"/>
          <w:color w:val="000000"/>
          <w:sz w:val="20"/>
          <w:szCs w:val="20"/>
          <w:lang w:val="en-US"/>
        </w:rPr>
        <w:t xml:space="preserve"> and </w:t>
      </w:r>
      <w:hyperlink r:id="rId7">
        <w:r w:rsidR="001768E1" w:rsidRPr="004E50F4">
          <w:rPr>
            <w:rFonts w:ascii="Calibri" w:eastAsia="Times New Roman" w:hAnsi="Calibri" w:cs="Calibri"/>
            <w:color w:val="467886"/>
            <w:sz w:val="24"/>
            <w:szCs w:val="24"/>
            <w:u w:val="single"/>
            <w:lang w:val="en-US"/>
          </w:rPr>
          <w:t>https://news.un.org/pt/story/2017/02/1576381</w:t>
        </w:r>
      </w:hyperlink>
      <w:r w:rsidRPr="004E50F4">
        <w:rPr>
          <w:rFonts w:ascii="Calibri" w:hAnsi="Calibri" w:cs="Calibri"/>
          <w:color w:val="000000"/>
          <w:sz w:val="20"/>
          <w:szCs w:val="20"/>
          <w:lang w:val="en-US"/>
        </w:rPr>
        <w:t xml:space="preserve"> </w:t>
      </w:r>
    </w:p>
  </w:footnote>
  <w:footnote w:id="3">
    <w:p w14:paraId="3D669579" w14:textId="77777777" w:rsidR="001768E1" w:rsidRPr="004E50F4"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4E50F4">
        <w:rPr>
          <w:rFonts w:ascii="Calibri" w:hAnsi="Calibri" w:cs="Calibri"/>
          <w:color w:val="000000"/>
          <w:sz w:val="20"/>
          <w:szCs w:val="20"/>
          <w:lang w:val="en-US"/>
        </w:rPr>
        <w:t xml:space="preserve"> Available at: </w:t>
      </w:r>
      <w:hyperlink r:id="rId8">
        <w:r w:rsidR="001768E1" w:rsidRPr="004E50F4">
          <w:rPr>
            <w:rFonts w:ascii="Calibri" w:hAnsi="Calibri" w:cs="Calibri"/>
            <w:color w:val="467886"/>
            <w:sz w:val="20"/>
            <w:szCs w:val="20"/>
            <w:u w:val="single"/>
            <w:lang w:val="en-US"/>
          </w:rPr>
          <w:t>https://www.dw.com/pt-002/novas-den%C3%BAncias-sobre-turismo-sexual-na-guin%C3%A9-bissau/a-67371727</w:t>
        </w:r>
      </w:hyperlink>
      <w:r w:rsidRPr="004E50F4">
        <w:rPr>
          <w:rFonts w:ascii="Calibri" w:hAnsi="Calibri" w:cs="Calibri"/>
          <w:color w:val="000000"/>
          <w:sz w:val="20"/>
          <w:szCs w:val="20"/>
          <w:lang w:val="en-US"/>
        </w:rPr>
        <w:t xml:space="preserve"> </w:t>
      </w:r>
    </w:p>
  </w:footnote>
  <w:footnote w:id="4">
    <w:p w14:paraId="23810EC9" w14:textId="77777777" w:rsidR="001768E1" w:rsidRPr="00B15ECD"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B15ECD">
        <w:rPr>
          <w:rFonts w:ascii="Calibri" w:hAnsi="Calibri" w:cs="Calibri"/>
          <w:color w:val="000000"/>
          <w:sz w:val="20"/>
          <w:szCs w:val="20"/>
          <w:lang w:val="en-US"/>
        </w:rPr>
        <w:t xml:space="preserve"> Correio da Manhã, March 8, 2025. Available at: </w:t>
      </w:r>
      <w:hyperlink r:id="rId9">
        <w:r w:rsidR="001768E1" w:rsidRPr="00B15ECD">
          <w:rPr>
            <w:rFonts w:ascii="Calibri" w:hAnsi="Calibri" w:cs="Calibri"/>
            <w:color w:val="467886"/>
            <w:sz w:val="20"/>
            <w:szCs w:val="20"/>
            <w:u w:val="single"/>
            <w:lang w:val="en-US"/>
          </w:rPr>
          <w:t>https://www.cmjornal.pt/mundo/detalhe/crianca-de-6-anos-esquartejada-na-guine-bissau</w:t>
        </w:r>
      </w:hyperlink>
      <w:r w:rsidRPr="00B15ECD">
        <w:rPr>
          <w:rFonts w:ascii="Calibri" w:hAnsi="Calibri" w:cs="Calibri"/>
          <w:color w:val="000000"/>
          <w:sz w:val="20"/>
          <w:szCs w:val="20"/>
          <w:lang w:val="en-US"/>
        </w:rPr>
        <w:t xml:space="preserve"> </w:t>
      </w:r>
    </w:p>
  </w:footnote>
  <w:footnote w:id="5">
    <w:p w14:paraId="292107F8" w14:textId="77777777" w:rsidR="001768E1" w:rsidRPr="00B15ECD"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B15ECD">
        <w:rPr>
          <w:rFonts w:ascii="Calibri" w:hAnsi="Calibri" w:cs="Calibri"/>
          <w:color w:val="000000"/>
          <w:sz w:val="20"/>
          <w:szCs w:val="20"/>
          <w:lang w:val="en-US"/>
        </w:rPr>
        <w:t xml:space="preserve"> </w:t>
      </w:r>
      <w:hyperlink r:id="rId10">
        <w:r w:rsidR="001768E1" w:rsidRPr="00B15ECD">
          <w:rPr>
            <w:rFonts w:ascii="Calibri" w:hAnsi="Calibri" w:cs="Calibri"/>
            <w:color w:val="467886"/>
            <w:sz w:val="20"/>
            <w:szCs w:val="20"/>
            <w:u w:val="single"/>
            <w:lang w:val="en-US"/>
          </w:rPr>
          <w:t>https://www.rfi.fr/pt/%C3%A1frica/20240509-guin%C3%A9-bissau-autoridades-denunciam-rede-de-tr%C3%A1fico-de-pessoas</w:t>
        </w:r>
      </w:hyperlink>
      <w:r w:rsidRPr="00B15ECD">
        <w:rPr>
          <w:rFonts w:ascii="Calibri" w:hAnsi="Calibri" w:cs="Calibri"/>
          <w:color w:val="000000"/>
          <w:sz w:val="20"/>
          <w:szCs w:val="20"/>
          <w:lang w:val="en-US"/>
        </w:rPr>
        <w:t xml:space="preserve">  </w:t>
      </w:r>
    </w:p>
  </w:footnote>
  <w:footnote w:id="6">
    <w:p w14:paraId="733B6B7D" w14:textId="77777777" w:rsidR="001768E1" w:rsidRPr="00B15ECD" w:rsidRDefault="001870D8" w:rsidP="00F50388">
      <w:pPr>
        <w:pBdr>
          <w:top w:val="nil"/>
          <w:left w:val="nil"/>
          <w:bottom w:val="nil"/>
          <w:right w:val="nil"/>
          <w:between w:val="nil"/>
        </w:pBdr>
        <w:spacing w:after="0" w:line="240" w:lineRule="auto"/>
        <w:rPr>
          <w:rFonts w:ascii="Calibri" w:hAnsi="Calibri" w:cs="Calibri"/>
          <w:color w:val="000000"/>
          <w:sz w:val="20"/>
          <w:szCs w:val="20"/>
          <w:lang w:val="en-US"/>
        </w:rPr>
      </w:pPr>
      <w:r w:rsidRPr="00F50388">
        <w:rPr>
          <w:rFonts w:ascii="Calibri" w:hAnsi="Calibri" w:cs="Calibri"/>
          <w:vertAlign w:val="superscript"/>
        </w:rPr>
        <w:footnoteRef/>
      </w:r>
      <w:r w:rsidRPr="00B15ECD">
        <w:rPr>
          <w:rFonts w:ascii="Calibri" w:hAnsi="Calibri" w:cs="Calibri"/>
          <w:color w:val="000000"/>
          <w:sz w:val="20"/>
          <w:szCs w:val="20"/>
          <w:lang w:val="en-US"/>
        </w:rPr>
        <w:t xml:space="preserve"> </w:t>
      </w:r>
      <w:hyperlink r:id="rId11">
        <w:r w:rsidR="001768E1" w:rsidRPr="00B15ECD">
          <w:rPr>
            <w:rFonts w:ascii="Calibri" w:hAnsi="Calibri" w:cs="Calibri"/>
            <w:color w:val="467886"/>
            <w:sz w:val="20"/>
            <w:szCs w:val="20"/>
            <w:u w:val="single"/>
            <w:lang w:val="en-US"/>
          </w:rPr>
          <w:t>https://uniogbis.unmissions.org/pt/registo-de-casos-de-viol%C3%AAncia-dom%C3%A9stica-continua-aumentar</w:t>
        </w:r>
      </w:hyperlink>
      <w:r w:rsidRPr="00B15ECD">
        <w:rPr>
          <w:rFonts w:ascii="Calibri" w:hAnsi="Calibri" w:cs="Calibri"/>
          <w:color w:val="000000"/>
          <w:sz w:val="20"/>
          <w:szCs w:val="20"/>
          <w:lang w:val="en-US"/>
        </w:rPr>
        <w:t xml:space="preserve"> </w:t>
      </w:r>
    </w:p>
  </w:footnote>
  <w:footnote w:id="7">
    <w:p w14:paraId="499795AB"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fr-FR"/>
        </w:rPr>
      </w:pPr>
      <w:r w:rsidRPr="00F50388">
        <w:rPr>
          <w:rFonts w:ascii="Calibri" w:hAnsi="Calibri" w:cs="Calibri"/>
          <w:vertAlign w:val="superscript"/>
        </w:rPr>
        <w:footnoteRef/>
      </w:r>
      <w:r w:rsidRPr="00792AC5">
        <w:rPr>
          <w:rFonts w:ascii="Calibri" w:hAnsi="Calibri" w:cs="Calibri"/>
          <w:color w:val="000000"/>
          <w:sz w:val="20"/>
          <w:szCs w:val="20"/>
          <w:lang w:val="fr-FR"/>
        </w:rPr>
        <w:t xml:space="preserve"> Ditto  </w:t>
      </w:r>
    </w:p>
  </w:footnote>
  <w:footnote w:id="8">
    <w:p w14:paraId="57559351"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fr-FR"/>
        </w:rPr>
      </w:pPr>
      <w:r w:rsidRPr="00F50388">
        <w:rPr>
          <w:rFonts w:ascii="Calibri" w:hAnsi="Calibri" w:cs="Calibri"/>
          <w:vertAlign w:val="superscript"/>
        </w:rPr>
        <w:footnoteRef/>
      </w:r>
      <w:r w:rsidRPr="00792AC5">
        <w:rPr>
          <w:rFonts w:ascii="Calibri" w:hAnsi="Calibri" w:cs="Calibri"/>
          <w:color w:val="000000"/>
          <w:sz w:val="20"/>
          <w:szCs w:val="20"/>
          <w:lang w:val="fr-FR"/>
        </w:rPr>
        <w:t xml:space="preserve"> </w:t>
      </w:r>
      <w:r w:rsidR="001768E1">
        <w:fldChar w:fldCharType="begin"/>
      </w:r>
      <w:r w:rsidR="001768E1" w:rsidRPr="00B15ECD">
        <w:rPr>
          <w:lang w:val="en-US"/>
        </w:rPr>
        <w:instrText>HYPERLINK "https://jornalgrandebahia.com.br/2024/11/relatora-da-onu-destaca-necessidade-de-responsabilizacao-no-combate-ao-trafico-humano-em-guine-bissau/" \h</w:instrText>
      </w:r>
      <w:r w:rsidR="001768E1">
        <w:fldChar w:fldCharType="separate"/>
      </w:r>
      <w:r w:rsidR="001768E1" w:rsidRPr="00792AC5">
        <w:rPr>
          <w:rFonts w:ascii="Calibri" w:hAnsi="Calibri" w:cs="Calibri"/>
          <w:color w:val="467886"/>
          <w:sz w:val="20"/>
          <w:szCs w:val="20"/>
          <w:u w:val="single"/>
          <w:lang w:val="fr-FR"/>
        </w:rPr>
        <w:t>https://jornalgrandebahia.com.br/2024/11/relatora-da-onu-destaca-necessidade-de-responsabilizacao-no-combate-ao-trafico-humano-em-guine-bissau/</w:t>
      </w:r>
      <w:r w:rsidR="001768E1">
        <w:fldChar w:fldCharType="end"/>
      </w:r>
      <w:r w:rsidRPr="00792AC5">
        <w:rPr>
          <w:rFonts w:ascii="Calibri" w:hAnsi="Calibri" w:cs="Calibri"/>
          <w:color w:val="000000"/>
          <w:sz w:val="20"/>
          <w:szCs w:val="20"/>
          <w:lang w:val="fr-FR"/>
        </w:rPr>
        <w:t xml:space="preserve">  </w:t>
      </w:r>
    </w:p>
  </w:footnote>
  <w:footnote w:id="9">
    <w:p w14:paraId="09016E3C"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fr-FR"/>
        </w:rPr>
      </w:pPr>
      <w:r w:rsidRPr="00F50388">
        <w:rPr>
          <w:rFonts w:ascii="Calibri" w:hAnsi="Calibri" w:cs="Calibri"/>
          <w:vertAlign w:val="superscript"/>
        </w:rPr>
        <w:footnoteRef/>
      </w:r>
      <w:r w:rsidRPr="00792AC5">
        <w:rPr>
          <w:rFonts w:ascii="Calibri" w:hAnsi="Calibri" w:cs="Calibri"/>
          <w:color w:val="000000"/>
          <w:sz w:val="20"/>
          <w:szCs w:val="20"/>
          <w:lang w:val="fr-FR"/>
        </w:rPr>
        <w:t xml:space="preserve"> </w:t>
      </w:r>
      <w:r w:rsidR="001768E1">
        <w:fldChar w:fldCharType="begin"/>
      </w:r>
      <w:r w:rsidR="001768E1" w:rsidRPr="00B15ECD">
        <w:rPr>
          <w:lang w:val="fr-FR"/>
        </w:rPr>
        <w:instrText>HYPERLINK "https://www.unicef.org/guineabissau/pt/historias/guin%C3%A9-bissau-fazendo-frente-ao-casamento-infantil" \h</w:instrText>
      </w:r>
      <w:r w:rsidR="001768E1">
        <w:fldChar w:fldCharType="separate"/>
      </w:r>
      <w:r w:rsidR="001768E1" w:rsidRPr="00792AC5">
        <w:rPr>
          <w:rFonts w:ascii="Calibri" w:hAnsi="Calibri" w:cs="Calibri"/>
          <w:color w:val="467886"/>
          <w:sz w:val="20"/>
          <w:szCs w:val="20"/>
          <w:u w:val="single"/>
          <w:lang w:val="fr-FR"/>
        </w:rPr>
        <w:t>https://www.unicef.org/guineabissau/pt/historias/guin%C3%A9-bissau-fazendo-frente-ao-casamento-infantil</w:t>
      </w:r>
      <w:r w:rsidR="001768E1">
        <w:fldChar w:fldCharType="end"/>
      </w:r>
      <w:r w:rsidRPr="00792AC5">
        <w:rPr>
          <w:rFonts w:ascii="Calibri" w:hAnsi="Calibri" w:cs="Calibri"/>
          <w:color w:val="000000"/>
          <w:sz w:val="20"/>
          <w:szCs w:val="20"/>
          <w:lang w:val="fr-FR"/>
        </w:rPr>
        <w:t xml:space="preserve"> </w:t>
      </w:r>
    </w:p>
  </w:footnote>
  <w:footnote w:id="10">
    <w:p w14:paraId="16EEA52D" w14:textId="77777777" w:rsidR="001768E1" w:rsidRPr="00792AC5" w:rsidRDefault="001870D8" w:rsidP="00F50388">
      <w:pPr>
        <w:pBdr>
          <w:top w:val="nil"/>
          <w:left w:val="nil"/>
          <w:bottom w:val="nil"/>
          <w:right w:val="nil"/>
          <w:between w:val="nil"/>
        </w:pBdr>
        <w:spacing w:after="0" w:line="240" w:lineRule="auto"/>
        <w:rPr>
          <w:rFonts w:ascii="Calibri" w:hAnsi="Calibri" w:cs="Calibri"/>
          <w:color w:val="000000"/>
          <w:sz w:val="20"/>
          <w:szCs w:val="20"/>
          <w:lang w:val="fr-FR"/>
        </w:rPr>
      </w:pPr>
      <w:r w:rsidRPr="00F50388">
        <w:rPr>
          <w:rFonts w:ascii="Calibri" w:hAnsi="Calibri" w:cs="Calibri"/>
          <w:vertAlign w:val="superscript"/>
        </w:rPr>
        <w:footnoteRef/>
      </w:r>
      <w:r w:rsidRPr="00792AC5">
        <w:rPr>
          <w:rFonts w:ascii="Calibri" w:hAnsi="Calibri" w:cs="Calibri"/>
          <w:color w:val="000000"/>
          <w:sz w:val="20"/>
          <w:szCs w:val="20"/>
          <w:lang w:val="fr-FR"/>
        </w:rPr>
        <w:t xml:space="preserve"> </w:t>
      </w:r>
      <w:hyperlink r:id="rId12">
        <w:r w:rsidR="001768E1" w:rsidRPr="00792AC5">
          <w:rPr>
            <w:rFonts w:ascii="Calibri" w:hAnsi="Calibri" w:cs="Calibri"/>
            <w:color w:val="467886"/>
            <w:sz w:val="20"/>
            <w:szCs w:val="20"/>
            <w:u w:val="single"/>
            <w:lang w:val="fr-FR"/>
          </w:rPr>
          <w:t>https://www.unicef.org/guineabissau/stories/guinea-bissau-making-childbirth-less-risky</w:t>
        </w:r>
      </w:hyperlink>
      <w:r w:rsidRPr="00792AC5">
        <w:rPr>
          <w:rFonts w:ascii="Calibri" w:hAnsi="Calibri" w:cs="Calibri"/>
          <w:color w:val="000000"/>
          <w:sz w:val="20"/>
          <w:szCs w:val="20"/>
          <w:lang w:val="fr-F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00D7"/>
    <w:multiLevelType w:val="hybridMultilevel"/>
    <w:tmpl w:val="3342D11A"/>
    <w:lvl w:ilvl="0" w:tplc="A4A6E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FC23FA"/>
    <w:multiLevelType w:val="multilevel"/>
    <w:tmpl w:val="CBE6C3A8"/>
    <w:lvl w:ilvl="0">
      <w:start w:val="1"/>
      <w:numFmt w:val="decimal"/>
      <w:pStyle w:val="Sumri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33750C0"/>
    <w:multiLevelType w:val="multilevel"/>
    <w:tmpl w:val="59B86E4C"/>
    <w:lvl w:ilvl="0">
      <w:start w:val="1"/>
      <w:numFmt w:val="bullet"/>
      <w:lvlText w:val="⇒"/>
      <w:lvlJc w:val="left"/>
      <w:pPr>
        <w:ind w:left="783" w:hanging="360"/>
      </w:pPr>
      <w:rPr>
        <w:rFonts w:ascii="Noto Sans Symbols" w:eastAsia="Noto Sans Symbols" w:hAnsi="Noto Sans Symbols" w:cs="Noto Sans Symbols"/>
        <w:color w:val="000000"/>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3" w15:restartNumberingAfterBreak="0">
    <w:nsid w:val="7D266361"/>
    <w:multiLevelType w:val="multilevel"/>
    <w:tmpl w:val="8760F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4D3A88"/>
    <w:multiLevelType w:val="multilevel"/>
    <w:tmpl w:val="64044BAE"/>
    <w:lvl w:ilvl="0">
      <w:start w:val="1"/>
      <w:numFmt w:val="bullet"/>
      <w:lvlText w:val="⇒"/>
      <w:lvlJc w:val="left"/>
      <w:pPr>
        <w:ind w:left="783" w:hanging="360"/>
      </w:pPr>
      <w:rPr>
        <w:rFonts w:ascii="Noto Sans Symbols" w:eastAsia="Noto Sans Symbols" w:hAnsi="Noto Sans Symbols" w:cs="Noto Sans Symbols"/>
        <w:color w:val="000000"/>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num w:numId="1" w16cid:durableId="72093009">
    <w:abstractNumId w:val="4"/>
  </w:num>
  <w:num w:numId="2" w16cid:durableId="2083793631">
    <w:abstractNumId w:val="3"/>
  </w:num>
  <w:num w:numId="3" w16cid:durableId="468472022">
    <w:abstractNumId w:val="2"/>
  </w:num>
  <w:num w:numId="4" w16cid:durableId="1595479312">
    <w:abstractNumId w:val="1"/>
  </w:num>
  <w:num w:numId="5" w16cid:durableId="932936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8E1"/>
    <w:rsid w:val="001768E1"/>
    <w:rsid w:val="001870D8"/>
    <w:rsid w:val="002868D8"/>
    <w:rsid w:val="00296F0F"/>
    <w:rsid w:val="002B4958"/>
    <w:rsid w:val="0032383B"/>
    <w:rsid w:val="00330779"/>
    <w:rsid w:val="004E50F4"/>
    <w:rsid w:val="004F50D6"/>
    <w:rsid w:val="0051359F"/>
    <w:rsid w:val="0051694A"/>
    <w:rsid w:val="005B3CEB"/>
    <w:rsid w:val="0062473D"/>
    <w:rsid w:val="00653AE2"/>
    <w:rsid w:val="006F49B3"/>
    <w:rsid w:val="00792AC5"/>
    <w:rsid w:val="00850D27"/>
    <w:rsid w:val="00880F33"/>
    <w:rsid w:val="00903072"/>
    <w:rsid w:val="009F6A52"/>
    <w:rsid w:val="00AB55EA"/>
    <w:rsid w:val="00AE4923"/>
    <w:rsid w:val="00B15577"/>
    <w:rsid w:val="00B15ECD"/>
    <w:rsid w:val="00C369F0"/>
    <w:rsid w:val="00D45313"/>
    <w:rsid w:val="00E02B37"/>
    <w:rsid w:val="00F50388"/>
    <w:rsid w:val="00FE5B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E6A4B"/>
  <w15:docId w15:val="{67B6ECEE-5D03-469B-B112-1DFB3040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253"/>
    <w:rPr>
      <w:lang w:eastAsia="pt-BR"/>
    </w:rPr>
  </w:style>
  <w:style w:type="paragraph" w:styleId="Ttulo1">
    <w:name w:val="heading 1"/>
    <w:basedOn w:val="Normal"/>
    <w:next w:val="Normal"/>
    <w:link w:val="Ttulo1Char"/>
    <w:uiPriority w:val="9"/>
    <w:qFormat/>
    <w:rsid w:val="00145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145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1452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452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452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4525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4525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4525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4525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145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14525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14525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14525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4525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4525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4525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4525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4525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45253"/>
    <w:rPr>
      <w:rFonts w:eastAsiaTheme="majorEastAsia" w:cstheme="majorBidi"/>
      <w:color w:val="272727" w:themeColor="text1" w:themeTint="D8"/>
    </w:rPr>
  </w:style>
  <w:style w:type="character" w:customStyle="1" w:styleId="TtuloChar">
    <w:name w:val="Título Char"/>
    <w:basedOn w:val="Fontepargpadro"/>
    <w:link w:val="Ttulo"/>
    <w:uiPriority w:val="10"/>
    <w:rsid w:val="001452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Pr>
      <w:color w:val="595959"/>
      <w:sz w:val="28"/>
      <w:szCs w:val="28"/>
    </w:rPr>
  </w:style>
  <w:style w:type="character" w:customStyle="1" w:styleId="SubttuloChar">
    <w:name w:val="Subtítulo Char"/>
    <w:basedOn w:val="Fontepargpadro"/>
    <w:link w:val="Subttulo"/>
    <w:uiPriority w:val="11"/>
    <w:rsid w:val="0014525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45253"/>
    <w:pPr>
      <w:spacing w:before="160"/>
      <w:jc w:val="center"/>
    </w:pPr>
    <w:rPr>
      <w:i/>
      <w:iCs/>
      <w:color w:val="404040" w:themeColor="text1" w:themeTint="BF"/>
    </w:rPr>
  </w:style>
  <w:style w:type="character" w:customStyle="1" w:styleId="CitaoChar">
    <w:name w:val="Citação Char"/>
    <w:basedOn w:val="Fontepargpadro"/>
    <w:link w:val="Citao"/>
    <w:uiPriority w:val="29"/>
    <w:rsid w:val="00145253"/>
    <w:rPr>
      <w:i/>
      <w:iCs/>
      <w:color w:val="404040" w:themeColor="text1" w:themeTint="BF"/>
    </w:rPr>
  </w:style>
  <w:style w:type="paragraph" w:styleId="PargrafodaLista">
    <w:name w:val="List Paragraph"/>
    <w:basedOn w:val="Normal"/>
    <w:uiPriority w:val="34"/>
    <w:qFormat/>
    <w:rsid w:val="00145253"/>
    <w:pPr>
      <w:ind w:left="720"/>
      <w:contextualSpacing/>
    </w:pPr>
  </w:style>
  <w:style w:type="character" w:styleId="nfaseIntensa">
    <w:name w:val="Intense Emphasis"/>
    <w:basedOn w:val="Fontepargpadro"/>
    <w:uiPriority w:val="21"/>
    <w:qFormat/>
    <w:rsid w:val="00145253"/>
    <w:rPr>
      <w:i/>
      <w:iCs/>
      <w:color w:val="0F4761" w:themeColor="accent1" w:themeShade="BF"/>
    </w:rPr>
  </w:style>
  <w:style w:type="paragraph" w:styleId="CitaoIntensa">
    <w:name w:val="Intense Quote"/>
    <w:basedOn w:val="Normal"/>
    <w:next w:val="Normal"/>
    <w:link w:val="CitaoIntensaChar"/>
    <w:uiPriority w:val="30"/>
    <w:qFormat/>
    <w:rsid w:val="00145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45253"/>
    <w:rPr>
      <w:i/>
      <w:iCs/>
      <w:color w:val="0F4761" w:themeColor="accent1" w:themeShade="BF"/>
    </w:rPr>
  </w:style>
  <w:style w:type="character" w:styleId="RefernciaIntensa">
    <w:name w:val="Intense Reference"/>
    <w:basedOn w:val="Fontepargpadro"/>
    <w:uiPriority w:val="32"/>
    <w:qFormat/>
    <w:rsid w:val="00145253"/>
    <w:rPr>
      <w:b/>
      <w:bCs/>
      <w:smallCaps/>
      <w:color w:val="0F4761" w:themeColor="accent1" w:themeShade="BF"/>
      <w:spacing w:val="5"/>
    </w:rPr>
  </w:style>
  <w:style w:type="table" w:styleId="Tabelacomgrade">
    <w:name w:val="Table Grid"/>
    <w:basedOn w:val="Tabelanormal"/>
    <w:uiPriority w:val="39"/>
    <w:rsid w:val="00145253"/>
    <w:pPr>
      <w:spacing w:after="0" w:line="240" w:lineRule="auto"/>
    </w:pPr>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313438"/>
    <w:pPr>
      <w:spacing w:before="240" w:after="0"/>
      <w:outlineLvl w:val="9"/>
    </w:pPr>
    <w:rPr>
      <w:sz w:val="32"/>
      <w:szCs w:val="32"/>
    </w:rPr>
  </w:style>
  <w:style w:type="paragraph" w:styleId="Sumrio1">
    <w:name w:val="toc 1"/>
    <w:basedOn w:val="Normal"/>
    <w:next w:val="Normal"/>
    <w:autoRedefine/>
    <w:uiPriority w:val="39"/>
    <w:unhideWhenUsed/>
    <w:rsid w:val="00874343"/>
    <w:pPr>
      <w:numPr>
        <w:numId w:val="4"/>
      </w:numPr>
      <w:tabs>
        <w:tab w:val="right" w:leader="dot" w:pos="8494"/>
      </w:tabs>
      <w:spacing w:after="100"/>
    </w:pPr>
  </w:style>
  <w:style w:type="paragraph" w:styleId="Sumrio2">
    <w:name w:val="toc 2"/>
    <w:basedOn w:val="Normal"/>
    <w:next w:val="Normal"/>
    <w:autoRedefine/>
    <w:uiPriority w:val="39"/>
    <w:unhideWhenUsed/>
    <w:rsid w:val="00313438"/>
    <w:pPr>
      <w:spacing w:after="100"/>
      <w:ind w:left="220"/>
    </w:pPr>
  </w:style>
  <w:style w:type="paragraph" w:styleId="Sumrio3">
    <w:name w:val="toc 3"/>
    <w:basedOn w:val="Normal"/>
    <w:next w:val="Normal"/>
    <w:autoRedefine/>
    <w:uiPriority w:val="39"/>
    <w:unhideWhenUsed/>
    <w:rsid w:val="00313438"/>
    <w:pPr>
      <w:spacing w:after="100"/>
      <w:ind w:left="440"/>
    </w:pPr>
  </w:style>
  <w:style w:type="character" w:styleId="Hyperlink">
    <w:name w:val="Hyperlink"/>
    <w:basedOn w:val="Fontepargpadro"/>
    <w:uiPriority w:val="99"/>
    <w:unhideWhenUsed/>
    <w:rsid w:val="00313438"/>
    <w:rPr>
      <w:color w:val="467886" w:themeColor="hyperlink"/>
      <w:u w:val="single"/>
    </w:rPr>
  </w:style>
  <w:style w:type="paragraph" w:styleId="Textodenotaderodap">
    <w:name w:val="footnote text"/>
    <w:basedOn w:val="Normal"/>
    <w:link w:val="TextodenotaderodapChar"/>
    <w:uiPriority w:val="99"/>
    <w:semiHidden/>
    <w:unhideWhenUsed/>
    <w:rsid w:val="00EC744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C7443"/>
    <w:rPr>
      <w:rFonts w:ascii="Aptos" w:eastAsia="Aptos" w:hAnsi="Aptos" w:cs="Aptos"/>
      <w:kern w:val="0"/>
      <w:sz w:val="20"/>
      <w:szCs w:val="20"/>
      <w:lang w:eastAsia="pt-BR"/>
    </w:rPr>
  </w:style>
  <w:style w:type="character" w:styleId="Refdenotaderodap">
    <w:name w:val="footnote reference"/>
    <w:basedOn w:val="Fontepargpadro"/>
    <w:uiPriority w:val="99"/>
    <w:semiHidden/>
    <w:unhideWhenUsed/>
    <w:rsid w:val="00EC7443"/>
    <w:rPr>
      <w:vertAlign w:val="superscript"/>
    </w:rPr>
  </w:style>
  <w:style w:type="character" w:customStyle="1" w:styleId="bold">
    <w:name w:val="bold"/>
    <w:basedOn w:val="Fontepargpadro"/>
    <w:rsid w:val="0050184F"/>
  </w:style>
  <w:style w:type="character" w:customStyle="1" w:styleId="ng-star-inserted">
    <w:name w:val="ng-star-inserted"/>
    <w:basedOn w:val="Fontepargpadro"/>
    <w:rsid w:val="0050184F"/>
  </w:style>
  <w:style w:type="character" w:styleId="MenoPendente">
    <w:name w:val="Unresolved Mention"/>
    <w:basedOn w:val="Fontepargpadro"/>
    <w:uiPriority w:val="99"/>
    <w:semiHidden/>
    <w:unhideWhenUsed/>
    <w:rsid w:val="00891225"/>
    <w:rPr>
      <w:color w:val="605E5C"/>
      <w:shd w:val="clear" w:color="auto" w:fill="E1DFDD"/>
    </w:rPr>
  </w:style>
  <w:style w:type="paragraph" w:customStyle="1" w:styleId="SingleTxtG">
    <w:name w:val="_ Single Txt_G"/>
    <w:basedOn w:val="Normal"/>
    <w:link w:val="SingleTxtGChar"/>
    <w:qFormat/>
    <w:rsid w:val="00FB567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en-GB" w:eastAsia="en-US"/>
    </w:rPr>
  </w:style>
  <w:style w:type="character" w:customStyle="1" w:styleId="SingleTxtGChar">
    <w:name w:val="_ Single Txt_G Char"/>
    <w:link w:val="SingleTxtG"/>
    <w:locked/>
    <w:rsid w:val="00FB567B"/>
    <w:rPr>
      <w:rFonts w:ascii="Times New Roman" w:hAnsi="Times New Roman" w:cs="Times New Roman"/>
      <w:kern w:val="0"/>
      <w:sz w:val="20"/>
      <w:szCs w:val="20"/>
      <w:lang w:val="en-GB"/>
    </w:rPr>
  </w:style>
  <w:style w:type="character" w:styleId="HiperlinkVisitado">
    <w:name w:val="FollowedHyperlink"/>
    <w:basedOn w:val="Fontepargpadro"/>
    <w:uiPriority w:val="99"/>
    <w:semiHidden/>
    <w:unhideWhenUsed/>
    <w:rsid w:val="003D7D3A"/>
    <w:rPr>
      <w:color w:val="96607D" w:themeColor="followedHyperlink"/>
      <w:u w:val="single"/>
    </w:rPr>
  </w:style>
  <w:style w:type="paragraph" w:styleId="NormalWeb">
    <w:name w:val="Normal (Web)"/>
    <w:basedOn w:val="Normal"/>
    <w:uiPriority w:val="99"/>
    <w:semiHidden/>
    <w:unhideWhenUsed/>
    <w:rsid w:val="00844B08"/>
    <w:rPr>
      <w:rFonts w:ascii="Times New Roman" w:hAnsi="Times New Roman" w:cs="Times New Roman"/>
      <w:sz w:val="24"/>
      <w:szCs w:val="24"/>
    </w:rPr>
  </w:style>
  <w:style w:type="paragraph" w:styleId="Cabealho">
    <w:name w:val="header"/>
    <w:basedOn w:val="Normal"/>
    <w:link w:val="CabealhoChar"/>
    <w:uiPriority w:val="99"/>
    <w:unhideWhenUsed/>
    <w:rsid w:val="008743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4343"/>
    <w:rPr>
      <w:rFonts w:ascii="Aptos" w:eastAsia="Aptos" w:hAnsi="Aptos" w:cs="Aptos"/>
      <w:kern w:val="0"/>
      <w:lang w:eastAsia="pt-BR"/>
    </w:rPr>
  </w:style>
  <w:style w:type="paragraph" w:styleId="Rodap">
    <w:name w:val="footer"/>
    <w:basedOn w:val="Normal"/>
    <w:link w:val="RodapChar"/>
    <w:uiPriority w:val="99"/>
    <w:unhideWhenUsed/>
    <w:rsid w:val="00874343"/>
    <w:pPr>
      <w:tabs>
        <w:tab w:val="center" w:pos="4252"/>
        <w:tab w:val="right" w:pos="8504"/>
      </w:tabs>
      <w:spacing w:after="0" w:line="240" w:lineRule="auto"/>
    </w:pPr>
  </w:style>
  <w:style w:type="character" w:customStyle="1" w:styleId="RodapChar">
    <w:name w:val="Rodapé Char"/>
    <w:basedOn w:val="Fontepargpadro"/>
    <w:link w:val="Rodap"/>
    <w:uiPriority w:val="99"/>
    <w:rsid w:val="00874343"/>
    <w:rPr>
      <w:rFonts w:ascii="Aptos" w:eastAsia="Aptos" w:hAnsi="Aptos" w:cs="Aptos"/>
      <w:kern w:val="0"/>
      <w:lang w:eastAsia="pt-BR"/>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table" w:customStyle="1" w:styleId="a4">
    <w:basedOn w:val="Tabelanormal"/>
    <w:tblPr>
      <w:tblStyleRowBandSize w:val="1"/>
      <w:tblStyleColBandSize w:val="1"/>
      <w:tblCellMar>
        <w:left w:w="115" w:type="dxa"/>
        <w:right w:w="115" w:type="dxa"/>
      </w:tblCellMar>
    </w:tblPr>
  </w:style>
  <w:style w:type="table" w:customStyle="1" w:styleId="a5">
    <w:basedOn w:val="Tabelanormal"/>
    <w:pPr>
      <w:spacing w:after="0" w:line="240" w:lineRule="auto"/>
    </w:pPr>
    <w:tblPr>
      <w:tblStyleRowBandSize w:val="1"/>
      <w:tblStyleColBandSize w:val="1"/>
    </w:tblPr>
  </w:style>
  <w:style w:type="table" w:customStyle="1" w:styleId="a6">
    <w:basedOn w:val="Tabelanormal"/>
    <w:tblPr>
      <w:tblStyleRowBandSize w:val="1"/>
      <w:tblStyleColBandSize w:val="1"/>
      <w:tblCellMar>
        <w:left w:w="115" w:type="dxa"/>
        <w:right w:w="115" w:type="dxa"/>
      </w:tblCellMar>
    </w:tblPr>
  </w:style>
  <w:style w:type="table" w:customStyle="1" w:styleId="a7">
    <w:basedOn w:val="Tabelanormal"/>
    <w:pPr>
      <w:spacing w:after="0" w:line="240" w:lineRule="auto"/>
    </w:pPr>
    <w:tblPr>
      <w:tblStyleRowBandSize w:val="1"/>
      <w:tblStyleColBandSize w:val="1"/>
    </w:tblPr>
  </w:style>
  <w:style w:type="table" w:customStyle="1" w:styleId="a8">
    <w:basedOn w:val="Tabelanormal"/>
    <w:pPr>
      <w:spacing w:after="0" w:line="240" w:lineRule="auto"/>
    </w:pPr>
    <w:tblPr>
      <w:tblStyleRowBandSize w:val="1"/>
      <w:tblStyleColBandSize w:val="1"/>
    </w:tblPr>
  </w:style>
  <w:style w:type="table" w:customStyle="1" w:styleId="a9">
    <w:basedOn w:val="Tabelanormal"/>
    <w:pPr>
      <w:spacing w:after="0" w:line="240" w:lineRule="auto"/>
    </w:pPr>
    <w:tblPr>
      <w:tblStyleRowBandSize w:val="1"/>
      <w:tblStyleColBandSize w:val="1"/>
    </w:tblPr>
  </w:style>
  <w:style w:type="character" w:styleId="TextodoEspaoReservado">
    <w:name w:val="Placeholder Text"/>
    <w:basedOn w:val="Fontepargpadro"/>
    <w:uiPriority w:val="99"/>
    <w:semiHidden/>
    <w:rsid w:val="004E50F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dw.com/pt-002/novas-den%C3%BAncias-sobre-turismo-sexual-na-guin%C3%A9-bissau/a-67371727" TargetMode="External"/><Relationship Id="rId3" Type="http://schemas.openxmlformats.org/officeDocument/2006/relationships/hyperlink" Target="https://www.voaportugues.com/a/7503975.html" TargetMode="External"/><Relationship Id="rId7" Type="http://schemas.openxmlformats.org/officeDocument/2006/relationships/hyperlink" Target="https://news.un.org/pt/story/2017/02/1576381" TargetMode="External"/><Relationship Id="rId12" Type="http://schemas.openxmlformats.org/officeDocument/2006/relationships/hyperlink" Target="https://www.unicef.org/guineabissau/stories/guinea-bissau-making-childbirth-less-risky" TargetMode="External"/><Relationship Id="rId2" Type="http://schemas.openxmlformats.org/officeDocument/2006/relationships/hyperlink" Target="https://www.voaportugues.com/a/vig%C3%ADlia-pede-criminaliza%C3%A7%C3%A3o-do-feminic%C3%ADdio-na-guin%C3%A9-bissau/7556169.html?utm_source=chatgpt.com" TargetMode="External"/><Relationship Id="rId1" Type="http://schemas.openxmlformats.org/officeDocument/2006/relationships/hyperlink" Target="https://observador.pt/2024/04/03/sociedade-civil-guineense-denuncia-aumento-de-casos-de-feminicidio-no-pais/" TargetMode="External"/><Relationship Id="rId6" Type="http://schemas.openxmlformats.org/officeDocument/2006/relationships/hyperlink" Target="https://news.un.org/pt/story/2017/02/1576331" TargetMode="External"/><Relationship Id="rId11" Type="http://schemas.openxmlformats.org/officeDocument/2006/relationships/hyperlink" Target="https://uniogbis.unmissions.org/pt/registo-de-casos-de-viol%C3%AAncia-dom%C3%A9stica-continua-aumentar" TargetMode="External"/><Relationship Id="rId5" Type="http://schemas.openxmlformats.org/officeDocument/2006/relationships/hyperlink" Target="https://24.sapo.pt/atualidade/artigos/sociedade-civil-guineense-denuncia-aumento-de-casos-de-feminicidio-no-pais" TargetMode="External"/><Relationship Id="rId10" Type="http://schemas.openxmlformats.org/officeDocument/2006/relationships/hyperlink" Target="https://www.rfi.fr/pt/%C3%A1frica/20240509-guin%C3%A9-bissau-autoridades-denunciam-rede-de-tr%C3%A1fico-de-pessoas" TargetMode="External"/><Relationship Id="rId4" Type="http://schemas.openxmlformats.org/officeDocument/2006/relationships/hyperlink" Target="https://fronteiraeconomica.com.br/vozes-silenciadas-observatorio-de-direitos-humanos-revela-a-realidade-dos-feminicidios-na-guine-bissau/" TargetMode="External"/><Relationship Id="rId9" Type="http://schemas.openxmlformats.org/officeDocument/2006/relationships/hyperlink" Target="https://www.cmjornal.pt/mundo/detalhe/crianca-de-6-anos-esquartejada-na-guine-bissau"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JdbBtkrp9y3daqQdeRd4pDsOyQ==">CgMxLjAyDmguMmhhaGFtODI5bzNnMg5oLjVvZGE3azQ4ZWkyeDIOaC5wZ3JjOW1ua2hxYTMyDmgubW5hNjl0NmppY3poMg5oLmNwMHF1b3A4cHJzazIOaC5xdTUwc2t0NHJ5OGkyDmguYmlnMmNsMnc3cm8yMg5oLjU4cDkwejcxZGZkYzIOaC4xMHQ5Y2J4NDVwZXQyDmguZ3F6bnpncnIxeTBvMg5oLmdzbm5keHBkNG1jYzIOaC4yaXA5azc0Z3o5Ym4yDmgueTJ2ajMzcjRnYWZpMg5oLnAxZjczN3VhOGlmNzINaC44amJqZmEyMjU4bjIOaC5yanpwM2xoZzA5anUyDWguaHo2cjd5eWhlbmcyDmgucjh3MDB5d2JkZzA1Mg5oLmN4NHEydGcyenY5cDIOaC53dWxycmYyOGVsZnU4AHIhMVBqTWZsZ3JvLTRWb3QwU0tCLXZsdlN3dm1FR3JnTzd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11</TotalTime>
  <Pages>20</Pages>
  <Words>6625</Words>
  <Characters>35781</Characters>
  <Application>Microsoft Office Word</Application>
  <DocSecurity>0</DocSecurity>
  <Lines>298</Lines>
  <Paragraphs>84</Paragraphs>
  <ScaleCrop>false</ScaleCrop>
  <Company/>
  <LinksUpToDate>false</LinksUpToDate>
  <CharactersWithSpaces>42322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Gomes de Lima</dc:creator>
  <cp:lastModifiedBy>Camila Gomes de Lima</cp:lastModifiedBy>
  <cp:revision>11</cp:revision>
  <dcterms:created xsi:type="dcterms:W3CDTF">2025-05-19T20:45:00Z</dcterms:created>
  <dcterms:modified xsi:type="dcterms:W3CDTF">2025-05-19T20:58:00Z</dcterms:modified>
</cp:coreProperties>
</file>