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CACBC" w14:textId="77777777" w:rsidR="00A77B3E" w:rsidRDefault="00A77B3E">
      <w:pPr>
        <w:spacing w:after="0" w:line="240" w:lineRule="auto"/>
        <w:rPr>
          <w:rFonts w:ascii="Times New Roman" w:hAnsi="Times New Roman" w:cs="Times New Roman"/>
          <w:b/>
          <w:bCs/>
          <w:sz w:val="20"/>
          <w:szCs w:val="20"/>
          <w:lang w:val="en-US"/>
        </w:rPr>
      </w:pPr>
    </w:p>
    <w:p w14:paraId="669B6C1B" w14:textId="77777777" w:rsidR="00A77B3E" w:rsidRPr="003F55A9" w:rsidRDefault="004538A5">
      <w:pPr>
        <w:spacing w:after="0" w:line="240" w:lineRule="auto"/>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ATTN: Sr. Jorge Araya</w:t>
      </w:r>
      <w:r w:rsidRPr="003F55A9">
        <w:rPr>
          <w:rFonts w:ascii="Times New Roman" w:hAnsi="Times New Roman" w:cs="Times New Roman"/>
          <w:sz w:val="20"/>
          <w:szCs w:val="20"/>
          <w:lang w:val="es-ES" w:eastAsia="en-US"/>
        </w:rPr>
        <w:t>,</w:t>
      </w:r>
    </w:p>
    <w:p w14:paraId="738F3068" w14:textId="77777777" w:rsidR="00A77B3E" w:rsidRPr="003F55A9" w:rsidRDefault="004538A5">
      <w:pPr>
        <w:spacing w:after="0" w:line="240" w:lineRule="auto"/>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Secretario del Comité de Derechos de Personas con Discapacidad, </w:t>
      </w:r>
    </w:p>
    <w:p w14:paraId="5740F580" w14:textId="77777777" w:rsidR="00A77B3E" w:rsidRPr="003F55A9" w:rsidRDefault="004538A5">
      <w:pPr>
        <w:spacing w:after="0" w:line="240" w:lineRule="auto"/>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Alto Comisionado de Derechos Humanos de Naciones Unidas.</w:t>
      </w:r>
    </w:p>
    <w:p w14:paraId="721702BE" w14:textId="77777777" w:rsidR="00A77B3E" w:rsidRPr="003F55A9" w:rsidRDefault="00A77B3E">
      <w:pPr>
        <w:spacing w:after="0" w:line="240" w:lineRule="auto"/>
        <w:rPr>
          <w:rFonts w:ascii="Times New Roman" w:hAnsi="Times New Roman" w:cs="Times New Roman"/>
          <w:sz w:val="20"/>
          <w:szCs w:val="20"/>
          <w:lang w:val="es-ES"/>
        </w:rPr>
      </w:pPr>
    </w:p>
    <w:p w14:paraId="77D12BA8" w14:textId="77777777" w:rsidR="00A77B3E" w:rsidRPr="003F55A9" w:rsidRDefault="004538A5">
      <w:pPr>
        <w:spacing w:after="0" w:line="240" w:lineRule="auto"/>
        <w:rPr>
          <w:rFonts w:ascii="Times New Roman" w:hAnsi="Times New Roman" w:cs="Times New Roman"/>
          <w:b/>
          <w:bCs/>
          <w:sz w:val="20"/>
          <w:szCs w:val="20"/>
          <w:lang w:val="es-ES"/>
        </w:rPr>
      </w:pPr>
      <w:r w:rsidRPr="003F55A9">
        <w:rPr>
          <w:rFonts w:ascii="Times New Roman" w:hAnsi="Times New Roman" w:cs="Times New Roman"/>
          <w:b/>
          <w:bCs/>
          <w:sz w:val="20"/>
          <w:szCs w:val="20"/>
          <w:lang w:val="es-ES" w:eastAsia="en-US"/>
        </w:rPr>
        <w:t>De: Sra. Priscilla Alejandra Rojas Oyarce</w:t>
      </w:r>
      <w:r w:rsidRPr="003F55A9">
        <w:rPr>
          <w:rFonts w:ascii="Times New Roman" w:hAnsi="Times New Roman" w:cs="Times New Roman"/>
          <w:sz w:val="20"/>
          <w:szCs w:val="20"/>
          <w:lang w:val="es-ES" w:eastAsia="en-US"/>
        </w:rPr>
        <w:t>,</w:t>
      </w:r>
    </w:p>
    <w:p w14:paraId="2E84B6F5" w14:textId="77777777" w:rsidR="00A77B3E" w:rsidRPr="003F55A9" w:rsidRDefault="004538A5">
      <w:pPr>
        <w:spacing w:after="0" w:line="240" w:lineRule="auto"/>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Presidenta de Agrupación de Discapacitados Auditivos Provincia del Marga Marga,</w:t>
      </w:r>
    </w:p>
    <w:p w14:paraId="346B9046" w14:textId="77777777" w:rsidR="00A77B3E" w:rsidRPr="003F55A9" w:rsidRDefault="004538A5">
      <w:pPr>
        <w:spacing w:after="0" w:line="240" w:lineRule="auto"/>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Representante de la Mesa Territorial Región Valparaíso.</w:t>
      </w:r>
    </w:p>
    <w:p w14:paraId="1D8A9AE8" w14:textId="77777777" w:rsidR="00A77B3E" w:rsidRPr="003F55A9" w:rsidRDefault="004538A5">
      <w:pPr>
        <w:spacing w:after="0" w:line="240" w:lineRule="auto"/>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w:t>
      </w:r>
    </w:p>
    <w:p w14:paraId="69658913" w14:textId="77777777" w:rsidR="00A77B3E" w:rsidRPr="003F55A9" w:rsidRDefault="004538A5">
      <w:pPr>
        <w:spacing w:after="0" w:line="240" w:lineRule="auto"/>
        <w:rPr>
          <w:rFonts w:ascii="Times New Roman" w:hAnsi="Times New Roman" w:cs="Times New Roman"/>
          <w:sz w:val="20"/>
          <w:szCs w:val="20"/>
          <w:u w:val="single"/>
          <w:lang w:val="es-ES"/>
        </w:rPr>
      </w:pPr>
      <w:r w:rsidRPr="003F55A9">
        <w:rPr>
          <w:rFonts w:ascii="Times New Roman" w:hAnsi="Times New Roman" w:cs="Times New Roman"/>
          <w:b/>
          <w:bCs/>
          <w:sz w:val="20"/>
          <w:szCs w:val="20"/>
          <w:lang w:val="es-ES" w:eastAsia="en-US"/>
        </w:rPr>
        <w:t>ASUNTO:</w:t>
      </w:r>
      <w:r w:rsidRPr="003F55A9">
        <w:rPr>
          <w:rFonts w:ascii="Times New Roman" w:hAnsi="Times New Roman" w:cs="Times New Roman"/>
          <w:sz w:val="20"/>
          <w:szCs w:val="20"/>
          <w:lang w:val="es-ES" w:eastAsia="en-US"/>
        </w:rPr>
        <w:t xml:space="preserve"> </w:t>
      </w:r>
      <w:r w:rsidRPr="003F55A9">
        <w:rPr>
          <w:rFonts w:ascii="Times New Roman" w:hAnsi="Times New Roman" w:cs="Times New Roman"/>
          <w:sz w:val="20"/>
          <w:szCs w:val="20"/>
          <w:u w:val="single"/>
          <w:lang w:val="es-ES" w:eastAsia="en-US"/>
        </w:rPr>
        <w:t>Presenta informe sobre implementación de CDPD en Chile desde la perspectiva de la Comunidad Sorda de la Región de Valparaíso.</w:t>
      </w:r>
    </w:p>
    <w:p w14:paraId="77489316" w14:textId="77777777" w:rsidR="00A77B3E" w:rsidRPr="003F55A9" w:rsidRDefault="00A77B3E">
      <w:pPr>
        <w:spacing w:after="240" w:line="240" w:lineRule="auto"/>
        <w:jc w:val="right"/>
        <w:rPr>
          <w:rFonts w:ascii="Times New Roman" w:hAnsi="Times New Roman" w:cs="Times New Roman"/>
          <w:sz w:val="20"/>
          <w:szCs w:val="20"/>
          <w:lang w:val="es-ES"/>
        </w:rPr>
      </w:pPr>
    </w:p>
    <w:p w14:paraId="363FB67E" w14:textId="77777777" w:rsidR="00A77B3E" w:rsidRPr="003F55A9" w:rsidRDefault="004538A5">
      <w:pPr>
        <w:spacing w:after="240" w:line="240" w:lineRule="auto"/>
        <w:jc w:val="right"/>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br/>
        <w:t>Valparaíso, Chile, lunes 20 de Julio</w:t>
      </w:r>
    </w:p>
    <w:p w14:paraId="4548D138" w14:textId="77777777" w:rsidR="00A77B3E" w:rsidRPr="003F55A9" w:rsidRDefault="00A77B3E">
      <w:pPr>
        <w:spacing w:after="0" w:line="240" w:lineRule="auto"/>
        <w:rPr>
          <w:rFonts w:ascii="Times New Roman" w:hAnsi="Times New Roman" w:cs="Times New Roman"/>
          <w:sz w:val="20"/>
          <w:szCs w:val="20"/>
          <w:lang w:val="es-ES"/>
        </w:rPr>
      </w:pPr>
    </w:p>
    <w:p w14:paraId="158F3C32" w14:textId="77777777" w:rsidR="00A77B3E" w:rsidRPr="003F55A9" w:rsidRDefault="00A77B3E">
      <w:pPr>
        <w:spacing w:after="0" w:line="240" w:lineRule="auto"/>
        <w:rPr>
          <w:rFonts w:ascii="Times New Roman" w:hAnsi="Times New Roman" w:cs="Times New Roman"/>
          <w:sz w:val="20"/>
          <w:szCs w:val="20"/>
          <w:lang w:val="es-ES"/>
        </w:rPr>
      </w:pPr>
    </w:p>
    <w:p w14:paraId="3304FE64" w14:textId="77777777" w:rsidR="00A77B3E" w:rsidRPr="003F55A9" w:rsidRDefault="004538A5">
      <w:pPr>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Señor Jorge Araya,</w:t>
      </w:r>
    </w:p>
    <w:p w14:paraId="61A00CF4" w14:textId="77777777" w:rsidR="00A77B3E" w:rsidRPr="003F55A9" w:rsidRDefault="004538A5">
      <w:pPr>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Secretario del Comité de Derechos de Personas con Discapacidad,</w:t>
      </w:r>
    </w:p>
    <w:p w14:paraId="541DE98C" w14:textId="77777777" w:rsidR="00A77B3E" w:rsidRPr="003F55A9" w:rsidRDefault="004538A5">
      <w:pPr>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Quien suscribe, en representación de la Mesa Territorial de Instituciones de la Comunidad Sorda de la Región de Valparaíso, instancia de articulación integrada por la Agrupación de Discapacitados Auditivos Provincia del Marga Marga, la Asociación Cultural y Deportiva de Sordos de Viña del Mar, la Asociación de Sordos de Viña del Mar, la Corporación de Sordos de Valparaíso, la Agrupación Deportiva de Sordos de Villa Alemana y la Asociación de Intérpretes de Lengua de Señas Chilena.</w:t>
      </w:r>
    </w:p>
    <w:p w14:paraId="1A9571D5"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Mesa Territorial tiene por objeto promover, proteger y defender los Derechos Humanos de las Personas Sordas usuarias de la Lengua de Señas Chilena (LSCh), impulsando acciones de incidencia, participación ciudadana, colaboración interinstitucional y seguimiento de las políticas públicas que afectan a la Comunidad Sorda, con especial énfasis en el acceso igualitario a la salud, la educación, la justicia y demás servicios públicos.</w:t>
      </w:r>
    </w:p>
    <w:p w14:paraId="723CC747"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En este contexto, el presente informe refleja los antecedentes recopilados por las organizaciones integrantes de la Mesa Territorial, complementados con información obtenida mediante solicitudes de acceso a la información pública, revisión de normativa nacional, documentos oficiales, estadísticas y testimonios de Personas Sordas usuarias de la LSCh de la Región de Valparaíso.</w:t>
      </w:r>
    </w:p>
    <w:p w14:paraId="20B5D2E6" w14:textId="77777777" w:rsidR="00A77B3E" w:rsidRPr="003F55A9" w:rsidRDefault="004538A5">
      <w:pPr>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Este informe es el resultado del trabajo desarrollado durante el año 2026 en materia de promoción y defensa de los derechos de las Personas Sordas. Su elaboración fue coordinada por la Licenciada en Ciencias Jurídicas Sra. Yazmin Lorca Benavides, y contó con la revisión jurídica del abogado Sr. Javier Ovalle Meneses. Asimismo, su contenido ha sido validado y respaldado por las organizaciones que integran la Mesa Territorial antes individualizadas.</w:t>
      </w:r>
    </w:p>
    <w:p w14:paraId="7A688ECD" w14:textId="77777777" w:rsidR="00A77B3E" w:rsidRPr="003F55A9" w:rsidRDefault="00A77B3E">
      <w:pPr>
        <w:rPr>
          <w:rFonts w:ascii="Times New Roman" w:hAnsi="Times New Roman" w:cs="Times New Roman"/>
          <w:b/>
          <w:bCs/>
          <w:sz w:val="20"/>
          <w:szCs w:val="20"/>
          <w:lang w:val="es-ES"/>
        </w:rPr>
      </w:pPr>
    </w:p>
    <w:p w14:paraId="183B5918" w14:textId="77777777" w:rsidR="00A77B3E" w:rsidRPr="003F55A9" w:rsidRDefault="00A77B3E">
      <w:pPr>
        <w:rPr>
          <w:rFonts w:ascii="Times New Roman" w:hAnsi="Times New Roman" w:cs="Times New Roman"/>
          <w:b/>
          <w:bCs/>
          <w:sz w:val="20"/>
          <w:szCs w:val="20"/>
          <w:lang w:val="es-ES"/>
        </w:rPr>
      </w:pPr>
    </w:p>
    <w:p w14:paraId="37D5A2B2" w14:textId="77777777" w:rsidR="00A77B3E" w:rsidRPr="003F55A9" w:rsidRDefault="00A77B3E">
      <w:pPr>
        <w:rPr>
          <w:rFonts w:ascii="Times New Roman" w:hAnsi="Times New Roman" w:cs="Times New Roman"/>
          <w:b/>
          <w:bCs/>
          <w:sz w:val="20"/>
          <w:szCs w:val="20"/>
          <w:lang w:val="es-ES"/>
        </w:rPr>
      </w:pPr>
    </w:p>
    <w:p w14:paraId="19CF4A41" w14:textId="77777777" w:rsidR="00A77B3E" w:rsidRPr="003F55A9" w:rsidRDefault="004538A5">
      <w:pPr>
        <w:rPr>
          <w:rFonts w:ascii="Times New Roman" w:hAnsi="Times New Roman" w:cs="Times New Roman"/>
          <w:b/>
          <w:bCs/>
          <w:lang w:val="es-ES"/>
        </w:rPr>
      </w:pPr>
      <w:r w:rsidRPr="003F55A9">
        <w:rPr>
          <w:rFonts w:ascii="Times New Roman" w:hAnsi="Times New Roman" w:cs="Times New Roman"/>
          <w:b/>
          <w:bCs/>
          <w:lang w:val="es-ES" w:eastAsia="en-US"/>
        </w:rPr>
        <w:lastRenderedPageBreak/>
        <w:t>Preámbulo</w:t>
      </w:r>
    </w:p>
    <w:p w14:paraId="40604CF2"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El presente informe se centra en el análisis de la implementación de la Convención sobre los Derechos de las Personas con Discapacidad en el ámbito de la salud, tomando como eje principal el artículo 25 de dicho instrumento internacional, que reconoce el derecho de las personas con discapacidad a gozar del más alto nivel posible de salud sin discriminación por motivos de discapacidad.</w:t>
      </w:r>
    </w:p>
    <w:p w14:paraId="4974B5A2"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Desde esta perspectiva, el informe examina las condiciones en que las Personas Sordas usuarias de la Lengua de Señas Chilena (en adelante LSCh) acceden a las prestaciones del sistema de salud y evalúa si las medidas de accesibilidad comunicacional, información y apoyo previstas por la Convención se encuentran efectivamente garantizadas en la práctica.</w:t>
      </w:r>
    </w:p>
    <w:p w14:paraId="1D68D9E7"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información contenida en este informe se sustenta en el análisis de solicitudes de acceso a la información pública, revisión de normativa nacional, documentos oficiales de organismos públicos, estadísticas nacionales y otros antecedentes relevantes, complementados con testimonios y experiencias documentadas por organizaciones de Personas Sordas de la Región de Valparaíso en labores de promoción, acompañamiento y defensa de derechos.</w:t>
      </w:r>
    </w:p>
    <w:p w14:paraId="5A7C226C"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Esta combinación de fuentes permite ofrecer una evaluación de la implementación práctica del artículo 25 de la Convención, en relación con las obligaciones de accesibilidad y comunicación establecidas en los artículos 9 y 21, desde la perspectiva de la sociedad civil y de las personas directamente afectadas.</w:t>
      </w:r>
    </w:p>
    <w:p w14:paraId="67416937" w14:textId="77777777" w:rsidR="00A77B3E" w:rsidRPr="003F55A9" w:rsidRDefault="004538A5">
      <w:pPr>
        <w:spacing w:before="240" w:after="240"/>
        <w:jc w:val="both"/>
        <w:rPr>
          <w:rFonts w:ascii="Times New Roman" w:hAnsi="Times New Roman" w:cs="Times New Roman"/>
          <w:b/>
          <w:bCs/>
          <w:lang w:val="es-ES"/>
        </w:rPr>
      </w:pPr>
      <w:r w:rsidRPr="003F55A9">
        <w:rPr>
          <w:rFonts w:ascii="Times New Roman" w:hAnsi="Times New Roman" w:cs="Times New Roman"/>
          <w:b/>
          <w:bCs/>
          <w:lang w:val="es-ES" w:eastAsia="en-US"/>
        </w:rPr>
        <w:t>Metodología</w:t>
      </w:r>
    </w:p>
    <w:p w14:paraId="536E56F8"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elaboración del presente informe se desarrolló entre los meses de febrero y julio de 2026, mediante una metodología cualitativa basada en la recopilación y análisis de información documental, normativa y estadística, complementada con antecedentes provenientes de las organizaciones representativas de la Comunidad Sorda de la Región de Valparaíso.</w:t>
      </w:r>
    </w:p>
    <w:p w14:paraId="4B0B48D3"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El proceso se inició en febrero de 2026, a partir de una reunión de vinculación convocada por la sede regional de Valparaíso del Instituto Nacional de Derechos Humanos (INDH), en la que participaron representantes de diversas organizaciones de Personas Sordas de la Región de Valparaíso. El objetivo de esta instancia fue fortalecer el trabajo colaborativo entre el INDH y las organizaciones de la Comunidad Sorda, promoviendo la identificación de problemáticas regionales en materia de Derechos Humanos y la generación de mecanismos de participación para el proceso de revisión del Estado de Chile ante el Comité sobre los Derechos de las Personas con Discapacidad.</w:t>
      </w:r>
    </w:p>
    <w:p w14:paraId="0AF5B39A"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Como resultado de esta reunión, se acordó la realización de cuatro talleres temáticos orientados al fortalecimiento de capacidades y al levantamiento participativo de información en materias de acceso a la justicia, educación, salud y prevención de la violencia contra las mujeres. Paralelamente, las organizaciones participaron en un taller convocado por el Instituto Nacional de Derechos Humanos, sede Valparaíso, destinado específicamente a orientar la elaboración de informes dirigidos al Comité sobre los Derechos de las Personas con Discapacidad de las Naciones Unidas.</w:t>
      </w:r>
    </w:p>
    <w:p w14:paraId="0EF7D278"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Todas las actividades se desarrollaron en condiciones de accesibilidad, contando con interpretación en Lengua de Señas Chilena y promoviendo la participación directa de Personas Sordas usuarias de esta lengua. En </w:t>
      </w:r>
      <w:r w:rsidRPr="003F55A9">
        <w:rPr>
          <w:rFonts w:ascii="Times New Roman" w:hAnsi="Times New Roman" w:cs="Times New Roman"/>
          <w:sz w:val="20"/>
          <w:szCs w:val="20"/>
          <w:lang w:val="es-ES" w:eastAsia="en-US"/>
        </w:rPr>
        <w:lastRenderedPageBreak/>
        <w:t>dichas instancias, las personas participantes no solo asistieron como beneficiarias de los espacios de diálogo, sino que participaron activamente como titulares de derechos, identificando las principales barreras que enfrentan en la Región de Valparaíso, priorizando las materias consideradas más relevantes y aportando antecedentes derivados de sus experiencias en el ejercicio de los derechos a la salud, la educación, el acceso a la justicia y una vida libre de violencia.</w:t>
      </w:r>
    </w:p>
    <w:p w14:paraId="54520FEC"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información obtenida mediante este proceso participativo fue complementada con el análisis de la normativa nacional e internacional aplicable, documentos oficiales del Estado, estadísticas públicas, respuestas obtenidas mediante solicitudes de acceso a la información pública y otros antecedentes documentales relevantes para la evaluación de la implementación de la Convención sobre los Derechos de las Personas con Discapacidad en la Región de Valparaíso.</w:t>
      </w:r>
    </w:p>
    <w:p w14:paraId="6B39B1C4"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En concordancia con el artículo 4.3 de la Convención sobre los Derechos de las Personas con Discapacidad, el presente informe incorpora la participación de las organizaciones representativas de la Comunidad Sorda durante las distintas etapas de su elaboración, asegurando que el contenido refleje las prioridades, experiencias y necesidades identificadas por las propias Personas Sordas de la región.</w:t>
      </w:r>
    </w:p>
    <w:p w14:paraId="1F658EA9"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Para su elaboración se revisó la normativa nacional vigente de Chile, la Convención sobre los Derechos de las Personas con Discapacidad y demás instrumentos internacionales aplicables; se analizaron documentos oficiales emitidos por organismos públicos, estadísticas disponibles y respuestas obtenidas mediante solicitudes de acceso a la información pública formuladas conforme a la Ley N°20.285 sobre Acceso a la Información Pública.</w:t>
      </w:r>
    </w:p>
    <w:p w14:paraId="161EB6F3"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Durante la elaboración del presente informe se presentaron solicitudes de acceso a la información pública a distintas instituciones del Estado, con el propósito de conocer la existencia de intérpretes de Lengua de Señas Chilena, protocolos de accesibilidad comunicacional, estadísticas y programas específicos. Las respuestas obtenidas fueron consideradas en el análisis de las brechas identificadas. </w:t>
      </w:r>
    </w:p>
    <w:p w14:paraId="335D3BAE"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Se recopilaron trece testimonios de Personas Sordas, obtenidos mediante reuniones de trabajo convocadas con el apoyo del Instituto Nacional de Derechos Humanos (INDH), entrevistas y antecedentes aportados por las organizaciones integrantes de la Mesa Territorial de Instituciones de la Comunidad Sorda de la Región de Valparaíso. Con fines ilustrativos, el presente informe incorpora cuatro testimonios representativos, seleccionados por contar con antecedentes documentales y otros medios de respaldo que permiten sustentar los hechos expuestos. Los restantes testimonios presentan patrones similares de barreras de accesibilidad comunicacional en el acceso a la salud. </w:t>
      </w:r>
    </w:p>
    <w:p w14:paraId="1AC74CEB"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información recopilada fue analizada a la luz de las obligaciones establecidas en la Convención sobre los Derechos de las Personas con Discapacidad particularmente respecto de los artículos 9, 21 y 25, con el propósito de identificar brechas entre el marco normativo vigente y su implementación práctica en la Región de Valparaíso.</w:t>
      </w:r>
    </w:p>
    <w:p w14:paraId="6ADE8A84"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El informe no pretende constituir un diagnóstico estadístico de alcance nacional, sino aportar antecedentes cualitativos y documentales que contribuyan a la evaluación del cumplimiento de las obligaciones internacionales asumidas por el Estado de Chile desde la perspectiva de las organizaciones representativas de la Comunidad Sorda.</w:t>
      </w:r>
    </w:p>
    <w:p w14:paraId="7674DE2A" w14:textId="77777777" w:rsidR="00A77B3E" w:rsidRPr="003F55A9" w:rsidRDefault="00A77B3E">
      <w:pPr>
        <w:spacing w:before="240" w:after="240"/>
        <w:jc w:val="both"/>
        <w:rPr>
          <w:rFonts w:ascii="Times New Roman" w:hAnsi="Times New Roman" w:cs="Times New Roman"/>
          <w:sz w:val="20"/>
          <w:szCs w:val="20"/>
          <w:lang w:val="es-ES"/>
        </w:rPr>
      </w:pPr>
    </w:p>
    <w:p w14:paraId="7C7BE6F8" w14:textId="77777777" w:rsidR="00A77B3E" w:rsidRPr="003F55A9" w:rsidRDefault="004538A5">
      <w:pPr>
        <w:jc w:val="both"/>
        <w:rPr>
          <w:rFonts w:ascii="Times New Roman" w:hAnsi="Times New Roman" w:cs="Times New Roman"/>
          <w:b/>
          <w:bCs/>
          <w:lang w:val="es-ES"/>
        </w:rPr>
      </w:pPr>
      <w:r w:rsidRPr="003F55A9">
        <w:rPr>
          <w:rFonts w:ascii="Times New Roman" w:hAnsi="Times New Roman" w:cs="Times New Roman"/>
          <w:b/>
          <w:bCs/>
          <w:lang w:val="es-ES" w:eastAsia="en-US"/>
        </w:rPr>
        <w:lastRenderedPageBreak/>
        <w:t>I. Contexto General</w:t>
      </w:r>
    </w:p>
    <w:p w14:paraId="38589FB8" w14:textId="77777777" w:rsidR="00A77B3E" w:rsidRPr="003F55A9" w:rsidRDefault="004538A5">
      <w:pPr>
        <w:spacing w:before="240" w:after="240"/>
        <w:jc w:val="both"/>
        <w:rPr>
          <w:rFonts w:ascii="Times New Roman" w:hAnsi="Times New Roman" w:cs="Times New Roman"/>
          <w:b/>
          <w:bCs/>
          <w:sz w:val="20"/>
          <w:szCs w:val="20"/>
          <w:lang w:val="es-ES"/>
        </w:rPr>
      </w:pPr>
      <w:r w:rsidRPr="003F55A9">
        <w:rPr>
          <w:rFonts w:ascii="Times New Roman" w:hAnsi="Times New Roman" w:cs="Times New Roman"/>
          <w:b/>
          <w:bCs/>
          <w:sz w:val="20"/>
          <w:szCs w:val="20"/>
          <w:lang w:val="es-ES" w:eastAsia="en-US"/>
        </w:rPr>
        <w:t xml:space="preserve">1.1 Region de Valparaíso. </w:t>
      </w:r>
      <w:r w:rsidRPr="003F55A9">
        <w:rPr>
          <w:rFonts w:ascii="Times New Roman" w:hAnsi="Times New Roman" w:cs="Times New Roman"/>
          <w:sz w:val="20"/>
          <w:szCs w:val="20"/>
          <w:lang w:val="es-ES" w:eastAsia="en-US"/>
        </w:rPr>
        <w:t>La Región de Valparaíso constituye la segunda región más poblada de Chile. Según el Censo de Población y Vivienda 2024, elaborado por el Instituto Nacional de Estadísticas (INE), esta registra una población de 1.896.053 habitantes, equivalente al 10,3 % de la población nacional. La región está conformada por las provincias de Valparaíso, Marga Marga, Quillota, Petorca, San Antonio, San Felipe de Aconcagua, Los Andes e Isla de Pascua (Rapa Nui), las que, en conjunto, agrupan 38 comunas. Su diversidad territorial, que comprende zonas urbanas, rurales e insulares, representa un desafío permanente para la implementación de políticas públicas que garanticen el acceso equitativo a los servicios del Estado en todo el territorio regional.</w:t>
      </w:r>
    </w:p>
    <w:p w14:paraId="3AF437C7"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 xml:space="preserve">1.2 Organización de la Red Pública de Salud. </w:t>
      </w:r>
      <w:r w:rsidRPr="003F55A9">
        <w:rPr>
          <w:rFonts w:ascii="Times New Roman" w:hAnsi="Times New Roman" w:cs="Times New Roman"/>
          <w:sz w:val="20"/>
          <w:szCs w:val="20"/>
          <w:lang w:val="es-ES" w:eastAsia="en-US"/>
        </w:rPr>
        <w:t>En materia de salud, la red pública de la Región de Valparaíso depende del Ministerio de Salud y se organiza a través de tres Servicios de Salud, responsables de la gestión de la red asistencial en sus respectivos territorios. El Servicio de Salud Viña del Mar–Quillota–Petorca administra la atención de las provincias de Marga Marga, Quillota y Petorca, además de comunas como Viña del Mar, Quilpué y Villa Alemana. El Servicio de Salud Valparaíso–San Antonio comprende las comunas de Valparaíso, Casablanca, San Antonio, el litoral central y el archipiélago de Juan Fernández. Por su parte, el Servicio de Salud Aconcagua administra la red de las provincias de San Felipe de Aconcagua y Los Andes.</w:t>
      </w:r>
    </w:p>
    <w:p w14:paraId="460C9047" w14:textId="77777777" w:rsidR="00A77B3E" w:rsidRPr="003F55A9" w:rsidRDefault="004538A5">
      <w:pPr>
        <w:spacing w:before="240" w:after="240"/>
        <w:jc w:val="both"/>
        <w:rPr>
          <w:rFonts w:ascii="Times New Roman" w:hAnsi="Times New Roman" w:cs="Times New Roman"/>
          <w:b/>
          <w:bCs/>
          <w:sz w:val="20"/>
          <w:szCs w:val="20"/>
          <w:lang w:val="es-ES"/>
        </w:rPr>
      </w:pPr>
      <w:r w:rsidRPr="003F55A9">
        <w:rPr>
          <w:rFonts w:ascii="Times New Roman" w:hAnsi="Times New Roman" w:cs="Times New Roman"/>
          <w:sz w:val="20"/>
          <w:szCs w:val="20"/>
          <w:lang w:val="es-ES" w:eastAsia="en-US"/>
        </w:rPr>
        <w:t>Estos Servicios de Salud son responsables de coordinar la atención hospitalaria y articular la atención primaria de salud desarrollada por las municipalidades. La red asistencial está integrada por hospitales de alta, mediana y baja complejidad, Centros de Salud Familiar (CESFAM), Centros Comunitarios de Salud Familiar (CECOSF), Servicios de Atención Primaria de Urgencia (SAPU) y otros dispositivos asistenciales distribuidos en las 38 comunas de la región, constituyendo el principal sistema público de provisión de servicios de salud para la población</w:t>
      </w:r>
      <w:r w:rsidRPr="003F55A9">
        <w:rPr>
          <w:rFonts w:ascii="Times New Roman" w:hAnsi="Times New Roman" w:cs="Times New Roman"/>
          <w:b/>
          <w:bCs/>
          <w:sz w:val="20"/>
          <w:szCs w:val="20"/>
          <w:lang w:val="es-ES" w:eastAsia="en-US"/>
        </w:rPr>
        <w:t>.</w:t>
      </w:r>
    </w:p>
    <w:p w14:paraId="6B07DC77"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La amplitud territorial y la diversidad geográfica de esta red hacen indispensable que las medidas de accesibilidad comunicacional se implementen de manera uniforme en todos los niveles de atención. En consecuencia, la garantía del derecho a la salud de las Personas Sordas usuarias de LSCh, requiere que los tres Servicios de Salud incorporen mecanismos permanentes de accesibilidad que aseguren una atención efectiva e igualitaria en todo el territorio regional. </w:t>
      </w:r>
    </w:p>
    <w:p w14:paraId="27A1B7EB"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 xml:space="preserve">1.3 Personas Sordas en la región. </w:t>
      </w:r>
      <w:r w:rsidRPr="003F55A9">
        <w:rPr>
          <w:rFonts w:ascii="Times New Roman" w:hAnsi="Times New Roman" w:cs="Times New Roman"/>
          <w:sz w:val="20"/>
          <w:szCs w:val="20"/>
          <w:lang w:val="es-ES" w:eastAsia="en-US"/>
        </w:rPr>
        <w:t>Actualmente no existen estadísticas oficiales que permitan identificar con precisión el número de Personas Sordas usuarias de LSCh que habitan en la Región de Valparaíso, ni su distribución territorial. Las estadísticas nacionales disponibles corresponden a personas con discapacidad auditiva y no distinguen cuántas de ellas son usuarias de la Lengua de Señas Chilena. De acuerdo con antecedentes difundidos por el Servicio Nacional de la Discapacidad (SENADIS) se estima la existencia de aproximadamente 179.268 personas con sordera total en el país. Considerando que la Región de Valparaíso concentra el 10,3 % de la población nacional, puede estimarse, únicamente con fines referenciales, que alrededor de 18.000 Personas Sordas residen en la región. Esta estimación no constituye un registro oficial y evidencia la necesidad de que el Estado genere información estadística desagregada que permita diseñar políticas públicas adecuadas para esta población.</w:t>
      </w:r>
    </w:p>
    <w:p w14:paraId="0219816D" w14:textId="77777777" w:rsidR="00A77B3E" w:rsidRPr="003F55A9" w:rsidRDefault="00A77B3E">
      <w:pPr>
        <w:spacing w:before="240" w:after="240"/>
        <w:jc w:val="both"/>
        <w:rPr>
          <w:rFonts w:ascii="Times New Roman" w:hAnsi="Times New Roman" w:cs="Times New Roman"/>
          <w:sz w:val="20"/>
          <w:szCs w:val="20"/>
          <w:lang w:val="es-ES"/>
        </w:rPr>
      </w:pPr>
    </w:p>
    <w:p w14:paraId="2786D7EA" w14:textId="77777777" w:rsidR="00A77B3E" w:rsidRPr="003F55A9" w:rsidRDefault="004538A5">
      <w:pPr>
        <w:jc w:val="both"/>
        <w:rPr>
          <w:rFonts w:ascii="Times New Roman" w:hAnsi="Times New Roman" w:cs="Times New Roman"/>
          <w:b/>
          <w:bCs/>
          <w:lang w:val="es-ES"/>
        </w:rPr>
      </w:pPr>
      <w:r w:rsidRPr="003F55A9">
        <w:rPr>
          <w:rFonts w:ascii="Times New Roman" w:hAnsi="Times New Roman" w:cs="Times New Roman"/>
          <w:b/>
          <w:bCs/>
          <w:lang w:val="es-ES" w:eastAsia="en-US"/>
        </w:rPr>
        <w:lastRenderedPageBreak/>
        <w:t>II. Marco jurídico</w:t>
      </w:r>
    </w:p>
    <w:p w14:paraId="7B15F104"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2.1 Convención sobre los Derechos de las Personas con Discapacidad</w:t>
      </w:r>
      <w:r w:rsidRPr="003F55A9">
        <w:rPr>
          <w:rFonts w:ascii="Times New Roman" w:hAnsi="Times New Roman" w:cs="Times New Roman"/>
          <w:sz w:val="20"/>
          <w:szCs w:val="20"/>
          <w:lang w:val="es-ES" w:eastAsia="en-US"/>
        </w:rPr>
        <w:t>. Dicho marco normativo establece, en su artículo 4.3, que los Estados Parte deberán celebrar consultas estrechas y colaborar activamente con las personas con discapacidad, a través de las organizaciones que las representan, en la elaboración y aplicación de legislación, políticas públicas y procesos de adopción de decisiones relacionados con sus derechos. En concordancia con este principio, ampliamente reconocido por el movimiento internacional de personas con discapacidad bajo el lema "Nada sobre nosotros sin nosotros", el presente informe complementario ha sido elaborado sobre la base de la experiencia, los conocimientos y los antecedentes recopilados por organizaciones representativas de la Comunidad Sorda de la Región de Valparaíso, con el propósito de contribuir al examen periódico del Estado de Chile ante el Comité sobre los Derechos de las Personas con Discapacidad de las Naciones Unidas.</w:t>
      </w:r>
    </w:p>
    <w:p w14:paraId="13CC2276"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En este contexto, el presente informe se concentra en el análisis del derecho a la salud, por constituir un derecho esencial para el desarrollo personal, la participación social y el ejercicio de los demás derechos reconocidos por la Convención. En particular, examina el cumplimiento de los artículos 9 (accesibilidad), 21 (libertad de expresión y acceso a la información) y 25 (salud), evaluando la aplicación del marco jurídico vigente y su implementación práctica en la Región de Valparaíso desde la perspectiva de la Comunidad Sorda. Sobre la base de los antecedentes recopilados, el informe identifica brechas entre la normativa vigente y su aplicación efectiva, formulando observaciones y recomendaciones destinadas a contribuir al cumplimiento de las obligaciones internacionales asumidas por el Estado de Chile en virtud de la Convención. </w:t>
      </w:r>
    </w:p>
    <w:p w14:paraId="1952D406"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2.2 Legislación nacional</w:t>
      </w:r>
      <w:r w:rsidRPr="003F55A9">
        <w:rPr>
          <w:rFonts w:ascii="Times New Roman" w:hAnsi="Times New Roman" w:cs="Times New Roman"/>
          <w:sz w:val="20"/>
          <w:szCs w:val="20"/>
          <w:lang w:val="es-ES" w:eastAsia="en-US"/>
        </w:rPr>
        <w:t xml:space="preserve">. La República de Chile ratificó la Convención sobre los Derechos de las Personas con Discapacidad y su Protocolo Facultativo en 2008, asumiendo el compromiso de promover, proteger y garantizar el pleno ejercicio de los derechos humanos de las personas con discapacidad. En cumplimiento de estas obligaciones internacionales, el Estado de Chile ha promulgado diversas normas destinadas a fortalecer la inclusión, la accesibilidad y la igualdad de oportunidades. </w:t>
      </w:r>
    </w:p>
    <w:p w14:paraId="199CA4C7"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Entre las principales disposiciones destacan la Ley N°20.422, que establece Normas sobre Igualdad de Oportunidades e Inclusión Social de las Personas con Discapacidad y consagra principios fundamentales, tales como la accesibilidad universal, la igualdad de oportunidades y la eliminación de barreras; la Ley N°21.303, que reconoce la Lengua de Señas como la lengua natural, originaria y patrimonio intangible de las Personas Sordas; y la Ley N°20.584, que regula los Derechos y Deberes de las Personas en Relación con las Acciones Vinculadas a su Atención en Salud. Conviene señalar que esta última normativa fue modificada por la Ley N°21.168, que incorporó el derecho de las personas con discapacidad a recibir atención preferente, y por la Ley N°21.768, que reforzó dicho derecho al establecer que la atención debe otorgarse de manera preferente y oportuna tanto a las personas con discapacidad como a sus cuidadores.</w:t>
      </w:r>
    </w:p>
    <w:p w14:paraId="296A1B6B"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Estas disposiciones encuentran sustento en la Constitución Política de la República de Chile, cuyo artículo 19 N°9 reconoce el Derecho a la Protección de la Salud, garantizando el acceso libre e igualitario a las acciones de promoción, protección, recuperación y rehabilitación de la salud. Este marco constitucional, legal e internacional establece las obligaciones que el Estado debe cumplir para asegurar que las Personas Sordas accedan a la salud en igualdad de condiciones, mediante la adopción de medidas de accesibilidad, ajustes pertinentes y reconocimiento de sus derechos lingüísticos.</w:t>
      </w:r>
    </w:p>
    <w:p w14:paraId="66AAA964"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lastRenderedPageBreak/>
        <w:t>El presente informe adopta un enfoque de Derechos Humanos y reconoce la Lengua de Señas Chilena como la lengua natural de las Personas Sordas, de conformidad con la Ley N°21.303. En consecuencia, este documento comprende a la Comunidad Sorda como una comunidad lingüística y cultural, cuyo pleno ejercicio de derechos y participación en igualdad de condiciones exigen que el Estado garantice la accesibilidad, la comunicación y el acceso efectivo a los servicios públicos.</w:t>
      </w:r>
    </w:p>
    <w:p w14:paraId="3C315325" w14:textId="77777777" w:rsidR="00A77B3E" w:rsidRPr="003F55A9" w:rsidRDefault="004538A5">
      <w:pPr>
        <w:spacing w:before="240" w:after="240"/>
        <w:jc w:val="both"/>
        <w:rPr>
          <w:rFonts w:ascii="Times New Roman" w:hAnsi="Times New Roman" w:cs="Times New Roman"/>
          <w:b/>
          <w:bCs/>
          <w:lang w:val="es-ES"/>
        </w:rPr>
      </w:pPr>
      <w:r w:rsidRPr="003F55A9">
        <w:rPr>
          <w:rFonts w:ascii="Times New Roman" w:hAnsi="Times New Roman" w:cs="Times New Roman"/>
          <w:b/>
          <w:bCs/>
          <w:lang w:val="es-ES" w:eastAsia="en-US"/>
        </w:rPr>
        <w:t>III. Implementación del derecho a la salud de las Personas Sordas usuarias de la Lengua de Señas Chilena (LSCh) en la Región de Valparaíso</w:t>
      </w:r>
    </w:p>
    <w:p w14:paraId="4B4F88E9"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3.1 Accesibilidad comunicacional como condición para el ejercicio del derecho a la salud</w:t>
      </w:r>
      <w:r w:rsidRPr="003F55A9">
        <w:rPr>
          <w:rFonts w:ascii="Times New Roman" w:hAnsi="Times New Roman" w:cs="Times New Roman"/>
          <w:sz w:val="20"/>
          <w:szCs w:val="20"/>
          <w:lang w:val="es-ES" w:eastAsia="en-US"/>
        </w:rPr>
        <w:t>. El reconocimiento del derecho a la salud de las personas con discapacidad no se agota en la existencia de un marco normativo que prohíba la discriminación. De conformidad con los artículos 9, 21 y 25 de la Convención sobre los Derechos de las Personas con Discapacidad, el Estado tiene la obligación de adoptar medidas positivas que garanticen una atención de salud accesible, disponible, aceptable y de calidad, eliminando las barreras que impidan a las personas con discapacidad ejercer este derecho en igualdad de condiciones con las demás.</w:t>
      </w:r>
    </w:p>
    <w:p w14:paraId="45441DA6"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En el caso de las Personas Sordas usuarias de la Lengua de Señas Chilena (LSCh), la accesibilidad comunicacional constituye una condición indispensable para el ejercicio efectivo del derecho a la salud. Esta se refiere a la obligación de garantizar que las personas puedan recibir, comprender, producir y transmitir información mediante los medios, modos y formatos de comunicación que resulten adecuados a sus características lingüísticas y necesidades específicas.</w:t>
      </w:r>
    </w:p>
    <w:p w14:paraId="61323C53"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accesibilidad comunicacional implica que los servicios de salud deben contar con mecanismos que permitan una comunicación efectiva, directa y autónoma. Esto incluye la disponibilidad de intérpretes profesionales de LSCh cuando sean requeridos, información de salud accesible, tecnologías de apoyo y personal capacitado para interactuar respetando la identidad lingüística y cultural de la Comunidad Sorda. Lo antes mencionado no constituye una medida asistencial ni un beneficio adicional, sino una obligación general que debe incorporarse en el diseño y funcionamiento de los servicios de salud, permitiendo que las Personas Sordas puedan describir síntomas, comprender diagnósticos, conocer los riesgos y beneficios de los tratamientos, formular preguntas, expresar sus decisiones y otorgar un consentimiento libre e informado.</w:t>
      </w:r>
    </w:p>
    <w:p w14:paraId="5F411FE1"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Por otra parte, los ajustes razonables corresponden a aquellas modificaciones o adaptaciones necesarias y adecuadas que se realizan en un caso particular cuando una persona con discapacidad las requiere para ejercer sus derechos en igualdad de condiciones con las demás. A diferencia de la accesibilidad, que debe ser planificada e implementada de manera general y permanente, los ajustes razonables responden a una necesidad individual específica y su ausencia puede constituir discriminación por motivos de discapacidad.</w:t>
      </w:r>
    </w:p>
    <w:p w14:paraId="6070F1DF"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En este sentido, disponer de un sistema permanente de interpretación en LSCh dentro de la red pública de salud corresponde a una medida de accesibilidad comunicacional, mientras que, por ejemplo, adaptar una modalidad específica de atención para una Persona Sorda en una situación particular puede constituir un ajuste razonable. Ambos mecanismos son complementarios y forman parte de las obligaciones del Estado para garantizar la igualdad sustantiva y eliminar las barreras que enfrentan las Personas Sordas en el acceso a la salud.</w:t>
      </w:r>
    </w:p>
    <w:p w14:paraId="67FBF0DE"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lastRenderedPageBreak/>
        <w:t>No obstante, los antecedentes recopilados en la Región de Valparaíso evidencian que estas obligaciones no se implementan de manera uniforme en la red pública de salud. Pese al marco jurídico establecido por la Ley Nº20.422, la Ley Nº21.303, la Ley Nº20.584 y sus modificaciones, los mecanismos institucionales destinados a garantizar la accesibilidad comunicacional siguen siendo insuficientes. La disponibilidad de intérpretes profesionales de LSCh constituye una excepción; los protocolos de atención accesible son escasos o, en muchos casos, inexistentes; la capacitación del personal de salud es limitada; y la provisión de apoyos comunicacionales depende con frecuencia de iniciativas individuales, de la buena voluntad de los funcionarios o de la capacidad de gestión de las propias Personas Sordas y sus familias.</w:t>
      </w:r>
    </w:p>
    <w:p w14:paraId="47547453"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Asimismo, el Reglamento sobre Atención Preferente, aprobado en 2020 mediante el Decreto Nº2 del Ministerio de Salud, establece la obligación de los establecimientos de salud de adoptar medidas de accesibilidad comunicacional destinadas a orientar, informar y facilitar la atención de las personas usuarias. No obstante, la información recopilada evidencia que dichas obligaciones no se han implementado de manera sistemática mediante medidas específicas que aseguren una comunicación efectiva para las Personas Sordas usuarias de la Lengua de Señas Chilena (LSCh). Esta ausencia de protocolos institucionalizados se traduce en la falta de mecanismos permanentes que permitan garantizar la disponibilidad de intérpretes de LSCh, incluyendo la inexistencia de recursos destinados a su contratación estable dentro de los procesos de atención de salud.</w:t>
      </w:r>
    </w:p>
    <w:p w14:paraId="0DFF81C7"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Esta brecha entre el reconocimiento jurídico y su implementación práctica tiene consecuencias directas sobre el ejercicio de derechos fundamentales. La ausencia de accesibilidad comunicacional restringe el acceso oportuno a las prestaciones de salud, dificulta la comprensión de la información clínica, compromete la confidencialidad de la relación entre el paciente y el equipo de salud, limita el consentimiento libre e informado y aumenta el riesgo de diagnósticos erróneos, tratamientos inadecuados, interrupción de terapias y desigualdad en el acceso a los servicios. Estas consecuencias se manifiestan con especial intensidad en ámbitos como la salud mental, la salud sexual y reproductiva, la atención de urgencia y las evaluaciones periciales requeridas en procedimientos judiciales.</w:t>
      </w:r>
    </w:p>
    <w:p w14:paraId="1E2258CE"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3.2 Incumplimiento de las obligaciones establecidas en la Convención</w:t>
      </w:r>
      <w:r w:rsidRPr="003F55A9">
        <w:rPr>
          <w:rFonts w:ascii="Times New Roman" w:hAnsi="Times New Roman" w:cs="Times New Roman"/>
          <w:sz w:val="20"/>
          <w:szCs w:val="20"/>
          <w:lang w:val="es-ES" w:eastAsia="en-US"/>
        </w:rPr>
        <w:t>. Los antecedentes recopilados permiten concluir que las deficiencias identificadas no constituyen únicamente dificultades administrativas o de gestión, sino que comprometen el cumplimiento de diversas obligaciones asumidas por el Estado de Chile en virtud de la Convención sobre los Derechos de las Personas con Discapacidad, particularmente aquellas contenidas en sus artículos 9, 21 y 25.</w:t>
      </w:r>
    </w:p>
    <w:p w14:paraId="26B5A271"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Artículo 9. Accesibilidad</w:t>
      </w:r>
      <w:r w:rsidRPr="003F55A9">
        <w:rPr>
          <w:rFonts w:ascii="Times New Roman" w:hAnsi="Times New Roman" w:cs="Times New Roman"/>
          <w:sz w:val="20"/>
          <w:szCs w:val="20"/>
          <w:lang w:val="es-ES" w:eastAsia="en-US"/>
        </w:rPr>
        <w:t>. La ausencia de servicios permanentes de interpretación en LSCh no constituye únicamente una dificultad administrativa, sino un incumplimiento de las obligaciones establecidas en el artículo 9 de la Convención. Dicho artículo obliga al Estado a eliminar las barreras de comunicación y garantizar que las Personas Sordas usuarias de la LSCh puedan acceder, en igualdad de condiciones, a los servicios públicos mediante intérpretes profesionales, información accesible, tecnologías de apoyo, personal capacitado y normas que aseguren una accesibilidad comunicacional permanente y efectiva.</w:t>
      </w:r>
    </w:p>
    <w:p w14:paraId="21258718"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Artículo 21. Libertad de expresión y de opinión, y acceso a la información</w:t>
      </w:r>
      <w:r w:rsidRPr="003F55A9">
        <w:rPr>
          <w:rFonts w:ascii="Times New Roman" w:hAnsi="Times New Roman" w:cs="Times New Roman"/>
          <w:sz w:val="20"/>
          <w:szCs w:val="20"/>
          <w:lang w:val="es-ES" w:eastAsia="en-US"/>
        </w:rPr>
        <w:t xml:space="preserve">. Las deficiencias identificadas afectan el derecho reconocido en el artículo 21 de la Convención, que garantiza a las personas con discapacidad el acceso a la información y la posibilidad de comunicarse mediante la modalidad que elijan. Para las Personas Sordas usuarias de la LSCh, ello implica recibir información sanitaria accesible, </w:t>
      </w:r>
      <w:r w:rsidRPr="003F55A9">
        <w:rPr>
          <w:rFonts w:ascii="Times New Roman" w:hAnsi="Times New Roman" w:cs="Times New Roman"/>
          <w:sz w:val="20"/>
          <w:szCs w:val="20"/>
          <w:lang w:val="es-ES" w:eastAsia="en-US"/>
        </w:rPr>
        <w:lastRenderedPageBreak/>
        <w:t>comprender diagnósticos, tratamientos y procedimientos, y comunicarse directamente con los equipos de salud sin depender de terceros.</w:t>
      </w:r>
    </w:p>
    <w:p w14:paraId="37BC667B"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Artículo 25. Salud</w:t>
      </w:r>
      <w:r w:rsidRPr="003F55A9">
        <w:rPr>
          <w:rFonts w:ascii="Times New Roman" w:hAnsi="Times New Roman" w:cs="Times New Roman"/>
          <w:sz w:val="20"/>
          <w:szCs w:val="20"/>
          <w:lang w:val="es-ES" w:eastAsia="en-US"/>
        </w:rPr>
        <w:t>. Las barreras descritas comprometen el cumplimiento del artículo 25 de la Convención, que reconoce el derecho de las personas con discapacidad a gozar del más alto nivel posible de salud sin discriminación. Este derecho exige que los servicios de salud sean accesibles desde el punto de vista comunicacional y que la provisión de intérpretes profesionales, apoyos y ajustes necesarios sea permanente, suficiente y oportuna. La prestación ocasional o excepcional de estos apoyos no satisface el estándar establecido por la Convención.</w:t>
      </w:r>
    </w:p>
    <w:p w14:paraId="51B45074" w14:textId="77777777" w:rsidR="00A77B3E" w:rsidRPr="003F55A9" w:rsidRDefault="004538A5">
      <w:pPr>
        <w:spacing w:before="240" w:after="240"/>
        <w:jc w:val="both"/>
        <w:rPr>
          <w:rFonts w:ascii="Times New Roman" w:hAnsi="Times New Roman" w:cs="Times New Roman"/>
          <w:b/>
          <w:bCs/>
          <w:sz w:val="20"/>
          <w:szCs w:val="20"/>
          <w:lang w:val="es-ES"/>
        </w:rPr>
      </w:pPr>
      <w:r w:rsidRPr="003F55A9">
        <w:rPr>
          <w:rFonts w:ascii="Times New Roman" w:hAnsi="Times New Roman" w:cs="Times New Roman"/>
          <w:b/>
          <w:bCs/>
          <w:sz w:val="20"/>
          <w:szCs w:val="20"/>
          <w:lang w:val="es-ES" w:eastAsia="en-US"/>
        </w:rPr>
        <w:t xml:space="preserve">3.3 Disponibilidad de intérpretes de Lengua de Señas Chilena. </w:t>
      </w:r>
      <w:r w:rsidRPr="003F55A9">
        <w:rPr>
          <w:rFonts w:ascii="Times New Roman" w:hAnsi="Times New Roman" w:cs="Times New Roman"/>
          <w:sz w:val="20"/>
          <w:szCs w:val="20"/>
          <w:lang w:val="es-ES" w:eastAsia="en-US"/>
        </w:rPr>
        <w:t>Si bien el Ministerio de Salud dispone del servicio “Salud Responde” con atención en Lengua de Señas Chilena, este mecanismo presenta importantes limitaciones para garantizar la accesibilidad comunicacional de las Personas Sordas. Actualmente, el servicio cuenta con una única intérprete de Lengua de Señas Chilena especializada en salud para todo Chile, quien integra un equipo junto a un profesional. La existencia de un único servicio nacional de interpretación evidencia que la accesibilidad comunicacional continúa siendo tratada como una medida excepcional y no como una garantía permanente del derecho al acceso a la salud. Además, el servicio opera únicamente mediante videollamadas a través de la aplicación WhatsApp, por lo que requiere que la persona usuaria disponga de un teléfono móvil con acceso a internet. Su funcionamiento también está restringido a horarios específicos de oficina (lunes a jueves de 08:00 a 17:00 horas y viernes de 08:00 a 13:00 horas), lo que impide su utilización durante las noches, fines de semana y gran parte de las situaciones de urgencia que ocurren fuera de ese horario, inclusivo en las dependencias de salud que no es posible contar con buena señal.</w:t>
      </w:r>
    </w:p>
    <w:p w14:paraId="0D7F4ED5"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En la región de Valparaíso no existe contratación permanente del servicio de interpretación, en ausencia del intérprete, es una práctica habitual que los establecimientos de salud recurran a familiares, amistades o acompañantes de la Persona Sorda para facilitar la comunicación entre el personal de la salud y el usuario. Esta práctica vulnera la confidencialidad de la atención, limita la autonomía de la persona usuaria y resulta especialmente problemática cuando la consulta aborda materias relacionadas con la salud mental, la salud sexual y reproductiva, la violencia de género u otras situaciones de carácter reservado. </w:t>
      </w:r>
    </w:p>
    <w:p w14:paraId="67FFE8F0"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Ante la falta del Intérprete de Lengua de Señas en las consultas médicas en que se les pueda explicar claramente el proceso de su enfermedad crónica, la prevención de una futura enfermedad, hospitalizaciones ya sea en alta o mediana complejidad una clara explicación de cómo van a proceder paso a paso durante la cirugía tanto en la  entrada al pabellón como en sala de recuperación, procedimientos clínicos que hacer y que no puede hacer, exámenes diagnósticos o procesos de consentimiento informado.</w:t>
      </w:r>
    </w:p>
    <w:p w14:paraId="5F983BCB"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En consecuencia, las Personas Sordas continúan enfrentando barreras significativas para comunicarse directamente con el personal de salud en la mayoría de las atenciones presenciales</w:t>
      </w:r>
    </w:p>
    <w:p w14:paraId="6E3AB735"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3.4 Consentimiento libre e informado</w:t>
      </w:r>
      <w:r w:rsidRPr="003F55A9">
        <w:rPr>
          <w:rFonts w:ascii="Times New Roman" w:hAnsi="Times New Roman" w:cs="Times New Roman"/>
          <w:sz w:val="20"/>
          <w:szCs w:val="20"/>
          <w:lang w:val="es-ES" w:eastAsia="en-US"/>
        </w:rPr>
        <w:t>. El consentimiento libre e informado pierde eficacia cuando la información no es proporcionada en un formato lingüísticamente accesible para la Persona Sorda. En consecuencia, la sola entrega de información escrita o la firma de un formulario no garantizan que la persona haya comprendido adecuadamente la naturaleza del procedimiento, sus riesgos, beneficios, alternativas o consecuencias, especialmente cuando no se consideran sus necesidades comunicacionales.</w:t>
      </w:r>
    </w:p>
    <w:p w14:paraId="5D934BA3"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lastRenderedPageBreak/>
        <w:t>En este sentido, el consentimiento informado no constituye un acto meramente formal, sino un proceso de comunicación efectivo que requiere que la información sea entregada de manera clara, comprensible y accesible, permitiendo a la persona adoptar una decisión libre y autónoma sobre su atención de salud.</w:t>
      </w:r>
    </w:p>
    <w:p w14:paraId="76C98EE4"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Esta obligación encuentra respaldo en el artículo 25, letra d), de la Convención sobre los Derechos de las Personas con Discapacidad, que exige a los Estados Parte asegurar que los profesionales de la salud presten a las personas con discapacidad una atención de la misma calidad que a las demás personas, sobre la base de un consentimiento libre e informado. Para ello, la Convención dispone, entre otras medidas, la sensibilización respecto de los derechos humanos, la dignidad, la autonomía y las necesidades de las personas con discapacidad, mediante la capacitación del personal sanitario y la adopción de normas éticas aplicables tanto al ámbito público como al privado.</w:t>
      </w:r>
    </w:p>
    <w:p w14:paraId="2D7BC980"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En el caso de las Personas Sordas usuarias de la Lengua de Señas Chilena, este deber implica garantizar que la información sea comunicada mediante los apoyos necesarios —entre ellos, intérpretes profesionales de LSCh cuando corresponda—, de modo que el consentimiento otorgado sea efectivamente libre, informado y plenamente comprendido.</w:t>
      </w:r>
    </w:p>
    <w:p w14:paraId="00EDF2F8"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 xml:space="preserve">3.5 Acceso a la información y comunicación clínica. </w:t>
      </w:r>
      <w:r w:rsidRPr="003F55A9">
        <w:rPr>
          <w:rFonts w:ascii="Times New Roman" w:hAnsi="Times New Roman" w:cs="Times New Roman"/>
          <w:sz w:val="20"/>
          <w:szCs w:val="20"/>
          <w:lang w:val="es-ES" w:eastAsia="en-US"/>
        </w:rPr>
        <w:t>La formación de los equipos de salud en materia de discapacidad, accesibilidad comunicacional y derechos lingüísticos de las Personas Sordas continúa siendo insuficiente. En numerosos establecimientos persiste el desconocimiento acerca de la cultura sorda, el reconocimiento de la Lengua de Señas como lengua natural de una comunidad lingüística y las obligaciones institucionales relacionadas con la accesibilidad comunicacional. Es frecuente que profesionales de la salud asuman erróneamente que la comunicación escrita constituye un mecanismo suficiente para garantizar la comprensión de la información clínica o desconocen los procedimientos existentes para solicitar servicios de interpretación cuando estos se encuentran disponibles. Es por ello por lo que persisten prácticas asistencialistas o paternalistas que limitan la participación directa de la Persona Sorda, privilegiando la comunicación con familiares o acompañantes en lugar de dirigirse directamente a la persona usuaria del servicio de salud</w:t>
      </w:r>
    </w:p>
    <w:p w14:paraId="438EC1CD"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imposibilidad de establecer una comunicación efectiva dificulta la descripción adecuada de síntomas, antecedentes médicos y evolución clínica, aumentando el riesgo de diagnósticos incorrectos o incompletos. Asimismo, la falta de comprensión de las indicaciones médicas puede traducirse en errores en la administración de medicamentos, incumplimiento de terapias, abandono de tratamientos o utilización inadecuada de los servicios de salud.</w:t>
      </w:r>
    </w:p>
    <w:p w14:paraId="56ADA7AB"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 xml:space="preserve">3.6 Salud mental. </w:t>
      </w:r>
      <w:r w:rsidRPr="003F55A9">
        <w:rPr>
          <w:rFonts w:ascii="Times New Roman" w:hAnsi="Times New Roman" w:cs="Times New Roman"/>
          <w:sz w:val="20"/>
          <w:szCs w:val="20"/>
          <w:lang w:val="es-ES" w:eastAsia="en-US"/>
        </w:rPr>
        <w:t xml:space="preserve">La disponibilidad de profesionales de salud mental con competencias en Lengua de Señas Chilena es extremadamente limitada. Como consecuencia, muchas Personas Sordas dependen de intérpretes externos cuya disponibilidad suele ser insuficiente, dificultando el acceso oportuno a procesos de evaluación, diagnóstico y tratamiento. </w:t>
      </w:r>
    </w:p>
    <w:p w14:paraId="5F063A63"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falta de accesibilidad comunicacional adquiere una especial gravedad en el ámbito de la salud mental, donde la atención clínica se sustenta en la comunicación directa, la confianza y la confidencialidad entre el profesional y la persona usuaria. Cuando las Personas Sordas no cuentan con un intérprete profesional o con profesionales competentes en LSCh, se ven obligadas a recurrir a familiares, amistades u otras personas de su entorno para facilitar la comunicación.</w:t>
      </w:r>
    </w:p>
    <w:p w14:paraId="0CFADE0E"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lastRenderedPageBreak/>
        <w:t>Esta práctica compromete el derecho a la privacidad y al secreto profesional, restringe la autonomía de la persona para expresar libremente sus experiencias y puede impedir la revelación de antecedentes esenciales para una adecuada evaluación clínica, tales como situaciones de violencia, abuso, ideación suicida, consumo problemático de sustancias, conflictos familiares u otras circunstancias que inciden directamente en el diagnóstico y tratamiento.</w:t>
      </w:r>
    </w:p>
    <w:p w14:paraId="0F257CC1"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intervención de terceros altera la relación terapéutica y afecta la autonomía de la Persona Sorda, quien se ve obligada a compartir información privada con personas ajenas a la atención clínica. Esta situación compromete la privacidad y la confidencialidad que deben regir toda prestación de salud mental y limita la posibilidad de establecer una comunicación libre y de confianza con el profesional tratante.</w:t>
      </w:r>
    </w:p>
    <w:p w14:paraId="2C2FBE66"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En numerosos casos, el temor a que familiares, amistades o personas cercanas conozcan el contenido de las consultas desincentiva la búsqueda de atención en salud mental, favorece el abandono de los tratamientos o restringe la participación plena de las Personas Sordas en los procesos terapéuticos. Como consecuencia, el acceso a estas prestaciones deja de producirse en igualdad de condiciones con las demás personas, perpetuando barreras que afectan el diagnóstico oportuno, la continuidad del tratamiento y las posibilidades de recuperación.</w:t>
      </w:r>
    </w:p>
    <w:p w14:paraId="3EA81111"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Actualmente, la Región de Valparaíso cuenta con solo dos profesionales de la psicología con competencias en Lengua de Señas Chilena (LSCh), una de las cuales es una Persona Sorda. Sin embargo, estas competencias no han sido incorporadas de manera sistemática en la red pública de salud mediante procesos de contratación, asignación de funciones o diseño de prestaciones que permitan responder adecuadamente a las necesidades de la Comunidad Sorda.</w:t>
      </w:r>
    </w:p>
    <w:p w14:paraId="50A393FD"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3.7 Peritajes e informes para procesos judiciales</w:t>
      </w:r>
      <w:r w:rsidRPr="003F55A9">
        <w:rPr>
          <w:rFonts w:ascii="Times New Roman" w:hAnsi="Times New Roman" w:cs="Times New Roman"/>
          <w:sz w:val="20"/>
          <w:szCs w:val="20"/>
          <w:lang w:val="es-ES" w:eastAsia="en-US"/>
        </w:rPr>
        <w:t>. La falta de accesibilidad comunicacional en las prestaciones de salud mental también tiene consecuencias directas en los procedimientos judiciales. En causas penales, de familia y de violencia intrafamiliar, los tribunales de justicia suelen ordenar evaluaciones psicológicas, psiquiátricas o pericias destinadas a determinar el estado de salud mental, las competencias parentales, el daño psicológico, la imputabilidad u otras circunstancias relevantes para la resolución del caso. Cuando estas evaluaciones se realizan sin intérpretes profesionales de Lengua de Señas Chilena (LSCh) o sin profesionales con competencias suficientes en LSCh, se compromete la validez, confiabilidad y calidad técnica de los informes periciales. La ausencia de una comunicación directa y efectiva impide aplicar adecuadamente los instrumentos de evaluación, limita la comprensión de los antecedentes aportados por la persona evaluada y aumenta el riesgo de obtener conclusiones incompletas o erróneas, afectando el derecho al debido proceso y el acceso efectivo a la justicia.</w:t>
      </w:r>
    </w:p>
    <w:p w14:paraId="2E713072"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Esta situación puede traducirse en la imposibilidad de ejecutar medidas terapéuticas ordenadas por los tribunales, retrasar procesos judiciales, impedir la realización de pericias o generar decisiones basadas en evaluaciones que no reflejan de manera fidedigna la condición psicológica de la Persona Sorda. En consecuencia, la falta de accesibilidad comunicacional en salud mental no solo vulnera el derecho a la salud, sino que produce efectos sobre otros derechos protegidos por la Convención, entre ellos el acceso a la justicia, el debido proceso, la vida familiar y la igualdad ante la ley. </w:t>
      </w:r>
    </w:p>
    <w:p w14:paraId="475C4F98"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Las pruebas psicológicas y psiquiátricas utilizadas en Chile han sido diseñadas y estandarizadas para personas oyentes. En la mayoría de los casos, no han sido validadas para Personas Sordas usuarias de la Lengua de Señas Chilena, por lo que sus resultados pueden carecer de la confiabilidad necesaria cuando se aplican sin las </w:t>
      </w:r>
      <w:r w:rsidRPr="003F55A9">
        <w:rPr>
          <w:rFonts w:ascii="Times New Roman" w:hAnsi="Times New Roman" w:cs="Times New Roman"/>
          <w:sz w:val="20"/>
          <w:szCs w:val="20"/>
          <w:lang w:val="es-ES" w:eastAsia="en-US"/>
        </w:rPr>
        <w:lastRenderedPageBreak/>
        <w:t xml:space="preserve">adaptaciones lingüísticas y culturales correspondientes. Esta situación puede afectar la objetividad de los informes periciales y generar decisiones judiciales basadas en evaluaciones que no consideran las particularidades lingüísticas y culturales de la Comunidad Sorda.  </w:t>
      </w:r>
    </w:p>
    <w:p w14:paraId="3B664D51"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 xml:space="preserve">3.8 Capacitación del personal de la salud. </w:t>
      </w:r>
      <w:r w:rsidRPr="003F55A9">
        <w:rPr>
          <w:rFonts w:ascii="Times New Roman" w:hAnsi="Times New Roman" w:cs="Times New Roman"/>
          <w:sz w:val="20"/>
          <w:szCs w:val="20"/>
          <w:lang w:val="es-ES" w:eastAsia="en-US"/>
        </w:rPr>
        <w:t>Si bien existen iniciativas orientadas a mejorar la accesibilidad comunicacional en salud, estas continúan siendo excepcionales y de alcance limitado. En 2018, el CESFAM Santa Laura, en la comuna de Lo Espejo de la Región Metropolitana, implementó la primera Unidad de Atención en Salud para Personas Sordas del país, mediante una alianza con la Fundación de Sordos Chilenos. Esta experiencia incorporó servicios de interpretación en Lengua de Señas Chilena (LSCh), mediación lingüístico-cultural, capacitación del personal de salud y acciones de promoción de derechos en formatos accesibles.</w:t>
      </w:r>
    </w:p>
    <w:p w14:paraId="5EB0E0C2"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No obstante, a pesar de constituir un modelo pionero y de demostrar la viabilidad de una atención de salud accesible para las Personas Sordas, esta iniciativa no ha sido replicada de manera sistemática en la red pública de salud ni se ha consolidado como una política pública de alcance nacional. En consecuencia, el acceso a servicios especializados continúa dependiendo de experiencias locales y aisladas, sin garantizar una cobertura equitativa para las Personas Sordas en el resto del país.</w:t>
      </w:r>
    </w:p>
    <w:p w14:paraId="42AB657E"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La existencia de experiencias locales exitosas demuestra que la accesibilidad comunicacional en salud es una medida factible. Sin embargo, la ausencia de una política pública que permita su implementación y financiamiento a nivel nacional mantiene importantes desigualdades territoriales en el ejercicio del derecho a la salud de las Personas Sordas. </w:t>
      </w:r>
    </w:p>
    <w:p w14:paraId="446165A5" w14:textId="77777777" w:rsidR="00A77B3E" w:rsidRPr="003F55A9" w:rsidRDefault="004538A5">
      <w:pPr>
        <w:spacing w:before="240" w:after="240"/>
        <w:jc w:val="both"/>
        <w:rPr>
          <w:rFonts w:ascii="Times New Roman" w:hAnsi="Times New Roman" w:cs="Times New Roman"/>
          <w:lang w:val="es-ES"/>
        </w:rPr>
      </w:pPr>
      <w:r w:rsidRPr="003F55A9">
        <w:rPr>
          <w:rFonts w:ascii="Times New Roman" w:hAnsi="Times New Roman" w:cs="Times New Roman"/>
          <w:b/>
          <w:bCs/>
          <w:lang w:val="es-ES" w:eastAsia="en-US"/>
        </w:rPr>
        <w:t>IV. Jurisprudencia nacional sobre accesibilidad comunicacional en salud</w:t>
      </w:r>
      <w:r w:rsidRPr="003F55A9">
        <w:rPr>
          <w:rFonts w:ascii="Times New Roman" w:hAnsi="Times New Roman" w:cs="Times New Roman"/>
          <w:lang w:val="es-ES" w:eastAsia="en-US"/>
        </w:rPr>
        <w:t xml:space="preserve"> </w:t>
      </w:r>
    </w:p>
    <w:p w14:paraId="678540BB"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Las sentencias citadas que se presentan a continuación corresponden a hechos ocurridos en otras regiones del país, y sus fundamentos jurídicos resultan plenamente aplicables al análisis de la situación de las Personas Sordas usuarias de la Lengua de Señas Chilena en la Región de Valparaíso, por cuanto interpretan obligaciones derivadas de la Convención sobre los Derechos de las Personas con Discapacidad y de la normativa nacional vigente. La ausencia de pronunciamientos judiciales similares en la región no permite concluir que las vulneraciones al derecho a la salud no existan. Por el contrario, los antecedentes recopilados por las organizaciones de la Comunidad Sorda evidencian que muchas situaciones de discriminación y falta de accesibilidad comunicacional no son denunciadas judicialmente, debido al desconocimiento de los derechos, la falta de información sobre los mecanismos de protección, las barreras de acceso a la justicia y las dificultades para acceder a asesoría jurídica accesible. En consecuencia, la escasa judicialización de estos casos no refleja necesariamente un mayor nivel de cumplimiento de las obligaciones estatales, sino que puede constituir un indicador de las barreras estructurales que enfrentan las Personas Sordas para exigir la tutela efectiva de sus derechos. </w:t>
      </w:r>
    </w:p>
    <w:p w14:paraId="7E11454F"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En este contexto, la jurisprudencia nacional adquiere especial relevancia, pues establece criterios interpretativos sobre el alcance de las obligaciones de accesibilidad comunicacional en salud y evidencia que la falta de intérpretes de Lengua de Señas Chilena constituye una vulneración de derechos fundamentales, susceptible de ser corregida mediante la intervención de los tribunales de justicia. </w:t>
      </w:r>
    </w:p>
    <w:p w14:paraId="779CDFCE"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a. PRADES/SERVICIO DE SALUD DE MAULE: 06-04-2026, Rol N°910-2025, Corte de Apelaciones de Talca</w:t>
      </w:r>
      <w:r w:rsidRPr="003F55A9">
        <w:rPr>
          <w:rFonts w:ascii="Times New Roman" w:hAnsi="Times New Roman" w:cs="Times New Roman"/>
          <w:sz w:val="20"/>
          <w:szCs w:val="20"/>
          <w:lang w:val="es-ES" w:eastAsia="en-US"/>
        </w:rPr>
        <w:t>. Fecha de consulta: 19-07-2026.</w:t>
      </w:r>
    </w:p>
    <w:p w14:paraId="5842E8A1"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lastRenderedPageBreak/>
        <w:t xml:space="preserve">Una persona con discapacidad auditiva severa requirió atención de salud mental especializada en el Servicio de Salud del Maule. Pese a solicitar formalmente un intérprete de Lengua de Señas Chilena como ajuste razonable, el servicio no proporcionó este apoyo durante aproximadamente un año, recurriendo únicamente a una acompañante no intérprete, funcionarios con conocimientos básicos de Lengua de Señas y comunicación escrita, medidas insuficientes para garantizar una atención adecuada. La Corte de Apelaciones de Talca acogió el recurso de protección, concluyendo que la omisión del Servicio de Salud constituyó una actuación ilegal y discriminatoria, vulnerando el derecho del recurrente a acceder en igualdad de condiciones a las prestaciones de salud y ordenando garantizar la provisión de un intérprete de Lengua de Señas para su tratamiento. </w:t>
      </w:r>
    </w:p>
    <w:p w14:paraId="19E36000"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b. MÁRQUEZ/CORPORACION MUNICIPAL DESARROLLO SOCIAL DE CALAMA: 14-04-2025, Rol N°284-2025, Corte de Apelaciones de Antofagasta</w:t>
      </w:r>
      <w:r w:rsidRPr="003F55A9">
        <w:rPr>
          <w:rFonts w:ascii="Times New Roman" w:hAnsi="Times New Roman" w:cs="Times New Roman"/>
          <w:sz w:val="20"/>
          <w:szCs w:val="20"/>
          <w:lang w:val="es-ES" w:eastAsia="en-US"/>
        </w:rPr>
        <w:t>. Fecha de consulta: 19-07-2026.</w:t>
      </w:r>
    </w:p>
    <w:p w14:paraId="42E6AEF9"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recurrente, una mujer sorda embarazada, interpuso un recurso de protección contra el Hospital Dr. Carlos Cisternas de Calama debido a que, pese a solicitar reiteradamente un intérprete de Lengua de Señas Chilena, no se le proporcionaron los apoyos necesarios para comprender la información médica durante sus controles prenatales. El hospital recurrió ocasionalmente a una profesional con conocimientos de Lengua de Señas, pero no estableció un sistema permanente de interpretación, obligando a la paciente a recibir información por escrito y limitando su comprensión de su diagnóstico, tratamiento y procedimientos médicos.</w:t>
      </w:r>
    </w:p>
    <w:p w14:paraId="26D37188"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Corte de Apelaciones de Antofagasta concluyó que el hospital incumplió su obligación de garantizar la accesibilidad y los ajustes razonables exigidos por la normativa nacional e internacional, vulnerando el derecho de la recurrente a recibir atención de salud en igualdad de condiciones. En consecuencia, acogió el recurso de protección y ordenó al Hospital Dr. Carlos Cisternas de Calama implementar de forma inmediata las medidas de accesibilidad necesarias, incluyendo la provisión permanente de intérpretes certificados de Lengua de Señas Chilena para las Personas Sordas que lo requieran, además de encomendar al Servicio Nacional de la Discapacidad (SENADIS) la supervisión del cumplimiento de esta sentencia.</w:t>
      </w:r>
    </w:p>
    <w:p w14:paraId="18B7378A"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selección de estas sentencias no pretende agotar la jurisprudencia existente, sino destacar dos precedentes representativos que permiten comprender cómo los tribunales de justicia chilenos han interpretado las obligaciones derivadas de la Convención sobre los Derechos de las Personas con Discapacidad en materia de accesibilidad comunicacional en salud.</w:t>
      </w:r>
    </w:p>
    <w:p w14:paraId="47DA6766" w14:textId="77777777" w:rsidR="00A77B3E" w:rsidRPr="003F55A9" w:rsidRDefault="004538A5">
      <w:pPr>
        <w:spacing w:before="240" w:after="240"/>
        <w:jc w:val="both"/>
        <w:rPr>
          <w:rFonts w:ascii="Times New Roman" w:hAnsi="Times New Roman" w:cs="Times New Roman"/>
          <w:b/>
          <w:bCs/>
          <w:lang w:val="es-ES"/>
        </w:rPr>
      </w:pPr>
      <w:r w:rsidRPr="003F55A9">
        <w:rPr>
          <w:rFonts w:ascii="Times New Roman" w:hAnsi="Times New Roman" w:cs="Times New Roman"/>
          <w:b/>
          <w:bCs/>
          <w:lang w:val="es-ES" w:eastAsia="en-US"/>
        </w:rPr>
        <w:t>V. Respuesta institucional frente a las denuncias de vulneración de derechos</w:t>
      </w:r>
    </w:p>
    <w:p w14:paraId="20BD8BB9"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Las organizaciones integrantes de la Mesa Territorial de Instituciones de la Comunidad Sorda de la Región de Valparaíso han acompañado y documentado diversas situaciones de vulneración del derecho a la salud derivadas de la falta de accesibilidad comunicacional en la red pública de salud. En varios de estos casos, las personas afectadas presentaron reclamos administrativos ante establecimientos de salud, Servicios de Salud y otros organismos competentes, solicitando la adopción de medidas que garantizaran una atención accesible y respetuosa de sus derechos.</w:t>
      </w:r>
    </w:p>
    <w:p w14:paraId="22A5FF9E"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El análisis de las respuestas emitidas por las instituciones permite evaluar no solo la forma en que se gestionan estas reclamaciones, sino también el grado de comprensión que existe respecto de las obligaciones derivadas de la Convención sobre los Derechos de las Personas con Discapacidad, la Ley Nº20.422, la Ley Nº21.303 y la normativa sanitaria vigente.</w:t>
      </w:r>
    </w:p>
    <w:p w14:paraId="554C07D8"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lastRenderedPageBreak/>
        <w:t>5.1 Análisis de la respuesta institucional</w:t>
      </w:r>
      <w:r w:rsidRPr="003F55A9">
        <w:rPr>
          <w:rFonts w:ascii="Times New Roman" w:hAnsi="Times New Roman" w:cs="Times New Roman"/>
          <w:sz w:val="20"/>
          <w:szCs w:val="20"/>
          <w:lang w:val="es-ES" w:eastAsia="en-US"/>
        </w:rPr>
        <w:t>. Los antecedentes recopilados evidencian un patrón recurrente de respuestas insuficientes, centradas principalmente en justificar las limitaciones operativas o la inexistencia de recursos, sin adoptar medidas estructurales orientadas a garantizar la accesibilidad comunicacional de manera permanente. En la mayoría de los casos, las instituciones no reconocen expresamente la vulneración de derechos denunciada ni establecen acciones correctivas que permitan prevenir su reiteración (véase Anexo 1 y 2).</w:t>
      </w:r>
    </w:p>
    <w:p w14:paraId="60D5D331"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Los casos que se presentan a continuación constituyen ejemplos representativos de las situaciones documentadas por las organizaciones de la Comunidad Sorda. Si bien corresponden a experiencias individuales, reflejan problemáticas estructurales que afectan de manera recurrente a las Personas Sordas usuarias de la Lengua de Señas Chilena (LSCh) en el acceso a la atención de salud, evidenciando las dificultades existentes para obtener una respuesta institucional efectiva frente a las denuncias por falta de accesibilidad comunicacional.</w:t>
      </w:r>
    </w:p>
    <w:p w14:paraId="0613E3F5"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Testimonio 1. Utilización de una menor de edad como intérprete hija de madre sorda</w:t>
      </w:r>
      <w:r w:rsidRPr="003F55A9">
        <w:rPr>
          <w:rFonts w:ascii="Times New Roman" w:hAnsi="Times New Roman" w:cs="Times New Roman"/>
          <w:sz w:val="20"/>
          <w:szCs w:val="20"/>
          <w:lang w:val="es-ES" w:eastAsia="en-US"/>
        </w:rPr>
        <w:t xml:space="preserve"> “Recibí una videollamada de mi hija informando que debía asistir a una atención con la psicóloga del CESFAM para abordar una situación relacionada con su salud mental. Acudí al establecimiento en la fecha y hora indicadas y, al llegar, comprobé que no había un intérprete de Lengua de Señas. La Psicóloga pretendía que mi hija, quien es menor de edad y además era la paciente, actuara como intérprete durante la consulta.</w:t>
      </w:r>
    </w:p>
    <w:p w14:paraId="441CE9B9"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Ante esta situación, realicé una videollamada a una amiga para que explicara a la psicóloga que una niña no puede asumir el rol de intérprete, especialmente tratándose de una atención de salud mental. Solicité reagendar la consulta para asistir con un intérprete profesional de Lengua de Señas. Sin embargo, mi solicitud fue interpretada por el equipo de salud como una falta de interés en apoyar a mi hija, cuando en realidad buscaba garantizar una comunicación adecuada y el respeto de nuestros derechos”.</w:t>
      </w:r>
    </w:p>
    <w:p w14:paraId="243F2F22"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Testimonio 2. Derivación judicial sin accesibilidad comunicacional</w:t>
      </w:r>
      <w:r w:rsidRPr="003F55A9">
        <w:rPr>
          <w:rFonts w:ascii="Times New Roman" w:hAnsi="Times New Roman" w:cs="Times New Roman"/>
          <w:sz w:val="20"/>
          <w:szCs w:val="20"/>
          <w:lang w:val="es-ES" w:eastAsia="en-US"/>
        </w:rPr>
        <w:t>. Una madre sorda usuaria de la Lengua de Señas Chilena fue derivada por el Tribunal de Familia a un Centro de Salud Familiar (CESFAM) para evaluación y tratamiento en salud mental. En un primer momento, pudo acceder a las atenciones únicamente gracias a la disponibilidad de una intérprete de Lengua de Señas que prestó sus servicios de manera voluntaria y gratuita. Sin embargo, el proceso terapéutico contemplaba múltiples atenciones con distintos profesionales, entre ellos psicólogo, asistente social y médico general, lo que implicaba la necesidad de contar con interpretación en cada una de las consultas. Debido a que el servicio de interpretación dependía exclusivamente del apoyo voluntario de una profesional externa al sistema de salud, no fue posible asegurar la continuidad de dicho apoyo.</w:t>
      </w:r>
    </w:p>
    <w:p w14:paraId="26FFE56C"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Como alternativa, el establecimiento de salud propuso que la comunicación fuera facilitada por un fonoaudiólogo perteneciente a otra unidad asistencial. No obstante, este profesional poseía únicamente conocimientos básicos de Lengua de Señas y no contaba con las competencias lingüísticas ni la formación necesarias para desempeñarse como intérprete profesional en un contexto de atención en salud mental.</w:t>
      </w:r>
    </w:p>
    <w:p w14:paraId="4211314F"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Esta situación dificultó la continuidad del tratamiento y evidenció la ausencia de mecanismos institucionales que garanticen el acceso permanente a servicios de interpretación profesional para las Personas Sordas usuarias de Lengua de Señas. Asimismo, demuestra que la accesibilidad comunicacional continúa dependiendo de iniciativas individuales o voluntarias, en lugar de constituir una prestación garantizada por el sistema público de salud. Resulta especialmente preocupante que, pese a tratarse de un tratamiento ordenado </w:t>
      </w:r>
      <w:r w:rsidRPr="003F55A9">
        <w:rPr>
          <w:rFonts w:ascii="Times New Roman" w:hAnsi="Times New Roman" w:cs="Times New Roman"/>
          <w:sz w:val="20"/>
          <w:szCs w:val="20"/>
          <w:lang w:val="es-ES" w:eastAsia="en-US"/>
        </w:rPr>
        <w:lastRenderedPageBreak/>
        <w:t xml:space="preserve">por un Tribunal de Familia, el sistema público de salud no contara con mecanismos permanentes para garantizar la interpretación profesional en Lengua de Señas Chilena durante todo el proceso terapéutico. Este caso evidencia la ausencia de una respuesta institucional que asegure la continuidad de la accesibilidad comunicacional cuando la atención en salud es dispuesta por una autoridad judicial. </w:t>
      </w:r>
    </w:p>
    <w:p w14:paraId="289D6BB5"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b/>
          <w:bCs/>
          <w:sz w:val="20"/>
          <w:szCs w:val="20"/>
          <w:lang w:val="es-ES" w:eastAsia="en-US"/>
        </w:rPr>
        <w:t xml:space="preserve">Testimonio 3. Dependencia de interpretación voluntaria: </w:t>
      </w:r>
      <w:r w:rsidRPr="003F55A9">
        <w:rPr>
          <w:rFonts w:ascii="Times New Roman" w:hAnsi="Times New Roman" w:cs="Times New Roman"/>
          <w:sz w:val="20"/>
          <w:szCs w:val="20"/>
          <w:lang w:val="es-ES" w:eastAsia="en-US"/>
        </w:rPr>
        <w:t>“Durante aproximadamente dos años, una familia sorda usuaria LSCh accedió a las prestaciones de un Centro de Salud Familiar (CESFAM) gracias al acompañamiento voluntario de una intérprete de LSCh. Este apoyo permitió la inscripción de la familia en el establecimiento, la comunicación con el equipo de salud y la regularización de los controles médicos de sus hijos.</w:t>
      </w:r>
    </w:p>
    <w:p w14:paraId="3A39C796"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Posteriormente, el Tribunal de Familia derivó a la familia a un Programa de Prevención Focalizada (PPF), disponiendo la realización de controles médicos y atención en salud mental. A pesar de que el establecimiento conocía las necesidades de accesibilidad comunicacional de la familia, no incorporó un servicio institucional de interpretación y continuó dependiendo del trabajo voluntario.</w:t>
      </w:r>
    </w:p>
    <w:p w14:paraId="55AA8E3F"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Cuando se planteó que la provisión de interpretación constituía una obligación del establecimiento de salud y no una responsabilidad que debía recaer en el voluntariado, el CESFAM dejó de recurrir a la intérprete y asignó funciones de apoyo comunicacional a una funcionaria que había realizado únicamente un curso básico de Lengua de Señas Chilena, sin contar con formación ni competencias para desempeñarse como intérprete profesional.</w:t>
      </w:r>
    </w:p>
    <w:p w14:paraId="0B1FEF0A"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Como consecuencia de las dificultades de comunicación, la usuaria presentó síntomas de intoxicación asociados a una comprensión insuficiente de las indicaciones relativas a la administración de medicamentos. Posteriormente, el establecimiento comenzó a utilizar el servicio “Salud Responde” mediante video interpretación como mecanismo de apoyo comunicacional. Si bien esta medida representó un avance respecto de la ausencia total de accesibilidad, no sustituyó la necesidad de contar con interpretación presencial durante las atenciones de salud”.</w:t>
      </w:r>
    </w:p>
    <w:p w14:paraId="6322188A"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Este caso evidencia la ausencia de mecanismos institucionales que garanticen la accesibilidad comunicacional de manera permanente y demuestra que, en la práctica, el acceso de las Personas Sordas a los servicios de salud continúa dependiendo de iniciativas individuales y voluntarias, en lugar de constituir una prestación garantizada por el sistema público de salud.</w:t>
      </w:r>
    </w:p>
    <w:p w14:paraId="2E145208" w14:textId="77777777" w:rsidR="00A77B3E" w:rsidRPr="003F55A9" w:rsidRDefault="004538A5">
      <w:pPr>
        <w:pStyle w:val="Heading3"/>
        <w:keepNext w:val="0"/>
        <w:keepLines w:val="0"/>
        <w:spacing w:before="280" w:line="278" w:lineRule="auto"/>
        <w:jc w:val="both"/>
        <w:rPr>
          <w:rFonts w:ascii="Times New Roman" w:hAnsi="Times New Roman" w:cs="Times New Roman"/>
          <w:b/>
          <w:bCs/>
          <w:color w:val="000000"/>
          <w:sz w:val="20"/>
          <w:szCs w:val="20"/>
          <w:lang w:val="es-ES"/>
        </w:rPr>
      </w:pPr>
      <w:bookmarkStart w:id="0" w:name="h.y5vj2vrge4c"/>
      <w:bookmarkEnd w:id="0"/>
      <w:r w:rsidRPr="003F55A9">
        <w:rPr>
          <w:rFonts w:ascii="Times New Roman" w:hAnsi="Times New Roman" w:cs="Times New Roman"/>
          <w:b/>
          <w:bCs/>
          <w:color w:val="000000"/>
          <w:sz w:val="20"/>
          <w:szCs w:val="20"/>
          <w:lang w:val="es-ES" w:eastAsia="en-US"/>
        </w:rPr>
        <w:t>Testimonio 4. Imposibilidad de acceso a prestaciones de salud mental y evaluación pericial por ausencia de accesibilidad comunicacional.</w:t>
      </w:r>
    </w:p>
    <w:p w14:paraId="5C9BC5F6"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En el marco de una causa por violencia intrafamiliar, el tribunal ordenó que una Persona Sorda usuaria de la Lengua de Señas Chilena se sometiera a un tratamiento de control de impulsos y resolución no violenta de conflictos, de conformidad con el artículo 9, letra d), de la Ley Nº20.066 sobre Violencia Intrafamiliar. Para efectos de su cumplimiento, el tribunal ofició al Centro de Salud Familiar (CESFAM) correspondiente con el objeto de informar la factibilidad de ejecutar el tratamiento considerando las necesidades de comunicación de la persona.</w:t>
      </w:r>
    </w:p>
    <w:p w14:paraId="5F064C07"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En respuesta al requerimiento judicial, el CESFAM informó, mediante su trabajadora social, que no contaba con profesionales de salud mental con competencias en Lengua de Señas Chilena ni con las condiciones </w:t>
      </w:r>
      <w:r w:rsidRPr="003F55A9">
        <w:rPr>
          <w:rFonts w:ascii="Times New Roman" w:hAnsi="Times New Roman" w:cs="Times New Roman"/>
          <w:sz w:val="20"/>
          <w:szCs w:val="20"/>
          <w:lang w:val="es-ES" w:eastAsia="en-US"/>
        </w:rPr>
        <w:lastRenderedPageBreak/>
        <w:t>necesarias para brindar la atención ordenada por el tribunal. En consecuencia, el establecimiento manifestó la imposibilidad de ejecutar la medida terapéutica dispuesta por la autoridad judicial.</w:t>
      </w:r>
    </w:p>
    <w:p w14:paraId="0F9F8455"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En el mismo caso, y en el contexto de un procedimiento ante un Tribunal de Familia, se ordenó la evaluación de las habilidades parentales de la Persona Sorda. Sin embargo, el informe pericial dejó constancia de que no fue posible aplicar los instrumentos psicológicos correspondientes debido a la ausencia de pruebas validadas y adaptadas para Personas Sordas usuarias de la Lengua de Señas Chilena. Lo anterior evidencia que la falta de accesibilidad comunicacional y de instrumentos de evaluación adecuados no solo limita el acceso a la atención en salud mental, sino que también restringe el acceso efectivo a la justicia, al impedir el cumplimiento de medidas ordenadas por los tribunales y la realización de peritajes indispensables para la resolución de procesos judiciales.</w:t>
      </w:r>
    </w:p>
    <w:p w14:paraId="75A477E8"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Este caso demuestra que la ausencia de accesibilidad comunicacional trasciende el ámbito de salud y produce efectos directos sobre el acceso a la justicia, el debido proceso y el ejercicio de otros derechos garantizados por la Convención. </w:t>
      </w:r>
    </w:p>
    <w:p w14:paraId="419906FA"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Los testimonios presentados evidencian que las barreras de accesibilidad comunicacional en el sistema de salud no corresponden a situaciones aisladas, sino a deficiencias estructurales que afectan de manera reiterada a las Personas Sordas usuarias de la Lengua de Señas Chilena. La dependencia de familiares, voluntarios o soluciones informales para acceder a la atención sanitaria demuestra la ausencia de mecanismos institucionales suficientes para garantizar el ejercicio efectivo del derecho a la salud en igualdad de condiciones.  </w:t>
      </w:r>
    </w:p>
    <w:p w14:paraId="26AD7CDD"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Estas barreras afectan especialmente a las mujeres sordas que viven situaciones de violencia intrafamiliar, quienes enfrentan mayores dificultades para acceder a mecanismos de denuncia, atención sanitaria y protección judicial debido a la ausencia de accesibilidad comunicacional. </w:t>
      </w:r>
    </w:p>
    <w:p w14:paraId="689BEE2B"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Estas barreras también afectan el acceso a servicios destinados a la prevención, detección y atención de la violencia de género. La falta de canales accesibles para denunciar situaciones de violencia y la inexistencia de atención especializada en Lengua de Señas incrementan la vulnerabilidad de las mujeres sordas y restringen el acceso efectivo a medidas de protección y reparación.</w:t>
      </w:r>
    </w:p>
    <w:p w14:paraId="410CD731"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Resulta indispensable que las políticas públicas incorporen un enfoque interseccional que considere simultáneamente la discapacidad, el género y los derechos lingüísticos de las mujeres sordas.</w:t>
      </w:r>
    </w:p>
    <w:p w14:paraId="24A83809" w14:textId="77777777" w:rsidR="00A77B3E" w:rsidRDefault="004538A5">
      <w:pPr>
        <w:spacing w:before="240" w:after="240"/>
        <w:jc w:val="both"/>
        <w:rPr>
          <w:rFonts w:ascii="Times New Roman" w:hAnsi="Times New Roman" w:cs="Times New Roman"/>
          <w:b/>
          <w:bCs/>
          <w:lang w:val="en-US"/>
        </w:rPr>
      </w:pPr>
      <w:r>
        <w:rPr>
          <w:rFonts w:ascii="Times New Roman" w:hAnsi="Times New Roman" w:cs="Times New Roman"/>
          <w:b/>
          <w:bCs/>
          <w:lang w:val="en-US" w:eastAsia="en-US"/>
        </w:rPr>
        <w:t xml:space="preserve">Vl. </w:t>
      </w:r>
      <w:proofErr w:type="spellStart"/>
      <w:r>
        <w:rPr>
          <w:rFonts w:ascii="Times New Roman" w:hAnsi="Times New Roman" w:cs="Times New Roman"/>
          <w:b/>
          <w:bCs/>
          <w:lang w:val="en-US" w:eastAsia="en-US"/>
        </w:rPr>
        <w:t>Hallazgos</w:t>
      </w:r>
      <w:proofErr w:type="spellEnd"/>
      <w:r>
        <w:rPr>
          <w:rFonts w:ascii="Times New Roman" w:hAnsi="Times New Roman" w:cs="Times New Roman"/>
          <w:b/>
          <w:bCs/>
          <w:lang w:val="en-US" w:eastAsia="en-US"/>
        </w:rPr>
        <w:t xml:space="preserve"> </w:t>
      </w:r>
      <w:proofErr w:type="spellStart"/>
      <w:r>
        <w:rPr>
          <w:rFonts w:ascii="Times New Roman" w:hAnsi="Times New Roman" w:cs="Times New Roman"/>
          <w:b/>
          <w:bCs/>
          <w:lang w:val="en-US" w:eastAsia="en-US"/>
        </w:rPr>
        <w:t>principales</w:t>
      </w:r>
      <w:proofErr w:type="spellEnd"/>
    </w:p>
    <w:p w14:paraId="647A84D0" w14:textId="77777777" w:rsidR="00A77B3E" w:rsidRPr="003F55A9" w:rsidRDefault="004538A5">
      <w:pPr>
        <w:numPr>
          <w:ilvl w:val="0"/>
          <w:numId w:val="1"/>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No existe un sistema permanente de interpretación en LSCh en la Región de Valparaíso.</w:t>
      </w:r>
    </w:p>
    <w:p w14:paraId="4B460DB5" w14:textId="77777777" w:rsidR="00A77B3E" w:rsidRPr="003F55A9" w:rsidRDefault="004538A5">
      <w:pPr>
        <w:numPr>
          <w:ilvl w:val="0"/>
          <w:numId w:val="1"/>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accesibilidad comunicacional depende de iniciativas individuales o voluntarias.</w:t>
      </w:r>
    </w:p>
    <w:p w14:paraId="5988B30B" w14:textId="77777777" w:rsidR="00A77B3E" w:rsidRPr="003F55A9" w:rsidRDefault="004538A5">
      <w:pPr>
        <w:numPr>
          <w:ilvl w:val="0"/>
          <w:numId w:val="1"/>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atención en salud mental presenta barreras especialmente graves.</w:t>
      </w:r>
    </w:p>
    <w:p w14:paraId="6C49821D" w14:textId="77777777" w:rsidR="00A77B3E" w:rsidRPr="003F55A9" w:rsidRDefault="004538A5">
      <w:pPr>
        <w:numPr>
          <w:ilvl w:val="0"/>
          <w:numId w:val="1"/>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El consentimiento informado no puede garantizarse sin comunicación accesible.</w:t>
      </w:r>
    </w:p>
    <w:p w14:paraId="5B11798F" w14:textId="77777777" w:rsidR="00A77B3E" w:rsidRPr="003F55A9" w:rsidRDefault="004538A5">
      <w:pPr>
        <w:numPr>
          <w:ilvl w:val="0"/>
          <w:numId w:val="1"/>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Las respuestas institucionales a los reclamos son insuficientes.</w:t>
      </w:r>
    </w:p>
    <w:p w14:paraId="487159DC" w14:textId="77777777" w:rsidR="00A77B3E" w:rsidRPr="003F55A9" w:rsidRDefault="004538A5">
      <w:pPr>
        <w:numPr>
          <w:ilvl w:val="0"/>
          <w:numId w:val="1"/>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falta de accesibilidad afecta también el acceso a la justicia mediante peritajes e informes técnicos.</w:t>
      </w:r>
    </w:p>
    <w:p w14:paraId="3F9130E0" w14:textId="77777777" w:rsidR="00A77B3E" w:rsidRPr="003F55A9" w:rsidRDefault="004538A5">
      <w:pPr>
        <w:numPr>
          <w:ilvl w:val="0"/>
          <w:numId w:val="1"/>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No existen estadísticas oficiales sobre Personas Sordas usuarias de la LSCh.</w:t>
      </w:r>
    </w:p>
    <w:p w14:paraId="400CE70E" w14:textId="77777777" w:rsidR="00A77B3E" w:rsidRPr="003F55A9" w:rsidRDefault="004538A5">
      <w:pPr>
        <w:numPr>
          <w:ilvl w:val="0"/>
          <w:numId w:val="1"/>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capacitación del personal sanitario continúa siendo limitada.</w:t>
      </w:r>
    </w:p>
    <w:p w14:paraId="4A08CA38" w14:textId="77777777" w:rsidR="00A77B3E" w:rsidRPr="003F55A9" w:rsidRDefault="004538A5">
      <w:pPr>
        <w:numPr>
          <w:ilvl w:val="0"/>
          <w:numId w:val="1"/>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lastRenderedPageBreak/>
        <w:t>La jurisprudencia nacional confirma que la falta de intérpretes constituye una vulneración de derechos.</w:t>
      </w:r>
    </w:p>
    <w:p w14:paraId="4E42A0C8" w14:textId="77777777" w:rsidR="00A77B3E" w:rsidRPr="003F55A9" w:rsidRDefault="004538A5">
      <w:pPr>
        <w:numPr>
          <w:ilvl w:val="0"/>
          <w:numId w:val="1"/>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Existe una brecha significativa entre el marco normativo vigente y su implementación práctica.</w:t>
      </w:r>
    </w:p>
    <w:p w14:paraId="6D1EFBB6" w14:textId="77777777" w:rsidR="00A77B3E" w:rsidRPr="003F55A9" w:rsidRDefault="004538A5">
      <w:pPr>
        <w:spacing w:before="240" w:after="240"/>
        <w:jc w:val="both"/>
        <w:rPr>
          <w:rFonts w:ascii="Times New Roman" w:hAnsi="Times New Roman" w:cs="Times New Roman"/>
          <w:b/>
          <w:bCs/>
          <w:lang w:val="es-ES"/>
        </w:rPr>
      </w:pPr>
      <w:r w:rsidRPr="003F55A9">
        <w:rPr>
          <w:rFonts w:ascii="Times New Roman" w:hAnsi="Times New Roman" w:cs="Times New Roman"/>
          <w:b/>
          <w:bCs/>
          <w:lang w:val="es-ES" w:eastAsia="en-US"/>
        </w:rPr>
        <w:t>VlI. Recomendaciones</w:t>
      </w:r>
    </w:p>
    <w:p w14:paraId="58AB53E6" w14:textId="77777777" w:rsidR="00A77B3E" w:rsidRPr="003F55A9" w:rsidRDefault="004538A5">
      <w:pPr>
        <w:spacing w:before="240" w:after="24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Con el fin de garantizar el cumplimiento de las obligaciones establecidas en los artículos 9, 21 y 25 de la Convención sobre los Derechos de las Personas con Discapacidad, se recomienda al Estado de Chile:</w:t>
      </w:r>
    </w:p>
    <w:p w14:paraId="3FBE9637"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Diseñar e implementar una política pública nacional de accesibilidad comunicacional que permita garantizar la disponibilidad de intérpretes profesionales de Lengua de Señas Chilena (LSCh) en todos los niveles de atención del sistema público de salud, incluyendo la atención primaria, especializada, hospitalaria y de urgencia.</w:t>
      </w:r>
    </w:p>
    <w:p w14:paraId="0D9598E5"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Crear un sistema nacional permanente de interpretación profesional en Lengua de Señas Chilena, presencial y remoto, disponible las 24 horas del día, financiado mediante recursos públicos y coordinado por el Ministerio de Salud, evitando que la provisión del servicio dependa del voluntariado o de iniciativas aisladas. </w:t>
      </w:r>
    </w:p>
    <w:p w14:paraId="3F1745A9"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Incorporar cargos permanentes para intérpretes de Lengua de Señas Chilena dentro de la dotación de los Servicios de Salud y hospitales públicos, asegurando financiamiento estable y cobertura territorial. </w:t>
      </w:r>
    </w:p>
    <w:p w14:paraId="7AD82E45"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Prohibir la utilización de familiares, acompañantes o menores de edad como intérpretes durante las atenciones de salud, salvo en situaciones excepcionales expresamente autorizadas por la persona usuaria y sin perjuicio del deber del Estado de proporcionar interpretación profesional. Elaborar protocolos nacionales obligatorios de atención accesible para Personas Sordas usuarias de la Lengua de Señas Chilena, aplicables en todos los establecimientos públicos de salud. </w:t>
      </w:r>
    </w:p>
    <w:p w14:paraId="52741104"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Incorporar formación obligatoria sobre Derechos Humanos, cultura sorda, derechos lingüísticos, accesibilidad comunicacional y uso adecuado de servicios de interpretación dentro de la formación continua del personal sanitario. </w:t>
      </w:r>
    </w:p>
    <w:p w14:paraId="49BD9B59"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Establecer mecanismos de supervisión, monitoreo y rendición de cuentas que permitan evaluar el cumplimiento de las obligaciones de accesibilidad comunicacional en el sistema de salud, incluyendo indicadores específicos y procedimientos de denuncia. Garantizar que toda información clínica relevante, incluyendo consentimiento informado, indicaciones terapéuticas, educación sanitaria y campañas de prevención, sea entregada en formatos accesibles para Personas Sordas usuarias de la Lengua de Señas Chilena. </w:t>
      </w:r>
    </w:p>
    <w:p w14:paraId="09FD7775"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Desarrollar una estrategia nacional de salud mental accesible para Personas Sordas, incorporando profesionales con competencias en Lengua de Señas Chilena, servicios permanentes de interpretación y programas especializados. </w:t>
      </w:r>
    </w:p>
    <w:p w14:paraId="5BDC79FA"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Replicar y fortalecer modelos de atención accesible, como la Unidad de Atención en Salud para Personas Sordas implementada en el CESFAM Santa Laura, promoviendo su incorporación progresiva en la red pública de salud como una política pública de alcance nacional.</w:t>
      </w:r>
    </w:p>
    <w:p w14:paraId="344047AF"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Garantizar la accesibilidad comunicacional en los servicios de salud mental, mediante la disponibilidad de intérpretes profesionales y el fortalecimiento de la formación de profesionales con competencias en Lengua de Señas Chilena.</w:t>
      </w:r>
    </w:p>
    <w:p w14:paraId="210AD294"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Elaborar protocolos técnicos para la realización de evaluaciones psicológicas, psiquiátricas y periciales de Personas Sordas usuarias de la Lengua de Señas Chilena, incorporando intérpretes profesionales, adaptaciones metodológicas y validación de instrumentos de evaluación. </w:t>
      </w:r>
    </w:p>
    <w:p w14:paraId="373D2E9D"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lastRenderedPageBreak/>
        <w:t xml:space="preserve">Desarrollar instrumentos psicológicos y psiquiátricos adaptados y validados para Personas Sordas usuarias de la Lengua de Señas Chilena. </w:t>
      </w:r>
    </w:p>
    <w:p w14:paraId="41321560"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 xml:space="preserve">Establecer mecanismos accesibles para la presentación de reclamos y denuncias por vulneraciones del derecho a la salud, garantizando interpretación en Lengua de Señas Chilena durante todo el procedimiento administrativo. </w:t>
      </w:r>
    </w:p>
    <w:p w14:paraId="396AE3A2" w14:textId="77777777" w:rsidR="00A77B3E" w:rsidRPr="003F55A9" w:rsidRDefault="004538A5">
      <w:pPr>
        <w:numPr>
          <w:ilvl w:val="0"/>
          <w:numId w:val="2"/>
        </w:numPr>
        <w:tabs>
          <w:tab w:val="left" w:pos="360"/>
          <w:tab w:val="left" w:pos="1080"/>
        </w:tabs>
        <w:spacing w:after="0"/>
        <w:ind w:left="108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Asegurar la participación efectiva de las organizaciones representativas de la Comunidad Sorda en el diseño, implementación, seguimiento y evaluación de las políticas públicas relacionadas con el derecho a la salud, de conformidad con el artículo 4.3 de la Convención sobre los Derechos de las Personas con Discapacidad.</w:t>
      </w:r>
    </w:p>
    <w:p w14:paraId="54AB9CEF" w14:textId="77777777" w:rsidR="00A77B3E" w:rsidRPr="003F55A9" w:rsidRDefault="004538A5">
      <w:pPr>
        <w:spacing w:before="240" w:after="240"/>
        <w:jc w:val="both"/>
        <w:rPr>
          <w:rFonts w:ascii="Times New Roman" w:hAnsi="Times New Roman" w:cs="Times New Roman"/>
          <w:b/>
          <w:bCs/>
          <w:lang w:val="es-ES"/>
        </w:rPr>
      </w:pPr>
      <w:r w:rsidRPr="003F55A9">
        <w:rPr>
          <w:rFonts w:ascii="Times New Roman" w:hAnsi="Times New Roman" w:cs="Times New Roman"/>
          <w:b/>
          <w:bCs/>
          <w:lang w:val="es-ES" w:eastAsia="en-US"/>
        </w:rPr>
        <w:t>VIII. Conclusión.</w:t>
      </w:r>
    </w:p>
    <w:p w14:paraId="56B069EB" w14:textId="77777777" w:rsidR="00A77B3E" w:rsidRPr="003F55A9" w:rsidRDefault="004538A5">
      <w:pPr>
        <w:spacing w:before="240" w:after="240"/>
        <w:ind w:right="60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La evidencia recopilada demuestra que las barreras de accesibilidad comunicacional que enfrentan las Personas Sordas usuarias de la Lengua de Señas Chilena en la Región de Valparaíso no corresponden a situaciones aisladas, sino a deficiencias estructurales presentes en la organización del sistema público de salud. La ausencia de servicios permanentes de interpretación, la inexistencia de protocolos institucionales, la limitada capacitación del personal sanitario, la insuficiente accesibilidad en salud mental y las dificultades para acceder a evaluaciones periciales evidencian que las obligaciones establecidas en los artículos 9, 21 y 25 de la Convención aún no se implementan de manera efectiva.</w:t>
      </w:r>
    </w:p>
    <w:p w14:paraId="48DC4831" w14:textId="77777777" w:rsidR="00A77B3E" w:rsidRPr="003F55A9" w:rsidRDefault="004538A5">
      <w:pPr>
        <w:spacing w:before="240" w:after="240"/>
        <w:ind w:right="60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Esta situación limita el ejercicio de derechos fundamentales como la autonomía, la privacidad, el consentimiento libre e informado, el acceso a la información y la igualdad en el acceso a la salud. Asimismo, produce efectos que trascienden el ámbito sanitario, afectando el acceso a la justicia, la protección frente a la violencia, la vida familiar y la participación social de las Personas Sordas.</w:t>
      </w:r>
    </w:p>
    <w:p w14:paraId="45CA6840" w14:textId="77777777" w:rsidR="00A77B3E" w:rsidRPr="003F55A9" w:rsidRDefault="004538A5">
      <w:pPr>
        <w:spacing w:before="240" w:after="240"/>
        <w:ind w:right="600"/>
        <w:jc w:val="both"/>
        <w:rPr>
          <w:rFonts w:ascii="Times New Roman" w:hAnsi="Times New Roman" w:cs="Times New Roman"/>
          <w:sz w:val="20"/>
          <w:szCs w:val="20"/>
          <w:lang w:val="es-ES"/>
        </w:rPr>
      </w:pPr>
      <w:r w:rsidRPr="003F55A9">
        <w:rPr>
          <w:rFonts w:ascii="Times New Roman" w:hAnsi="Times New Roman" w:cs="Times New Roman"/>
          <w:sz w:val="20"/>
          <w:szCs w:val="20"/>
          <w:lang w:val="es-ES" w:eastAsia="en-US"/>
        </w:rPr>
        <w:t>En consecuencia, el Estado de Chile debe adoptar medidas legislativas, administrativas, presupuestarias e institucionales que permitan transformar la accesibilidad comunicacional en un componente permanente del sistema público de salud y no en una prestación excepcional o dependiente de iniciativas individuales. Solo mediante una implementación efectiva de la Convención será posible garantizar que las Personas Sordas usuarias de la Lengua de Señas Chilena ejerzan plenamente su derecho a la salud en igualdad de condiciones con las demás personas.</w:t>
      </w:r>
    </w:p>
    <w:p w14:paraId="010E4109" w14:textId="77777777" w:rsidR="00A77B3E" w:rsidRPr="003F55A9" w:rsidRDefault="00A77B3E">
      <w:pPr>
        <w:rPr>
          <w:rFonts w:ascii="Times New Roman" w:hAnsi="Times New Roman" w:cs="Times New Roman"/>
          <w:b/>
          <w:bCs/>
          <w:lang w:val="es-ES"/>
        </w:rPr>
      </w:pPr>
    </w:p>
    <w:p w14:paraId="1AE1AB52" w14:textId="77777777" w:rsidR="00A77B3E" w:rsidRPr="003F55A9" w:rsidRDefault="00A77B3E">
      <w:pPr>
        <w:rPr>
          <w:rFonts w:ascii="Times New Roman" w:hAnsi="Times New Roman" w:cs="Times New Roman"/>
          <w:b/>
          <w:bCs/>
          <w:lang w:val="es-ES"/>
        </w:rPr>
      </w:pPr>
    </w:p>
    <w:p w14:paraId="5E763358" w14:textId="77777777" w:rsidR="00A77B3E" w:rsidRPr="003F55A9" w:rsidRDefault="00A77B3E">
      <w:pPr>
        <w:rPr>
          <w:rFonts w:ascii="Times New Roman" w:hAnsi="Times New Roman" w:cs="Times New Roman"/>
          <w:b/>
          <w:bCs/>
          <w:lang w:val="es-ES"/>
        </w:rPr>
      </w:pPr>
    </w:p>
    <w:p w14:paraId="779C920B" w14:textId="77777777" w:rsidR="00A77B3E" w:rsidRPr="003F55A9" w:rsidRDefault="00A77B3E">
      <w:pPr>
        <w:rPr>
          <w:rFonts w:ascii="Times New Roman" w:hAnsi="Times New Roman" w:cs="Times New Roman"/>
          <w:b/>
          <w:bCs/>
          <w:lang w:val="es-ES"/>
        </w:rPr>
      </w:pPr>
    </w:p>
    <w:p w14:paraId="4C9B94B3" w14:textId="77777777" w:rsidR="00A77B3E" w:rsidRPr="003F55A9" w:rsidRDefault="00A77B3E">
      <w:pPr>
        <w:rPr>
          <w:rFonts w:ascii="Times New Roman" w:hAnsi="Times New Roman" w:cs="Times New Roman"/>
          <w:b/>
          <w:bCs/>
          <w:lang w:val="es-ES"/>
        </w:rPr>
      </w:pPr>
    </w:p>
    <w:p w14:paraId="07A475AA" w14:textId="77777777" w:rsidR="00A77B3E" w:rsidRPr="003F55A9" w:rsidRDefault="00A77B3E">
      <w:pPr>
        <w:rPr>
          <w:rFonts w:ascii="Times New Roman" w:hAnsi="Times New Roman" w:cs="Times New Roman"/>
          <w:b/>
          <w:bCs/>
          <w:lang w:val="es-ES"/>
        </w:rPr>
      </w:pPr>
    </w:p>
    <w:p w14:paraId="4B42BE0B" w14:textId="77777777" w:rsidR="00A77B3E" w:rsidRPr="003F55A9" w:rsidRDefault="00A77B3E">
      <w:pPr>
        <w:rPr>
          <w:rFonts w:ascii="Times New Roman" w:hAnsi="Times New Roman" w:cs="Times New Roman"/>
          <w:b/>
          <w:bCs/>
          <w:lang w:val="es-ES"/>
        </w:rPr>
      </w:pPr>
    </w:p>
    <w:p w14:paraId="5A818A2E" w14:textId="77777777" w:rsidR="00A77B3E" w:rsidRPr="003F55A9" w:rsidRDefault="00A77B3E">
      <w:pPr>
        <w:rPr>
          <w:rFonts w:ascii="Times New Roman" w:hAnsi="Times New Roman" w:cs="Times New Roman"/>
          <w:b/>
          <w:bCs/>
          <w:lang w:val="es-ES"/>
        </w:rPr>
      </w:pPr>
    </w:p>
    <w:p w14:paraId="369EECEA" w14:textId="77777777" w:rsidR="00A77B3E" w:rsidRDefault="004538A5">
      <w:pPr>
        <w:rPr>
          <w:rFonts w:ascii="Times New Roman" w:hAnsi="Times New Roman" w:cs="Times New Roman"/>
          <w:b/>
          <w:bCs/>
          <w:lang w:val="en-US"/>
        </w:rPr>
      </w:pPr>
      <w:r>
        <w:rPr>
          <w:rFonts w:ascii="Times New Roman" w:hAnsi="Times New Roman" w:cs="Times New Roman"/>
          <w:b/>
          <w:bCs/>
          <w:lang w:val="en-US" w:eastAsia="en-US"/>
        </w:rPr>
        <w:lastRenderedPageBreak/>
        <w:t>Anexo 1</w:t>
      </w:r>
    </w:p>
    <w:p w14:paraId="09F39D8F" w14:textId="77777777" w:rsidR="00A77B3E" w:rsidRDefault="004538A5">
      <w:pPr>
        <w:rPr>
          <w:rFonts w:ascii="Times New Roman" w:hAnsi="Times New Roman" w:cs="Times New Roman"/>
          <w:b/>
          <w:bCs/>
          <w:lang w:val="en-US"/>
        </w:rPr>
      </w:pPr>
      <w:r w:rsidRPr="004538A5">
        <w:rPr>
          <w:noProof/>
          <w:lang w:val="en-US"/>
        </w:rPr>
        <w:drawing>
          <wp:inline distT="0" distB="0" distL="0" distR="0" wp14:anchorId="3218831B" wp14:editId="716A5F93">
            <wp:extent cx="5231765" cy="7355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1765" cy="7355840"/>
                    </a:xfrm>
                    <a:prstGeom prst="rect">
                      <a:avLst/>
                    </a:prstGeom>
                    <a:noFill/>
                    <a:ln>
                      <a:noFill/>
                    </a:ln>
                  </pic:spPr>
                </pic:pic>
              </a:graphicData>
            </a:graphic>
          </wp:inline>
        </w:drawing>
      </w:r>
    </w:p>
    <w:p w14:paraId="61F0348A" w14:textId="77777777" w:rsidR="00A77B3E" w:rsidRDefault="004538A5">
      <w:pPr>
        <w:rPr>
          <w:rFonts w:ascii="Times New Roman" w:hAnsi="Times New Roman" w:cs="Times New Roman"/>
          <w:b/>
          <w:bCs/>
          <w:lang w:val="en-US"/>
        </w:rPr>
      </w:pPr>
      <w:r>
        <w:rPr>
          <w:rFonts w:ascii="Times New Roman" w:hAnsi="Times New Roman" w:cs="Times New Roman"/>
          <w:b/>
          <w:bCs/>
          <w:lang w:val="en-US" w:eastAsia="en-US"/>
        </w:rPr>
        <w:lastRenderedPageBreak/>
        <w:t>Anexo 2</w:t>
      </w:r>
    </w:p>
    <w:p w14:paraId="571C77CF" w14:textId="77777777" w:rsidR="00A77B3E" w:rsidRDefault="004538A5">
      <w:pPr>
        <w:rPr>
          <w:lang w:val="en-US"/>
        </w:rPr>
      </w:pPr>
      <w:r w:rsidRPr="004538A5">
        <w:rPr>
          <w:noProof/>
          <w:lang w:val="en-US"/>
        </w:rPr>
        <w:drawing>
          <wp:inline distT="0" distB="0" distL="0" distR="0" wp14:anchorId="18E17028" wp14:editId="1B987BC9">
            <wp:extent cx="5029200" cy="61461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0" cy="6146165"/>
                    </a:xfrm>
                    <a:prstGeom prst="rect">
                      <a:avLst/>
                    </a:prstGeom>
                    <a:noFill/>
                    <a:ln>
                      <a:noFill/>
                    </a:ln>
                  </pic:spPr>
                </pic:pic>
              </a:graphicData>
            </a:graphic>
          </wp:inline>
        </w:drawing>
      </w:r>
      <w:r>
        <w:rPr>
          <w:lang w:val="en-US" w:eastAsia="en-US"/>
        </w:rPr>
        <w:t xml:space="preserve"> </w:t>
      </w:r>
    </w:p>
    <w:p w14:paraId="7A2D2CB1" w14:textId="77777777" w:rsidR="00A77B3E" w:rsidRDefault="004538A5">
      <w:pPr>
        <w:rPr>
          <w:rFonts w:ascii="Times New Roman" w:hAnsi="Times New Roman" w:cs="Times New Roman"/>
          <w:b/>
          <w:bCs/>
          <w:lang w:val="en-US"/>
        </w:rPr>
      </w:pPr>
      <w:r w:rsidRPr="004538A5">
        <w:rPr>
          <w:noProof/>
          <w:lang w:val="en-US"/>
        </w:rPr>
        <w:lastRenderedPageBreak/>
        <w:drawing>
          <wp:inline distT="0" distB="0" distL="0" distR="0" wp14:anchorId="43D18BE9" wp14:editId="58F144D5">
            <wp:extent cx="5313045" cy="47917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3045" cy="4791710"/>
                    </a:xfrm>
                    <a:prstGeom prst="rect">
                      <a:avLst/>
                    </a:prstGeom>
                    <a:noFill/>
                    <a:ln>
                      <a:noFill/>
                    </a:ln>
                  </pic:spPr>
                </pic:pic>
              </a:graphicData>
            </a:graphic>
          </wp:inline>
        </w:drawing>
      </w:r>
    </w:p>
    <w:sectPr w:rsidR="00A77B3E">
      <w:headerReference w:type="default" r:id="rId10"/>
      <w:footerReference w:type="default" r:id="rId11"/>
      <w:pgSz w:w="12240" w:h="15840"/>
      <w:pgMar w:top="1417" w:right="1701" w:bottom="1417" w:left="1701"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CF212" w14:textId="77777777" w:rsidR="00200246" w:rsidRDefault="00200246">
      <w:pPr>
        <w:spacing w:after="0" w:line="240" w:lineRule="auto"/>
      </w:pPr>
      <w:r>
        <w:separator/>
      </w:r>
    </w:p>
  </w:endnote>
  <w:endnote w:type="continuationSeparator" w:id="0">
    <w:p w14:paraId="0FDF0B39" w14:textId="77777777" w:rsidR="00200246" w:rsidRDefault="00200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lay">
    <w:altName w:val="Calibri"/>
    <w:panose1 w:val="00000000000000000000"/>
    <w:charset w:val="00"/>
    <w:family w:val="auto"/>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717DD" w14:textId="77777777" w:rsidR="004538A5" w:rsidRPr="003F55A9" w:rsidRDefault="004538A5">
    <w:pPr>
      <w:tabs>
        <w:tab w:val="center" w:pos="4419"/>
        <w:tab w:val="right" w:pos="8838"/>
      </w:tabs>
      <w:spacing w:after="0" w:line="240" w:lineRule="auto"/>
      <w:jc w:val="right"/>
      <w:rPr>
        <w:lang w:val="es-ES"/>
      </w:rPr>
    </w:pPr>
    <w:r>
      <w:rPr>
        <w:lang w:val="en-US" w:eastAsia="en-US"/>
      </w:rPr>
      <w:fldChar w:fldCharType="begin"/>
    </w:r>
    <w:r w:rsidRPr="003F55A9">
      <w:rPr>
        <w:lang w:val="es-ES" w:eastAsia="en-US"/>
      </w:rPr>
      <w:instrText>PAGE</w:instrText>
    </w:r>
    <w:r>
      <w:rPr>
        <w:lang w:val="en-US" w:eastAsia="en-US"/>
      </w:rPr>
      <w:fldChar w:fldCharType="separate"/>
    </w:r>
    <w:r w:rsidR="00415C5D" w:rsidRPr="003F55A9">
      <w:rPr>
        <w:noProof/>
        <w:lang w:val="es-ES" w:eastAsia="en-US"/>
      </w:rPr>
      <w:t>1</w:t>
    </w:r>
    <w:r>
      <w:rPr>
        <w:lang w:val="en-US" w:eastAsia="en-US"/>
      </w:rPr>
      <w:fldChar w:fldCharType="end"/>
    </w:r>
  </w:p>
  <w:p w14:paraId="216B743F" w14:textId="77777777" w:rsidR="004538A5" w:rsidRPr="003F55A9" w:rsidRDefault="004538A5">
    <w:pPr>
      <w:tabs>
        <w:tab w:val="center" w:pos="4419"/>
        <w:tab w:val="right" w:pos="8838"/>
      </w:tabs>
      <w:spacing w:after="0" w:line="240" w:lineRule="auto"/>
      <w:rPr>
        <w:rFonts w:ascii="Calibri" w:hAnsi="Calibri" w:cs="Calibri"/>
        <w:sz w:val="16"/>
        <w:szCs w:val="16"/>
        <w:lang w:val="es-ES"/>
      </w:rPr>
    </w:pPr>
    <w:r w:rsidRPr="003F55A9">
      <w:rPr>
        <w:rFonts w:ascii="Calibri" w:hAnsi="Calibri" w:cs="Calibri"/>
        <w:b/>
        <w:bCs/>
        <w:sz w:val="16"/>
        <w:szCs w:val="16"/>
        <w:lang w:val="es-ES" w:eastAsia="en-US"/>
      </w:rPr>
      <w:t>Versión:</w:t>
    </w:r>
    <w:r w:rsidRPr="003F55A9">
      <w:rPr>
        <w:rFonts w:ascii="Calibri" w:hAnsi="Calibri" w:cs="Calibri"/>
        <w:sz w:val="16"/>
        <w:szCs w:val="16"/>
        <w:lang w:val="es-ES" w:eastAsia="en-US"/>
      </w:rPr>
      <w:t xml:space="preserve"> 1.0</w:t>
    </w:r>
    <w:r w:rsidRPr="003F55A9">
      <w:rPr>
        <w:rFonts w:ascii="Calibri" w:hAnsi="Calibri" w:cs="Calibri"/>
        <w:sz w:val="16"/>
        <w:szCs w:val="16"/>
        <w:lang w:val="es-ES" w:eastAsia="en-US"/>
      </w:rPr>
      <w:br/>
    </w:r>
    <w:r w:rsidRPr="003F55A9">
      <w:rPr>
        <w:rFonts w:ascii="Calibri" w:hAnsi="Calibri" w:cs="Calibri"/>
        <w:b/>
        <w:bCs/>
        <w:sz w:val="16"/>
        <w:szCs w:val="16"/>
        <w:lang w:val="es-ES" w:eastAsia="en-US"/>
      </w:rPr>
      <w:t>Fecha de revisión:</w:t>
    </w:r>
    <w:r w:rsidRPr="003F55A9">
      <w:rPr>
        <w:rFonts w:ascii="Calibri" w:hAnsi="Calibri" w:cs="Calibri"/>
        <w:sz w:val="16"/>
        <w:szCs w:val="16"/>
        <w:lang w:val="es-ES" w:eastAsia="en-US"/>
      </w:rPr>
      <w:t xml:space="preserve"> 20 de julio de 2026                                                                                                      </w:t>
    </w:r>
    <w:r w:rsidRPr="003F55A9">
      <w:rPr>
        <w:rFonts w:ascii="Calibri" w:hAnsi="Calibri" w:cs="Calibri"/>
        <w:b/>
        <w:bCs/>
        <w:sz w:val="16"/>
        <w:szCs w:val="16"/>
        <w:lang w:val="es-ES" w:eastAsia="en-US"/>
      </w:rPr>
      <w:t>Última actualización:</w:t>
    </w:r>
    <w:r w:rsidRPr="003F55A9">
      <w:rPr>
        <w:rFonts w:ascii="Calibri" w:hAnsi="Calibri" w:cs="Calibri"/>
        <w:sz w:val="16"/>
        <w:szCs w:val="16"/>
        <w:lang w:val="es-ES" w:eastAsia="en-US"/>
      </w:rPr>
      <w:t xml:space="preserve"> 20 de julio de 2026</w:t>
    </w:r>
    <w:r w:rsidRPr="003F55A9">
      <w:rPr>
        <w:rFonts w:ascii="Calibri" w:hAnsi="Calibri" w:cs="Calibri"/>
        <w:sz w:val="16"/>
        <w:szCs w:val="16"/>
        <w:lang w:val="es-ES" w:eastAsia="en-US"/>
      </w:rPr>
      <w:br/>
    </w:r>
    <w:r w:rsidRPr="003F55A9">
      <w:rPr>
        <w:rFonts w:ascii="Calibri" w:hAnsi="Calibri" w:cs="Calibri"/>
        <w:b/>
        <w:bCs/>
        <w:sz w:val="16"/>
        <w:szCs w:val="16"/>
        <w:lang w:val="es-ES" w:eastAsia="en-US"/>
      </w:rPr>
      <w:t>Revisión jurídica:</w:t>
    </w:r>
    <w:r w:rsidRPr="003F55A9">
      <w:rPr>
        <w:rFonts w:ascii="Calibri" w:hAnsi="Calibri" w:cs="Calibri"/>
        <w:sz w:val="16"/>
        <w:szCs w:val="16"/>
        <w:lang w:val="es-ES" w:eastAsia="en-US"/>
      </w:rPr>
      <w:t xml:space="preserve"> Javier Ovalle Meneses                                                                                        </w:t>
    </w:r>
    <w:r w:rsidRPr="003F55A9">
      <w:rPr>
        <w:rFonts w:ascii="Calibri" w:hAnsi="Calibri" w:cs="Calibri"/>
        <w:b/>
        <w:bCs/>
        <w:sz w:val="16"/>
        <w:szCs w:val="16"/>
        <w:lang w:val="es-ES" w:eastAsia="en-US"/>
      </w:rPr>
      <w:t>Coordinación técnica:</w:t>
    </w:r>
    <w:r w:rsidRPr="003F55A9">
      <w:rPr>
        <w:rFonts w:ascii="Calibri" w:hAnsi="Calibri" w:cs="Calibri"/>
        <w:sz w:val="16"/>
        <w:szCs w:val="16"/>
        <w:lang w:val="es-ES" w:eastAsia="en-US"/>
      </w:rPr>
      <w:t xml:space="preserve"> Yazmín Lorca Benavides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2133E" w14:textId="77777777" w:rsidR="00200246" w:rsidRDefault="00200246">
      <w:pPr>
        <w:spacing w:after="0" w:line="240" w:lineRule="auto"/>
      </w:pPr>
      <w:r>
        <w:separator/>
      </w:r>
    </w:p>
  </w:footnote>
  <w:footnote w:type="continuationSeparator" w:id="0">
    <w:p w14:paraId="24E69E8F" w14:textId="77777777" w:rsidR="00200246" w:rsidRDefault="002002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5CEAD" w14:textId="77777777" w:rsidR="004538A5" w:rsidRPr="003F55A9" w:rsidRDefault="004538A5">
    <w:pPr>
      <w:spacing w:after="240" w:line="240" w:lineRule="auto"/>
      <w:rPr>
        <w:rFonts w:ascii="Calibri" w:hAnsi="Calibri" w:cs="Calibri"/>
        <w:sz w:val="18"/>
        <w:szCs w:val="18"/>
        <w:lang w:val="es-ES"/>
      </w:rPr>
    </w:pPr>
    <w:r w:rsidRPr="003F55A9">
      <w:rPr>
        <w:rFonts w:ascii="Calibri" w:hAnsi="Calibri" w:cs="Calibri"/>
        <w:sz w:val="18"/>
        <w:szCs w:val="18"/>
        <w:lang w:val="es-ES" w:eastAsia="en-US"/>
      </w:rPr>
      <w:t xml:space="preserve">Mesa Territorial de Instituciones de la </w:t>
    </w:r>
  </w:p>
  <w:p w14:paraId="7836A9DF" w14:textId="77777777" w:rsidR="004538A5" w:rsidRDefault="004538A5">
    <w:pPr>
      <w:spacing w:after="240" w:line="240" w:lineRule="auto"/>
      <w:rPr>
        <w:rFonts w:ascii="Calibri" w:hAnsi="Calibri" w:cs="Calibri"/>
        <w:sz w:val="18"/>
        <w:szCs w:val="18"/>
        <w:lang w:val="en-US"/>
      </w:rPr>
    </w:pPr>
    <w:r w:rsidRPr="003F55A9">
      <w:rPr>
        <w:rFonts w:ascii="Calibri" w:hAnsi="Calibri" w:cs="Calibri"/>
        <w:sz w:val="18"/>
        <w:szCs w:val="18"/>
        <w:lang w:val="es-ES" w:eastAsia="en-US"/>
      </w:rPr>
      <w:t xml:space="preserve">                 </w:t>
    </w:r>
    <w:r>
      <w:rPr>
        <w:rFonts w:ascii="Calibri" w:hAnsi="Calibri" w:cs="Calibri"/>
        <w:sz w:val="18"/>
        <w:szCs w:val="18"/>
        <w:lang w:val="en-US" w:eastAsia="en-US"/>
      </w:rPr>
      <w:t xml:space="preserve">Comunidad </w:t>
    </w:r>
    <w:proofErr w:type="spellStart"/>
    <w:r>
      <w:rPr>
        <w:rFonts w:ascii="Calibri" w:hAnsi="Calibri" w:cs="Calibri"/>
        <w:sz w:val="18"/>
        <w:szCs w:val="18"/>
        <w:lang w:val="en-US" w:eastAsia="en-US"/>
      </w:rPr>
      <w:t>Sorda</w:t>
    </w:r>
    <w:proofErr w:type="spellEnd"/>
  </w:p>
  <w:p w14:paraId="641FD24F" w14:textId="77777777" w:rsidR="004538A5" w:rsidRDefault="004538A5">
    <w:pPr>
      <w:tabs>
        <w:tab w:val="center" w:pos="4419"/>
        <w:tab w:val="right" w:pos="8838"/>
      </w:tabs>
      <w:spacing w:after="0" w:line="240" w:lineRule="auto"/>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decimal"/>
      <w:lvlText w:val="%1."/>
      <w:lvlJc w:val="left"/>
      <w:pPr>
        <w:tabs>
          <w:tab w:val="num" w:pos="360"/>
        </w:tabs>
        <w:ind w:left="720" w:hanging="360"/>
      </w:pPr>
      <w:rPr>
        <w:rFonts w:cs="Times New Roman"/>
        <w:color w:val="000000"/>
        <w:u w:val="none"/>
      </w:rPr>
    </w:lvl>
    <w:lvl w:ilvl="1">
      <w:start w:val="1"/>
      <w:numFmt w:val="lowerLetter"/>
      <w:lvlText w:val="%2."/>
      <w:lvlJc w:val="left"/>
      <w:pPr>
        <w:tabs>
          <w:tab w:val="num" w:pos="1080"/>
        </w:tabs>
        <w:ind w:left="1440" w:hanging="360"/>
      </w:pPr>
      <w:rPr>
        <w:rFonts w:cs="Times New Roman"/>
        <w:color w:val="000000"/>
        <w:u w:val="none"/>
      </w:rPr>
    </w:lvl>
    <w:lvl w:ilvl="2">
      <w:start w:val="1"/>
      <w:numFmt w:val="lowerRoman"/>
      <w:lvlText w:val="%3."/>
      <w:lvlJc w:val="right"/>
      <w:pPr>
        <w:tabs>
          <w:tab w:val="num" w:pos="1800"/>
        </w:tabs>
        <w:ind w:left="2160" w:hanging="180"/>
      </w:pPr>
      <w:rPr>
        <w:rFonts w:cs="Times New Roman"/>
        <w:color w:val="000000"/>
        <w:u w:val="none"/>
      </w:rPr>
    </w:lvl>
    <w:lvl w:ilvl="3">
      <w:start w:val="1"/>
      <w:numFmt w:val="decimal"/>
      <w:lvlText w:val="%4."/>
      <w:lvlJc w:val="left"/>
      <w:pPr>
        <w:tabs>
          <w:tab w:val="num" w:pos="2520"/>
        </w:tabs>
        <w:ind w:left="2880" w:hanging="360"/>
      </w:pPr>
      <w:rPr>
        <w:rFonts w:cs="Times New Roman"/>
        <w:color w:val="000000"/>
        <w:u w:val="none"/>
      </w:rPr>
    </w:lvl>
    <w:lvl w:ilvl="4">
      <w:start w:val="1"/>
      <w:numFmt w:val="lowerLetter"/>
      <w:lvlText w:val="%5."/>
      <w:lvlJc w:val="left"/>
      <w:pPr>
        <w:tabs>
          <w:tab w:val="num" w:pos="3240"/>
        </w:tabs>
        <w:ind w:left="3600" w:hanging="360"/>
      </w:pPr>
      <w:rPr>
        <w:rFonts w:cs="Times New Roman"/>
        <w:color w:val="000000"/>
        <w:u w:val="none"/>
      </w:rPr>
    </w:lvl>
    <w:lvl w:ilvl="5">
      <w:start w:val="1"/>
      <w:numFmt w:val="lowerRoman"/>
      <w:lvlText w:val="%6."/>
      <w:lvlJc w:val="right"/>
      <w:pPr>
        <w:tabs>
          <w:tab w:val="num" w:pos="3960"/>
        </w:tabs>
        <w:ind w:left="4320" w:hanging="180"/>
      </w:pPr>
      <w:rPr>
        <w:rFonts w:cs="Times New Roman"/>
        <w:color w:val="000000"/>
        <w:u w:val="none"/>
      </w:rPr>
    </w:lvl>
    <w:lvl w:ilvl="6">
      <w:start w:val="1"/>
      <w:numFmt w:val="decimal"/>
      <w:lvlText w:val="%7."/>
      <w:lvlJc w:val="left"/>
      <w:pPr>
        <w:tabs>
          <w:tab w:val="num" w:pos="4680"/>
        </w:tabs>
        <w:ind w:left="5040" w:hanging="360"/>
      </w:pPr>
      <w:rPr>
        <w:rFonts w:cs="Times New Roman"/>
        <w:color w:val="000000"/>
        <w:u w:val="none"/>
      </w:rPr>
    </w:lvl>
    <w:lvl w:ilvl="7">
      <w:start w:val="1"/>
      <w:numFmt w:val="lowerLetter"/>
      <w:lvlText w:val="%8."/>
      <w:lvlJc w:val="left"/>
      <w:pPr>
        <w:tabs>
          <w:tab w:val="num" w:pos="5400"/>
        </w:tabs>
        <w:ind w:left="5760" w:hanging="360"/>
      </w:pPr>
      <w:rPr>
        <w:rFonts w:cs="Times New Roman"/>
        <w:color w:val="000000"/>
        <w:u w:val="none"/>
      </w:rPr>
    </w:lvl>
    <w:lvl w:ilvl="8">
      <w:start w:val="1"/>
      <w:numFmt w:val="lowerRoman"/>
      <w:lvlText w:val="%9."/>
      <w:lvlJc w:val="right"/>
      <w:pPr>
        <w:tabs>
          <w:tab w:val="num" w:pos="6120"/>
        </w:tabs>
        <w:ind w:left="6480" w:hanging="180"/>
      </w:pPr>
      <w:rPr>
        <w:rFonts w:cs="Times New Roman"/>
        <w:color w:val="000000"/>
        <w:u w:val="none"/>
      </w:rPr>
    </w:lvl>
  </w:abstractNum>
  <w:abstractNum w:abstractNumId="1" w15:restartNumberingAfterBreak="0">
    <w:nsid w:val="00000002"/>
    <w:multiLevelType w:val="multilevel"/>
    <w:tmpl w:val="FFFFFFFF"/>
    <w:lvl w:ilvl="0">
      <w:start w:val="1"/>
      <w:numFmt w:val="decimal"/>
      <w:lvlText w:val="%1."/>
      <w:lvlJc w:val="left"/>
      <w:pPr>
        <w:tabs>
          <w:tab w:val="num" w:pos="360"/>
        </w:tabs>
        <w:ind w:left="720" w:hanging="360"/>
      </w:pPr>
      <w:rPr>
        <w:rFonts w:cs="Times New Roman"/>
        <w:color w:val="000000"/>
        <w:u w:val="none"/>
      </w:rPr>
    </w:lvl>
    <w:lvl w:ilvl="1">
      <w:start w:val="1"/>
      <w:numFmt w:val="lowerLetter"/>
      <w:lvlText w:val="%2."/>
      <w:lvlJc w:val="left"/>
      <w:pPr>
        <w:tabs>
          <w:tab w:val="num" w:pos="1080"/>
        </w:tabs>
        <w:ind w:left="1440" w:hanging="360"/>
      </w:pPr>
      <w:rPr>
        <w:rFonts w:cs="Times New Roman"/>
        <w:color w:val="000000"/>
        <w:u w:val="none"/>
      </w:rPr>
    </w:lvl>
    <w:lvl w:ilvl="2">
      <w:start w:val="1"/>
      <w:numFmt w:val="lowerRoman"/>
      <w:lvlText w:val="%3."/>
      <w:lvlJc w:val="left"/>
      <w:pPr>
        <w:tabs>
          <w:tab w:val="num" w:pos="1800"/>
        </w:tabs>
        <w:ind w:left="2160" w:hanging="180"/>
      </w:pPr>
      <w:rPr>
        <w:rFonts w:cs="Times New Roman"/>
        <w:color w:val="000000"/>
        <w:u w:val="none"/>
      </w:rPr>
    </w:lvl>
    <w:lvl w:ilvl="3">
      <w:start w:val="1"/>
      <w:numFmt w:val="decimal"/>
      <w:lvlText w:val="%4."/>
      <w:lvlJc w:val="left"/>
      <w:pPr>
        <w:tabs>
          <w:tab w:val="num" w:pos="2520"/>
        </w:tabs>
        <w:ind w:left="2880" w:hanging="360"/>
      </w:pPr>
      <w:rPr>
        <w:rFonts w:cs="Times New Roman"/>
        <w:color w:val="000000"/>
        <w:u w:val="none"/>
      </w:rPr>
    </w:lvl>
    <w:lvl w:ilvl="4">
      <w:start w:val="1"/>
      <w:numFmt w:val="lowerLetter"/>
      <w:lvlText w:val="%5."/>
      <w:lvlJc w:val="left"/>
      <w:pPr>
        <w:tabs>
          <w:tab w:val="num" w:pos="3240"/>
        </w:tabs>
        <w:ind w:left="3600" w:hanging="360"/>
      </w:pPr>
      <w:rPr>
        <w:rFonts w:cs="Times New Roman"/>
        <w:color w:val="000000"/>
        <w:u w:val="none"/>
      </w:rPr>
    </w:lvl>
    <w:lvl w:ilvl="5">
      <w:start w:val="1"/>
      <w:numFmt w:val="lowerRoman"/>
      <w:lvlText w:val="%6."/>
      <w:lvlJc w:val="left"/>
      <w:pPr>
        <w:tabs>
          <w:tab w:val="num" w:pos="3960"/>
        </w:tabs>
        <w:ind w:left="4320" w:hanging="180"/>
      </w:pPr>
      <w:rPr>
        <w:rFonts w:cs="Times New Roman"/>
        <w:color w:val="000000"/>
        <w:u w:val="none"/>
      </w:rPr>
    </w:lvl>
    <w:lvl w:ilvl="6">
      <w:start w:val="1"/>
      <w:numFmt w:val="decimal"/>
      <w:lvlText w:val="%7."/>
      <w:lvlJc w:val="left"/>
      <w:pPr>
        <w:tabs>
          <w:tab w:val="num" w:pos="4680"/>
        </w:tabs>
        <w:ind w:left="5040" w:hanging="360"/>
      </w:pPr>
      <w:rPr>
        <w:rFonts w:cs="Times New Roman"/>
        <w:color w:val="000000"/>
        <w:u w:val="none"/>
      </w:rPr>
    </w:lvl>
    <w:lvl w:ilvl="7">
      <w:start w:val="1"/>
      <w:numFmt w:val="lowerLetter"/>
      <w:lvlText w:val="%8."/>
      <w:lvlJc w:val="left"/>
      <w:pPr>
        <w:tabs>
          <w:tab w:val="num" w:pos="5400"/>
        </w:tabs>
        <w:ind w:left="5760" w:hanging="360"/>
      </w:pPr>
      <w:rPr>
        <w:rFonts w:cs="Times New Roman"/>
        <w:color w:val="000000"/>
        <w:u w:val="none"/>
      </w:rPr>
    </w:lvl>
    <w:lvl w:ilvl="8">
      <w:start w:val="1"/>
      <w:numFmt w:val="lowerRoman"/>
      <w:lvlText w:val="%9."/>
      <w:lvlJc w:val="left"/>
      <w:pPr>
        <w:tabs>
          <w:tab w:val="num" w:pos="6120"/>
        </w:tabs>
        <w:ind w:left="6480" w:hanging="180"/>
      </w:pPr>
      <w:rPr>
        <w:rFonts w:cs="Times New Roman"/>
        <w:color w:val="000000"/>
        <w:u w:val="none"/>
      </w:rPr>
    </w:lvl>
  </w:abstractNum>
  <w:num w:numId="1" w16cid:durableId="1161458363">
    <w:abstractNumId w:val="0"/>
  </w:num>
  <w:num w:numId="2" w16cid:durableId="998730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0"/>
  </w:compat>
  <w:rsids>
    <w:rsidRoot w:val="00A77B3E"/>
    <w:rsid w:val="00200246"/>
    <w:rsid w:val="003F55A9"/>
    <w:rsid w:val="00415C5D"/>
    <w:rsid w:val="004538A5"/>
    <w:rsid w:val="00A77B3E"/>
    <w:rsid w:val="00CA2A55"/>
  </w:rsids>
  <m:mathPr>
    <m:mathFont m:val="Cambria Math"/>
    <m:brkBin m:val="before"/>
    <m:brkBinSub m:val="--"/>
    <m:smallFrac m:val="0"/>
    <m:dispDef/>
    <m:lMargin m:val="0"/>
    <m:rMargin m:val="0"/>
    <m:defJc m:val="centerGroup"/>
    <m:wrapRight/>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0653520"/>
  <w14:defaultImageDpi w14:val="0"/>
  <w15:docId w15:val="{DA1D36E2-9314-4F99-BDDE-E6D223E1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4"/>
        <w:szCs w:val="24"/>
        <w:lang w:val="en-CH" w:eastAsia="zh-CN" w:bidi="ar-SA"/>
      </w:rPr>
    </w:rPrDefault>
    <w:pPrDefault>
      <w:pPr>
        <w:spacing w:after="160" w:line="278" w:lineRule="auto"/>
      </w:pPr>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locked="1" w:semiHidden="1" w:uiPriority="99"/>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uiPriority="99"/>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ptos" w:hAnsi="Aptos" w:cs="Aptos"/>
      <w:color w:val="000000"/>
      <w:kern w:val="0"/>
      <w:lang w:val="es-CL" w:eastAsia="es-CL"/>
    </w:rPr>
  </w:style>
  <w:style w:type="paragraph" w:styleId="Heading1">
    <w:name w:val="heading 1"/>
    <w:basedOn w:val="Normal"/>
    <w:next w:val="Normal"/>
    <w:link w:val="Heading1Char"/>
    <w:uiPriority w:val="9"/>
    <w:qFormat/>
    <w:pPr>
      <w:keepNext/>
      <w:keepLines/>
      <w:spacing w:before="360" w:after="80" w:line="240" w:lineRule="auto"/>
      <w:outlineLvl w:val="0"/>
    </w:pPr>
    <w:rPr>
      <w:rFonts w:ascii="Play" w:hAnsi="Play" w:cs="Play"/>
      <w:color w:val="0F4761"/>
      <w:sz w:val="40"/>
      <w:szCs w:val="40"/>
    </w:rPr>
  </w:style>
  <w:style w:type="paragraph" w:styleId="Heading2">
    <w:name w:val="heading 2"/>
    <w:basedOn w:val="Normal"/>
    <w:next w:val="Normal"/>
    <w:link w:val="Heading2Char"/>
    <w:uiPriority w:val="9"/>
    <w:qFormat/>
    <w:pPr>
      <w:keepNext/>
      <w:keepLines/>
      <w:spacing w:before="160" w:after="80" w:line="240" w:lineRule="auto"/>
      <w:outlineLvl w:val="1"/>
    </w:pPr>
    <w:rPr>
      <w:rFonts w:ascii="Play" w:hAnsi="Play" w:cs="Play"/>
      <w:color w:val="0F4761"/>
      <w:sz w:val="32"/>
      <w:szCs w:val="32"/>
    </w:rPr>
  </w:style>
  <w:style w:type="paragraph" w:styleId="Heading3">
    <w:name w:val="heading 3"/>
    <w:basedOn w:val="Normal"/>
    <w:next w:val="Normal"/>
    <w:link w:val="Heading3Char"/>
    <w:uiPriority w:val="9"/>
    <w:qFormat/>
    <w:pPr>
      <w:keepNext/>
      <w:keepLines/>
      <w:spacing w:before="160" w:after="80" w:line="240" w:lineRule="auto"/>
      <w:outlineLvl w:val="2"/>
    </w:pPr>
    <w:rPr>
      <w:color w:val="0F4761"/>
      <w:sz w:val="28"/>
      <w:szCs w:val="28"/>
    </w:rPr>
  </w:style>
  <w:style w:type="paragraph" w:styleId="Heading4">
    <w:name w:val="heading 4"/>
    <w:basedOn w:val="Normal"/>
    <w:next w:val="Normal"/>
    <w:link w:val="Heading4Char"/>
    <w:uiPriority w:val="9"/>
    <w:qFormat/>
    <w:pPr>
      <w:keepNext/>
      <w:keepLines/>
      <w:spacing w:before="80" w:after="40" w:line="240" w:lineRule="auto"/>
      <w:outlineLvl w:val="3"/>
    </w:pPr>
    <w:rPr>
      <w:i/>
      <w:iCs/>
      <w:color w:val="0F4761"/>
    </w:rPr>
  </w:style>
  <w:style w:type="paragraph" w:styleId="Heading5">
    <w:name w:val="heading 5"/>
    <w:basedOn w:val="Normal"/>
    <w:next w:val="Normal"/>
    <w:link w:val="Heading5Char"/>
    <w:uiPriority w:val="9"/>
    <w:qFormat/>
    <w:pPr>
      <w:keepNext/>
      <w:keepLines/>
      <w:spacing w:before="80" w:after="40" w:line="240" w:lineRule="auto"/>
      <w:outlineLvl w:val="4"/>
    </w:pPr>
    <w:rPr>
      <w:color w:val="0F4761"/>
    </w:rPr>
  </w:style>
  <w:style w:type="paragraph" w:styleId="Heading6">
    <w:name w:val="heading 6"/>
    <w:basedOn w:val="Normal"/>
    <w:next w:val="Normal"/>
    <w:link w:val="Heading6Char"/>
    <w:uiPriority w:val="9"/>
    <w:qFormat/>
    <w:pPr>
      <w:keepNext/>
      <w:keepLines/>
      <w:spacing w:before="40" w:after="0" w:line="240" w:lineRule="auto"/>
      <w:outlineLvl w:val="5"/>
    </w:pPr>
    <w:rPr>
      <w:i/>
      <w:iCs/>
      <w:color w:val="595959"/>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imes New Roman"/>
      <w:b/>
      <w:bCs/>
      <w:i/>
      <w:iCs/>
      <w:color w:val="000000"/>
      <w:kern w:val="0"/>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imes New Roman"/>
      <w:b/>
      <w:bCs/>
      <w:color w:val="000000"/>
      <w:kern w:val="0"/>
      <w:sz w:val="26"/>
      <w:szCs w:val="26"/>
    </w:rPr>
  </w:style>
  <w:style w:type="character" w:customStyle="1" w:styleId="Heading4Char">
    <w:name w:val="Heading 4 Char"/>
    <w:basedOn w:val="DefaultParagraphFont"/>
    <w:link w:val="Heading4"/>
    <w:uiPriority w:val="9"/>
    <w:semiHidden/>
    <w:rPr>
      <w:rFonts w:asciiTheme="minorHAnsi" w:eastAsiaTheme="minorEastAsia" w:hAnsiTheme="minorHAnsi" w:cs="Arial"/>
      <w:b/>
      <w:bCs/>
      <w:color w:val="000000"/>
      <w:kern w:val="0"/>
      <w:sz w:val="28"/>
      <w:szCs w:val="28"/>
    </w:rPr>
  </w:style>
  <w:style w:type="character" w:customStyle="1" w:styleId="Heading5Char">
    <w:name w:val="Heading 5 Char"/>
    <w:basedOn w:val="DefaultParagraphFont"/>
    <w:link w:val="Heading5"/>
    <w:uiPriority w:val="9"/>
    <w:semiHidden/>
    <w:rPr>
      <w:rFonts w:asciiTheme="minorHAnsi" w:eastAsiaTheme="minorEastAsia" w:hAnsiTheme="minorHAnsi" w:cs="Arial"/>
      <w:b/>
      <w:bCs/>
      <w:i/>
      <w:iCs/>
      <w:color w:val="000000"/>
      <w:kern w:val="0"/>
      <w:sz w:val="26"/>
      <w:szCs w:val="26"/>
    </w:rPr>
  </w:style>
  <w:style w:type="character" w:customStyle="1" w:styleId="Heading6Char">
    <w:name w:val="Heading 6 Char"/>
    <w:basedOn w:val="DefaultParagraphFont"/>
    <w:link w:val="Heading6"/>
    <w:uiPriority w:val="9"/>
    <w:semiHidden/>
    <w:rPr>
      <w:rFonts w:asciiTheme="minorHAnsi" w:eastAsiaTheme="minorEastAsia" w:hAnsiTheme="minorHAnsi" w:cs="Arial"/>
      <w:b/>
      <w:bCs/>
      <w:color w:val="000000"/>
      <w:kern w:val="0"/>
      <w:sz w:val="22"/>
      <w:szCs w:val="22"/>
    </w:rPr>
  </w:style>
  <w:style w:type="paragraph" w:styleId="Title">
    <w:name w:val="Title"/>
    <w:basedOn w:val="Normal"/>
    <w:link w:val="TitleChar"/>
    <w:uiPriority w:val="10"/>
    <w:qFormat/>
    <w:pPr>
      <w:spacing w:after="80" w:line="240" w:lineRule="auto"/>
    </w:pPr>
    <w:rPr>
      <w:rFonts w:ascii="Play" w:hAnsi="Play" w:cs="Play"/>
      <w:sz w:val="56"/>
      <w:szCs w:val="56"/>
    </w:rPr>
  </w:style>
  <w:style w:type="character" w:customStyle="1" w:styleId="Heading1Char">
    <w:name w:val="Heading 1 Char"/>
    <w:basedOn w:val="DefaultParagraphFont"/>
    <w:link w:val="Heading1"/>
    <w:uiPriority w:val="9"/>
    <w:rPr>
      <w:rFonts w:asciiTheme="majorHAnsi" w:eastAsiaTheme="majorEastAsia" w:hAnsiTheme="majorHAnsi" w:cs="Times New Roman"/>
      <w:b/>
      <w:bCs/>
      <w:color w:val="000000"/>
      <w:kern w:val="32"/>
      <w:sz w:val="32"/>
      <w:szCs w:val="32"/>
    </w:rPr>
  </w:style>
  <w:style w:type="paragraph" w:styleId="Subtitle">
    <w:name w:val="Subtitle"/>
    <w:basedOn w:val="Normal"/>
    <w:link w:val="SubtitleChar"/>
    <w:uiPriority w:val="11"/>
    <w:qFormat/>
    <w:pPr>
      <w:spacing w:line="240" w:lineRule="auto"/>
    </w:pPr>
    <w:rPr>
      <w:color w:val="595959"/>
      <w:sz w:val="28"/>
      <w:szCs w:val="28"/>
    </w:rPr>
  </w:style>
  <w:style w:type="character" w:customStyle="1" w:styleId="TitleChar">
    <w:name w:val="Title Char"/>
    <w:basedOn w:val="DefaultParagraphFont"/>
    <w:link w:val="Title"/>
    <w:uiPriority w:val="10"/>
    <w:rPr>
      <w:rFonts w:asciiTheme="majorHAnsi" w:eastAsiaTheme="majorEastAsia" w:hAnsiTheme="majorHAnsi" w:cs="Times New Roman"/>
      <w:b/>
      <w:bCs/>
      <w:color w:val="000000"/>
      <w:kern w:val="28"/>
      <w:sz w:val="32"/>
      <w:szCs w:val="32"/>
    </w:rPr>
  </w:style>
  <w:style w:type="paragraph" w:styleId="Header">
    <w:name w:val="header"/>
    <w:basedOn w:val="Normal"/>
    <w:link w:val="HeaderChar"/>
    <w:rsid w:val="003F55A9"/>
    <w:pPr>
      <w:tabs>
        <w:tab w:val="center" w:pos="4513"/>
        <w:tab w:val="right" w:pos="9026"/>
      </w:tabs>
      <w:spacing w:after="0" w:line="240" w:lineRule="auto"/>
    </w:pPr>
  </w:style>
  <w:style w:type="character" w:customStyle="1" w:styleId="SubtitleChar">
    <w:name w:val="Subtitle Char"/>
    <w:basedOn w:val="DefaultParagraphFont"/>
    <w:link w:val="Subtitle"/>
    <w:uiPriority w:val="11"/>
    <w:rPr>
      <w:rFonts w:asciiTheme="majorHAnsi" w:eastAsiaTheme="majorEastAsia" w:hAnsiTheme="majorHAnsi" w:cs="Times New Roman"/>
      <w:color w:val="000000"/>
      <w:kern w:val="0"/>
    </w:rPr>
  </w:style>
  <w:style w:type="character" w:customStyle="1" w:styleId="HeaderChar">
    <w:name w:val="Header Char"/>
    <w:basedOn w:val="DefaultParagraphFont"/>
    <w:link w:val="Header"/>
    <w:rsid w:val="003F55A9"/>
    <w:rPr>
      <w:rFonts w:ascii="Aptos" w:hAnsi="Aptos" w:cs="Aptos"/>
      <w:color w:val="000000"/>
      <w:kern w:val="0"/>
      <w:lang w:val="es-CL" w:eastAsia="es-CL"/>
    </w:rPr>
  </w:style>
  <w:style w:type="paragraph" w:styleId="Footer">
    <w:name w:val="footer"/>
    <w:basedOn w:val="Normal"/>
    <w:link w:val="FooterChar"/>
    <w:rsid w:val="003F55A9"/>
    <w:pPr>
      <w:tabs>
        <w:tab w:val="center" w:pos="4513"/>
        <w:tab w:val="right" w:pos="9026"/>
      </w:tabs>
      <w:spacing w:after="0" w:line="240" w:lineRule="auto"/>
    </w:pPr>
  </w:style>
  <w:style w:type="character" w:customStyle="1" w:styleId="FooterChar">
    <w:name w:val="Footer Char"/>
    <w:basedOn w:val="DefaultParagraphFont"/>
    <w:link w:val="Footer"/>
    <w:rsid w:val="003F55A9"/>
    <w:rPr>
      <w:rFonts w:ascii="Aptos" w:hAnsi="Aptos" w:cs="Aptos"/>
      <w:color w:val="000000"/>
      <w:kern w:val="0"/>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2026-07-20T13:22:55+00:00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4F606D3-8DCE-4A4E-8A0F-819222FAADC3}"/>
</file>

<file path=customXml/itemProps2.xml><?xml version="1.0" encoding="utf-8"?>
<ds:datastoreItem xmlns:ds="http://schemas.openxmlformats.org/officeDocument/2006/customXml" ds:itemID="{B3A02039-5228-45F8-B9A9-912348140DD7}"/>
</file>

<file path=customXml/itemProps3.xml><?xml version="1.0" encoding="utf-8"?>
<ds:datastoreItem xmlns:ds="http://schemas.openxmlformats.org/officeDocument/2006/customXml" ds:itemID="{2E91D1C1-3499-4F72-BCFB-A44744006D86}"/>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8596</Words>
  <Characters>50722</Characters>
  <Application>Microsoft Office Word</Application>
  <DocSecurity>4</DocSecurity>
  <Lines>667</Lines>
  <Paragraphs>168</Paragraphs>
  <ScaleCrop>false</ScaleCrop>
  <Company/>
  <LinksUpToDate>false</LinksUpToDate>
  <CharactersWithSpaces>59150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Yazmín Leticia Lorca Benavides</dc:creator>
  <cp:keywords/>
  <dc:description/>
  <cp:lastModifiedBy>Jorge Araya</cp:lastModifiedBy>
  <cp:revision>2</cp:revision>
  <dcterms:created xsi:type="dcterms:W3CDTF">2026-07-20T13:22:00Z</dcterms:created>
  <dcterms:modified xsi:type="dcterms:W3CDTF">2026-07-20T13:22:00Z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b77875e-5908-45a0-9cb4-dec9ae074618_Enabled">
    <vt:lpwstr>true</vt:lpwstr>
  </property>
  <property fmtid="{D5CDD505-2E9C-101B-9397-08002B2CF9AE}" pid="3" name="MSIP_Label_8b77875e-5908-45a0-9cb4-dec9ae074618_SetDate">
    <vt:lpwstr>2026-07-20T13:22:54Z</vt:lpwstr>
  </property>
  <property fmtid="{D5CDD505-2E9C-101B-9397-08002B2CF9AE}" pid="4" name="MSIP_Label_8b77875e-5908-45a0-9cb4-dec9ae074618_Method">
    <vt:lpwstr>Standard</vt:lpwstr>
  </property>
  <property fmtid="{D5CDD505-2E9C-101B-9397-08002B2CF9AE}" pid="5" name="MSIP_Label_8b77875e-5908-45a0-9cb4-dec9ae074618_Name">
    <vt:lpwstr>8b77875e-5908-45a0-9cb4-dec9ae074618</vt:lpwstr>
  </property>
  <property fmtid="{D5CDD505-2E9C-101B-9397-08002B2CF9AE}" pid="6" name="MSIP_Label_8b77875e-5908-45a0-9cb4-dec9ae074618_SiteId">
    <vt:lpwstr>0f9e35db-544f-4f60-bdcc-5ea416e6dc70</vt:lpwstr>
  </property>
  <property fmtid="{D5CDD505-2E9C-101B-9397-08002B2CF9AE}" pid="7" name="MSIP_Label_8b77875e-5908-45a0-9cb4-dec9ae074618_ActionId">
    <vt:lpwstr>57477206-f3b4-4345-a1ee-75402f855988</vt:lpwstr>
  </property>
  <property fmtid="{D5CDD505-2E9C-101B-9397-08002B2CF9AE}" pid="8" name="MSIP_Label_8b77875e-5908-45a0-9cb4-dec9ae074618_ContentBits">
    <vt:lpwstr>0</vt:lpwstr>
  </property>
  <property fmtid="{D5CDD505-2E9C-101B-9397-08002B2CF9AE}" pid="9" name="ContentTypeId">
    <vt:lpwstr>0x0101001A3F5FACD05E93499D4EAF05403D4F75</vt:lpwstr>
  </property>
</Properties>
</file>