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CDD" w:rsidRDefault="007C78C9">
      <w:pPr>
        <w:spacing w:after="200" w:line="276" w:lineRule="auto"/>
        <w:rPr>
          <w:rFonts w:ascii="Cambria" w:hAnsi="Cambria" w:cs="Calibri"/>
          <w:b/>
          <w:sz w:val="22"/>
          <w:szCs w:val="22"/>
        </w:rPr>
      </w:pPr>
      <w:r>
        <w:rPr>
          <w:rFonts w:ascii="Cambria" w:hAnsi="Cambria" w:cs="Calibri"/>
          <w:b/>
          <w:noProof/>
          <w:sz w:val="22"/>
          <w:szCs w:val="22"/>
          <w:lang w:val="en-GB" w:eastAsia="en-GB"/>
        </w:rPr>
        <mc:AlternateContent>
          <mc:Choice Requires="wps">
            <w:drawing>
              <wp:anchor distT="0" distB="0" distL="114300" distR="114300" simplePos="0" relativeHeight="251658240" behindDoc="0" locked="0" layoutInCell="1" allowOverlap="1">
                <wp:simplePos x="0" y="0"/>
                <wp:positionH relativeFrom="column">
                  <wp:posOffset>133350</wp:posOffset>
                </wp:positionH>
                <wp:positionV relativeFrom="paragraph">
                  <wp:posOffset>295275</wp:posOffset>
                </wp:positionV>
                <wp:extent cx="5467350" cy="714375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714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5CDD" w:rsidRPr="00F97981" w:rsidRDefault="00A45CDD" w:rsidP="00A45CDD">
                            <w:pPr>
                              <w:jc w:val="center"/>
                              <w:rPr>
                                <w:rFonts w:ascii="Calibri" w:hAnsi="Calibri" w:cs="Calibri"/>
                                <w:sz w:val="36"/>
                                <w:szCs w:val="36"/>
                              </w:rPr>
                            </w:pPr>
                          </w:p>
                          <w:p w:rsidR="00A45CDD" w:rsidRPr="00F97981" w:rsidRDefault="00A45CDD" w:rsidP="00A45CDD">
                            <w:pPr>
                              <w:jc w:val="center"/>
                              <w:rPr>
                                <w:rFonts w:ascii="Calibri" w:hAnsi="Calibri" w:cs="Calibri"/>
                                <w:sz w:val="36"/>
                                <w:szCs w:val="36"/>
                              </w:rPr>
                            </w:pPr>
                          </w:p>
                          <w:p w:rsidR="00A45CDD" w:rsidRPr="00F97981" w:rsidRDefault="00A45CDD" w:rsidP="00A45CDD">
                            <w:pPr>
                              <w:spacing w:before="240"/>
                              <w:jc w:val="center"/>
                              <w:rPr>
                                <w:rFonts w:ascii="Calibri" w:hAnsi="Calibri" w:cs="Calibri"/>
                                <w:b/>
                                <w:sz w:val="40"/>
                                <w:szCs w:val="40"/>
                              </w:rPr>
                            </w:pPr>
                            <w:r w:rsidRPr="00F97981">
                              <w:rPr>
                                <w:rFonts w:ascii="Calibri" w:hAnsi="Calibri" w:cs="Calibri"/>
                                <w:b/>
                                <w:sz w:val="40"/>
                                <w:szCs w:val="40"/>
                              </w:rPr>
                              <w:t>Thailand’s Civil Society Joint Shadow Report</w:t>
                            </w:r>
                          </w:p>
                          <w:p w:rsidR="00A45CDD" w:rsidRDefault="00A45CDD" w:rsidP="00A45CDD">
                            <w:pPr>
                              <w:spacing w:before="240"/>
                              <w:jc w:val="center"/>
                              <w:rPr>
                                <w:rFonts w:ascii="Calibri" w:hAnsi="Calibri" w:cs="Calibri"/>
                                <w:sz w:val="40"/>
                                <w:szCs w:val="40"/>
                              </w:rPr>
                            </w:pPr>
                            <w:r w:rsidRPr="00F97981">
                              <w:rPr>
                                <w:rFonts w:ascii="Calibri" w:hAnsi="Calibri" w:cs="Calibri"/>
                                <w:sz w:val="40"/>
                                <w:szCs w:val="40"/>
                              </w:rPr>
                              <w:t xml:space="preserve">Submitted to the Committee on Economic, </w:t>
                            </w:r>
                          </w:p>
                          <w:p w:rsidR="00A45CDD" w:rsidRPr="00F97981" w:rsidRDefault="00A45CDD" w:rsidP="00A45CDD">
                            <w:pPr>
                              <w:spacing w:before="240"/>
                              <w:jc w:val="center"/>
                              <w:rPr>
                                <w:rFonts w:ascii="Calibri" w:hAnsi="Calibri" w:cs="Calibri"/>
                                <w:sz w:val="40"/>
                                <w:szCs w:val="40"/>
                              </w:rPr>
                            </w:pPr>
                            <w:r w:rsidRPr="00F97981">
                              <w:rPr>
                                <w:rFonts w:ascii="Calibri" w:hAnsi="Calibri" w:cs="Calibri"/>
                                <w:sz w:val="40"/>
                                <w:szCs w:val="40"/>
                              </w:rPr>
                              <w:t>Social and Cultural Rights (CESCR)</w:t>
                            </w:r>
                          </w:p>
                          <w:p w:rsidR="00A45CDD" w:rsidRPr="00F97981" w:rsidRDefault="00A45CDD" w:rsidP="00A45CDD">
                            <w:pPr>
                              <w:spacing w:before="240"/>
                              <w:jc w:val="center"/>
                              <w:rPr>
                                <w:rFonts w:ascii="Calibri" w:hAnsi="Calibri" w:cs="Calibri"/>
                                <w:sz w:val="40"/>
                                <w:szCs w:val="40"/>
                              </w:rPr>
                            </w:pPr>
                            <w:r w:rsidRPr="00F97981">
                              <w:rPr>
                                <w:rFonts w:ascii="Calibri" w:hAnsi="Calibri" w:cs="Calibri"/>
                                <w:sz w:val="40"/>
                                <w:szCs w:val="40"/>
                              </w:rPr>
                              <w:t>55</w:t>
                            </w:r>
                            <w:r w:rsidRPr="00F97981">
                              <w:rPr>
                                <w:rFonts w:ascii="Calibri" w:hAnsi="Calibri" w:cs="Calibri"/>
                                <w:sz w:val="40"/>
                                <w:szCs w:val="40"/>
                                <w:vertAlign w:val="superscript"/>
                              </w:rPr>
                              <w:t>st</w:t>
                            </w:r>
                            <w:r w:rsidRPr="00F97981">
                              <w:rPr>
                                <w:rFonts w:ascii="Calibri" w:hAnsi="Calibri" w:cs="Calibri"/>
                                <w:sz w:val="40"/>
                                <w:szCs w:val="40"/>
                              </w:rPr>
                              <w:t xml:space="preserve"> Session (1-19 June 2015)</w:t>
                            </w: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r w:rsidRPr="00F97981">
                              <w:rPr>
                                <w:rFonts w:ascii="Calibri" w:hAnsi="Calibri" w:cs="Calibri"/>
                                <w:b/>
                                <w:bCs/>
                                <w:sz w:val="32"/>
                                <w:szCs w:val="32"/>
                              </w:rPr>
                              <w:t>People’s Empowerment Foundation</w:t>
                            </w:r>
                            <w:r w:rsidRPr="00F97981">
                              <w:rPr>
                                <w:rFonts w:ascii="Calibri" w:hAnsi="Calibri" w:cs="Calibri"/>
                                <w:sz w:val="36"/>
                                <w:szCs w:val="36"/>
                              </w:rPr>
                              <w:t xml:space="preserve"> (PEF)</w:t>
                            </w:r>
                          </w:p>
                          <w:p w:rsidR="00A45CDD" w:rsidRPr="00F97981" w:rsidRDefault="00A45CDD" w:rsidP="00A45CDD">
                            <w:pPr>
                              <w:spacing w:after="120"/>
                              <w:jc w:val="center"/>
                              <w:rPr>
                                <w:rFonts w:ascii="Calibri" w:hAnsi="Calibri" w:cs="Calibri"/>
                                <w:b/>
                                <w:bCs/>
                                <w:sz w:val="32"/>
                                <w:szCs w:val="32"/>
                              </w:rPr>
                            </w:pPr>
                            <w:r w:rsidRPr="00F97981">
                              <w:rPr>
                                <w:rFonts w:ascii="Calibri" w:hAnsi="Calibri" w:cs="Calibri"/>
                                <w:b/>
                                <w:bCs/>
                                <w:sz w:val="32"/>
                                <w:szCs w:val="32"/>
                              </w:rPr>
                              <w:t>April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0.5pt;margin-top:23.25pt;width:430.5pt;height:5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" stroked="f">
                <v:textbox>
                  <w:txbxContent>
                    <w:p w:rsidR="00A45CDD" w:rsidRPr="00F97981" w:rsidRDefault="00A45CDD" w:rsidP="00A45CDD">
                      <w:pPr>
                        <w:jc w:val="center"/>
                        <w:rPr>
                          <w:rFonts w:ascii="Calibri" w:hAnsi="Calibri" w:cs="Calibri"/>
                          <w:sz w:val="36"/>
                          <w:szCs w:val="36"/>
                        </w:rPr>
                      </w:pPr>
                    </w:p>
                    <w:p w:rsidR="00A45CDD" w:rsidRPr="00F97981" w:rsidRDefault="00A45CDD" w:rsidP="00A45CDD">
                      <w:pPr>
                        <w:jc w:val="center"/>
                        <w:rPr>
                          <w:rFonts w:ascii="Calibri" w:hAnsi="Calibri" w:cs="Calibri"/>
                          <w:sz w:val="36"/>
                          <w:szCs w:val="36"/>
                        </w:rPr>
                      </w:pPr>
                    </w:p>
                    <w:p w:rsidR="00A45CDD" w:rsidRPr="00F97981" w:rsidRDefault="00A45CDD" w:rsidP="00A45CDD">
                      <w:pPr>
                        <w:spacing w:before="240"/>
                        <w:jc w:val="center"/>
                        <w:rPr>
                          <w:rFonts w:ascii="Calibri" w:hAnsi="Calibri" w:cs="Calibri"/>
                          <w:b/>
                          <w:sz w:val="40"/>
                          <w:szCs w:val="40"/>
                        </w:rPr>
                      </w:pPr>
                      <w:r w:rsidRPr="00F97981">
                        <w:rPr>
                          <w:rFonts w:ascii="Calibri" w:hAnsi="Calibri" w:cs="Calibri"/>
                          <w:b/>
                          <w:sz w:val="40"/>
                          <w:szCs w:val="40"/>
                        </w:rPr>
                        <w:t>Thailand’s Civil Society Joint Shadow Report</w:t>
                      </w:r>
                    </w:p>
                    <w:p w:rsidR="00A45CDD" w:rsidRDefault="00A45CDD" w:rsidP="00A45CDD">
                      <w:pPr>
                        <w:spacing w:before="240"/>
                        <w:jc w:val="center"/>
                        <w:rPr>
                          <w:rFonts w:ascii="Calibri" w:hAnsi="Calibri" w:cs="Calibri"/>
                          <w:sz w:val="40"/>
                          <w:szCs w:val="40"/>
                        </w:rPr>
                      </w:pPr>
                      <w:r w:rsidRPr="00F97981">
                        <w:rPr>
                          <w:rFonts w:ascii="Calibri" w:hAnsi="Calibri" w:cs="Calibri"/>
                          <w:sz w:val="40"/>
                          <w:szCs w:val="40"/>
                        </w:rPr>
                        <w:t xml:space="preserve">Submitted to the Committee on Economic, </w:t>
                      </w:r>
                    </w:p>
                    <w:p w:rsidR="00A45CDD" w:rsidRPr="00F97981" w:rsidRDefault="00A45CDD" w:rsidP="00A45CDD">
                      <w:pPr>
                        <w:spacing w:before="240"/>
                        <w:jc w:val="center"/>
                        <w:rPr>
                          <w:rFonts w:ascii="Calibri" w:hAnsi="Calibri" w:cs="Calibri"/>
                          <w:sz w:val="40"/>
                          <w:szCs w:val="40"/>
                        </w:rPr>
                      </w:pPr>
                      <w:r w:rsidRPr="00F97981">
                        <w:rPr>
                          <w:rFonts w:ascii="Calibri" w:hAnsi="Calibri" w:cs="Calibri"/>
                          <w:sz w:val="40"/>
                          <w:szCs w:val="40"/>
                        </w:rPr>
                        <w:t>Social and Cultural Rights (CESCR)</w:t>
                      </w:r>
                    </w:p>
                    <w:p w:rsidR="00A45CDD" w:rsidRPr="00F97981" w:rsidRDefault="00A45CDD" w:rsidP="00A45CDD">
                      <w:pPr>
                        <w:spacing w:before="240"/>
                        <w:jc w:val="center"/>
                        <w:rPr>
                          <w:rFonts w:ascii="Calibri" w:hAnsi="Calibri" w:cs="Calibri"/>
                          <w:sz w:val="40"/>
                          <w:szCs w:val="40"/>
                        </w:rPr>
                      </w:pPr>
                      <w:r w:rsidRPr="00F97981">
                        <w:rPr>
                          <w:rFonts w:ascii="Calibri" w:hAnsi="Calibri" w:cs="Calibri"/>
                          <w:sz w:val="40"/>
                          <w:szCs w:val="40"/>
                        </w:rPr>
                        <w:t>55</w:t>
                      </w:r>
                      <w:r w:rsidRPr="00F97981">
                        <w:rPr>
                          <w:rFonts w:ascii="Calibri" w:hAnsi="Calibri" w:cs="Calibri"/>
                          <w:sz w:val="40"/>
                          <w:szCs w:val="40"/>
                          <w:vertAlign w:val="superscript"/>
                        </w:rPr>
                        <w:t>st</w:t>
                      </w:r>
                      <w:r w:rsidRPr="00F97981">
                        <w:rPr>
                          <w:rFonts w:ascii="Calibri" w:hAnsi="Calibri" w:cs="Calibri"/>
                          <w:sz w:val="40"/>
                          <w:szCs w:val="40"/>
                        </w:rPr>
                        <w:t xml:space="preserve"> Session (1-19 June 2015)</w:t>
                      </w: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p>
                    <w:p w:rsidR="00A45CDD" w:rsidRPr="00F97981" w:rsidRDefault="00A45CDD" w:rsidP="00A45CDD">
                      <w:pPr>
                        <w:spacing w:after="120"/>
                        <w:jc w:val="center"/>
                        <w:rPr>
                          <w:rFonts w:ascii="Calibri" w:hAnsi="Calibri" w:cs="Calibri"/>
                          <w:sz w:val="36"/>
                          <w:szCs w:val="36"/>
                        </w:rPr>
                      </w:pPr>
                      <w:r w:rsidRPr="00F97981">
                        <w:rPr>
                          <w:rFonts w:ascii="Calibri" w:hAnsi="Calibri" w:cs="Calibri"/>
                          <w:b/>
                          <w:bCs/>
                          <w:sz w:val="32"/>
                          <w:szCs w:val="32"/>
                        </w:rPr>
                        <w:t>People’s Empowerment Foundation</w:t>
                      </w:r>
                      <w:r w:rsidRPr="00F97981">
                        <w:rPr>
                          <w:rFonts w:ascii="Calibri" w:hAnsi="Calibri" w:cs="Calibri"/>
                          <w:sz w:val="36"/>
                          <w:szCs w:val="36"/>
                        </w:rPr>
                        <w:t xml:space="preserve"> (PEF)</w:t>
                      </w:r>
                    </w:p>
                    <w:p w:rsidR="00A45CDD" w:rsidRPr="00F97981" w:rsidRDefault="00A45CDD" w:rsidP="00A45CDD">
                      <w:pPr>
                        <w:spacing w:after="120"/>
                        <w:jc w:val="center"/>
                        <w:rPr>
                          <w:rFonts w:ascii="Calibri" w:hAnsi="Calibri" w:cs="Calibri"/>
                          <w:b/>
                          <w:bCs/>
                          <w:sz w:val="32"/>
                          <w:szCs w:val="32"/>
                        </w:rPr>
                      </w:pPr>
                      <w:r w:rsidRPr="00F97981">
                        <w:rPr>
                          <w:rFonts w:ascii="Calibri" w:hAnsi="Calibri" w:cs="Calibri"/>
                          <w:b/>
                          <w:bCs/>
                          <w:sz w:val="32"/>
                          <w:szCs w:val="32"/>
                        </w:rPr>
                        <w:t>April 2015</w:t>
                      </w:r>
                    </w:p>
                  </w:txbxContent>
                </v:textbox>
              </v:rect>
            </w:pict>
          </mc:Fallback>
        </mc:AlternateContent>
      </w:r>
      <w:r w:rsidR="00A45CDD">
        <w:rPr>
          <w:rFonts w:ascii="Cambria" w:hAnsi="Cambria" w:cs="Calibri"/>
          <w:b/>
          <w:sz w:val="22"/>
          <w:szCs w:val="22"/>
        </w:rPr>
        <w:br w:type="page"/>
      </w:r>
      <w:bookmarkStart w:id="0" w:name="_GoBack"/>
      <w:bookmarkEnd w:id="0"/>
    </w:p>
    <w:p w:rsidR="002F3030" w:rsidRPr="00044D81" w:rsidRDefault="002F3030" w:rsidP="002F3030">
      <w:pPr>
        <w:widowControl w:val="0"/>
        <w:autoSpaceDE w:val="0"/>
        <w:autoSpaceDN w:val="0"/>
        <w:adjustRightInd w:val="0"/>
        <w:spacing w:after="400"/>
        <w:rPr>
          <w:rFonts w:ascii="Cambria" w:hAnsi="Cambria" w:cs="Calibri"/>
          <w:b/>
          <w:sz w:val="22"/>
          <w:szCs w:val="22"/>
        </w:rPr>
      </w:pPr>
      <w:r w:rsidRPr="00044D81">
        <w:rPr>
          <w:rFonts w:ascii="Cambria" w:hAnsi="Cambria" w:cs="Calibri"/>
          <w:b/>
          <w:sz w:val="22"/>
          <w:szCs w:val="22"/>
        </w:rPr>
        <w:lastRenderedPageBreak/>
        <w:t>People’s ESCR Shadow Report</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This report was made in consultation with Thai civil society and international civil society working on human rights issues in Thailand. It covers five main issues namely: living standards, right to employment, right to education, rights to marriage and family and right to self-governance. Impacts of various groups have been taken into consideration, such as impact on ethnic minority, stateless persons, asylum seekers, people in places of conflicts, migrant workers, communities and students. The list of organizations endorsing part of and the whole of the report can be found at the end of the report.</w:t>
      </w:r>
    </w:p>
    <w:p w:rsidR="002F3030" w:rsidRPr="00044D81" w:rsidRDefault="002F3030" w:rsidP="002F3030">
      <w:pPr>
        <w:widowControl w:val="0"/>
        <w:autoSpaceDE w:val="0"/>
        <w:autoSpaceDN w:val="0"/>
        <w:adjustRightInd w:val="0"/>
        <w:spacing w:after="400"/>
        <w:rPr>
          <w:rFonts w:ascii="Cambria" w:hAnsi="Cambria" w:cs="Calibri"/>
          <w:sz w:val="22"/>
          <w:szCs w:val="22"/>
        </w:rPr>
      </w:pPr>
      <w:r w:rsidRPr="00044D81">
        <w:rPr>
          <w:rFonts w:ascii="Cambria" w:hAnsi="Cambria" w:cs="Calibri"/>
          <w:sz w:val="22"/>
          <w:szCs w:val="22"/>
        </w:rPr>
        <w:t>I.</w:t>
      </w:r>
      <w:r w:rsidRPr="00044D81">
        <w:rPr>
          <w:rFonts w:ascii="Cambria" w:hAnsi="Cambria" w:cs="Times New Roman"/>
          <w:sz w:val="22"/>
          <w:szCs w:val="22"/>
        </w:rPr>
        <w:t xml:space="preserve">          </w:t>
      </w:r>
      <w:r w:rsidRPr="00044D81">
        <w:rPr>
          <w:rFonts w:ascii="Cambria" w:hAnsi="Cambria" w:cs="Calibri"/>
          <w:sz w:val="22"/>
          <w:szCs w:val="22"/>
        </w:rPr>
        <w:t>Introduction</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The frequent military coups in Thailand has led to adverse impacts on the economy, society, culture and people’s way of life as well as their state of mind. It has led to tension, be it political, economic and social, as people cannot freely express themselves contrary to the military regime or criticize the regime. This led to interrupted political development and regressive economy as foreign investment confidence is eroded. It has to be noted that other ASEAN member states have achieved increased economic growth while Thailand is lacking behind at the bottom of the region as a result.</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The economic report on the fourth quarter of 2014</w:t>
      </w:r>
      <w:r w:rsidRPr="00044D81">
        <w:rPr>
          <w:rStyle w:val="FootnoteReference"/>
          <w:rFonts w:ascii="Cambria" w:hAnsi="Cambria" w:cs="Calibri"/>
          <w:sz w:val="22"/>
          <w:szCs w:val="22"/>
        </w:rPr>
        <w:footnoteReference w:id="1"/>
      </w:r>
      <w:r w:rsidRPr="00044D81">
        <w:rPr>
          <w:rFonts w:ascii="Cambria" w:hAnsi="Cambria" w:cs="Calibri"/>
          <w:sz w:val="22"/>
          <w:szCs w:val="22"/>
        </w:rPr>
        <w:t xml:space="preserve"> shows that Thailand’s economic growth was registered at 0.7 per cent farmers’ income decreased by 6.2 per cent and unemployment rate at 0.8 per cent.</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It must be noted that Thailand is an agricultural society, and high-level of income decrease among people in the agricultural sector affects the livelihood of the population.</w:t>
      </w:r>
    </w:p>
    <w:p w:rsidR="002F3030" w:rsidRPr="00044D81" w:rsidRDefault="002F3030" w:rsidP="002F3030">
      <w:pPr>
        <w:widowControl w:val="0"/>
        <w:autoSpaceDE w:val="0"/>
        <w:autoSpaceDN w:val="0"/>
        <w:adjustRightInd w:val="0"/>
        <w:spacing w:after="400"/>
        <w:rPr>
          <w:rFonts w:ascii="Cambria" w:hAnsi="Cambria" w:cs="Calibri"/>
          <w:sz w:val="22"/>
          <w:szCs w:val="22"/>
        </w:rPr>
      </w:pPr>
      <w:r w:rsidRPr="00044D81">
        <w:rPr>
          <w:rFonts w:ascii="Cambria" w:hAnsi="Cambria" w:cs="Calibri"/>
          <w:sz w:val="22"/>
          <w:szCs w:val="22"/>
        </w:rPr>
        <w:t>Blue-collar workers, meanwhile, demand an increase in minimum wage from Baht 300 per day to Baht 426 per day because they could not make ends meet given the inflation rate of 106.02 per cent.</w:t>
      </w:r>
      <w:r w:rsidRPr="00044D81">
        <w:rPr>
          <w:rStyle w:val="FootnoteReference"/>
          <w:rFonts w:ascii="Cambria" w:hAnsi="Cambria" w:cs="Calibri"/>
          <w:sz w:val="22"/>
          <w:szCs w:val="22"/>
        </w:rPr>
        <w:footnoteReference w:id="2"/>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2.</w:t>
      </w:r>
      <w:r w:rsidRPr="00044D81">
        <w:rPr>
          <w:rFonts w:ascii="Cambria" w:hAnsi="Cambria" w:cs="Times New Roman"/>
          <w:sz w:val="22"/>
          <w:szCs w:val="22"/>
        </w:rPr>
        <w:t xml:space="preserve">          </w:t>
      </w:r>
      <w:r w:rsidRPr="00044D81">
        <w:rPr>
          <w:rFonts w:ascii="Cambria" w:hAnsi="Cambria" w:cs="Calibri"/>
          <w:sz w:val="22"/>
          <w:szCs w:val="22"/>
        </w:rPr>
        <w:t>After the military coup of May 2014, all groups of citizens have no right of political assembly and have no right to express themselves politically in a way that differs from the power that be. Those who are exempted are people who gathered to express themselves in support of the military coup and the military junta while those opposing the coup dare not express themselves for fear of being summoned and detained by the military or brought to face military court or have their rights violated.</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3.</w:t>
      </w:r>
      <w:r w:rsidRPr="00044D81">
        <w:rPr>
          <w:rFonts w:ascii="Cambria" w:hAnsi="Cambria" w:cs="Calibri"/>
          <w:sz w:val="22"/>
          <w:szCs w:val="22"/>
        </w:rPr>
        <w:tab/>
        <w:t xml:space="preserve">Human Rights Institute is in regress with the National Human Rights Commission (NHRC) being slated to be merged with the Office of the Ombudsman under the new junta-sponsored constitution despite much opposition aired by civil society. The two bodies </w:t>
      </w:r>
      <w:r w:rsidRPr="00044D81">
        <w:rPr>
          <w:rFonts w:ascii="Cambria" w:hAnsi="Cambria" w:cs="Calibri"/>
          <w:sz w:val="22"/>
          <w:szCs w:val="22"/>
        </w:rPr>
        <w:lastRenderedPageBreak/>
        <w:t>possess differently mechanism and responsibility and although the matter is not finite at the time of the writing of this report, it demonstrates an intent to undermine human rights and to reduce the power to scrutinize abuse of rights on cases including those involving natural resources, forest, land and community rights in which the NHRC possess expertise.</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4.</w:t>
      </w:r>
      <w:r w:rsidRPr="00044D81">
        <w:rPr>
          <w:rFonts w:ascii="Cambria" w:hAnsi="Cambria" w:cs="Calibri"/>
          <w:sz w:val="22"/>
          <w:szCs w:val="22"/>
        </w:rPr>
        <w:tab/>
        <w:t>The Thai court of justice has never cited ICPR in which Thailand is a party, to be included in its adjudication. For example, the arrest and detention of 17 ethnic Uyghur</w:t>
      </w:r>
      <w:r w:rsidRPr="00044D81">
        <w:rPr>
          <w:rFonts w:ascii="Cambria" w:hAnsi="Cambria"/>
          <w:sz w:val="22"/>
          <w:szCs w:val="22"/>
        </w:rPr>
        <w:footnoteReference w:id="3"/>
      </w:r>
      <w:r w:rsidRPr="00044D81">
        <w:rPr>
          <w:rFonts w:ascii="Cambria" w:hAnsi="Cambria" w:cs="Calibri"/>
          <w:sz w:val="22"/>
          <w:szCs w:val="22"/>
        </w:rPr>
        <w:t xml:space="preserve"> wherein witnesses have cited the Universal Declaration of Human Rights of the United Nations and ICPR to defend the right to choose citizenship despite the fact that these people are not Thai citizens. The court relied on information regarding international relation and national security to adjudicate, however.</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I.</w:t>
      </w:r>
      <w:r w:rsidRPr="00044D81">
        <w:rPr>
          <w:rFonts w:ascii="Cambria" w:hAnsi="Cambria" w:cs="Times New Roman"/>
          <w:sz w:val="22"/>
          <w:szCs w:val="22"/>
        </w:rPr>
        <w:tab/>
      </w:r>
      <w:r w:rsidRPr="00044D81">
        <w:rPr>
          <w:rFonts w:ascii="Cambria" w:hAnsi="Cambria" w:cs="Calibri"/>
          <w:sz w:val="22"/>
          <w:szCs w:val="22"/>
        </w:rPr>
        <w:t>Issue-based problems</w:t>
      </w:r>
    </w:p>
    <w:p w:rsidR="002F3030" w:rsidRPr="00044D81" w:rsidRDefault="002F3030" w:rsidP="002F3030">
      <w:pPr>
        <w:widowControl w:val="0"/>
        <w:autoSpaceDE w:val="0"/>
        <w:autoSpaceDN w:val="0"/>
        <w:adjustRightInd w:val="0"/>
        <w:spacing w:after="400"/>
        <w:rPr>
          <w:rFonts w:ascii="Cambria" w:hAnsi="Cambria" w:cs="Calibri"/>
          <w:b/>
          <w:bCs/>
          <w:sz w:val="22"/>
          <w:szCs w:val="22"/>
          <w:u w:val="single"/>
        </w:rPr>
      </w:pPr>
      <w:r w:rsidRPr="00044D81">
        <w:rPr>
          <w:rFonts w:ascii="Cambria" w:hAnsi="Cambria" w:cs="Calibri"/>
          <w:b/>
          <w:bCs/>
          <w:sz w:val="22"/>
          <w:szCs w:val="22"/>
          <w:u w:val="single"/>
        </w:rPr>
        <w:t>Article 1: Rights to Political Self-determination</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5.</w:t>
      </w:r>
      <w:r w:rsidRPr="00044D81">
        <w:rPr>
          <w:rFonts w:ascii="Cambria" w:hAnsi="Cambria" w:cs="Times New Roman"/>
          <w:sz w:val="22"/>
          <w:szCs w:val="22"/>
        </w:rPr>
        <w:t xml:space="preserve">          </w:t>
      </w:r>
      <w:r w:rsidRPr="00044D81">
        <w:rPr>
          <w:rFonts w:ascii="Cambria" w:hAnsi="Cambria" w:cs="Calibri"/>
          <w:sz w:val="22"/>
          <w:szCs w:val="22"/>
        </w:rPr>
        <w:t>Rights to political self-determination at both local and national levels have been completely destroyed even before the May 2014 coup when the Election Commission when the February 2 general elections was annulled. Coup leader General Prayut Chan-o-cha then issued a junta order Number 85/2014 appointing temporary elected local administrators on July 10 and order the suspension of local elections until further notice. The junta, known as the National Council for Peace and Order (NCPO), order Number 88/2014 enable military officers to be in charge of considering the appropriate budget for local administrative bodies instead of having elected people being in charge of the task</w:t>
      </w:r>
      <w:r w:rsidRPr="00044D81">
        <w:rPr>
          <w:rStyle w:val="FootnoteReference"/>
          <w:rFonts w:ascii="Cambria" w:hAnsi="Cambria" w:cs="Calibri"/>
          <w:sz w:val="22"/>
          <w:szCs w:val="22"/>
        </w:rPr>
        <w:footnoteReference w:id="4"/>
      </w:r>
      <w:r w:rsidRPr="00044D81">
        <w:rPr>
          <w:rFonts w:ascii="Cambria" w:hAnsi="Cambria" w:cs="Calibri"/>
          <w:sz w:val="22"/>
          <w:szCs w:val="22"/>
        </w:rPr>
        <w:t>. This resulted in the inability of local people to determine their own economic, social and cultural development path.</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6.</w:t>
      </w:r>
      <w:r w:rsidRPr="00044D81">
        <w:rPr>
          <w:rFonts w:ascii="Cambria" w:hAnsi="Cambria" w:cs="Times New Roman"/>
          <w:sz w:val="22"/>
          <w:szCs w:val="22"/>
        </w:rPr>
        <w:t xml:space="preserve">          </w:t>
      </w:r>
      <w:r w:rsidRPr="00044D81">
        <w:rPr>
          <w:rFonts w:ascii="Cambria" w:hAnsi="Cambria" w:cs="Calibri"/>
          <w:sz w:val="22"/>
          <w:szCs w:val="22"/>
        </w:rPr>
        <w:t> On the three-southern-most provinces and the four districts in Songkhla province which is formerly known collectively as ‘Patani’, majority of the people are Muslims and have a culture that differs from majority of the people in the country. There have been attempts to demand various forms “rights to self-determination”, such as electing local administrative leaders, including part of the Islamic laws into the law using Malay language and Arabic scripts alongside with the Thai alphabets, local education management, and political, economic and social participation.</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The Malay people in the provinces want to see a revival of its history and a respond from the Thai state to its long demands after Patani was made part of Siam, which is the old name of Thailand, but have been denied.</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After the arms robbery in January 2004, widespread violence erupts and since then more than 5,000 people have been killed with some 10,000 people having been made widow or orphan.</w:t>
      </w:r>
    </w:p>
    <w:p w:rsidR="002F3030" w:rsidRPr="00044D81" w:rsidRDefault="002F3030" w:rsidP="002F3030">
      <w:pPr>
        <w:widowControl w:val="0"/>
        <w:autoSpaceDE w:val="0"/>
        <w:autoSpaceDN w:val="0"/>
        <w:adjustRightInd w:val="0"/>
        <w:spacing w:after="400"/>
        <w:rPr>
          <w:rFonts w:ascii="Cambria" w:hAnsi="Cambria" w:cs="Calibri"/>
          <w:sz w:val="22"/>
          <w:szCs w:val="22"/>
        </w:rPr>
      </w:pPr>
      <w:r w:rsidRPr="00044D81">
        <w:rPr>
          <w:rFonts w:ascii="Cambria" w:hAnsi="Cambria" w:cs="Calibri"/>
          <w:sz w:val="22"/>
          <w:szCs w:val="22"/>
        </w:rPr>
        <w:lastRenderedPageBreak/>
        <w:t xml:space="preserve">In 2014 alone, 330 people have been killed. </w:t>
      </w:r>
      <w:r w:rsidRPr="00044D81">
        <w:rPr>
          <w:rStyle w:val="FootnoteReference"/>
          <w:rFonts w:ascii="Cambria" w:hAnsi="Cambria" w:cs="Calibri"/>
          <w:sz w:val="22"/>
          <w:szCs w:val="22"/>
        </w:rPr>
        <w:footnoteReference w:id="5"/>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7.</w:t>
      </w:r>
      <w:r w:rsidRPr="00044D81">
        <w:rPr>
          <w:rFonts w:ascii="Cambria" w:hAnsi="Cambria" w:cs="Times New Roman"/>
          <w:sz w:val="22"/>
          <w:szCs w:val="22"/>
        </w:rPr>
        <w:t xml:space="preserve">          </w:t>
      </w:r>
      <w:r w:rsidRPr="00044D81">
        <w:rPr>
          <w:rFonts w:ascii="Cambria" w:hAnsi="Cambria" w:cs="Calibri"/>
          <w:sz w:val="22"/>
          <w:szCs w:val="22"/>
        </w:rPr>
        <w:t>The state does not allow local people of Patani to have the right to self-determination in accordance with international human rights principle through referendum or through dialogue with genuine freedom to participate and publicly express themselves. They are constrained through special laws such as martial law, Internal Security Acts and Emergency Decree and Article 44 of the junta provisional constitution of 2014. People possess no mechanism to protect and demand basic civic rights and freedom from being tortured, forced disappearance, or to have economic right as majority of the people cannot access natural resources (oil, gas and various minerals).</w:t>
      </w:r>
    </w:p>
    <w:p w:rsidR="002F3030" w:rsidRPr="00044D81" w:rsidRDefault="002F3030" w:rsidP="002F3030">
      <w:pPr>
        <w:widowControl w:val="0"/>
        <w:autoSpaceDE w:val="0"/>
        <w:autoSpaceDN w:val="0"/>
        <w:adjustRightInd w:val="0"/>
        <w:spacing w:after="400"/>
        <w:ind w:firstLine="720"/>
        <w:jc w:val="thaiDistribute"/>
        <w:rPr>
          <w:rFonts w:ascii="Cambria" w:hAnsi="Cambria" w:cs="Calibri"/>
          <w:sz w:val="22"/>
          <w:szCs w:val="22"/>
        </w:rPr>
      </w:pPr>
      <w:r w:rsidRPr="00044D81">
        <w:rPr>
          <w:rFonts w:ascii="Cambria" w:hAnsi="Cambria" w:cs="Calibri"/>
          <w:sz w:val="22"/>
          <w:szCs w:val="22"/>
        </w:rPr>
        <w:t>The economic development policy is also not in line with the economic way of life of the local people with the stress being given to industrial development which benefits big businesses and regarded local populace as a source of cheap labour while these investments have long-term negative repercussions on the environment and natural resources.</w:t>
      </w:r>
    </w:p>
    <w:p w:rsidR="002F3030" w:rsidRPr="00044D81" w:rsidRDefault="002F3030" w:rsidP="002F3030">
      <w:pPr>
        <w:widowControl w:val="0"/>
        <w:autoSpaceDE w:val="0"/>
        <w:autoSpaceDN w:val="0"/>
        <w:adjustRightInd w:val="0"/>
        <w:spacing w:after="400"/>
        <w:ind w:firstLine="720"/>
        <w:jc w:val="thaiDistribute"/>
        <w:rPr>
          <w:rFonts w:ascii="Cambria" w:hAnsi="Cambria" w:cs="Calibri"/>
          <w:sz w:val="22"/>
          <w:szCs w:val="22"/>
        </w:rPr>
      </w:pPr>
      <w:r w:rsidRPr="00044D81">
        <w:rPr>
          <w:rFonts w:ascii="Cambria" w:hAnsi="Cambria" w:cs="Calibri"/>
          <w:sz w:val="22"/>
          <w:szCs w:val="22"/>
        </w:rPr>
        <w:t>Right to express oneself publicly in politics have also been curbed under special laws such as martial law, Emergency Decree, Internal Security Act and Article 44 of the Provisional Constitution and there exist no mechanism to scrutinize or check and balance the work by state officials and not mechanism to demand basic rights such as freedom from torture, freedom from forced disappearance and economic rights. Majority of the people have no access to benefits from natural resources (oil, gas and minerals). The economic development policy is also not in line or conducive to local business ways of the local people and it is stressed toward big businesses and regard local populace as a source of cheap labour. Businesses which have long-term adverse impact on natural resources and the environment includes natural rubber processing plant in Pattani province wherein officials did not consult local people in the decision-making process.</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 8.</w:t>
      </w:r>
      <w:r w:rsidRPr="00044D81">
        <w:rPr>
          <w:rFonts w:ascii="Cambria" w:hAnsi="Cambria" w:cs="Times New Roman"/>
          <w:sz w:val="22"/>
          <w:szCs w:val="22"/>
        </w:rPr>
        <w:tab/>
      </w:r>
      <w:r w:rsidRPr="00044D81">
        <w:rPr>
          <w:rFonts w:ascii="Cambria" w:hAnsi="Cambria" w:cs="Calibri"/>
          <w:sz w:val="22"/>
          <w:szCs w:val="22"/>
        </w:rPr>
        <w:t>The Thai constitution of 1997 contains an Article on the power of local people in managing local natural resources and the participation of the local people in considering and assessing impacts from various mega projects on local natural resources. Although in practice this has a limitation, such as people are representing big businesses are often bussed in to public hearing venue in order to threaten local leaders who are demanding rights in natural resources management or state officials rushing and unfairly assessing negative impacts on local people, there still exist channel for alleviate the suffering of the people by citing constitutional right in order to file a case at the Administrative Court. It also includes the right to protest in order to make demands to higher government body or for a review or redress the damage incurred.</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9.</w:t>
      </w:r>
      <w:r w:rsidRPr="00044D81">
        <w:rPr>
          <w:rFonts w:ascii="Cambria" w:hAnsi="Cambria" w:cs="Times New Roman"/>
          <w:sz w:val="22"/>
          <w:szCs w:val="22"/>
        </w:rPr>
        <w:t> </w:t>
      </w:r>
      <w:r w:rsidRPr="00044D81">
        <w:rPr>
          <w:rFonts w:ascii="Cambria" w:hAnsi="Cambria" w:cs="Times New Roman"/>
          <w:sz w:val="22"/>
          <w:szCs w:val="22"/>
        </w:rPr>
        <w:tab/>
      </w:r>
      <w:r w:rsidRPr="00044D81">
        <w:rPr>
          <w:rFonts w:ascii="Cambria" w:hAnsi="Cambria" w:cs="Calibri"/>
          <w:sz w:val="22"/>
          <w:szCs w:val="22"/>
        </w:rPr>
        <w:t xml:space="preserve">After the 2014 coup, people have been threatened. The threats are felt by people who rely on forests for a living, communities residing in degraded forests. Problem solving process wherein capitalists collaborate with the military led to local villagers opposing projects such as gold mine in Loei province, potash mine in Chaiyaphoom province to be threatened from military officers to allow the projects to continue. What is worrying under this military regime is that there has yet to be any attempt to cite the rights under the </w:t>
      </w:r>
      <w:r w:rsidRPr="00044D81">
        <w:rPr>
          <w:rFonts w:ascii="Cambria" w:hAnsi="Cambria" w:cs="Calibri"/>
          <w:sz w:val="22"/>
          <w:szCs w:val="22"/>
        </w:rPr>
        <w:lastRenderedPageBreak/>
        <w:t>provisional constitution to protect the way of life of local villagers and any petition to the legislative branch is ineffective due to the fact that the military has the tendency to relax the strict permission process for industrial projects which impact the environment.</w:t>
      </w:r>
    </w:p>
    <w:p w:rsidR="002F3030" w:rsidRPr="00044D81" w:rsidRDefault="002F3030" w:rsidP="002F3030">
      <w:pPr>
        <w:widowControl w:val="0"/>
        <w:autoSpaceDE w:val="0"/>
        <w:autoSpaceDN w:val="0"/>
        <w:adjustRightInd w:val="0"/>
        <w:spacing w:after="400"/>
        <w:jc w:val="thaiDistribute"/>
        <w:rPr>
          <w:rFonts w:ascii="Cambria" w:hAnsi="Cambria" w:cs="Calibri"/>
          <w:sz w:val="22"/>
          <w:szCs w:val="22"/>
        </w:rPr>
      </w:pPr>
      <w:r w:rsidRPr="00044D81">
        <w:rPr>
          <w:rFonts w:ascii="Cambria" w:hAnsi="Cambria" w:cs="Calibri"/>
          <w:sz w:val="22"/>
          <w:szCs w:val="22"/>
        </w:rPr>
        <w:t>10. </w:t>
      </w:r>
      <w:r w:rsidRPr="00044D81">
        <w:rPr>
          <w:rFonts w:ascii="Cambria" w:hAnsi="Cambria" w:cs="Calibri"/>
          <w:sz w:val="22"/>
          <w:szCs w:val="22"/>
        </w:rPr>
        <w:tab/>
        <w:t>Villagers at Pak Moon river basin which have been opposing the hydroelectric dam for the past 25 years because of the adverse impact the dam has on traditional livelihood. These people want to continue to be fisher folk and they are adept at it and is their traditional livelihood for generations. They can also earn more than going into the city working as labourers and can be with their family together instead of having to become migrant workers. The people of Pak Moon have been unable to determine their own fate and livelihood, however, and the state does not seem to understand that local people cannot coexist with dam and that these people do not want a dam that totally ruin the river ecosystem and their way of life along the banks of the river. The demand to have the dam open its sluice gate permanently in order to allow fish to swim through at hatch eggs and to return to the old way of life have been made for years.</w:t>
      </w:r>
    </w:p>
    <w:p w:rsidR="002F3030" w:rsidRPr="00044D81" w:rsidRDefault="002F3030" w:rsidP="002F3030">
      <w:pPr>
        <w:widowControl w:val="0"/>
        <w:autoSpaceDE w:val="0"/>
        <w:autoSpaceDN w:val="0"/>
        <w:adjustRightInd w:val="0"/>
        <w:spacing w:after="400"/>
        <w:rPr>
          <w:rFonts w:ascii="Cambria" w:hAnsi="Cambria" w:cs="Calibri"/>
          <w:sz w:val="22"/>
          <w:szCs w:val="22"/>
        </w:rPr>
      </w:pPr>
      <w:r w:rsidRPr="00044D81">
        <w:rPr>
          <w:rFonts w:ascii="Cambria" w:hAnsi="Cambria" w:cs="Calibri"/>
          <w:sz w:val="22"/>
          <w:szCs w:val="22"/>
        </w:rPr>
        <w:t>11. </w:t>
      </w:r>
      <w:r w:rsidRPr="00044D81">
        <w:rPr>
          <w:rFonts w:ascii="Cambria" w:hAnsi="Cambria" w:cs="Calibri"/>
          <w:sz w:val="22"/>
          <w:szCs w:val="22"/>
        </w:rPr>
        <w:tab/>
        <w:t>Economic freedom of leaders of the United Front for Democracy Against Dictatorship (UDD) and four social activists have been affected by the freezing of their bank accounts by the military junta and the banning of any monetary transaction by these people. One of these four activists is Mr. SombatBoonngam-anong</w:t>
      </w:r>
      <w:r w:rsidRPr="00044D81">
        <w:rPr>
          <w:rStyle w:val="FootnoteReference"/>
          <w:rFonts w:ascii="Cambria" w:hAnsi="Cambria" w:cs="Calibri"/>
          <w:sz w:val="22"/>
          <w:szCs w:val="22"/>
        </w:rPr>
        <w:footnoteReference w:id="6"/>
      </w:r>
      <w:r w:rsidRPr="00044D81">
        <w:rPr>
          <w:rFonts w:ascii="Cambria" w:hAnsi="Cambria" w:cs="Calibri"/>
          <w:sz w:val="22"/>
          <w:szCs w:val="22"/>
        </w:rPr>
        <w:t>, a well-known political and social activist who is currently engaging in fair trade rice deal. Military officers have paid Sombat a visit and conducted search on the rice shop which resell Sombat’s rice until the shop owner has to shut his shop down.</w:t>
      </w:r>
      <w:r w:rsidR="00F313A2" w:rsidRPr="00044D81">
        <w:rPr>
          <w:rStyle w:val="FootnoteReference"/>
          <w:rFonts w:ascii="Cambria" w:hAnsi="Cambria" w:cs="Calibri"/>
          <w:sz w:val="22"/>
          <w:szCs w:val="22"/>
        </w:rPr>
        <w:footnoteReference w:id="7"/>
      </w:r>
    </w:p>
    <w:p w:rsidR="002F3030" w:rsidRPr="00044D81" w:rsidRDefault="002F3030" w:rsidP="002F3030">
      <w:pPr>
        <w:pStyle w:val="Normal1"/>
        <w:rPr>
          <w:rFonts w:ascii="Cambria" w:hAnsi="Cambria"/>
          <w:b/>
          <w:color w:val="auto"/>
          <w:szCs w:val="22"/>
        </w:rPr>
      </w:pPr>
      <w:r w:rsidRPr="00044D81">
        <w:rPr>
          <w:rFonts w:ascii="Cambria" w:hAnsi="Cambria"/>
          <w:b/>
          <w:color w:val="auto"/>
          <w:szCs w:val="22"/>
        </w:rPr>
        <w:t> Recommendations:</w:t>
      </w:r>
    </w:p>
    <w:p w:rsidR="002F3030" w:rsidRPr="00044D81" w:rsidRDefault="002F3030" w:rsidP="002F3030">
      <w:pPr>
        <w:pStyle w:val="ListParagraph"/>
        <w:widowControl w:val="0"/>
        <w:numPr>
          <w:ilvl w:val="0"/>
          <w:numId w:val="15"/>
        </w:numPr>
        <w:autoSpaceDE w:val="0"/>
        <w:autoSpaceDN w:val="0"/>
        <w:adjustRightInd w:val="0"/>
        <w:rPr>
          <w:rFonts w:ascii="Cambria" w:hAnsi="Cambria" w:cs="Calibri"/>
          <w:sz w:val="22"/>
          <w:szCs w:val="22"/>
        </w:rPr>
      </w:pPr>
      <w:r w:rsidRPr="00044D81">
        <w:rPr>
          <w:rFonts w:ascii="Cambria" w:hAnsi="Cambria" w:cs="Calibri"/>
          <w:sz w:val="22"/>
          <w:szCs w:val="22"/>
        </w:rPr>
        <w:t>The government must announce a return to local elections as soon as possible</w:t>
      </w:r>
    </w:p>
    <w:p w:rsidR="00F313A2" w:rsidRPr="00044D81" w:rsidRDefault="002F3030" w:rsidP="002F3030">
      <w:pPr>
        <w:pStyle w:val="ListParagraph"/>
        <w:widowControl w:val="0"/>
        <w:numPr>
          <w:ilvl w:val="0"/>
          <w:numId w:val="15"/>
        </w:numPr>
        <w:autoSpaceDE w:val="0"/>
        <w:autoSpaceDN w:val="0"/>
        <w:adjustRightInd w:val="0"/>
        <w:rPr>
          <w:rFonts w:ascii="Cambria" w:hAnsi="Cambria" w:cs="Calibri"/>
          <w:sz w:val="22"/>
          <w:szCs w:val="22"/>
        </w:rPr>
      </w:pPr>
      <w:r w:rsidRPr="00044D81">
        <w:rPr>
          <w:rFonts w:ascii="Cambria" w:hAnsi="Cambria" w:cs="Calibri"/>
          <w:sz w:val="22"/>
          <w:szCs w:val="22"/>
        </w:rPr>
        <w:t>The government must adhere to the principle of people’s participation of those affected in considering and approving petitions for large project development such as dam and industrial mining. It must not prevent or exploit the use of military force interfering with the normal process of people’s participation.</w:t>
      </w:r>
    </w:p>
    <w:p w:rsidR="002F3030" w:rsidRPr="00044D81" w:rsidRDefault="002F3030" w:rsidP="002F3030">
      <w:pPr>
        <w:pStyle w:val="ListParagraph"/>
        <w:widowControl w:val="0"/>
        <w:numPr>
          <w:ilvl w:val="0"/>
          <w:numId w:val="15"/>
        </w:numPr>
        <w:autoSpaceDE w:val="0"/>
        <w:autoSpaceDN w:val="0"/>
        <w:adjustRightInd w:val="0"/>
        <w:rPr>
          <w:rFonts w:ascii="Cambria" w:hAnsi="Cambria" w:cs="Calibri"/>
          <w:sz w:val="22"/>
          <w:szCs w:val="22"/>
        </w:rPr>
      </w:pPr>
      <w:r w:rsidRPr="00044D81">
        <w:rPr>
          <w:rFonts w:ascii="Cambria" w:hAnsi="Cambria" w:cs="Calibri"/>
          <w:sz w:val="22"/>
          <w:szCs w:val="22"/>
        </w:rPr>
        <w:t>The government must negotiate to seek solution to for the problems in Patani and reduce the use of military solution and rely instead on political solution. It must also allow local people to truly participate in the peace process as well as to allow for a chance for the local Malay language, culture and history to be revived.</w:t>
      </w:r>
    </w:p>
    <w:p w:rsidR="002F3030" w:rsidRPr="00044D81" w:rsidRDefault="002F3030" w:rsidP="002F3030">
      <w:pPr>
        <w:rPr>
          <w:rFonts w:cs="Calibri"/>
          <w:b/>
          <w:u w:val="single"/>
        </w:rPr>
      </w:pPr>
    </w:p>
    <w:p w:rsidR="002F3030" w:rsidRPr="00044D81" w:rsidRDefault="002F3030" w:rsidP="00F313A2">
      <w:pPr>
        <w:widowControl w:val="0"/>
        <w:autoSpaceDE w:val="0"/>
        <w:autoSpaceDN w:val="0"/>
        <w:adjustRightInd w:val="0"/>
        <w:spacing w:after="400"/>
        <w:rPr>
          <w:rFonts w:ascii="Cambria" w:hAnsi="Cambria" w:cs="Calibri"/>
          <w:b/>
          <w:bCs/>
          <w:sz w:val="22"/>
          <w:szCs w:val="22"/>
          <w:u w:val="single"/>
        </w:rPr>
      </w:pPr>
      <w:r w:rsidRPr="00044D81">
        <w:rPr>
          <w:rFonts w:ascii="Cambria" w:hAnsi="Cambria" w:cs="Calibri"/>
          <w:b/>
          <w:bCs/>
          <w:sz w:val="22"/>
          <w:szCs w:val="22"/>
          <w:u w:val="single"/>
        </w:rPr>
        <w:t>Article 2: Non-discrimination</w:t>
      </w:r>
    </w:p>
    <w:p w:rsidR="00F313A2" w:rsidRPr="00044D81" w:rsidRDefault="00F313A2" w:rsidP="00F313A2">
      <w:pPr>
        <w:pStyle w:val="Body"/>
        <w:spacing w:after="400"/>
        <w:jc w:val="thaiDistribute"/>
        <w:rPr>
          <w:rFonts w:ascii="Cambria" w:hAnsi="Cambria" w:cstheme="minorBidi"/>
          <w:color w:val="auto"/>
          <w:sz w:val="22"/>
          <w:szCs w:val="22"/>
        </w:rPr>
      </w:pPr>
      <w:r w:rsidRPr="00044D81">
        <w:rPr>
          <w:rFonts w:ascii="Cambria" w:hAnsi="Cambria" w:cs="Angsana New"/>
          <w:color w:val="auto"/>
          <w:sz w:val="22"/>
          <w:szCs w:val="22"/>
        </w:rPr>
        <w:t>12</w:t>
      </w:r>
      <w:r w:rsidR="002F3030" w:rsidRPr="00044D81">
        <w:rPr>
          <w:rFonts w:ascii="Cambria" w:hAnsi="Cambria" w:cs="Angsana New"/>
          <w:color w:val="auto"/>
          <w:sz w:val="22"/>
          <w:szCs w:val="22"/>
        </w:rPr>
        <w:t>.</w:t>
      </w:r>
      <w:r w:rsidRPr="00044D81">
        <w:rPr>
          <w:rFonts w:ascii="Cambria" w:hAnsi="Cambria" w:cs="Angsana New"/>
          <w:color w:val="auto"/>
          <w:sz w:val="22"/>
          <w:szCs w:val="22"/>
        </w:rPr>
        <w:tab/>
      </w:r>
      <w:r w:rsidR="002F3030" w:rsidRPr="00044D81">
        <w:rPr>
          <w:rFonts w:ascii="Cambria" w:hAnsi="Cambria"/>
          <w:color w:val="auto"/>
          <w:sz w:val="22"/>
          <w:szCs w:val="22"/>
        </w:rPr>
        <w:t xml:space="preserve">Rohingya in Thailand  are still continuously being arrested in police stations and detained in various Immigration Detention Centers where they face indefinite detention, while they wait for authorities to deport them back to Myanmar. The only other option for Rohingya being kept in detention centers is to prolong detention through “soft deportation” </w:t>
      </w:r>
      <w:r w:rsidR="002F3030" w:rsidRPr="00044D81">
        <w:rPr>
          <w:rFonts w:ascii="Cambria" w:hAnsi="Cambria"/>
          <w:color w:val="auto"/>
          <w:sz w:val="22"/>
          <w:szCs w:val="22"/>
          <w:lang w:val="pt-PT"/>
        </w:rPr>
        <w:t xml:space="preserve">or escape.  </w:t>
      </w:r>
      <w:r w:rsidR="002F3030" w:rsidRPr="00044D81">
        <w:rPr>
          <w:rFonts w:ascii="Cambria" w:hAnsi="Cambria"/>
          <w:color w:val="auto"/>
          <w:sz w:val="22"/>
          <w:szCs w:val="22"/>
        </w:rPr>
        <w:t>Some groups have been charged as</w:t>
      </w:r>
      <w:r w:rsidR="002F3030" w:rsidRPr="00044D81">
        <w:rPr>
          <w:rFonts w:ascii="Cambria" w:hAnsi="Cambria"/>
          <w:color w:val="auto"/>
          <w:sz w:val="22"/>
          <w:szCs w:val="22"/>
          <w:lang w:val="it-IT"/>
        </w:rPr>
        <w:t xml:space="preserve"> illegal migrant</w:t>
      </w:r>
      <w:r w:rsidR="002F3030" w:rsidRPr="00044D81">
        <w:rPr>
          <w:rFonts w:ascii="Cambria" w:hAnsi="Cambria"/>
          <w:color w:val="auto"/>
          <w:sz w:val="22"/>
          <w:szCs w:val="22"/>
        </w:rPr>
        <w:t>s and sent to</w:t>
      </w:r>
      <w:r w:rsidR="002F3030" w:rsidRPr="00044D81">
        <w:rPr>
          <w:rFonts w:ascii="Cambria" w:hAnsi="Cambria"/>
          <w:color w:val="auto"/>
          <w:sz w:val="22"/>
          <w:szCs w:val="22"/>
          <w:lang w:val="fr-FR"/>
        </w:rPr>
        <w:t xml:space="preserve"> prison</w:t>
      </w:r>
      <w:r w:rsidR="002F3030" w:rsidRPr="00044D81">
        <w:rPr>
          <w:rFonts w:ascii="Cambria" w:hAnsi="Cambria"/>
          <w:color w:val="auto"/>
          <w:sz w:val="22"/>
          <w:szCs w:val="22"/>
        </w:rPr>
        <w:t xml:space="preserve">. </w:t>
      </w:r>
    </w:p>
    <w:p w:rsidR="00F313A2" w:rsidRPr="00044D81" w:rsidRDefault="00F313A2" w:rsidP="00F313A2">
      <w:pPr>
        <w:pStyle w:val="Body"/>
        <w:spacing w:after="400"/>
        <w:jc w:val="thaiDistribute"/>
        <w:rPr>
          <w:rFonts w:ascii="Cambria" w:hAnsi="Cambria" w:cstheme="minorBidi"/>
          <w:color w:val="auto"/>
          <w:sz w:val="22"/>
          <w:szCs w:val="22"/>
        </w:rPr>
      </w:pPr>
      <w:r w:rsidRPr="00044D81">
        <w:rPr>
          <w:rFonts w:ascii="Cambria" w:hAnsi="Cambria" w:cstheme="minorBidi"/>
          <w:color w:val="auto"/>
          <w:sz w:val="22"/>
          <w:szCs w:val="22"/>
        </w:rPr>
        <w:lastRenderedPageBreak/>
        <w:t>13.</w:t>
      </w:r>
      <w:r w:rsidRPr="00044D81">
        <w:rPr>
          <w:rFonts w:ascii="Cambria" w:hAnsi="Cambria" w:cstheme="minorBidi"/>
          <w:color w:val="auto"/>
          <w:sz w:val="22"/>
          <w:szCs w:val="22"/>
        </w:rPr>
        <w:tab/>
      </w:r>
      <w:r w:rsidR="002F3030" w:rsidRPr="00044D81">
        <w:rPr>
          <w:rFonts w:ascii="Cambria" w:hAnsi="Cambria"/>
          <w:color w:val="auto"/>
          <w:sz w:val="22"/>
          <w:szCs w:val="22"/>
        </w:rPr>
        <w:t>In the detentions centers, Rohingya have to stay in overcrowded cells. Food and access to health care are very limited, they are not given any means to communicate with their families whether in Burma or in other countries.</w:t>
      </w:r>
    </w:p>
    <w:p w:rsidR="00F313A2" w:rsidRPr="00044D81" w:rsidRDefault="002F3030" w:rsidP="00F313A2">
      <w:pPr>
        <w:pStyle w:val="Body"/>
        <w:spacing w:after="400"/>
        <w:ind w:firstLine="720"/>
        <w:jc w:val="thaiDistribute"/>
        <w:rPr>
          <w:rFonts w:ascii="Cambria" w:hAnsi="Cambria" w:cstheme="minorBidi"/>
          <w:color w:val="auto"/>
          <w:sz w:val="22"/>
          <w:szCs w:val="22"/>
        </w:rPr>
      </w:pPr>
      <w:r w:rsidRPr="00044D81">
        <w:rPr>
          <w:rFonts w:ascii="Cambria" w:hAnsi="Cambria"/>
          <w:color w:val="auto"/>
          <w:sz w:val="22"/>
          <w:szCs w:val="22"/>
        </w:rPr>
        <w:t>Women and children are kept in separate shelters run by the Thai Ministry of Social Development where conditions are generally better, though the connection to their families</w:t>
      </w:r>
      <w:r w:rsidRPr="00044D81">
        <w:rPr>
          <w:rFonts w:ascii="Cambria" w:hAnsi="Cambria"/>
          <w:color w:val="auto"/>
          <w:sz w:val="22"/>
          <w:szCs w:val="22"/>
          <w:lang w:val="nl-NL"/>
        </w:rPr>
        <w:t xml:space="preserve"> is </w:t>
      </w:r>
      <w:r w:rsidRPr="00044D81">
        <w:rPr>
          <w:rFonts w:ascii="Cambria" w:hAnsi="Cambria"/>
          <w:color w:val="auto"/>
          <w:sz w:val="22"/>
          <w:szCs w:val="22"/>
        </w:rPr>
        <w:t xml:space="preserve">still uncertain as per shelter regulations. Most of them suffer psychological problems due to their uncertain future, family separation, and lack of family connection. </w:t>
      </w:r>
    </w:p>
    <w:p w:rsidR="002F3030" w:rsidRPr="00044D81" w:rsidRDefault="00F313A2" w:rsidP="00F313A2">
      <w:pPr>
        <w:pStyle w:val="Body"/>
        <w:spacing w:after="400"/>
        <w:jc w:val="thaiDistribute"/>
        <w:rPr>
          <w:rFonts w:ascii="Cambria" w:hAnsi="Cambria" w:cstheme="minorBidi"/>
          <w:color w:val="auto"/>
          <w:sz w:val="22"/>
          <w:szCs w:val="22"/>
        </w:rPr>
      </w:pPr>
      <w:r w:rsidRPr="00044D81">
        <w:rPr>
          <w:rFonts w:ascii="Cambria" w:hAnsi="Cambria" w:cstheme="minorBidi"/>
          <w:color w:val="auto"/>
          <w:sz w:val="22"/>
          <w:szCs w:val="22"/>
        </w:rPr>
        <w:t>14.</w:t>
      </w:r>
      <w:r w:rsidRPr="00044D81">
        <w:rPr>
          <w:rFonts w:ascii="Cambria" w:hAnsi="Cambria" w:cstheme="minorBidi"/>
          <w:color w:val="auto"/>
          <w:sz w:val="22"/>
          <w:szCs w:val="22"/>
        </w:rPr>
        <w:tab/>
      </w:r>
      <w:r w:rsidR="002F3030" w:rsidRPr="00044D81">
        <w:rPr>
          <w:rFonts w:ascii="Cambria" w:hAnsi="Cambria"/>
          <w:color w:val="auto"/>
          <w:sz w:val="22"/>
          <w:szCs w:val="22"/>
        </w:rPr>
        <w:t xml:space="preserve">Some Rohingya, including women and children, end up in secret </w:t>
      </w:r>
      <w:r w:rsidR="002F3030" w:rsidRPr="00044D81">
        <w:rPr>
          <w:rFonts w:ascii="Cambria" w:hAnsi="Cambria"/>
          <w:color w:val="auto"/>
          <w:sz w:val="22"/>
          <w:szCs w:val="22"/>
          <w:lang w:val="fr-FR"/>
        </w:rPr>
        <w:t xml:space="preserve">camps </w:t>
      </w:r>
      <w:r w:rsidR="002F3030" w:rsidRPr="00044D81">
        <w:rPr>
          <w:rFonts w:ascii="Cambria" w:hAnsi="Cambria"/>
          <w:color w:val="auto"/>
          <w:sz w:val="22"/>
          <w:szCs w:val="22"/>
        </w:rPr>
        <w:t xml:space="preserve">run by brokers (people smugglers) in jungle areas on the </w:t>
      </w:r>
      <w:r w:rsidR="00E372AB">
        <w:rPr>
          <w:rFonts w:ascii="Cambria" w:hAnsi="Cambria"/>
          <w:color w:val="auto"/>
          <w:sz w:val="22"/>
          <w:szCs w:val="22"/>
          <w:lang w:val="nl-NL"/>
        </w:rPr>
        <w:t>border</w:t>
      </w:r>
      <w:r w:rsidR="002F3030" w:rsidRPr="00044D81">
        <w:rPr>
          <w:rFonts w:ascii="Cambria" w:hAnsi="Cambria"/>
          <w:color w:val="auto"/>
          <w:sz w:val="22"/>
          <w:szCs w:val="22"/>
        </w:rPr>
        <w:t xml:space="preserve"> between Thailand and Malaysia.  They speak of</w:t>
      </w:r>
      <w:r w:rsidR="002F3030" w:rsidRPr="00044D81">
        <w:rPr>
          <w:rFonts w:ascii="Cambria" w:hAnsi="Cambria"/>
          <w:color w:val="auto"/>
          <w:sz w:val="22"/>
          <w:szCs w:val="22"/>
          <w:lang w:val="fr-FR"/>
        </w:rPr>
        <w:t xml:space="preserve"> "terrible conditions</w:t>
      </w:r>
      <w:r w:rsidR="002F3030" w:rsidRPr="00044D81">
        <w:rPr>
          <w:rFonts w:ascii="Cambria" w:hAnsi="Cambria"/>
          <w:color w:val="auto"/>
          <w:sz w:val="22"/>
          <w:szCs w:val="22"/>
        </w:rPr>
        <w:t xml:space="preserve">” such as insufficient </w:t>
      </w:r>
      <w:r w:rsidR="002F3030" w:rsidRPr="00044D81">
        <w:rPr>
          <w:rFonts w:ascii="Cambria" w:hAnsi="Cambria"/>
          <w:color w:val="auto"/>
          <w:sz w:val="22"/>
          <w:szCs w:val="22"/>
          <w:lang w:val="nl-NL"/>
        </w:rPr>
        <w:t>drinking water</w:t>
      </w:r>
      <w:r w:rsidR="002F3030" w:rsidRPr="00044D81">
        <w:rPr>
          <w:rFonts w:ascii="Cambria" w:hAnsi="Cambria"/>
          <w:color w:val="auto"/>
          <w:sz w:val="22"/>
          <w:szCs w:val="22"/>
        </w:rPr>
        <w:t xml:space="preserve"> and food. Some Rohingya suffered “BeriBeri”, which is </w:t>
      </w:r>
      <w:r w:rsidR="00E372AB">
        <w:rPr>
          <w:rFonts w:ascii="Cambria" w:hAnsi="Cambria"/>
          <w:color w:val="auto"/>
          <w:sz w:val="22"/>
          <w:szCs w:val="22"/>
        </w:rPr>
        <w:t xml:space="preserve">caused for severe malnutrition. </w:t>
      </w:r>
      <w:r w:rsidR="002F3030" w:rsidRPr="00044D81">
        <w:rPr>
          <w:rFonts w:ascii="Cambria" w:hAnsi="Cambria"/>
          <w:color w:val="auto"/>
          <w:sz w:val="22"/>
          <w:szCs w:val="22"/>
        </w:rPr>
        <w:t>Women are reportedly raped by brokers in these camps.</w:t>
      </w:r>
    </w:p>
    <w:p w:rsidR="00F313A2" w:rsidRPr="002F3030" w:rsidRDefault="00F313A2" w:rsidP="00F313A2">
      <w:pPr>
        <w:pStyle w:val="Normal1"/>
        <w:rPr>
          <w:rFonts w:ascii="Cambria" w:hAnsi="Cambria"/>
          <w:b/>
          <w:szCs w:val="22"/>
        </w:rPr>
      </w:pPr>
      <w:r w:rsidRPr="002F3030">
        <w:rPr>
          <w:rFonts w:ascii="Cambria" w:hAnsi="Cambria"/>
          <w:b/>
          <w:szCs w:val="22"/>
        </w:rPr>
        <w:t> Recommendations:</w:t>
      </w:r>
    </w:p>
    <w:p w:rsidR="00F313A2" w:rsidRPr="00F313A2" w:rsidRDefault="002F3030" w:rsidP="00F313A2">
      <w:pPr>
        <w:pStyle w:val="Body"/>
        <w:numPr>
          <w:ilvl w:val="0"/>
          <w:numId w:val="17"/>
        </w:numPr>
        <w:ind w:left="714" w:hanging="357"/>
        <w:rPr>
          <w:rFonts w:ascii="Cambria" w:hAnsi="Cambria"/>
          <w:sz w:val="22"/>
          <w:szCs w:val="22"/>
        </w:rPr>
      </w:pPr>
      <w:r w:rsidRPr="00F313A2">
        <w:rPr>
          <w:rFonts w:ascii="Cambria" w:hAnsi="Cambria"/>
          <w:sz w:val="22"/>
          <w:szCs w:val="22"/>
        </w:rPr>
        <w:t>Rohingya should be recognized as Refugees and be accorded their full Refugee rights</w:t>
      </w:r>
    </w:p>
    <w:p w:rsidR="002F3030" w:rsidRPr="00F313A2" w:rsidRDefault="002F3030" w:rsidP="00F313A2">
      <w:pPr>
        <w:pStyle w:val="Body"/>
        <w:numPr>
          <w:ilvl w:val="0"/>
          <w:numId w:val="17"/>
        </w:numPr>
        <w:ind w:left="714" w:hanging="357"/>
        <w:rPr>
          <w:rFonts w:ascii="Cambria" w:hAnsi="Cambria"/>
          <w:sz w:val="22"/>
          <w:szCs w:val="22"/>
        </w:rPr>
      </w:pPr>
      <w:r w:rsidRPr="00F313A2">
        <w:rPr>
          <w:rFonts w:ascii="Cambria" w:hAnsi="Cambria"/>
          <w:sz w:val="22"/>
          <w:szCs w:val="22"/>
        </w:rPr>
        <w:t>Shelter solution is needed to provide better protection, full access to aid and prevent Rohingya from becoming victims of human trafficking and smuggling network</w:t>
      </w:r>
    </w:p>
    <w:p w:rsidR="00804A14" w:rsidRPr="00EA7659" w:rsidRDefault="00804A14" w:rsidP="00804A14">
      <w:pPr>
        <w:rPr>
          <w:rFonts w:ascii="Cambria" w:hAnsi="Cambria"/>
          <w:sz w:val="22"/>
          <w:szCs w:val="22"/>
        </w:rPr>
      </w:pPr>
    </w:p>
    <w:p w:rsidR="00F313A2" w:rsidRDefault="00F313A2" w:rsidP="00804A14">
      <w:pPr>
        <w:pStyle w:val="Normal1"/>
        <w:rPr>
          <w:rFonts w:ascii="Cambria" w:hAnsi="Cambria"/>
          <w:b/>
          <w:szCs w:val="22"/>
          <w:u w:val="single"/>
        </w:rPr>
      </w:pPr>
    </w:p>
    <w:p w:rsidR="00804A14" w:rsidRPr="00EA7659" w:rsidRDefault="00804A14" w:rsidP="00804A14">
      <w:pPr>
        <w:pStyle w:val="Normal1"/>
        <w:rPr>
          <w:rFonts w:ascii="Cambria" w:hAnsi="Cambria"/>
          <w:szCs w:val="22"/>
        </w:rPr>
      </w:pPr>
      <w:r w:rsidRPr="00EA7659">
        <w:rPr>
          <w:rFonts w:ascii="Cambria" w:hAnsi="Cambria"/>
          <w:b/>
          <w:szCs w:val="22"/>
          <w:u w:val="single"/>
        </w:rPr>
        <w:t>Section 6 Workers’ Rights</w:t>
      </w:r>
    </w:p>
    <w:p w:rsidR="00804A14" w:rsidRPr="00EA7659" w:rsidRDefault="00804A14" w:rsidP="00804A14">
      <w:pPr>
        <w:pStyle w:val="Normal1"/>
        <w:rPr>
          <w:rFonts w:ascii="Cambria" w:hAnsi="Cambria"/>
          <w:szCs w:val="22"/>
        </w:rPr>
      </w:pPr>
    </w:p>
    <w:p w:rsidR="003213AC" w:rsidRDefault="007A1FAD" w:rsidP="008705F1">
      <w:pPr>
        <w:pStyle w:val="Normal1"/>
        <w:spacing w:after="400" w:line="240" w:lineRule="auto"/>
        <w:jc w:val="thaiDistribute"/>
        <w:rPr>
          <w:rFonts w:ascii="Cambria" w:eastAsiaTheme="minorEastAsia" w:hAnsi="Cambria" w:cs="Calibri"/>
          <w:color w:val="343434"/>
          <w:szCs w:val="22"/>
        </w:rPr>
      </w:pPr>
      <w:r>
        <w:rPr>
          <w:rFonts w:ascii="Cambria" w:hAnsi="Cambria"/>
          <w:szCs w:val="22"/>
        </w:rPr>
        <w:t>15.</w:t>
      </w:r>
      <w:r>
        <w:rPr>
          <w:rFonts w:ascii="Cambria" w:hAnsi="Cambria"/>
          <w:szCs w:val="22"/>
        </w:rPr>
        <w:tab/>
      </w:r>
      <w:r w:rsidR="00804A14" w:rsidRPr="00EA7659">
        <w:rPr>
          <w:rFonts w:ascii="Cambria" w:hAnsi="Cambria"/>
          <w:szCs w:val="22"/>
        </w:rPr>
        <w:t>According to the National Statistical Office’s survey in February 2015, Thailand’s labor force was 38.52 million; 37.93 million of which were employed: 0.32 million of which were unemployed (accounted for 0.82% unemployment rate): 0.27 million of which were seasonally inactive labor force.</w:t>
      </w:r>
      <w:r w:rsidR="00804A14" w:rsidRPr="00EA7659">
        <w:rPr>
          <w:rStyle w:val="FootnoteReference"/>
          <w:rFonts w:ascii="Cambria" w:hAnsi="Cambria"/>
          <w:sz w:val="22"/>
          <w:szCs w:val="22"/>
        </w:rPr>
        <w:footnoteReference w:id="8"/>
      </w:r>
      <w:r w:rsidR="00804A14" w:rsidRPr="00EA7659">
        <w:rPr>
          <w:rFonts w:ascii="Cambria" w:hAnsi="Cambria"/>
          <w:szCs w:val="22"/>
        </w:rPr>
        <w:t xml:space="preserve"> Thailand has 22.1 million informal workers which are accounted for 62.3% and 37.7% or 14.6 million workers are in the formal sector (data from 2010). From 2005 to 2009, there was a continuous increase in the informal sector, rising </w:t>
      </w:r>
      <w:r w:rsidR="00804A14" w:rsidRPr="003213AC">
        <w:rPr>
          <w:rFonts w:ascii="Cambria" w:eastAsiaTheme="minorEastAsia" w:hAnsi="Cambria" w:cs="Calibri"/>
          <w:color w:val="343434"/>
          <w:szCs w:val="22"/>
        </w:rPr>
        <w:t>from 22.5 million workers in 2005 to 24.1 million workers in 2009.</w:t>
      </w:r>
      <w:r w:rsidR="00804A14" w:rsidRPr="003213AC">
        <w:rPr>
          <w:rFonts w:eastAsiaTheme="minorEastAsia" w:cs="Calibri"/>
          <w:color w:val="343434"/>
        </w:rPr>
        <w:footnoteReference w:id="9"/>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16.</w:t>
      </w:r>
      <w:r w:rsidRPr="00EA7659">
        <w:rPr>
          <w:rFonts w:ascii="Cambria" w:hAnsi="Cambria"/>
          <w:szCs w:val="22"/>
        </w:rPr>
        <w:tab/>
        <w:t>Thailand’s labor protection laws include Labor Protection Act 1998, Social Security Act 1990, Workmen’s Compensation Act 1994, and Establishment of Labor Court and Labor Court Procedure Act 1979. Generally, the laws do not follow the ILO convention and are impractical, failing to protect rights of labor. For example, there are abolition of labor unions, insecure employment resulting from temporary employment, contract and agency labor. Moreover, there are mandatory overtime and cuts of work hours which affect income and security of employment.</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lastRenderedPageBreak/>
        <w:t>17.</w:t>
      </w:r>
      <w:r w:rsidRPr="00EA7659">
        <w:rPr>
          <w:rFonts w:ascii="Cambria" w:hAnsi="Cambria"/>
          <w:szCs w:val="22"/>
        </w:rPr>
        <w:tab/>
        <w:t>Subcontract work has been problematic for labor, especially after the Supreme Court Judgment No. 22326-22404/2555 on rights of subcontractors. According to Section 11/1 of the Labor Protection Act 1998, independent subcontractors enjoy the same employment rights as employees. Subcontractors must receive wage, benefit, and welfare the same as employees without discrimination. However, in practice, subcontractors do not receive expense of living, food, transportation, social security, bonus, etc. The employer hires subcontractors and employees in different production line to circumvent the law.</w:t>
      </w:r>
      <w:r w:rsidRPr="00EA7659">
        <w:rPr>
          <w:rStyle w:val="FootnoteReference"/>
          <w:rFonts w:ascii="Cambria" w:hAnsi="Cambria"/>
          <w:sz w:val="22"/>
          <w:szCs w:val="22"/>
        </w:rPr>
        <w:footnoteReference w:id="10"/>
      </w:r>
      <w:r w:rsidRPr="00EA7659">
        <w:rPr>
          <w:rFonts w:ascii="Cambria" w:hAnsi="Cambria"/>
          <w:szCs w:val="22"/>
        </w:rPr>
        <w:t xml:space="preserve"> Subcontractors cannot join labor unions due to widespread subcontract hire. Thailand Development Research Institute’s research report shows that subcontractors do not receive dismissal pay and there is still no Thai subcontractors statistics.</w:t>
      </w:r>
      <w:r w:rsidRPr="00EA7659">
        <w:rPr>
          <w:rStyle w:val="FootnoteReference"/>
          <w:rFonts w:ascii="Cambria" w:hAnsi="Cambria"/>
          <w:sz w:val="22"/>
          <w:szCs w:val="22"/>
        </w:rPr>
        <w:footnoteReference w:id="11"/>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18.</w:t>
      </w:r>
      <w:r w:rsidRPr="00EA7659">
        <w:rPr>
          <w:rFonts w:ascii="Cambria" w:hAnsi="Cambria"/>
          <w:szCs w:val="22"/>
        </w:rPr>
        <w:tab/>
        <w:t>Comparing with 2013, the informal sector generally decreases by 0.3 million (from 25.1 million to 22.1 million). Informal workers are accounted for 57.6% while 16.3 million formal workers are accounted for 42.4%. Most informal workers work in an agricultural sector (12.5 million people), a goods and services sector (7.2 million people), and a production sector (2.4 million people). Problems of informal workers include injury or accident at work. There are 3.9 million informal workers out of 22.1 million that have workplace accidents, resulting in lack of income and burden of medical treatment costs that are not covered by government’s universal health care coverage service. Moreover, informal workers encounter problems of wages, hard work, inconsistent employment, lack of welfare and vacation, unusual work hours, too long work hours, etc. Problems of workplace environment mostly result from poisonous chemicals, dangerous tools and machines.</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19.</w:t>
      </w:r>
      <w:r w:rsidRPr="00EA7659">
        <w:rPr>
          <w:rFonts w:ascii="Cambria" w:hAnsi="Cambria"/>
          <w:szCs w:val="22"/>
        </w:rPr>
        <w:tab/>
        <w:t>The Home-Based Workers Protection Act 2010 is valid on May 15, 2011 in order to protect home-based labor rights of fair wage, health and security insurance, dangerous work notification, medical care and funeral expenses. It also establishes the Committee for the Protection of Homeworkers. However, the act is not yet enforced due to the government sector’s slow process of setting up the committee.</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20.</w:t>
      </w:r>
      <w:r w:rsidRPr="00EA7659">
        <w:rPr>
          <w:rFonts w:ascii="Cambria" w:hAnsi="Cambria"/>
          <w:szCs w:val="22"/>
        </w:rPr>
        <w:tab/>
        <w:t>Data on February 27, 2015 from the Office of Foreign Workers Administration indicates that there are 1,626,235 million migrant workers registered at one-stop-service migrant worker registration centers. 1,533,764 of which are migrant workers and 92,560 of which are followers. 311,356 people have proved their citizenships which are 1,639 Myanmar workers, 14,262 Lao workers, and 96,020 Cambodian workers. Migrant workers from Myanmar, Cambodia, and Laos can only work as laborers and house servants.</w:t>
      </w:r>
    </w:p>
    <w:p w:rsidR="00044D81" w:rsidRDefault="00044D81">
      <w:pPr>
        <w:spacing w:after="200" w:line="276" w:lineRule="auto"/>
        <w:rPr>
          <w:rFonts w:ascii="Cambria" w:eastAsia="Arial" w:hAnsi="Cambria" w:cs="Arial"/>
          <w:color w:val="000000"/>
          <w:sz w:val="22"/>
          <w:szCs w:val="22"/>
        </w:rPr>
      </w:pPr>
      <w:r>
        <w:rPr>
          <w:rFonts w:ascii="Cambria" w:hAnsi="Cambria"/>
          <w:szCs w:val="22"/>
        </w:rPr>
        <w:br w:type="page"/>
      </w:r>
    </w:p>
    <w:p w:rsidR="003213AC" w:rsidRDefault="00804A14" w:rsidP="008705F1">
      <w:pPr>
        <w:pStyle w:val="Normal1"/>
        <w:spacing w:after="400" w:line="240" w:lineRule="auto"/>
        <w:ind w:firstLine="720"/>
        <w:jc w:val="thaiDistribute"/>
        <w:rPr>
          <w:rFonts w:ascii="Cambria" w:eastAsiaTheme="minorEastAsia" w:hAnsi="Cambria" w:cs="Calibri"/>
          <w:color w:val="343434"/>
          <w:szCs w:val="22"/>
        </w:rPr>
      </w:pPr>
      <w:r w:rsidRPr="00EA7659">
        <w:rPr>
          <w:rFonts w:ascii="Cambria" w:hAnsi="Cambria"/>
          <w:szCs w:val="22"/>
        </w:rPr>
        <w:lastRenderedPageBreak/>
        <w:t>Since 1996, migrant worker registration process is done by issuing cabinet resolutions for the legal registration of illegal workforce.</w:t>
      </w:r>
      <w:r w:rsidRPr="00EA7659">
        <w:rPr>
          <w:rStyle w:val="FootnoteReference"/>
          <w:rFonts w:ascii="Cambria" w:hAnsi="Cambria"/>
          <w:sz w:val="22"/>
          <w:szCs w:val="22"/>
        </w:rPr>
        <w:footnoteReference w:id="12"/>
      </w:r>
      <w:r w:rsidRPr="00EA7659">
        <w:rPr>
          <w:rFonts w:ascii="Cambria" w:hAnsi="Cambria"/>
          <w:szCs w:val="22"/>
        </w:rPr>
        <w:t xml:space="preserve"> Later, registered illegal workers were less than the unregistered ones and illegal employment led to problems of labor security, compensation, and labor rights based on labor protection laws</w:t>
      </w:r>
    </w:p>
    <w:p w:rsidR="003213AC" w:rsidRDefault="00804A14" w:rsidP="008705F1">
      <w:pPr>
        <w:pStyle w:val="Normal1"/>
        <w:spacing w:after="400" w:line="240" w:lineRule="auto"/>
        <w:ind w:firstLine="720"/>
        <w:jc w:val="thaiDistribute"/>
        <w:rPr>
          <w:rFonts w:ascii="Cambria" w:eastAsiaTheme="minorEastAsia" w:hAnsi="Cambria" w:cs="Calibri"/>
          <w:color w:val="343434"/>
          <w:szCs w:val="22"/>
        </w:rPr>
      </w:pPr>
      <w:r w:rsidRPr="00EA7659">
        <w:rPr>
          <w:rFonts w:ascii="Cambria" w:hAnsi="Cambria"/>
          <w:szCs w:val="22"/>
        </w:rPr>
        <w:t>The Thai government then established MoUs on migrant workers with three neighboring countries: Cambodia and Laos in 2002 and 2003, Myanmar in 2010. Formal migrant workers will be eligible for social welfare, healthcare right, and other benefits, same as Thai labor and former illegal workers who pass the nationality verification. It was in use since 2004 for Lao and Cambodian workers, and since 2009 for Cambodian and Myanmar workers. Apart from the three nationalities, other migrant workers are Filipino, Vietnamese, and Rohingya. Some of them have resided in Thailand while some have migrated to the country due to economic and political reasons.</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21.</w:t>
      </w:r>
      <w:r w:rsidRPr="00EA7659">
        <w:rPr>
          <w:rFonts w:ascii="Cambria" w:hAnsi="Cambria"/>
          <w:szCs w:val="22"/>
        </w:rPr>
        <w:tab/>
        <w:t>Thailand has over 2 million workers without work permit who may or may not have temporary resident documents. This is because employers do not take the workers to register, verify their nationalities, or do not legally import migrant workers, and also because of lax law enforcement and fines for unregistered worker. If these workers are arrested, they are likely to be sent to countries of origin, held in detention by employers, extorted, exploited, paid under minimum wage, and they need to have a covert life and may become a slave.</w:t>
      </w:r>
      <w:r w:rsidRPr="00EA7659">
        <w:rPr>
          <w:rStyle w:val="FootnoteReference"/>
          <w:rFonts w:ascii="Cambria" w:hAnsi="Cambria"/>
          <w:sz w:val="22"/>
          <w:szCs w:val="22"/>
        </w:rPr>
        <w:footnoteReference w:id="13"/>
      </w:r>
      <w:r w:rsidRPr="00EA7659">
        <w:rPr>
          <w:rFonts w:ascii="Cambria" w:hAnsi="Cambria"/>
          <w:szCs w:val="22"/>
        </w:rPr>
        <w:t xml:space="preserve"> If no one reports to the police for rescue, it is difficult to find this “underground” labor issue.</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22.</w:t>
      </w:r>
      <w:r w:rsidRPr="00EA7659">
        <w:rPr>
          <w:rFonts w:ascii="Cambria" w:hAnsi="Cambria"/>
          <w:szCs w:val="22"/>
        </w:rPr>
        <w:tab/>
        <w:t>Yingluck’s government faced problem of workers with expired visas who needed to return to countries of origin. This resulted in uncertainty of policy on these migrant workers.</w:t>
      </w:r>
      <w:r w:rsidRPr="00EA7659">
        <w:rPr>
          <w:rStyle w:val="FootnoteReference"/>
          <w:rFonts w:ascii="Cambria" w:hAnsi="Cambria"/>
          <w:sz w:val="22"/>
          <w:szCs w:val="22"/>
        </w:rPr>
        <w:footnoteReference w:id="14"/>
      </w:r>
      <w:r w:rsidRPr="00EA7659">
        <w:rPr>
          <w:rFonts w:ascii="Cambria" w:hAnsi="Cambria"/>
          <w:szCs w:val="22"/>
        </w:rPr>
        <w:t xml:space="preserve"> During this time, expenses of legal employment and nationality verification were </w:t>
      </w:r>
      <w:r w:rsidRPr="00EA7659">
        <w:rPr>
          <w:rFonts w:ascii="Cambria" w:hAnsi="Cambria"/>
          <w:szCs w:val="22"/>
        </w:rPr>
        <w:lastRenderedPageBreak/>
        <w:t>still high, resulting in debts of some migrant workers. Their wages were cut in order to pay back their debts.</w:t>
      </w:r>
      <w:r w:rsidRPr="00EA7659">
        <w:rPr>
          <w:rStyle w:val="FootnoteReference"/>
          <w:rFonts w:ascii="Cambria" w:hAnsi="Cambria"/>
          <w:sz w:val="22"/>
          <w:szCs w:val="22"/>
        </w:rPr>
        <w:footnoteReference w:id="15"/>
      </w:r>
      <w:r w:rsidRPr="00EA7659">
        <w:rPr>
          <w:rFonts w:ascii="Cambria" w:hAnsi="Cambria"/>
          <w:szCs w:val="22"/>
        </w:rPr>
        <w:t xml:space="preserve"> Yet, the NCPO seized power before the problem could be tackled.</w:t>
      </w:r>
    </w:p>
    <w:p w:rsid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23.</w:t>
      </w:r>
      <w:r w:rsidRPr="00EA7659">
        <w:rPr>
          <w:rFonts w:ascii="Cambria" w:hAnsi="Cambria"/>
          <w:szCs w:val="22"/>
        </w:rPr>
        <w:tab/>
        <w:t>After the NCPO seized power, there was uncertainty of policy on illegal migrant workers and those with expired visas. Migrants were also fear of the NCPO’s policy and crackdown</w:t>
      </w:r>
      <w:r w:rsidRPr="00EA7659">
        <w:rPr>
          <w:rStyle w:val="FootnoteReference"/>
          <w:rFonts w:ascii="Cambria" w:hAnsi="Cambria"/>
          <w:sz w:val="22"/>
          <w:szCs w:val="22"/>
        </w:rPr>
        <w:footnoteReference w:id="16"/>
      </w:r>
      <w:r w:rsidRPr="00EA7659">
        <w:rPr>
          <w:rFonts w:ascii="Cambria" w:hAnsi="Cambria"/>
          <w:szCs w:val="22"/>
        </w:rPr>
        <w:t>, over 250,000 Cambodian workers have returned to Cambodia.</w:t>
      </w:r>
      <w:r w:rsidRPr="00EA7659">
        <w:rPr>
          <w:rStyle w:val="FootnoteReference"/>
          <w:rFonts w:ascii="Cambria" w:hAnsi="Cambria"/>
          <w:sz w:val="22"/>
          <w:szCs w:val="22"/>
        </w:rPr>
        <w:footnoteReference w:id="17"/>
      </w:r>
      <w:r w:rsidRPr="00EA7659">
        <w:rPr>
          <w:rFonts w:ascii="Cambria" w:hAnsi="Cambria"/>
          <w:szCs w:val="22"/>
        </w:rPr>
        <w:t>Later, the NCPO issued a temporary order No. 68/2557 Subject: Urgent Interim Measures to Prevent and Suppress Human Trafficking and Solve Problems pertaining to Migrant Workers, Phase One to abate the problem.</w:t>
      </w:r>
    </w:p>
    <w:p w:rsidR="00804A14" w:rsidRPr="003213AC" w:rsidRDefault="00804A14" w:rsidP="008705F1">
      <w:pPr>
        <w:pStyle w:val="Normal1"/>
        <w:spacing w:after="400" w:line="240" w:lineRule="auto"/>
        <w:jc w:val="thaiDistribute"/>
        <w:rPr>
          <w:rFonts w:ascii="Cambria" w:eastAsiaTheme="minorEastAsia" w:hAnsi="Cambria" w:cs="Calibri"/>
          <w:color w:val="343434"/>
          <w:szCs w:val="22"/>
        </w:rPr>
      </w:pPr>
      <w:r w:rsidRPr="00EA7659">
        <w:rPr>
          <w:rFonts w:ascii="Cambria" w:hAnsi="Cambria"/>
          <w:szCs w:val="22"/>
        </w:rPr>
        <w:t>24.</w:t>
      </w:r>
      <w:r w:rsidRPr="00EA7659">
        <w:rPr>
          <w:rFonts w:ascii="Cambria" w:hAnsi="Cambria"/>
          <w:szCs w:val="22"/>
        </w:rPr>
        <w:tab/>
        <w:t>Exploitation of migrant workers is still rife. For example, migrant workers face unfair layoffs and unfair wages. Their wages are illegally cut because of national verification fees and employment fees for MoU workers.</w:t>
      </w:r>
    </w:p>
    <w:p w:rsidR="007A1FAD" w:rsidRPr="00EA7659" w:rsidRDefault="00804A14" w:rsidP="00804A14">
      <w:pPr>
        <w:pStyle w:val="Normal1"/>
        <w:rPr>
          <w:rFonts w:ascii="Cambria" w:hAnsi="Cambria"/>
          <w:szCs w:val="22"/>
        </w:rPr>
      </w:pPr>
      <w:r w:rsidRPr="00EA7659">
        <w:rPr>
          <w:rFonts w:ascii="Cambria" w:hAnsi="Cambria"/>
          <w:b/>
          <w:szCs w:val="22"/>
        </w:rPr>
        <w:t>Recommendations:</w:t>
      </w:r>
    </w:p>
    <w:p w:rsidR="00804A14" w:rsidRPr="00EA7659" w:rsidRDefault="00804A14" w:rsidP="008705F1">
      <w:pPr>
        <w:pStyle w:val="Normal1"/>
        <w:numPr>
          <w:ilvl w:val="0"/>
          <w:numId w:val="2"/>
        </w:numPr>
        <w:ind w:hanging="360"/>
        <w:contextualSpacing/>
        <w:jc w:val="thaiDistribute"/>
        <w:rPr>
          <w:rFonts w:ascii="Cambria" w:hAnsi="Cambria"/>
          <w:szCs w:val="22"/>
        </w:rPr>
      </w:pPr>
      <w:r w:rsidRPr="00EA7659">
        <w:rPr>
          <w:rFonts w:ascii="Cambria" w:hAnsi="Cambria"/>
          <w:szCs w:val="22"/>
        </w:rPr>
        <w:t>The government must ensure that subcontractors and informal workers will be eligible for employment protection, dismissal pay, and welfare as same as formal workers in order to prevent employers from using informal employment to undermine negotiation power of workers.</w:t>
      </w:r>
    </w:p>
    <w:p w:rsidR="00804A14" w:rsidRPr="00EA7659" w:rsidRDefault="00804A14" w:rsidP="00804A14">
      <w:pPr>
        <w:pStyle w:val="Normal1"/>
        <w:numPr>
          <w:ilvl w:val="0"/>
          <w:numId w:val="2"/>
        </w:numPr>
        <w:ind w:hanging="360"/>
        <w:contextualSpacing/>
        <w:rPr>
          <w:rFonts w:ascii="Cambria" w:hAnsi="Cambria"/>
          <w:szCs w:val="22"/>
        </w:rPr>
      </w:pPr>
      <w:r w:rsidRPr="00EA7659">
        <w:rPr>
          <w:rFonts w:ascii="Cambria" w:hAnsi="Cambria"/>
          <w:szCs w:val="22"/>
        </w:rPr>
        <w:t>The government must amend laws to protect labor.</w:t>
      </w:r>
    </w:p>
    <w:p w:rsidR="00804A14" w:rsidRPr="00EA7659" w:rsidRDefault="00804A14" w:rsidP="008705F1">
      <w:pPr>
        <w:pStyle w:val="Normal1"/>
        <w:numPr>
          <w:ilvl w:val="0"/>
          <w:numId w:val="2"/>
        </w:numPr>
        <w:ind w:hanging="360"/>
        <w:contextualSpacing/>
        <w:jc w:val="thaiDistribute"/>
        <w:rPr>
          <w:rFonts w:ascii="Cambria" w:hAnsi="Cambria"/>
          <w:szCs w:val="22"/>
        </w:rPr>
      </w:pPr>
      <w:r w:rsidRPr="00EA7659">
        <w:rPr>
          <w:rFonts w:ascii="Cambria" w:hAnsi="Cambria"/>
          <w:szCs w:val="22"/>
        </w:rPr>
        <w:t>The government allows migrant workers to register as free worker and to be in more occupations such as interpreter, officials of public health for aliens, and self-employed entrepreneur.</w:t>
      </w:r>
    </w:p>
    <w:p w:rsidR="00804A14" w:rsidRPr="00EA7659" w:rsidRDefault="00804A14" w:rsidP="008705F1">
      <w:pPr>
        <w:pStyle w:val="Normal1"/>
        <w:numPr>
          <w:ilvl w:val="0"/>
          <w:numId w:val="2"/>
        </w:numPr>
        <w:ind w:hanging="360"/>
        <w:contextualSpacing/>
        <w:jc w:val="thaiDistribute"/>
        <w:rPr>
          <w:rFonts w:ascii="Cambria" w:hAnsi="Cambria"/>
          <w:szCs w:val="22"/>
        </w:rPr>
      </w:pPr>
      <w:r w:rsidRPr="00EA7659">
        <w:rPr>
          <w:rFonts w:ascii="Cambria" w:hAnsi="Cambria"/>
          <w:szCs w:val="22"/>
        </w:rPr>
        <w:t>The government must control migrant worker broker business by limiting employment fees at an appropriate rate and strictly prohibit employers from illegally charging workers for employment fees.</w:t>
      </w:r>
    </w:p>
    <w:p w:rsidR="00804A14" w:rsidRPr="00EA7659" w:rsidRDefault="00804A14" w:rsidP="008705F1">
      <w:pPr>
        <w:pStyle w:val="Normal1"/>
        <w:numPr>
          <w:ilvl w:val="0"/>
          <w:numId w:val="2"/>
        </w:numPr>
        <w:ind w:hanging="360"/>
        <w:contextualSpacing/>
        <w:jc w:val="thaiDistribute"/>
        <w:rPr>
          <w:rFonts w:ascii="Cambria" w:hAnsi="Cambria"/>
          <w:szCs w:val="22"/>
        </w:rPr>
      </w:pPr>
      <w:r w:rsidRPr="00EA7659">
        <w:rPr>
          <w:rFonts w:ascii="Cambria" w:hAnsi="Cambria"/>
          <w:szCs w:val="22"/>
        </w:rPr>
        <w:t>The government must take action on registering unregistered or illegal migrant workers by granting access to nationality verification to workers and strictly enforce law on employers who illegally import labor.</w:t>
      </w:r>
    </w:p>
    <w:p w:rsidR="00804A14" w:rsidRPr="00EA7659" w:rsidRDefault="00804A14" w:rsidP="00804A14">
      <w:pPr>
        <w:pStyle w:val="Normal1"/>
        <w:rPr>
          <w:rFonts w:ascii="Cambria" w:hAnsi="Cambria"/>
          <w:szCs w:val="22"/>
        </w:rPr>
      </w:pPr>
    </w:p>
    <w:p w:rsidR="00804A14" w:rsidRPr="00EA7659" w:rsidRDefault="00804A14" w:rsidP="00804A14">
      <w:pPr>
        <w:pStyle w:val="Normal1"/>
        <w:rPr>
          <w:rFonts w:ascii="Cambria" w:hAnsi="Cambria"/>
          <w:szCs w:val="22"/>
        </w:rPr>
      </w:pPr>
    </w:p>
    <w:p w:rsidR="00044D81" w:rsidRDefault="00044D81">
      <w:pPr>
        <w:spacing w:after="200" w:line="276" w:lineRule="auto"/>
        <w:rPr>
          <w:rFonts w:ascii="Cambria" w:eastAsia="Arial" w:hAnsi="Cambria" w:cs="Arial"/>
          <w:b/>
          <w:color w:val="000000"/>
          <w:sz w:val="22"/>
          <w:szCs w:val="22"/>
          <w:u w:val="single"/>
        </w:rPr>
      </w:pPr>
      <w:r>
        <w:rPr>
          <w:rFonts w:ascii="Cambria" w:hAnsi="Cambria"/>
          <w:b/>
          <w:szCs w:val="22"/>
          <w:u w:val="single"/>
        </w:rPr>
        <w:br w:type="page"/>
      </w:r>
    </w:p>
    <w:p w:rsidR="00804A14" w:rsidRPr="00EA7659" w:rsidRDefault="00804A14" w:rsidP="00804A14">
      <w:pPr>
        <w:pStyle w:val="Normal1"/>
        <w:rPr>
          <w:rFonts w:ascii="Cambria" w:hAnsi="Cambria"/>
          <w:szCs w:val="22"/>
        </w:rPr>
      </w:pPr>
      <w:r w:rsidRPr="00EA7659">
        <w:rPr>
          <w:rFonts w:ascii="Cambria" w:hAnsi="Cambria"/>
          <w:b/>
          <w:szCs w:val="22"/>
          <w:u w:val="single"/>
        </w:rPr>
        <w:lastRenderedPageBreak/>
        <w:t>Section 7 Minimum Wage</w:t>
      </w:r>
    </w:p>
    <w:p w:rsidR="00804A14" w:rsidRPr="00EA7659" w:rsidRDefault="00804A14" w:rsidP="00804A14">
      <w:pPr>
        <w:pStyle w:val="Normal1"/>
        <w:rPr>
          <w:rFonts w:ascii="Cambria" w:hAnsi="Cambria"/>
          <w:szCs w:val="22"/>
        </w:rPr>
      </w:pPr>
    </w:p>
    <w:p w:rsidR="00804A14" w:rsidRPr="00EA7659" w:rsidRDefault="003213AC" w:rsidP="008705F1">
      <w:pPr>
        <w:pStyle w:val="Normal1"/>
        <w:spacing w:after="400" w:line="240" w:lineRule="auto"/>
        <w:jc w:val="thaiDistribute"/>
        <w:rPr>
          <w:rFonts w:ascii="Cambria" w:hAnsi="Cambria"/>
          <w:szCs w:val="22"/>
        </w:rPr>
      </w:pPr>
      <w:r>
        <w:rPr>
          <w:rFonts w:ascii="Cambria" w:hAnsi="Cambria"/>
          <w:szCs w:val="22"/>
        </w:rPr>
        <w:t>25.</w:t>
      </w:r>
      <w:r>
        <w:rPr>
          <w:rFonts w:ascii="Cambria" w:hAnsi="Cambria"/>
          <w:szCs w:val="22"/>
        </w:rPr>
        <w:tab/>
      </w:r>
      <w:r w:rsidR="00804A14" w:rsidRPr="00EA7659">
        <w:rPr>
          <w:rFonts w:ascii="Cambria" w:hAnsi="Cambria"/>
          <w:szCs w:val="22"/>
        </w:rPr>
        <w:t>Current Thailand’s national minimum wage is 300 baht per day. Minimum overtime pay is 56 baht per hour. The minimum wage is inconsistent with 106.02% inflation rate, resulting in low life quality of low-paid Thai labor. Since most workers need to work more than eight hours a day to make a living, the Textile, Garment and Leather Workers Federation of Thailand (TWFT) together with labour unions from Rangsit and adjacent areas propose that the minimum wage should be 426 baht per day. The wage should be able to support three members of a family</w:t>
      </w:r>
      <w:r w:rsidR="00804A14" w:rsidRPr="00EA7659">
        <w:rPr>
          <w:rStyle w:val="FootnoteReference"/>
          <w:rFonts w:ascii="Cambria" w:hAnsi="Cambria"/>
          <w:sz w:val="22"/>
          <w:szCs w:val="22"/>
        </w:rPr>
        <w:footnoteReference w:id="18"/>
      </w:r>
      <w:r w:rsidR="00804A14" w:rsidRPr="00EA7659">
        <w:rPr>
          <w:rFonts w:ascii="Cambria" w:hAnsi="Cambria"/>
          <w:szCs w:val="22"/>
        </w:rPr>
        <w:t>, according to the principle of the ILO. If the minimum wage is less than 426 baht, welfare for the underprivileged. Due to higher cost of living, farmers and menial workers have to live in poverty. Food and beverage price index in January 2015 is at 113.03, decreasing by 0.14% since December but increasing by 2.34% since last year, while there is no rise in minimum wage.</w:t>
      </w:r>
      <w:r w:rsidR="00804A14" w:rsidRPr="00EA7659">
        <w:rPr>
          <w:rStyle w:val="FootnoteReference"/>
          <w:rFonts w:ascii="Cambria" w:hAnsi="Cambria"/>
          <w:sz w:val="22"/>
          <w:szCs w:val="22"/>
        </w:rPr>
        <w:footnoteReference w:id="19"/>
      </w:r>
    </w:p>
    <w:p w:rsidR="00804A14" w:rsidRPr="00EA7659" w:rsidRDefault="00804A14" w:rsidP="00804A14">
      <w:pPr>
        <w:pStyle w:val="Normal1"/>
        <w:rPr>
          <w:rFonts w:ascii="Cambria" w:hAnsi="Cambria"/>
          <w:szCs w:val="22"/>
        </w:rPr>
      </w:pPr>
      <w:r w:rsidRPr="00EA7659">
        <w:rPr>
          <w:rFonts w:ascii="Cambria" w:hAnsi="Cambria"/>
          <w:b/>
          <w:szCs w:val="22"/>
        </w:rPr>
        <w:t>Recommendations:</w:t>
      </w:r>
    </w:p>
    <w:p w:rsidR="00804A14" w:rsidRPr="00EA7659" w:rsidRDefault="00804A14" w:rsidP="008705F1">
      <w:pPr>
        <w:pStyle w:val="Normal1"/>
        <w:numPr>
          <w:ilvl w:val="0"/>
          <w:numId w:val="1"/>
        </w:numPr>
        <w:ind w:hanging="360"/>
        <w:contextualSpacing/>
        <w:jc w:val="thaiDistribute"/>
        <w:rPr>
          <w:rFonts w:ascii="Cambria" w:hAnsi="Cambria"/>
          <w:szCs w:val="22"/>
        </w:rPr>
      </w:pPr>
      <w:r w:rsidRPr="00EA7659">
        <w:rPr>
          <w:rFonts w:ascii="Cambria" w:hAnsi="Cambria"/>
          <w:szCs w:val="22"/>
        </w:rPr>
        <w:t>The government must adjust minimum wage so that it is consistent with cost of living and inflation rate and gradually increase minimum wage to meet the ILO’s adequate living wage.</w:t>
      </w:r>
    </w:p>
    <w:p w:rsidR="00804A14" w:rsidRPr="00EA7659" w:rsidRDefault="00804A14" w:rsidP="003213AC">
      <w:pPr>
        <w:pStyle w:val="Normal1"/>
        <w:numPr>
          <w:ilvl w:val="0"/>
          <w:numId w:val="1"/>
        </w:numPr>
        <w:spacing w:after="400"/>
        <w:ind w:left="714" w:hanging="357"/>
        <w:contextualSpacing/>
        <w:rPr>
          <w:rFonts w:ascii="Cambria" w:hAnsi="Cambria"/>
          <w:szCs w:val="22"/>
        </w:rPr>
      </w:pPr>
      <w:r w:rsidRPr="00EA7659">
        <w:rPr>
          <w:rFonts w:ascii="Cambria" w:hAnsi="Cambria"/>
          <w:szCs w:val="22"/>
        </w:rPr>
        <w:t>The government must have effective cost of living support measures for low-income population.</w:t>
      </w:r>
    </w:p>
    <w:p w:rsidR="00804A14" w:rsidRDefault="00804A14" w:rsidP="00804A14">
      <w:pPr>
        <w:pStyle w:val="Normal1"/>
        <w:rPr>
          <w:rFonts w:ascii="Cambria" w:hAnsi="Cambria"/>
          <w:szCs w:val="22"/>
        </w:rPr>
      </w:pPr>
    </w:p>
    <w:p w:rsidR="00044D81" w:rsidRPr="00EA7659" w:rsidRDefault="00044D81" w:rsidP="00804A14">
      <w:pPr>
        <w:pStyle w:val="Normal1"/>
        <w:rPr>
          <w:rFonts w:ascii="Cambria" w:hAnsi="Cambria"/>
          <w:szCs w:val="22"/>
        </w:rPr>
      </w:pPr>
    </w:p>
    <w:p w:rsidR="00EA7659" w:rsidRPr="00EA7659" w:rsidRDefault="00EA7659" w:rsidP="00044D81">
      <w:pPr>
        <w:spacing w:after="200" w:line="276" w:lineRule="auto"/>
        <w:rPr>
          <w:rFonts w:ascii="Cambria" w:hAnsi="Cambria"/>
          <w:b/>
          <w:sz w:val="22"/>
          <w:szCs w:val="22"/>
          <w:u w:val="single"/>
        </w:rPr>
      </w:pPr>
      <w:r w:rsidRPr="00EA7659">
        <w:rPr>
          <w:rFonts w:ascii="Cambria" w:hAnsi="Cambria"/>
          <w:b/>
          <w:sz w:val="22"/>
          <w:szCs w:val="22"/>
          <w:u w:val="single"/>
        </w:rPr>
        <w:t>Article 8 Labor Union and Collective Bargaining</w:t>
      </w:r>
    </w:p>
    <w:p w:rsidR="00EA7659" w:rsidRPr="00EA7659" w:rsidRDefault="00EA7659" w:rsidP="00EA7659">
      <w:pPr>
        <w:jc w:val="both"/>
        <w:rPr>
          <w:rFonts w:ascii="Cambria" w:hAnsi="Cambria"/>
          <w:sz w:val="22"/>
          <w:szCs w:val="22"/>
        </w:rPr>
      </w:pPr>
    </w:p>
    <w:p w:rsidR="003213AC" w:rsidRDefault="007A1FAD" w:rsidP="003213AC">
      <w:pPr>
        <w:spacing w:after="400"/>
        <w:jc w:val="both"/>
        <w:rPr>
          <w:rFonts w:ascii="Cambria" w:hAnsi="Cambria"/>
          <w:sz w:val="22"/>
          <w:szCs w:val="22"/>
        </w:rPr>
      </w:pPr>
      <w:r>
        <w:rPr>
          <w:rFonts w:ascii="Cambria" w:hAnsi="Cambria"/>
          <w:sz w:val="22"/>
          <w:szCs w:val="22"/>
        </w:rPr>
        <w:t>26.</w:t>
      </w:r>
      <w:r>
        <w:rPr>
          <w:rFonts w:ascii="Cambria" w:hAnsi="Cambria"/>
          <w:sz w:val="22"/>
          <w:szCs w:val="22"/>
        </w:rPr>
        <w:tab/>
      </w:r>
      <w:r w:rsidR="00EA7659" w:rsidRPr="00EA7659">
        <w:rPr>
          <w:rFonts w:ascii="Cambria" w:hAnsi="Cambria"/>
          <w:sz w:val="22"/>
          <w:szCs w:val="22"/>
        </w:rPr>
        <w:t>Threatening labor unions have widely occurred.  At least members of 10 unions</w:t>
      </w:r>
      <w:r w:rsidR="00EA7659" w:rsidRPr="00EA7659">
        <w:rPr>
          <w:rStyle w:val="FootnoteReference"/>
          <w:rFonts w:ascii="Cambria" w:hAnsi="Cambria"/>
          <w:sz w:val="22"/>
          <w:szCs w:val="22"/>
        </w:rPr>
        <w:footnoteReference w:id="20"/>
      </w:r>
      <w:r w:rsidR="00EA7659" w:rsidRPr="00EA7659">
        <w:rPr>
          <w:rFonts w:ascii="Cambria" w:hAnsi="Cambria"/>
          <w:sz w:val="22"/>
          <w:szCs w:val="22"/>
        </w:rPr>
        <w:t>were laid off by particular reasons such as change of working conditions that become unfair for employees, especially for members of labor unions, dismissing employment or stop paying wages by claiming that these employees did not fulfill their duty and that they are creating friction within the company.</w:t>
      </w:r>
    </w:p>
    <w:p w:rsidR="003213AC" w:rsidRDefault="007A1FAD" w:rsidP="003213AC">
      <w:pPr>
        <w:spacing w:after="400"/>
        <w:jc w:val="both"/>
        <w:rPr>
          <w:rFonts w:ascii="Cambria" w:hAnsi="Cambria"/>
          <w:sz w:val="22"/>
          <w:szCs w:val="22"/>
        </w:rPr>
      </w:pPr>
      <w:r>
        <w:rPr>
          <w:rFonts w:ascii="Cambria" w:hAnsi="Cambria"/>
          <w:sz w:val="22"/>
          <w:szCs w:val="22"/>
        </w:rPr>
        <w:t>27.</w:t>
      </w:r>
      <w:r>
        <w:rPr>
          <w:rFonts w:ascii="Cambria" w:hAnsi="Cambria"/>
          <w:sz w:val="22"/>
          <w:szCs w:val="22"/>
        </w:rPr>
        <w:tab/>
      </w:r>
      <w:r w:rsidR="00EA7659" w:rsidRPr="00EA7659">
        <w:rPr>
          <w:rFonts w:ascii="Cambria" w:hAnsi="Cambria"/>
          <w:sz w:val="22"/>
          <w:szCs w:val="22"/>
        </w:rPr>
        <w:t>Limiting the right to collective bargaining has become more evident following the coup d’état on 22 May 2014. Labor unions and several workers are not able to assemble, strike, arrange activities calling for fair wage, negotiate Collective Agreement, or pressure employers as a result of National Council for Peace and Order (NCPO)’s Announcement no. 7/2557 prohibiting political gatherings or assembly. Such legal tool has impacted calling for labor rights, collecting bargaining and right to living conditions of labors significantly.</w:t>
      </w:r>
    </w:p>
    <w:p w:rsidR="00EA7659" w:rsidRPr="00EA7659" w:rsidRDefault="007A1FAD" w:rsidP="003213AC">
      <w:pPr>
        <w:spacing w:after="400"/>
        <w:jc w:val="both"/>
        <w:rPr>
          <w:rFonts w:ascii="Cambria" w:hAnsi="Cambria"/>
          <w:sz w:val="22"/>
          <w:szCs w:val="22"/>
        </w:rPr>
      </w:pPr>
      <w:r>
        <w:rPr>
          <w:rFonts w:ascii="Cambria" w:hAnsi="Cambria"/>
          <w:sz w:val="22"/>
          <w:szCs w:val="22"/>
        </w:rPr>
        <w:lastRenderedPageBreak/>
        <w:t>28.</w:t>
      </w:r>
      <w:r>
        <w:rPr>
          <w:rFonts w:ascii="Cambria" w:hAnsi="Cambria"/>
          <w:sz w:val="22"/>
          <w:szCs w:val="22"/>
        </w:rPr>
        <w:tab/>
      </w:r>
      <w:r w:rsidR="00EA7659" w:rsidRPr="00EA7659">
        <w:rPr>
          <w:rFonts w:ascii="Cambria" w:hAnsi="Cambria"/>
          <w:sz w:val="22"/>
          <w:szCs w:val="22"/>
        </w:rPr>
        <w:t>Migrant workers still lack the right to form union, as the Thai government has not signed ILO Conventions No. 87 and 98. Labor relations law only allows migrant workers to be member of union while the ratio of migrant workers becoming members of union has remained low.</w:t>
      </w:r>
    </w:p>
    <w:p w:rsidR="007A1FAD" w:rsidRPr="00EA7659" w:rsidRDefault="007A1FAD" w:rsidP="007A1FAD">
      <w:pPr>
        <w:pStyle w:val="Normal1"/>
        <w:rPr>
          <w:rFonts w:ascii="Cambria" w:hAnsi="Cambria"/>
          <w:szCs w:val="22"/>
        </w:rPr>
      </w:pPr>
      <w:r w:rsidRPr="00EA7659">
        <w:rPr>
          <w:rFonts w:ascii="Cambria" w:hAnsi="Cambria"/>
          <w:b/>
          <w:szCs w:val="22"/>
        </w:rPr>
        <w:t>Recommendations:</w:t>
      </w:r>
    </w:p>
    <w:p w:rsidR="00EA7659" w:rsidRPr="007A1FAD" w:rsidRDefault="00EA7659" w:rsidP="007A1FAD">
      <w:pPr>
        <w:pStyle w:val="ListParagraph"/>
        <w:numPr>
          <w:ilvl w:val="0"/>
          <w:numId w:val="8"/>
        </w:numPr>
        <w:jc w:val="both"/>
        <w:rPr>
          <w:rFonts w:ascii="Cambria" w:hAnsi="Cambria"/>
          <w:sz w:val="22"/>
          <w:szCs w:val="22"/>
        </w:rPr>
      </w:pPr>
      <w:r w:rsidRPr="007A1FAD">
        <w:rPr>
          <w:rFonts w:ascii="Cambria" w:hAnsi="Cambria"/>
          <w:sz w:val="22"/>
          <w:szCs w:val="22"/>
        </w:rPr>
        <w:t>The government must amend the labor relations law in response to current forms of threats over labor unions whilethe Ministry of Labor must assist unions and members with collective bargaining, be the representative to call for the right to decent work, assist with legal counseling and reconciling to reassure that interests of unions will be on the same ground as those of the company</w:t>
      </w:r>
    </w:p>
    <w:p w:rsidR="00EA7659" w:rsidRDefault="00E372AB" w:rsidP="007A1FAD">
      <w:pPr>
        <w:pStyle w:val="ListParagraph"/>
        <w:numPr>
          <w:ilvl w:val="0"/>
          <w:numId w:val="8"/>
        </w:numPr>
        <w:jc w:val="both"/>
        <w:rPr>
          <w:rFonts w:ascii="Cambria" w:hAnsi="Cambria"/>
          <w:sz w:val="22"/>
          <w:szCs w:val="22"/>
        </w:rPr>
      </w:pPr>
      <w:r>
        <w:rPr>
          <w:rFonts w:ascii="Cambria" w:hAnsi="Cambria"/>
          <w:sz w:val="22"/>
          <w:szCs w:val="22"/>
        </w:rPr>
        <w:t>The government must</w:t>
      </w:r>
      <w:r w:rsidR="00EA7659" w:rsidRPr="007A1FAD">
        <w:rPr>
          <w:rFonts w:ascii="Cambria" w:hAnsi="Cambria"/>
          <w:sz w:val="22"/>
          <w:szCs w:val="22"/>
        </w:rPr>
        <w:t xml:space="preserve"> ILO conventions No. 87 and 98</w:t>
      </w:r>
    </w:p>
    <w:p w:rsidR="00E372AB" w:rsidRPr="007A1FAD" w:rsidRDefault="00E372AB" w:rsidP="007A1FAD">
      <w:pPr>
        <w:pStyle w:val="ListParagraph"/>
        <w:numPr>
          <w:ilvl w:val="0"/>
          <w:numId w:val="8"/>
        </w:numPr>
        <w:jc w:val="both"/>
        <w:rPr>
          <w:rFonts w:ascii="Cambria" w:hAnsi="Cambria"/>
          <w:sz w:val="22"/>
          <w:szCs w:val="22"/>
        </w:rPr>
      </w:pPr>
      <w:r>
        <w:rPr>
          <w:rFonts w:ascii="Cambria" w:hAnsi="Cambria"/>
          <w:sz w:val="22"/>
          <w:szCs w:val="22"/>
        </w:rPr>
        <w:t>Th</w:t>
      </w:r>
      <w:r w:rsidR="00473F39">
        <w:rPr>
          <w:rFonts w:ascii="Cambria" w:hAnsi="Cambria"/>
          <w:sz w:val="22"/>
          <w:szCs w:val="22"/>
        </w:rPr>
        <w:t>e government must solve problem</w:t>
      </w:r>
      <w:r>
        <w:rPr>
          <w:rFonts w:ascii="Cambria" w:hAnsi="Cambria"/>
          <w:sz w:val="22"/>
          <w:szCs w:val="22"/>
        </w:rPr>
        <w:t xml:space="preserve"> of insecure employment and obstacle of becoming member of unions</w:t>
      </w:r>
    </w:p>
    <w:p w:rsidR="00EA7659" w:rsidRPr="00EA7659" w:rsidRDefault="00EA7659" w:rsidP="00EA7659">
      <w:pPr>
        <w:jc w:val="both"/>
        <w:rPr>
          <w:rFonts w:ascii="Cambria" w:hAnsi="Cambria" w:cs="Sathu"/>
          <w:sz w:val="22"/>
          <w:szCs w:val="22"/>
        </w:rPr>
      </w:pPr>
    </w:p>
    <w:p w:rsidR="00EA7659" w:rsidRPr="00044D81" w:rsidRDefault="00EA7659" w:rsidP="00044D81">
      <w:pPr>
        <w:spacing w:after="200" w:line="276" w:lineRule="auto"/>
        <w:rPr>
          <w:rFonts w:ascii="Cambria" w:eastAsia="CordiaUPC" w:hAnsi="Cambria" w:cs="Angsana New"/>
          <w:b/>
          <w:sz w:val="22"/>
          <w:szCs w:val="22"/>
          <w:u w:val="single"/>
        </w:rPr>
      </w:pPr>
      <w:r w:rsidRPr="00044D81">
        <w:rPr>
          <w:rFonts w:ascii="Cambria" w:eastAsia="CordiaUPC" w:hAnsi="Cambria" w:cs="Angsana New"/>
          <w:b/>
          <w:sz w:val="22"/>
          <w:szCs w:val="22"/>
          <w:u w:val="single"/>
        </w:rPr>
        <w:t>Article 9 Social Security and Social Welfare</w:t>
      </w:r>
    </w:p>
    <w:p w:rsidR="003213AC" w:rsidRDefault="00EA7659" w:rsidP="003213AC">
      <w:pPr>
        <w:spacing w:after="400"/>
        <w:jc w:val="both"/>
        <w:rPr>
          <w:rFonts w:ascii="Cambria" w:hAnsi="Cambria"/>
          <w:sz w:val="22"/>
          <w:szCs w:val="22"/>
        </w:rPr>
      </w:pPr>
      <w:r w:rsidRPr="003213AC">
        <w:rPr>
          <w:rFonts w:ascii="Cambria" w:hAnsi="Cambria"/>
          <w:sz w:val="22"/>
          <w:szCs w:val="22"/>
        </w:rPr>
        <w:t>29.</w:t>
      </w:r>
      <w:r w:rsidR="007A1FAD" w:rsidRPr="003213AC">
        <w:rPr>
          <w:rFonts w:ascii="Cambria" w:hAnsi="Cambria"/>
          <w:sz w:val="22"/>
          <w:szCs w:val="22"/>
        </w:rPr>
        <w:tab/>
      </w:r>
      <w:r w:rsidRPr="003213AC">
        <w:rPr>
          <w:rFonts w:ascii="Cambria" w:hAnsi="Cambria"/>
          <w:sz w:val="22"/>
          <w:szCs w:val="22"/>
        </w:rPr>
        <w:t>Thailand provides social security for various groups of population, for instance, education, child allowance through social insurance (300 Baht/month), subsist</w:t>
      </w:r>
      <w:r w:rsidR="008705F1">
        <w:rPr>
          <w:rFonts w:ascii="Cambria" w:hAnsi="Cambria"/>
          <w:sz w:val="22"/>
          <w:szCs w:val="22"/>
        </w:rPr>
        <w:t xml:space="preserve">ence allowance for the elderly </w:t>
      </w:r>
      <w:r w:rsidRPr="003213AC">
        <w:rPr>
          <w:rFonts w:ascii="Cambria" w:hAnsi="Cambria"/>
          <w:sz w:val="22"/>
          <w:szCs w:val="22"/>
        </w:rPr>
        <w:t>(600-1,000 Baht/month), child benefit from the government (400 Baht/month) allocated in 2015.</w:t>
      </w:r>
      <w:r w:rsidRPr="003213AC">
        <w:rPr>
          <w:rFonts w:ascii="Cambria" w:hAnsi="Cambria"/>
          <w:sz w:val="22"/>
          <w:szCs w:val="22"/>
          <w:rtl/>
          <w:cs/>
        </w:rPr>
        <w:tab/>
      </w:r>
    </w:p>
    <w:p w:rsidR="003213AC" w:rsidRDefault="00EA7659" w:rsidP="003213AC">
      <w:pPr>
        <w:spacing w:after="400"/>
        <w:ind w:firstLine="720"/>
        <w:jc w:val="both"/>
        <w:rPr>
          <w:rFonts w:ascii="Cambria" w:eastAsia="CordiaUPC" w:hAnsi="Cambria" w:cs="Angsana New"/>
          <w:sz w:val="22"/>
          <w:szCs w:val="22"/>
        </w:rPr>
      </w:pPr>
      <w:r w:rsidRPr="00EA7659">
        <w:rPr>
          <w:rFonts w:ascii="Cambria" w:eastAsia="CordiaUPC" w:hAnsi="Cambria" w:cs="Angsana New"/>
          <w:sz w:val="22"/>
          <w:szCs w:val="22"/>
        </w:rPr>
        <w:t>Regarding welfare for migrant workers, the problem of access to compensation fund still remains due to requirements on possession of documents such as passport or taxation document. Even though most of the migrant workers have already obtained passport, some are still in the process of citizenship verification or registration of foreign workers from 2014, which is why they do not have passport. In some incidents, employers do not pay the contributions or deduct the contributions and not submit to compensation fund</w:t>
      </w:r>
      <w:r w:rsidRPr="00EA7659">
        <w:rPr>
          <w:rStyle w:val="FootnoteReference"/>
          <w:rFonts w:ascii="Cambria" w:eastAsia="CordiaUPC" w:hAnsi="Cambria" w:cs="Angsana New"/>
          <w:sz w:val="22"/>
          <w:szCs w:val="22"/>
        </w:rPr>
        <w:footnoteReference w:id="21"/>
      </w:r>
    </w:p>
    <w:p w:rsidR="003213AC" w:rsidRDefault="00EA7659" w:rsidP="003213AC">
      <w:pPr>
        <w:spacing w:after="400"/>
        <w:ind w:firstLine="720"/>
        <w:jc w:val="both"/>
        <w:rPr>
          <w:rFonts w:ascii="Cambria" w:eastAsia="CordiaUPC" w:hAnsi="Cambria" w:cs="Angsana New"/>
          <w:sz w:val="22"/>
          <w:szCs w:val="22"/>
        </w:rPr>
      </w:pPr>
      <w:r w:rsidRPr="00EA7659">
        <w:rPr>
          <w:rFonts w:ascii="Cambria" w:eastAsia="CordiaUPC" w:hAnsi="Cambria" w:cs="Angsana New"/>
          <w:sz w:val="22"/>
          <w:szCs w:val="22"/>
        </w:rPr>
        <w:t>Even though migrant workers have more access to social insurance, the current forms of social security do not response to the uncertainty of using the social insurance after they travel back to their country. Migrant workers who have not registered social insurance, fisheries labor, agricultural labor, seasonal labor are able to buy health security, but this usually depends on the knowledge of the employers whether they would do this for their employees or not. In case where employers do not proceed with this, there is no law enforcement to punish them.</w:t>
      </w:r>
    </w:p>
    <w:p w:rsidR="007A1FAD" w:rsidRPr="00EA7659" w:rsidRDefault="007A1FAD" w:rsidP="00044D81">
      <w:pPr>
        <w:spacing w:after="200" w:line="276" w:lineRule="auto"/>
        <w:rPr>
          <w:rFonts w:ascii="Cambria" w:hAnsi="Cambria"/>
          <w:szCs w:val="22"/>
        </w:rPr>
      </w:pPr>
      <w:r w:rsidRPr="00EA7659">
        <w:rPr>
          <w:rFonts w:ascii="Cambria" w:hAnsi="Cambria"/>
          <w:b/>
          <w:szCs w:val="22"/>
        </w:rPr>
        <w:lastRenderedPageBreak/>
        <w:t>Recommendations:</w:t>
      </w:r>
    </w:p>
    <w:p w:rsidR="007A1FAD" w:rsidRDefault="00EA7659" w:rsidP="00EA7659">
      <w:pPr>
        <w:pStyle w:val="ListParagraph"/>
        <w:numPr>
          <w:ilvl w:val="0"/>
          <w:numId w:val="9"/>
        </w:numPr>
        <w:jc w:val="both"/>
        <w:rPr>
          <w:rFonts w:ascii="Cambria" w:hAnsi="Cambria"/>
          <w:sz w:val="22"/>
          <w:szCs w:val="22"/>
        </w:rPr>
      </w:pPr>
      <w:r w:rsidRPr="007A1FAD">
        <w:rPr>
          <w:rFonts w:ascii="Cambria" w:hAnsi="Cambria"/>
          <w:sz w:val="22"/>
          <w:szCs w:val="22"/>
        </w:rPr>
        <w:t>The government must remove obstacles on access to social security and compensation fund for migrant workers and informal workers</w:t>
      </w:r>
    </w:p>
    <w:p w:rsidR="00EA7659" w:rsidRPr="007A1FAD" w:rsidRDefault="00EA7659" w:rsidP="00EA7659">
      <w:pPr>
        <w:pStyle w:val="ListParagraph"/>
        <w:numPr>
          <w:ilvl w:val="0"/>
          <w:numId w:val="9"/>
        </w:numPr>
        <w:jc w:val="both"/>
        <w:rPr>
          <w:rFonts w:ascii="Cambria" w:hAnsi="Cambria"/>
          <w:sz w:val="22"/>
          <w:szCs w:val="22"/>
        </w:rPr>
      </w:pPr>
      <w:r w:rsidRPr="007A1FAD">
        <w:rPr>
          <w:rFonts w:ascii="Cambria" w:hAnsi="Cambria"/>
          <w:sz w:val="22"/>
          <w:szCs w:val="22"/>
        </w:rPr>
        <w:t>The government should issue social security policies that assist farmers and labor with low income. Good policies such as 30-Baht health care scheme, policies regarding residence for those with low income, education and employment should continue being implemented</w:t>
      </w:r>
    </w:p>
    <w:p w:rsidR="00EA7659" w:rsidRDefault="00EA7659" w:rsidP="00EA7659">
      <w:pPr>
        <w:jc w:val="both"/>
        <w:rPr>
          <w:rFonts w:ascii="Cambria" w:hAnsi="Cambria"/>
          <w:sz w:val="22"/>
          <w:szCs w:val="22"/>
        </w:rPr>
      </w:pPr>
    </w:p>
    <w:p w:rsidR="00DD5402" w:rsidRPr="00EA7659" w:rsidRDefault="00DD5402" w:rsidP="00EA7659">
      <w:pPr>
        <w:jc w:val="both"/>
        <w:rPr>
          <w:rFonts w:ascii="Cambria" w:hAnsi="Cambria"/>
          <w:sz w:val="22"/>
          <w:szCs w:val="22"/>
        </w:rPr>
      </w:pPr>
    </w:p>
    <w:p w:rsidR="00EA7659" w:rsidRPr="00EA7659" w:rsidRDefault="00EA7659" w:rsidP="00EA7659">
      <w:pPr>
        <w:jc w:val="both"/>
        <w:rPr>
          <w:rFonts w:ascii="Cambria" w:hAnsi="Cambria"/>
          <w:b/>
          <w:sz w:val="22"/>
          <w:szCs w:val="22"/>
          <w:u w:val="single"/>
        </w:rPr>
      </w:pPr>
      <w:r w:rsidRPr="00EA7659">
        <w:rPr>
          <w:rFonts w:ascii="Cambria" w:hAnsi="Cambria"/>
          <w:b/>
          <w:sz w:val="22"/>
          <w:szCs w:val="22"/>
          <w:u w:val="single"/>
        </w:rPr>
        <w:t>Article 10 Rights in family life</w:t>
      </w:r>
    </w:p>
    <w:p w:rsidR="00EA7659" w:rsidRPr="00EA7659" w:rsidRDefault="00EA7659" w:rsidP="00EA7659">
      <w:pPr>
        <w:jc w:val="both"/>
        <w:rPr>
          <w:rFonts w:ascii="Cambria" w:hAnsi="Cambria"/>
          <w:sz w:val="22"/>
          <w:szCs w:val="22"/>
        </w:rPr>
      </w:pPr>
    </w:p>
    <w:p w:rsidR="003213AC" w:rsidRDefault="00473F39" w:rsidP="003213AC">
      <w:pPr>
        <w:spacing w:after="400"/>
        <w:jc w:val="both"/>
        <w:rPr>
          <w:rFonts w:ascii="Cambria" w:hAnsi="Cambria"/>
          <w:sz w:val="22"/>
          <w:szCs w:val="22"/>
        </w:rPr>
      </w:pPr>
      <w:r>
        <w:rPr>
          <w:rFonts w:ascii="Cambria" w:hAnsi="Cambria"/>
          <w:sz w:val="22"/>
          <w:szCs w:val="22"/>
        </w:rPr>
        <w:t>30</w:t>
      </w:r>
      <w:r w:rsidR="007A1FAD">
        <w:rPr>
          <w:rFonts w:ascii="Cambria" w:hAnsi="Cambria"/>
          <w:sz w:val="22"/>
          <w:szCs w:val="22"/>
        </w:rPr>
        <w:t>.</w:t>
      </w:r>
      <w:r w:rsidR="007A1FAD">
        <w:rPr>
          <w:rFonts w:ascii="Cambria" w:hAnsi="Cambria"/>
          <w:sz w:val="22"/>
          <w:szCs w:val="22"/>
        </w:rPr>
        <w:tab/>
      </w:r>
      <w:r w:rsidR="00EA7659" w:rsidRPr="00EA7659">
        <w:rPr>
          <w:rFonts w:ascii="Cambria" w:hAnsi="Cambria"/>
          <w:sz w:val="22"/>
          <w:szCs w:val="22"/>
        </w:rPr>
        <w:t>Teen pregnancy has become a growing problem in Thailand</w:t>
      </w:r>
      <w:r w:rsidR="00EA7659" w:rsidRPr="003213AC">
        <w:footnoteReference w:id="22"/>
      </w:r>
      <w:r w:rsidR="00EA7659" w:rsidRPr="00EA7659">
        <w:rPr>
          <w:rFonts w:ascii="Cambria" w:hAnsi="Cambria"/>
          <w:sz w:val="22"/>
          <w:szCs w:val="22"/>
        </w:rPr>
        <w:t xml:space="preserve">, resulting in several cases of babies being abandoned or killed. Pregnant mothers who are afraid of losing their income may not stop working until the very near birth. Many migrant workers are not aware that they have the right of parental leave. Some companies have a policy to check pregnancy in the screening process and set up conditions regarding pregnancy such as prohibiting pregnancy during specific period of time. Some migrant workers had to quit their job, as they are not allowed to have parental leave. </w:t>
      </w:r>
    </w:p>
    <w:p w:rsidR="003213AC" w:rsidRDefault="00473F39" w:rsidP="003213AC">
      <w:pPr>
        <w:spacing w:after="400"/>
        <w:jc w:val="both"/>
        <w:rPr>
          <w:rFonts w:ascii="Cambria" w:hAnsi="Cambria"/>
          <w:sz w:val="22"/>
          <w:szCs w:val="22"/>
        </w:rPr>
      </w:pPr>
      <w:r>
        <w:rPr>
          <w:rFonts w:ascii="Cambria" w:hAnsi="Cambria"/>
          <w:sz w:val="22"/>
          <w:szCs w:val="22"/>
        </w:rPr>
        <w:t>31</w:t>
      </w:r>
      <w:r w:rsidR="00EA7659" w:rsidRPr="00EA7659">
        <w:rPr>
          <w:rFonts w:ascii="Cambria" w:hAnsi="Cambria"/>
          <w:sz w:val="22"/>
          <w:szCs w:val="22"/>
        </w:rPr>
        <w:t>.</w:t>
      </w:r>
      <w:r w:rsidR="007A1FAD">
        <w:rPr>
          <w:rFonts w:ascii="Cambria" w:hAnsi="Cambria"/>
          <w:sz w:val="22"/>
          <w:szCs w:val="22"/>
        </w:rPr>
        <w:tab/>
      </w:r>
      <w:r w:rsidR="00EA7659" w:rsidRPr="00EA7659">
        <w:rPr>
          <w:rFonts w:ascii="Cambria" w:hAnsi="Cambria"/>
          <w:sz w:val="22"/>
          <w:szCs w:val="22"/>
        </w:rPr>
        <w:t>Conditions for mothers and children detained in Immigration Detention Centers are sanitarily poor and overcrowded. Even though efforts have been made to remove some Rohingya female detainees who have young children to group homes, Uyghur children seeking asylum in Thailand with their parents are still detained in detention centers throughout Thailand. Currently there are 355 Uyghur asylum seekers while numbers of females and childrenare not identified. All have been detained for more than a year without a clear policy from the government on how to tackle this problem. Attorneys have requested for the release of those who have done court procedure and paid court fee with regards to illegal entry. Turkish embassy is also willing to take care of this group of people and ready to resettle them in Turkey immediately, as they have relatives there and willing to live in Turkey. Nevertheless, the courtruled that Uyghur asylum seekers’ detention could be prolonged due to the request of Chinese government and duty fulfillment of Thai authority on pending deportation.</w:t>
      </w:r>
      <w:r w:rsidR="00EA7659" w:rsidRPr="00EA7659">
        <w:rPr>
          <w:rStyle w:val="FootnoteReference"/>
          <w:rFonts w:ascii="Cambria" w:hAnsi="Cambria"/>
          <w:sz w:val="22"/>
          <w:szCs w:val="22"/>
        </w:rPr>
        <w:footnoteReference w:id="23"/>
      </w:r>
    </w:p>
    <w:p w:rsidR="00EA7659" w:rsidRPr="00EA7659" w:rsidRDefault="00473F39" w:rsidP="003213AC">
      <w:pPr>
        <w:spacing w:after="400"/>
        <w:jc w:val="both"/>
        <w:rPr>
          <w:rFonts w:ascii="Cambria" w:hAnsi="Cambria"/>
          <w:sz w:val="22"/>
          <w:szCs w:val="22"/>
        </w:rPr>
      </w:pPr>
      <w:r>
        <w:rPr>
          <w:rFonts w:ascii="Cambria" w:hAnsi="Cambria"/>
          <w:sz w:val="22"/>
          <w:szCs w:val="22"/>
        </w:rPr>
        <w:t>32</w:t>
      </w:r>
      <w:r w:rsidR="007A1FAD">
        <w:rPr>
          <w:rFonts w:ascii="Cambria" w:hAnsi="Cambria"/>
          <w:sz w:val="22"/>
          <w:szCs w:val="22"/>
        </w:rPr>
        <w:t>.</w:t>
      </w:r>
      <w:r w:rsidR="007A1FAD">
        <w:rPr>
          <w:rFonts w:ascii="Cambria" w:hAnsi="Cambria"/>
          <w:sz w:val="22"/>
          <w:szCs w:val="22"/>
        </w:rPr>
        <w:tab/>
      </w:r>
      <w:r w:rsidR="00EA7659" w:rsidRPr="00EA7659">
        <w:rPr>
          <w:rFonts w:ascii="Cambria" w:hAnsi="Cambria"/>
          <w:sz w:val="22"/>
          <w:szCs w:val="22"/>
        </w:rPr>
        <w:t>Tuberculosis is spread in detention center in Padang Besar, Songkha Province. Three detained children passed away at Hatyai Hospital due to tuberculosis spread in brain.</w:t>
      </w:r>
      <w:r w:rsidR="00EA7659" w:rsidRPr="0091740A">
        <w:rPr>
          <w:rStyle w:val="FootnoteReference"/>
          <w:rFonts w:ascii="Cambria" w:hAnsi="Cambria"/>
          <w:sz w:val="24"/>
          <w:szCs w:val="24"/>
        </w:rPr>
        <w:footnoteReference w:id="24"/>
      </w:r>
      <w:r w:rsidR="00EA7659" w:rsidRPr="00EA7659">
        <w:rPr>
          <w:rFonts w:ascii="Cambria" w:hAnsi="Cambria"/>
          <w:sz w:val="22"/>
          <w:szCs w:val="22"/>
        </w:rPr>
        <w:t xml:space="preserve">Thai government has tried to provide medical treatment but some asylum seekers did not cooperate well. In one case of delivery, the police had to chain the mother with the bed, as they were afraid that she might escape. Now her babies are confined in </w:t>
      </w:r>
      <w:r w:rsidR="00EA7659" w:rsidRPr="00EA7659">
        <w:rPr>
          <w:rFonts w:ascii="Cambria" w:hAnsi="Cambria"/>
          <w:sz w:val="22"/>
          <w:szCs w:val="22"/>
        </w:rPr>
        <w:lastRenderedPageBreak/>
        <w:t xml:space="preserve">SuanPhludetention center. These children lack access to education, standard health service and appropriate recreation of their age. </w:t>
      </w:r>
    </w:p>
    <w:p w:rsidR="00EA7659" w:rsidRPr="00EA7659" w:rsidRDefault="00EA7659" w:rsidP="00EA7659">
      <w:pPr>
        <w:jc w:val="both"/>
        <w:rPr>
          <w:rFonts w:ascii="Cambria" w:hAnsi="Cambria"/>
          <w:sz w:val="22"/>
          <w:szCs w:val="22"/>
        </w:rPr>
      </w:pPr>
    </w:p>
    <w:p w:rsidR="00EA7659" w:rsidRDefault="00EA7659" w:rsidP="00EA7659">
      <w:pPr>
        <w:jc w:val="both"/>
        <w:rPr>
          <w:rFonts w:asciiTheme="majorHAnsi" w:hAnsiTheme="majorHAnsi"/>
          <w:sz w:val="22"/>
          <w:szCs w:val="22"/>
        </w:rPr>
      </w:pPr>
      <w:r w:rsidRPr="00473F39">
        <w:rPr>
          <w:rFonts w:asciiTheme="majorHAnsi" w:hAnsiTheme="majorHAnsi"/>
          <w:sz w:val="22"/>
          <w:szCs w:val="22"/>
        </w:rPr>
        <w:t>3</w:t>
      </w:r>
      <w:r w:rsidR="00473F39">
        <w:rPr>
          <w:rFonts w:asciiTheme="majorHAnsi" w:hAnsiTheme="majorHAnsi"/>
          <w:sz w:val="22"/>
          <w:szCs w:val="22"/>
        </w:rPr>
        <w:t>3</w:t>
      </w:r>
      <w:r w:rsidRPr="00473F39">
        <w:rPr>
          <w:rFonts w:asciiTheme="majorHAnsi" w:hAnsiTheme="majorHAnsi"/>
          <w:sz w:val="22"/>
          <w:szCs w:val="22"/>
        </w:rPr>
        <w:t xml:space="preserve">. </w:t>
      </w:r>
      <w:r w:rsidR="00473F39" w:rsidRPr="00473F39">
        <w:rPr>
          <w:rFonts w:asciiTheme="majorHAnsi" w:hAnsiTheme="majorHAnsi"/>
          <w:sz w:val="22"/>
          <w:szCs w:val="22"/>
        </w:rPr>
        <w:t>Section 7 bis of Nationality Act stipulates “A person born within the Thai Kingdom of alien parent does not acquire Thai nationality if at time of his birth, his lawful father or his father who did not marry his mother or his mother was (1) the person having been given leniency for temporary residence in Kingdom as a special case; (2) the person having been permitted to stay temporarily in the Kingdom; (3) the person having entered and resided in the Thai Kingdom without permission under the law on immigration”. Ever since the implementation of this law, no ministerial regulations have been issued to support such group of children and persons. As a result, these children have become illegal under Immigration Act even though they were born in Thailand with father and mother having qualification stipulated in Section 7 bis of Nationality Act. The charge over children of illegal entry is thus contradictory with the fact that they were born in Thailand.</w:t>
      </w:r>
    </w:p>
    <w:p w:rsidR="00473F39" w:rsidRDefault="00473F39" w:rsidP="00EA7659">
      <w:pPr>
        <w:jc w:val="both"/>
        <w:rPr>
          <w:rFonts w:asciiTheme="majorHAnsi" w:hAnsiTheme="majorHAnsi"/>
          <w:sz w:val="22"/>
          <w:szCs w:val="22"/>
        </w:rPr>
      </w:pPr>
    </w:p>
    <w:p w:rsidR="00473F39" w:rsidRPr="00473F39" w:rsidRDefault="00473F39" w:rsidP="00415777">
      <w:pPr>
        <w:shd w:val="clear" w:color="auto" w:fill="FFFFFF"/>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 xml:space="preserve">34. </w:t>
      </w:r>
      <w:r>
        <w:rPr>
          <w:rFonts w:asciiTheme="majorHAnsi" w:eastAsia="Times New Roman" w:hAnsiTheme="majorHAnsi" w:cs="Arial"/>
          <w:color w:val="222222"/>
          <w:sz w:val="22"/>
          <w:szCs w:val="22"/>
          <w:lang w:bidi="th-TH"/>
        </w:rPr>
        <w:tab/>
      </w:r>
      <w:r w:rsidRPr="00473F39">
        <w:rPr>
          <w:rFonts w:asciiTheme="majorHAnsi" w:eastAsia="Times New Roman" w:hAnsiTheme="majorHAnsi" w:cs="Arial"/>
          <w:color w:val="222222"/>
          <w:sz w:val="22"/>
          <w:szCs w:val="22"/>
          <w:lang w:bidi="th-TH"/>
        </w:rPr>
        <w:t>Laws in Thailand that govern family matters do not recognize the existence of lesbians, gays and transgender people, and therefore their needs and rights in the family matters are not protected. The clause 1448 in the family laws section in the Thai Civil Codes, specifies that only a man and a woman can register their marriage. Under this law, same sex couples are not considered married which has tremendous negative affects on LGBT people.  According to the law, they are not the lawful heir nor the legal next of kin which means they do not have the authority to act on behalf of their partner in life threatening situations such as signing a consent form for medical treatments, reporting to the police or filing charges against wrong doers when their partner disappears or has been harmed by someone.  They cannot receive inheritance of their partner, no matter how many years they spend their lives together. After death, as they are not the legal next of kin, they cannot receive the body of their partner in order to organize funeral nor could they file charged against the murderer of their loved one.</w:t>
      </w:r>
    </w:p>
    <w:p w:rsidR="00473F39" w:rsidRPr="00473F39" w:rsidRDefault="00473F39" w:rsidP="00415777">
      <w:pPr>
        <w:shd w:val="clear" w:color="auto" w:fill="FFFFFF"/>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 </w:t>
      </w:r>
    </w:p>
    <w:p w:rsidR="00473F39" w:rsidRPr="00473F39" w:rsidRDefault="00473F39" w:rsidP="00415777">
      <w:pPr>
        <w:shd w:val="clear" w:color="auto" w:fill="FFFFFF"/>
        <w:ind w:firstLine="720"/>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Further problems are in many areas of their lives, which are caused by the fact that many law, policy and regulations of both governmental bureau and businesses follow the definition for legal heir or next of kin as stated in various clauses in the family law section in the Civil Codes.  For example, the social security fund, insurance companies and many other forms of benefits/protections schemes only recognize a married spouse to be the rightful beneficiary of any benefits in the case that the person becomes disabled physically or mentally, or dead. Many employment benefits also follow the same principles.</w:t>
      </w:r>
    </w:p>
    <w:p w:rsidR="00473F39" w:rsidRPr="00473F39" w:rsidRDefault="00473F39" w:rsidP="00415777">
      <w:pPr>
        <w:shd w:val="clear" w:color="auto" w:fill="FFFFFF"/>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 </w:t>
      </w:r>
    </w:p>
    <w:p w:rsidR="00473F39" w:rsidRPr="00473F39" w:rsidRDefault="00473F39" w:rsidP="00415777">
      <w:pPr>
        <w:shd w:val="clear" w:color="auto" w:fill="FFFFFF"/>
        <w:ind w:firstLine="720"/>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Parental rights and the rights to access assisted reproductive program are also an important issue to LGBT.  </w:t>
      </w:r>
    </w:p>
    <w:p w:rsidR="00473F39" w:rsidRPr="00473F39" w:rsidRDefault="00473F39" w:rsidP="00415777">
      <w:pPr>
        <w:shd w:val="clear" w:color="auto" w:fill="FFFFFF"/>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 </w:t>
      </w:r>
    </w:p>
    <w:p w:rsidR="00473F39" w:rsidRPr="00473F39" w:rsidRDefault="00473F39" w:rsidP="00415777">
      <w:pPr>
        <w:shd w:val="clear" w:color="auto" w:fill="FFFFFF"/>
        <w:ind w:firstLine="720"/>
        <w:jc w:val="both"/>
        <w:rPr>
          <w:rFonts w:asciiTheme="majorHAnsi" w:eastAsia="Times New Roman" w:hAnsiTheme="majorHAnsi" w:cs="Arial"/>
          <w:color w:val="222222"/>
          <w:sz w:val="22"/>
          <w:szCs w:val="22"/>
          <w:lang w:bidi="th-TH"/>
        </w:rPr>
      </w:pPr>
      <w:r w:rsidRPr="00473F39">
        <w:rPr>
          <w:rFonts w:asciiTheme="majorHAnsi" w:eastAsia="Times New Roman" w:hAnsiTheme="majorHAnsi" w:cs="Arial"/>
          <w:color w:val="222222"/>
          <w:sz w:val="22"/>
          <w:szCs w:val="22"/>
          <w:lang w:bidi="th-TH"/>
        </w:rPr>
        <w:t>The lack of legal and governmental recognition of the same sex partnership and family have caused tremendous suffer towards the LGBT people and their families.</w:t>
      </w:r>
    </w:p>
    <w:p w:rsidR="00473F39" w:rsidRPr="00473F39" w:rsidRDefault="00473F39" w:rsidP="00415777">
      <w:pPr>
        <w:jc w:val="both"/>
        <w:rPr>
          <w:rFonts w:asciiTheme="majorHAnsi" w:hAnsiTheme="majorHAnsi" w:cs="Sathu"/>
          <w:sz w:val="22"/>
          <w:szCs w:val="22"/>
        </w:rPr>
      </w:pPr>
    </w:p>
    <w:p w:rsidR="00EA7659" w:rsidRPr="00EA7659" w:rsidRDefault="00EA7659" w:rsidP="00415777">
      <w:pPr>
        <w:jc w:val="both"/>
        <w:rPr>
          <w:rFonts w:ascii="Cambria" w:hAnsi="Cambria"/>
          <w:b/>
          <w:sz w:val="22"/>
          <w:szCs w:val="22"/>
        </w:rPr>
      </w:pPr>
    </w:p>
    <w:p w:rsidR="007A1FAD" w:rsidRPr="00EA7659" w:rsidRDefault="007A1FAD" w:rsidP="00415777">
      <w:pPr>
        <w:pStyle w:val="Normal1"/>
        <w:jc w:val="both"/>
        <w:rPr>
          <w:rFonts w:ascii="Cambria" w:hAnsi="Cambria"/>
          <w:szCs w:val="22"/>
        </w:rPr>
      </w:pPr>
      <w:r w:rsidRPr="00EA7659">
        <w:rPr>
          <w:rFonts w:ascii="Cambria" w:hAnsi="Cambria"/>
          <w:b/>
          <w:szCs w:val="22"/>
        </w:rPr>
        <w:t>Recommendations:</w:t>
      </w:r>
    </w:p>
    <w:p w:rsidR="007A1FAD" w:rsidRPr="00473F39" w:rsidRDefault="00EA7659" w:rsidP="00415777">
      <w:pPr>
        <w:pStyle w:val="ListParagraph"/>
        <w:numPr>
          <w:ilvl w:val="0"/>
          <w:numId w:val="10"/>
        </w:numPr>
        <w:jc w:val="both"/>
        <w:rPr>
          <w:rFonts w:ascii="Cambria" w:hAnsi="Cambria" w:cs="Angsana New"/>
          <w:sz w:val="22"/>
          <w:szCs w:val="22"/>
        </w:rPr>
      </w:pPr>
      <w:r w:rsidRPr="007A1FAD">
        <w:rPr>
          <w:rFonts w:ascii="Cambria" w:hAnsi="Cambria"/>
          <w:sz w:val="22"/>
          <w:szCs w:val="22"/>
        </w:rPr>
        <w:t>Children should not be detained in any circumstances. Babies and young children must be prioritized</w:t>
      </w:r>
    </w:p>
    <w:p w:rsidR="00473F39" w:rsidRDefault="00473F39" w:rsidP="00415777">
      <w:pPr>
        <w:pStyle w:val="ListParagraph"/>
        <w:numPr>
          <w:ilvl w:val="0"/>
          <w:numId w:val="10"/>
        </w:numPr>
        <w:jc w:val="both"/>
        <w:rPr>
          <w:rFonts w:ascii="Cambria" w:hAnsi="Cambria" w:cs="Angsana New"/>
          <w:sz w:val="22"/>
          <w:szCs w:val="22"/>
        </w:rPr>
      </w:pPr>
      <w:r>
        <w:rPr>
          <w:rFonts w:ascii="Cambria" w:hAnsi="Cambria"/>
          <w:sz w:val="22"/>
          <w:szCs w:val="22"/>
        </w:rPr>
        <w:lastRenderedPageBreak/>
        <w:t>The government should seek solutions to replace detention of mothers and children in detention center if they are expected to be detained for a long period of time</w:t>
      </w:r>
    </w:p>
    <w:p w:rsidR="007A1FAD" w:rsidRPr="007A1FAD" w:rsidRDefault="00EA7659" w:rsidP="00415777">
      <w:pPr>
        <w:pStyle w:val="ListParagraph"/>
        <w:numPr>
          <w:ilvl w:val="0"/>
          <w:numId w:val="10"/>
        </w:numPr>
        <w:jc w:val="both"/>
        <w:rPr>
          <w:rFonts w:ascii="Cambria" w:hAnsi="Cambria" w:cs="Angsana New"/>
          <w:sz w:val="22"/>
          <w:szCs w:val="22"/>
        </w:rPr>
      </w:pPr>
      <w:r w:rsidRPr="007A1FAD">
        <w:rPr>
          <w:rFonts w:ascii="Cambria" w:hAnsi="Cambria"/>
          <w:sz w:val="22"/>
          <w:szCs w:val="22"/>
        </w:rPr>
        <w:t>The government must provide education, hea</w:t>
      </w:r>
      <w:r w:rsidR="0091740A" w:rsidRPr="007A1FAD">
        <w:rPr>
          <w:rFonts w:ascii="Cambria" w:hAnsi="Cambria"/>
          <w:sz w:val="22"/>
          <w:szCs w:val="22"/>
        </w:rPr>
        <w:t>l</w:t>
      </w:r>
      <w:r w:rsidRPr="007A1FAD">
        <w:rPr>
          <w:rFonts w:ascii="Cambria" w:hAnsi="Cambria"/>
          <w:sz w:val="22"/>
          <w:szCs w:val="22"/>
        </w:rPr>
        <w:t>th services, recreation and adequate services for mothers and children</w:t>
      </w:r>
    </w:p>
    <w:p w:rsidR="00EA7659" w:rsidRPr="00473F39" w:rsidRDefault="00EA7659" w:rsidP="00415777">
      <w:pPr>
        <w:pStyle w:val="ListParagraph"/>
        <w:numPr>
          <w:ilvl w:val="0"/>
          <w:numId w:val="10"/>
        </w:numPr>
        <w:jc w:val="both"/>
        <w:rPr>
          <w:rFonts w:ascii="Cambria" w:hAnsi="Cambria" w:cs="Angsana New"/>
          <w:sz w:val="22"/>
          <w:szCs w:val="22"/>
        </w:rPr>
      </w:pPr>
      <w:r w:rsidRPr="007A1FAD">
        <w:rPr>
          <w:rFonts w:ascii="Cambria" w:hAnsi="Cambria"/>
          <w:sz w:val="22"/>
          <w:szCs w:val="22"/>
        </w:rPr>
        <w:t xml:space="preserve">Revise </w:t>
      </w:r>
      <w:r w:rsidR="00473F39">
        <w:rPr>
          <w:rFonts w:ascii="Cambria" w:hAnsi="Cambria"/>
          <w:sz w:val="22"/>
          <w:szCs w:val="22"/>
        </w:rPr>
        <w:t>laws to accommodate LGBT rights</w:t>
      </w:r>
    </w:p>
    <w:p w:rsidR="00473F39" w:rsidRDefault="00473F39" w:rsidP="00415777">
      <w:pPr>
        <w:jc w:val="both"/>
        <w:rPr>
          <w:rFonts w:ascii="Cambria" w:hAnsi="Cambria" w:cs="Angsana New"/>
          <w:sz w:val="22"/>
          <w:szCs w:val="22"/>
        </w:rPr>
      </w:pPr>
    </w:p>
    <w:p w:rsidR="00473F39" w:rsidRPr="00473F39" w:rsidRDefault="00473F39" w:rsidP="00415777">
      <w:pPr>
        <w:jc w:val="both"/>
        <w:rPr>
          <w:rFonts w:ascii="Cambria" w:hAnsi="Cambria" w:cs="Angsana New"/>
          <w:b/>
          <w:sz w:val="22"/>
          <w:szCs w:val="22"/>
          <w:u w:val="single"/>
        </w:rPr>
      </w:pPr>
      <w:r w:rsidRPr="00473F39">
        <w:rPr>
          <w:rFonts w:ascii="Cambria" w:hAnsi="Cambria" w:cs="Angsana New"/>
          <w:b/>
          <w:sz w:val="22"/>
          <w:szCs w:val="22"/>
          <w:u w:val="single"/>
        </w:rPr>
        <w:t>Article 11 Standard of living, security on housing</w:t>
      </w:r>
    </w:p>
    <w:p w:rsidR="00473F39" w:rsidRPr="007A1FAD" w:rsidRDefault="00473F39" w:rsidP="00415777">
      <w:pPr>
        <w:pStyle w:val="ListParagraph"/>
        <w:jc w:val="both"/>
        <w:rPr>
          <w:rFonts w:ascii="Cambria" w:hAnsi="Cambria" w:cs="Angsana New"/>
          <w:sz w:val="22"/>
          <w:szCs w:val="22"/>
          <w:rtl/>
          <w:cs/>
        </w:rPr>
      </w:pPr>
    </w:p>
    <w:p w:rsidR="007A1FAD" w:rsidRDefault="007A1FAD" w:rsidP="00415777">
      <w:pPr>
        <w:pStyle w:val="ListParagraph"/>
        <w:ind w:left="0"/>
        <w:jc w:val="both"/>
        <w:rPr>
          <w:rFonts w:ascii="Cambria" w:eastAsia="CordiaUPC" w:hAnsi="Cambria" w:cs="Times New Roman"/>
          <w:sz w:val="22"/>
          <w:szCs w:val="22"/>
          <w:lang w:bidi="th-TH"/>
        </w:rPr>
      </w:pPr>
    </w:p>
    <w:p w:rsidR="00697001" w:rsidRPr="00697001" w:rsidRDefault="007A1FAD" w:rsidP="00415777">
      <w:pPr>
        <w:pStyle w:val="CommentText"/>
        <w:jc w:val="both"/>
        <w:rPr>
          <w:rFonts w:asciiTheme="majorHAnsi" w:hAnsiTheme="majorHAnsi" w:cs="Sathu"/>
          <w:sz w:val="22"/>
          <w:szCs w:val="22"/>
        </w:rPr>
      </w:pPr>
      <w:r w:rsidRPr="00697001">
        <w:rPr>
          <w:rFonts w:asciiTheme="majorHAnsi" w:hAnsiTheme="majorHAnsi"/>
          <w:sz w:val="22"/>
          <w:szCs w:val="22"/>
        </w:rPr>
        <w:t>35.</w:t>
      </w:r>
      <w:r w:rsidRPr="00697001">
        <w:rPr>
          <w:rFonts w:asciiTheme="majorHAnsi" w:hAnsiTheme="majorHAnsi"/>
          <w:sz w:val="22"/>
          <w:szCs w:val="22"/>
        </w:rPr>
        <w:tab/>
      </w:r>
      <w:r w:rsidR="00697001" w:rsidRPr="00697001">
        <w:rPr>
          <w:rFonts w:asciiTheme="majorHAnsi" w:hAnsiTheme="majorHAnsi" w:cs="Sathu"/>
          <w:sz w:val="22"/>
          <w:szCs w:val="22"/>
        </w:rPr>
        <w:t>Thailand’s National Housing authority meeting in 1990 indicated that there were 450,000 poor families, 1.75 million in urban areas. Communities are crowded as they are close to work places. 70% pay rent to landlords. 15% are still facing</w:t>
      </w:r>
      <w:r w:rsidR="00697001">
        <w:rPr>
          <w:rFonts w:asciiTheme="majorHAnsi" w:hAnsiTheme="majorHAnsi" w:cs="Sathu"/>
          <w:sz w:val="22"/>
          <w:szCs w:val="22"/>
        </w:rPr>
        <w:t xml:space="preserve"> forced eviction.</w:t>
      </w:r>
      <w:r w:rsidR="00697001">
        <w:rPr>
          <w:rStyle w:val="FootnoteReference"/>
          <w:rFonts w:asciiTheme="majorHAnsi" w:hAnsiTheme="majorHAnsi" w:cs="Sathu"/>
        </w:rPr>
        <w:footnoteReference w:id="25"/>
      </w:r>
      <w:r w:rsidR="00697001" w:rsidRPr="00697001">
        <w:rPr>
          <w:rFonts w:asciiTheme="majorHAnsi" w:hAnsiTheme="majorHAnsi" w:cs="Sathu"/>
          <w:sz w:val="22"/>
          <w:szCs w:val="22"/>
        </w:rPr>
        <w:t xml:space="preserve">In 200, the National Housing Authority reported that there were 5,335 communities with low income, which were 1,369,687 families, 6,981,435 people, 36.2% of total population. 18.4% live in Bangkok,11.4 % in outskirts of Bangkok,  </w:t>
      </w:r>
      <w:r w:rsidR="00697001">
        <w:rPr>
          <w:rFonts w:asciiTheme="majorHAnsi" w:hAnsiTheme="majorHAnsi" w:cs="Sathu"/>
          <w:sz w:val="22"/>
          <w:szCs w:val="22"/>
        </w:rPr>
        <w:t>70.1% in big cities in Thailand.</w:t>
      </w:r>
      <w:r w:rsidR="00697001">
        <w:rPr>
          <w:rStyle w:val="FootnoteReference"/>
          <w:rFonts w:asciiTheme="majorHAnsi" w:hAnsiTheme="majorHAnsi" w:cs="Sathu"/>
        </w:rPr>
        <w:footnoteReference w:id="26"/>
      </w:r>
      <w:r w:rsidR="00697001" w:rsidRPr="00697001">
        <w:rPr>
          <w:rFonts w:asciiTheme="majorHAnsi" w:hAnsiTheme="majorHAnsi" w:cs="Sathu"/>
          <w:sz w:val="22"/>
          <w:szCs w:val="22"/>
        </w:rPr>
        <w:t>Bangkok’s growth is 50 times of Chiang Mai,</w:t>
      </w:r>
      <w:r w:rsidR="00697001">
        <w:rPr>
          <w:rFonts w:asciiTheme="majorHAnsi" w:hAnsiTheme="majorHAnsi" w:cs="Sathu"/>
          <w:sz w:val="22"/>
          <w:szCs w:val="22"/>
        </w:rPr>
        <w:t xml:space="preserve"> the second largest in Thailand.</w:t>
      </w:r>
      <w:r w:rsidR="00697001">
        <w:rPr>
          <w:rStyle w:val="FootnoteReference"/>
          <w:rFonts w:asciiTheme="majorHAnsi" w:hAnsiTheme="majorHAnsi" w:cs="Sathu"/>
        </w:rPr>
        <w:footnoteReference w:id="27"/>
      </w:r>
      <w:r w:rsidR="00697001" w:rsidRPr="00697001">
        <w:rPr>
          <w:rFonts w:asciiTheme="majorHAnsi" w:hAnsiTheme="majorHAnsi" w:cs="Sathu"/>
          <w:sz w:val="22"/>
          <w:szCs w:val="22"/>
        </w:rPr>
        <w:t>Taksin’s government introduced policies to solve housing issues in Thailand such</w:t>
      </w:r>
      <w:r w:rsidR="00697001">
        <w:rPr>
          <w:rFonts w:asciiTheme="majorHAnsi" w:hAnsiTheme="majorHAnsi" w:cs="Sathu"/>
          <w:sz w:val="22"/>
          <w:szCs w:val="22"/>
        </w:rPr>
        <w:t xml:space="preserve"> as land sharing policy, secure house policy, low-cost housing</w:t>
      </w:r>
      <w:r w:rsidR="00697001" w:rsidRPr="00697001">
        <w:rPr>
          <w:rFonts w:asciiTheme="majorHAnsi" w:hAnsiTheme="majorHAnsi" w:cs="Sathu"/>
          <w:sz w:val="22"/>
          <w:szCs w:val="22"/>
        </w:rPr>
        <w:t>. All of the mentioned policies were pushed through by Asian Coalition for Housing Rights (ACHR), a prominent organization working on the housing issues in Asia.</w:t>
      </w:r>
    </w:p>
    <w:p w:rsidR="00697001" w:rsidRPr="00697001" w:rsidRDefault="00697001" w:rsidP="00415777">
      <w:pPr>
        <w:pStyle w:val="CommentText"/>
        <w:jc w:val="both"/>
        <w:rPr>
          <w:rFonts w:asciiTheme="majorHAnsi" w:hAnsiTheme="majorHAnsi" w:cs="Sathu"/>
          <w:sz w:val="22"/>
          <w:szCs w:val="22"/>
        </w:rPr>
      </w:pPr>
    </w:p>
    <w:p w:rsidR="007A1FAD" w:rsidRPr="00697001" w:rsidRDefault="00697001" w:rsidP="00415777">
      <w:pPr>
        <w:spacing w:after="400"/>
        <w:ind w:firstLine="720"/>
        <w:jc w:val="both"/>
        <w:rPr>
          <w:rFonts w:asciiTheme="majorHAnsi" w:hAnsiTheme="majorHAnsi"/>
          <w:sz w:val="22"/>
          <w:szCs w:val="22"/>
        </w:rPr>
      </w:pPr>
      <w:r w:rsidRPr="00697001">
        <w:rPr>
          <w:rFonts w:asciiTheme="majorHAnsi" w:hAnsiTheme="majorHAnsi" w:cs="Sathu"/>
          <w:sz w:val="22"/>
          <w:szCs w:val="22"/>
        </w:rPr>
        <w:t>It was reported on 7 July 2014 that after the military coup, canal squatters in 50 districts will be evicted for the purpose of flood prevention. There are approximately 23,500 households, 100,000 people being affected. The government has assigned the National Housing Authority and the Ministry of Social Development and Human Security to be responsible for the eviction and relocation of these people.</w:t>
      </w:r>
    </w:p>
    <w:p w:rsidR="0091740A" w:rsidRPr="00AE682A" w:rsidRDefault="0091740A" w:rsidP="00415777">
      <w:pPr>
        <w:jc w:val="both"/>
        <w:rPr>
          <w:rFonts w:ascii="Cambria" w:hAnsi="Cambria"/>
          <w:b/>
          <w:sz w:val="22"/>
          <w:szCs w:val="22"/>
          <w:u w:val="single"/>
        </w:rPr>
      </w:pPr>
      <w:r w:rsidRPr="00AE682A">
        <w:rPr>
          <w:rFonts w:ascii="Cambria" w:hAnsi="Cambria"/>
          <w:b/>
          <w:sz w:val="22"/>
          <w:szCs w:val="22"/>
          <w:u w:val="single"/>
        </w:rPr>
        <w:t>Article 12 Right to Health, especially physical health and mental health according to the highest standard possible for stateless persons</w:t>
      </w:r>
    </w:p>
    <w:p w:rsidR="00AE682A" w:rsidRDefault="00AE682A" w:rsidP="00415777">
      <w:pPr>
        <w:pStyle w:val="Default"/>
        <w:jc w:val="both"/>
        <w:rPr>
          <w:rFonts w:asciiTheme="majorBidi" w:hAnsiTheme="majorBidi" w:cstheme="majorBidi"/>
          <w:color w:val="auto"/>
          <w:sz w:val="32"/>
          <w:szCs w:val="32"/>
        </w:rPr>
      </w:pPr>
    </w:p>
    <w:p w:rsidR="003213AC" w:rsidRDefault="007A1FAD" w:rsidP="00415777">
      <w:pPr>
        <w:pStyle w:val="Default"/>
        <w:spacing w:after="400"/>
        <w:jc w:val="both"/>
        <w:rPr>
          <w:rFonts w:ascii="Cambria" w:hAnsi="Cambria" w:cstheme="majorBidi"/>
          <w:color w:val="auto"/>
          <w:sz w:val="22"/>
          <w:szCs w:val="22"/>
        </w:rPr>
      </w:pPr>
      <w:r w:rsidRPr="003213AC">
        <w:rPr>
          <w:rFonts w:ascii="Cambria" w:eastAsiaTheme="minorEastAsia" w:hAnsi="Cambria" w:cstheme="minorBidi"/>
          <w:color w:val="auto"/>
          <w:sz w:val="22"/>
          <w:szCs w:val="22"/>
          <w:lang w:bidi="ar-SA"/>
        </w:rPr>
        <w:t>36.</w:t>
      </w:r>
      <w:r w:rsidRPr="003213AC">
        <w:rPr>
          <w:rFonts w:ascii="Cambria" w:eastAsiaTheme="minorEastAsia" w:hAnsi="Cambria" w:cstheme="minorBidi"/>
          <w:color w:val="auto"/>
          <w:sz w:val="22"/>
          <w:szCs w:val="22"/>
          <w:lang w:bidi="ar-SA"/>
        </w:rPr>
        <w:tab/>
      </w:r>
      <w:r w:rsidR="0091740A" w:rsidRPr="003213AC">
        <w:rPr>
          <w:rFonts w:ascii="Cambria" w:eastAsiaTheme="minorEastAsia" w:hAnsi="Cambria" w:cstheme="minorBidi"/>
          <w:color w:val="auto"/>
          <w:sz w:val="22"/>
          <w:szCs w:val="22"/>
          <w:lang w:bidi="ar-SA"/>
        </w:rPr>
        <w:t xml:space="preserve">Approximately 600,000 people who do not have Thai </w:t>
      </w:r>
      <w:r w:rsidR="003213AC" w:rsidRPr="003213AC">
        <w:rPr>
          <w:rFonts w:ascii="Cambria" w:eastAsiaTheme="minorEastAsia" w:hAnsi="Cambria" w:cstheme="minorBidi"/>
          <w:color w:val="auto"/>
          <w:sz w:val="22"/>
          <w:szCs w:val="22"/>
          <w:lang w:bidi="ar-SA"/>
        </w:rPr>
        <w:t>nationality and</w:t>
      </w:r>
      <w:r w:rsidR="0091740A" w:rsidRPr="003213AC">
        <w:rPr>
          <w:rFonts w:ascii="Cambria" w:eastAsiaTheme="minorEastAsia" w:hAnsi="Cambria" w:cstheme="minorBidi"/>
          <w:color w:val="auto"/>
          <w:sz w:val="22"/>
          <w:szCs w:val="22"/>
          <w:lang w:bidi="ar-SA"/>
        </w:rPr>
        <w:t xml:space="preserve"> have been residing in Thailand for a long period of time, such as ethnic groups and their offspring, started to gain access to basic right to health following the Cabinet Resolution on Mar 23, 2010 to establish “Fund to give basic right (return right) to health for the persons with status and rights problem”.  Based on this policy, there are still 457, 409 persons who have a status and rights problem but have not gained access to the right to health because they had to wait for a registration survey to be completed in 2011. The survey shows that there are still people waiting to receive a 13-digit Identification Card number and there are 285,171 persons whose status </w:t>
      </w:r>
      <w:r w:rsidR="003213AC" w:rsidRPr="003213AC">
        <w:rPr>
          <w:rFonts w:ascii="Cambria" w:eastAsiaTheme="minorEastAsia" w:hAnsi="Cambria" w:cstheme="minorBidi"/>
          <w:color w:val="auto"/>
          <w:sz w:val="22"/>
          <w:szCs w:val="22"/>
          <w:lang w:bidi="ar-SA"/>
        </w:rPr>
        <w:t>have already</w:t>
      </w:r>
      <w:r w:rsidR="0091740A" w:rsidRPr="003213AC">
        <w:rPr>
          <w:rFonts w:ascii="Cambria" w:eastAsiaTheme="minorEastAsia" w:hAnsi="Cambria" w:cstheme="minorBidi"/>
          <w:color w:val="auto"/>
          <w:sz w:val="22"/>
          <w:szCs w:val="22"/>
          <w:lang w:bidi="ar-SA"/>
        </w:rPr>
        <w:t xml:space="preserve"> been identified</w:t>
      </w:r>
      <w:r w:rsidR="0091740A" w:rsidRPr="00AE682A">
        <w:rPr>
          <w:rStyle w:val="FootnoteReference"/>
          <w:rFonts w:ascii="Cambria" w:hAnsi="Cambria" w:cstheme="majorBidi"/>
          <w:color w:val="auto"/>
          <w:sz w:val="22"/>
          <w:szCs w:val="22"/>
        </w:rPr>
        <w:footnoteReference w:id="28"/>
      </w:r>
      <w:r w:rsidR="0091740A" w:rsidRPr="00AE682A">
        <w:rPr>
          <w:rFonts w:ascii="Cambria" w:hAnsi="Cambria" w:cstheme="majorBidi"/>
          <w:color w:val="auto"/>
          <w:sz w:val="22"/>
          <w:szCs w:val="22"/>
        </w:rPr>
        <w:t>.</w:t>
      </w:r>
    </w:p>
    <w:p w:rsidR="0091740A" w:rsidRPr="00AE682A" w:rsidRDefault="007A1FAD" w:rsidP="008705F1">
      <w:pPr>
        <w:pStyle w:val="Default"/>
        <w:spacing w:after="400"/>
        <w:jc w:val="thaiDistribute"/>
        <w:rPr>
          <w:rFonts w:ascii="Cambria" w:hAnsi="Cambria" w:cstheme="majorBidi"/>
          <w:color w:val="auto"/>
          <w:sz w:val="22"/>
          <w:szCs w:val="22"/>
        </w:rPr>
      </w:pPr>
      <w:r>
        <w:rPr>
          <w:rFonts w:ascii="Cambria" w:hAnsi="Cambria" w:cstheme="majorBidi"/>
          <w:color w:val="auto"/>
          <w:sz w:val="22"/>
          <w:szCs w:val="22"/>
        </w:rPr>
        <w:lastRenderedPageBreak/>
        <w:t>37.</w:t>
      </w:r>
      <w:r>
        <w:rPr>
          <w:rFonts w:ascii="Cambria" w:hAnsi="Cambria" w:cstheme="majorBidi"/>
          <w:color w:val="auto"/>
          <w:sz w:val="22"/>
          <w:szCs w:val="22"/>
        </w:rPr>
        <w:tab/>
      </w:r>
      <w:r w:rsidR="0091740A" w:rsidRPr="00AE682A">
        <w:rPr>
          <w:rFonts w:ascii="Cambria" w:hAnsi="Cambria" w:cstheme="majorBidi"/>
          <w:color w:val="auto"/>
          <w:sz w:val="22"/>
          <w:szCs w:val="22"/>
        </w:rPr>
        <w:t xml:space="preserve">Not receiving health insurance, living in a remote area and a low density of population in highland result in an inadequate health budget to provide for everyone in the area. The people in the border area are poor, have low income and have to pay for a high traveling expense, gaining access to medical care without a health insurance is very expensive. Currently, many private hospitals have to absorb the medical </w:t>
      </w:r>
      <w:r w:rsidR="003213AC" w:rsidRPr="00AE682A">
        <w:rPr>
          <w:rFonts w:ascii="Cambria" w:hAnsi="Cambria" w:cstheme="majorBidi"/>
          <w:color w:val="auto"/>
          <w:sz w:val="22"/>
          <w:szCs w:val="22"/>
        </w:rPr>
        <w:t>care expense</w:t>
      </w:r>
      <w:r w:rsidR="0091740A" w:rsidRPr="00AE682A">
        <w:rPr>
          <w:rFonts w:ascii="Cambria" w:hAnsi="Cambria" w:cstheme="majorBidi"/>
          <w:color w:val="auto"/>
          <w:sz w:val="22"/>
          <w:szCs w:val="22"/>
        </w:rPr>
        <w:t xml:space="preserve"> and disease control fee. Many private hospitals do not receive enough budgets because they have to provide medical care for those without health insurance, have low income and come from neighboring countries. Thus, they have to rely on donation. </w:t>
      </w:r>
    </w:p>
    <w:p w:rsidR="00AE682A" w:rsidRDefault="0091740A" w:rsidP="008705F1">
      <w:pPr>
        <w:jc w:val="thaiDistribute"/>
        <w:rPr>
          <w:rFonts w:ascii="Cambria" w:hAnsi="Cambria"/>
          <w:b/>
          <w:sz w:val="22"/>
          <w:szCs w:val="22"/>
          <w:u w:val="single"/>
        </w:rPr>
      </w:pPr>
      <w:r w:rsidRPr="00AE682A">
        <w:rPr>
          <w:rFonts w:ascii="Cambria" w:hAnsi="Cambria"/>
          <w:b/>
          <w:sz w:val="22"/>
          <w:szCs w:val="22"/>
          <w:u w:val="single"/>
        </w:rPr>
        <w:t>Article 13 Right to Education</w:t>
      </w:r>
    </w:p>
    <w:p w:rsidR="00AE682A" w:rsidRDefault="00AE682A" w:rsidP="008705F1">
      <w:pPr>
        <w:jc w:val="thaiDistribute"/>
        <w:rPr>
          <w:rFonts w:ascii="Cambria" w:hAnsi="Cambria"/>
          <w:b/>
          <w:sz w:val="22"/>
          <w:szCs w:val="22"/>
          <w:u w:val="single"/>
        </w:rPr>
      </w:pPr>
    </w:p>
    <w:p w:rsidR="003213AC" w:rsidRDefault="003213AC" w:rsidP="008705F1">
      <w:pPr>
        <w:spacing w:after="400"/>
        <w:jc w:val="thaiDistribute"/>
        <w:rPr>
          <w:rFonts w:ascii="Cambria" w:hAnsi="Cambria" w:cstheme="majorBidi"/>
          <w:sz w:val="22"/>
          <w:szCs w:val="22"/>
        </w:rPr>
      </w:pPr>
      <w:r>
        <w:rPr>
          <w:rFonts w:ascii="Cambria" w:hAnsi="Cambria" w:cstheme="majorBidi"/>
          <w:sz w:val="22"/>
          <w:szCs w:val="22"/>
        </w:rPr>
        <w:t>38.</w:t>
      </w:r>
      <w:r>
        <w:rPr>
          <w:rFonts w:ascii="Cambria" w:hAnsi="Cambria" w:cstheme="majorBidi"/>
          <w:sz w:val="22"/>
          <w:szCs w:val="22"/>
        </w:rPr>
        <w:tab/>
      </w:r>
      <w:r w:rsidR="0091740A" w:rsidRPr="0091740A">
        <w:rPr>
          <w:rFonts w:ascii="Cambria" w:hAnsi="Cambria" w:cstheme="majorBidi"/>
          <w:sz w:val="22"/>
          <w:szCs w:val="22"/>
        </w:rPr>
        <w:t>Thailand has a basic educational welfare of 15 years by providing a financial support to persons especially with Thai nationality but it is still not enough. Based on TDRI data in 2011, the state should allocate more budget to Vocational Education because more equipments are required in class than in General Education.</w:t>
      </w:r>
      <w:r w:rsidR="0091740A" w:rsidRPr="0091740A">
        <w:rPr>
          <w:rStyle w:val="FootnoteReference"/>
          <w:rFonts w:ascii="Cambria" w:hAnsi="Cambria" w:cstheme="majorBidi"/>
          <w:sz w:val="22"/>
          <w:szCs w:val="22"/>
        </w:rPr>
        <w:footnoteReference w:id="29"/>
      </w:r>
      <w:r w:rsidR="0091740A" w:rsidRPr="0091740A">
        <w:rPr>
          <w:rFonts w:ascii="Cambria" w:hAnsi="Cambria" w:cstheme="majorBidi"/>
          <w:sz w:val="22"/>
          <w:szCs w:val="22"/>
        </w:rPr>
        <w:t xml:space="preserve">and the budget per head to basic education covers only tuition fee, educational materials, learning development activities, student uniform, and books but does not include other fees that a school </w:t>
      </w:r>
      <w:r w:rsidR="0091740A" w:rsidRPr="00697001">
        <w:rPr>
          <w:rFonts w:ascii="Cambria" w:hAnsi="Cambria" w:cstheme="majorBidi"/>
          <w:sz w:val="22"/>
          <w:szCs w:val="22"/>
        </w:rPr>
        <w:t>collects</w:t>
      </w:r>
      <w:r w:rsidR="0091740A" w:rsidRPr="00697001">
        <w:rPr>
          <w:rStyle w:val="FootnoteReference"/>
          <w:rFonts w:ascii="Cambria" w:hAnsi="Cambria" w:cstheme="majorBidi"/>
          <w:sz w:val="22"/>
          <w:szCs w:val="22"/>
        </w:rPr>
        <w:footnoteReference w:id="30"/>
      </w:r>
      <w:r w:rsidR="0091740A" w:rsidRPr="00697001">
        <w:rPr>
          <w:rFonts w:ascii="Cambria" w:hAnsi="Cambria" w:cstheme="majorBidi"/>
          <w:sz w:val="22"/>
          <w:szCs w:val="22"/>
        </w:rPr>
        <w:t>, which results in some students not being able to go to school. For tertiary</w:t>
      </w:r>
      <w:r w:rsidR="0091740A" w:rsidRPr="0091740A">
        <w:rPr>
          <w:rFonts w:ascii="Cambria" w:hAnsi="Cambria" w:cstheme="majorBidi"/>
          <w:sz w:val="22"/>
          <w:szCs w:val="22"/>
        </w:rPr>
        <w:t xml:space="preserve"> education, there is a student loan option but only available for those with Thai nationality. A challenge for tertiary education is many universities start to become private, there are currently 15 private universities nationwide, which means the students have to pay more for school and lose opportunity to receive education. This contradicts with the right to education which supports all students to pursue education as much as their capability allows and especially a gradual financial subsidy from the state without conditions. Many students who organized activities to disagree with the universities becoming private were indirectly opposed by the military as the universities allowed them to handle the studentprotesters.</w:t>
      </w:r>
      <w:r w:rsidR="0091740A" w:rsidRPr="0091740A">
        <w:rPr>
          <w:rStyle w:val="FootnoteReference"/>
          <w:rFonts w:ascii="Cambria" w:hAnsi="Cambria" w:cstheme="majorBidi"/>
          <w:sz w:val="22"/>
          <w:szCs w:val="22"/>
        </w:rPr>
        <w:footnoteReference w:id="31"/>
      </w:r>
    </w:p>
    <w:p w:rsidR="003213AC" w:rsidRDefault="003213AC" w:rsidP="008705F1">
      <w:pPr>
        <w:spacing w:after="400"/>
        <w:jc w:val="thaiDistribute"/>
        <w:rPr>
          <w:rFonts w:ascii="Cambria" w:hAnsi="Cambria" w:cstheme="majorBidi"/>
          <w:sz w:val="22"/>
          <w:szCs w:val="22"/>
        </w:rPr>
      </w:pPr>
      <w:r>
        <w:rPr>
          <w:rFonts w:ascii="Cambria" w:hAnsi="Cambria" w:cstheme="majorBidi"/>
          <w:sz w:val="22"/>
          <w:szCs w:val="22"/>
        </w:rPr>
        <w:t>39.</w:t>
      </w:r>
      <w:r>
        <w:rPr>
          <w:rFonts w:ascii="Cambria" w:hAnsi="Cambria" w:cstheme="majorBidi"/>
          <w:sz w:val="22"/>
          <w:szCs w:val="22"/>
        </w:rPr>
        <w:tab/>
      </w:r>
      <w:r w:rsidR="0091740A" w:rsidRPr="0091740A">
        <w:rPr>
          <w:rFonts w:ascii="Cambria" w:hAnsi="Cambria" w:cstheme="majorBidi"/>
          <w:sz w:val="22"/>
          <w:szCs w:val="22"/>
        </w:rPr>
        <w:t>It has been reported that Office of the Basic Education Commission will reduce the budget to support stateless students and students who hold a transnational labor card to only subsidize tuition fee and educational materials in basic education level. Based on the Migrant Working group’s assessment, there will be 113,067 non-Thai students, 65,739 students without identification and 29,252 ethnic group students being affected should this policy take place.</w:t>
      </w:r>
      <w:r w:rsidR="0091740A" w:rsidRPr="0091740A">
        <w:rPr>
          <w:rStyle w:val="FootnoteReference"/>
          <w:rFonts w:ascii="Cambria" w:hAnsi="Cambria" w:cstheme="majorBidi"/>
          <w:sz w:val="22"/>
          <w:szCs w:val="22"/>
        </w:rPr>
        <w:footnoteReference w:id="32"/>
      </w:r>
    </w:p>
    <w:p w:rsidR="003213AC" w:rsidRDefault="003213AC" w:rsidP="008705F1">
      <w:pPr>
        <w:spacing w:after="400"/>
        <w:jc w:val="thaiDistribute"/>
        <w:rPr>
          <w:rFonts w:ascii="Cambria" w:hAnsi="Cambria" w:cstheme="majorBidi"/>
          <w:sz w:val="22"/>
          <w:szCs w:val="22"/>
        </w:rPr>
      </w:pPr>
      <w:r>
        <w:rPr>
          <w:rFonts w:ascii="Cambria" w:hAnsi="Cambria" w:cstheme="majorBidi"/>
          <w:sz w:val="22"/>
          <w:szCs w:val="22"/>
        </w:rPr>
        <w:lastRenderedPageBreak/>
        <w:t>40.</w:t>
      </w:r>
      <w:r>
        <w:rPr>
          <w:rFonts w:ascii="Cambria" w:hAnsi="Cambria" w:cstheme="majorBidi"/>
          <w:sz w:val="22"/>
          <w:szCs w:val="22"/>
        </w:rPr>
        <w:tab/>
      </w:r>
      <w:r w:rsidR="0091740A" w:rsidRPr="0091740A">
        <w:rPr>
          <w:rFonts w:ascii="Cambria" w:hAnsi="Cambria" w:cstheme="majorBidi"/>
          <w:sz w:val="22"/>
          <w:szCs w:val="22"/>
        </w:rPr>
        <w:t>Some parents see that the current educational system does not support the personality development of the students; therefore, they decided to home school. These are organized in small groups in the North and the South with strong community leaders.</w:t>
      </w:r>
    </w:p>
    <w:p w:rsidR="003213AC" w:rsidRDefault="003213AC" w:rsidP="008705F1">
      <w:pPr>
        <w:spacing w:after="400"/>
        <w:jc w:val="thaiDistribute"/>
        <w:rPr>
          <w:rFonts w:ascii="Cambria" w:hAnsi="Cambria" w:cstheme="majorBidi"/>
          <w:sz w:val="22"/>
          <w:szCs w:val="22"/>
        </w:rPr>
      </w:pPr>
      <w:r>
        <w:rPr>
          <w:rFonts w:ascii="Cambria" w:hAnsi="Cambria" w:cstheme="majorBidi"/>
          <w:sz w:val="22"/>
          <w:szCs w:val="22"/>
        </w:rPr>
        <w:t>41.</w:t>
      </w:r>
      <w:r>
        <w:rPr>
          <w:rFonts w:ascii="Cambria" w:hAnsi="Cambria" w:cstheme="majorBidi"/>
          <w:sz w:val="22"/>
          <w:szCs w:val="22"/>
        </w:rPr>
        <w:tab/>
      </w:r>
      <w:r w:rsidR="0091740A" w:rsidRPr="00AE682A">
        <w:rPr>
          <w:rFonts w:ascii="Cambria" w:hAnsi="Cambria" w:cstheme="majorBidi"/>
          <w:sz w:val="22"/>
          <w:szCs w:val="22"/>
        </w:rPr>
        <w:t xml:space="preserve">Male and female teachers inreligious and cultural education, based on individual belief, in PondokandTadikaschoolsare suspected from the security officials of being members of Patani United Liberation Organization. Most of them were arrested according to the martial law and emergency decree. Many Pondok schools were ordered to be closed because the government </w:t>
      </w:r>
      <w:r w:rsidR="0091740A" w:rsidRPr="0091740A">
        <w:rPr>
          <w:rFonts w:ascii="Cambria" w:hAnsi="Cambria" w:cstheme="majorBidi"/>
          <w:sz w:val="22"/>
          <w:szCs w:val="22"/>
        </w:rPr>
        <w:t xml:space="preserve">suspected them of fostering the students to oppose the state; for instance, Pondok Jihad Wittaya in Yaring District, PondokBaboseh in Saiburi District. </w:t>
      </w:r>
    </w:p>
    <w:p w:rsidR="003213AC" w:rsidRDefault="003213AC" w:rsidP="008705F1">
      <w:pPr>
        <w:spacing w:after="400"/>
        <w:jc w:val="thaiDistribute"/>
        <w:rPr>
          <w:rFonts w:ascii="Cambria" w:hAnsi="Cambria" w:cstheme="majorBidi"/>
          <w:sz w:val="22"/>
          <w:szCs w:val="22"/>
        </w:rPr>
      </w:pPr>
      <w:r>
        <w:rPr>
          <w:rFonts w:ascii="Cambria" w:hAnsi="Cambria" w:cstheme="majorBidi"/>
          <w:sz w:val="22"/>
          <w:szCs w:val="22"/>
        </w:rPr>
        <w:t>42.</w:t>
      </w:r>
      <w:r>
        <w:rPr>
          <w:rFonts w:ascii="Cambria" w:hAnsi="Cambria" w:cstheme="majorBidi"/>
          <w:sz w:val="22"/>
          <w:szCs w:val="22"/>
        </w:rPr>
        <w:tab/>
      </w:r>
      <w:r w:rsidR="0091740A" w:rsidRPr="0091740A">
        <w:rPr>
          <w:rFonts w:ascii="Cambria" w:hAnsi="Cambria" w:cstheme="majorBidi"/>
          <w:sz w:val="22"/>
          <w:szCs w:val="22"/>
        </w:rPr>
        <w:t>Both Pondok and Tadika schools were categorized as private schools and did not receive the state subsidy. The state did not give out a quality educational welfare appropriate for the identity of the majority of the people in the area.</w:t>
      </w:r>
    </w:p>
    <w:p w:rsidR="0091740A" w:rsidRPr="003213AC" w:rsidRDefault="003213AC" w:rsidP="008705F1">
      <w:pPr>
        <w:spacing w:after="400"/>
        <w:jc w:val="thaiDistribute"/>
        <w:rPr>
          <w:rFonts w:ascii="Cambria" w:hAnsi="Cambria"/>
          <w:b/>
          <w:sz w:val="22"/>
          <w:szCs w:val="22"/>
          <w:u w:val="single"/>
        </w:rPr>
      </w:pPr>
      <w:r>
        <w:rPr>
          <w:rFonts w:ascii="Cambria" w:hAnsi="Cambria" w:cstheme="majorBidi"/>
          <w:sz w:val="22"/>
          <w:szCs w:val="22"/>
        </w:rPr>
        <w:t>43.</w:t>
      </w:r>
      <w:r>
        <w:rPr>
          <w:rFonts w:ascii="Cambria" w:hAnsi="Cambria" w:cstheme="majorBidi"/>
          <w:sz w:val="22"/>
          <w:szCs w:val="22"/>
        </w:rPr>
        <w:tab/>
      </w:r>
      <w:r w:rsidR="0091740A" w:rsidRPr="0091740A">
        <w:rPr>
          <w:rFonts w:ascii="Cambria" w:hAnsi="Cambria" w:cstheme="majorBidi"/>
          <w:sz w:val="22"/>
          <w:szCs w:val="22"/>
        </w:rPr>
        <w:t xml:space="preserve">The state does not allow the use of Patani Malay language in schools and government offices. The students who graduated from the Middle East, for example, medical students were not certified by the Office of the Civil Service Commission, female Muslim students are not allowed to wear Jihab in Buddhist schools as in the case of Baan Nai Yong School in PhangNga. </w:t>
      </w:r>
    </w:p>
    <w:p w:rsidR="003213AC" w:rsidRPr="00697001" w:rsidRDefault="003213AC" w:rsidP="00044D81">
      <w:pPr>
        <w:spacing w:after="200" w:line="276" w:lineRule="auto"/>
        <w:rPr>
          <w:rFonts w:ascii="Cambria" w:hAnsi="Cambria"/>
          <w:szCs w:val="22"/>
        </w:rPr>
      </w:pPr>
      <w:r w:rsidRPr="00697001">
        <w:rPr>
          <w:rFonts w:ascii="Cambria" w:hAnsi="Cambria"/>
          <w:b/>
          <w:szCs w:val="22"/>
        </w:rPr>
        <w:t>Recommendations:</w:t>
      </w:r>
    </w:p>
    <w:p w:rsidR="003213AC" w:rsidRPr="00697001" w:rsidRDefault="0091740A" w:rsidP="008705F1">
      <w:pPr>
        <w:pStyle w:val="Default"/>
        <w:numPr>
          <w:ilvl w:val="0"/>
          <w:numId w:val="11"/>
        </w:numPr>
        <w:jc w:val="thaiDistribute"/>
        <w:rPr>
          <w:rFonts w:ascii="Cambria" w:hAnsi="Cambria" w:cstheme="majorBidi"/>
          <w:color w:val="auto"/>
          <w:sz w:val="22"/>
          <w:szCs w:val="22"/>
        </w:rPr>
      </w:pPr>
      <w:r w:rsidRPr="00697001">
        <w:rPr>
          <w:rFonts w:ascii="Cambria" w:hAnsi="Cambria" w:cstheme="majorBidi"/>
          <w:color w:val="auto"/>
          <w:sz w:val="22"/>
          <w:szCs w:val="22"/>
        </w:rPr>
        <w:t>The state must revise the control over universities to be under the state’s control so the general population can gain access to education based on the educational welfare as well as uphold the quality of the education.</w:t>
      </w:r>
    </w:p>
    <w:p w:rsidR="003213AC" w:rsidRPr="00697001" w:rsidRDefault="0091740A" w:rsidP="008705F1">
      <w:pPr>
        <w:pStyle w:val="Default"/>
        <w:numPr>
          <w:ilvl w:val="0"/>
          <w:numId w:val="11"/>
        </w:numPr>
        <w:jc w:val="thaiDistribute"/>
        <w:rPr>
          <w:rFonts w:ascii="Cambria" w:hAnsi="Cambria" w:cstheme="majorBidi"/>
          <w:color w:val="auto"/>
          <w:sz w:val="22"/>
          <w:szCs w:val="22"/>
        </w:rPr>
      </w:pPr>
      <w:r w:rsidRPr="00697001">
        <w:rPr>
          <w:rFonts w:ascii="Cambria" w:hAnsi="Cambria" w:cstheme="majorBidi"/>
          <w:color w:val="auto"/>
          <w:sz w:val="22"/>
          <w:szCs w:val="22"/>
        </w:rPr>
        <w:t xml:space="preserve">The state must maintain the financial support for the transnational students in the Thai education system and consider subsidizing private schools or transnationalstudents learning centers. </w:t>
      </w:r>
    </w:p>
    <w:p w:rsidR="0091740A" w:rsidRPr="00697001" w:rsidRDefault="0091740A" w:rsidP="008705F1">
      <w:pPr>
        <w:pStyle w:val="Default"/>
        <w:numPr>
          <w:ilvl w:val="0"/>
          <w:numId w:val="11"/>
        </w:numPr>
        <w:jc w:val="thaiDistribute"/>
        <w:rPr>
          <w:rFonts w:ascii="Cambria" w:hAnsi="Cambria" w:cstheme="majorBidi"/>
          <w:color w:val="auto"/>
          <w:sz w:val="22"/>
          <w:szCs w:val="22"/>
        </w:rPr>
      </w:pPr>
      <w:r w:rsidRPr="00697001">
        <w:rPr>
          <w:rFonts w:ascii="Cambria" w:hAnsi="Cambria" w:cstheme="majorBidi"/>
          <w:color w:val="auto"/>
          <w:sz w:val="22"/>
          <w:szCs w:val="22"/>
        </w:rPr>
        <w:t xml:space="preserve">The state must support the education according to the religion and culture based on the belief of the people in the area, parents, and the community. </w:t>
      </w:r>
    </w:p>
    <w:p w:rsidR="0091740A" w:rsidRPr="00697001" w:rsidRDefault="0091740A" w:rsidP="0091740A">
      <w:pPr>
        <w:pStyle w:val="Default"/>
        <w:rPr>
          <w:rFonts w:asciiTheme="majorBidi" w:hAnsiTheme="majorBidi" w:cstheme="majorBidi"/>
          <w:color w:val="auto"/>
          <w:sz w:val="32"/>
          <w:szCs w:val="32"/>
        </w:rPr>
      </w:pPr>
    </w:p>
    <w:p w:rsidR="007A1FAD" w:rsidRPr="00697001" w:rsidRDefault="0091740A" w:rsidP="007A1FAD">
      <w:pPr>
        <w:jc w:val="both"/>
        <w:rPr>
          <w:rFonts w:ascii="Cambria" w:hAnsi="Cambria"/>
          <w:b/>
          <w:sz w:val="22"/>
          <w:szCs w:val="22"/>
          <w:u w:val="single"/>
        </w:rPr>
      </w:pPr>
      <w:r w:rsidRPr="00697001">
        <w:rPr>
          <w:rFonts w:ascii="Cambria" w:hAnsi="Cambria"/>
          <w:b/>
          <w:sz w:val="22"/>
          <w:szCs w:val="22"/>
          <w:u w:val="single"/>
        </w:rPr>
        <w:t>Article 15 Right to Culture</w:t>
      </w:r>
    </w:p>
    <w:p w:rsidR="007A1FAD" w:rsidRPr="00697001" w:rsidRDefault="007A1FAD" w:rsidP="007A1FAD">
      <w:pPr>
        <w:jc w:val="both"/>
        <w:rPr>
          <w:rFonts w:ascii="Cambria" w:hAnsi="Cambria"/>
          <w:b/>
          <w:sz w:val="22"/>
          <w:szCs w:val="22"/>
          <w:u w:val="single"/>
        </w:rPr>
      </w:pPr>
    </w:p>
    <w:p w:rsidR="003213AC" w:rsidRDefault="003213AC" w:rsidP="008705F1">
      <w:pPr>
        <w:spacing w:after="400"/>
        <w:jc w:val="thaiDistribute"/>
        <w:rPr>
          <w:rFonts w:ascii="Cambria" w:hAnsi="Cambria" w:cstheme="majorBidi"/>
          <w:sz w:val="22"/>
          <w:szCs w:val="22"/>
        </w:rPr>
      </w:pPr>
      <w:r w:rsidRPr="00697001">
        <w:rPr>
          <w:rFonts w:ascii="Cambria" w:hAnsi="Cambria" w:cstheme="majorBidi"/>
          <w:sz w:val="22"/>
          <w:szCs w:val="22"/>
        </w:rPr>
        <w:t>44.</w:t>
      </w:r>
      <w:r w:rsidRPr="00697001">
        <w:rPr>
          <w:rFonts w:ascii="Cambria" w:hAnsi="Cambria" w:cstheme="majorBidi"/>
          <w:sz w:val="22"/>
          <w:szCs w:val="22"/>
        </w:rPr>
        <w:tab/>
      </w:r>
      <w:r w:rsidR="0091740A" w:rsidRPr="00697001">
        <w:rPr>
          <w:rFonts w:ascii="Cambria" w:hAnsi="Cambria" w:cstheme="majorBidi"/>
          <w:sz w:val="22"/>
          <w:szCs w:val="22"/>
        </w:rPr>
        <w:t>After the coup d’état carried out by the NCPO on May 22, 2014, related officials rushed to close cases in response to NCPO’s policy to preserve the forest. On July 28, 2014, military officials, Royal Forest Department police and Administration Department arrested 3 KarensinKhum Yom District to go to Mae Hong Son court</w:t>
      </w:r>
      <w:r w:rsidR="0091740A" w:rsidRPr="00697001">
        <w:rPr>
          <w:rStyle w:val="FootnoteReference"/>
          <w:rFonts w:ascii="Cambria" w:hAnsi="Cambria" w:cstheme="majorBidi"/>
          <w:sz w:val="22"/>
          <w:szCs w:val="22"/>
        </w:rPr>
        <w:footnoteReference w:id="33"/>
      </w:r>
      <w:r w:rsidR="0091740A" w:rsidRPr="00697001">
        <w:rPr>
          <w:rFonts w:ascii="Cambria" w:hAnsi="Cambria" w:cstheme="majorBidi"/>
          <w:sz w:val="22"/>
          <w:szCs w:val="22"/>
        </w:rPr>
        <w:t xml:space="preserve"> after being charged for</w:t>
      </w:r>
      <w:r w:rsidR="0091740A" w:rsidRPr="007A1FAD">
        <w:rPr>
          <w:rFonts w:ascii="Cambria" w:hAnsi="Cambria" w:cstheme="majorBidi"/>
          <w:sz w:val="22"/>
          <w:szCs w:val="22"/>
        </w:rPr>
        <w:t xml:space="preserve"> deforestation for residence, taking ownership of forest, making private use of forest and possessing woods which causing deforestation. The court sentenced them to 12 month in prison without suspension for punishment.</w:t>
      </w:r>
    </w:p>
    <w:p w:rsidR="0091740A" w:rsidRPr="003213AC" w:rsidRDefault="0091740A" w:rsidP="008705F1">
      <w:pPr>
        <w:spacing w:after="400"/>
        <w:ind w:firstLine="720"/>
        <w:jc w:val="thaiDistribute"/>
        <w:rPr>
          <w:rFonts w:ascii="Cambria" w:hAnsi="Cambria"/>
          <w:b/>
          <w:sz w:val="22"/>
          <w:szCs w:val="22"/>
          <w:u w:val="single"/>
        </w:rPr>
      </w:pPr>
      <w:r w:rsidRPr="007A1FAD">
        <w:rPr>
          <w:rFonts w:ascii="Cambria" w:hAnsi="Cambria" w:cstheme="majorBidi"/>
          <w:sz w:val="22"/>
          <w:szCs w:val="22"/>
        </w:rPr>
        <w:t xml:space="preserve">And on May 4, 2014, the military officials, Royal Forest Department police and Administration Department, arrested 34 Karens from Toongka Village, Baan </w:t>
      </w:r>
      <w:r w:rsidRPr="007A1FAD">
        <w:rPr>
          <w:rFonts w:ascii="Cambria" w:hAnsi="Cambria" w:cstheme="majorBidi"/>
          <w:sz w:val="22"/>
          <w:szCs w:val="22"/>
        </w:rPr>
        <w:lastRenderedPageBreak/>
        <w:t xml:space="preserve">MaelanoiDistrict, </w:t>
      </w:r>
      <w:r w:rsidRPr="007A1FAD">
        <w:rPr>
          <w:rFonts w:ascii="Cambria" w:hAnsi="Cambria" w:cstheme="majorBidi"/>
          <w:sz w:val="22"/>
          <w:szCs w:val="22"/>
          <w:highlight w:val="yellow"/>
        </w:rPr>
        <w:t>Mae Sariang Province</w:t>
      </w:r>
      <w:r w:rsidRPr="007A1FAD">
        <w:rPr>
          <w:rStyle w:val="FootnoteReference"/>
          <w:rFonts w:ascii="Cambria" w:hAnsi="Cambria" w:cstheme="majorBidi"/>
          <w:sz w:val="22"/>
          <w:szCs w:val="22"/>
        </w:rPr>
        <w:footnoteReference w:id="34"/>
      </w:r>
      <w:r w:rsidRPr="007A1FAD">
        <w:rPr>
          <w:rFonts w:ascii="Cambria" w:hAnsi="Cambria" w:cstheme="majorBidi"/>
          <w:sz w:val="22"/>
          <w:szCs w:val="22"/>
        </w:rPr>
        <w:t>, on the charge of possessing woods without permission from 0.47 – 12 m</w:t>
      </w:r>
      <w:r w:rsidRPr="007A1FAD">
        <w:rPr>
          <w:rFonts w:ascii="Cambria" w:hAnsi="Cambria" w:cstheme="majorBidi"/>
          <w:sz w:val="22"/>
          <w:szCs w:val="22"/>
          <w:vertAlign w:val="superscript"/>
        </w:rPr>
        <w:t>3</w:t>
      </w:r>
      <w:r w:rsidRPr="007A1FAD">
        <w:rPr>
          <w:rFonts w:ascii="Cambria" w:hAnsi="Cambria" w:cstheme="majorBidi"/>
          <w:sz w:val="22"/>
          <w:szCs w:val="22"/>
        </w:rPr>
        <w:t xml:space="preserve">. The defendants confessed that it was a Karen tradition to use woods to build and repair houses and they were not for sale. On October 29, 2014, the court announced that they are guilty for possessing the woods without permission and caused the global warming, of which the punishment could not wait. The court sentenced the 22 Karens to 1 – 5 years and 6 months in prison with suspension for punishment and 12 Karens to be fined from 10,000 – 20,000 baht. The villagers felt that the punishments were harsher than normal because they wanted to please the NCPO and it was discriminatory towards the minority group, who are not Thai. The deforestation by investors to build resorts were never brought to court or fined, they were all released. During the testimony, Karen culture was explained that they have been living in the forest for a long time since the time of their descendants and their culture is to live in a wooden house. Moreover, they cannot carry the bricks and cement up from the city to build houses. The villagers want to appeal to the </w:t>
      </w:r>
      <w:r w:rsidR="007A1FAD" w:rsidRPr="007A1FAD">
        <w:rPr>
          <w:rFonts w:ascii="Cambria" w:hAnsi="Cambria" w:cstheme="majorBidi"/>
          <w:sz w:val="22"/>
          <w:szCs w:val="22"/>
        </w:rPr>
        <w:t>Supreme Court</w:t>
      </w:r>
      <w:r w:rsidRPr="007A1FAD">
        <w:rPr>
          <w:rFonts w:ascii="Cambria" w:hAnsi="Cambria" w:cstheme="majorBidi"/>
          <w:sz w:val="22"/>
          <w:szCs w:val="22"/>
        </w:rPr>
        <w:t xml:space="preserve"> so the case would be set as an example.</w:t>
      </w:r>
    </w:p>
    <w:p w:rsidR="0091740A" w:rsidRPr="007A1FAD" w:rsidRDefault="0091740A" w:rsidP="0091740A">
      <w:pPr>
        <w:pStyle w:val="Default"/>
        <w:rPr>
          <w:rFonts w:ascii="Cambria" w:hAnsi="Cambria" w:cstheme="majorBidi"/>
          <w:color w:val="auto"/>
          <w:sz w:val="22"/>
          <w:szCs w:val="22"/>
          <w:vertAlign w:val="superscript"/>
        </w:rPr>
      </w:pPr>
    </w:p>
    <w:p w:rsidR="003213AC" w:rsidRPr="00EA7659" w:rsidRDefault="003213AC" w:rsidP="003213AC">
      <w:pPr>
        <w:pStyle w:val="Normal1"/>
        <w:rPr>
          <w:rFonts w:ascii="Cambria" w:hAnsi="Cambria"/>
          <w:szCs w:val="22"/>
        </w:rPr>
      </w:pPr>
      <w:r w:rsidRPr="00EA7659">
        <w:rPr>
          <w:rFonts w:ascii="Cambria" w:hAnsi="Cambria"/>
          <w:b/>
          <w:szCs w:val="22"/>
        </w:rPr>
        <w:t>Recommendations:</w:t>
      </w:r>
    </w:p>
    <w:p w:rsidR="003213AC" w:rsidRDefault="0091740A" w:rsidP="007A1FAD">
      <w:pPr>
        <w:pStyle w:val="Default"/>
        <w:numPr>
          <w:ilvl w:val="0"/>
          <w:numId w:val="12"/>
        </w:numPr>
        <w:rPr>
          <w:rFonts w:ascii="Cambria" w:hAnsi="Cambria" w:cstheme="majorBidi"/>
          <w:color w:val="auto"/>
          <w:sz w:val="22"/>
          <w:szCs w:val="22"/>
        </w:rPr>
      </w:pPr>
      <w:r w:rsidRPr="007A1FAD">
        <w:rPr>
          <w:rFonts w:ascii="Cambria" w:hAnsi="Cambria" w:cstheme="majorBidi"/>
          <w:color w:val="auto"/>
          <w:sz w:val="22"/>
          <w:szCs w:val="22"/>
        </w:rPr>
        <w:t>Revise the laws on human rights, natural resources, culture and citizen’s way of life.</w:t>
      </w:r>
    </w:p>
    <w:p w:rsidR="0091740A" w:rsidRPr="003213AC" w:rsidRDefault="0091740A" w:rsidP="008705F1">
      <w:pPr>
        <w:pStyle w:val="Default"/>
        <w:numPr>
          <w:ilvl w:val="0"/>
          <w:numId w:val="12"/>
        </w:numPr>
        <w:jc w:val="thaiDistribute"/>
        <w:rPr>
          <w:rFonts w:ascii="Cambria" w:hAnsi="Cambria" w:cstheme="majorBidi"/>
          <w:color w:val="auto"/>
          <w:sz w:val="22"/>
          <w:szCs w:val="22"/>
        </w:rPr>
      </w:pPr>
      <w:r w:rsidRPr="003213AC">
        <w:rPr>
          <w:rFonts w:ascii="Cambria" w:hAnsi="Cambria" w:cstheme="majorBidi"/>
          <w:color w:val="auto"/>
          <w:sz w:val="22"/>
          <w:szCs w:val="22"/>
        </w:rPr>
        <w:t xml:space="preserve">The concept of resource management came from the concept of forest preservation and people management which allows disadvantaged people to get bullied. The government should consider the resource management in the perspective of creating the balance between people and forest and people and resource. </w:t>
      </w:r>
    </w:p>
    <w:p w:rsidR="0091740A" w:rsidRPr="00A77D73" w:rsidRDefault="0091740A" w:rsidP="0091740A">
      <w:pPr>
        <w:pStyle w:val="Default"/>
        <w:rPr>
          <w:rFonts w:asciiTheme="majorBidi" w:hAnsiTheme="majorBidi" w:cstheme="majorBidi"/>
          <w:b/>
          <w:bCs/>
          <w:color w:val="auto"/>
          <w:sz w:val="32"/>
          <w:szCs w:val="32"/>
        </w:rPr>
      </w:pPr>
    </w:p>
    <w:p w:rsidR="0091740A" w:rsidRPr="00697001" w:rsidRDefault="0091740A" w:rsidP="0091740A">
      <w:pPr>
        <w:pStyle w:val="Default"/>
        <w:rPr>
          <w:rFonts w:ascii="Cambria" w:hAnsi="Cambria" w:cstheme="majorBidi"/>
          <w:b/>
          <w:color w:val="auto"/>
          <w:sz w:val="22"/>
          <w:szCs w:val="22"/>
          <w:u w:val="single"/>
        </w:rPr>
      </w:pPr>
      <w:r w:rsidRPr="00697001">
        <w:rPr>
          <w:rFonts w:ascii="Cambria" w:hAnsi="Cambria" w:cstheme="majorBidi"/>
          <w:b/>
          <w:color w:val="auto"/>
          <w:sz w:val="22"/>
          <w:szCs w:val="22"/>
          <w:u w:val="single"/>
        </w:rPr>
        <w:t>III. Success, challenge and limitation</w:t>
      </w:r>
    </w:p>
    <w:p w:rsidR="0091740A" w:rsidRPr="00A77D73" w:rsidRDefault="0091740A" w:rsidP="0091740A">
      <w:pPr>
        <w:pStyle w:val="Default"/>
        <w:rPr>
          <w:rFonts w:asciiTheme="majorBidi" w:hAnsiTheme="majorBidi" w:cstheme="majorBidi"/>
          <w:color w:val="auto"/>
          <w:sz w:val="32"/>
          <w:szCs w:val="32"/>
        </w:rPr>
      </w:pPr>
    </w:p>
    <w:p w:rsidR="0091740A" w:rsidRPr="00697001" w:rsidRDefault="0091740A" w:rsidP="0091740A">
      <w:pPr>
        <w:pStyle w:val="Default"/>
        <w:rPr>
          <w:rFonts w:ascii="Cambria" w:hAnsi="Cambria" w:cstheme="majorBidi"/>
          <w:b/>
          <w:color w:val="auto"/>
          <w:sz w:val="22"/>
          <w:szCs w:val="22"/>
        </w:rPr>
      </w:pPr>
      <w:r w:rsidRPr="00697001">
        <w:rPr>
          <w:rFonts w:ascii="Cambria" w:hAnsi="Cambria" w:cstheme="majorBidi"/>
          <w:b/>
          <w:color w:val="auto"/>
          <w:sz w:val="22"/>
          <w:szCs w:val="22"/>
        </w:rPr>
        <w:t>Success</w:t>
      </w:r>
    </w:p>
    <w:p w:rsidR="0091740A" w:rsidRPr="007A1FAD" w:rsidRDefault="0091740A" w:rsidP="008705F1">
      <w:pPr>
        <w:pStyle w:val="Default"/>
        <w:numPr>
          <w:ilvl w:val="0"/>
          <w:numId w:val="4"/>
        </w:numPr>
        <w:jc w:val="thaiDistribute"/>
        <w:rPr>
          <w:rFonts w:ascii="Cambria" w:hAnsi="Cambria" w:cstheme="majorBidi"/>
          <w:color w:val="auto"/>
          <w:sz w:val="22"/>
          <w:szCs w:val="22"/>
        </w:rPr>
      </w:pPr>
      <w:r w:rsidRPr="007A1FAD">
        <w:rPr>
          <w:rFonts w:ascii="Cambria" w:hAnsi="Cambria" w:cstheme="majorBidi"/>
          <w:color w:val="auto"/>
          <w:sz w:val="22"/>
          <w:szCs w:val="22"/>
        </w:rPr>
        <w:t>The case of Klity villagers is one of the success stories that the Pakayor ethnic group utilized the justice process to request for the state to compensate for the damages done to the way of live, food security and resources which were lost from the lead contamination from the mines. This should be an example to show that the Supreme Court ordered the state compensation for the villagers</w:t>
      </w:r>
      <w:r w:rsidRPr="007A1FAD">
        <w:rPr>
          <w:rStyle w:val="FootnoteReference"/>
          <w:rFonts w:ascii="Cambria" w:hAnsi="Cambria" w:cstheme="majorBidi"/>
          <w:color w:val="auto"/>
          <w:sz w:val="22"/>
          <w:szCs w:val="22"/>
        </w:rPr>
        <w:footnoteReference w:id="35"/>
      </w:r>
      <w:r w:rsidRPr="007A1FAD">
        <w:rPr>
          <w:rFonts w:ascii="Cambria" w:hAnsi="Cambria" w:cstheme="majorBidi"/>
          <w:color w:val="auto"/>
          <w:sz w:val="22"/>
          <w:szCs w:val="22"/>
        </w:rPr>
        <w:t xml:space="preserve">. However, in practicality, the villagers are still waiting for the process to be done according to the court order. </w:t>
      </w:r>
    </w:p>
    <w:p w:rsidR="0091740A" w:rsidRPr="007A1FAD" w:rsidRDefault="0091740A" w:rsidP="0091740A">
      <w:pPr>
        <w:pStyle w:val="Default"/>
        <w:rPr>
          <w:rFonts w:ascii="Cambria" w:hAnsi="Cambria" w:cstheme="majorBidi"/>
          <w:b/>
          <w:bCs/>
          <w:color w:val="auto"/>
          <w:sz w:val="22"/>
          <w:szCs w:val="22"/>
          <w:cs/>
        </w:rPr>
      </w:pPr>
    </w:p>
    <w:p w:rsidR="0091740A" w:rsidRPr="00697001" w:rsidRDefault="0091740A" w:rsidP="0091740A">
      <w:pPr>
        <w:pStyle w:val="Default"/>
        <w:rPr>
          <w:rFonts w:ascii="Cambria" w:hAnsi="Cambria" w:cstheme="majorBidi"/>
          <w:b/>
          <w:color w:val="auto"/>
          <w:sz w:val="22"/>
          <w:szCs w:val="22"/>
        </w:rPr>
      </w:pPr>
      <w:r w:rsidRPr="00697001">
        <w:rPr>
          <w:rFonts w:ascii="Cambria" w:hAnsi="Cambria" w:cstheme="majorBidi"/>
          <w:b/>
          <w:color w:val="auto"/>
          <w:sz w:val="22"/>
          <w:szCs w:val="22"/>
        </w:rPr>
        <w:t>Challenge</w:t>
      </w:r>
    </w:p>
    <w:p w:rsidR="0091740A" w:rsidRPr="007A1FAD" w:rsidRDefault="0091740A" w:rsidP="0091740A">
      <w:pPr>
        <w:pStyle w:val="Default"/>
        <w:numPr>
          <w:ilvl w:val="0"/>
          <w:numId w:val="5"/>
        </w:numPr>
        <w:spacing w:after="295"/>
        <w:rPr>
          <w:rFonts w:ascii="Cambria" w:hAnsi="Cambria" w:cstheme="majorBidi"/>
          <w:color w:val="auto"/>
          <w:sz w:val="22"/>
          <w:szCs w:val="22"/>
        </w:rPr>
      </w:pPr>
      <w:r w:rsidRPr="007A1FAD">
        <w:rPr>
          <w:rFonts w:ascii="Cambria" w:hAnsi="Cambria" w:cstheme="majorBidi"/>
          <w:color w:val="auto"/>
          <w:sz w:val="22"/>
          <w:szCs w:val="22"/>
        </w:rPr>
        <w:t xml:space="preserve">Using the international law framework that Thailand has signed to process the cases for fairness and justice. </w:t>
      </w:r>
    </w:p>
    <w:p w:rsidR="0091740A" w:rsidRPr="007A1FAD" w:rsidRDefault="0091740A" w:rsidP="0091740A">
      <w:pPr>
        <w:pStyle w:val="Default"/>
        <w:numPr>
          <w:ilvl w:val="0"/>
          <w:numId w:val="5"/>
        </w:numPr>
        <w:spacing w:after="295"/>
        <w:rPr>
          <w:rFonts w:ascii="Cambria" w:hAnsi="Cambria" w:cstheme="majorBidi"/>
          <w:color w:val="auto"/>
          <w:sz w:val="22"/>
          <w:szCs w:val="22"/>
        </w:rPr>
      </w:pPr>
      <w:r w:rsidRPr="007A1FAD">
        <w:rPr>
          <w:rFonts w:ascii="Cambria" w:hAnsi="Cambria" w:cstheme="majorBidi"/>
          <w:color w:val="auto"/>
          <w:sz w:val="22"/>
          <w:szCs w:val="22"/>
        </w:rPr>
        <w:t>Making law reform in Thailand to be in line with the reality,respect human rights and culture of minority groups, and not contradict with the international principles.</w:t>
      </w:r>
    </w:p>
    <w:p w:rsidR="0091740A" w:rsidRPr="007A1FAD" w:rsidRDefault="0091740A" w:rsidP="0091740A">
      <w:pPr>
        <w:pStyle w:val="Default"/>
        <w:numPr>
          <w:ilvl w:val="0"/>
          <w:numId w:val="5"/>
        </w:numPr>
        <w:rPr>
          <w:rFonts w:ascii="Cambria" w:hAnsi="Cambria" w:cstheme="majorBidi"/>
          <w:color w:val="auto"/>
          <w:sz w:val="22"/>
          <w:szCs w:val="22"/>
        </w:rPr>
      </w:pPr>
      <w:r w:rsidRPr="007A1FAD">
        <w:rPr>
          <w:rFonts w:ascii="Cambria" w:hAnsi="Cambria" w:cstheme="majorBidi"/>
          <w:color w:val="auto"/>
          <w:sz w:val="22"/>
          <w:szCs w:val="22"/>
        </w:rPr>
        <w:t xml:space="preserve">Solving economic problems at the grassroots level. </w:t>
      </w:r>
    </w:p>
    <w:p w:rsidR="0091740A" w:rsidRPr="007A1FAD" w:rsidRDefault="0091740A" w:rsidP="0091740A">
      <w:pPr>
        <w:pStyle w:val="Default"/>
        <w:rPr>
          <w:rFonts w:ascii="Cambria" w:hAnsi="Cambria" w:cstheme="majorBidi"/>
          <w:color w:val="auto"/>
          <w:sz w:val="22"/>
          <w:szCs w:val="22"/>
        </w:rPr>
      </w:pPr>
    </w:p>
    <w:p w:rsidR="0091740A" w:rsidRPr="00697001" w:rsidRDefault="0091740A" w:rsidP="0091740A">
      <w:pPr>
        <w:pStyle w:val="Default"/>
        <w:rPr>
          <w:rFonts w:ascii="Cambria" w:hAnsi="Cambria" w:cstheme="majorBidi"/>
          <w:b/>
          <w:color w:val="auto"/>
          <w:sz w:val="22"/>
          <w:szCs w:val="22"/>
        </w:rPr>
      </w:pPr>
      <w:r w:rsidRPr="00697001">
        <w:rPr>
          <w:rFonts w:ascii="Cambria" w:hAnsi="Cambria" w:cstheme="majorBidi"/>
          <w:b/>
          <w:color w:val="auto"/>
          <w:sz w:val="22"/>
          <w:szCs w:val="22"/>
        </w:rPr>
        <w:lastRenderedPageBreak/>
        <w:t>Limitation</w:t>
      </w:r>
    </w:p>
    <w:p w:rsidR="0091740A" w:rsidRPr="007A1FAD" w:rsidRDefault="0091740A" w:rsidP="0091740A">
      <w:pPr>
        <w:pStyle w:val="Default"/>
        <w:numPr>
          <w:ilvl w:val="0"/>
          <w:numId w:val="6"/>
        </w:numPr>
        <w:spacing w:after="295"/>
        <w:rPr>
          <w:rFonts w:ascii="Cambria" w:hAnsi="Cambria" w:cstheme="majorBidi"/>
          <w:color w:val="auto"/>
          <w:sz w:val="22"/>
          <w:szCs w:val="22"/>
        </w:rPr>
      </w:pPr>
      <w:r w:rsidRPr="007A1FAD">
        <w:rPr>
          <w:rFonts w:ascii="Cambria" w:hAnsi="Cambria" w:cstheme="majorBidi"/>
          <w:color w:val="auto"/>
          <w:sz w:val="22"/>
          <w:szCs w:val="22"/>
        </w:rPr>
        <w:t>The government’s way of thinking still does not respect human rights.</w:t>
      </w:r>
    </w:p>
    <w:p w:rsidR="0091740A" w:rsidRPr="007A1FAD" w:rsidRDefault="0091740A" w:rsidP="0091740A">
      <w:pPr>
        <w:pStyle w:val="Default"/>
        <w:numPr>
          <w:ilvl w:val="0"/>
          <w:numId w:val="6"/>
        </w:numPr>
        <w:rPr>
          <w:rFonts w:ascii="Cambria" w:hAnsi="Cambria" w:cstheme="majorBidi"/>
          <w:color w:val="auto"/>
          <w:sz w:val="22"/>
          <w:szCs w:val="22"/>
        </w:rPr>
      </w:pPr>
      <w:r w:rsidRPr="007A1FAD">
        <w:rPr>
          <w:rFonts w:ascii="Cambria" w:hAnsi="Cambria" w:cstheme="majorBidi"/>
          <w:color w:val="auto"/>
          <w:sz w:val="22"/>
          <w:szCs w:val="22"/>
        </w:rPr>
        <w:t xml:space="preserve">Thailand is not democratic. </w:t>
      </w:r>
    </w:p>
    <w:p w:rsidR="00EA7659" w:rsidRPr="00EA7659" w:rsidRDefault="00EA7659" w:rsidP="00EA7659">
      <w:pPr>
        <w:jc w:val="both"/>
        <w:rPr>
          <w:rFonts w:ascii="Cambria" w:hAnsi="Cambria"/>
          <w:sz w:val="22"/>
          <w:szCs w:val="22"/>
        </w:rPr>
      </w:pPr>
    </w:p>
    <w:p w:rsidR="00EA7659" w:rsidRPr="00EA7659" w:rsidRDefault="00EA7659" w:rsidP="00EA7659">
      <w:pPr>
        <w:pStyle w:val="BodyA"/>
        <w:spacing w:after="0" w:line="288" w:lineRule="auto"/>
        <w:jc w:val="both"/>
        <w:rPr>
          <w:rFonts w:ascii="Cambria" w:hAnsi="Cambria" w:cs="Angsana New"/>
        </w:rPr>
      </w:pPr>
      <w:r w:rsidRPr="00EA7659">
        <w:rPr>
          <w:rFonts w:ascii="Cambria" w:eastAsia="CordiaUPC" w:hAnsi="Cambria" w:cs="Times New Roman"/>
          <w:color w:val="165778"/>
        </w:rPr>
        <w:tab/>
      </w:r>
    </w:p>
    <w:p w:rsidR="00EA7659" w:rsidRPr="00EA7659" w:rsidRDefault="00941BD0" w:rsidP="00EA7659">
      <w:pPr>
        <w:jc w:val="both"/>
        <w:rPr>
          <w:rFonts w:ascii="Cambria" w:hAnsi="Cambria" w:cs="Sathu"/>
          <w:sz w:val="22"/>
          <w:szCs w:val="22"/>
        </w:rPr>
      </w:pPr>
      <w:r>
        <w:rPr>
          <w:rFonts w:ascii="Cambria" w:hAnsi="Cambria" w:cs="Sathu"/>
          <w:sz w:val="22"/>
          <w:szCs w:val="22"/>
        </w:rPr>
        <w:t xml:space="preserve">End </w:t>
      </w:r>
    </w:p>
    <w:p w:rsidR="00485F84" w:rsidRPr="00EA7659" w:rsidRDefault="00485F84">
      <w:pPr>
        <w:rPr>
          <w:rFonts w:ascii="Cambria" w:hAnsi="Cambria"/>
          <w:sz w:val="22"/>
          <w:szCs w:val="22"/>
        </w:rPr>
      </w:pPr>
    </w:p>
    <w:sectPr w:rsidR="00485F84" w:rsidRPr="00EA7659" w:rsidSect="00E372AB">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12A" w:rsidRDefault="009D412A" w:rsidP="00804A14">
      <w:r>
        <w:separator/>
      </w:r>
    </w:p>
  </w:endnote>
  <w:endnote w:type="continuationSeparator" w:id="0">
    <w:p w:rsidR="009D412A" w:rsidRDefault="009D412A" w:rsidP="00804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athu">
    <w:altName w:val="Courier New"/>
    <w:charset w:val="00"/>
    <w:family w:val="auto"/>
    <w:pitch w:val="variable"/>
    <w:sig w:usb0="00000001" w:usb1="00000000" w:usb2="00000000" w:usb3="00000000" w:csb0="00000197" w:csb1="00000000"/>
  </w:font>
  <w:font w:name="Angsana New">
    <w:panose1 w:val="02020603050405020304"/>
    <w:charset w:val="00"/>
    <w:family w:val="roman"/>
    <w:pitch w:val="variable"/>
    <w:sig w:usb0="81000003" w:usb1="00000000" w:usb2="00000000" w:usb3="00000000" w:csb0="00010001" w:csb1="00000000"/>
  </w:font>
  <w:font w:name="UPC-Angsana">
    <w:altName w:val="Arial Unicode MS"/>
    <w:charset w:val="00"/>
    <w:family w:val="auto"/>
    <w:pitch w:val="variable"/>
    <w:sig w:usb0="00000000" w:usb1="5000204A" w:usb2="00000020" w:usb3="00000000" w:csb0="0001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12A" w:rsidRDefault="009D412A" w:rsidP="00804A14">
      <w:r>
        <w:separator/>
      </w:r>
    </w:p>
  </w:footnote>
  <w:footnote w:type="continuationSeparator" w:id="0">
    <w:p w:rsidR="009D412A" w:rsidRDefault="009D412A" w:rsidP="00804A14">
      <w:r>
        <w:continuationSeparator/>
      </w:r>
    </w:p>
  </w:footnote>
  <w:footnote w:id="1">
    <w:p w:rsidR="00473F39" w:rsidRPr="00847F2B" w:rsidRDefault="00473F39" w:rsidP="002F3030">
      <w:pPr>
        <w:pStyle w:val="FootnoteText"/>
        <w:rPr>
          <w:rFonts w:cs="Cambria"/>
          <w:cs/>
          <w:lang w:val="th-TH" w:bidi="th-TH"/>
        </w:rPr>
      </w:pPr>
      <w:r w:rsidRPr="002F3030">
        <w:rPr>
          <w:rStyle w:val="FootnoteReference"/>
          <w:sz w:val="28"/>
          <w:szCs w:val="28"/>
        </w:rPr>
        <w:footnoteRef/>
      </w:r>
      <w:r w:rsidRPr="00847F2B">
        <w:rPr>
          <w:rFonts w:cs="Sathu"/>
        </w:rPr>
        <w:t>Thailand’s National Economic and Social development council reported economic growth at 0.7, while in 2013 the figure was 2.9, income of farmers has decreased 6.2, average unemployment rate is at 0.8</w:t>
      </w:r>
    </w:p>
  </w:footnote>
  <w:footnote w:id="2">
    <w:p w:rsidR="00473F39" w:rsidRPr="00847F2B" w:rsidRDefault="00473F39" w:rsidP="002F3030">
      <w:pPr>
        <w:pStyle w:val="FootnoteText"/>
      </w:pPr>
      <w:r w:rsidRPr="002F3030">
        <w:rPr>
          <w:rStyle w:val="FootnoteReference"/>
          <w:sz w:val="28"/>
          <w:szCs w:val="28"/>
        </w:rPr>
        <w:footnoteRef/>
      </w:r>
      <w:r w:rsidRPr="00847F2B">
        <w:t>Labor group meeting on April 5, 2015. Accessed from http://prachatai.org/journal/2015/04/58726</w:t>
      </w:r>
    </w:p>
  </w:footnote>
  <w:footnote w:id="3">
    <w:p w:rsidR="00473F39" w:rsidRPr="00847F2B" w:rsidRDefault="00473F39" w:rsidP="002F3030">
      <w:pPr>
        <w:pStyle w:val="FootnoteText"/>
      </w:pPr>
      <w:r w:rsidRPr="002F3030">
        <w:rPr>
          <w:rStyle w:val="FootnoteReference"/>
          <w:sz w:val="28"/>
          <w:szCs w:val="28"/>
        </w:rPr>
        <w:footnoteRef/>
      </w:r>
      <w:r w:rsidRPr="00847F2B">
        <w:rPr>
          <w:rFonts w:cs="Sathu"/>
        </w:rPr>
        <w:t>Bangkok South Criminal Court. Pending Case no.PorSor 2/2558</w:t>
      </w:r>
    </w:p>
  </w:footnote>
  <w:footnote w:id="4">
    <w:p w:rsidR="00473F39" w:rsidRPr="00847F2B" w:rsidRDefault="00473F39" w:rsidP="002F3030">
      <w:pPr>
        <w:pStyle w:val="FootnoteText"/>
        <w:rPr>
          <w:rFonts w:cs="Sathu"/>
        </w:rPr>
      </w:pPr>
      <w:r w:rsidRPr="002F3030">
        <w:rPr>
          <w:rStyle w:val="FootnoteReference"/>
          <w:sz w:val="28"/>
          <w:szCs w:val="28"/>
        </w:rPr>
        <w:footnoteRef/>
      </w:r>
      <w:r w:rsidRPr="00847F2B">
        <w:t>NCPO  Order No. 88/2014</w:t>
      </w:r>
    </w:p>
  </w:footnote>
  <w:footnote w:id="5">
    <w:p w:rsidR="00473F39" w:rsidRPr="00365006" w:rsidRDefault="00473F39" w:rsidP="002F3030">
      <w:pPr>
        <w:pStyle w:val="FootnoteText"/>
      </w:pPr>
      <w:r w:rsidRPr="00A97E19">
        <w:rPr>
          <w:rStyle w:val="FootnoteReference"/>
          <w:sz w:val="28"/>
          <w:szCs w:val="28"/>
        </w:rPr>
        <w:footnoteRef/>
      </w:r>
      <w:r w:rsidR="00A97E19" w:rsidRPr="00365006">
        <w:t>&lt;deepsouthwatch.org/tags/statistics&gt;</w:t>
      </w:r>
    </w:p>
  </w:footnote>
  <w:footnote w:id="6">
    <w:p w:rsidR="00473F39" w:rsidRPr="00847F2B" w:rsidRDefault="00473F39" w:rsidP="002F3030">
      <w:pPr>
        <w:pStyle w:val="FootnoteText"/>
      </w:pPr>
      <w:r w:rsidRPr="00F313A2">
        <w:rPr>
          <w:rStyle w:val="FootnoteReference"/>
          <w:sz w:val="28"/>
          <w:szCs w:val="28"/>
        </w:rPr>
        <w:footnoteRef/>
      </w:r>
      <w:r w:rsidRPr="00847F2B">
        <w:t>NCPO Order No. 26/2014</w:t>
      </w:r>
    </w:p>
  </w:footnote>
  <w:footnote w:id="7">
    <w:p w:rsidR="00473F39" w:rsidRPr="00847F2B" w:rsidRDefault="00473F39" w:rsidP="00F313A2">
      <w:pPr>
        <w:pStyle w:val="FootnoteText"/>
      </w:pPr>
      <w:r w:rsidRPr="00F313A2">
        <w:rPr>
          <w:rStyle w:val="FootnoteReference"/>
          <w:sz w:val="28"/>
          <w:szCs w:val="28"/>
        </w:rPr>
        <w:footnoteRef/>
      </w:r>
      <w:r w:rsidRPr="00847F2B">
        <w:t xml:space="preserve">Matichon. </w:t>
      </w:r>
      <w:r w:rsidRPr="00847F2B">
        <w:rPr>
          <w:rFonts w:cs="Sathu"/>
        </w:rPr>
        <w:t xml:space="preserve">Lai Jud outcried over Thai authority. </w:t>
      </w:r>
      <w:r w:rsidRPr="00847F2B">
        <w:t xml:space="preserve">11 April 2014. Accessed 12 April 2014 at </w:t>
      </w:r>
      <w:r w:rsidRPr="00847F2B">
        <w:rPr>
          <w:rFonts w:cs="CordiaUPC"/>
        </w:rPr>
        <w:t>http://www.matichon.co.th/news_detail.php?newsid=1428673788</w:t>
      </w:r>
    </w:p>
  </w:footnote>
  <w:footnote w:id="8">
    <w:p w:rsidR="00473F39" w:rsidRDefault="00473F39">
      <w:pPr>
        <w:pStyle w:val="FootnoteText"/>
      </w:pPr>
      <w:r w:rsidRPr="00DD5402">
        <w:rPr>
          <w:rStyle w:val="FootnoteReference"/>
          <w:rFonts w:ascii="Cambria" w:hAnsi="Cambria"/>
          <w:sz w:val="28"/>
          <w:szCs w:val="28"/>
        </w:rPr>
        <w:footnoteRef/>
      </w:r>
      <w:r w:rsidRPr="00F7555C">
        <w:rPr>
          <w:szCs w:val="18"/>
        </w:rPr>
        <w:t>Labor Market Research Division, Department of Employment, Ministry of Labor. (2015). Unemployment, Layoff, and Labor Demand (March 2015) Bangkok: Ministry of Labor</w:t>
      </w:r>
    </w:p>
  </w:footnote>
  <w:footnote w:id="9">
    <w:p w:rsidR="00473F39" w:rsidRDefault="00473F39">
      <w:pPr>
        <w:pStyle w:val="FootnoteText"/>
      </w:pPr>
      <w:r w:rsidRPr="00DD5402">
        <w:rPr>
          <w:rStyle w:val="FootnoteReference"/>
          <w:rFonts w:ascii="Cambria" w:hAnsi="Cambria"/>
          <w:sz w:val="28"/>
          <w:szCs w:val="28"/>
        </w:rPr>
        <w:footnoteRef/>
      </w:r>
      <w:r w:rsidRPr="00F7555C">
        <w:rPr>
          <w:szCs w:val="18"/>
        </w:rPr>
        <w:t>Office of the Permanent Secretary, Ministry of Labor. (2011). Strategic Plan on the Management of Informal Workers 2012-2017</w:t>
      </w:r>
    </w:p>
  </w:footnote>
  <w:footnote w:id="10">
    <w:p w:rsidR="00473F39" w:rsidRDefault="00473F39">
      <w:pPr>
        <w:pStyle w:val="FootnoteText"/>
      </w:pPr>
      <w:r w:rsidRPr="00DD5402">
        <w:rPr>
          <w:rStyle w:val="FootnoteReference"/>
          <w:rFonts w:ascii="Cambria" w:hAnsi="Cambria"/>
          <w:sz w:val="28"/>
          <w:szCs w:val="28"/>
        </w:rPr>
        <w:footnoteRef/>
      </w:r>
      <w:r w:rsidRPr="00F7555C">
        <w:rPr>
          <w:szCs w:val="18"/>
        </w:rPr>
        <w:t>Hiring employees and subcontractors in different production line is independent from the Labor Protection Act, Section 11/1, Paragraph 2, See also Kanchanadit, Bussayarat</w:t>
      </w:r>
    </w:p>
  </w:footnote>
  <w:footnote w:id="11">
    <w:p w:rsidR="00473F39" w:rsidRDefault="00473F39">
      <w:pPr>
        <w:pStyle w:val="FootnoteText"/>
      </w:pPr>
      <w:r w:rsidRPr="00DD5402">
        <w:rPr>
          <w:rStyle w:val="FootnoteReference"/>
          <w:rFonts w:ascii="Cambria" w:hAnsi="Cambria"/>
          <w:sz w:val="28"/>
          <w:szCs w:val="28"/>
        </w:rPr>
        <w:footnoteRef/>
      </w:r>
      <w:r w:rsidRPr="00F7555C">
        <w:rPr>
          <w:szCs w:val="18"/>
        </w:rPr>
        <w:t>Prachachat Business Online. (21 May 2014). “Life of Subcontractors Reflecting Life of Thai Labor” accessed 4 March 2015 at  &lt;http://www.prachachat.net/news_detail.php?newsid=1369122565&gt;</w:t>
      </w:r>
    </w:p>
  </w:footnote>
  <w:footnote w:id="12">
    <w:p w:rsidR="00473F39" w:rsidRPr="00EA7659" w:rsidRDefault="00473F39" w:rsidP="00EA7659">
      <w:pPr>
        <w:pStyle w:val="Normal1"/>
        <w:rPr>
          <w:rFonts w:asciiTheme="minorHAnsi" w:eastAsiaTheme="minorEastAsia" w:hAnsiTheme="minorHAnsi" w:cstheme="minorBidi"/>
          <w:color w:val="auto"/>
          <w:sz w:val="20"/>
          <w:szCs w:val="18"/>
        </w:rPr>
      </w:pPr>
      <w:r w:rsidRPr="00DD5402">
        <w:rPr>
          <w:rStyle w:val="FootnoteReference"/>
          <w:rFonts w:ascii="Cambria" w:eastAsiaTheme="minorEastAsia" w:hAnsi="Cambria" w:cstheme="minorBidi"/>
          <w:color w:val="auto"/>
          <w:sz w:val="28"/>
          <w:szCs w:val="28"/>
        </w:rPr>
        <w:footnoteRef/>
      </w:r>
      <w:r w:rsidRPr="00804A14">
        <w:rPr>
          <w:rFonts w:asciiTheme="minorHAnsi" w:eastAsiaTheme="minorEastAsia" w:hAnsiTheme="minorHAnsi" w:cstheme="minorBidi"/>
          <w:color w:val="auto"/>
          <w:sz w:val="20"/>
          <w:szCs w:val="18"/>
        </w:rPr>
        <w:t>By virtue of Section 17 of Immigration Act 1979, the cabinet “permit” illegal workers from three neighboring countries which are Myanmar, Cambodia, and Laos. These workers are permitted to temporarily work under the government’s conditions by cabinet resolution. The cabinet also established the framework for the legal registration of illegal workforce on a yearly basis since 1996. Each year, different rules and regulations on living and working were enacted. Identity verification documents, conditions on registered followers since 2004, and civil registration for foreigners are also changed every year. See also KritayaArchavanitkul (2008) Research Report “Migrant Worker Employment by Alien Working Act 2008 and Compilation of Occupation List for Aliens” NakhonPathom: Institute for Population and Social Research, Mahidol University</w:t>
      </w:r>
    </w:p>
  </w:footnote>
  <w:footnote w:id="13">
    <w:p w:rsidR="00473F39" w:rsidRDefault="00473F39">
      <w:pPr>
        <w:pStyle w:val="FootnoteText"/>
      </w:pPr>
      <w:r w:rsidRPr="00DD5402">
        <w:rPr>
          <w:rStyle w:val="FootnoteReference"/>
          <w:rFonts w:ascii="Cambria" w:hAnsi="Cambria"/>
          <w:sz w:val="28"/>
          <w:szCs w:val="28"/>
        </w:rPr>
        <w:footnoteRef/>
      </w:r>
      <w:r>
        <w:t>There are slavery in supply chain of many Thai marine products processing companies. For example, Bangkok Post (26 March 2015). “Slave-labour fish mixes in with Thai catch“accessed 4 March 2015 &lt; http://www.bangkokpost.com/news/general/508855/slave-labour-fish-mixes-in-with-thai-catch &gt;</w:t>
      </w:r>
    </w:p>
  </w:footnote>
  <w:footnote w:id="14">
    <w:p w:rsidR="00473F39" w:rsidRDefault="00473F39">
      <w:pPr>
        <w:pStyle w:val="FootnoteText"/>
      </w:pPr>
      <w:r w:rsidRPr="00DD5402">
        <w:rPr>
          <w:rStyle w:val="FootnoteReference"/>
          <w:rFonts w:ascii="Cambria" w:hAnsi="Cambria"/>
          <w:sz w:val="28"/>
          <w:szCs w:val="28"/>
        </w:rPr>
        <w:footnoteRef/>
      </w:r>
      <w:r>
        <w:t>For example, uncertainty in renewal of visa and work permit for nationality-verified workers/first group of workers whose visas would expire in 2014. Irrawaddy (2 September 2013), “Burmese Migrants to See Thai Work Eligibility Extended: Rights Group” accessed 4 March 2015 at &lt; http://www.irrawaddy.org/burma/burmese-migrants-to-see-thai-work- eligibility-extended-rights-group.html &gt;</w:t>
      </w:r>
    </w:p>
  </w:footnote>
  <w:footnote w:id="15">
    <w:p w:rsidR="00473F39" w:rsidRDefault="00473F39">
      <w:pPr>
        <w:pStyle w:val="FootnoteText"/>
      </w:pPr>
      <w:r w:rsidRPr="00DD5402">
        <w:rPr>
          <w:rStyle w:val="FootnoteReference"/>
          <w:rFonts w:ascii="Cambria" w:hAnsi="Cambria"/>
          <w:sz w:val="28"/>
          <w:szCs w:val="28"/>
        </w:rPr>
        <w:footnoteRef/>
      </w:r>
      <w:r>
        <w:t>Expenses of nationality verification process or import of migrant workers that follows the MoU, for example Karen News (13 November 2013), “Flawed National Registration Process – Migrant Workers Open to Exploitation.” accessed 4 March 2015 at &lt; http://karennews.org/2013/11/flawed-national-registration-process- migrant-workers-open-to-exploitation.html/ &gt;</w:t>
      </w:r>
    </w:p>
  </w:footnote>
  <w:footnote w:id="16">
    <w:p w:rsidR="00473F39" w:rsidRDefault="00473F39">
      <w:pPr>
        <w:pStyle w:val="FootnoteText"/>
      </w:pPr>
      <w:r w:rsidRPr="00DD5402">
        <w:rPr>
          <w:rStyle w:val="FootnoteReference"/>
          <w:rFonts w:ascii="Cambria" w:hAnsi="Cambria"/>
          <w:sz w:val="28"/>
          <w:szCs w:val="28"/>
        </w:rPr>
        <w:footnoteRef/>
      </w:r>
      <w:r>
        <w:t>Appeared on report on the NCPO policy that resulted in fear and exodus after news of military crackdown and violence on migrant workers, for example Human Rights Watch. (19 June 2014), “Thailand: Fear of Crackdown Trigger Exodus” accessed 4 March 2015 at &lt; http://www.hrw.org/news/2014/06/19/thailand-fears-crackdown-trigger-exodus &gt;</w:t>
      </w:r>
    </w:p>
  </w:footnote>
  <w:footnote w:id="17">
    <w:p w:rsidR="00473F39" w:rsidRDefault="00473F39">
      <w:pPr>
        <w:pStyle w:val="FootnoteText"/>
      </w:pPr>
      <w:r w:rsidRPr="00DD5402">
        <w:rPr>
          <w:rStyle w:val="FootnoteReference"/>
          <w:rFonts w:ascii="Cambria" w:hAnsi="Cambria"/>
          <w:sz w:val="28"/>
          <w:szCs w:val="28"/>
        </w:rPr>
        <w:footnoteRef/>
      </w:r>
      <w:r>
        <w:t>Estimated Cambodian migrant workers who had repatriated by Business Standard (26 June 2014) “Over 250,000 Cambodian migrant workers flee Thailand” accessed 4 March 2015 at &lt; http://www.business- standard.com/article/news-ians/over-250-000-cambodian-migrant-workers-flee-thailand-114062600396_1.html &gt;</w:t>
      </w:r>
    </w:p>
  </w:footnote>
  <w:footnote w:id="18">
    <w:p w:rsidR="00473F39" w:rsidRDefault="00473F39">
      <w:pPr>
        <w:pStyle w:val="FootnoteText"/>
      </w:pPr>
      <w:r w:rsidRPr="00DD5402">
        <w:rPr>
          <w:rStyle w:val="FootnoteReference"/>
          <w:rFonts w:ascii="Cambria" w:hAnsi="Cambria"/>
          <w:sz w:val="28"/>
          <w:szCs w:val="28"/>
        </w:rPr>
        <w:footnoteRef/>
      </w:r>
      <w:r>
        <w:t>Prachatai. 5 April 2015. “Proposed 8 hrs working at the wage enough to feed 3 persons as a living wage.” accessed 10 April 2015, &lt; http://www.prachatai.com/journal/2015/04/58726&gt;</w:t>
      </w:r>
    </w:p>
  </w:footnote>
  <w:footnote w:id="19">
    <w:p w:rsidR="00473F39" w:rsidRDefault="00473F39">
      <w:pPr>
        <w:pStyle w:val="FootnoteText"/>
      </w:pPr>
      <w:r w:rsidRPr="00DD5402">
        <w:rPr>
          <w:rStyle w:val="FootnoteReference"/>
          <w:rFonts w:ascii="Cambria" w:hAnsi="Cambria"/>
          <w:sz w:val="28"/>
          <w:szCs w:val="28"/>
        </w:rPr>
        <w:footnoteRef/>
      </w:r>
      <w:r>
        <w:t>SomkiatTriratpan, Inspector General of the Ministry of Commerce, made a statement about a CPI and inflation rate in January 2015.</w:t>
      </w:r>
    </w:p>
  </w:footnote>
  <w:footnote w:id="20">
    <w:p w:rsidR="00473F39" w:rsidRPr="00B111BE" w:rsidRDefault="00473F39" w:rsidP="00EA7659">
      <w:pPr>
        <w:pStyle w:val="FootnoteText"/>
        <w:rPr>
          <w:rFonts w:ascii="UPC-Angsana" w:hAnsi="UPC-Angsana" w:cs="UPC-Angsana"/>
        </w:rPr>
      </w:pPr>
      <w:r w:rsidRPr="00DD5402">
        <w:rPr>
          <w:rStyle w:val="FootnoteReference"/>
          <w:rFonts w:ascii="Cambria" w:hAnsi="Cambria"/>
          <w:sz w:val="28"/>
          <w:szCs w:val="28"/>
        </w:rPr>
        <w:footnoteRef/>
      </w:r>
      <w:r>
        <w:t>Michelin Thailand labor union, Labor friends labor union, NTN Thailand labor union, Mechelin Lam ChabangAutobody labor union, Fujitsu General Thailand labor union, Mitsubishi Motors Thailand labor union, Thai Sobi labor union, Stanley Thailand labor union, SSL Thailand labor union and Wingspan labor union</w:t>
      </w:r>
    </w:p>
  </w:footnote>
  <w:footnote w:id="21">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Style w:val="FootnoteReference"/>
          <w:rFonts w:ascii="Cambria" w:eastAsiaTheme="minorEastAsia" w:hAnsi="Cambria" w:cstheme="minorBidi"/>
          <w:color w:val="auto"/>
          <w:sz w:val="28"/>
          <w:szCs w:val="28"/>
          <w:bdr w:val="none" w:sz="0" w:space="0" w:color="auto"/>
          <w:lang w:bidi="ar-SA"/>
        </w:rPr>
        <w:footnoteRef/>
      </w:r>
      <w:r w:rsidRPr="00DD5402">
        <w:rPr>
          <w:rFonts w:asciiTheme="minorHAnsi" w:eastAsiaTheme="minorEastAsia" w:hAnsiTheme="minorHAnsi" w:cstheme="minorBidi"/>
          <w:color w:val="auto"/>
          <w:sz w:val="20"/>
          <w:szCs w:val="20"/>
          <w:bdr w:val="none" w:sz="0" w:space="0" w:color="auto"/>
          <w:lang w:bidi="ar-SA"/>
        </w:rPr>
        <w:t>See also the regulation for migrant workers to access the Workmen’s Compensation Fund  as“In order to receive compensation from the Workmen’s Compensation Act (1994), an injured migrant worker must satisfy the following: (1) possess a work permit;</w:t>
      </w:r>
    </w:p>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Fonts w:asciiTheme="minorHAnsi" w:eastAsiaTheme="minorEastAsia" w:hAnsiTheme="minorHAnsi" w:cstheme="minorBidi"/>
          <w:color w:val="auto"/>
          <w:sz w:val="20"/>
          <w:szCs w:val="20"/>
          <w:bdr w:val="none" w:sz="0" w:space="0" w:color="auto"/>
          <w:lang w:bidi="ar-SA"/>
        </w:rPr>
        <w:t xml:space="preserve">(2) possess a passport or alien identity document; </w:t>
      </w:r>
    </w:p>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Fonts w:asciiTheme="minorHAnsi" w:eastAsiaTheme="minorEastAsia" w:hAnsiTheme="minorHAnsi" w:cstheme="minorBidi"/>
          <w:color w:val="auto"/>
          <w:sz w:val="20"/>
          <w:szCs w:val="20"/>
          <w:bdr w:val="none" w:sz="0" w:space="0" w:color="auto"/>
          <w:lang w:bidi="ar-SA"/>
        </w:rPr>
        <w:t>(3) have an employer that paid</w:t>
      </w:r>
    </w:p>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Fonts w:asciiTheme="minorHAnsi" w:eastAsiaTheme="minorEastAsia" w:hAnsiTheme="minorHAnsi" w:cstheme="minorBidi"/>
          <w:color w:val="auto"/>
          <w:sz w:val="20"/>
          <w:szCs w:val="20"/>
          <w:bdr w:val="none" w:sz="0" w:space="0" w:color="auto"/>
          <w:lang w:bidi="ar-SA"/>
        </w:rPr>
        <w:t xml:space="preserve">contributions to the WCF; and </w:t>
      </w:r>
    </w:p>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Fonts w:asciiTheme="minorHAnsi" w:eastAsiaTheme="minorEastAsia" w:hAnsiTheme="minorHAnsi" w:cstheme="minorBidi"/>
          <w:color w:val="auto"/>
          <w:sz w:val="20"/>
          <w:szCs w:val="20"/>
          <w:bdr w:val="none" w:sz="0" w:space="0" w:color="auto"/>
          <w:lang w:bidi="ar-SA"/>
        </w:rPr>
        <w:t>(4) have paid income tax. If these requirements are</w:t>
      </w:r>
    </w:p>
    <w:p w:rsidR="00473F39" w:rsidRPr="00DD5402" w:rsidRDefault="00473F39" w:rsidP="00EA7659">
      <w:pPr>
        <w:pStyle w:val="BodyA"/>
        <w:spacing w:after="0" w:line="240" w:lineRule="auto"/>
        <w:rPr>
          <w:rFonts w:asciiTheme="minorHAnsi" w:eastAsiaTheme="minorEastAsia" w:hAnsiTheme="minorHAnsi" w:cstheme="minorBidi"/>
          <w:color w:val="auto"/>
          <w:sz w:val="20"/>
          <w:szCs w:val="20"/>
          <w:bdr w:val="none" w:sz="0" w:space="0" w:color="auto"/>
          <w:lang w:bidi="ar-SA"/>
        </w:rPr>
      </w:pPr>
      <w:r w:rsidRPr="00DD5402">
        <w:rPr>
          <w:rFonts w:asciiTheme="minorHAnsi" w:eastAsiaTheme="minorEastAsia" w:hAnsiTheme="minorHAnsi" w:cstheme="minorBidi"/>
          <w:color w:val="auto"/>
          <w:sz w:val="20"/>
          <w:szCs w:val="20"/>
          <w:bdr w:val="none" w:sz="0" w:space="0" w:color="auto"/>
          <w:lang w:bidi="ar-SA"/>
        </w:rPr>
        <w:t>not met, responsibility is assigned to an employer to compensate an injured worker.”in Hall, Andrew J., (2012). “Migrant Workers and Social Protection in ASEAN: Moving Towards a Regional Standard?”Journal of Population and Social Studies, Volume 21 No. 1, July 2012: 12-38, p. 30.</w:t>
      </w:r>
    </w:p>
  </w:footnote>
  <w:footnote w:id="22">
    <w:p w:rsidR="00473F39" w:rsidRPr="00B4072D" w:rsidRDefault="00473F39" w:rsidP="00EA7659">
      <w:pPr>
        <w:pStyle w:val="FootnoteText"/>
        <w:rPr>
          <w:cs/>
          <w:lang w:val="th-TH" w:bidi="th-TH"/>
        </w:rPr>
      </w:pPr>
      <w:r w:rsidRPr="00DD5402">
        <w:rPr>
          <w:rStyle w:val="FootnoteReference"/>
          <w:rFonts w:ascii="Cambria" w:hAnsi="Cambria"/>
          <w:sz w:val="28"/>
          <w:szCs w:val="28"/>
        </w:rPr>
        <w:footnoteRef/>
      </w:r>
      <w:r>
        <w:t>Teenage mothers aged 10-19 delivered 133,176 babies, 17% of total delivery of 801,737 babies. This tends to gradually increase from 2003 where there were 95,879 teenage mothers. From 2003-2012 there are one million babies delivered by these teenagers. From Prof.Dr.RachataRachatanavin, Health Minister, Thai Post 14 December 2014</w:t>
      </w:r>
      <w:r>
        <w:rPr>
          <w:rFonts w:ascii="CordiaUPC" w:cs="Angsana New"/>
          <w:sz w:val="28"/>
          <w:szCs w:val="28"/>
          <w:rtl/>
          <w:cs/>
        </w:rPr>
        <w:t>.</w:t>
      </w:r>
    </w:p>
  </w:footnote>
  <w:footnote w:id="23">
    <w:p w:rsidR="00473F39" w:rsidRPr="000D4995" w:rsidRDefault="00473F39" w:rsidP="00EA7659">
      <w:pPr>
        <w:pStyle w:val="FootnoteText"/>
      </w:pPr>
      <w:r w:rsidRPr="00DD5402">
        <w:rPr>
          <w:rStyle w:val="FootnoteReference"/>
          <w:rFonts w:ascii="Cambria" w:hAnsi="Cambria"/>
          <w:sz w:val="28"/>
          <w:szCs w:val="28"/>
        </w:rPr>
        <w:footnoteRef/>
      </w:r>
      <w:r>
        <w:rPr>
          <w:rFonts w:cs="Sathu"/>
        </w:rPr>
        <w:t xml:space="preserve"> Bangkok South Criminal Court. Pending C</w:t>
      </w:r>
      <w:r w:rsidRPr="000D4995">
        <w:rPr>
          <w:rFonts w:cs="Sathu"/>
        </w:rPr>
        <w:t>ase no.PorSor 2/2558</w:t>
      </w:r>
    </w:p>
  </w:footnote>
  <w:footnote w:id="24">
    <w:p w:rsidR="00473F39" w:rsidRPr="000D4995" w:rsidRDefault="00473F39" w:rsidP="00EA7659">
      <w:pPr>
        <w:pStyle w:val="FootnoteText"/>
        <w:rPr>
          <w:rFonts w:cs="Sathu"/>
        </w:rPr>
      </w:pPr>
      <w:r w:rsidRPr="00DD5402">
        <w:rPr>
          <w:rStyle w:val="FootnoteReference"/>
          <w:rFonts w:ascii="Cambria" w:hAnsi="Cambria"/>
          <w:sz w:val="28"/>
          <w:szCs w:val="28"/>
        </w:rPr>
        <w:footnoteRef/>
      </w:r>
      <w:r w:rsidRPr="000D4995">
        <w:t xml:space="preserve">Report of death of children pending nationality verification. Humanitarian Assistance Network Council, Muslim organizations, Sheikhul Islam Office </w:t>
      </w:r>
    </w:p>
  </w:footnote>
  <w:footnote w:id="25">
    <w:p w:rsidR="00697001" w:rsidRPr="00697001" w:rsidRDefault="00697001">
      <w:pPr>
        <w:pStyle w:val="FootnoteText"/>
      </w:pPr>
      <w:r w:rsidRPr="00697001">
        <w:rPr>
          <w:rStyle w:val="FootnoteReference"/>
          <w:sz w:val="20"/>
          <w:szCs w:val="20"/>
        </w:rPr>
        <w:footnoteRef/>
      </w:r>
      <w:r w:rsidRPr="00697001">
        <w:t>Research of Asian Coalition for Housing Rights.Data of poor population during 1990-2008.</w:t>
      </w:r>
    </w:p>
  </w:footnote>
  <w:footnote w:id="26">
    <w:p w:rsidR="00697001" w:rsidRPr="00697001" w:rsidRDefault="00697001">
      <w:pPr>
        <w:pStyle w:val="FootnoteText"/>
      </w:pPr>
      <w:r w:rsidRPr="00697001">
        <w:rPr>
          <w:rStyle w:val="FootnoteReference"/>
          <w:sz w:val="20"/>
          <w:szCs w:val="20"/>
        </w:rPr>
        <w:footnoteRef/>
      </w:r>
      <w:r w:rsidRPr="00697001">
        <w:t xml:space="preserve"> Ibid.</w:t>
      </w:r>
    </w:p>
  </w:footnote>
  <w:footnote w:id="27">
    <w:p w:rsidR="00697001" w:rsidRPr="00697001" w:rsidRDefault="00697001">
      <w:pPr>
        <w:pStyle w:val="FootnoteText"/>
      </w:pPr>
      <w:r w:rsidRPr="00697001">
        <w:rPr>
          <w:rStyle w:val="FootnoteReference"/>
          <w:sz w:val="20"/>
          <w:szCs w:val="20"/>
        </w:rPr>
        <w:footnoteRef/>
      </w:r>
      <w:r w:rsidRPr="00697001">
        <w:t xml:space="preserve"> Ibid.</w:t>
      </w:r>
    </w:p>
  </w:footnote>
  <w:footnote w:id="28">
    <w:p w:rsidR="00473F39" w:rsidRPr="0091740A" w:rsidRDefault="00473F39" w:rsidP="0091740A">
      <w:pPr>
        <w:pStyle w:val="FootnoteText"/>
      </w:pPr>
      <w:r w:rsidRPr="00697001">
        <w:rPr>
          <w:rStyle w:val="FootnoteReference"/>
          <w:sz w:val="20"/>
          <w:szCs w:val="20"/>
        </w:rPr>
        <w:footnoteRef/>
      </w:r>
      <w:r w:rsidRPr="00697001">
        <w:t>Matichon. 7 March 2015. “Right to Health for Stateless Thai is Within Reach” accessed 13 March 2015 at &lt;www.hfocus.org/content/2015/03/9443&gt;</w:t>
      </w:r>
    </w:p>
  </w:footnote>
  <w:footnote w:id="29">
    <w:p w:rsidR="00473F39" w:rsidRPr="0091740A" w:rsidRDefault="00473F39" w:rsidP="0091740A">
      <w:pPr>
        <w:pStyle w:val="FootnoteText"/>
        <w:rPr>
          <w:szCs w:val="18"/>
        </w:rPr>
      </w:pPr>
      <w:r w:rsidRPr="00AE682A">
        <w:rPr>
          <w:rStyle w:val="FootnoteReference"/>
          <w:rFonts w:ascii="Cambria" w:hAnsi="Cambria"/>
          <w:sz w:val="28"/>
          <w:szCs w:val="28"/>
        </w:rPr>
        <w:footnoteRef/>
      </w:r>
      <w:r w:rsidRPr="00AE682A">
        <w:t>Social welfare options for Thais TDRI report volume 87 October 2010. P.5</w:t>
      </w:r>
    </w:p>
  </w:footnote>
  <w:footnote w:id="30">
    <w:p w:rsidR="00473F39" w:rsidRPr="0091740A" w:rsidRDefault="00473F39" w:rsidP="0091740A">
      <w:pPr>
        <w:pStyle w:val="Default"/>
        <w:rPr>
          <w:rFonts w:asciiTheme="minorHAnsi" w:eastAsiaTheme="minorEastAsia" w:hAnsiTheme="minorHAnsi" w:cstheme="minorBidi"/>
          <w:color w:val="auto"/>
          <w:sz w:val="20"/>
          <w:szCs w:val="18"/>
          <w:lang w:bidi="ar-SA"/>
        </w:rPr>
      </w:pPr>
      <w:r w:rsidRPr="00AE682A">
        <w:rPr>
          <w:rStyle w:val="FootnoteReference"/>
          <w:rFonts w:ascii="Cambria" w:eastAsiaTheme="minorEastAsia" w:hAnsi="Cambria" w:cstheme="minorBidi"/>
          <w:color w:val="auto"/>
          <w:sz w:val="28"/>
          <w:szCs w:val="28"/>
          <w:lang w:bidi="ar-SA"/>
        </w:rPr>
        <w:footnoteRef/>
      </w:r>
      <w:r w:rsidRPr="0091740A">
        <w:rPr>
          <w:rFonts w:asciiTheme="minorHAnsi" w:eastAsiaTheme="minorEastAsia" w:hAnsiTheme="minorHAnsi" w:cstheme="minorBidi"/>
          <w:color w:val="auto"/>
          <w:sz w:val="20"/>
          <w:szCs w:val="18"/>
          <w:lang w:bidi="ar-SA"/>
        </w:rPr>
        <w:t>Ibid.</w:t>
      </w:r>
    </w:p>
  </w:footnote>
  <w:footnote w:id="31">
    <w:p w:rsidR="00473F39" w:rsidRPr="00AE682A" w:rsidRDefault="00473F39" w:rsidP="0091740A">
      <w:pPr>
        <w:pStyle w:val="Default"/>
        <w:rPr>
          <w:rFonts w:asciiTheme="minorHAnsi" w:eastAsiaTheme="minorEastAsia" w:hAnsiTheme="minorHAnsi" w:cstheme="minorBidi"/>
          <w:color w:val="auto"/>
          <w:sz w:val="20"/>
          <w:szCs w:val="20"/>
          <w:lang w:bidi="ar-SA"/>
        </w:rPr>
      </w:pPr>
      <w:r w:rsidRPr="00AE682A">
        <w:rPr>
          <w:rStyle w:val="FootnoteReference"/>
          <w:rFonts w:ascii="Cambria" w:eastAsiaTheme="minorEastAsia" w:hAnsi="Cambria" w:cstheme="minorBidi"/>
          <w:color w:val="auto"/>
          <w:sz w:val="28"/>
          <w:szCs w:val="28"/>
          <w:lang w:bidi="ar-SA"/>
        </w:rPr>
        <w:footnoteRef/>
      </w:r>
      <w:r w:rsidRPr="00AE682A">
        <w:rPr>
          <w:rFonts w:asciiTheme="minorHAnsi" w:eastAsiaTheme="minorEastAsia" w:hAnsiTheme="minorHAnsi" w:cstheme="minorBidi"/>
          <w:color w:val="auto"/>
          <w:sz w:val="20"/>
          <w:szCs w:val="20"/>
          <w:lang w:bidi="ar-SA"/>
        </w:rPr>
        <w:t xml:space="preserve">For example, a discussion on “Why privatizing universities?” organized by the “Look Chao Baan” group at BuraphaBangsaen University was investigated by military officials and police officers. 2 students were arrested for investigation and released later, according to NCPO Order no. 3/2015 under the authority in Article 44 of the constitution. The military requested for a license to host the discussion which made the host feel unsafe and decided not to meet with the military officials and canceled the activity according to “Look Chao Baan” group’s Facebook page. </w:t>
      </w:r>
    </w:p>
  </w:footnote>
  <w:footnote w:id="32">
    <w:p w:rsidR="00473F39" w:rsidRPr="0091740A" w:rsidRDefault="00473F39" w:rsidP="0091740A">
      <w:pPr>
        <w:pStyle w:val="Default"/>
        <w:rPr>
          <w:rFonts w:asciiTheme="minorHAnsi" w:eastAsiaTheme="minorEastAsia" w:hAnsiTheme="minorHAnsi" w:cstheme="minorBidi"/>
          <w:color w:val="auto"/>
          <w:sz w:val="20"/>
          <w:szCs w:val="18"/>
          <w:lang w:bidi="ar-SA"/>
        </w:rPr>
      </w:pPr>
      <w:r w:rsidRPr="00AE682A">
        <w:rPr>
          <w:rStyle w:val="FootnoteReference"/>
          <w:rFonts w:ascii="Cambria" w:eastAsiaTheme="minorEastAsia" w:hAnsi="Cambria" w:cstheme="minorBidi"/>
          <w:color w:val="auto"/>
          <w:sz w:val="28"/>
          <w:szCs w:val="28"/>
          <w:lang w:bidi="ar-SA"/>
        </w:rPr>
        <w:footnoteRef/>
      </w:r>
      <w:r w:rsidRPr="0091740A">
        <w:rPr>
          <w:rFonts w:asciiTheme="minorHAnsi" w:eastAsiaTheme="minorEastAsia" w:hAnsiTheme="minorHAnsi" w:cstheme="minorBidi"/>
          <w:color w:val="auto"/>
          <w:sz w:val="20"/>
          <w:szCs w:val="18"/>
          <w:lang w:bidi="ar-SA"/>
        </w:rPr>
        <w:t>Prachatai. (5 September 2014). “Objections to Lowering Subsidy for Migrant Workers ” in Thai accessed 5 March 2015 at &lt; http://www.prachatai.com/journal/2014/09/55396 &gt;</w:t>
      </w:r>
    </w:p>
    <w:p w:rsidR="00473F39" w:rsidRDefault="00473F39" w:rsidP="0091740A">
      <w:pPr>
        <w:pStyle w:val="FootnoteText"/>
      </w:pPr>
    </w:p>
  </w:footnote>
  <w:footnote w:id="33">
    <w:p w:rsidR="00473F39" w:rsidRDefault="00473F39" w:rsidP="007A1FAD">
      <w:pPr>
        <w:pStyle w:val="Default"/>
      </w:pPr>
      <w:r w:rsidRPr="007A1FAD">
        <w:rPr>
          <w:rStyle w:val="FootnoteReference"/>
          <w:rFonts w:ascii="Cambria" w:eastAsiaTheme="minorEastAsia" w:hAnsi="Cambria" w:cstheme="minorBidi"/>
          <w:color w:val="auto"/>
          <w:sz w:val="28"/>
          <w:szCs w:val="28"/>
          <w:lang w:bidi="ar-SA"/>
        </w:rPr>
        <w:footnoteRef/>
      </w:r>
      <w:r w:rsidRPr="007A1FAD">
        <w:rPr>
          <w:rFonts w:asciiTheme="minorHAnsi" w:eastAsiaTheme="minorEastAsia" w:hAnsiTheme="minorHAnsi" w:cstheme="minorBidi"/>
          <w:color w:val="auto"/>
          <w:sz w:val="20"/>
          <w:szCs w:val="20"/>
          <w:lang w:bidi="ar-SA"/>
        </w:rPr>
        <w:t>Mae Hong Son court,Pending Criminal Case no. 378/2557 Decided Case no. 372/2557</w:t>
      </w:r>
    </w:p>
  </w:footnote>
  <w:footnote w:id="34">
    <w:p w:rsidR="00473F39" w:rsidRDefault="00473F39" w:rsidP="007A1FAD">
      <w:pPr>
        <w:pStyle w:val="Default"/>
      </w:pPr>
      <w:r w:rsidRPr="00941BD0">
        <w:rPr>
          <w:rStyle w:val="FootnoteReference"/>
          <w:rFonts w:ascii="Cambria" w:eastAsiaTheme="minorEastAsia" w:hAnsi="Cambria" w:cstheme="minorBidi"/>
          <w:color w:val="auto"/>
          <w:sz w:val="28"/>
          <w:szCs w:val="28"/>
          <w:lang w:bidi="ar-SA"/>
        </w:rPr>
        <w:footnoteRef/>
      </w:r>
      <w:r w:rsidRPr="00941BD0">
        <w:rPr>
          <w:rFonts w:asciiTheme="minorHAnsi" w:eastAsiaTheme="minorEastAsia" w:hAnsiTheme="minorHAnsi" w:cstheme="minorBidi"/>
          <w:color w:val="auto"/>
          <w:sz w:val="20"/>
          <w:szCs w:val="20"/>
          <w:lang w:bidi="ar-SA"/>
        </w:rPr>
        <w:t>Mae Sa Riang Court pending criminal case no.</w:t>
      </w:r>
      <w:r w:rsidR="00941BD0" w:rsidRPr="00941BD0">
        <w:rPr>
          <w:rFonts w:asciiTheme="minorHAnsi" w:eastAsiaTheme="minorEastAsia" w:hAnsiTheme="minorHAnsi" w:cstheme="minorBidi"/>
          <w:color w:val="auto"/>
          <w:sz w:val="20"/>
          <w:szCs w:val="20"/>
          <w:lang w:bidi="ar-SA"/>
        </w:rPr>
        <w:t xml:space="preserve"> 349/2557 </w:t>
      </w:r>
      <w:r w:rsidRPr="00941BD0">
        <w:rPr>
          <w:rFonts w:asciiTheme="minorHAnsi" w:eastAsiaTheme="minorEastAsia" w:hAnsiTheme="minorHAnsi" w:cstheme="minorBidi"/>
          <w:color w:val="auto"/>
          <w:sz w:val="20"/>
          <w:szCs w:val="20"/>
          <w:lang w:bidi="ar-SA"/>
        </w:rPr>
        <w:t>decided case no.</w:t>
      </w:r>
      <w:r w:rsidR="00941BD0">
        <w:rPr>
          <w:rFonts w:asciiTheme="minorHAnsi" w:eastAsiaTheme="minorEastAsia" w:hAnsiTheme="minorHAnsi" w:cstheme="minorBidi"/>
          <w:color w:val="auto"/>
          <w:sz w:val="20"/>
          <w:szCs w:val="20"/>
          <w:lang w:bidi="ar-SA"/>
        </w:rPr>
        <w:t xml:space="preserve"> 432/2557 </w:t>
      </w:r>
    </w:p>
  </w:footnote>
  <w:footnote w:id="35">
    <w:p w:rsidR="00473F39" w:rsidRPr="007A1FAD" w:rsidRDefault="00473F39" w:rsidP="0091740A">
      <w:pPr>
        <w:pStyle w:val="Default"/>
        <w:rPr>
          <w:rFonts w:asciiTheme="minorHAnsi" w:eastAsiaTheme="minorEastAsia" w:hAnsiTheme="minorHAnsi" w:cstheme="minorBidi"/>
          <w:color w:val="auto"/>
          <w:sz w:val="20"/>
          <w:szCs w:val="20"/>
          <w:lang w:bidi="ar-SA"/>
        </w:rPr>
      </w:pPr>
      <w:r w:rsidRPr="007A1FAD">
        <w:rPr>
          <w:rStyle w:val="FootnoteReference"/>
          <w:rFonts w:ascii="Cambria" w:eastAsiaTheme="minorEastAsia" w:hAnsi="Cambria" w:cstheme="minorBidi"/>
          <w:color w:val="auto"/>
          <w:sz w:val="28"/>
          <w:szCs w:val="28"/>
          <w:lang w:bidi="ar-SA"/>
        </w:rPr>
        <w:footnoteRef/>
      </w:r>
      <w:r w:rsidRPr="007A1FAD">
        <w:rPr>
          <w:rFonts w:asciiTheme="minorHAnsi" w:eastAsiaTheme="minorEastAsia" w:hAnsiTheme="minorHAnsi" w:cstheme="minorBidi"/>
          <w:color w:val="auto"/>
          <w:sz w:val="20"/>
          <w:szCs w:val="20"/>
          <w:lang w:bidi="ar-SA"/>
        </w:rPr>
        <w:t xml:space="preserve">See for example, Human Rights Watch. (2014). Toxic Water, Tainted Justice. New York: Human Rights Watch. </w:t>
      </w:r>
    </w:p>
    <w:p w:rsidR="00473F39" w:rsidRDefault="00473F39" w:rsidP="0091740A">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26909"/>
    <w:multiLevelType w:val="hybridMultilevel"/>
    <w:tmpl w:val="A8B4AE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92B88"/>
    <w:multiLevelType w:val="hybridMultilevel"/>
    <w:tmpl w:val="618E0E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9425F5"/>
    <w:multiLevelType w:val="hybridMultilevel"/>
    <w:tmpl w:val="F7C83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FF3A92"/>
    <w:multiLevelType w:val="hybridMultilevel"/>
    <w:tmpl w:val="7100A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E3EB8"/>
    <w:multiLevelType w:val="multilevel"/>
    <w:tmpl w:val="C00E6CA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1D945ECA"/>
    <w:multiLevelType w:val="hybridMultilevel"/>
    <w:tmpl w:val="13D06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8B09C2"/>
    <w:multiLevelType w:val="hybridMultilevel"/>
    <w:tmpl w:val="F5929416"/>
    <w:lvl w:ilvl="0" w:tplc="ADFABDB0">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467490"/>
    <w:multiLevelType w:val="hybridMultilevel"/>
    <w:tmpl w:val="F1784ADC"/>
    <w:lvl w:ilvl="0" w:tplc="4C28F17E">
      <w:start w:val="1"/>
      <w:numFmt w:val="decimal"/>
      <w:lvlText w:val="%1."/>
      <w:lvlJc w:val="left"/>
      <w:pPr>
        <w:ind w:left="720" w:hanging="360"/>
      </w:pPr>
      <w:rPr>
        <w:rFonts w:hint="default"/>
        <w:b w:val="0"/>
        <w:bCs/>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8A6EF8"/>
    <w:multiLevelType w:val="hybridMultilevel"/>
    <w:tmpl w:val="BC767A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0D13E6"/>
    <w:multiLevelType w:val="multilevel"/>
    <w:tmpl w:val="198EB7B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nsid w:val="3E9C283C"/>
    <w:multiLevelType w:val="hybridMultilevel"/>
    <w:tmpl w:val="810E9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452CAA"/>
    <w:multiLevelType w:val="multilevel"/>
    <w:tmpl w:val="7B7CE99C"/>
    <w:styleLink w:val="BulletBig"/>
    <w:lvl w:ilvl="0">
      <w:numFmt w:val="bullet"/>
      <w:lvlText w:val="•"/>
      <w:lvlJc w:val="left"/>
      <w:pPr>
        <w:tabs>
          <w:tab w:val="num" w:pos="262"/>
        </w:tabs>
        <w:ind w:left="262" w:hanging="262"/>
      </w:pPr>
      <w:rPr>
        <w:position w:val="0"/>
        <w:sz w:val="26"/>
        <w:szCs w:val="26"/>
        <w:rtl w:val="0"/>
      </w:rPr>
    </w:lvl>
    <w:lvl w:ilvl="1">
      <w:start w:val="1"/>
      <w:numFmt w:val="bullet"/>
      <w:lvlText w:val="•"/>
      <w:lvlJc w:val="left"/>
      <w:pPr>
        <w:tabs>
          <w:tab w:val="num" w:pos="502"/>
        </w:tabs>
        <w:ind w:left="502" w:hanging="262"/>
      </w:pPr>
      <w:rPr>
        <w:position w:val="0"/>
        <w:sz w:val="29"/>
        <w:szCs w:val="29"/>
        <w:rtl w:val="0"/>
      </w:rPr>
    </w:lvl>
    <w:lvl w:ilvl="2">
      <w:start w:val="1"/>
      <w:numFmt w:val="bullet"/>
      <w:lvlText w:val="•"/>
      <w:lvlJc w:val="left"/>
      <w:pPr>
        <w:tabs>
          <w:tab w:val="num" w:pos="742"/>
        </w:tabs>
        <w:ind w:left="742" w:hanging="262"/>
      </w:pPr>
      <w:rPr>
        <w:position w:val="0"/>
        <w:sz w:val="29"/>
        <w:szCs w:val="29"/>
        <w:rtl w:val="0"/>
      </w:rPr>
    </w:lvl>
    <w:lvl w:ilvl="3">
      <w:start w:val="1"/>
      <w:numFmt w:val="bullet"/>
      <w:lvlText w:val="•"/>
      <w:lvlJc w:val="left"/>
      <w:pPr>
        <w:tabs>
          <w:tab w:val="num" w:pos="982"/>
        </w:tabs>
        <w:ind w:left="982" w:hanging="262"/>
      </w:pPr>
      <w:rPr>
        <w:position w:val="0"/>
        <w:sz w:val="29"/>
        <w:szCs w:val="29"/>
        <w:rtl w:val="0"/>
      </w:rPr>
    </w:lvl>
    <w:lvl w:ilvl="4">
      <w:start w:val="1"/>
      <w:numFmt w:val="bullet"/>
      <w:lvlText w:val="•"/>
      <w:lvlJc w:val="left"/>
      <w:pPr>
        <w:tabs>
          <w:tab w:val="num" w:pos="1222"/>
        </w:tabs>
        <w:ind w:left="1222" w:hanging="262"/>
      </w:pPr>
      <w:rPr>
        <w:position w:val="0"/>
        <w:sz w:val="29"/>
        <w:szCs w:val="29"/>
        <w:rtl w:val="0"/>
      </w:rPr>
    </w:lvl>
    <w:lvl w:ilvl="5">
      <w:start w:val="1"/>
      <w:numFmt w:val="bullet"/>
      <w:lvlText w:val="•"/>
      <w:lvlJc w:val="left"/>
      <w:pPr>
        <w:tabs>
          <w:tab w:val="num" w:pos="1462"/>
        </w:tabs>
        <w:ind w:left="1462" w:hanging="262"/>
      </w:pPr>
      <w:rPr>
        <w:position w:val="0"/>
        <w:sz w:val="29"/>
        <w:szCs w:val="29"/>
        <w:rtl w:val="0"/>
      </w:rPr>
    </w:lvl>
    <w:lvl w:ilvl="6">
      <w:start w:val="1"/>
      <w:numFmt w:val="bullet"/>
      <w:lvlText w:val="•"/>
      <w:lvlJc w:val="left"/>
      <w:pPr>
        <w:tabs>
          <w:tab w:val="num" w:pos="1702"/>
        </w:tabs>
        <w:ind w:left="1702" w:hanging="262"/>
      </w:pPr>
      <w:rPr>
        <w:position w:val="0"/>
        <w:sz w:val="29"/>
        <w:szCs w:val="29"/>
        <w:rtl w:val="0"/>
      </w:rPr>
    </w:lvl>
    <w:lvl w:ilvl="7">
      <w:start w:val="1"/>
      <w:numFmt w:val="bullet"/>
      <w:lvlText w:val="•"/>
      <w:lvlJc w:val="left"/>
      <w:pPr>
        <w:tabs>
          <w:tab w:val="num" w:pos="1942"/>
        </w:tabs>
        <w:ind w:left="1942" w:hanging="262"/>
      </w:pPr>
      <w:rPr>
        <w:position w:val="0"/>
        <w:sz w:val="29"/>
        <w:szCs w:val="29"/>
        <w:rtl w:val="0"/>
      </w:rPr>
    </w:lvl>
    <w:lvl w:ilvl="8">
      <w:start w:val="1"/>
      <w:numFmt w:val="bullet"/>
      <w:lvlText w:val="•"/>
      <w:lvlJc w:val="left"/>
      <w:pPr>
        <w:tabs>
          <w:tab w:val="num" w:pos="2182"/>
        </w:tabs>
        <w:ind w:left="2182" w:hanging="262"/>
      </w:pPr>
      <w:rPr>
        <w:position w:val="0"/>
        <w:sz w:val="29"/>
        <w:szCs w:val="29"/>
        <w:rtl w:val="0"/>
      </w:rPr>
    </w:lvl>
  </w:abstractNum>
  <w:abstractNum w:abstractNumId="12">
    <w:nsid w:val="5A215EA0"/>
    <w:multiLevelType w:val="hybridMultilevel"/>
    <w:tmpl w:val="1A86F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6D3F0B"/>
    <w:multiLevelType w:val="hybridMultilevel"/>
    <w:tmpl w:val="C88A1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4E6F43"/>
    <w:multiLevelType w:val="multilevel"/>
    <w:tmpl w:val="7458ED56"/>
    <w:lvl w:ilvl="0">
      <w:numFmt w:val="bullet"/>
      <w:lvlText w:val="•"/>
      <w:lvlJc w:val="left"/>
      <w:pPr>
        <w:tabs>
          <w:tab w:val="num" w:pos="262"/>
        </w:tabs>
        <w:ind w:left="262" w:hanging="262"/>
      </w:pPr>
      <w:rPr>
        <w:position w:val="0"/>
        <w:sz w:val="26"/>
        <w:szCs w:val="26"/>
        <w:rtl w:val="0"/>
      </w:rPr>
    </w:lvl>
    <w:lvl w:ilvl="1">
      <w:start w:val="1"/>
      <w:numFmt w:val="bullet"/>
      <w:lvlText w:val="•"/>
      <w:lvlJc w:val="left"/>
      <w:pPr>
        <w:tabs>
          <w:tab w:val="num" w:pos="502"/>
        </w:tabs>
        <w:ind w:left="502" w:hanging="262"/>
      </w:pPr>
      <w:rPr>
        <w:position w:val="0"/>
        <w:sz w:val="29"/>
        <w:szCs w:val="29"/>
        <w:rtl w:val="0"/>
      </w:rPr>
    </w:lvl>
    <w:lvl w:ilvl="2">
      <w:start w:val="1"/>
      <w:numFmt w:val="bullet"/>
      <w:lvlText w:val="•"/>
      <w:lvlJc w:val="left"/>
      <w:pPr>
        <w:tabs>
          <w:tab w:val="num" w:pos="742"/>
        </w:tabs>
        <w:ind w:left="742" w:hanging="262"/>
      </w:pPr>
      <w:rPr>
        <w:position w:val="0"/>
        <w:sz w:val="29"/>
        <w:szCs w:val="29"/>
        <w:rtl w:val="0"/>
      </w:rPr>
    </w:lvl>
    <w:lvl w:ilvl="3">
      <w:start w:val="1"/>
      <w:numFmt w:val="bullet"/>
      <w:lvlText w:val="•"/>
      <w:lvlJc w:val="left"/>
      <w:pPr>
        <w:tabs>
          <w:tab w:val="num" w:pos="982"/>
        </w:tabs>
        <w:ind w:left="982" w:hanging="262"/>
      </w:pPr>
      <w:rPr>
        <w:position w:val="0"/>
        <w:sz w:val="29"/>
        <w:szCs w:val="29"/>
        <w:rtl w:val="0"/>
      </w:rPr>
    </w:lvl>
    <w:lvl w:ilvl="4">
      <w:start w:val="1"/>
      <w:numFmt w:val="bullet"/>
      <w:lvlText w:val="•"/>
      <w:lvlJc w:val="left"/>
      <w:pPr>
        <w:tabs>
          <w:tab w:val="num" w:pos="1222"/>
        </w:tabs>
        <w:ind w:left="1222" w:hanging="262"/>
      </w:pPr>
      <w:rPr>
        <w:position w:val="0"/>
        <w:sz w:val="29"/>
        <w:szCs w:val="29"/>
        <w:rtl w:val="0"/>
      </w:rPr>
    </w:lvl>
    <w:lvl w:ilvl="5">
      <w:start w:val="1"/>
      <w:numFmt w:val="bullet"/>
      <w:lvlText w:val="•"/>
      <w:lvlJc w:val="left"/>
      <w:pPr>
        <w:tabs>
          <w:tab w:val="num" w:pos="1462"/>
        </w:tabs>
        <w:ind w:left="1462" w:hanging="262"/>
      </w:pPr>
      <w:rPr>
        <w:position w:val="0"/>
        <w:sz w:val="29"/>
        <w:szCs w:val="29"/>
        <w:rtl w:val="0"/>
      </w:rPr>
    </w:lvl>
    <w:lvl w:ilvl="6">
      <w:start w:val="1"/>
      <w:numFmt w:val="bullet"/>
      <w:lvlText w:val="•"/>
      <w:lvlJc w:val="left"/>
      <w:pPr>
        <w:tabs>
          <w:tab w:val="num" w:pos="1702"/>
        </w:tabs>
        <w:ind w:left="1702" w:hanging="262"/>
      </w:pPr>
      <w:rPr>
        <w:position w:val="0"/>
        <w:sz w:val="29"/>
        <w:szCs w:val="29"/>
        <w:rtl w:val="0"/>
      </w:rPr>
    </w:lvl>
    <w:lvl w:ilvl="7">
      <w:start w:val="1"/>
      <w:numFmt w:val="bullet"/>
      <w:lvlText w:val="•"/>
      <w:lvlJc w:val="left"/>
      <w:pPr>
        <w:tabs>
          <w:tab w:val="num" w:pos="1942"/>
        </w:tabs>
        <w:ind w:left="1942" w:hanging="262"/>
      </w:pPr>
      <w:rPr>
        <w:position w:val="0"/>
        <w:sz w:val="29"/>
        <w:szCs w:val="29"/>
        <w:rtl w:val="0"/>
      </w:rPr>
    </w:lvl>
    <w:lvl w:ilvl="8">
      <w:start w:val="1"/>
      <w:numFmt w:val="bullet"/>
      <w:lvlText w:val="•"/>
      <w:lvlJc w:val="left"/>
      <w:pPr>
        <w:tabs>
          <w:tab w:val="num" w:pos="2182"/>
        </w:tabs>
        <w:ind w:left="2182" w:hanging="262"/>
      </w:pPr>
      <w:rPr>
        <w:position w:val="0"/>
        <w:sz w:val="29"/>
        <w:szCs w:val="29"/>
        <w:rtl w:val="0"/>
      </w:rPr>
    </w:lvl>
  </w:abstractNum>
  <w:abstractNum w:abstractNumId="15">
    <w:nsid w:val="655B0FDD"/>
    <w:multiLevelType w:val="hybridMultilevel"/>
    <w:tmpl w:val="749E55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375F72"/>
    <w:multiLevelType w:val="hybridMultilevel"/>
    <w:tmpl w:val="0136B1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9"/>
  </w:num>
  <w:num w:numId="3">
    <w:abstractNumId w:val="16"/>
  </w:num>
  <w:num w:numId="4">
    <w:abstractNumId w:val="2"/>
  </w:num>
  <w:num w:numId="5">
    <w:abstractNumId w:val="12"/>
  </w:num>
  <w:num w:numId="6">
    <w:abstractNumId w:val="5"/>
  </w:num>
  <w:num w:numId="7">
    <w:abstractNumId w:val="6"/>
  </w:num>
  <w:num w:numId="8">
    <w:abstractNumId w:val="7"/>
  </w:num>
  <w:num w:numId="9">
    <w:abstractNumId w:val="8"/>
  </w:num>
  <w:num w:numId="10">
    <w:abstractNumId w:val="0"/>
  </w:num>
  <w:num w:numId="11">
    <w:abstractNumId w:val="1"/>
  </w:num>
  <w:num w:numId="12">
    <w:abstractNumId w:val="15"/>
  </w:num>
  <w:num w:numId="13">
    <w:abstractNumId w:val="14"/>
  </w:num>
  <w:num w:numId="14">
    <w:abstractNumId w:val="11"/>
  </w:num>
  <w:num w:numId="15">
    <w:abstractNumId w:val="10"/>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A14"/>
    <w:rsid w:val="00044D81"/>
    <w:rsid w:val="001D5B5D"/>
    <w:rsid w:val="0027512E"/>
    <w:rsid w:val="002F3030"/>
    <w:rsid w:val="003213AC"/>
    <w:rsid w:val="00365006"/>
    <w:rsid w:val="00415777"/>
    <w:rsid w:val="00473F39"/>
    <w:rsid w:val="00485AB2"/>
    <w:rsid w:val="00485F84"/>
    <w:rsid w:val="00600664"/>
    <w:rsid w:val="0064048D"/>
    <w:rsid w:val="00697001"/>
    <w:rsid w:val="007235BE"/>
    <w:rsid w:val="00736EFA"/>
    <w:rsid w:val="007A1FAD"/>
    <w:rsid w:val="007C78C9"/>
    <w:rsid w:val="00804A14"/>
    <w:rsid w:val="008705F1"/>
    <w:rsid w:val="008A06DA"/>
    <w:rsid w:val="0091740A"/>
    <w:rsid w:val="00941BD0"/>
    <w:rsid w:val="009D412A"/>
    <w:rsid w:val="00A45CDD"/>
    <w:rsid w:val="00A65611"/>
    <w:rsid w:val="00A97E19"/>
    <w:rsid w:val="00AC185C"/>
    <w:rsid w:val="00AE682A"/>
    <w:rsid w:val="00C27C9F"/>
    <w:rsid w:val="00CD2542"/>
    <w:rsid w:val="00DD5402"/>
    <w:rsid w:val="00E372AB"/>
    <w:rsid w:val="00E37335"/>
    <w:rsid w:val="00EA7659"/>
    <w:rsid w:val="00F313A2"/>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A14"/>
    <w:pPr>
      <w:spacing w:after="0" w:line="240" w:lineRule="auto"/>
    </w:pPr>
    <w:rPr>
      <w:rFonts w:eastAsiaTheme="minorEastAsia"/>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4A14"/>
    <w:pPr>
      <w:spacing w:after="0"/>
    </w:pPr>
    <w:rPr>
      <w:rFonts w:ascii="Arial" w:eastAsia="Arial" w:hAnsi="Arial" w:cs="Arial"/>
      <w:color w:val="000000"/>
      <w:szCs w:val="20"/>
      <w:lang w:bidi="ar-SA"/>
    </w:rPr>
  </w:style>
  <w:style w:type="paragraph" w:styleId="FootnoteText">
    <w:name w:val="footnote text"/>
    <w:basedOn w:val="Normal"/>
    <w:link w:val="FootnoteTextChar"/>
    <w:uiPriority w:val="99"/>
    <w:unhideWhenUsed/>
    <w:rsid w:val="00804A14"/>
    <w:rPr>
      <w:sz w:val="20"/>
      <w:szCs w:val="20"/>
    </w:rPr>
  </w:style>
  <w:style w:type="character" w:customStyle="1" w:styleId="FootnoteTextChar">
    <w:name w:val="Footnote Text Char"/>
    <w:basedOn w:val="DefaultParagraphFont"/>
    <w:link w:val="FootnoteText"/>
    <w:uiPriority w:val="99"/>
    <w:rsid w:val="00804A14"/>
    <w:rPr>
      <w:rFonts w:eastAsiaTheme="minorEastAsia"/>
      <w:sz w:val="20"/>
      <w:szCs w:val="20"/>
      <w:lang w:bidi="ar-SA"/>
    </w:rPr>
  </w:style>
  <w:style w:type="character" w:styleId="FootnoteReference">
    <w:name w:val="footnote reference"/>
    <w:basedOn w:val="DefaultParagraphFont"/>
    <w:uiPriority w:val="99"/>
    <w:unhideWhenUsed/>
    <w:rsid w:val="00804A14"/>
    <w:rPr>
      <w:sz w:val="32"/>
      <w:szCs w:val="32"/>
      <w:vertAlign w:val="superscript"/>
    </w:rPr>
  </w:style>
  <w:style w:type="character" w:styleId="CommentReference">
    <w:name w:val="annotation reference"/>
    <w:basedOn w:val="DefaultParagraphFont"/>
    <w:uiPriority w:val="99"/>
    <w:semiHidden/>
    <w:unhideWhenUsed/>
    <w:rsid w:val="00EA7659"/>
    <w:rPr>
      <w:sz w:val="18"/>
      <w:szCs w:val="18"/>
    </w:rPr>
  </w:style>
  <w:style w:type="paragraph" w:styleId="CommentText">
    <w:name w:val="annotation text"/>
    <w:basedOn w:val="Normal"/>
    <w:link w:val="CommentTextChar"/>
    <w:uiPriority w:val="99"/>
    <w:semiHidden/>
    <w:unhideWhenUsed/>
    <w:rsid w:val="00EA7659"/>
  </w:style>
  <w:style w:type="character" w:customStyle="1" w:styleId="CommentTextChar">
    <w:name w:val="Comment Text Char"/>
    <w:basedOn w:val="DefaultParagraphFont"/>
    <w:link w:val="CommentText"/>
    <w:uiPriority w:val="99"/>
    <w:semiHidden/>
    <w:rsid w:val="00EA7659"/>
    <w:rPr>
      <w:rFonts w:eastAsiaTheme="minorEastAsia"/>
      <w:sz w:val="24"/>
      <w:szCs w:val="24"/>
      <w:lang w:bidi="ar-SA"/>
    </w:rPr>
  </w:style>
  <w:style w:type="paragraph" w:customStyle="1" w:styleId="BodyA">
    <w:name w:val="Body A"/>
    <w:rsid w:val="00EA7659"/>
    <w:pPr>
      <w:pBdr>
        <w:top w:val="nil"/>
        <w:left w:val="nil"/>
        <w:bottom w:val="nil"/>
        <w:right w:val="nil"/>
        <w:between w:val="nil"/>
        <w:bar w:val="nil"/>
      </w:pBdr>
    </w:pPr>
    <w:rPr>
      <w:rFonts w:ascii="Calibri" w:eastAsia="Calibri" w:hAnsi="Calibri" w:cs="Calibri"/>
      <w:color w:val="000000"/>
      <w:szCs w:val="22"/>
      <w:u w:color="000000"/>
      <w:bdr w:val="nil"/>
    </w:rPr>
  </w:style>
  <w:style w:type="paragraph" w:styleId="ListParagraph">
    <w:name w:val="List Paragraph"/>
    <w:basedOn w:val="Normal"/>
    <w:qFormat/>
    <w:rsid w:val="00EA7659"/>
    <w:pPr>
      <w:ind w:left="720"/>
      <w:contextualSpacing/>
    </w:pPr>
  </w:style>
  <w:style w:type="paragraph" w:styleId="BalloonText">
    <w:name w:val="Balloon Text"/>
    <w:basedOn w:val="Normal"/>
    <w:link w:val="BalloonTextChar"/>
    <w:uiPriority w:val="99"/>
    <w:semiHidden/>
    <w:unhideWhenUsed/>
    <w:rsid w:val="00EA7659"/>
    <w:rPr>
      <w:rFonts w:ascii="Tahoma" w:hAnsi="Tahoma" w:cs="Tahoma"/>
      <w:sz w:val="16"/>
      <w:szCs w:val="16"/>
    </w:rPr>
  </w:style>
  <w:style w:type="character" w:customStyle="1" w:styleId="BalloonTextChar">
    <w:name w:val="Balloon Text Char"/>
    <w:basedOn w:val="DefaultParagraphFont"/>
    <w:link w:val="BalloonText"/>
    <w:uiPriority w:val="99"/>
    <w:semiHidden/>
    <w:rsid w:val="00EA7659"/>
    <w:rPr>
      <w:rFonts w:ascii="Tahoma" w:eastAsiaTheme="minorEastAsia" w:hAnsi="Tahoma" w:cs="Tahoma"/>
      <w:sz w:val="16"/>
      <w:szCs w:val="16"/>
      <w:lang w:bidi="ar-SA"/>
    </w:rPr>
  </w:style>
  <w:style w:type="paragraph" w:customStyle="1" w:styleId="Default">
    <w:name w:val="Default"/>
    <w:rsid w:val="0091740A"/>
    <w:pPr>
      <w:autoSpaceDE w:val="0"/>
      <w:autoSpaceDN w:val="0"/>
      <w:adjustRightInd w:val="0"/>
      <w:spacing w:after="0" w:line="240" w:lineRule="auto"/>
    </w:pPr>
    <w:rPr>
      <w:rFonts w:ascii="CordiaUPC" w:eastAsia="Calibri" w:hAnsi="CordiaUPC" w:cs="CordiaUPC"/>
      <w:color w:val="000000"/>
      <w:sz w:val="24"/>
      <w:szCs w:val="24"/>
    </w:rPr>
  </w:style>
  <w:style w:type="paragraph" w:styleId="NormalWeb">
    <w:name w:val="Normal (Web)"/>
    <w:basedOn w:val="Normal"/>
    <w:uiPriority w:val="99"/>
    <w:semiHidden/>
    <w:unhideWhenUsed/>
    <w:rsid w:val="007A1FAD"/>
    <w:pPr>
      <w:spacing w:before="100" w:beforeAutospacing="1" w:after="100" w:afterAutospacing="1"/>
    </w:pPr>
    <w:rPr>
      <w:rFonts w:ascii="Tahoma" w:eastAsia="Times New Roman" w:hAnsi="Tahoma" w:cs="Tahoma"/>
      <w:lang w:bidi="th-TH"/>
    </w:rPr>
  </w:style>
  <w:style w:type="paragraph" w:customStyle="1" w:styleId="Body">
    <w:name w:val="Body"/>
    <w:rsid w:val="002F303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numbering" w:customStyle="1" w:styleId="BulletBig">
    <w:name w:val="Bullet Big"/>
    <w:rsid w:val="002F3030"/>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A14"/>
    <w:pPr>
      <w:spacing w:after="0" w:line="240" w:lineRule="auto"/>
    </w:pPr>
    <w:rPr>
      <w:rFonts w:eastAsiaTheme="minorEastAsia"/>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4A14"/>
    <w:pPr>
      <w:spacing w:after="0"/>
    </w:pPr>
    <w:rPr>
      <w:rFonts w:ascii="Arial" w:eastAsia="Arial" w:hAnsi="Arial" w:cs="Arial"/>
      <w:color w:val="000000"/>
      <w:szCs w:val="20"/>
      <w:lang w:bidi="ar-SA"/>
    </w:rPr>
  </w:style>
  <w:style w:type="paragraph" w:styleId="FootnoteText">
    <w:name w:val="footnote text"/>
    <w:basedOn w:val="Normal"/>
    <w:link w:val="FootnoteTextChar"/>
    <w:uiPriority w:val="99"/>
    <w:unhideWhenUsed/>
    <w:rsid w:val="00804A14"/>
    <w:rPr>
      <w:sz w:val="20"/>
      <w:szCs w:val="20"/>
    </w:rPr>
  </w:style>
  <w:style w:type="character" w:customStyle="1" w:styleId="FootnoteTextChar">
    <w:name w:val="Footnote Text Char"/>
    <w:basedOn w:val="DefaultParagraphFont"/>
    <w:link w:val="FootnoteText"/>
    <w:uiPriority w:val="99"/>
    <w:rsid w:val="00804A14"/>
    <w:rPr>
      <w:rFonts w:eastAsiaTheme="minorEastAsia"/>
      <w:sz w:val="20"/>
      <w:szCs w:val="20"/>
      <w:lang w:bidi="ar-SA"/>
    </w:rPr>
  </w:style>
  <w:style w:type="character" w:styleId="FootnoteReference">
    <w:name w:val="footnote reference"/>
    <w:basedOn w:val="DefaultParagraphFont"/>
    <w:uiPriority w:val="99"/>
    <w:unhideWhenUsed/>
    <w:rsid w:val="00804A14"/>
    <w:rPr>
      <w:sz w:val="32"/>
      <w:szCs w:val="32"/>
      <w:vertAlign w:val="superscript"/>
    </w:rPr>
  </w:style>
  <w:style w:type="character" w:styleId="CommentReference">
    <w:name w:val="annotation reference"/>
    <w:basedOn w:val="DefaultParagraphFont"/>
    <w:uiPriority w:val="99"/>
    <w:semiHidden/>
    <w:unhideWhenUsed/>
    <w:rsid w:val="00EA7659"/>
    <w:rPr>
      <w:sz w:val="18"/>
      <w:szCs w:val="18"/>
    </w:rPr>
  </w:style>
  <w:style w:type="paragraph" w:styleId="CommentText">
    <w:name w:val="annotation text"/>
    <w:basedOn w:val="Normal"/>
    <w:link w:val="CommentTextChar"/>
    <w:uiPriority w:val="99"/>
    <w:semiHidden/>
    <w:unhideWhenUsed/>
    <w:rsid w:val="00EA7659"/>
  </w:style>
  <w:style w:type="character" w:customStyle="1" w:styleId="CommentTextChar">
    <w:name w:val="Comment Text Char"/>
    <w:basedOn w:val="DefaultParagraphFont"/>
    <w:link w:val="CommentText"/>
    <w:uiPriority w:val="99"/>
    <w:semiHidden/>
    <w:rsid w:val="00EA7659"/>
    <w:rPr>
      <w:rFonts w:eastAsiaTheme="minorEastAsia"/>
      <w:sz w:val="24"/>
      <w:szCs w:val="24"/>
      <w:lang w:bidi="ar-SA"/>
    </w:rPr>
  </w:style>
  <w:style w:type="paragraph" w:customStyle="1" w:styleId="BodyA">
    <w:name w:val="Body A"/>
    <w:rsid w:val="00EA7659"/>
    <w:pPr>
      <w:pBdr>
        <w:top w:val="nil"/>
        <w:left w:val="nil"/>
        <w:bottom w:val="nil"/>
        <w:right w:val="nil"/>
        <w:between w:val="nil"/>
        <w:bar w:val="nil"/>
      </w:pBdr>
    </w:pPr>
    <w:rPr>
      <w:rFonts w:ascii="Calibri" w:eastAsia="Calibri" w:hAnsi="Calibri" w:cs="Calibri"/>
      <w:color w:val="000000"/>
      <w:szCs w:val="22"/>
      <w:u w:color="000000"/>
      <w:bdr w:val="nil"/>
    </w:rPr>
  </w:style>
  <w:style w:type="paragraph" w:styleId="ListParagraph">
    <w:name w:val="List Paragraph"/>
    <w:basedOn w:val="Normal"/>
    <w:qFormat/>
    <w:rsid w:val="00EA7659"/>
    <w:pPr>
      <w:ind w:left="720"/>
      <w:contextualSpacing/>
    </w:pPr>
  </w:style>
  <w:style w:type="paragraph" w:styleId="BalloonText">
    <w:name w:val="Balloon Text"/>
    <w:basedOn w:val="Normal"/>
    <w:link w:val="BalloonTextChar"/>
    <w:uiPriority w:val="99"/>
    <w:semiHidden/>
    <w:unhideWhenUsed/>
    <w:rsid w:val="00EA7659"/>
    <w:rPr>
      <w:rFonts w:ascii="Tahoma" w:hAnsi="Tahoma" w:cs="Tahoma"/>
      <w:sz w:val="16"/>
      <w:szCs w:val="16"/>
    </w:rPr>
  </w:style>
  <w:style w:type="character" w:customStyle="1" w:styleId="BalloonTextChar">
    <w:name w:val="Balloon Text Char"/>
    <w:basedOn w:val="DefaultParagraphFont"/>
    <w:link w:val="BalloonText"/>
    <w:uiPriority w:val="99"/>
    <w:semiHidden/>
    <w:rsid w:val="00EA7659"/>
    <w:rPr>
      <w:rFonts w:ascii="Tahoma" w:eastAsiaTheme="minorEastAsia" w:hAnsi="Tahoma" w:cs="Tahoma"/>
      <w:sz w:val="16"/>
      <w:szCs w:val="16"/>
      <w:lang w:bidi="ar-SA"/>
    </w:rPr>
  </w:style>
  <w:style w:type="paragraph" w:customStyle="1" w:styleId="Default">
    <w:name w:val="Default"/>
    <w:rsid w:val="0091740A"/>
    <w:pPr>
      <w:autoSpaceDE w:val="0"/>
      <w:autoSpaceDN w:val="0"/>
      <w:adjustRightInd w:val="0"/>
      <w:spacing w:after="0" w:line="240" w:lineRule="auto"/>
    </w:pPr>
    <w:rPr>
      <w:rFonts w:ascii="CordiaUPC" w:eastAsia="Calibri" w:hAnsi="CordiaUPC" w:cs="CordiaUPC"/>
      <w:color w:val="000000"/>
      <w:sz w:val="24"/>
      <w:szCs w:val="24"/>
    </w:rPr>
  </w:style>
  <w:style w:type="paragraph" w:styleId="NormalWeb">
    <w:name w:val="Normal (Web)"/>
    <w:basedOn w:val="Normal"/>
    <w:uiPriority w:val="99"/>
    <w:semiHidden/>
    <w:unhideWhenUsed/>
    <w:rsid w:val="007A1FAD"/>
    <w:pPr>
      <w:spacing w:before="100" w:beforeAutospacing="1" w:after="100" w:afterAutospacing="1"/>
    </w:pPr>
    <w:rPr>
      <w:rFonts w:ascii="Tahoma" w:eastAsia="Times New Roman" w:hAnsi="Tahoma" w:cs="Tahoma"/>
      <w:lang w:bidi="th-TH"/>
    </w:rPr>
  </w:style>
  <w:style w:type="paragraph" w:customStyle="1" w:styleId="Body">
    <w:name w:val="Body"/>
    <w:rsid w:val="002F303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numbering" w:customStyle="1" w:styleId="BulletBig">
    <w:name w:val="Bullet Big"/>
    <w:rsid w:val="002F3030"/>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23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1391CD-F667-48AD-AA76-58B4824DB98F}"/>
</file>

<file path=customXml/itemProps2.xml><?xml version="1.0" encoding="utf-8"?>
<ds:datastoreItem xmlns:ds="http://schemas.openxmlformats.org/officeDocument/2006/customXml" ds:itemID="{6D9BE20C-03F8-4E57-A946-5D8CE2C7A1BF}"/>
</file>

<file path=customXml/itemProps3.xml><?xml version="1.0" encoding="utf-8"?>
<ds:datastoreItem xmlns:ds="http://schemas.openxmlformats.org/officeDocument/2006/customXml" ds:itemID="{F6FA9484-4A30-4933-903C-5C2755C3EA77}"/>
</file>

<file path=customXml/itemProps4.xml><?xml version="1.0" encoding="utf-8"?>
<ds:datastoreItem xmlns:ds="http://schemas.openxmlformats.org/officeDocument/2006/customXml" ds:itemID="{91A3B029-40B8-4676-8D00-47E2CC7B9C72}"/>
</file>

<file path=docProps/app.xml><?xml version="1.0" encoding="utf-8"?>
<Properties xmlns="http://schemas.openxmlformats.org/officeDocument/2006/extended-properties" xmlns:vt="http://schemas.openxmlformats.org/officeDocument/2006/docPropsVTypes">
  <Template>Normal</Template>
  <TotalTime>1</TotalTime>
  <Pages>18</Pages>
  <Words>6144</Words>
  <Characters>35025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CESCR Intern2 OHCHR</cp:lastModifiedBy>
  <cp:revision>2</cp:revision>
  <dcterms:created xsi:type="dcterms:W3CDTF">2015-04-17T15:55:00Z</dcterms:created>
  <dcterms:modified xsi:type="dcterms:W3CDTF">2015-04-17T15:55:00Z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