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574819"/>
        <w:docPartObj>
          <w:docPartGallery w:val="Cover Pages"/>
          <w:docPartUnique/>
        </w:docPartObj>
      </w:sdtPr>
      <w:sdtEndPr/>
      <w:sdtContent>
        <w:p w14:paraId="05CCB2A9" w14:textId="55531F39" w:rsidR="00B0043B" w:rsidRPr="00C13E06" w:rsidRDefault="00B0043B"/>
        <w:p w14:paraId="38C07560" w14:textId="1DC8A35A" w:rsidR="00B0043B" w:rsidRPr="00C13E06" w:rsidRDefault="00181E85">
          <w:pPr>
            <w:spacing w:after="160" w:line="259" w:lineRule="auto"/>
          </w:pPr>
          <w:r w:rsidRPr="00C13E06">
            <w:rPr>
              <w:noProof/>
              <w:lang w:val="en-GB" w:eastAsia="en-GB"/>
            </w:rPr>
            <w:drawing>
              <wp:anchor distT="0" distB="0" distL="114300" distR="114300" simplePos="0" relativeHeight="251668480" behindDoc="0" locked="0" layoutInCell="1" allowOverlap="1" wp14:anchorId="65808A21" wp14:editId="27203122">
                <wp:simplePos x="0" y="0"/>
                <wp:positionH relativeFrom="page">
                  <wp:posOffset>2200729</wp:posOffset>
                </wp:positionH>
                <wp:positionV relativeFrom="paragraph">
                  <wp:posOffset>7406731</wp:posOffset>
                </wp:positionV>
                <wp:extent cx="2880995" cy="753110"/>
                <wp:effectExtent l="0" t="0" r="0" b="8890"/>
                <wp:wrapThrough wrapText="bothSides">
                  <wp:wrapPolygon edited="0">
                    <wp:start x="0" y="0"/>
                    <wp:lineTo x="0" y="21309"/>
                    <wp:lineTo x="21424" y="21309"/>
                    <wp:lineTo x="21424" y="0"/>
                    <wp:lineTo x="0" y="0"/>
                  </wp:wrapPolygon>
                </wp:wrapThrough>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a:extLst>
                            <a:ext uri="{28A0092B-C50C-407E-A947-70E740481C1C}">
                              <a14:useLocalDpi xmlns:a14="http://schemas.microsoft.com/office/drawing/2010/main" val="0"/>
                            </a:ext>
                          </a:extLst>
                        </a:blip>
                        <a:stretch>
                          <a:fillRect/>
                        </a:stretch>
                      </pic:blipFill>
                      <pic:spPr>
                        <a:xfrm>
                          <a:off x="0" y="0"/>
                          <a:ext cx="2880995" cy="753110"/>
                        </a:xfrm>
                        <a:prstGeom prst="rect">
                          <a:avLst/>
                        </a:prstGeom>
                      </pic:spPr>
                    </pic:pic>
                  </a:graphicData>
                </a:graphic>
                <wp14:sizeRelH relativeFrom="margin">
                  <wp14:pctWidth>0</wp14:pctWidth>
                </wp14:sizeRelH>
              </wp:anchor>
            </w:drawing>
          </w:r>
          <w:r w:rsidRPr="00C13E06">
            <w:rPr>
              <w:noProof/>
              <w:lang w:val="en-GB" w:eastAsia="en-GB"/>
            </w:rPr>
            <mc:AlternateContent>
              <mc:Choice Requires="wps">
                <w:drawing>
                  <wp:anchor distT="0" distB="0" distL="114300" distR="114300" simplePos="0" relativeHeight="251661312" behindDoc="0" locked="0" layoutInCell="1" allowOverlap="1" wp14:anchorId="40449F90" wp14:editId="689B1083">
                    <wp:simplePos x="0" y="0"/>
                    <wp:positionH relativeFrom="page">
                      <wp:posOffset>341630</wp:posOffset>
                    </wp:positionH>
                    <wp:positionV relativeFrom="page">
                      <wp:posOffset>7691967</wp:posOffset>
                    </wp:positionV>
                    <wp:extent cx="5753100" cy="484505"/>
                    <wp:effectExtent l="0" t="0" r="0" b="3175"/>
                    <wp:wrapSquare wrapText="bothSides"/>
                    <wp:docPr id="129" name="Zone de texte 129"/>
                    <wp:cNvGraphicFramePr/>
                    <a:graphic xmlns:a="http://schemas.openxmlformats.org/drawingml/2006/main">
                      <a:graphicData uri="http://schemas.microsoft.com/office/word/2010/wordprocessingShape">
                        <wps:wsp>
                          <wps:cNvSpPr txBox="1"/>
                          <wps:spPr>
                            <a:xfrm>
                              <a:off x="0" y="0"/>
                              <a:ext cx="5753100" cy="48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7E94C" w14:textId="1BC88B9D" w:rsidR="00181E85" w:rsidRPr="00181E85" w:rsidRDefault="00181E85" w:rsidP="00181E85">
                                <w:pPr>
                                  <w:pStyle w:val="NoSpacing"/>
                                  <w:spacing w:before="40" w:after="40"/>
                                  <w:jc w:val="center"/>
                                  <w:rPr>
                                    <w:rFonts w:ascii="Segoe UI" w:eastAsiaTheme="minorHAnsi" w:hAnsi="Segoe UI" w:cs="Segoe UI"/>
                                    <w:b/>
                                    <w:bCs/>
                                    <w:sz w:val="28"/>
                                    <w:szCs w:val="28"/>
                                    <w:lang w:eastAsia="en-US"/>
                                  </w:rPr>
                                </w:pPr>
                                <w:r w:rsidRPr="00181E85">
                                  <w:rPr>
                                    <w:rFonts w:ascii="Segoe UI" w:eastAsiaTheme="minorHAnsi" w:hAnsi="Segoe UI" w:cs="Segoe UI"/>
                                    <w:b/>
                                    <w:bCs/>
                                    <w:sz w:val="28"/>
                                    <w:szCs w:val="28"/>
                                    <w:lang w:eastAsia="en-US"/>
                                  </w:rPr>
                                  <w:t>Publié par la FEMAPH</w:t>
                                </w:r>
                              </w:p>
                              <w:p w14:paraId="4CB43032" w14:textId="64346F8F" w:rsidR="00B0043B" w:rsidRPr="00181E85" w:rsidRDefault="00181E85" w:rsidP="00181E85">
                                <w:pPr>
                                  <w:pStyle w:val="NoSpacing"/>
                                  <w:spacing w:before="40" w:after="40"/>
                                  <w:jc w:val="center"/>
                                  <w:rPr>
                                    <w:caps/>
                                    <w:color w:val="4472C4" w:themeColor="accent1"/>
                                    <w:sz w:val="28"/>
                                    <w:szCs w:val="28"/>
                                  </w:rPr>
                                </w:pPr>
                                <w:r w:rsidRPr="00181E85">
                                  <w:rPr>
                                    <w:rFonts w:ascii="Segoe UI" w:eastAsiaTheme="minorHAnsi" w:hAnsi="Segoe UI" w:cs="Segoe UI"/>
                                    <w:b/>
                                    <w:bCs/>
                                    <w:sz w:val="28"/>
                                    <w:szCs w:val="28"/>
                                    <w:lang w:eastAsia="en-US"/>
                                  </w:rPr>
                                  <w:t>Copyright @2023</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449F90" id="_x0000_t202" coordsize="21600,21600" o:spt="202" path="m,l,21600r21600,l21600,xe">
                    <v:stroke joinstyle="miter"/>
                    <v:path gradientshapeok="t" o:connecttype="rect"/>
                  </v:shapetype>
                  <v:shape id="Zone de texte 129" o:spid="_x0000_s1026" type="#_x0000_t202" style="position:absolute;margin-left:26.9pt;margin-top:605.65pt;width:453pt;height:38.1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" filled="f" stroked="f" strokeweight=".5pt">
                    <v:textbox style="mso-fit-shape-to-text:t" inset="1in,0,86.4pt,0">
                      <w:txbxContent>
                        <w:p w14:paraId="0217E94C" w14:textId="1BC88B9D" w:rsidR="00181E85" w:rsidRPr="00181E85" w:rsidRDefault="00181E85" w:rsidP="00181E85">
                          <w:pPr>
                            <w:pStyle w:val="Sansinterligne"/>
                            <w:spacing w:before="40" w:after="40"/>
                            <w:jc w:val="center"/>
                            <w:rPr>
                              <w:rFonts w:ascii="Segoe UI" w:eastAsiaTheme="minorHAnsi" w:hAnsi="Segoe UI" w:cs="Segoe UI"/>
                              <w:b/>
                              <w:bCs/>
                              <w:sz w:val="28"/>
                              <w:szCs w:val="28"/>
                              <w:lang w:eastAsia="en-US"/>
                            </w:rPr>
                          </w:pPr>
                          <w:r w:rsidRPr="00181E85">
                            <w:rPr>
                              <w:rFonts w:ascii="Segoe UI" w:eastAsiaTheme="minorHAnsi" w:hAnsi="Segoe UI" w:cs="Segoe UI"/>
                              <w:b/>
                              <w:bCs/>
                              <w:sz w:val="28"/>
                              <w:szCs w:val="28"/>
                              <w:lang w:eastAsia="en-US"/>
                            </w:rPr>
                            <w:t>Publié par la FEMAPH</w:t>
                          </w:r>
                        </w:p>
                        <w:p w14:paraId="4CB43032" w14:textId="64346F8F" w:rsidR="00B0043B" w:rsidRPr="00181E85" w:rsidRDefault="00181E85" w:rsidP="00181E85">
                          <w:pPr>
                            <w:pStyle w:val="Sansinterligne"/>
                            <w:spacing w:before="40" w:after="40"/>
                            <w:jc w:val="center"/>
                            <w:rPr>
                              <w:caps/>
                              <w:color w:val="4472C4" w:themeColor="accent1"/>
                              <w:sz w:val="28"/>
                              <w:szCs w:val="28"/>
                            </w:rPr>
                          </w:pPr>
                          <w:r w:rsidRPr="00181E85">
                            <w:rPr>
                              <w:rFonts w:ascii="Segoe UI" w:eastAsiaTheme="minorHAnsi" w:hAnsi="Segoe UI" w:cs="Segoe UI"/>
                              <w:b/>
                              <w:bCs/>
                              <w:sz w:val="28"/>
                              <w:szCs w:val="28"/>
                              <w:lang w:eastAsia="en-US"/>
                            </w:rPr>
                            <w:t>Copyright @2023</w:t>
                          </w:r>
                        </w:p>
                      </w:txbxContent>
                    </v:textbox>
                    <w10:wrap type="square" anchorx="page" anchory="page"/>
                  </v:shape>
                </w:pict>
              </mc:Fallback>
            </mc:AlternateContent>
          </w:r>
          <w:r w:rsidRPr="00C13E06">
            <w:rPr>
              <w:noProof/>
              <w:lang w:val="en-GB" w:eastAsia="en-GB"/>
            </w:rPr>
            <w:drawing>
              <wp:anchor distT="0" distB="0" distL="114300" distR="114300" simplePos="0" relativeHeight="251665408" behindDoc="0" locked="0" layoutInCell="1" allowOverlap="1" wp14:anchorId="7326C903" wp14:editId="6BD84401">
                <wp:simplePos x="0" y="0"/>
                <wp:positionH relativeFrom="margin">
                  <wp:posOffset>3600450</wp:posOffset>
                </wp:positionH>
                <wp:positionV relativeFrom="paragraph">
                  <wp:posOffset>603250</wp:posOffset>
                </wp:positionV>
                <wp:extent cx="2046605" cy="1364615"/>
                <wp:effectExtent l="0" t="0" r="0" b="698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a:extLst>
                            <a:ext uri="{28A0092B-C50C-407E-A947-70E740481C1C}">
                              <a14:useLocalDpi xmlns:a14="http://schemas.microsoft.com/office/drawing/2010/main" val="0"/>
                            </a:ext>
                          </a:extLst>
                        </a:blip>
                        <a:stretch>
                          <a:fillRect/>
                        </a:stretch>
                      </pic:blipFill>
                      <pic:spPr>
                        <a:xfrm>
                          <a:off x="0" y="0"/>
                          <a:ext cx="2046605" cy="1364615"/>
                        </a:xfrm>
                        <a:prstGeom prst="rect">
                          <a:avLst/>
                        </a:prstGeom>
                      </pic:spPr>
                    </pic:pic>
                  </a:graphicData>
                </a:graphic>
                <wp14:sizeRelH relativeFrom="margin">
                  <wp14:pctWidth>0</wp14:pctWidth>
                </wp14:sizeRelH>
                <wp14:sizeRelV relativeFrom="margin">
                  <wp14:pctHeight>0</wp14:pctHeight>
                </wp14:sizeRelV>
              </wp:anchor>
            </w:drawing>
          </w:r>
          <w:r w:rsidRPr="00C13E06">
            <w:rPr>
              <w:noProof/>
              <w:lang w:val="en-GB" w:eastAsia="en-GB"/>
            </w:rPr>
            <w:drawing>
              <wp:anchor distT="0" distB="0" distL="114300" distR="114300" simplePos="0" relativeHeight="251664384" behindDoc="0" locked="0" layoutInCell="1" allowOverlap="1" wp14:anchorId="603F2C46" wp14:editId="55B2A795">
                <wp:simplePos x="0" y="0"/>
                <wp:positionH relativeFrom="margin">
                  <wp:posOffset>257175</wp:posOffset>
                </wp:positionH>
                <wp:positionV relativeFrom="paragraph">
                  <wp:posOffset>603462</wp:posOffset>
                </wp:positionV>
                <wp:extent cx="1384935" cy="1344295"/>
                <wp:effectExtent l="0" t="0" r="5715" b="8255"/>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92000"/>
                                  </a14:imgEffect>
                                  <a14:imgEffect>
                                    <a14:brightnessContrast bright="36000" contrast="37000"/>
                                  </a14:imgEffect>
                                </a14:imgLayer>
                              </a14:imgProps>
                            </a:ext>
                            <a:ext uri="{28A0092B-C50C-407E-A947-70E740481C1C}">
                              <a14:useLocalDpi xmlns:a14="http://schemas.microsoft.com/office/drawing/2010/main" val="0"/>
                            </a:ext>
                          </a:extLst>
                        </a:blip>
                        <a:srcRect/>
                        <a:stretch>
                          <a:fillRect/>
                        </a:stretch>
                      </pic:blipFill>
                      <pic:spPr bwMode="auto">
                        <a:xfrm>
                          <a:off x="0" y="0"/>
                          <a:ext cx="1384935" cy="1344295"/>
                        </a:xfrm>
                        <a:prstGeom prst="rect">
                          <a:avLst/>
                        </a:prstGeom>
                        <a:noFill/>
                      </pic:spPr>
                    </pic:pic>
                  </a:graphicData>
                </a:graphic>
                <wp14:sizeRelH relativeFrom="margin">
                  <wp14:pctWidth>0</wp14:pctWidth>
                </wp14:sizeRelH>
                <wp14:sizeRelV relativeFrom="margin">
                  <wp14:pctHeight>0</wp14:pctHeight>
                </wp14:sizeRelV>
              </wp:anchor>
            </w:drawing>
          </w:r>
          <w:r w:rsidR="00B0043B" w:rsidRPr="00C13E06">
            <w:rPr>
              <w:noProof/>
              <w:lang w:val="en-GB" w:eastAsia="en-GB"/>
            </w:rPr>
            <mc:AlternateContent>
              <mc:Choice Requires="wpg">
                <w:drawing>
                  <wp:anchor distT="0" distB="0" distL="114300" distR="114300" simplePos="0" relativeHeight="251659264" behindDoc="1" locked="0" layoutInCell="1" allowOverlap="1" wp14:anchorId="1AA4CE6D" wp14:editId="3F8FD96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e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orme libre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CDBE4A2" w14:textId="543E9C17" w:rsidR="00B0043B" w:rsidRPr="00181E85" w:rsidRDefault="00497775" w:rsidP="00181E85">
                                  <w:pPr>
                                    <w:jc w:val="center"/>
                                    <w:rPr>
                                      <w:rFonts w:ascii="Arial Rounded MT Bold" w:hAnsi="Arial Rounded MT Bold"/>
                                      <w:color w:val="FFFFFF" w:themeColor="background1"/>
                                      <w:sz w:val="56"/>
                                      <w:szCs w:val="56"/>
                                    </w:rPr>
                                  </w:pPr>
                                  <w:sdt>
                                    <w:sdtPr>
                                      <w:rPr>
                                        <w:rFonts w:ascii="Arial Rounded MT Bold" w:hAnsi="Arial Rounded MT Bold"/>
                                        <w:color w:val="FFFFFF" w:themeColor="background1"/>
                                        <w:sz w:val="56"/>
                                        <w:szCs w:val="56"/>
                                      </w:rPr>
                                      <w:alias w:val="Titr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0043B" w:rsidRPr="00181E85">
                                        <w:rPr>
                                          <w:rFonts w:ascii="Arial Rounded MT Bold" w:hAnsi="Arial Rounded MT Bold"/>
                                          <w:color w:val="FFFFFF" w:themeColor="background1"/>
                                          <w:sz w:val="56"/>
                                          <w:szCs w:val="56"/>
                                        </w:rPr>
                                        <w:t xml:space="preserve">RAPPORT ALTERNATIF DE LA MISE EN ŒUVRE </w:t>
                                      </w:r>
                                      <w:r w:rsidR="00B51F23">
                                        <w:rPr>
                                          <w:rFonts w:ascii="Arial Rounded MT Bold" w:hAnsi="Arial Rounded MT Bold"/>
                                          <w:color w:val="FFFFFF" w:themeColor="background1"/>
                                          <w:sz w:val="56"/>
                                          <w:szCs w:val="56"/>
                                        </w:rPr>
                                        <w:t xml:space="preserve">DE </w:t>
                                      </w:r>
                                      <w:r w:rsidR="00B0043B" w:rsidRPr="00181E85">
                                        <w:rPr>
                                          <w:rFonts w:ascii="Arial Rounded MT Bold" w:hAnsi="Arial Rounded MT Bold"/>
                                          <w:color w:val="FFFFFF" w:themeColor="background1"/>
                                          <w:sz w:val="56"/>
                                          <w:szCs w:val="56"/>
                                        </w:rPr>
                                        <w:t>LA CONVENTION RELATIVE AUX DROITS DES PERSONNES HANDICAPEES AU MALI</w:t>
                                      </w:r>
                                    </w:sdtContent>
                                  </w:sdt>
                                </w:p>
                              </w:txbxContent>
                            </wps:txbx>
                            <wps:bodyPr rot="0" vert="horz" wrap="square" lIns="914400" tIns="1097280" rIns="1097280" bIns="1097280" anchor="b" anchorCtr="0" upright="1">
                              <a:noAutofit/>
                            </wps:bodyPr>
                          </wps:wsp>
                          <wps:wsp>
                            <wps:cNvPr id="127" name="Forme libre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AA4CE6D" id="Groupe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">
                    <o:lock v:ext="edit" aspectratio="t"/>
                    <v:shape id="Forme libre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CDBE4A2" w14:textId="543E9C17" w:rsidR="00B0043B" w:rsidRPr="00181E85" w:rsidRDefault="00000000" w:rsidP="00181E85">
                            <w:pPr>
                              <w:jc w:val="center"/>
                              <w:rPr>
                                <w:rFonts w:ascii="Arial Rounded MT Bold" w:hAnsi="Arial Rounded MT Bold"/>
                                <w:color w:val="FFFFFF" w:themeColor="background1"/>
                                <w:sz w:val="56"/>
                                <w:szCs w:val="56"/>
                              </w:rPr>
                            </w:pPr>
                            <w:sdt>
                              <w:sdtPr>
                                <w:rPr>
                                  <w:rFonts w:ascii="Arial Rounded MT Bold" w:hAnsi="Arial Rounded MT Bold"/>
                                  <w:color w:val="FFFFFF" w:themeColor="background1"/>
                                  <w:sz w:val="56"/>
                                  <w:szCs w:val="56"/>
                                </w:rPr>
                                <w:alias w:val="Titre"/>
                                <w:tag w:val=""/>
                                <w:id w:val="-554696155"/>
                                <w:dataBinding w:prefixMappings="xmlns:ns0='http://purl.org/dc/elements/1.1/' xmlns:ns1='http://schemas.openxmlformats.org/package/2006/metadata/core-properties' " w:xpath="/ns1:coreProperties[1]/ns0:title[1]" w:storeItemID="{6C3C8BC8-F283-45AE-878A-BAB7291924A1}"/>
                                <w:text/>
                              </w:sdtPr>
                              <w:sdtContent>
                                <w:r w:rsidR="00B0043B" w:rsidRPr="00181E85">
                                  <w:rPr>
                                    <w:rFonts w:ascii="Arial Rounded MT Bold" w:hAnsi="Arial Rounded MT Bold"/>
                                    <w:color w:val="FFFFFF" w:themeColor="background1"/>
                                    <w:sz w:val="56"/>
                                    <w:szCs w:val="56"/>
                                  </w:rPr>
                                  <w:t xml:space="preserve">RAPPORT ALTERNATIF DE LA MISE EN ŒUVRE </w:t>
                                </w:r>
                                <w:r w:rsidR="00B51F23">
                                  <w:rPr>
                                    <w:rFonts w:ascii="Arial Rounded MT Bold" w:hAnsi="Arial Rounded MT Bold"/>
                                    <w:color w:val="FFFFFF" w:themeColor="background1"/>
                                    <w:sz w:val="56"/>
                                    <w:szCs w:val="56"/>
                                  </w:rPr>
                                  <w:t xml:space="preserve">DE </w:t>
                                </w:r>
                                <w:r w:rsidR="00B0043B" w:rsidRPr="00181E85">
                                  <w:rPr>
                                    <w:rFonts w:ascii="Arial Rounded MT Bold" w:hAnsi="Arial Rounded MT Bold"/>
                                    <w:color w:val="FFFFFF" w:themeColor="background1"/>
                                    <w:sz w:val="56"/>
                                    <w:szCs w:val="56"/>
                                  </w:rPr>
                                  <w:t>LA CONVENTION RELATIVE AUX DROITS DES PERSONNES HANDICAPEES AU MALI</w:t>
                                </w:r>
                              </w:sdtContent>
                            </w:sdt>
                          </w:p>
                        </w:txbxContent>
                      </v:textbox>
                    </v:shape>
                    <v:shape id="Forme libre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0043B" w:rsidRPr="00C13E06">
            <w:rPr>
              <w:noProof/>
              <w:lang w:val="en-GB" w:eastAsia="en-GB"/>
            </w:rPr>
            <mc:AlternateContent>
              <mc:Choice Requires="wps">
                <w:drawing>
                  <wp:anchor distT="0" distB="0" distL="114300" distR="114300" simplePos="0" relativeHeight="251662336" behindDoc="0" locked="0" layoutInCell="1" allowOverlap="1" wp14:anchorId="0C933768" wp14:editId="23C74C7F">
                    <wp:simplePos x="0" y="0"/>
                    <wp:positionH relativeFrom="page">
                      <wp:align>center</wp:align>
                    </wp:positionH>
                    <wp:positionV relativeFrom="margin">
                      <wp:align>bottom</wp:align>
                    </wp:positionV>
                    <wp:extent cx="5753100" cy="146304"/>
                    <wp:effectExtent l="0" t="0" r="0" b="5715"/>
                    <wp:wrapSquare wrapText="bothSides"/>
                    <wp:docPr id="128" name="Zone de texte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DEDDD7" w14:textId="1F3A5D72" w:rsidR="00B0043B" w:rsidRDefault="00B0043B">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933768" id="Zone de texte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3ADEDDD7" w14:textId="1F3A5D72" w:rsidR="00B0043B" w:rsidRDefault="00B0043B">
                          <w:pPr>
                            <w:pStyle w:val="Sansinterligne"/>
                            <w:rPr>
                              <w:color w:val="7F7F7F" w:themeColor="text1" w:themeTint="80"/>
                              <w:sz w:val="18"/>
                              <w:szCs w:val="18"/>
                            </w:rPr>
                          </w:pPr>
                        </w:p>
                      </w:txbxContent>
                    </v:textbox>
                    <w10:wrap type="square" anchorx="page" anchory="margin"/>
                  </v:shape>
                </w:pict>
              </mc:Fallback>
            </mc:AlternateContent>
          </w:r>
          <w:r w:rsidR="00B0043B" w:rsidRPr="00C13E06">
            <w:rPr>
              <w:noProof/>
              <w:lang w:val="en-GB" w:eastAsia="en-GB"/>
            </w:rPr>
            <mc:AlternateContent>
              <mc:Choice Requires="wps">
                <w:drawing>
                  <wp:anchor distT="0" distB="0" distL="114300" distR="114300" simplePos="0" relativeHeight="251660288" behindDoc="0" locked="0" layoutInCell="1" allowOverlap="1" wp14:anchorId="50ED90B4" wp14:editId="44D5355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Année"/>
                                  <w:tag w:val=""/>
                                  <w:id w:val="1595126926"/>
                                  <w:dataBinding w:prefixMappings="xmlns:ns0='http://schemas.microsoft.com/office/2006/coverPageProps' " w:xpath="/ns0:CoverPageProperties[1]/ns0:PublishDate[1]" w:storeItemID="{55AF091B-3C7A-41E3-B477-F2FDAA23CFDA}"/>
                                  <w:date w:fullDate="2023-01-18T00:00:00Z">
                                    <w:dateFormat w:val="yyyy"/>
                                    <w:lid w:val="fr-FR"/>
                                    <w:storeMappedDataAs w:val="dateTime"/>
                                    <w:calendar w:val="gregorian"/>
                                  </w:date>
                                </w:sdtPr>
                                <w:sdtEndPr/>
                                <w:sdtContent>
                                  <w:p w14:paraId="37A9BD37" w14:textId="11285FDB" w:rsidR="00B0043B" w:rsidRDefault="00B0043B">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0ED90B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Année"/>
                            <w:tag w:val=""/>
                            <w:id w:val="1595126926"/>
                            <w:dataBinding w:prefixMappings="xmlns:ns0='http://schemas.microsoft.com/office/2006/coverPageProps' " w:xpath="/ns0:CoverPageProperties[1]/ns0:PublishDate[1]" w:storeItemID="{55AF091B-3C7A-41E3-B477-F2FDAA23CFDA}"/>
                            <w:date w:fullDate="2023-01-18T00:00:00Z">
                              <w:dateFormat w:val="yyyy"/>
                              <w:lid w:val="fr-FR"/>
                              <w:storeMappedDataAs w:val="dateTime"/>
                              <w:calendar w:val="gregorian"/>
                            </w:date>
                          </w:sdtPr>
                          <w:sdtContent>
                            <w:p w14:paraId="37A9BD37" w14:textId="11285FDB" w:rsidR="00B0043B" w:rsidRDefault="00B0043B">
                              <w:pPr>
                                <w:pStyle w:val="Sansinterligne"/>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B0043B" w:rsidRPr="00C13E06">
            <w:br w:type="page"/>
          </w:r>
        </w:p>
      </w:sdtContent>
    </w:sdt>
    <w:bookmarkStart w:id="0" w:name="_Toc114054357" w:displacedByCustomXml="next"/>
    <w:bookmarkStart w:id="1" w:name="_Toc69288774" w:displacedByCustomXml="next"/>
    <w:bookmarkStart w:id="2" w:name="_Toc68619391" w:displacedByCustomXml="next"/>
    <w:bookmarkStart w:id="3" w:name="_Toc68619390" w:displacedByCustomXml="next"/>
    <w:sdt>
      <w:sdtPr>
        <w:rPr>
          <w:rFonts w:ascii="Times New Roman" w:eastAsia="Times New Roman" w:hAnsi="Times New Roman" w:cs="Times New Roman"/>
          <w:color w:val="auto"/>
          <w:sz w:val="24"/>
          <w:szCs w:val="24"/>
        </w:rPr>
        <w:id w:val="-230926009"/>
        <w:docPartObj>
          <w:docPartGallery w:val="Table of Contents"/>
          <w:docPartUnique/>
        </w:docPartObj>
      </w:sdtPr>
      <w:sdtEndPr>
        <w:rPr>
          <w:b/>
          <w:bCs/>
        </w:rPr>
      </w:sdtEndPr>
      <w:sdtContent>
        <w:p w14:paraId="0E42297D" w14:textId="3052F21B" w:rsidR="001260B3" w:rsidRPr="00C13E06" w:rsidRDefault="001260B3">
          <w:pPr>
            <w:pStyle w:val="TOCHeading"/>
            <w:rPr>
              <w:rFonts w:ascii="Times New Roman" w:hAnsi="Times New Roman" w:cs="Times New Roman"/>
              <w:sz w:val="24"/>
              <w:szCs w:val="24"/>
            </w:rPr>
          </w:pPr>
          <w:r w:rsidRPr="00C13E06">
            <w:rPr>
              <w:rFonts w:ascii="Times New Roman" w:hAnsi="Times New Roman" w:cs="Times New Roman"/>
              <w:sz w:val="24"/>
              <w:szCs w:val="24"/>
            </w:rPr>
            <w:t>Table des matières</w:t>
          </w:r>
        </w:p>
        <w:p w14:paraId="79DDCC0C" w14:textId="32DB2D76" w:rsidR="00E53BAE" w:rsidRDefault="001260B3">
          <w:pPr>
            <w:pStyle w:val="TOC1"/>
            <w:tabs>
              <w:tab w:val="right" w:leader="dot" w:pos="9062"/>
            </w:tabs>
            <w:rPr>
              <w:rFonts w:asciiTheme="minorHAnsi" w:eastAsiaTheme="minorEastAsia" w:hAnsiTheme="minorHAnsi" w:cstheme="minorBidi"/>
              <w:noProof/>
              <w:lang w:eastAsia="en-GB"/>
            </w:rPr>
          </w:pPr>
          <w:r w:rsidRPr="00C13E06">
            <w:fldChar w:fldCharType="begin"/>
          </w:r>
          <w:r w:rsidRPr="00C13E06">
            <w:instrText xml:space="preserve"> TOC \o "1-3" \h \z \u </w:instrText>
          </w:r>
          <w:r w:rsidRPr="00C13E06">
            <w:fldChar w:fldCharType="separate"/>
          </w:r>
          <w:hyperlink w:anchor="_Toc128647488" w:history="1">
            <w:r w:rsidR="00E53BAE" w:rsidRPr="0009798A">
              <w:rPr>
                <w:rStyle w:val="Hyperlink"/>
                <w:noProof/>
              </w:rPr>
              <w:t>REMERCIEMENTS</w:t>
            </w:r>
            <w:r w:rsidR="00E53BAE">
              <w:rPr>
                <w:noProof/>
                <w:webHidden/>
              </w:rPr>
              <w:tab/>
            </w:r>
            <w:r w:rsidR="00E53BAE">
              <w:rPr>
                <w:noProof/>
                <w:webHidden/>
              </w:rPr>
              <w:fldChar w:fldCharType="begin"/>
            </w:r>
            <w:r w:rsidR="00E53BAE">
              <w:rPr>
                <w:noProof/>
                <w:webHidden/>
              </w:rPr>
              <w:instrText xml:space="preserve"> PAGEREF _Toc128647488 \h </w:instrText>
            </w:r>
            <w:r w:rsidR="00E53BAE">
              <w:rPr>
                <w:noProof/>
                <w:webHidden/>
              </w:rPr>
            </w:r>
            <w:r w:rsidR="00E53BAE">
              <w:rPr>
                <w:noProof/>
                <w:webHidden/>
              </w:rPr>
              <w:fldChar w:fldCharType="separate"/>
            </w:r>
            <w:r w:rsidR="00E53BAE">
              <w:rPr>
                <w:noProof/>
                <w:webHidden/>
              </w:rPr>
              <w:t>2</w:t>
            </w:r>
            <w:r w:rsidR="00E53BAE">
              <w:rPr>
                <w:noProof/>
                <w:webHidden/>
              </w:rPr>
              <w:fldChar w:fldCharType="end"/>
            </w:r>
          </w:hyperlink>
        </w:p>
        <w:p w14:paraId="4CE9E3D7" w14:textId="31C79710" w:rsidR="00E53BAE" w:rsidRDefault="00497775">
          <w:pPr>
            <w:pStyle w:val="TOC1"/>
            <w:tabs>
              <w:tab w:val="right" w:leader="dot" w:pos="9062"/>
            </w:tabs>
            <w:rPr>
              <w:rFonts w:asciiTheme="minorHAnsi" w:eastAsiaTheme="minorEastAsia" w:hAnsiTheme="minorHAnsi" w:cstheme="minorBidi"/>
              <w:noProof/>
              <w:lang w:eastAsia="en-GB"/>
            </w:rPr>
          </w:pPr>
          <w:hyperlink w:anchor="_Toc128647489" w:history="1">
            <w:r w:rsidR="00E53BAE" w:rsidRPr="0009798A">
              <w:rPr>
                <w:rStyle w:val="Hyperlink"/>
                <w:noProof/>
              </w:rPr>
              <w:t>ABREVIATIONS</w:t>
            </w:r>
            <w:r w:rsidR="00E53BAE">
              <w:rPr>
                <w:noProof/>
                <w:webHidden/>
              </w:rPr>
              <w:tab/>
            </w:r>
            <w:r w:rsidR="00E53BAE">
              <w:rPr>
                <w:noProof/>
                <w:webHidden/>
              </w:rPr>
              <w:fldChar w:fldCharType="begin"/>
            </w:r>
            <w:r w:rsidR="00E53BAE">
              <w:rPr>
                <w:noProof/>
                <w:webHidden/>
              </w:rPr>
              <w:instrText xml:space="preserve"> PAGEREF _Toc128647489 \h </w:instrText>
            </w:r>
            <w:r w:rsidR="00E53BAE">
              <w:rPr>
                <w:noProof/>
                <w:webHidden/>
              </w:rPr>
            </w:r>
            <w:r w:rsidR="00E53BAE">
              <w:rPr>
                <w:noProof/>
                <w:webHidden/>
              </w:rPr>
              <w:fldChar w:fldCharType="separate"/>
            </w:r>
            <w:r w:rsidR="00E53BAE">
              <w:rPr>
                <w:noProof/>
                <w:webHidden/>
              </w:rPr>
              <w:t>4</w:t>
            </w:r>
            <w:r w:rsidR="00E53BAE">
              <w:rPr>
                <w:noProof/>
                <w:webHidden/>
              </w:rPr>
              <w:fldChar w:fldCharType="end"/>
            </w:r>
          </w:hyperlink>
        </w:p>
        <w:p w14:paraId="43D69622" w14:textId="1F4A6A54" w:rsidR="00E53BAE" w:rsidRDefault="00497775">
          <w:pPr>
            <w:pStyle w:val="TOC1"/>
            <w:tabs>
              <w:tab w:val="right" w:leader="dot" w:pos="9062"/>
            </w:tabs>
            <w:rPr>
              <w:rFonts w:asciiTheme="minorHAnsi" w:eastAsiaTheme="minorEastAsia" w:hAnsiTheme="minorHAnsi" w:cstheme="minorBidi"/>
              <w:noProof/>
              <w:lang w:eastAsia="en-GB"/>
            </w:rPr>
          </w:pPr>
          <w:hyperlink w:anchor="_Toc128647490" w:history="1">
            <w:r w:rsidR="00E53BAE" w:rsidRPr="0009798A">
              <w:rPr>
                <w:rStyle w:val="Hyperlink"/>
                <w:noProof/>
              </w:rPr>
              <w:t>RESUME EXECUTIF</w:t>
            </w:r>
            <w:r w:rsidR="00E53BAE">
              <w:rPr>
                <w:noProof/>
                <w:webHidden/>
              </w:rPr>
              <w:tab/>
            </w:r>
            <w:r w:rsidR="00E53BAE">
              <w:rPr>
                <w:noProof/>
                <w:webHidden/>
              </w:rPr>
              <w:fldChar w:fldCharType="begin"/>
            </w:r>
            <w:r w:rsidR="00E53BAE">
              <w:rPr>
                <w:noProof/>
                <w:webHidden/>
              </w:rPr>
              <w:instrText xml:space="preserve"> PAGEREF _Toc128647490 \h </w:instrText>
            </w:r>
            <w:r w:rsidR="00E53BAE">
              <w:rPr>
                <w:noProof/>
                <w:webHidden/>
              </w:rPr>
            </w:r>
            <w:r w:rsidR="00E53BAE">
              <w:rPr>
                <w:noProof/>
                <w:webHidden/>
              </w:rPr>
              <w:fldChar w:fldCharType="separate"/>
            </w:r>
            <w:r w:rsidR="00E53BAE">
              <w:rPr>
                <w:noProof/>
                <w:webHidden/>
              </w:rPr>
              <w:t>5</w:t>
            </w:r>
            <w:r w:rsidR="00E53BAE">
              <w:rPr>
                <w:noProof/>
                <w:webHidden/>
              </w:rPr>
              <w:fldChar w:fldCharType="end"/>
            </w:r>
          </w:hyperlink>
        </w:p>
        <w:p w14:paraId="1A4A66D4" w14:textId="5AE97AF9" w:rsidR="00E53BAE" w:rsidRDefault="00497775">
          <w:pPr>
            <w:pStyle w:val="TOC1"/>
            <w:tabs>
              <w:tab w:val="right" w:leader="dot" w:pos="9062"/>
            </w:tabs>
            <w:rPr>
              <w:rFonts w:asciiTheme="minorHAnsi" w:eastAsiaTheme="minorEastAsia" w:hAnsiTheme="minorHAnsi" w:cstheme="minorBidi"/>
              <w:noProof/>
              <w:lang w:eastAsia="en-GB"/>
            </w:rPr>
          </w:pPr>
          <w:hyperlink w:anchor="_Toc128647491" w:history="1">
            <w:r w:rsidR="00E53BAE" w:rsidRPr="0009798A">
              <w:rPr>
                <w:rStyle w:val="Hyperlink"/>
                <w:noProof/>
              </w:rPr>
              <w:t>Chapitre I : Aperçu général</w:t>
            </w:r>
            <w:r w:rsidR="00E53BAE">
              <w:rPr>
                <w:noProof/>
                <w:webHidden/>
              </w:rPr>
              <w:tab/>
            </w:r>
            <w:r w:rsidR="00E53BAE">
              <w:rPr>
                <w:noProof/>
                <w:webHidden/>
              </w:rPr>
              <w:fldChar w:fldCharType="begin"/>
            </w:r>
            <w:r w:rsidR="00E53BAE">
              <w:rPr>
                <w:noProof/>
                <w:webHidden/>
              </w:rPr>
              <w:instrText xml:space="preserve"> PAGEREF _Toc128647491 \h </w:instrText>
            </w:r>
            <w:r w:rsidR="00E53BAE">
              <w:rPr>
                <w:noProof/>
                <w:webHidden/>
              </w:rPr>
            </w:r>
            <w:r w:rsidR="00E53BAE">
              <w:rPr>
                <w:noProof/>
                <w:webHidden/>
              </w:rPr>
              <w:fldChar w:fldCharType="separate"/>
            </w:r>
            <w:r w:rsidR="00E53BAE">
              <w:rPr>
                <w:noProof/>
                <w:webHidden/>
              </w:rPr>
              <w:t>7</w:t>
            </w:r>
            <w:r w:rsidR="00E53BAE">
              <w:rPr>
                <w:noProof/>
                <w:webHidden/>
              </w:rPr>
              <w:fldChar w:fldCharType="end"/>
            </w:r>
          </w:hyperlink>
        </w:p>
        <w:p w14:paraId="335789A4" w14:textId="3E571FDF" w:rsidR="00E53BAE" w:rsidRDefault="00497775">
          <w:pPr>
            <w:pStyle w:val="TOC1"/>
            <w:tabs>
              <w:tab w:val="right" w:leader="dot" w:pos="9062"/>
            </w:tabs>
            <w:rPr>
              <w:rFonts w:asciiTheme="minorHAnsi" w:eastAsiaTheme="minorEastAsia" w:hAnsiTheme="minorHAnsi" w:cstheme="minorBidi"/>
              <w:noProof/>
              <w:lang w:eastAsia="en-GB"/>
            </w:rPr>
          </w:pPr>
          <w:hyperlink w:anchor="_Toc128647492" w:history="1">
            <w:r w:rsidR="00E53BAE" w:rsidRPr="0009798A">
              <w:rPr>
                <w:rStyle w:val="Hyperlink"/>
                <w:noProof/>
              </w:rPr>
              <w:t>1.1 Introduction</w:t>
            </w:r>
            <w:r w:rsidR="00E53BAE">
              <w:rPr>
                <w:noProof/>
                <w:webHidden/>
              </w:rPr>
              <w:tab/>
            </w:r>
            <w:r w:rsidR="00E53BAE">
              <w:rPr>
                <w:noProof/>
                <w:webHidden/>
              </w:rPr>
              <w:fldChar w:fldCharType="begin"/>
            </w:r>
            <w:r w:rsidR="00E53BAE">
              <w:rPr>
                <w:noProof/>
                <w:webHidden/>
              </w:rPr>
              <w:instrText xml:space="preserve"> PAGEREF _Toc128647492 \h </w:instrText>
            </w:r>
            <w:r w:rsidR="00E53BAE">
              <w:rPr>
                <w:noProof/>
                <w:webHidden/>
              </w:rPr>
            </w:r>
            <w:r w:rsidR="00E53BAE">
              <w:rPr>
                <w:noProof/>
                <w:webHidden/>
              </w:rPr>
              <w:fldChar w:fldCharType="separate"/>
            </w:r>
            <w:r w:rsidR="00E53BAE">
              <w:rPr>
                <w:noProof/>
                <w:webHidden/>
              </w:rPr>
              <w:t>7</w:t>
            </w:r>
            <w:r w:rsidR="00E53BAE">
              <w:rPr>
                <w:noProof/>
                <w:webHidden/>
              </w:rPr>
              <w:fldChar w:fldCharType="end"/>
            </w:r>
          </w:hyperlink>
        </w:p>
        <w:p w14:paraId="40481C04" w14:textId="180B1090" w:rsidR="00E53BAE" w:rsidRDefault="00497775">
          <w:pPr>
            <w:pStyle w:val="TOC1"/>
            <w:tabs>
              <w:tab w:val="right" w:leader="dot" w:pos="9062"/>
            </w:tabs>
            <w:rPr>
              <w:rFonts w:asciiTheme="minorHAnsi" w:eastAsiaTheme="minorEastAsia" w:hAnsiTheme="minorHAnsi" w:cstheme="minorBidi"/>
              <w:noProof/>
              <w:lang w:eastAsia="en-GB"/>
            </w:rPr>
          </w:pPr>
          <w:hyperlink w:anchor="_Toc128647493" w:history="1">
            <w:r w:rsidR="00E53BAE" w:rsidRPr="0009798A">
              <w:rPr>
                <w:rStyle w:val="Hyperlink"/>
                <w:noProof/>
              </w:rPr>
              <w:t>1.2 Contexte général</w:t>
            </w:r>
            <w:r w:rsidR="00E53BAE">
              <w:rPr>
                <w:noProof/>
                <w:webHidden/>
              </w:rPr>
              <w:tab/>
            </w:r>
            <w:r w:rsidR="00E53BAE">
              <w:rPr>
                <w:noProof/>
                <w:webHidden/>
              </w:rPr>
              <w:fldChar w:fldCharType="begin"/>
            </w:r>
            <w:r w:rsidR="00E53BAE">
              <w:rPr>
                <w:noProof/>
                <w:webHidden/>
              </w:rPr>
              <w:instrText xml:space="preserve"> PAGEREF _Toc128647493 \h </w:instrText>
            </w:r>
            <w:r w:rsidR="00E53BAE">
              <w:rPr>
                <w:noProof/>
                <w:webHidden/>
              </w:rPr>
            </w:r>
            <w:r w:rsidR="00E53BAE">
              <w:rPr>
                <w:noProof/>
                <w:webHidden/>
              </w:rPr>
              <w:fldChar w:fldCharType="separate"/>
            </w:r>
            <w:r w:rsidR="00E53BAE">
              <w:rPr>
                <w:noProof/>
                <w:webHidden/>
              </w:rPr>
              <w:t>7</w:t>
            </w:r>
            <w:r w:rsidR="00E53BAE">
              <w:rPr>
                <w:noProof/>
                <w:webHidden/>
              </w:rPr>
              <w:fldChar w:fldCharType="end"/>
            </w:r>
          </w:hyperlink>
        </w:p>
        <w:p w14:paraId="29678B37" w14:textId="6E21FD03" w:rsidR="00E53BAE" w:rsidRDefault="00497775">
          <w:pPr>
            <w:pStyle w:val="TOC1"/>
            <w:tabs>
              <w:tab w:val="right" w:leader="dot" w:pos="9062"/>
            </w:tabs>
            <w:rPr>
              <w:rFonts w:asciiTheme="minorHAnsi" w:eastAsiaTheme="minorEastAsia" w:hAnsiTheme="minorHAnsi" w:cstheme="minorBidi"/>
              <w:noProof/>
              <w:lang w:eastAsia="en-GB"/>
            </w:rPr>
          </w:pPr>
          <w:hyperlink w:anchor="_Toc128647494" w:history="1">
            <w:r w:rsidR="00E53BAE" w:rsidRPr="0009798A">
              <w:rPr>
                <w:rStyle w:val="Hyperlink"/>
                <w:noProof/>
              </w:rPr>
              <w:t>1.3 Situation des Personnes handicapées au Mali</w:t>
            </w:r>
            <w:r w:rsidR="00E53BAE">
              <w:rPr>
                <w:noProof/>
                <w:webHidden/>
              </w:rPr>
              <w:tab/>
            </w:r>
            <w:r w:rsidR="00E53BAE">
              <w:rPr>
                <w:noProof/>
                <w:webHidden/>
              </w:rPr>
              <w:fldChar w:fldCharType="begin"/>
            </w:r>
            <w:r w:rsidR="00E53BAE">
              <w:rPr>
                <w:noProof/>
                <w:webHidden/>
              </w:rPr>
              <w:instrText xml:space="preserve"> PAGEREF _Toc128647494 \h </w:instrText>
            </w:r>
            <w:r w:rsidR="00E53BAE">
              <w:rPr>
                <w:noProof/>
                <w:webHidden/>
              </w:rPr>
            </w:r>
            <w:r w:rsidR="00E53BAE">
              <w:rPr>
                <w:noProof/>
                <w:webHidden/>
              </w:rPr>
              <w:fldChar w:fldCharType="separate"/>
            </w:r>
            <w:r w:rsidR="00E53BAE">
              <w:rPr>
                <w:noProof/>
                <w:webHidden/>
              </w:rPr>
              <w:t>7</w:t>
            </w:r>
            <w:r w:rsidR="00E53BAE">
              <w:rPr>
                <w:noProof/>
                <w:webHidden/>
              </w:rPr>
              <w:fldChar w:fldCharType="end"/>
            </w:r>
          </w:hyperlink>
        </w:p>
        <w:p w14:paraId="04547495" w14:textId="3B51981A" w:rsidR="00E53BAE" w:rsidRDefault="00497775">
          <w:pPr>
            <w:pStyle w:val="TOC1"/>
            <w:tabs>
              <w:tab w:val="right" w:leader="dot" w:pos="9062"/>
            </w:tabs>
            <w:rPr>
              <w:rFonts w:asciiTheme="minorHAnsi" w:eastAsiaTheme="minorEastAsia" w:hAnsiTheme="minorHAnsi" w:cstheme="minorBidi"/>
              <w:noProof/>
              <w:lang w:eastAsia="en-GB"/>
            </w:rPr>
          </w:pPr>
          <w:hyperlink w:anchor="_Toc128647495" w:history="1">
            <w:r w:rsidR="00E53BAE" w:rsidRPr="0009798A">
              <w:rPr>
                <w:rStyle w:val="Hyperlink"/>
                <w:noProof/>
              </w:rPr>
              <w:t>1.4 Historique du mouvement des Personnes Handicapées au Mali</w:t>
            </w:r>
            <w:r w:rsidR="00E53BAE">
              <w:rPr>
                <w:noProof/>
                <w:webHidden/>
              </w:rPr>
              <w:tab/>
            </w:r>
            <w:r w:rsidR="00E53BAE">
              <w:rPr>
                <w:noProof/>
                <w:webHidden/>
              </w:rPr>
              <w:fldChar w:fldCharType="begin"/>
            </w:r>
            <w:r w:rsidR="00E53BAE">
              <w:rPr>
                <w:noProof/>
                <w:webHidden/>
              </w:rPr>
              <w:instrText xml:space="preserve"> PAGEREF _Toc128647495 \h </w:instrText>
            </w:r>
            <w:r w:rsidR="00E53BAE">
              <w:rPr>
                <w:noProof/>
                <w:webHidden/>
              </w:rPr>
            </w:r>
            <w:r w:rsidR="00E53BAE">
              <w:rPr>
                <w:noProof/>
                <w:webHidden/>
              </w:rPr>
              <w:fldChar w:fldCharType="separate"/>
            </w:r>
            <w:r w:rsidR="00E53BAE">
              <w:rPr>
                <w:noProof/>
                <w:webHidden/>
              </w:rPr>
              <w:t>8</w:t>
            </w:r>
            <w:r w:rsidR="00E53BAE">
              <w:rPr>
                <w:noProof/>
                <w:webHidden/>
              </w:rPr>
              <w:fldChar w:fldCharType="end"/>
            </w:r>
          </w:hyperlink>
        </w:p>
        <w:p w14:paraId="37092310" w14:textId="5326A137" w:rsidR="00E53BAE" w:rsidRDefault="00497775">
          <w:pPr>
            <w:pStyle w:val="TOC1"/>
            <w:tabs>
              <w:tab w:val="right" w:leader="dot" w:pos="9062"/>
            </w:tabs>
            <w:rPr>
              <w:rFonts w:asciiTheme="minorHAnsi" w:eastAsiaTheme="minorEastAsia" w:hAnsiTheme="minorHAnsi" w:cstheme="minorBidi"/>
              <w:noProof/>
              <w:lang w:eastAsia="en-GB"/>
            </w:rPr>
          </w:pPr>
          <w:hyperlink w:anchor="_Toc128647496" w:history="1">
            <w:r w:rsidR="00E53BAE" w:rsidRPr="0009798A">
              <w:rPr>
                <w:rStyle w:val="Hyperlink"/>
                <w:noProof/>
              </w:rPr>
              <w:t>1.5 Présentation de la FEMAPH</w:t>
            </w:r>
            <w:r w:rsidR="00E53BAE">
              <w:rPr>
                <w:noProof/>
                <w:webHidden/>
              </w:rPr>
              <w:tab/>
            </w:r>
            <w:r w:rsidR="00E53BAE">
              <w:rPr>
                <w:noProof/>
                <w:webHidden/>
              </w:rPr>
              <w:fldChar w:fldCharType="begin"/>
            </w:r>
            <w:r w:rsidR="00E53BAE">
              <w:rPr>
                <w:noProof/>
                <w:webHidden/>
              </w:rPr>
              <w:instrText xml:space="preserve"> PAGEREF _Toc128647496 \h </w:instrText>
            </w:r>
            <w:r w:rsidR="00E53BAE">
              <w:rPr>
                <w:noProof/>
                <w:webHidden/>
              </w:rPr>
            </w:r>
            <w:r w:rsidR="00E53BAE">
              <w:rPr>
                <w:noProof/>
                <w:webHidden/>
              </w:rPr>
              <w:fldChar w:fldCharType="separate"/>
            </w:r>
            <w:r w:rsidR="00E53BAE">
              <w:rPr>
                <w:noProof/>
                <w:webHidden/>
              </w:rPr>
              <w:t>8</w:t>
            </w:r>
            <w:r w:rsidR="00E53BAE">
              <w:rPr>
                <w:noProof/>
                <w:webHidden/>
              </w:rPr>
              <w:fldChar w:fldCharType="end"/>
            </w:r>
          </w:hyperlink>
        </w:p>
        <w:p w14:paraId="7492F9B8" w14:textId="1DEB05DE" w:rsidR="00E53BAE" w:rsidRDefault="00497775">
          <w:pPr>
            <w:pStyle w:val="TOC1"/>
            <w:tabs>
              <w:tab w:val="right" w:leader="dot" w:pos="9062"/>
            </w:tabs>
            <w:rPr>
              <w:rFonts w:asciiTheme="minorHAnsi" w:eastAsiaTheme="minorEastAsia" w:hAnsiTheme="minorHAnsi" w:cstheme="minorBidi"/>
              <w:noProof/>
              <w:lang w:eastAsia="en-GB"/>
            </w:rPr>
          </w:pPr>
          <w:hyperlink w:anchor="_Toc128647497" w:history="1">
            <w:r w:rsidR="00E53BAE" w:rsidRPr="0009798A">
              <w:rPr>
                <w:rStyle w:val="Hyperlink"/>
                <w:noProof/>
              </w:rPr>
              <w:t>1.8 Représentation</w:t>
            </w:r>
            <w:r w:rsidR="00E53BAE">
              <w:rPr>
                <w:noProof/>
                <w:webHidden/>
              </w:rPr>
              <w:tab/>
            </w:r>
            <w:r w:rsidR="00E53BAE">
              <w:rPr>
                <w:noProof/>
                <w:webHidden/>
              </w:rPr>
              <w:fldChar w:fldCharType="begin"/>
            </w:r>
            <w:r w:rsidR="00E53BAE">
              <w:rPr>
                <w:noProof/>
                <w:webHidden/>
              </w:rPr>
              <w:instrText xml:space="preserve"> PAGEREF _Toc128647497 \h </w:instrText>
            </w:r>
            <w:r w:rsidR="00E53BAE">
              <w:rPr>
                <w:noProof/>
                <w:webHidden/>
              </w:rPr>
            </w:r>
            <w:r w:rsidR="00E53BAE">
              <w:rPr>
                <w:noProof/>
                <w:webHidden/>
              </w:rPr>
              <w:fldChar w:fldCharType="separate"/>
            </w:r>
            <w:r w:rsidR="00E53BAE">
              <w:rPr>
                <w:noProof/>
                <w:webHidden/>
              </w:rPr>
              <w:t>9</w:t>
            </w:r>
            <w:r w:rsidR="00E53BAE">
              <w:rPr>
                <w:noProof/>
                <w:webHidden/>
              </w:rPr>
              <w:fldChar w:fldCharType="end"/>
            </w:r>
          </w:hyperlink>
        </w:p>
        <w:p w14:paraId="4583110A" w14:textId="5005EC9F" w:rsidR="00E53BAE" w:rsidRDefault="00497775">
          <w:pPr>
            <w:pStyle w:val="TOC1"/>
            <w:tabs>
              <w:tab w:val="right" w:leader="dot" w:pos="9062"/>
            </w:tabs>
            <w:rPr>
              <w:rFonts w:asciiTheme="minorHAnsi" w:eastAsiaTheme="minorEastAsia" w:hAnsiTheme="minorHAnsi" w:cstheme="minorBidi"/>
              <w:noProof/>
              <w:lang w:eastAsia="en-GB"/>
            </w:rPr>
          </w:pPr>
          <w:hyperlink w:anchor="_Toc128647498" w:history="1">
            <w:r w:rsidR="00E53BAE" w:rsidRPr="0009798A">
              <w:rPr>
                <w:rStyle w:val="Hyperlink"/>
                <w:noProof/>
              </w:rPr>
              <w:t>Chapitre II : Rapport alternatif</w:t>
            </w:r>
            <w:r w:rsidR="00E53BAE">
              <w:rPr>
                <w:noProof/>
                <w:webHidden/>
              </w:rPr>
              <w:tab/>
            </w:r>
            <w:r w:rsidR="00E53BAE">
              <w:rPr>
                <w:noProof/>
                <w:webHidden/>
              </w:rPr>
              <w:fldChar w:fldCharType="begin"/>
            </w:r>
            <w:r w:rsidR="00E53BAE">
              <w:rPr>
                <w:noProof/>
                <w:webHidden/>
              </w:rPr>
              <w:instrText xml:space="preserve"> PAGEREF _Toc128647498 \h </w:instrText>
            </w:r>
            <w:r w:rsidR="00E53BAE">
              <w:rPr>
                <w:noProof/>
                <w:webHidden/>
              </w:rPr>
            </w:r>
            <w:r w:rsidR="00E53BAE">
              <w:rPr>
                <w:noProof/>
                <w:webHidden/>
              </w:rPr>
              <w:fldChar w:fldCharType="separate"/>
            </w:r>
            <w:r w:rsidR="00E53BAE">
              <w:rPr>
                <w:noProof/>
                <w:webHidden/>
              </w:rPr>
              <w:t>11</w:t>
            </w:r>
            <w:r w:rsidR="00E53BAE">
              <w:rPr>
                <w:noProof/>
                <w:webHidden/>
              </w:rPr>
              <w:fldChar w:fldCharType="end"/>
            </w:r>
          </w:hyperlink>
        </w:p>
        <w:p w14:paraId="50317696" w14:textId="4C4CA1BC" w:rsidR="00E53BAE" w:rsidRDefault="00497775">
          <w:pPr>
            <w:pStyle w:val="TOC1"/>
            <w:tabs>
              <w:tab w:val="right" w:leader="dot" w:pos="9062"/>
            </w:tabs>
            <w:rPr>
              <w:rFonts w:asciiTheme="minorHAnsi" w:eastAsiaTheme="minorEastAsia" w:hAnsiTheme="minorHAnsi" w:cstheme="minorBidi"/>
              <w:noProof/>
              <w:lang w:eastAsia="en-GB"/>
            </w:rPr>
          </w:pPr>
          <w:hyperlink w:anchor="_Toc128647499" w:history="1">
            <w:r w:rsidR="00E53BAE" w:rsidRPr="0009798A">
              <w:rPr>
                <w:rStyle w:val="Hyperlink"/>
                <w:noProof/>
              </w:rPr>
              <w:t>2.1 Objectifs du rapport alternatif</w:t>
            </w:r>
            <w:r w:rsidR="00E53BAE">
              <w:rPr>
                <w:noProof/>
                <w:webHidden/>
              </w:rPr>
              <w:tab/>
            </w:r>
            <w:r w:rsidR="00E53BAE">
              <w:rPr>
                <w:noProof/>
                <w:webHidden/>
              </w:rPr>
              <w:fldChar w:fldCharType="begin"/>
            </w:r>
            <w:r w:rsidR="00E53BAE">
              <w:rPr>
                <w:noProof/>
                <w:webHidden/>
              </w:rPr>
              <w:instrText xml:space="preserve"> PAGEREF _Toc128647499 \h </w:instrText>
            </w:r>
            <w:r w:rsidR="00E53BAE">
              <w:rPr>
                <w:noProof/>
                <w:webHidden/>
              </w:rPr>
            </w:r>
            <w:r w:rsidR="00E53BAE">
              <w:rPr>
                <w:noProof/>
                <w:webHidden/>
              </w:rPr>
              <w:fldChar w:fldCharType="separate"/>
            </w:r>
            <w:r w:rsidR="00E53BAE">
              <w:rPr>
                <w:noProof/>
                <w:webHidden/>
              </w:rPr>
              <w:t>11</w:t>
            </w:r>
            <w:r w:rsidR="00E53BAE">
              <w:rPr>
                <w:noProof/>
                <w:webHidden/>
              </w:rPr>
              <w:fldChar w:fldCharType="end"/>
            </w:r>
          </w:hyperlink>
        </w:p>
        <w:p w14:paraId="149F3D0D" w14:textId="14400A02" w:rsidR="00E53BAE" w:rsidRDefault="00497775">
          <w:pPr>
            <w:pStyle w:val="TOC1"/>
            <w:tabs>
              <w:tab w:val="right" w:leader="dot" w:pos="9062"/>
            </w:tabs>
            <w:rPr>
              <w:rFonts w:asciiTheme="minorHAnsi" w:eastAsiaTheme="minorEastAsia" w:hAnsiTheme="minorHAnsi" w:cstheme="minorBidi"/>
              <w:noProof/>
              <w:lang w:eastAsia="en-GB"/>
            </w:rPr>
          </w:pPr>
          <w:hyperlink w:anchor="_Toc128647500" w:history="1">
            <w:r w:rsidR="00E53BAE" w:rsidRPr="0009798A">
              <w:rPr>
                <w:rStyle w:val="Hyperlink"/>
                <w:noProof/>
              </w:rPr>
              <w:t>2.2 Processus du rapport alternatif de la mise en œuvre de la CIDPH</w:t>
            </w:r>
            <w:r w:rsidR="00E53BAE">
              <w:rPr>
                <w:noProof/>
                <w:webHidden/>
              </w:rPr>
              <w:tab/>
            </w:r>
            <w:r w:rsidR="00E53BAE">
              <w:rPr>
                <w:noProof/>
                <w:webHidden/>
              </w:rPr>
              <w:fldChar w:fldCharType="begin"/>
            </w:r>
            <w:r w:rsidR="00E53BAE">
              <w:rPr>
                <w:noProof/>
                <w:webHidden/>
              </w:rPr>
              <w:instrText xml:space="preserve"> PAGEREF _Toc128647500 \h </w:instrText>
            </w:r>
            <w:r w:rsidR="00E53BAE">
              <w:rPr>
                <w:noProof/>
                <w:webHidden/>
              </w:rPr>
            </w:r>
            <w:r w:rsidR="00E53BAE">
              <w:rPr>
                <w:noProof/>
                <w:webHidden/>
              </w:rPr>
              <w:fldChar w:fldCharType="separate"/>
            </w:r>
            <w:r w:rsidR="00E53BAE">
              <w:rPr>
                <w:noProof/>
                <w:webHidden/>
              </w:rPr>
              <w:t>11</w:t>
            </w:r>
            <w:r w:rsidR="00E53BAE">
              <w:rPr>
                <w:noProof/>
                <w:webHidden/>
              </w:rPr>
              <w:fldChar w:fldCharType="end"/>
            </w:r>
          </w:hyperlink>
        </w:p>
        <w:p w14:paraId="3BF5C60F" w14:textId="35330CDC" w:rsidR="00E53BAE" w:rsidRDefault="00497775">
          <w:pPr>
            <w:pStyle w:val="TOC1"/>
            <w:tabs>
              <w:tab w:val="left" w:pos="720"/>
              <w:tab w:val="right" w:leader="dot" w:pos="9062"/>
            </w:tabs>
            <w:rPr>
              <w:rFonts w:asciiTheme="minorHAnsi" w:eastAsiaTheme="minorEastAsia" w:hAnsiTheme="minorHAnsi" w:cstheme="minorBidi"/>
              <w:noProof/>
              <w:lang w:eastAsia="en-GB"/>
            </w:rPr>
          </w:pPr>
          <w:hyperlink w:anchor="_Toc128647501" w:history="1">
            <w:r w:rsidR="00E53BAE" w:rsidRPr="0009798A">
              <w:rPr>
                <w:rStyle w:val="Hyperlink"/>
                <w:noProof/>
              </w:rPr>
              <w:t>III.</w:t>
            </w:r>
            <w:r w:rsidR="00E53BAE">
              <w:rPr>
                <w:rFonts w:asciiTheme="minorHAnsi" w:eastAsiaTheme="minorEastAsia" w:hAnsiTheme="minorHAnsi" w:cstheme="minorBidi"/>
                <w:noProof/>
                <w:lang w:eastAsia="en-GB"/>
              </w:rPr>
              <w:tab/>
            </w:r>
            <w:r w:rsidR="00E53BAE" w:rsidRPr="0009798A">
              <w:rPr>
                <w:rStyle w:val="Hyperlink"/>
                <w:noProof/>
              </w:rPr>
              <w:t>Etat de mise en œuvre de la CIDPH au Mali</w:t>
            </w:r>
            <w:r w:rsidR="00E53BAE">
              <w:rPr>
                <w:noProof/>
                <w:webHidden/>
              </w:rPr>
              <w:tab/>
            </w:r>
            <w:r w:rsidR="00E53BAE">
              <w:rPr>
                <w:noProof/>
                <w:webHidden/>
              </w:rPr>
              <w:fldChar w:fldCharType="begin"/>
            </w:r>
            <w:r w:rsidR="00E53BAE">
              <w:rPr>
                <w:noProof/>
                <w:webHidden/>
              </w:rPr>
              <w:instrText xml:space="preserve"> PAGEREF _Toc128647501 \h </w:instrText>
            </w:r>
            <w:r w:rsidR="00E53BAE">
              <w:rPr>
                <w:noProof/>
                <w:webHidden/>
              </w:rPr>
            </w:r>
            <w:r w:rsidR="00E53BAE">
              <w:rPr>
                <w:noProof/>
                <w:webHidden/>
              </w:rPr>
              <w:fldChar w:fldCharType="separate"/>
            </w:r>
            <w:r w:rsidR="00E53BAE">
              <w:rPr>
                <w:noProof/>
                <w:webHidden/>
              </w:rPr>
              <w:t>13</w:t>
            </w:r>
            <w:r w:rsidR="00E53BAE">
              <w:rPr>
                <w:noProof/>
                <w:webHidden/>
              </w:rPr>
              <w:fldChar w:fldCharType="end"/>
            </w:r>
          </w:hyperlink>
        </w:p>
        <w:p w14:paraId="5EBBF8FA" w14:textId="5C6056DD" w:rsidR="00E53BAE" w:rsidRDefault="00497775">
          <w:pPr>
            <w:pStyle w:val="TOC1"/>
            <w:tabs>
              <w:tab w:val="right" w:leader="dot" w:pos="9062"/>
            </w:tabs>
            <w:rPr>
              <w:rFonts w:asciiTheme="minorHAnsi" w:eastAsiaTheme="minorEastAsia" w:hAnsiTheme="minorHAnsi" w:cstheme="minorBidi"/>
              <w:noProof/>
              <w:lang w:eastAsia="en-GB"/>
            </w:rPr>
          </w:pPr>
          <w:hyperlink w:anchor="_Toc128647502" w:history="1">
            <w:r w:rsidR="00E53BAE" w:rsidRPr="0009798A">
              <w:rPr>
                <w:rStyle w:val="Hyperlink"/>
                <w:noProof/>
              </w:rPr>
              <w:t>3.1 Articles transversaux (articles 1, 2, 3, 4, 5, 8 et 9)</w:t>
            </w:r>
            <w:r w:rsidR="00E53BAE">
              <w:rPr>
                <w:noProof/>
                <w:webHidden/>
              </w:rPr>
              <w:tab/>
            </w:r>
            <w:r w:rsidR="00E53BAE">
              <w:rPr>
                <w:noProof/>
                <w:webHidden/>
              </w:rPr>
              <w:fldChar w:fldCharType="begin"/>
            </w:r>
            <w:r w:rsidR="00E53BAE">
              <w:rPr>
                <w:noProof/>
                <w:webHidden/>
              </w:rPr>
              <w:instrText xml:space="preserve"> PAGEREF _Toc128647502 \h </w:instrText>
            </w:r>
            <w:r w:rsidR="00E53BAE">
              <w:rPr>
                <w:noProof/>
                <w:webHidden/>
              </w:rPr>
            </w:r>
            <w:r w:rsidR="00E53BAE">
              <w:rPr>
                <w:noProof/>
                <w:webHidden/>
              </w:rPr>
              <w:fldChar w:fldCharType="separate"/>
            </w:r>
            <w:r w:rsidR="00E53BAE">
              <w:rPr>
                <w:noProof/>
                <w:webHidden/>
              </w:rPr>
              <w:t>13</w:t>
            </w:r>
            <w:r w:rsidR="00E53BAE">
              <w:rPr>
                <w:noProof/>
                <w:webHidden/>
              </w:rPr>
              <w:fldChar w:fldCharType="end"/>
            </w:r>
          </w:hyperlink>
        </w:p>
        <w:p w14:paraId="6C4B6C41" w14:textId="4FFCAD82" w:rsidR="00E53BAE" w:rsidRDefault="00497775">
          <w:pPr>
            <w:pStyle w:val="TOC1"/>
            <w:tabs>
              <w:tab w:val="right" w:leader="dot" w:pos="9062"/>
            </w:tabs>
            <w:rPr>
              <w:rFonts w:asciiTheme="minorHAnsi" w:eastAsiaTheme="minorEastAsia" w:hAnsiTheme="minorHAnsi" w:cstheme="minorBidi"/>
              <w:noProof/>
              <w:lang w:eastAsia="en-GB"/>
            </w:rPr>
          </w:pPr>
          <w:hyperlink w:anchor="_Toc128647503" w:history="1">
            <w:r w:rsidR="00E53BAE" w:rsidRPr="0009798A">
              <w:rPr>
                <w:rStyle w:val="Hyperlink"/>
                <w:noProof/>
              </w:rPr>
              <w:t>Article</w:t>
            </w:r>
            <w:r w:rsidR="00E53BAE" w:rsidRPr="0009798A">
              <w:rPr>
                <w:rStyle w:val="Hyperlink"/>
                <w:noProof/>
                <w:lang w:val="fr-CH"/>
              </w:rPr>
              <w:t>s</w:t>
            </w:r>
            <w:r w:rsidR="00E53BAE" w:rsidRPr="0009798A">
              <w:rPr>
                <w:rStyle w:val="Hyperlink"/>
                <w:noProof/>
              </w:rPr>
              <w:t xml:space="preserve"> 1</w:t>
            </w:r>
            <w:r w:rsidR="00E53BAE" w:rsidRPr="0009798A">
              <w:rPr>
                <w:rStyle w:val="Hyperlink"/>
                <w:noProof/>
                <w:lang w:val="fr-CH"/>
              </w:rPr>
              <w:t xml:space="preserve"> a 4</w:t>
            </w:r>
            <w:r w:rsidR="00E53BAE" w:rsidRPr="0009798A">
              <w:rPr>
                <w:rStyle w:val="Hyperlink"/>
                <w:noProof/>
              </w:rPr>
              <w:t xml:space="preserve"> : Objet de la CIDPH</w:t>
            </w:r>
            <w:r w:rsidR="00E53BAE">
              <w:rPr>
                <w:noProof/>
                <w:webHidden/>
              </w:rPr>
              <w:tab/>
            </w:r>
            <w:r w:rsidR="00E53BAE">
              <w:rPr>
                <w:noProof/>
                <w:webHidden/>
              </w:rPr>
              <w:fldChar w:fldCharType="begin"/>
            </w:r>
            <w:r w:rsidR="00E53BAE">
              <w:rPr>
                <w:noProof/>
                <w:webHidden/>
              </w:rPr>
              <w:instrText xml:space="preserve"> PAGEREF _Toc128647503 \h </w:instrText>
            </w:r>
            <w:r w:rsidR="00E53BAE">
              <w:rPr>
                <w:noProof/>
                <w:webHidden/>
              </w:rPr>
            </w:r>
            <w:r w:rsidR="00E53BAE">
              <w:rPr>
                <w:noProof/>
                <w:webHidden/>
              </w:rPr>
              <w:fldChar w:fldCharType="separate"/>
            </w:r>
            <w:r w:rsidR="00E53BAE">
              <w:rPr>
                <w:noProof/>
                <w:webHidden/>
              </w:rPr>
              <w:t>13</w:t>
            </w:r>
            <w:r w:rsidR="00E53BAE">
              <w:rPr>
                <w:noProof/>
                <w:webHidden/>
              </w:rPr>
              <w:fldChar w:fldCharType="end"/>
            </w:r>
          </w:hyperlink>
        </w:p>
        <w:p w14:paraId="2484E6DC" w14:textId="35D5A368" w:rsidR="00E53BAE" w:rsidRDefault="00497775">
          <w:pPr>
            <w:pStyle w:val="TOC1"/>
            <w:tabs>
              <w:tab w:val="right" w:leader="dot" w:pos="9062"/>
            </w:tabs>
            <w:rPr>
              <w:rFonts w:asciiTheme="minorHAnsi" w:eastAsiaTheme="minorEastAsia" w:hAnsiTheme="minorHAnsi" w:cstheme="minorBidi"/>
              <w:noProof/>
              <w:lang w:eastAsia="en-GB"/>
            </w:rPr>
          </w:pPr>
          <w:hyperlink w:anchor="_Toc128647504" w:history="1">
            <w:r w:rsidR="00E53BAE" w:rsidRPr="0009798A">
              <w:rPr>
                <w:rStyle w:val="Hyperlink"/>
                <w:noProof/>
              </w:rPr>
              <w:t>Article 2. Définition du Handicap</w:t>
            </w:r>
            <w:r w:rsidR="00E53BAE">
              <w:rPr>
                <w:noProof/>
                <w:webHidden/>
              </w:rPr>
              <w:tab/>
            </w:r>
            <w:r w:rsidR="00E53BAE">
              <w:rPr>
                <w:noProof/>
                <w:webHidden/>
              </w:rPr>
              <w:fldChar w:fldCharType="begin"/>
            </w:r>
            <w:r w:rsidR="00E53BAE">
              <w:rPr>
                <w:noProof/>
                <w:webHidden/>
              </w:rPr>
              <w:instrText xml:space="preserve"> PAGEREF _Toc128647504 \h </w:instrText>
            </w:r>
            <w:r w:rsidR="00E53BAE">
              <w:rPr>
                <w:noProof/>
                <w:webHidden/>
              </w:rPr>
            </w:r>
            <w:r w:rsidR="00E53BAE">
              <w:rPr>
                <w:noProof/>
                <w:webHidden/>
              </w:rPr>
              <w:fldChar w:fldCharType="separate"/>
            </w:r>
            <w:r w:rsidR="00E53BAE">
              <w:rPr>
                <w:noProof/>
                <w:webHidden/>
              </w:rPr>
              <w:t>13</w:t>
            </w:r>
            <w:r w:rsidR="00E53BAE">
              <w:rPr>
                <w:noProof/>
                <w:webHidden/>
              </w:rPr>
              <w:fldChar w:fldCharType="end"/>
            </w:r>
          </w:hyperlink>
        </w:p>
        <w:p w14:paraId="19995978" w14:textId="24CC2485" w:rsidR="00E53BAE" w:rsidRDefault="00497775">
          <w:pPr>
            <w:pStyle w:val="TOC1"/>
            <w:tabs>
              <w:tab w:val="right" w:leader="dot" w:pos="9062"/>
            </w:tabs>
            <w:rPr>
              <w:rFonts w:asciiTheme="minorHAnsi" w:eastAsiaTheme="minorEastAsia" w:hAnsiTheme="minorHAnsi" w:cstheme="minorBidi"/>
              <w:noProof/>
              <w:lang w:eastAsia="en-GB"/>
            </w:rPr>
          </w:pPr>
          <w:hyperlink w:anchor="_Toc128647505" w:history="1">
            <w:r w:rsidR="00E53BAE" w:rsidRPr="0009798A">
              <w:rPr>
                <w:rStyle w:val="Hyperlink"/>
                <w:noProof/>
              </w:rPr>
              <w:t>Article 3 : Principes de la CIDPH :</w:t>
            </w:r>
            <w:r w:rsidR="00E53BAE">
              <w:rPr>
                <w:noProof/>
                <w:webHidden/>
              </w:rPr>
              <w:tab/>
            </w:r>
            <w:r w:rsidR="00E53BAE">
              <w:rPr>
                <w:noProof/>
                <w:webHidden/>
              </w:rPr>
              <w:fldChar w:fldCharType="begin"/>
            </w:r>
            <w:r w:rsidR="00E53BAE">
              <w:rPr>
                <w:noProof/>
                <w:webHidden/>
              </w:rPr>
              <w:instrText xml:space="preserve"> PAGEREF _Toc128647505 \h </w:instrText>
            </w:r>
            <w:r w:rsidR="00E53BAE">
              <w:rPr>
                <w:noProof/>
                <w:webHidden/>
              </w:rPr>
            </w:r>
            <w:r w:rsidR="00E53BAE">
              <w:rPr>
                <w:noProof/>
                <w:webHidden/>
              </w:rPr>
              <w:fldChar w:fldCharType="separate"/>
            </w:r>
            <w:r w:rsidR="00E53BAE">
              <w:rPr>
                <w:noProof/>
                <w:webHidden/>
              </w:rPr>
              <w:t>13</w:t>
            </w:r>
            <w:r w:rsidR="00E53BAE">
              <w:rPr>
                <w:noProof/>
                <w:webHidden/>
              </w:rPr>
              <w:fldChar w:fldCharType="end"/>
            </w:r>
          </w:hyperlink>
        </w:p>
        <w:p w14:paraId="2B0A1860" w14:textId="5CC14C48" w:rsidR="00E53BAE" w:rsidRDefault="00497775">
          <w:pPr>
            <w:pStyle w:val="TOC1"/>
            <w:tabs>
              <w:tab w:val="right" w:leader="dot" w:pos="9062"/>
            </w:tabs>
            <w:rPr>
              <w:rFonts w:asciiTheme="minorHAnsi" w:eastAsiaTheme="minorEastAsia" w:hAnsiTheme="minorHAnsi" w:cstheme="minorBidi"/>
              <w:noProof/>
              <w:lang w:eastAsia="en-GB"/>
            </w:rPr>
          </w:pPr>
          <w:hyperlink w:anchor="_Toc128647506" w:history="1">
            <w:r w:rsidR="00E53BAE" w:rsidRPr="0009798A">
              <w:rPr>
                <w:rStyle w:val="Hyperlink"/>
                <w:noProof/>
              </w:rPr>
              <w:t>Article 4 : Obligation générales</w:t>
            </w:r>
            <w:r w:rsidR="00E53BAE">
              <w:rPr>
                <w:noProof/>
                <w:webHidden/>
              </w:rPr>
              <w:tab/>
            </w:r>
            <w:r w:rsidR="00E53BAE">
              <w:rPr>
                <w:noProof/>
                <w:webHidden/>
              </w:rPr>
              <w:fldChar w:fldCharType="begin"/>
            </w:r>
            <w:r w:rsidR="00E53BAE">
              <w:rPr>
                <w:noProof/>
                <w:webHidden/>
              </w:rPr>
              <w:instrText xml:space="preserve"> PAGEREF _Toc128647506 \h </w:instrText>
            </w:r>
            <w:r w:rsidR="00E53BAE">
              <w:rPr>
                <w:noProof/>
                <w:webHidden/>
              </w:rPr>
            </w:r>
            <w:r w:rsidR="00E53BAE">
              <w:rPr>
                <w:noProof/>
                <w:webHidden/>
              </w:rPr>
              <w:fldChar w:fldCharType="separate"/>
            </w:r>
            <w:r w:rsidR="00E53BAE">
              <w:rPr>
                <w:noProof/>
                <w:webHidden/>
              </w:rPr>
              <w:t>14</w:t>
            </w:r>
            <w:r w:rsidR="00E53BAE">
              <w:rPr>
                <w:noProof/>
                <w:webHidden/>
              </w:rPr>
              <w:fldChar w:fldCharType="end"/>
            </w:r>
          </w:hyperlink>
        </w:p>
        <w:p w14:paraId="3D55F52A" w14:textId="75D6DE21" w:rsidR="00E53BAE" w:rsidRDefault="00497775">
          <w:pPr>
            <w:pStyle w:val="TOC1"/>
            <w:tabs>
              <w:tab w:val="right" w:leader="dot" w:pos="9062"/>
            </w:tabs>
            <w:rPr>
              <w:rFonts w:asciiTheme="minorHAnsi" w:eastAsiaTheme="minorEastAsia" w:hAnsiTheme="minorHAnsi" w:cstheme="minorBidi"/>
              <w:noProof/>
              <w:lang w:eastAsia="en-GB"/>
            </w:rPr>
          </w:pPr>
          <w:hyperlink w:anchor="_Toc128647507" w:history="1">
            <w:r w:rsidR="00E53BAE" w:rsidRPr="0009798A">
              <w:rPr>
                <w:rStyle w:val="Hyperlink"/>
                <w:noProof/>
              </w:rPr>
              <w:t>Article 5 : Egalité et non-discrimination</w:t>
            </w:r>
            <w:r w:rsidR="00E53BAE">
              <w:rPr>
                <w:noProof/>
                <w:webHidden/>
              </w:rPr>
              <w:tab/>
            </w:r>
            <w:r w:rsidR="00E53BAE">
              <w:rPr>
                <w:noProof/>
                <w:webHidden/>
              </w:rPr>
              <w:fldChar w:fldCharType="begin"/>
            </w:r>
            <w:r w:rsidR="00E53BAE">
              <w:rPr>
                <w:noProof/>
                <w:webHidden/>
              </w:rPr>
              <w:instrText xml:space="preserve"> PAGEREF _Toc128647507 \h </w:instrText>
            </w:r>
            <w:r w:rsidR="00E53BAE">
              <w:rPr>
                <w:noProof/>
                <w:webHidden/>
              </w:rPr>
            </w:r>
            <w:r w:rsidR="00E53BAE">
              <w:rPr>
                <w:noProof/>
                <w:webHidden/>
              </w:rPr>
              <w:fldChar w:fldCharType="separate"/>
            </w:r>
            <w:r w:rsidR="00E53BAE">
              <w:rPr>
                <w:noProof/>
                <w:webHidden/>
              </w:rPr>
              <w:t>15</w:t>
            </w:r>
            <w:r w:rsidR="00E53BAE">
              <w:rPr>
                <w:noProof/>
                <w:webHidden/>
              </w:rPr>
              <w:fldChar w:fldCharType="end"/>
            </w:r>
          </w:hyperlink>
        </w:p>
        <w:p w14:paraId="25AB2161" w14:textId="34AA8E33" w:rsidR="00E53BAE" w:rsidRDefault="00497775">
          <w:pPr>
            <w:pStyle w:val="TOC1"/>
            <w:tabs>
              <w:tab w:val="right" w:leader="dot" w:pos="9062"/>
            </w:tabs>
            <w:rPr>
              <w:rFonts w:asciiTheme="minorHAnsi" w:eastAsiaTheme="minorEastAsia" w:hAnsiTheme="minorHAnsi" w:cstheme="minorBidi"/>
              <w:noProof/>
              <w:lang w:eastAsia="en-GB"/>
            </w:rPr>
          </w:pPr>
          <w:hyperlink w:anchor="_Toc128647508" w:history="1">
            <w:r w:rsidR="00E53BAE" w:rsidRPr="0009798A">
              <w:rPr>
                <w:rStyle w:val="Hyperlink"/>
                <w:noProof/>
              </w:rPr>
              <w:t>Article 8 : Sensibilisation</w:t>
            </w:r>
            <w:r w:rsidR="00E53BAE">
              <w:rPr>
                <w:noProof/>
                <w:webHidden/>
              </w:rPr>
              <w:tab/>
            </w:r>
            <w:r w:rsidR="00E53BAE">
              <w:rPr>
                <w:noProof/>
                <w:webHidden/>
              </w:rPr>
              <w:fldChar w:fldCharType="begin"/>
            </w:r>
            <w:r w:rsidR="00E53BAE">
              <w:rPr>
                <w:noProof/>
                <w:webHidden/>
              </w:rPr>
              <w:instrText xml:space="preserve"> PAGEREF _Toc128647508 \h </w:instrText>
            </w:r>
            <w:r w:rsidR="00E53BAE">
              <w:rPr>
                <w:noProof/>
                <w:webHidden/>
              </w:rPr>
            </w:r>
            <w:r w:rsidR="00E53BAE">
              <w:rPr>
                <w:noProof/>
                <w:webHidden/>
              </w:rPr>
              <w:fldChar w:fldCharType="separate"/>
            </w:r>
            <w:r w:rsidR="00E53BAE">
              <w:rPr>
                <w:noProof/>
                <w:webHidden/>
              </w:rPr>
              <w:t>16</w:t>
            </w:r>
            <w:r w:rsidR="00E53BAE">
              <w:rPr>
                <w:noProof/>
                <w:webHidden/>
              </w:rPr>
              <w:fldChar w:fldCharType="end"/>
            </w:r>
          </w:hyperlink>
        </w:p>
        <w:p w14:paraId="312C46E7" w14:textId="5A5A4233" w:rsidR="00E53BAE" w:rsidRDefault="00497775">
          <w:pPr>
            <w:pStyle w:val="TOC1"/>
            <w:tabs>
              <w:tab w:val="right" w:leader="dot" w:pos="9062"/>
            </w:tabs>
            <w:rPr>
              <w:rFonts w:asciiTheme="minorHAnsi" w:eastAsiaTheme="minorEastAsia" w:hAnsiTheme="minorHAnsi" w:cstheme="minorBidi"/>
              <w:noProof/>
              <w:lang w:eastAsia="en-GB"/>
            </w:rPr>
          </w:pPr>
          <w:hyperlink w:anchor="_Toc128647509" w:history="1">
            <w:r w:rsidR="00E53BAE" w:rsidRPr="0009798A">
              <w:rPr>
                <w:rStyle w:val="Hyperlink"/>
                <w:noProof/>
              </w:rPr>
              <w:t>Article 9 : Accessibilité</w:t>
            </w:r>
            <w:r w:rsidR="00E53BAE">
              <w:rPr>
                <w:noProof/>
                <w:webHidden/>
              </w:rPr>
              <w:tab/>
            </w:r>
            <w:r w:rsidR="00E53BAE">
              <w:rPr>
                <w:noProof/>
                <w:webHidden/>
              </w:rPr>
              <w:fldChar w:fldCharType="begin"/>
            </w:r>
            <w:r w:rsidR="00E53BAE">
              <w:rPr>
                <w:noProof/>
                <w:webHidden/>
              </w:rPr>
              <w:instrText xml:space="preserve"> PAGEREF _Toc128647509 \h </w:instrText>
            </w:r>
            <w:r w:rsidR="00E53BAE">
              <w:rPr>
                <w:noProof/>
                <w:webHidden/>
              </w:rPr>
            </w:r>
            <w:r w:rsidR="00E53BAE">
              <w:rPr>
                <w:noProof/>
                <w:webHidden/>
              </w:rPr>
              <w:fldChar w:fldCharType="separate"/>
            </w:r>
            <w:r w:rsidR="00E53BAE">
              <w:rPr>
                <w:noProof/>
                <w:webHidden/>
              </w:rPr>
              <w:t>16</w:t>
            </w:r>
            <w:r w:rsidR="00E53BAE">
              <w:rPr>
                <w:noProof/>
                <w:webHidden/>
              </w:rPr>
              <w:fldChar w:fldCharType="end"/>
            </w:r>
          </w:hyperlink>
        </w:p>
        <w:p w14:paraId="0AA8DC65" w14:textId="6033474A" w:rsidR="00E53BAE" w:rsidRDefault="00497775">
          <w:pPr>
            <w:pStyle w:val="TOC1"/>
            <w:tabs>
              <w:tab w:val="right" w:leader="dot" w:pos="9062"/>
            </w:tabs>
            <w:rPr>
              <w:rFonts w:asciiTheme="minorHAnsi" w:eastAsiaTheme="minorEastAsia" w:hAnsiTheme="minorHAnsi" w:cstheme="minorBidi"/>
              <w:noProof/>
              <w:lang w:eastAsia="en-GB"/>
            </w:rPr>
          </w:pPr>
          <w:hyperlink w:anchor="_Toc128647510" w:history="1">
            <w:r w:rsidR="00E53BAE" w:rsidRPr="0009798A">
              <w:rPr>
                <w:rStyle w:val="Hyperlink"/>
                <w:noProof/>
              </w:rPr>
              <w:t>3.2 Dispositions spécifiques pour femmes, enfants et autres groupes de Personnes Handicapées</w:t>
            </w:r>
            <w:r w:rsidR="00E53BAE">
              <w:rPr>
                <w:noProof/>
                <w:webHidden/>
              </w:rPr>
              <w:tab/>
            </w:r>
            <w:r w:rsidR="00E53BAE">
              <w:rPr>
                <w:noProof/>
                <w:webHidden/>
              </w:rPr>
              <w:fldChar w:fldCharType="begin"/>
            </w:r>
            <w:r w:rsidR="00E53BAE">
              <w:rPr>
                <w:noProof/>
                <w:webHidden/>
              </w:rPr>
              <w:instrText xml:space="preserve"> PAGEREF _Toc128647510 \h </w:instrText>
            </w:r>
            <w:r w:rsidR="00E53BAE">
              <w:rPr>
                <w:noProof/>
                <w:webHidden/>
              </w:rPr>
            </w:r>
            <w:r w:rsidR="00E53BAE">
              <w:rPr>
                <w:noProof/>
                <w:webHidden/>
              </w:rPr>
              <w:fldChar w:fldCharType="separate"/>
            </w:r>
            <w:r w:rsidR="00E53BAE">
              <w:rPr>
                <w:noProof/>
                <w:webHidden/>
              </w:rPr>
              <w:t>17</w:t>
            </w:r>
            <w:r w:rsidR="00E53BAE">
              <w:rPr>
                <w:noProof/>
                <w:webHidden/>
              </w:rPr>
              <w:fldChar w:fldCharType="end"/>
            </w:r>
          </w:hyperlink>
        </w:p>
        <w:p w14:paraId="0B1BC551" w14:textId="74D88620" w:rsidR="00E53BAE" w:rsidRDefault="00497775">
          <w:pPr>
            <w:pStyle w:val="TOC1"/>
            <w:tabs>
              <w:tab w:val="right" w:leader="dot" w:pos="9062"/>
            </w:tabs>
            <w:rPr>
              <w:rFonts w:asciiTheme="minorHAnsi" w:eastAsiaTheme="minorEastAsia" w:hAnsiTheme="minorHAnsi" w:cstheme="minorBidi"/>
              <w:noProof/>
              <w:lang w:eastAsia="en-GB"/>
            </w:rPr>
          </w:pPr>
          <w:hyperlink w:anchor="_Toc128647511" w:history="1">
            <w:r w:rsidR="00E53BAE" w:rsidRPr="0009798A">
              <w:rPr>
                <w:rStyle w:val="Hyperlink"/>
                <w:noProof/>
              </w:rPr>
              <w:t>Article 6 – Femmes handicapées</w:t>
            </w:r>
            <w:r w:rsidR="00E53BAE">
              <w:rPr>
                <w:noProof/>
                <w:webHidden/>
              </w:rPr>
              <w:tab/>
            </w:r>
            <w:r w:rsidR="00E53BAE">
              <w:rPr>
                <w:noProof/>
                <w:webHidden/>
              </w:rPr>
              <w:fldChar w:fldCharType="begin"/>
            </w:r>
            <w:r w:rsidR="00E53BAE">
              <w:rPr>
                <w:noProof/>
                <w:webHidden/>
              </w:rPr>
              <w:instrText xml:space="preserve"> PAGEREF _Toc128647511 \h </w:instrText>
            </w:r>
            <w:r w:rsidR="00E53BAE">
              <w:rPr>
                <w:noProof/>
                <w:webHidden/>
              </w:rPr>
            </w:r>
            <w:r w:rsidR="00E53BAE">
              <w:rPr>
                <w:noProof/>
                <w:webHidden/>
              </w:rPr>
              <w:fldChar w:fldCharType="separate"/>
            </w:r>
            <w:r w:rsidR="00E53BAE">
              <w:rPr>
                <w:noProof/>
                <w:webHidden/>
              </w:rPr>
              <w:t>17</w:t>
            </w:r>
            <w:r w:rsidR="00E53BAE">
              <w:rPr>
                <w:noProof/>
                <w:webHidden/>
              </w:rPr>
              <w:fldChar w:fldCharType="end"/>
            </w:r>
          </w:hyperlink>
        </w:p>
        <w:p w14:paraId="436D77DD" w14:textId="0FBD9B47" w:rsidR="00E53BAE" w:rsidRDefault="00497775">
          <w:pPr>
            <w:pStyle w:val="TOC1"/>
            <w:tabs>
              <w:tab w:val="right" w:leader="dot" w:pos="9062"/>
            </w:tabs>
            <w:rPr>
              <w:rFonts w:asciiTheme="minorHAnsi" w:eastAsiaTheme="minorEastAsia" w:hAnsiTheme="minorHAnsi" w:cstheme="minorBidi"/>
              <w:noProof/>
              <w:lang w:eastAsia="en-GB"/>
            </w:rPr>
          </w:pPr>
          <w:hyperlink w:anchor="_Toc128647512" w:history="1">
            <w:r w:rsidR="00E53BAE" w:rsidRPr="0009798A">
              <w:rPr>
                <w:rStyle w:val="Hyperlink"/>
                <w:noProof/>
              </w:rPr>
              <w:t>Article 7 – Enfants handicapés</w:t>
            </w:r>
            <w:r w:rsidR="00E53BAE">
              <w:rPr>
                <w:noProof/>
                <w:webHidden/>
              </w:rPr>
              <w:tab/>
            </w:r>
            <w:r w:rsidR="00E53BAE">
              <w:rPr>
                <w:noProof/>
                <w:webHidden/>
              </w:rPr>
              <w:fldChar w:fldCharType="begin"/>
            </w:r>
            <w:r w:rsidR="00E53BAE">
              <w:rPr>
                <w:noProof/>
                <w:webHidden/>
              </w:rPr>
              <w:instrText xml:space="preserve"> PAGEREF _Toc128647512 \h </w:instrText>
            </w:r>
            <w:r w:rsidR="00E53BAE">
              <w:rPr>
                <w:noProof/>
                <w:webHidden/>
              </w:rPr>
            </w:r>
            <w:r w:rsidR="00E53BAE">
              <w:rPr>
                <w:noProof/>
                <w:webHidden/>
              </w:rPr>
              <w:fldChar w:fldCharType="separate"/>
            </w:r>
            <w:r w:rsidR="00E53BAE">
              <w:rPr>
                <w:noProof/>
                <w:webHidden/>
              </w:rPr>
              <w:t>18</w:t>
            </w:r>
            <w:r w:rsidR="00E53BAE">
              <w:rPr>
                <w:noProof/>
                <w:webHidden/>
              </w:rPr>
              <w:fldChar w:fldCharType="end"/>
            </w:r>
          </w:hyperlink>
        </w:p>
        <w:p w14:paraId="599C1F0B" w14:textId="7AB7EBC5" w:rsidR="00E53BAE" w:rsidRDefault="00497775">
          <w:pPr>
            <w:pStyle w:val="TOC1"/>
            <w:tabs>
              <w:tab w:val="right" w:leader="dot" w:pos="9062"/>
            </w:tabs>
            <w:rPr>
              <w:rFonts w:asciiTheme="minorHAnsi" w:eastAsiaTheme="minorEastAsia" w:hAnsiTheme="minorHAnsi" w:cstheme="minorBidi"/>
              <w:noProof/>
              <w:lang w:eastAsia="en-GB"/>
            </w:rPr>
          </w:pPr>
          <w:hyperlink w:anchor="_Toc128647513" w:history="1">
            <w:r w:rsidR="00E53BAE" w:rsidRPr="0009798A">
              <w:rPr>
                <w:rStyle w:val="Hyperlink"/>
                <w:noProof/>
              </w:rPr>
              <w:t>3.3 Dispositions spécifiques : Articles 10 à 30 :</w:t>
            </w:r>
            <w:r w:rsidR="00E53BAE">
              <w:rPr>
                <w:noProof/>
                <w:webHidden/>
              </w:rPr>
              <w:tab/>
            </w:r>
            <w:r w:rsidR="00E53BAE">
              <w:rPr>
                <w:noProof/>
                <w:webHidden/>
              </w:rPr>
              <w:fldChar w:fldCharType="begin"/>
            </w:r>
            <w:r w:rsidR="00E53BAE">
              <w:rPr>
                <w:noProof/>
                <w:webHidden/>
              </w:rPr>
              <w:instrText xml:space="preserve"> PAGEREF _Toc128647513 \h </w:instrText>
            </w:r>
            <w:r w:rsidR="00E53BAE">
              <w:rPr>
                <w:noProof/>
                <w:webHidden/>
              </w:rPr>
            </w:r>
            <w:r w:rsidR="00E53BAE">
              <w:rPr>
                <w:noProof/>
                <w:webHidden/>
              </w:rPr>
              <w:fldChar w:fldCharType="separate"/>
            </w:r>
            <w:r w:rsidR="00E53BAE">
              <w:rPr>
                <w:noProof/>
                <w:webHidden/>
              </w:rPr>
              <w:t>19</w:t>
            </w:r>
            <w:r w:rsidR="00E53BAE">
              <w:rPr>
                <w:noProof/>
                <w:webHidden/>
              </w:rPr>
              <w:fldChar w:fldCharType="end"/>
            </w:r>
          </w:hyperlink>
        </w:p>
        <w:p w14:paraId="555FC6F5" w14:textId="1FFADFE8" w:rsidR="00E53BAE" w:rsidRDefault="00497775">
          <w:pPr>
            <w:pStyle w:val="TOC1"/>
            <w:tabs>
              <w:tab w:val="right" w:leader="dot" w:pos="9062"/>
            </w:tabs>
            <w:rPr>
              <w:rFonts w:asciiTheme="minorHAnsi" w:eastAsiaTheme="minorEastAsia" w:hAnsiTheme="minorHAnsi" w:cstheme="minorBidi"/>
              <w:noProof/>
              <w:lang w:eastAsia="en-GB"/>
            </w:rPr>
          </w:pPr>
          <w:hyperlink w:anchor="_Toc128647514" w:history="1">
            <w:r w:rsidR="00E53BAE" w:rsidRPr="0009798A">
              <w:rPr>
                <w:rStyle w:val="Hyperlink"/>
                <w:noProof/>
              </w:rPr>
              <w:t>Articles 10 : Droit à la vie</w:t>
            </w:r>
            <w:r w:rsidR="00E53BAE">
              <w:rPr>
                <w:noProof/>
                <w:webHidden/>
              </w:rPr>
              <w:tab/>
            </w:r>
            <w:r w:rsidR="00E53BAE">
              <w:rPr>
                <w:noProof/>
                <w:webHidden/>
              </w:rPr>
              <w:fldChar w:fldCharType="begin"/>
            </w:r>
            <w:r w:rsidR="00E53BAE">
              <w:rPr>
                <w:noProof/>
                <w:webHidden/>
              </w:rPr>
              <w:instrText xml:space="preserve"> PAGEREF _Toc128647514 \h </w:instrText>
            </w:r>
            <w:r w:rsidR="00E53BAE">
              <w:rPr>
                <w:noProof/>
                <w:webHidden/>
              </w:rPr>
            </w:r>
            <w:r w:rsidR="00E53BAE">
              <w:rPr>
                <w:noProof/>
                <w:webHidden/>
              </w:rPr>
              <w:fldChar w:fldCharType="separate"/>
            </w:r>
            <w:r w:rsidR="00E53BAE">
              <w:rPr>
                <w:noProof/>
                <w:webHidden/>
              </w:rPr>
              <w:t>19</w:t>
            </w:r>
            <w:r w:rsidR="00E53BAE">
              <w:rPr>
                <w:noProof/>
                <w:webHidden/>
              </w:rPr>
              <w:fldChar w:fldCharType="end"/>
            </w:r>
          </w:hyperlink>
        </w:p>
        <w:p w14:paraId="5660764D" w14:textId="0A9EEDD6" w:rsidR="00E53BAE" w:rsidRDefault="00497775">
          <w:pPr>
            <w:pStyle w:val="TOC1"/>
            <w:tabs>
              <w:tab w:val="right" w:leader="dot" w:pos="9062"/>
            </w:tabs>
            <w:rPr>
              <w:rFonts w:asciiTheme="minorHAnsi" w:eastAsiaTheme="minorEastAsia" w:hAnsiTheme="minorHAnsi" w:cstheme="minorBidi"/>
              <w:noProof/>
              <w:lang w:eastAsia="en-GB"/>
            </w:rPr>
          </w:pPr>
          <w:hyperlink w:anchor="_Toc128647515" w:history="1">
            <w:r w:rsidR="00E53BAE" w:rsidRPr="0009798A">
              <w:rPr>
                <w:rStyle w:val="Hyperlink"/>
                <w:noProof/>
              </w:rPr>
              <w:t>Article 11 : Situation de risque et situation d’urgence humanitaire</w:t>
            </w:r>
            <w:r w:rsidR="00E53BAE">
              <w:rPr>
                <w:noProof/>
                <w:webHidden/>
              </w:rPr>
              <w:tab/>
            </w:r>
            <w:r w:rsidR="00E53BAE">
              <w:rPr>
                <w:noProof/>
                <w:webHidden/>
              </w:rPr>
              <w:fldChar w:fldCharType="begin"/>
            </w:r>
            <w:r w:rsidR="00E53BAE">
              <w:rPr>
                <w:noProof/>
                <w:webHidden/>
              </w:rPr>
              <w:instrText xml:space="preserve"> PAGEREF _Toc128647515 \h </w:instrText>
            </w:r>
            <w:r w:rsidR="00E53BAE">
              <w:rPr>
                <w:noProof/>
                <w:webHidden/>
              </w:rPr>
            </w:r>
            <w:r w:rsidR="00E53BAE">
              <w:rPr>
                <w:noProof/>
                <w:webHidden/>
              </w:rPr>
              <w:fldChar w:fldCharType="separate"/>
            </w:r>
            <w:r w:rsidR="00E53BAE">
              <w:rPr>
                <w:noProof/>
                <w:webHidden/>
              </w:rPr>
              <w:t>20</w:t>
            </w:r>
            <w:r w:rsidR="00E53BAE">
              <w:rPr>
                <w:noProof/>
                <w:webHidden/>
              </w:rPr>
              <w:fldChar w:fldCharType="end"/>
            </w:r>
          </w:hyperlink>
        </w:p>
        <w:p w14:paraId="4DA744E2" w14:textId="0E7D705A" w:rsidR="00E53BAE" w:rsidRDefault="00497775">
          <w:pPr>
            <w:pStyle w:val="TOC1"/>
            <w:tabs>
              <w:tab w:val="right" w:leader="dot" w:pos="9062"/>
            </w:tabs>
            <w:rPr>
              <w:rFonts w:asciiTheme="minorHAnsi" w:eastAsiaTheme="minorEastAsia" w:hAnsiTheme="minorHAnsi" w:cstheme="minorBidi"/>
              <w:noProof/>
              <w:lang w:eastAsia="en-GB"/>
            </w:rPr>
          </w:pPr>
          <w:hyperlink w:anchor="_Toc128647516" w:history="1">
            <w:r w:rsidR="00E53BAE" w:rsidRPr="0009798A">
              <w:rPr>
                <w:rStyle w:val="Hyperlink"/>
                <w:noProof/>
              </w:rPr>
              <w:t>Article 12 : Reconnaissance de la personnalité juridique dans les conditions d’égalité.</w:t>
            </w:r>
            <w:r w:rsidR="00E53BAE">
              <w:rPr>
                <w:noProof/>
                <w:webHidden/>
              </w:rPr>
              <w:tab/>
            </w:r>
            <w:r w:rsidR="00E53BAE">
              <w:rPr>
                <w:noProof/>
                <w:webHidden/>
              </w:rPr>
              <w:fldChar w:fldCharType="begin"/>
            </w:r>
            <w:r w:rsidR="00E53BAE">
              <w:rPr>
                <w:noProof/>
                <w:webHidden/>
              </w:rPr>
              <w:instrText xml:space="preserve"> PAGEREF _Toc128647516 \h </w:instrText>
            </w:r>
            <w:r w:rsidR="00E53BAE">
              <w:rPr>
                <w:noProof/>
                <w:webHidden/>
              </w:rPr>
            </w:r>
            <w:r w:rsidR="00E53BAE">
              <w:rPr>
                <w:noProof/>
                <w:webHidden/>
              </w:rPr>
              <w:fldChar w:fldCharType="separate"/>
            </w:r>
            <w:r w:rsidR="00E53BAE">
              <w:rPr>
                <w:noProof/>
                <w:webHidden/>
              </w:rPr>
              <w:t>20</w:t>
            </w:r>
            <w:r w:rsidR="00E53BAE">
              <w:rPr>
                <w:noProof/>
                <w:webHidden/>
              </w:rPr>
              <w:fldChar w:fldCharType="end"/>
            </w:r>
          </w:hyperlink>
        </w:p>
        <w:p w14:paraId="250A74EF" w14:textId="27E69DF7" w:rsidR="00E53BAE" w:rsidRDefault="00497775">
          <w:pPr>
            <w:pStyle w:val="TOC1"/>
            <w:tabs>
              <w:tab w:val="right" w:leader="dot" w:pos="9062"/>
            </w:tabs>
            <w:rPr>
              <w:rFonts w:asciiTheme="minorHAnsi" w:eastAsiaTheme="minorEastAsia" w:hAnsiTheme="minorHAnsi" w:cstheme="minorBidi"/>
              <w:noProof/>
              <w:lang w:eastAsia="en-GB"/>
            </w:rPr>
          </w:pPr>
          <w:hyperlink w:anchor="_Toc128647517" w:history="1">
            <w:r w:rsidR="00E53BAE" w:rsidRPr="0009798A">
              <w:rPr>
                <w:rStyle w:val="Hyperlink"/>
                <w:noProof/>
              </w:rPr>
              <w:t>Article 13 : Accès à la justice</w:t>
            </w:r>
            <w:r w:rsidR="00E53BAE">
              <w:rPr>
                <w:noProof/>
                <w:webHidden/>
              </w:rPr>
              <w:tab/>
            </w:r>
            <w:r w:rsidR="00E53BAE">
              <w:rPr>
                <w:noProof/>
                <w:webHidden/>
              </w:rPr>
              <w:fldChar w:fldCharType="begin"/>
            </w:r>
            <w:r w:rsidR="00E53BAE">
              <w:rPr>
                <w:noProof/>
                <w:webHidden/>
              </w:rPr>
              <w:instrText xml:space="preserve"> PAGEREF _Toc128647517 \h </w:instrText>
            </w:r>
            <w:r w:rsidR="00E53BAE">
              <w:rPr>
                <w:noProof/>
                <w:webHidden/>
              </w:rPr>
            </w:r>
            <w:r w:rsidR="00E53BAE">
              <w:rPr>
                <w:noProof/>
                <w:webHidden/>
              </w:rPr>
              <w:fldChar w:fldCharType="separate"/>
            </w:r>
            <w:r w:rsidR="00E53BAE">
              <w:rPr>
                <w:noProof/>
                <w:webHidden/>
              </w:rPr>
              <w:t>21</w:t>
            </w:r>
            <w:r w:rsidR="00E53BAE">
              <w:rPr>
                <w:noProof/>
                <w:webHidden/>
              </w:rPr>
              <w:fldChar w:fldCharType="end"/>
            </w:r>
          </w:hyperlink>
        </w:p>
        <w:p w14:paraId="1D34BEB5" w14:textId="295EC71D" w:rsidR="00E53BAE" w:rsidRDefault="00497775">
          <w:pPr>
            <w:pStyle w:val="TOC1"/>
            <w:tabs>
              <w:tab w:val="right" w:leader="dot" w:pos="9062"/>
            </w:tabs>
            <w:rPr>
              <w:rFonts w:asciiTheme="minorHAnsi" w:eastAsiaTheme="minorEastAsia" w:hAnsiTheme="minorHAnsi" w:cstheme="minorBidi"/>
              <w:noProof/>
              <w:lang w:eastAsia="en-GB"/>
            </w:rPr>
          </w:pPr>
          <w:hyperlink w:anchor="_Toc128647518" w:history="1">
            <w:r w:rsidR="00E53BAE" w:rsidRPr="0009798A">
              <w:rPr>
                <w:rStyle w:val="Hyperlink"/>
                <w:noProof/>
              </w:rPr>
              <w:t>Article 14 : Liberté et sécurité de la personne</w:t>
            </w:r>
            <w:r w:rsidR="00E53BAE">
              <w:rPr>
                <w:noProof/>
                <w:webHidden/>
              </w:rPr>
              <w:tab/>
            </w:r>
            <w:r w:rsidR="00E53BAE">
              <w:rPr>
                <w:noProof/>
                <w:webHidden/>
              </w:rPr>
              <w:fldChar w:fldCharType="begin"/>
            </w:r>
            <w:r w:rsidR="00E53BAE">
              <w:rPr>
                <w:noProof/>
                <w:webHidden/>
              </w:rPr>
              <w:instrText xml:space="preserve"> PAGEREF _Toc128647518 \h </w:instrText>
            </w:r>
            <w:r w:rsidR="00E53BAE">
              <w:rPr>
                <w:noProof/>
                <w:webHidden/>
              </w:rPr>
            </w:r>
            <w:r w:rsidR="00E53BAE">
              <w:rPr>
                <w:noProof/>
                <w:webHidden/>
              </w:rPr>
              <w:fldChar w:fldCharType="separate"/>
            </w:r>
            <w:r w:rsidR="00E53BAE">
              <w:rPr>
                <w:noProof/>
                <w:webHidden/>
              </w:rPr>
              <w:t>22</w:t>
            </w:r>
            <w:r w:rsidR="00E53BAE">
              <w:rPr>
                <w:noProof/>
                <w:webHidden/>
              </w:rPr>
              <w:fldChar w:fldCharType="end"/>
            </w:r>
          </w:hyperlink>
        </w:p>
        <w:p w14:paraId="0B84DCFB" w14:textId="223E8E3C" w:rsidR="00E53BAE" w:rsidRDefault="00497775">
          <w:pPr>
            <w:pStyle w:val="TOC1"/>
            <w:tabs>
              <w:tab w:val="right" w:leader="dot" w:pos="9062"/>
            </w:tabs>
            <w:rPr>
              <w:rFonts w:asciiTheme="minorHAnsi" w:eastAsiaTheme="minorEastAsia" w:hAnsiTheme="minorHAnsi" w:cstheme="minorBidi"/>
              <w:noProof/>
              <w:lang w:eastAsia="en-GB"/>
            </w:rPr>
          </w:pPr>
          <w:hyperlink w:anchor="_Toc128647519" w:history="1">
            <w:r w:rsidR="00E53BAE" w:rsidRPr="0009798A">
              <w:rPr>
                <w:rStyle w:val="Hyperlink"/>
                <w:noProof/>
              </w:rPr>
              <w:t>Article 15 – Droit de ne pas être soumis à la torture, ni à des peines ou traitements cruels, inhumains ou dégradants</w:t>
            </w:r>
            <w:r w:rsidR="00E53BAE">
              <w:rPr>
                <w:noProof/>
                <w:webHidden/>
              </w:rPr>
              <w:tab/>
            </w:r>
            <w:r w:rsidR="00E53BAE">
              <w:rPr>
                <w:noProof/>
                <w:webHidden/>
              </w:rPr>
              <w:fldChar w:fldCharType="begin"/>
            </w:r>
            <w:r w:rsidR="00E53BAE">
              <w:rPr>
                <w:noProof/>
                <w:webHidden/>
              </w:rPr>
              <w:instrText xml:space="preserve"> PAGEREF _Toc128647519 \h </w:instrText>
            </w:r>
            <w:r w:rsidR="00E53BAE">
              <w:rPr>
                <w:noProof/>
                <w:webHidden/>
              </w:rPr>
            </w:r>
            <w:r w:rsidR="00E53BAE">
              <w:rPr>
                <w:noProof/>
                <w:webHidden/>
              </w:rPr>
              <w:fldChar w:fldCharType="separate"/>
            </w:r>
            <w:r w:rsidR="00E53BAE">
              <w:rPr>
                <w:noProof/>
                <w:webHidden/>
              </w:rPr>
              <w:t>22</w:t>
            </w:r>
            <w:r w:rsidR="00E53BAE">
              <w:rPr>
                <w:noProof/>
                <w:webHidden/>
              </w:rPr>
              <w:fldChar w:fldCharType="end"/>
            </w:r>
          </w:hyperlink>
        </w:p>
        <w:p w14:paraId="031E37A5" w14:textId="668270CB" w:rsidR="00E53BAE" w:rsidRDefault="00497775">
          <w:pPr>
            <w:pStyle w:val="TOC1"/>
            <w:tabs>
              <w:tab w:val="right" w:leader="dot" w:pos="9062"/>
            </w:tabs>
            <w:rPr>
              <w:rFonts w:asciiTheme="minorHAnsi" w:eastAsiaTheme="minorEastAsia" w:hAnsiTheme="minorHAnsi" w:cstheme="minorBidi"/>
              <w:noProof/>
              <w:lang w:eastAsia="en-GB"/>
            </w:rPr>
          </w:pPr>
          <w:hyperlink w:anchor="_Toc128647520" w:history="1">
            <w:r w:rsidR="00E53BAE" w:rsidRPr="0009798A">
              <w:rPr>
                <w:rStyle w:val="Hyperlink"/>
                <w:noProof/>
              </w:rPr>
              <w:t>Article 16 – Droit de ne pas être soumis à l’exploitation, à la violence et à la maltraitance</w:t>
            </w:r>
            <w:r w:rsidR="00E53BAE">
              <w:rPr>
                <w:noProof/>
                <w:webHidden/>
              </w:rPr>
              <w:tab/>
            </w:r>
            <w:r w:rsidR="00E53BAE">
              <w:rPr>
                <w:noProof/>
                <w:webHidden/>
              </w:rPr>
              <w:fldChar w:fldCharType="begin"/>
            </w:r>
            <w:r w:rsidR="00E53BAE">
              <w:rPr>
                <w:noProof/>
                <w:webHidden/>
              </w:rPr>
              <w:instrText xml:space="preserve"> PAGEREF _Toc128647520 \h </w:instrText>
            </w:r>
            <w:r w:rsidR="00E53BAE">
              <w:rPr>
                <w:noProof/>
                <w:webHidden/>
              </w:rPr>
            </w:r>
            <w:r w:rsidR="00E53BAE">
              <w:rPr>
                <w:noProof/>
                <w:webHidden/>
              </w:rPr>
              <w:fldChar w:fldCharType="separate"/>
            </w:r>
            <w:r w:rsidR="00E53BAE">
              <w:rPr>
                <w:noProof/>
                <w:webHidden/>
              </w:rPr>
              <w:t>22</w:t>
            </w:r>
            <w:r w:rsidR="00E53BAE">
              <w:rPr>
                <w:noProof/>
                <w:webHidden/>
              </w:rPr>
              <w:fldChar w:fldCharType="end"/>
            </w:r>
          </w:hyperlink>
        </w:p>
        <w:p w14:paraId="394959BB" w14:textId="3D99785F" w:rsidR="00E53BAE" w:rsidRDefault="00497775">
          <w:pPr>
            <w:pStyle w:val="TOC1"/>
            <w:tabs>
              <w:tab w:val="right" w:leader="dot" w:pos="9062"/>
            </w:tabs>
            <w:rPr>
              <w:rFonts w:asciiTheme="minorHAnsi" w:eastAsiaTheme="minorEastAsia" w:hAnsiTheme="minorHAnsi" w:cstheme="minorBidi"/>
              <w:noProof/>
              <w:lang w:eastAsia="en-GB"/>
            </w:rPr>
          </w:pPr>
          <w:hyperlink w:anchor="_Toc128647521" w:history="1">
            <w:r w:rsidR="00E53BAE" w:rsidRPr="0009798A">
              <w:rPr>
                <w:rStyle w:val="Hyperlink"/>
                <w:noProof/>
              </w:rPr>
              <w:t>Article 18 – Droit de circuler librement et nationalité</w:t>
            </w:r>
            <w:r w:rsidR="00E53BAE">
              <w:rPr>
                <w:noProof/>
                <w:webHidden/>
              </w:rPr>
              <w:tab/>
            </w:r>
            <w:r w:rsidR="00E53BAE">
              <w:rPr>
                <w:noProof/>
                <w:webHidden/>
              </w:rPr>
              <w:fldChar w:fldCharType="begin"/>
            </w:r>
            <w:r w:rsidR="00E53BAE">
              <w:rPr>
                <w:noProof/>
                <w:webHidden/>
              </w:rPr>
              <w:instrText xml:space="preserve"> PAGEREF _Toc128647521 \h </w:instrText>
            </w:r>
            <w:r w:rsidR="00E53BAE">
              <w:rPr>
                <w:noProof/>
                <w:webHidden/>
              </w:rPr>
            </w:r>
            <w:r w:rsidR="00E53BAE">
              <w:rPr>
                <w:noProof/>
                <w:webHidden/>
              </w:rPr>
              <w:fldChar w:fldCharType="separate"/>
            </w:r>
            <w:r w:rsidR="00E53BAE">
              <w:rPr>
                <w:noProof/>
                <w:webHidden/>
              </w:rPr>
              <w:t>22</w:t>
            </w:r>
            <w:r w:rsidR="00E53BAE">
              <w:rPr>
                <w:noProof/>
                <w:webHidden/>
              </w:rPr>
              <w:fldChar w:fldCharType="end"/>
            </w:r>
          </w:hyperlink>
        </w:p>
        <w:p w14:paraId="4E043BE5" w14:textId="0A53C418" w:rsidR="00E53BAE" w:rsidRDefault="00497775">
          <w:pPr>
            <w:pStyle w:val="TOC1"/>
            <w:tabs>
              <w:tab w:val="right" w:leader="dot" w:pos="9062"/>
            </w:tabs>
            <w:rPr>
              <w:rFonts w:asciiTheme="minorHAnsi" w:eastAsiaTheme="minorEastAsia" w:hAnsiTheme="minorHAnsi" w:cstheme="minorBidi"/>
              <w:noProof/>
              <w:lang w:eastAsia="en-GB"/>
            </w:rPr>
          </w:pPr>
          <w:hyperlink w:anchor="_Toc128647522" w:history="1">
            <w:r w:rsidR="00E53BAE" w:rsidRPr="0009798A">
              <w:rPr>
                <w:rStyle w:val="Hyperlink"/>
                <w:noProof/>
              </w:rPr>
              <w:t>Article 19 – Autonomie de vie et inclusion dans la communauté</w:t>
            </w:r>
            <w:r w:rsidR="00E53BAE">
              <w:rPr>
                <w:noProof/>
                <w:webHidden/>
              </w:rPr>
              <w:tab/>
            </w:r>
            <w:r w:rsidR="00E53BAE">
              <w:rPr>
                <w:noProof/>
                <w:webHidden/>
              </w:rPr>
              <w:fldChar w:fldCharType="begin"/>
            </w:r>
            <w:r w:rsidR="00E53BAE">
              <w:rPr>
                <w:noProof/>
                <w:webHidden/>
              </w:rPr>
              <w:instrText xml:space="preserve"> PAGEREF _Toc128647522 \h </w:instrText>
            </w:r>
            <w:r w:rsidR="00E53BAE">
              <w:rPr>
                <w:noProof/>
                <w:webHidden/>
              </w:rPr>
            </w:r>
            <w:r w:rsidR="00E53BAE">
              <w:rPr>
                <w:noProof/>
                <w:webHidden/>
              </w:rPr>
              <w:fldChar w:fldCharType="separate"/>
            </w:r>
            <w:r w:rsidR="00E53BAE">
              <w:rPr>
                <w:noProof/>
                <w:webHidden/>
              </w:rPr>
              <w:t>23</w:t>
            </w:r>
            <w:r w:rsidR="00E53BAE">
              <w:rPr>
                <w:noProof/>
                <w:webHidden/>
              </w:rPr>
              <w:fldChar w:fldCharType="end"/>
            </w:r>
          </w:hyperlink>
        </w:p>
        <w:p w14:paraId="137A8C52" w14:textId="3BA49BD1" w:rsidR="00E53BAE" w:rsidRDefault="00497775">
          <w:pPr>
            <w:pStyle w:val="TOC1"/>
            <w:tabs>
              <w:tab w:val="right" w:leader="dot" w:pos="9062"/>
            </w:tabs>
            <w:rPr>
              <w:rFonts w:asciiTheme="minorHAnsi" w:eastAsiaTheme="minorEastAsia" w:hAnsiTheme="minorHAnsi" w:cstheme="minorBidi"/>
              <w:noProof/>
              <w:lang w:eastAsia="en-GB"/>
            </w:rPr>
          </w:pPr>
          <w:hyperlink w:anchor="_Toc128647523" w:history="1">
            <w:r w:rsidR="00E53BAE" w:rsidRPr="0009798A">
              <w:rPr>
                <w:rStyle w:val="Hyperlink"/>
                <w:noProof/>
              </w:rPr>
              <w:t>Article 20 – Mobilité personnelle</w:t>
            </w:r>
            <w:r w:rsidR="00E53BAE">
              <w:rPr>
                <w:noProof/>
                <w:webHidden/>
              </w:rPr>
              <w:tab/>
            </w:r>
            <w:r w:rsidR="00E53BAE">
              <w:rPr>
                <w:noProof/>
                <w:webHidden/>
              </w:rPr>
              <w:fldChar w:fldCharType="begin"/>
            </w:r>
            <w:r w:rsidR="00E53BAE">
              <w:rPr>
                <w:noProof/>
                <w:webHidden/>
              </w:rPr>
              <w:instrText xml:space="preserve"> PAGEREF _Toc128647523 \h </w:instrText>
            </w:r>
            <w:r w:rsidR="00E53BAE">
              <w:rPr>
                <w:noProof/>
                <w:webHidden/>
              </w:rPr>
            </w:r>
            <w:r w:rsidR="00E53BAE">
              <w:rPr>
                <w:noProof/>
                <w:webHidden/>
              </w:rPr>
              <w:fldChar w:fldCharType="separate"/>
            </w:r>
            <w:r w:rsidR="00E53BAE">
              <w:rPr>
                <w:noProof/>
                <w:webHidden/>
              </w:rPr>
              <w:t>23</w:t>
            </w:r>
            <w:r w:rsidR="00E53BAE">
              <w:rPr>
                <w:noProof/>
                <w:webHidden/>
              </w:rPr>
              <w:fldChar w:fldCharType="end"/>
            </w:r>
          </w:hyperlink>
        </w:p>
        <w:p w14:paraId="5F65EE3E" w14:textId="100BC429" w:rsidR="00E53BAE" w:rsidRDefault="00497775">
          <w:pPr>
            <w:pStyle w:val="TOC1"/>
            <w:tabs>
              <w:tab w:val="right" w:leader="dot" w:pos="9062"/>
            </w:tabs>
            <w:rPr>
              <w:rFonts w:asciiTheme="minorHAnsi" w:eastAsiaTheme="minorEastAsia" w:hAnsiTheme="minorHAnsi" w:cstheme="minorBidi"/>
              <w:noProof/>
              <w:lang w:eastAsia="en-GB"/>
            </w:rPr>
          </w:pPr>
          <w:hyperlink w:anchor="_Toc128647524" w:history="1">
            <w:r w:rsidR="00E53BAE" w:rsidRPr="0009798A">
              <w:rPr>
                <w:rStyle w:val="Hyperlink"/>
                <w:noProof/>
              </w:rPr>
              <w:t>Article 21– Liberté d'expression et d'opinion, et accès à l'information</w:t>
            </w:r>
            <w:r w:rsidR="00E53BAE">
              <w:rPr>
                <w:noProof/>
                <w:webHidden/>
              </w:rPr>
              <w:tab/>
            </w:r>
            <w:r w:rsidR="00E53BAE">
              <w:rPr>
                <w:noProof/>
                <w:webHidden/>
              </w:rPr>
              <w:fldChar w:fldCharType="begin"/>
            </w:r>
            <w:r w:rsidR="00E53BAE">
              <w:rPr>
                <w:noProof/>
                <w:webHidden/>
              </w:rPr>
              <w:instrText xml:space="preserve"> PAGEREF _Toc128647524 \h </w:instrText>
            </w:r>
            <w:r w:rsidR="00E53BAE">
              <w:rPr>
                <w:noProof/>
                <w:webHidden/>
              </w:rPr>
            </w:r>
            <w:r w:rsidR="00E53BAE">
              <w:rPr>
                <w:noProof/>
                <w:webHidden/>
              </w:rPr>
              <w:fldChar w:fldCharType="separate"/>
            </w:r>
            <w:r w:rsidR="00E53BAE">
              <w:rPr>
                <w:noProof/>
                <w:webHidden/>
              </w:rPr>
              <w:t>23</w:t>
            </w:r>
            <w:r w:rsidR="00E53BAE">
              <w:rPr>
                <w:noProof/>
                <w:webHidden/>
              </w:rPr>
              <w:fldChar w:fldCharType="end"/>
            </w:r>
          </w:hyperlink>
        </w:p>
        <w:p w14:paraId="6471B329" w14:textId="7F5EE661" w:rsidR="00E53BAE" w:rsidRDefault="00497775">
          <w:pPr>
            <w:pStyle w:val="TOC1"/>
            <w:tabs>
              <w:tab w:val="right" w:leader="dot" w:pos="9062"/>
            </w:tabs>
            <w:rPr>
              <w:rFonts w:asciiTheme="minorHAnsi" w:eastAsiaTheme="minorEastAsia" w:hAnsiTheme="minorHAnsi" w:cstheme="minorBidi"/>
              <w:noProof/>
              <w:lang w:eastAsia="en-GB"/>
            </w:rPr>
          </w:pPr>
          <w:hyperlink w:anchor="_Toc128647525" w:history="1">
            <w:r w:rsidR="00E53BAE" w:rsidRPr="0009798A">
              <w:rPr>
                <w:rStyle w:val="Hyperlink"/>
                <w:noProof/>
              </w:rPr>
              <w:t>Article 22– Respect de la vie privée</w:t>
            </w:r>
            <w:r w:rsidR="00E53BAE">
              <w:rPr>
                <w:noProof/>
                <w:webHidden/>
              </w:rPr>
              <w:tab/>
            </w:r>
            <w:r w:rsidR="00E53BAE">
              <w:rPr>
                <w:noProof/>
                <w:webHidden/>
              </w:rPr>
              <w:fldChar w:fldCharType="begin"/>
            </w:r>
            <w:r w:rsidR="00E53BAE">
              <w:rPr>
                <w:noProof/>
                <w:webHidden/>
              </w:rPr>
              <w:instrText xml:space="preserve"> PAGEREF _Toc128647525 \h </w:instrText>
            </w:r>
            <w:r w:rsidR="00E53BAE">
              <w:rPr>
                <w:noProof/>
                <w:webHidden/>
              </w:rPr>
            </w:r>
            <w:r w:rsidR="00E53BAE">
              <w:rPr>
                <w:noProof/>
                <w:webHidden/>
              </w:rPr>
              <w:fldChar w:fldCharType="separate"/>
            </w:r>
            <w:r w:rsidR="00E53BAE">
              <w:rPr>
                <w:noProof/>
                <w:webHidden/>
              </w:rPr>
              <w:t>24</w:t>
            </w:r>
            <w:r w:rsidR="00E53BAE">
              <w:rPr>
                <w:noProof/>
                <w:webHidden/>
              </w:rPr>
              <w:fldChar w:fldCharType="end"/>
            </w:r>
          </w:hyperlink>
        </w:p>
        <w:p w14:paraId="78F328A6" w14:textId="3C842BE5" w:rsidR="00E53BAE" w:rsidRDefault="00497775">
          <w:pPr>
            <w:pStyle w:val="TOC1"/>
            <w:tabs>
              <w:tab w:val="right" w:leader="dot" w:pos="9062"/>
            </w:tabs>
            <w:rPr>
              <w:rFonts w:asciiTheme="minorHAnsi" w:eastAsiaTheme="minorEastAsia" w:hAnsiTheme="minorHAnsi" w:cstheme="minorBidi"/>
              <w:noProof/>
              <w:lang w:eastAsia="en-GB"/>
            </w:rPr>
          </w:pPr>
          <w:hyperlink w:anchor="_Toc128647526" w:history="1">
            <w:r w:rsidR="00E53BAE" w:rsidRPr="0009798A">
              <w:rPr>
                <w:rStyle w:val="Hyperlink"/>
                <w:noProof/>
              </w:rPr>
              <w:t>Article 23 – Respect du domicile et de la famille</w:t>
            </w:r>
            <w:r w:rsidR="00E53BAE">
              <w:rPr>
                <w:noProof/>
                <w:webHidden/>
              </w:rPr>
              <w:tab/>
            </w:r>
            <w:r w:rsidR="00E53BAE">
              <w:rPr>
                <w:noProof/>
                <w:webHidden/>
              </w:rPr>
              <w:fldChar w:fldCharType="begin"/>
            </w:r>
            <w:r w:rsidR="00E53BAE">
              <w:rPr>
                <w:noProof/>
                <w:webHidden/>
              </w:rPr>
              <w:instrText xml:space="preserve"> PAGEREF _Toc128647526 \h </w:instrText>
            </w:r>
            <w:r w:rsidR="00E53BAE">
              <w:rPr>
                <w:noProof/>
                <w:webHidden/>
              </w:rPr>
            </w:r>
            <w:r w:rsidR="00E53BAE">
              <w:rPr>
                <w:noProof/>
                <w:webHidden/>
              </w:rPr>
              <w:fldChar w:fldCharType="separate"/>
            </w:r>
            <w:r w:rsidR="00E53BAE">
              <w:rPr>
                <w:noProof/>
                <w:webHidden/>
              </w:rPr>
              <w:t>24</w:t>
            </w:r>
            <w:r w:rsidR="00E53BAE">
              <w:rPr>
                <w:noProof/>
                <w:webHidden/>
              </w:rPr>
              <w:fldChar w:fldCharType="end"/>
            </w:r>
          </w:hyperlink>
        </w:p>
        <w:p w14:paraId="236B52B4" w14:textId="4BE8EC65" w:rsidR="00E53BAE" w:rsidRDefault="00497775">
          <w:pPr>
            <w:pStyle w:val="TOC1"/>
            <w:tabs>
              <w:tab w:val="right" w:leader="dot" w:pos="9062"/>
            </w:tabs>
            <w:rPr>
              <w:rFonts w:asciiTheme="minorHAnsi" w:eastAsiaTheme="minorEastAsia" w:hAnsiTheme="minorHAnsi" w:cstheme="minorBidi"/>
              <w:noProof/>
              <w:lang w:eastAsia="en-GB"/>
            </w:rPr>
          </w:pPr>
          <w:hyperlink w:anchor="_Toc128647527" w:history="1">
            <w:r w:rsidR="00E53BAE" w:rsidRPr="0009798A">
              <w:rPr>
                <w:rStyle w:val="Hyperlink"/>
                <w:noProof/>
              </w:rPr>
              <w:t>Article 24 – Education</w:t>
            </w:r>
            <w:r w:rsidR="00E53BAE">
              <w:rPr>
                <w:noProof/>
                <w:webHidden/>
              </w:rPr>
              <w:tab/>
            </w:r>
            <w:r w:rsidR="00E53BAE">
              <w:rPr>
                <w:noProof/>
                <w:webHidden/>
              </w:rPr>
              <w:fldChar w:fldCharType="begin"/>
            </w:r>
            <w:r w:rsidR="00E53BAE">
              <w:rPr>
                <w:noProof/>
                <w:webHidden/>
              </w:rPr>
              <w:instrText xml:space="preserve"> PAGEREF _Toc128647527 \h </w:instrText>
            </w:r>
            <w:r w:rsidR="00E53BAE">
              <w:rPr>
                <w:noProof/>
                <w:webHidden/>
              </w:rPr>
            </w:r>
            <w:r w:rsidR="00E53BAE">
              <w:rPr>
                <w:noProof/>
                <w:webHidden/>
              </w:rPr>
              <w:fldChar w:fldCharType="separate"/>
            </w:r>
            <w:r w:rsidR="00E53BAE">
              <w:rPr>
                <w:noProof/>
                <w:webHidden/>
              </w:rPr>
              <w:t>25</w:t>
            </w:r>
            <w:r w:rsidR="00E53BAE">
              <w:rPr>
                <w:noProof/>
                <w:webHidden/>
              </w:rPr>
              <w:fldChar w:fldCharType="end"/>
            </w:r>
          </w:hyperlink>
        </w:p>
        <w:p w14:paraId="67509A88" w14:textId="43D626C8" w:rsidR="00E53BAE" w:rsidRDefault="00497775">
          <w:pPr>
            <w:pStyle w:val="TOC1"/>
            <w:tabs>
              <w:tab w:val="right" w:leader="dot" w:pos="9062"/>
            </w:tabs>
            <w:rPr>
              <w:rFonts w:asciiTheme="minorHAnsi" w:eastAsiaTheme="minorEastAsia" w:hAnsiTheme="minorHAnsi" w:cstheme="minorBidi"/>
              <w:noProof/>
              <w:lang w:eastAsia="en-GB"/>
            </w:rPr>
          </w:pPr>
          <w:hyperlink w:anchor="_Toc128647528" w:history="1">
            <w:r w:rsidR="00E53BAE" w:rsidRPr="0009798A">
              <w:rPr>
                <w:rStyle w:val="Hyperlink"/>
                <w:noProof/>
              </w:rPr>
              <w:t>Article 25 – Santé</w:t>
            </w:r>
            <w:r w:rsidR="00E53BAE">
              <w:rPr>
                <w:noProof/>
                <w:webHidden/>
              </w:rPr>
              <w:tab/>
            </w:r>
            <w:r w:rsidR="00E53BAE">
              <w:rPr>
                <w:noProof/>
                <w:webHidden/>
              </w:rPr>
              <w:fldChar w:fldCharType="begin"/>
            </w:r>
            <w:r w:rsidR="00E53BAE">
              <w:rPr>
                <w:noProof/>
                <w:webHidden/>
              </w:rPr>
              <w:instrText xml:space="preserve"> PAGEREF _Toc128647528 \h </w:instrText>
            </w:r>
            <w:r w:rsidR="00E53BAE">
              <w:rPr>
                <w:noProof/>
                <w:webHidden/>
              </w:rPr>
            </w:r>
            <w:r w:rsidR="00E53BAE">
              <w:rPr>
                <w:noProof/>
                <w:webHidden/>
              </w:rPr>
              <w:fldChar w:fldCharType="separate"/>
            </w:r>
            <w:r w:rsidR="00E53BAE">
              <w:rPr>
                <w:noProof/>
                <w:webHidden/>
              </w:rPr>
              <w:t>27</w:t>
            </w:r>
            <w:r w:rsidR="00E53BAE">
              <w:rPr>
                <w:noProof/>
                <w:webHidden/>
              </w:rPr>
              <w:fldChar w:fldCharType="end"/>
            </w:r>
          </w:hyperlink>
        </w:p>
        <w:p w14:paraId="1A4536C4" w14:textId="38D9C22A" w:rsidR="00E53BAE" w:rsidRDefault="00497775">
          <w:pPr>
            <w:pStyle w:val="TOC1"/>
            <w:tabs>
              <w:tab w:val="right" w:leader="dot" w:pos="9062"/>
            </w:tabs>
            <w:rPr>
              <w:rFonts w:asciiTheme="minorHAnsi" w:eastAsiaTheme="minorEastAsia" w:hAnsiTheme="minorHAnsi" w:cstheme="minorBidi"/>
              <w:noProof/>
              <w:lang w:eastAsia="en-GB"/>
            </w:rPr>
          </w:pPr>
          <w:hyperlink w:anchor="_Toc128647529" w:history="1">
            <w:r w:rsidR="00E53BAE" w:rsidRPr="0009798A">
              <w:rPr>
                <w:rStyle w:val="Hyperlink"/>
                <w:noProof/>
              </w:rPr>
              <w:t>Article 26 – Réadaptation</w:t>
            </w:r>
            <w:r w:rsidR="00E53BAE">
              <w:rPr>
                <w:noProof/>
                <w:webHidden/>
              </w:rPr>
              <w:tab/>
            </w:r>
            <w:r w:rsidR="00E53BAE">
              <w:rPr>
                <w:noProof/>
                <w:webHidden/>
              </w:rPr>
              <w:fldChar w:fldCharType="begin"/>
            </w:r>
            <w:r w:rsidR="00E53BAE">
              <w:rPr>
                <w:noProof/>
                <w:webHidden/>
              </w:rPr>
              <w:instrText xml:space="preserve"> PAGEREF _Toc128647529 \h </w:instrText>
            </w:r>
            <w:r w:rsidR="00E53BAE">
              <w:rPr>
                <w:noProof/>
                <w:webHidden/>
              </w:rPr>
            </w:r>
            <w:r w:rsidR="00E53BAE">
              <w:rPr>
                <w:noProof/>
                <w:webHidden/>
              </w:rPr>
              <w:fldChar w:fldCharType="separate"/>
            </w:r>
            <w:r w:rsidR="00E53BAE">
              <w:rPr>
                <w:noProof/>
                <w:webHidden/>
              </w:rPr>
              <w:t>28</w:t>
            </w:r>
            <w:r w:rsidR="00E53BAE">
              <w:rPr>
                <w:noProof/>
                <w:webHidden/>
              </w:rPr>
              <w:fldChar w:fldCharType="end"/>
            </w:r>
          </w:hyperlink>
        </w:p>
        <w:p w14:paraId="6C52AB22" w14:textId="1EC1C057" w:rsidR="00E53BAE" w:rsidRDefault="00497775">
          <w:pPr>
            <w:pStyle w:val="TOC1"/>
            <w:tabs>
              <w:tab w:val="right" w:leader="dot" w:pos="9062"/>
            </w:tabs>
            <w:rPr>
              <w:rFonts w:asciiTheme="minorHAnsi" w:eastAsiaTheme="minorEastAsia" w:hAnsiTheme="minorHAnsi" w:cstheme="minorBidi"/>
              <w:noProof/>
              <w:lang w:eastAsia="en-GB"/>
            </w:rPr>
          </w:pPr>
          <w:hyperlink w:anchor="_Toc128647530" w:history="1">
            <w:r w:rsidR="00E53BAE" w:rsidRPr="0009798A">
              <w:rPr>
                <w:rStyle w:val="Hyperlink"/>
                <w:noProof/>
              </w:rPr>
              <w:t>Article 27 – Travail et emploi</w:t>
            </w:r>
            <w:r w:rsidR="00E53BAE">
              <w:rPr>
                <w:noProof/>
                <w:webHidden/>
              </w:rPr>
              <w:tab/>
            </w:r>
            <w:r w:rsidR="00E53BAE">
              <w:rPr>
                <w:noProof/>
                <w:webHidden/>
              </w:rPr>
              <w:fldChar w:fldCharType="begin"/>
            </w:r>
            <w:r w:rsidR="00E53BAE">
              <w:rPr>
                <w:noProof/>
                <w:webHidden/>
              </w:rPr>
              <w:instrText xml:space="preserve"> PAGEREF _Toc128647530 \h </w:instrText>
            </w:r>
            <w:r w:rsidR="00E53BAE">
              <w:rPr>
                <w:noProof/>
                <w:webHidden/>
              </w:rPr>
            </w:r>
            <w:r w:rsidR="00E53BAE">
              <w:rPr>
                <w:noProof/>
                <w:webHidden/>
              </w:rPr>
              <w:fldChar w:fldCharType="separate"/>
            </w:r>
            <w:r w:rsidR="00E53BAE">
              <w:rPr>
                <w:noProof/>
                <w:webHidden/>
              </w:rPr>
              <w:t>28</w:t>
            </w:r>
            <w:r w:rsidR="00E53BAE">
              <w:rPr>
                <w:noProof/>
                <w:webHidden/>
              </w:rPr>
              <w:fldChar w:fldCharType="end"/>
            </w:r>
          </w:hyperlink>
        </w:p>
        <w:p w14:paraId="3A7C1E74" w14:textId="19670B70" w:rsidR="00E53BAE" w:rsidRDefault="00497775">
          <w:pPr>
            <w:pStyle w:val="TOC1"/>
            <w:tabs>
              <w:tab w:val="right" w:leader="dot" w:pos="9062"/>
            </w:tabs>
            <w:rPr>
              <w:rFonts w:asciiTheme="minorHAnsi" w:eastAsiaTheme="minorEastAsia" w:hAnsiTheme="minorHAnsi" w:cstheme="minorBidi"/>
              <w:noProof/>
              <w:lang w:eastAsia="en-GB"/>
            </w:rPr>
          </w:pPr>
          <w:hyperlink w:anchor="_Toc128647531" w:history="1">
            <w:r w:rsidR="00E53BAE" w:rsidRPr="0009798A">
              <w:rPr>
                <w:rStyle w:val="Hyperlink"/>
                <w:noProof/>
              </w:rPr>
              <w:t>Article 28 – Niveau de vie adéquat et protection sociale</w:t>
            </w:r>
            <w:r w:rsidR="00E53BAE">
              <w:rPr>
                <w:noProof/>
                <w:webHidden/>
              </w:rPr>
              <w:tab/>
            </w:r>
            <w:r w:rsidR="00E53BAE">
              <w:rPr>
                <w:noProof/>
                <w:webHidden/>
              </w:rPr>
              <w:fldChar w:fldCharType="begin"/>
            </w:r>
            <w:r w:rsidR="00E53BAE">
              <w:rPr>
                <w:noProof/>
                <w:webHidden/>
              </w:rPr>
              <w:instrText xml:space="preserve"> PAGEREF _Toc128647531 \h </w:instrText>
            </w:r>
            <w:r w:rsidR="00E53BAE">
              <w:rPr>
                <w:noProof/>
                <w:webHidden/>
              </w:rPr>
            </w:r>
            <w:r w:rsidR="00E53BAE">
              <w:rPr>
                <w:noProof/>
                <w:webHidden/>
              </w:rPr>
              <w:fldChar w:fldCharType="separate"/>
            </w:r>
            <w:r w:rsidR="00E53BAE">
              <w:rPr>
                <w:noProof/>
                <w:webHidden/>
              </w:rPr>
              <w:t>29</w:t>
            </w:r>
            <w:r w:rsidR="00E53BAE">
              <w:rPr>
                <w:noProof/>
                <w:webHidden/>
              </w:rPr>
              <w:fldChar w:fldCharType="end"/>
            </w:r>
          </w:hyperlink>
        </w:p>
        <w:p w14:paraId="46A91F95" w14:textId="75E17E20" w:rsidR="00E53BAE" w:rsidRDefault="00497775">
          <w:pPr>
            <w:pStyle w:val="TOC1"/>
            <w:tabs>
              <w:tab w:val="right" w:leader="dot" w:pos="9062"/>
            </w:tabs>
            <w:rPr>
              <w:rFonts w:asciiTheme="minorHAnsi" w:eastAsiaTheme="minorEastAsia" w:hAnsiTheme="minorHAnsi" w:cstheme="minorBidi"/>
              <w:noProof/>
              <w:lang w:eastAsia="en-GB"/>
            </w:rPr>
          </w:pPr>
          <w:hyperlink w:anchor="_Toc128647532" w:history="1">
            <w:r w:rsidR="00E53BAE" w:rsidRPr="0009798A">
              <w:rPr>
                <w:rStyle w:val="Hyperlink"/>
                <w:noProof/>
              </w:rPr>
              <w:t>Article 29 – Participation à la vie politique et à la vie publique</w:t>
            </w:r>
            <w:r w:rsidR="00E53BAE">
              <w:rPr>
                <w:noProof/>
                <w:webHidden/>
              </w:rPr>
              <w:tab/>
            </w:r>
            <w:r w:rsidR="00E53BAE">
              <w:rPr>
                <w:noProof/>
                <w:webHidden/>
              </w:rPr>
              <w:fldChar w:fldCharType="begin"/>
            </w:r>
            <w:r w:rsidR="00E53BAE">
              <w:rPr>
                <w:noProof/>
                <w:webHidden/>
              </w:rPr>
              <w:instrText xml:space="preserve"> PAGEREF _Toc128647532 \h </w:instrText>
            </w:r>
            <w:r w:rsidR="00E53BAE">
              <w:rPr>
                <w:noProof/>
                <w:webHidden/>
              </w:rPr>
            </w:r>
            <w:r w:rsidR="00E53BAE">
              <w:rPr>
                <w:noProof/>
                <w:webHidden/>
              </w:rPr>
              <w:fldChar w:fldCharType="separate"/>
            </w:r>
            <w:r w:rsidR="00E53BAE">
              <w:rPr>
                <w:noProof/>
                <w:webHidden/>
              </w:rPr>
              <w:t>30</w:t>
            </w:r>
            <w:r w:rsidR="00E53BAE">
              <w:rPr>
                <w:noProof/>
                <w:webHidden/>
              </w:rPr>
              <w:fldChar w:fldCharType="end"/>
            </w:r>
          </w:hyperlink>
        </w:p>
        <w:p w14:paraId="612D6FFE" w14:textId="10A52379" w:rsidR="00E53BAE" w:rsidRDefault="00497775">
          <w:pPr>
            <w:pStyle w:val="TOC1"/>
            <w:tabs>
              <w:tab w:val="right" w:leader="dot" w:pos="9062"/>
            </w:tabs>
            <w:rPr>
              <w:rFonts w:asciiTheme="minorHAnsi" w:eastAsiaTheme="minorEastAsia" w:hAnsiTheme="minorHAnsi" w:cstheme="minorBidi"/>
              <w:noProof/>
              <w:lang w:eastAsia="en-GB"/>
            </w:rPr>
          </w:pPr>
          <w:hyperlink w:anchor="_Toc128647533" w:history="1">
            <w:r w:rsidR="00E53BAE" w:rsidRPr="0009798A">
              <w:rPr>
                <w:rStyle w:val="Hyperlink"/>
                <w:noProof/>
              </w:rPr>
              <w:t>Article 30 – Participation à la vie culturelle, récréative, aux loisirs et aux sports</w:t>
            </w:r>
            <w:r w:rsidR="00E53BAE">
              <w:rPr>
                <w:noProof/>
                <w:webHidden/>
              </w:rPr>
              <w:tab/>
            </w:r>
            <w:r w:rsidR="00E53BAE">
              <w:rPr>
                <w:noProof/>
                <w:webHidden/>
              </w:rPr>
              <w:fldChar w:fldCharType="begin"/>
            </w:r>
            <w:r w:rsidR="00E53BAE">
              <w:rPr>
                <w:noProof/>
                <w:webHidden/>
              </w:rPr>
              <w:instrText xml:space="preserve"> PAGEREF _Toc128647533 \h </w:instrText>
            </w:r>
            <w:r w:rsidR="00E53BAE">
              <w:rPr>
                <w:noProof/>
                <w:webHidden/>
              </w:rPr>
            </w:r>
            <w:r w:rsidR="00E53BAE">
              <w:rPr>
                <w:noProof/>
                <w:webHidden/>
              </w:rPr>
              <w:fldChar w:fldCharType="separate"/>
            </w:r>
            <w:r w:rsidR="00E53BAE">
              <w:rPr>
                <w:noProof/>
                <w:webHidden/>
              </w:rPr>
              <w:t>30</w:t>
            </w:r>
            <w:r w:rsidR="00E53BAE">
              <w:rPr>
                <w:noProof/>
                <w:webHidden/>
              </w:rPr>
              <w:fldChar w:fldCharType="end"/>
            </w:r>
          </w:hyperlink>
        </w:p>
        <w:p w14:paraId="272E4D73" w14:textId="3064BE66" w:rsidR="00E53BAE" w:rsidRDefault="00497775">
          <w:pPr>
            <w:pStyle w:val="TOC1"/>
            <w:tabs>
              <w:tab w:val="right" w:leader="dot" w:pos="9062"/>
            </w:tabs>
            <w:rPr>
              <w:rFonts w:asciiTheme="minorHAnsi" w:eastAsiaTheme="minorEastAsia" w:hAnsiTheme="minorHAnsi" w:cstheme="minorBidi"/>
              <w:noProof/>
              <w:lang w:eastAsia="en-GB"/>
            </w:rPr>
          </w:pPr>
          <w:hyperlink w:anchor="_Toc128647534" w:history="1">
            <w:r w:rsidR="00E53BAE" w:rsidRPr="0009798A">
              <w:rPr>
                <w:rStyle w:val="Hyperlink"/>
                <w:noProof/>
              </w:rPr>
              <w:t>3.4 Autres articles généraux (31 à 33)</w:t>
            </w:r>
            <w:r w:rsidR="00E53BAE">
              <w:rPr>
                <w:noProof/>
                <w:webHidden/>
              </w:rPr>
              <w:tab/>
            </w:r>
            <w:r w:rsidR="00E53BAE">
              <w:rPr>
                <w:noProof/>
                <w:webHidden/>
              </w:rPr>
              <w:fldChar w:fldCharType="begin"/>
            </w:r>
            <w:r w:rsidR="00E53BAE">
              <w:rPr>
                <w:noProof/>
                <w:webHidden/>
              </w:rPr>
              <w:instrText xml:space="preserve"> PAGEREF _Toc128647534 \h </w:instrText>
            </w:r>
            <w:r w:rsidR="00E53BAE">
              <w:rPr>
                <w:noProof/>
                <w:webHidden/>
              </w:rPr>
            </w:r>
            <w:r w:rsidR="00E53BAE">
              <w:rPr>
                <w:noProof/>
                <w:webHidden/>
              </w:rPr>
              <w:fldChar w:fldCharType="separate"/>
            </w:r>
            <w:r w:rsidR="00E53BAE">
              <w:rPr>
                <w:noProof/>
                <w:webHidden/>
              </w:rPr>
              <w:t>30</w:t>
            </w:r>
            <w:r w:rsidR="00E53BAE">
              <w:rPr>
                <w:noProof/>
                <w:webHidden/>
              </w:rPr>
              <w:fldChar w:fldCharType="end"/>
            </w:r>
          </w:hyperlink>
        </w:p>
        <w:p w14:paraId="365DF704" w14:textId="701C4D7E" w:rsidR="00E53BAE" w:rsidRDefault="00497775">
          <w:pPr>
            <w:pStyle w:val="TOC1"/>
            <w:tabs>
              <w:tab w:val="right" w:leader="dot" w:pos="9062"/>
            </w:tabs>
            <w:rPr>
              <w:rFonts w:asciiTheme="minorHAnsi" w:eastAsiaTheme="minorEastAsia" w:hAnsiTheme="minorHAnsi" w:cstheme="minorBidi"/>
              <w:noProof/>
              <w:lang w:eastAsia="en-GB"/>
            </w:rPr>
          </w:pPr>
          <w:hyperlink w:anchor="_Toc128647535" w:history="1">
            <w:r w:rsidR="00E53BAE" w:rsidRPr="0009798A">
              <w:rPr>
                <w:rStyle w:val="Hyperlink"/>
                <w:noProof/>
              </w:rPr>
              <w:t>Article 31 : Statistiques et collecte des données</w:t>
            </w:r>
            <w:r w:rsidR="00E53BAE">
              <w:rPr>
                <w:noProof/>
                <w:webHidden/>
              </w:rPr>
              <w:tab/>
            </w:r>
            <w:r w:rsidR="00E53BAE">
              <w:rPr>
                <w:noProof/>
                <w:webHidden/>
              </w:rPr>
              <w:fldChar w:fldCharType="begin"/>
            </w:r>
            <w:r w:rsidR="00E53BAE">
              <w:rPr>
                <w:noProof/>
                <w:webHidden/>
              </w:rPr>
              <w:instrText xml:space="preserve"> PAGEREF _Toc128647535 \h </w:instrText>
            </w:r>
            <w:r w:rsidR="00E53BAE">
              <w:rPr>
                <w:noProof/>
                <w:webHidden/>
              </w:rPr>
            </w:r>
            <w:r w:rsidR="00E53BAE">
              <w:rPr>
                <w:noProof/>
                <w:webHidden/>
              </w:rPr>
              <w:fldChar w:fldCharType="separate"/>
            </w:r>
            <w:r w:rsidR="00E53BAE">
              <w:rPr>
                <w:noProof/>
                <w:webHidden/>
              </w:rPr>
              <w:t>30</w:t>
            </w:r>
            <w:r w:rsidR="00E53BAE">
              <w:rPr>
                <w:noProof/>
                <w:webHidden/>
              </w:rPr>
              <w:fldChar w:fldCharType="end"/>
            </w:r>
          </w:hyperlink>
        </w:p>
        <w:p w14:paraId="4DDA1DCF" w14:textId="2DCB4321" w:rsidR="00E53BAE" w:rsidRDefault="00497775">
          <w:pPr>
            <w:pStyle w:val="TOC1"/>
            <w:tabs>
              <w:tab w:val="right" w:leader="dot" w:pos="9062"/>
            </w:tabs>
            <w:rPr>
              <w:rFonts w:asciiTheme="minorHAnsi" w:eastAsiaTheme="minorEastAsia" w:hAnsiTheme="minorHAnsi" w:cstheme="minorBidi"/>
              <w:noProof/>
              <w:lang w:eastAsia="en-GB"/>
            </w:rPr>
          </w:pPr>
          <w:hyperlink w:anchor="_Toc128647536" w:history="1">
            <w:r w:rsidR="00E53BAE" w:rsidRPr="0009798A">
              <w:rPr>
                <w:rStyle w:val="Hyperlink"/>
                <w:noProof/>
              </w:rPr>
              <w:t>Article 32 : Coopération internationale</w:t>
            </w:r>
            <w:r w:rsidR="00E53BAE">
              <w:rPr>
                <w:noProof/>
                <w:webHidden/>
              </w:rPr>
              <w:tab/>
            </w:r>
            <w:r w:rsidR="00E53BAE">
              <w:rPr>
                <w:noProof/>
                <w:webHidden/>
              </w:rPr>
              <w:fldChar w:fldCharType="begin"/>
            </w:r>
            <w:r w:rsidR="00E53BAE">
              <w:rPr>
                <w:noProof/>
                <w:webHidden/>
              </w:rPr>
              <w:instrText xml:space="preserve"> PAGEREF _Toc128647536 \h </w:instrText>
            </w:r>
            <w:r w:rsidR="00E53BAE">
              <w:rPr>
                <w:noProof/>
                <w:webHidden/>
              </w:rPr>
            </w:r>
            <w:r w:rsidR="00E53BAE">
              <w:rPr>
                <w:noProof/>
                <w:webHidden/>
              </w:rPr>
              <w:fldChar w:fldCharType="separate"/>
            </w:r>
            <w:r w:rsidR="00E53BAE">
              <w:rPr>
                <w:noProof/>
                <w:webHidden/>
              </w:rPr>
              <w:t>31</w:t>
            </w:r>
            <w:r w:rsidR="00E53BAE">
              <w:rPr>
                <w:noProof/>
                <w:webHidden/>
              </w:rPr>
              <w:fldChar w:fldCharType="end"/>
            </w:r>
          </w:hyperlink>
        </w:p>
        <w:p w14:paraId="43B6615F" w14:textId="34463AC5" w:rsidR="00E53BAE" w:rsidRDefault="00497775">
          <w:pPr>
            <w:pStyle w:val="TOC1"/>
            <w:tabs>
              <w:tab w:val="right" w:leader="dot" w:pos="9062"/>
            </w:tabs>
            <w:rPr>
              <w:rFonts w:asciiTheme="minorHAnsi" w:eastAsiaTheme="minorEastAsia" w:hAnsiTheme="minorHAnsi" w:cstheme="minorBidi"/>
              <w:noProof/>
              <w:lang w:eastAsia="en-GB"/>
            </w:rPr>
          </w:pPr>
          <w:hyperlink w:anchor="_Toc128647537" w:history="1">
            <w:r w:rsidR="00E53BAE" w:rsidRPr="0009798A">
              <w:rPr>
                <w:rStyle w:val="Hyperlink"/>
                <w:noProof/>
              </w:rPr>
              <w:t>Article 33 : Application et suivi au niveau national</w:t>
            </w:r>
            <w:r w:rsidR="00E53BAE">
              <w:rPr>
                <w:noProof/>
                <w:webHidden/>
              </w:rPr>
              <w:tab/>
            </w:r>
            <w:r w:rsidR="00E53BAE">
              <w:rPr>
                <w:noProof/>
                <w:webHidden/>
              </w:rPr>
              <w:fldChar w:fldCharType="begin"/>
            </w:r>
            <w:r w:rsidR="00E53BAE">
              <w:rPr>
                <w:noProof/>
                <w:webHidden/>
              </w:rPr>
              <w:instrText xml:space="preserve"> PAGEREF _Toc128647537 \h </w:instrText>
            </w:r>
            <w:r w:rsidR="00E53BAE">
              <w:rPr>
                <w:noProof/>
                <w:webHidden/>
              </w:rPr>
            </w:r>
            <w:r w:rsidR="00E53BAE">
              <w:rPr>
                <w:noProof/>
                <w:webHidden/>
              </w:rPr>
              <w:fldChar w:fldCharType="separate"/>
            </w:r>
            <w:r w:rsidR="00E53BAE">
              <w:rPr>
                <w:noProof/>
                <w:webHidden/>
              </w:rPr>
              <w:t>31</w:t>
            </w:r>
            <w:r w:rsidR="00E53BAE">
              <w:rPr>
                <w:noProof/>
                <w:webHidden/>
              </w:rPr>
              <w:fldChar w:fldCharType="end"/>
            </w:r>
          </w:hyperlink>
        </w:p>
        <w:p w14:paraId="1B3E5B88" w14:textId="46C244D1" w:rsidR="001260B3" w:rsidRPr="00C13E06" w:rsidRDefault="001260B3">
          <w:r w:rsidRPr="00C13E06">
            <w:rPr>
              <w:b/>
              <w:bCs/>
            </w:rPr>
            <w:fldChar w:fldCharType="end"/>
          </w:r>
        </w:p>
      </w:sdtContent>
    </w:sdt>
    <w:p w14:paraId="33EB34A5" w14:textId="77777777" w:rsidR="007C7A6C" w:rsidRPr="00C13E06" w:rsidRDefault="007C7A6C" w:rsidP="007C7A6C">
      <w:pPr>
        <w:pStyle w:val="Heading1"/>
        <w:rPr>
          <w:rStyle w:val="IntenseEmphasis"/>
          <w:rFonts w:ascii="Times New Roman" w:hAnsi="Times New Roman"/>
          <w:b/>
          <w:bCs/>
          <w:i w:val="0"/>
          <w:iCs w:val="0"/>
          <w:sz w:val="24"/>
          <w:szCs w:val="24"/>
        </w:rPr>
      </w:pPr>
    </w:p>
    <w:p w14:paraId="3E741F32" w14:textId="77777777" w:rsidR="007C7A6C" w:rsidRPr="00C13E06" w:rsidRDefault="007C7A6C" w:rsidP="007C7A6C">
      <w:pPr>
        <w:pStyle w:val="Heading1"/>
        <w:rPr>
          <w:rStyle w:val="IntenseEmphasis"/>
          <w:rFonts w:ascii="Times New Roman" w:hAnsi="Times New Roman"/>
          <w:sz w:val="24"/>
          <w:szCs w:val="24"/>
        </w:rPr>
      </w:pPr>
    </w:p>
    <w:p w14:paraId="588829F4" w14:textId="77777777" w:rsidR="007C7A6C" w:rsidRPr="00C13E06" w:rsidRDefault="007C7A6C" w:rsidP="007C7A6C">
      <w:pPr>
        <w:pStyle w:val="Heading1"/>
        <w:rPr>
          <w:rStyle w:val="IntenseEmphasis"/>
          <w:rFonts w:ascii="Times New Roman" w:hAnsi="Times New Roman"/>
          <w:sz w:val="24"/>
          <w:szCs w:val="24"/>
        </w:rPr>
      </w:pPr>
    </w:p>
    <w:p w14:paraId="71F073DF" w14:textId="77777777" w:rsidR="007C7A6C" w:rsidRPr="00C13E06" w:rsidRDefault="007C7A6C" w:rsidP="007C7A6C">
      <w:pPr>
        <w:pStyle w:val="Heading1"/>
        <w:rPr>
          <w:rStyle w:val="IntenseEmphasis"/>
          <w:rFonts w:ascii="Times New Roman" w:hAnsi="Times New Roman"/>
          <w:sz w:val="24"/>
          <w:szCs w:val="24"/>
        </w:rPr>
      </w:pPr>
    </w:p>
    <w:p w14:paraId="23326003" w14:textId="61C43E1D" w:rsidR="007C7A6C" w:rsidRPr="00C13E06" w:rsidRDefault="007C7A6C" w:rsidP="007C7A6C">
      <w:pPr>
        <w:pStyle w:val="Heading1"/>
        <w:rPr>
          <w:rStyle w:val="IntenseEmphasis"/>
          <w:rFonts w:ascii="Times New Roman" w:hAnsi="Times New Roman"/>
          <w:sz w:val="24"/>
          <w:szCs w:val="24"/>
        </w:rPr>
      </w:pPr>
    </w:p>
    <w:p w14:paraId="408FC4E3" w14:textId="77777777" w:rsidR="00422492" w:rsidRPr="00C13E06" w:rsidRDefault="00422492" w:rsidP="00422492">
      <w:pPr>
        <w:rPr>
          <w:lang w:val="x-none" w:eastAsia="x-none"/>
        </w:rPr>
      </w:pPr>
    </w:p>
    <w:p w14:paraId="72CA797A" w14:textId="7808021A" w:rsidR="009D4A03" w:rsidRPr="00C13E06" w:rsidRDefault="009D4A03" w:rsidP="009D4A03">
      <w:pPr>
        <w:rPr>
          <w:lang w:val="x-none" w:eastAsia="x-none"/>
        </w:rPr>
      </w:pPr>
    </w:p>
    <w:p w14:paraId="66459C0D" w14:textId="0F0621AB" w:rsidR="00DC5BA3" w:rsidRPr="00C13E06" w:rsidRDefault="00DC5BA3" w:rsidP="009D4A03">
      <w:pPr>
        <w:rPr>
          <w:lang w:val="x-none" w:eastAsia="x-none"/>
        </w:rPr>
      </w:pPr>
    </w:p>
    <w:p w14:paraId="79465ADC" w14:textId="4540B6FD" w:rsidR="00DC5BA3" w:rsidRDefault="00DC5BA3" w:rsidP="009D4A03">
      <w:pPr>
        <w:rPr>
          <w:lang w:val="x-none" w:eastAsia="x-none"/>
        </w:rPr>
      </w:pPr>
    </w:p>
    <w:p w14:paraId="5EB8D8FB" w14:textId="407C4CEB" w:rsidR="00AC4DA1" w:rsidRDefault="00AC4DA1" w:rsidP="009D4A03">
      <w:pPr>
        <w:rPr>
          <w:lang w:val="x-none" w:eastAsia="x-none"/>
        </w:rPr>
      </w:pPr>
    </w:p>
    <w:p w14:paraId="7B9FAB42" w14:textId="377A05A7" w:rsidR="00E318A6" w:rsidRDefault="00E318A6" w:rsidP="009D4A03">
      <w:pPr>
        <w:rPr>
          <w:lang w:val="x-none" w:eastAsia="x-none"/>
        </w:rPr>
      </w:pPr>
    </w:p>
    <w:p w14:paraId="5F37A91D" w14:textId="755FA861" w:rsidR="00E318A6" w:rsidRDefault="00E318A6" w:rsidP="009D4A03">
      <w:pPr>
        <w:rPr>
          <w:lang w:val="x-none" w:eastAsia="x-none"/>
        </w:rPr>
      </w:pPr>
    </w:p>
    <w:p w14:paraId="71CB9230" w14:textId="29B42C82" w:rsidR="00E318A6" w:rsidRDefault="00E318A6" w:rsidP="009D4A03">
      <w:pPr>
        <w:rPr>
          <w:lang w:val="x-none" w:eastAsia="x-none"/>
        </w:rPr>
      </w:pPr>
    </w:p>
    <w:p w14:paraId="001C2E74" w14:textId="542EC698" w:rsidR="00E318A6" w:rsidRDefault="00E318A6" w:rsidP="009D4A03">
      <w:pPr>
        <w:rPr>
          <w:lang w:val="x-none" w:eastAsia="x-none"/>
        </w:rPr>
      </w:pPr>
    </w:p>
    <w:p w14:paraId="2185A6BD" w14:textId="1F5A69A5" w:rsidR="00E318A6" w:rsidRDefault="00E318A6" w:rsidP="009D4A03">
      <w:pPr>
        <w:rPr>
          <w:lang w:val="x-none" w:eastAsia="x-none"/>
        </w:rPr>
      </w:pPr>
    </w:p>
    <w:p w14:paraId="6A938F45" w14:textId="39EC29FA" w:rsidR="00E318A6" w:rsidRDefault="00E318A6" w:rsidP="009D4A03">
      <w:pPr>
        <w:rPr>
          <w:lang w:val="x-none" w:eastAsia="x-none"/>
        </w:rPr>
      </w:pPr>
    </w:p>
    <w:p w14:paraId="3413227B" w14:textId="5D1E872C" w:rsidR="00E318A6" w:rsidRDefault="00E318A6" w:rsidP="009D4A03">
      <w:pPr>
        <w:rPr>
          <w:lang w:val="x-none" w:eastAsia="x-none"/>
        </w:rPr>
      </w:pPr>
    </w:p>
    <w:p w14:paraId="77348F8D" w14:textId="77777777" w:rsidR="00E318A6" w:rsidRDefault="00E318A6" w:rsidP="009D4A03">
      <w:pPr>
        <w:rPr>
          <w:lang w:val="x-none" w:eastAsia="x-none"/>
        </w:rPr>
      </w:pPr>
    </w:p>
    <w:p w14:paraId="7BBA276A" w14:textId="77777777" w:rsidR="00AC4DA1" w:rsidRPr="00C13E06" w:rsidRDefault="00AC4DA1" w:rsidP="009D4A03">
      <w:pPr>
        <w:rPr>
          <w:lang w:val="x-none" w:eastAsia="x-none"/>
        </w:rPr>
      </w:pPr>
    </w:p>
    <w:p w14:paraId="5565EF38" w14:textId="7C081270" w:rsidR="00497775" w:rsidRDefault="00497775">
      <w:pPr>
        <w:spacing w:after="160" w:line="259" w:lineRule="auto"/>
        <w:rPr>
          <w:lang w:val="x-none" w:eastAsia="x-none"/>
        </w:rPr>
      </w:pPr>
      <w:r>
        <w:rPr>
          <w:lang w:val="x-none" w:eastAsia="x-none"/>
        </w:rPr>
        <w:br w:type="page"/>
      </w:r>
    </w:p>
    <w:p w14:paraId="5CB84D0B" w14:textId="77777777" w:rsidR="00DC5BA3" w:rsidRPr="00C13E06" w:rsidRDefault="00DC5BA3" w:rsidP="009D4A03">
      <w:pPr>
        <w:rPr>
          <w:lang w:val="x-none" w:eastAsia="x-none"/>
        </w:rPr>
      </w:pPr>
    </w:p>
    <w:p w14:paraId="571AA4E8" w14:textId="731D1DD3" w:rsidR="007C7A6C" w:rsidRPr="00C13E06" w:rsidRDefault="007C7A6C" w:rsidP="007251C6">
      <w:pPr>
        <w:pStyle w:val="Heading1"/>
        <w:rPr>
          <w:rStyle w:val="IntenseEmphasis"/>
          <w:rFonts w:ascii="Times New Roman" w:hAnsi="Times New Roman"/>
          <w:b/>
          <w:bCs/>
          <w:i w:val="0"/>
          <w:iCs w:val="0"/>
          <w:color w:val="auto"/>
          <w:sz w:val="24"/>
          <w:szCs w:val="24"/>
        </w:rPr>
      </w:pPr>
      <w:bookmarkStart w:id="4" w:name="_Toc128647488"/>
      <w:r w:rsidRPr="00C13E06">
        <w:rPr>
          <w:rStyle w:val="IntenseEmphasis"/>
          <w:rFonts w:ascii="Times New Roman" w:hAnsi="Times New Roman"/>
          <w:b/>
          <w:bCs/>
          <w:i w:val="0"/>
          <w:iCs w:val="0"/>
          <w:color w:val="auto"/>
          <w:sz w:val="24"/>
          <w:szCs w:val="24"/>
        </w:rPr>
        <w:t>REMERCIEMENTS</w:t>
      </w:r>
      <w:bookmarkEnd w:id="4"/>
      <w:bookmarkEnd w:id="2"/>
      <w:bookmarkEnd w:id="1"/>
      <w:bookmarkEnd w:id="0"/>
      <w:r w:rsidRPr="00C13E06">
        <w:rPr>
          <w:rStyle w:val="IntenseEmphasis"/>
          <w:rFonts w:ascii="Times New Roman" w:hAnsi="Times New Roman"/>
          <w:b/>
          <w:bCs/>
          <w:i w:val="0"/>
          <w:iCs w:val="0"/>
          <w:color w:val="auto"/>
          <w:sz w:val="24"/>
          <w:szCs w:val="24"/>
        </w:rPr>
        <w:tab/>
      </w:r>
      <w:r w:rsidRPr="00C13E06">
        <w:rPr>
          <w:rStyle w:val="IntenseEmphasis"/>
          <w:rFonts w:ascii="Times New Roman" w:hAnsi="Times New Roman"/>
          <w:b/>
          <w:bCs/>
          <w:i w:val="0"/>
          <w:iCs w:val="0"/>
          <w:color w:val="auto"/>
          <w:sz w:val="24"/>
          <w:szCs w:val="24"/>
        </w:rPr>
        <w:tab/>
      </w:r>
    </w:p>
    <w:p w14:paraId="32802267" w14:textId="77777777" w:rsidR="007C7A6C" w:rsidRPr="00C13E06" w:rsidRDefault="007C7A6C" w:rsidP="007C7A6C">
      <w:pPr>
        <w:rPr>
          <w:lang w:val="x-none" w:eastAsia="x-none"/>
        </w:rPr>
      </w:pPr>
    </w:p>
    <w:p w14:paraId="34354F32" w14:textId="75AF4D66" w:rsidR="007C7A6C" w:rsidRPr="00AC4DA1" w:rsidRDefault="00DC5BA3" w:rsidP="007C7A6C">
      <w:pPr>
        <w:spacing w:afterLines="120" w:after="288" w:line="360" w:lineRule="auto"/>
        <w:jc w:val="both"/>
        <w:rPr>
          <w:bCs/>
          <w:strike/>
          <w:sz w:val="22"/>
          <w:szCs w:val="22"/>
        </w:rPr>
      </w:pPr>
      <w:bookmarkStart w:id="5" w:name="_GoBack"/>
      <w:r w:rsidRPr="00AC4DA1">
        <w:rPr>
          <w:bCs/>
          <w:sz w:val="22"/>
          <w:szCs w:val="22"/>
        </w:rPr>
        <w:t>La Fédération Malienne des Associations de Personnes Handicapées (FEMAPH)</w:t>
      </w:r>
      <w:bookmarkEnd w:id="5"/>
      <w:r w:rsidRPr="00AC4DA1">
        <w:rPr>
          <w:bCs/>
          <w:sz w:val="22"/>
          <w:szCs w:val="22"/>
        </w:rPr>
        <w:t xml:space="preserve"> tient</w:t>
      </w:r>
      <w:r w:rsidR="007C7A6C" w:rsidRPr="00AC4DA1">
        <w:rPr>
          <w:bCs/>
          <w:sz w:val="22"/>
          <w:szCs w:val="22"/>
        </w:rPr>
        <w:t xml:space="preserve"> à souligner la contribution et le rôle </w:t>
      </w:r>
      <w:r w:rsidR="00AC30E0" w:rsidRPr="00AC4DA1">
        <w:rPr>
          <w:bCs/>
          <w:sz w:val="22"/>
          <w:szCs w:val="22"/>
        </w:rPr>
        <w:t xml:space="preserve">déterminant </w:t>
      </w:r>
      <w:r w:rsidR="007C7A6C" w:rsidRPr="00AC4DA1">
        <w:rPr>
          <w:bCs/>
          <w:sz w:val="22"/>
          <w:szCs w:val="22"/>
        </w:rPr>
        <w:t xml:space="preserve">joué par </w:t>
      </w:r>
      <w:r w:rsidR="005B3FEB" w:rsidRPr="00AC4DA1">
        <w:rPr>
          <w:bCs/>
          <w:sz w:val="22"/>
          <w:szCs w:val="22"/>
        </w:rPr>
        <w:t>s</w:t>
      </w:r>
      <w:r w:rsidR="007C7A6C" w:rsidRPr="00AC4DA1">
        <w:rPr>
          <w:bCs/>
          <w:sz w:val="22"/>
          <w:szCs w:val="22"/>
        </w:rPr>
        <w:t>es organisations de personnes handicapées (OPH)</w:t>
      </w:r>
      <w:r w:rsidR="00103021" w:rsidRPr="00AC4DA1">
        <w:rPr>
          <w:bCs/>
          <w:sz w:val="22"/>
          <w:szCs w:val="22"/>
        </w:rPr>
        <w:t xml:space="preserve">, </w:t>
      </w:r>
      <w:r w:rsidR="009D7404" w:rsidRPr="00AC4DA1">
        <w:rPr>
          <w:bCs/>
          <w:sz w:val="22"/>
          <w:szCs w:val="22"/>
        </w:rPr>
        <w:t xml:space="preserve"> </w:t>
      </w:r>
      <w:r w:rsidR="00AC30E0" w:rsidRPr="00AC4DA1">
        <w:rPr>
          <w:bCs/>
          <w:sz w:val="22"/>
          <w:szCs w:val="22"/>
        </w:rPr>
        <w:t xml:space="preserve">les anciens Présidents, l’actuelle Présidente </w:t>
      </w:r>
      <w:r w:rsidR="008D73C2" w:rsidRPr="00AC4DA1">
        <w:rPr>
          <w:bCs/>
          <w:sz w:val="22"/>
          <w:szCs w:val="22"/>
        </w:rPr>
        <w:t>dans le processus de plaidoyer pour la ratification de la CIDPH, la mise en place de la Loi 2018-027 du 12 juin 2018 relative aux droits des personnes vivant avec un handicap, de son Décret d’application N°</w:t>
      </w:r>
      <w:r w:rsidR="00AC30E0" w:rsidRPr="00AC4DA1">
        <w:rPr>
          <w:bCs/>
          <w:sz w:val="22"/>
          <w:szCs w:val="22"/>
        </w:rPr>
        <w:t xml:space="preserve">2021-0662/PT/RM </w:t>
      </w:r>
      <w:r w:rsidR="00922DD7" w:rsidRPr="00AC4DA1">
        <w:rPr>
          <w:bCs/>
          <w:sz w:val="22"/>
          <w:szCs w:val="22"/>
        </w:rPr>
        <w:t>d</w:t>
      </w:r>
      <w:r w:rsidR="00AC30E0" w:rsidRPr="00AC4DA1">
        <w:rPr>
          <w:bCs/>
          <w:sz w:val="22"/>
          <w:szCs w:val="22"/>
        </w:rPr>
        <w:t xml:space="preserve">u 23 </w:t>
      </w:r>
      <w:r w:rsidR="00922DD7" w:rsidRPr="00AC4DA1">
        <w:rPr>
          <w:bCs/>
          <w:sz w:val="22"/>
          <w:szCs w:val="22"/>
        </w:rPr>
        <w:t>S</w:t>
      </w:r>
      <w:r w:rsidR="00AC30E0" w:rsidRPr="00AC4DA1">
        <w:rPr>
          <w:bCs/>
          <w:sz w:val="22"/>
          <w:szCs w:val="22"/>
        </w:rPr>
        <w:t xml:space="preserve">eptembre 2021 </w:t>
      </w:r>
      <w:r w:rsidR="008D73C2" w:rsidRPr="00AC4DA1">
        <w:rPr>
          <w:bCs/>
          <w:sz w:val="22"/>
          <w:szCs w:val="22"/>
        </w:rPr>
        <w:t>dans le processus d’élaboration du présent rapport</w:t>
      </w:r>
      <w:r w:rsidR="007C7A6C" w:rsidRPr="00AC4DA1">
        <w:rPr>
          <w:bCs/>
          <w:sz w:val="22"/>
          <w:szCs w:val="22"/>
        </w:rPr>
        <w:t xml:space="preserve">. </w:t>
      </w:r>
    </w:p>
    <w:p w14:paraId="3EF28EBE" w14:textId="5FA48CA2" w:rsidR="009E190F" w:rsidRPr="00AC4DA1" w:rsidRDefault="005B3FEB" w:rsidP="00103021">
      <w:pPr>
        <w:spacing w:afterLines="120" w:after="288" w:line="360" w:lineRule="auto"/>
        <w:jc w:val="both"/>
        <w:rPr>
          <w:bCs/>
          <w:sz w:val="22"/>
          <w:szCs w:val="22"/>
        </w:rPr>
      </w:pPr>
      <w:r w:rsidRPr="00AC4DA1">
        <w:rPr>
          <w:bCs/>
          <w:sz w:val="22"/>
          <w:szCs w:val="22"/>
        </w:rPr>
        <w:t xml:space="preserve">La FEMAPH </w:t>
      </w:r>
      <w:r w:rsidR="008D73C2" w:rsidRPr="00AC4DA1">
        <w:rPr>
          <w:bCs/>
          <w:sz w:val="22"/>
          <w:szCs w:val="22"/>
        </w:rPr>
        <w:t>remercie l’Etat Malien pour</w:t>
      </w:r>
      <w:r w:rsidR="0070477A" w:rsidRPr="00AC4DA1">
        <w:rPr>
          <w:bCs/>
          <w:sz w:val="22"/>
          <w:szCs w:val="22"/>
        </w:rPr>
        <w:t xml:space="preserve"> ratification </w:t>
      </w:r>
      <w:r w:rsidR="009E190F" w:rsidRPr="00AC4DA1">
        <w:rPr>
          <w:bCs/>
          <w:sz w:val="22"/>
          <w:szCs w:val="22"/>
        </w:rPr>
        <w:t>de la CIDPH</w:t>
      </w:r>
      <w:r w:rsidR="0070477A" w:rsidRPr="00AC4DA1">
        <w:rPr>
          <w:bCs/>
          <w:sz w:val="22"/>
          <w:szCs w:val="22"/>
        </w:rPr>
        <w:t xml:space="preserve"> ainsi que </w:t>
      </w:r>
      <w:r w:rsidR="00066893" w:rsidRPr="00AC4DA1">
        <w:rPr>
          <w:bCs/>
          <w:sz w:val="22"/>
          <w:szCs w:val="22"/>
        </w:rPr>
        <w:t>son Protocole facultatif depuis 2008</w:t>
      </w:r>
      <w:r w:rsidR="0070477A" w:rsidRPr="00AC4DA1">
        <w:rPr>
          <w:bCs/>
          <w:sz w:val="22"/>
          <w:szCs w:val="22"/>
        </w:rPr>
        <w:t xml:space="preserve"> et</w:t>
      </w:r>
      <w:r w:rsidR="00922DD7" w:rsidRPr="00AC4DA1">
        <w:rPr>
          <w:bCs/>
          <w:sz w:val="22"/>
          <w:szCs w:val="22"/>
        </w:rPr>
        <w:t xml:space="preserve"> </w:t>
      </w:r>
      <w:r w:rsidR="0070477A" w:rsidRPr="00AC4DA1">
        <w:rPr>
          <w:bCs/>
          <w:sz w:val="22"/>
          <w:szCs w:val="22"/>
        </w:rPr>
        <w:t>l’adoption de</w:t>
      </w:r>
      <w:r w:rsidR="00922DD7" w:rsidRPr="00AC4DA1">
        <w:rPr>
          <w:bCs/>
          <w:sz w:val="22"/>
          <w:szCs w:val="22"/>
        </w:rPr>
        <w:t xml:space="preserve"> </w:t>
      </w:r>
      <w:r w:rsidR="00066893" w:rsidRPr="00AC4DA1">
        <w:rPr>
          <w:bCs/>
          <w:sz w:val="22"/>
          <w:szCs w:val="22"/>
        </w:rPr>
        <w:t>la Loi 2018-027 du 12 juin 2018 relative aux droits des personnes vivant avec un handicap</w:t>
      </w:r>
      <w:r w:rsidR="0070477A" w:rsidRPr="00AC4DA1">
        <w:rPr>
          <w:bCs/>
          <w:sz w:val="22"/>
          <w:szCs w:val="22"/>
        </w:rPr>
        <w:t xml:space="preserve"> et </w:t>
      </w:r>
      <w:r w:rsidR="00066893" w:rsidRPr="00AC4DA1">
        <w:rPr>
          <w:bCs/>
          <w:sz w:val="22"/>
          <w:szCs w:val="22"/>
        </w:rPr>
        <w:t>son Décret d’application</w:t>
      </w:r>
      <w:r w:rsidR="009E190F" w:rsidRPr="00AC4DA1">
        <w:rPr>
          <w:bCs/>
          <w:sz w:val="22"/>
          <w:szCs w:val="22"/>
        </w:rPr>
        <w:t>.</w:t>
      </w:r>
    </w:p>
    <w:p w14:paraId="2D95FCF5" w14:textId="4C911CB0" w:rsidR="007C7A6C" w:rsidRPr="00AC4DA1" w:rsidRDefault="005B3FEB" w:rsidP="00FF7B5E">
      <w:pPr>
        <w:spacing w:afterLines="120" w:after="288" w:line="360" w:lineRule="auto"/>
        <w:jc w:val="both"/>
        <w:rPr>
          <w:bCs/>
          <w:sz w:val="22"/>
          <w:szCs w:val="22"/>
        </w:rPr>
      </w:pPr>
      <w:r w:rsidRPr="00AC4DA1">
        <w:rPr>
          <w:bCs/>
          <w:sz w:val="22"/>
          <w:szCs w:val="22"/>
        </w:rPr>
        <w:t>La FEMAPH remercie</w:t>
      </w:r>
      <w:r w:rsidR="002923F5" w:rsidRPr="00AC4DA1">
        <w:rPr>
          <w:bCs/>
          <w:sz w:val="22"/>
          <w:szCs w:val="22"/>
        </w:rPr>
        <w:t xml:space="preserve"> tous les partenaires techniques et financiers notamment</w:t>
      </w:r>
      <w:r w:rsidRPr="00AC4DA1">
        <w:rPr>
          <w:bCs/>
          <w:sz w:val="22"/>
          <w:szCs w:val="22"/>
        </w:rPr>
        <w:t xml:space="preserve"> </w:t>
      </w:r>
      <w:r w:rsidR="007C7A6C" w:rsidRPr="00AC4DA1">
        <w:rPr>
          <w:bCs/>
          <w:sz w:val="22"/>
          <w:szCs w:val="22"/>
        </w:rPr>
        <w:t>l'International Disability Alliance (IDA)</w:t>
      </w:r>
      <w:r w:rsidR="00103021" w:rsidRPr="00AC4DA1">
        <w:rPr>
          <w:bCs/>
          <w:sz w:val="22"/>
          <w:szCs w:val="22"/>
        </w:rPr>
        <w:t xml:space="preserve">, Sight saver, Humanité &amp; Inclusion (HI), OXFAM Mali et National </w:t>
      </w:r>
      <w:r w:rsidR="00103021" w:rsidRPr="00AC4DA1">
        <w:rPr>
          <w:bCs/>
          <w:sz w:val="22"/>
          <w:szCs w:val="22"/>
        </w:rPr>
        <w:lastRenderedPageBreak/>
        <w:t xml:space="preserve">Democratic Institut (NDI) pour leur soutien </w:t>
      </w:r>
      <w:r w:rsidR="002923F5" w:rsidRPr="00AC4DA1">
        <w:rPr>
          <w:bCs/>
          <w:sz w:val="22"/>
          <w:szCs w:val="22"/>
        </w:rPr>
        <w:t>constant à</w:t>
      </w:r>
      <w:r w:rsidR="00321A6A" w:rsidRPr="00AC4DA1">
        <w:rPr>
          <w:bCs/>
          <w:sz w:val="22"/>
          <w:szCs w:val="22"/>
        </w:rPr>
        <w:t xml:space="preserve"> la promotion des droits des personnes handicapées au Mali.</w:t>
      </w:r>
    </w:p>
    <w:p w14:paraId="2379E09C" w14:textId="3FE11029" w:rsidR="002A4E7B" w:rsidRPr="00AC4DA1" w:rsidRDefault="002A4E7B" w:rsidP="002A4E7B">
      <w:pPr>
        <w:spacing w:afterLines="120" w:after="288" w:line="360" w:lineRule="auto"/>
        <w:jc w:val="both"/>
        <w:rPr>
          <w:bCs/>
          <w:sz w:val="22"/>
          <w:szCs w:val="22"/>
        </w:rPr>
      </w:pPr>
      <w:r w:rsidRPr="00AC4DA1">
        <w:rPr>
          <w:bCs/>
          <w:sz w:val="22"/>
          <w:szCs w:val="22"/>
        </w:rPr>
        <w:t xml:space="preserve">La FEMAPH remercie </w:t>
      </w:r>
      <w:r w:rsidR="002923F5" w:rsidRPr="00AC4DA1">
        <w:rPr>
          <w:bCs/>
          <w:sz w:val="22"/>
          <w:szCs w:val="22"/>
        </w:rPr>
        <w:t>enfin</w:t>
      </w:r>
      <w:r w:rsidR="00103021" w:rsidRPr="00AC4DA1">
        <w:rPr>
          <w:bCs/>
          <w:sz w:val="22"/>
          <w:szCs w:val="22"/>
        </w:rPr>
        <w:t xml:space="preserve"> </w:t>
      </w:r>
      <w:r w:rsidR="002923F5" w:rsidRPr="00AC4DA1">
        <w:rPr>
          <w:bCs/>
          <w:sz w:val="22"/>
          <w:szCs w:val="22"/>
        </w:rPr>
        <w:t xml:space="preserve">Madame </w:t>
      </w:r>
      <w:r w:rsidR="00103021" w:rsidRPr="00AC4DA1">
        <w:rPr>
          <w:bCs/>
          <w:sz w:val="22"/>
          <w:szCs w:val="22"/>
        </w:rPr>
        <w:t>Rokia</w:t>
      </w:r>
      <w:r w:rsidR="002923F5" w:rsidRPr="00AC4DA1">
        <w:rPr>
          <w:bCs/>
          <w:sz w:val="22"/>
          <w:szCs w:val="22"/>
        </w:rPr>
        <w:t>tou</w:t>
      </w:r>
      <w:r w:rsidR="00103021" w:rsidRPr="00AC4DA1">
        <w:rPr>
          <w:bCs/>
          <w:sz w:val="22"/>
          <w:szCs w:val="22"/>
        </w:rPr>
        <w:t xml:space="preserve"> D</w:t>
      </w:r>
      <w:r w:rsidR="002923F5" w:rsidRPr="00AC4DA1">
        <w:rPr>
          <w:bCs/>
          <w:sz w:val="22"/>
          <w:szCs w:val="22"/>
        </w:rPr>
        <w:t xml:space="preserve">IAKITE </w:t>
      </w:r>
      <w:r w:rsidRPr="00AC4DA1">
        <w:rPr>
          <w:bCs/>
          <w:sz w:val="22"/>
          <w:szCs w:val="22"/>
        </w:rPr>
        <w:t xml:space="preserve">et </w:t>
      </w:r>
      <w:r w:rsidR="002923F5" w:rsidRPr="00AC4DA1">
        <w:rPr>
          <w:bCs/>
          <w:sz w:val="22"/>
          <w:szCs w:val="22"/>
        </w:rPr>
        <w:t xml:space="preserve">Monsieur </w:t>
      </w:r>
      <w:r w:rsidRPr="00AC4DA1">
        <w:rPr>
          <w:bCs/>
          <w:sz w:val="22"/>
          <w:szCs w:val="22"/>
        </w:rPr>
        <w:t>Mamadou SISSOKO pour la facilitation du processus et l’ensemble de la Direction Exécutive de la FEMAPH pour leurs contributions à l'élaboration d</w:t>
      </w:r>
      <w:r w:rsidR="00855E3C" w:rsidRPr="00AC4DA1">
        <w:rPr>
          <w:bCs/>
          <w:sz w:val="22"/>
          <w:szCs w:val="22"/>
        </w:rPr>
        <w:t xml:space="preserve">u présent </w:t>
      </w:r>
      <w:r w:rsidRPr="00AC4DA1">
        <w:rPr>
          <w:bCs/>
          <w:sz w:val="22"/>
          <w:szCs w:val="22"/>
        </w:rPr>
        <w:t>rappor</w:t>
      </w:r>
      <w:r w:rsidR="00B239DC" w:rsidRPr="00AC4DA1">
        <w:rPr>
          <w:bCs/>
          <w:sz w:val="22"/>
          <w:szCs w:val="22"/>
        </w:rPr>
        <w:t>t.</w:t>
      </w:r>
    </w:p>
    <w:p w14:paraId="2BE8F7DF" w14:textId="77777777" w:rsidR="002A4E7B" w:rsidRPr="00AC4DA1" w:rsidRDefault="002A4E7B" w:rsidP="007C7A6C">
      <w:pPr>
        <w:spacing w:afterLines="120" w:after="288" w:line="360" w:lineRule="auto"/>
        <w:jc w:val="both"/>
        <w:rPr>
          <w:b/>
          <w:bCs/>
          <w:sz w:val="22"/>
          <w:szCs w:val="22"/>
        </w:rPr>
      </w:pPr>
    </w:p>
    <w:p w14:paraId="6E15FE0B" w14:textId="77777777" w:rsidR="007C7A6C" w:rsidRPr="00AC4DA1" w:rsidRDefault="007C7A6C" w:rsidP="007C7A6C">
      <w:pPr>
        <w:rPr>
          <w:b/>
          <w:bCs/>
          <w:sz w:val="22"/>
          <w:szCs w:val="22"/>
        </w:rPr>
      </w:pPr>
      <w:r w:rsidRPr="00AC4DA1">
        <w:rPr>
          <w:b/>
          <w:bCs/>
          <w:sz w:val="22"/>
          <w:szCs w:val="22"/>
        </w:rPr>
        <w:br w:type="page"/>
      </w:r>
    </w:p>
    <w:p w14:paraId="5CBFF14B" w14:textId="298B5445" w:rsidR="007C7A6C" w:rsidRPr="00AC4DA1" w:rsidRDefault="007C7A6C" w:rsidP="007251C6">
      <w:pPr>
        <w:pStyle w:val="Heading1"/>
        <w:rPr>
          <w:rFonts w:ascii="Times New Roman" w:hAnsi="Times New Roman"/>
          <w:sz w:val="22"/>
          <w:szCs w:val="22"/>
        </w:rPr>
      </w:pPr>
      <w:bookmarkStart w:id="6" w:name="_Toc69288775"/>
      <w:bookmarkStart w:id="7" w:name="_Toc114054358"/>
      <w:bookmarkStart w:id="8" w:name="_Toc128647489"/>
      <w:r w:rsidRPr="00AC4DA1">
        <w:rPr>
          <w:rFonts w:ascii="Times New Roman" w:hAnsi="Times New Roman"/>
          <w:sz w:val="22"/>
          <w:szCs w:val="22"/>
        </w:rPr>
        <w:lastRenderedPageBreak/>
        <w:t>ABREVIATIONS</w:t>
      </w:r>
      <w:bookmarkEnd w:id="6"/>
      <w:bookmarkEnd w:id="7"/>
      <w:bookmarkEnd w:id="8"/>
      <w:bookmarkEnd w:id="3"/>
      <w:r w:rsidRPr="00AC4DA1">
        <w:rPr>
          <w:rFonts w:ascii="Times New Roman" w:hAnsi="Times New Roman"/>
          <w:sz w:val="22"/>
          <w:szCs w:val="22"/>
        </w:rPr>
        <w:t xml:space="preserve"> </w:t>
      </w:r>
    </w:p>
    <w:p w14:paraId="612C9A87" w14:textId="3F61733F" w:rsidR="004E48D1" w:rsidRDefault="00330362" w:rsidP="004E48D1">
      <w:pPr>
        <w:rPr>
          <w:sz w:val="22"/>
          <w:szCs w:val="22"/>
          <w:lang w:eastAsia="x-none"/>
        </w:rPr>
      </w:pPr>
      <w:r>
        <w:rPr>
          <w:sz w:val="22"/>
          <w:szCs w:val="22"/>
          <w:lang w:eastAsia="x-none"/>
        </w:rPr>
        <w:t>AMO : Assurance Maladie Obligatoire</w:t>
      </w:r>
    </w:p>
    <w:p w14:paraId="0B817771" w14:textId="77777777" w:rsidR="00A649B5" w:rsidRPr="00AC4DA1" w:rsidRDefault="00A649B5" w:rsidP="00A649B5">
      <w:pPr>
        <w:spacing w:line="276" w:lineRule="auto"/>
        <w:jc w:val="both"/>
        <w:rPr>
          <w:sz w:val="22"/>
          <w:szCs w:val="22"/>
          <w:lang w:eastAsia="x-none"/>
        </w:rPr>
      </w:pPr>
      <w:r w:rsidRPr="00AC4DA1">
        <w:rPr>
          <w:bCs/>
          <w:sz w:val="22"/>
          <w:szCs w:val="22"/>
        </w:rPr>
        <w:t>AMPHP</w:t>
      </w:r>
      <w:r>
        <w:rPr>
          <w:bCs/>
          <w:sz w:val="22"/>
          <w:szCs w:val="22"/>
        </w:rPr>
        <w:t xml:space="preserve"> : </w:t>
      </w:r>
      <w:r w:rsidRPr="00AC4DA1">
        <w:rPr>
          <w:bCs/>
          <w:sz w:val="22"/>
          <w:szCs w:val="22"/>
        </w:rPr>
        <w:t xml:space="preserve">Association Malienne des Personnes Handicapées Physiques </w:t>
      </w:r>
    </w:p>
    <w:p w14:paraId="24722754" w14:textId="542CE284" w:rsidR="00330362" w:rsidRPr="00330362" w:rsidRDefault="00330362" w:rsidP="004E48D1">
      <w:pPr>
        <w:rPr>
          <w:sz w:val="22"/>
          <w:szCs w:val="22"/>
          <w:lang w:eastAsia="x-none"/>
        </w:rPr>
      </w:pPr>
      <w:r>
        <w:rPr>
          <w:sz w:val="22"/>
          <w:szCs w:val="22"/>
          <w:lang w:eastAsia="x-none"/>
        </w:rPr>
        <w:t>ANAM :</w:t>
      </w:r>
      <w:r w:rsidR="00A649B5">
        <w:rPr>
          <w:sz w:val="22"/>
          <w:szCs w:val="22"/>
          <w:lang w:eastAsia="x-none"/>
        </w:rPr>
        <w:t xml:space="preserve"> </w:t>
      </w:r>
      <w:r>
        <w:rPr>
          <w:sz w:val="22"/>
          <w:szCs w:val="22"/>
          <w:lang w:eastAsia="x-none"/>
        </w:rPr>
        <w:t>Agence Nationale d’Assurance Médicale</w:t>
      </w:r>
    </w:p>
    <w:p w14:paraId="2DD68D82" w14:textId="77777777" w:rsidR="000603EB" w:rsidRDefault="000603EB" w:rsidP="000603EB">
      <w:pPr>
        <w:spacing w:line="276" w:lineRule="auto"/>
        <w:jc w:val="both"/>
        <w:rPr>
          <w:sz w:val="22"/>
          <w:szCs w:val="22"/>
          <w:lang w:val="x-none" w:eastAsia="x-none"/>
        </w:rPr>
      </w:pPr>
      <w:r w:rsidRPr="00AC4DA1">
        <w:rPr>
          <w:sz w:val="22"/>
          <w:szCs w:val="22"/>
          <w:lang w:val="x-none" w:eastAsia="x-none"/>
        </w:rPr>
        <w:t>CAFO</w:t>
      </w:r>
      <w:r>
        <w:rPr>
          <w:sz w:val="22"/>
          <w:szCs w:val="22"/>
          <w:lang w:val="x-none" w:eastAsia="x-none"/>
        </w:rPr>
        <w:t> </w:t>
      </w:r>
      <w:r>
        <w:rPr>
          <w:sz w:val="22"/>
          <w:szCs w:val="22"/>
          <w:lang w:eastAsia="x-none"/>
        </w:rPr>
        <w:t xml:space="preserve">: </w:t>
      </w:r>
      <w:r w:rsidRPr="00AC4DA1">
        <w:rPr>
          <w:sz w:val="22"/>
          <w:szCs w:val="22"/>
          <w:lang w:val="x-none" w:eastAsia="x-none"/>
        </w:rPr>
        <w:t xml:space="preserve">Coordination des ONG et Associations Féminines </w:t>
      </w:r>
    </w:p>
    <w:p w14:paraId="36DC241B" w14:textId="77777777" w:rsidR="000603EB" w:rsidRDefault="000603EB" w:rsidP="000603EB">
      <w:pPr>
        <w:spacing w:line="276" w:lineRule="auto"/>
        <w:jc w:val="both"/>
        <w:rPr>
          <w:sz w:val="22"/>
          <w:szCs w:val="22"/>
          <w:lang w:val="x-none" w:eastAsia="x-none"/>
        </w:rPr>
      </w:pPr>
      <w:r w:rsidRPr="00AC4DA1">
        <w:rPr>
          <w:sz w:val="22"/>
          <w:szCs w:val="22"/>
          <w:lang w:val="x-none" w:eastAsia="x-none"/>
        </w:rPr>
        <w:t>CMDH</w:t>
      </w:r>
      <w:r>
        <w:rPr>
          <w:sz w:val="22"/>
          <w:szCs w:val="22"/>
          <w:lang w:val="x-none" w:eastAsia="x-none"/>
        </w:rPr>
        <w:t> </w:t>
      </w:r>
      <w:r>
        <w:rPr>
          <w:sz w:val="22"/>
          <w:szCs w:val="22"/>
          <w:lang w:eastAsia="x-none"/>
        </w:rPr>
        <w:t xml:space="preserve">: </w:t>
      </w:r>
      <w:r w:rsidRPr="00AC4DA1">
        <w:rPr>
          <w:sz w:val="22"/>
          <w:szCs w:val="22"/>
          <w:lang w:val="x-none" w:eastAsia="x-none"/>
        </w:rPr>
        <w:t>Commission Malienne des Droits de l’Homme</w:t>
      </w:r>
    </w:p>
    <w:p w14:paraId="1CE3353F" w14:textId="77777777" w:rsidR="00A649B5" w:rsidRDefault="00A649B5" w:rsidP="00FB07EB">
      <w:pPr>
        <w:spacing w:line="276" w:lineRule="auto"/>
        <w:jc w:val="both"/>
        <w:rPr>
          <w:bCs/>
          <w:sz w:val="22"/>
          <w:szCs w:val="22"/>
        </w:rPr>
      </w:pPr>
      <w:r w:rsidRPr="00AC4DA1">
        <w:rPr>
          <w:bCs/>
          <w:sz w:val="22"/>
          <w:szCs w:val="22"/>
        </w:rPr>
        <w:t>CNSC</w:t>
      </w:r>
      <w:r>
        <w:rPr>
          <w:bCs/>
          <w:sz w:val="22"/>
          <w:szCs w:val="22"/>
        </w:rPr>
        <w:t xml:space="preserve"> : </w:t>
      </w:r>
      <w:r w:rsidRPr="00AC4DA1">
        <w:rPr>
          <w:bCs/>
          <w:sz w:val="22"/>
          <w:szCs w:val="22"/>
        </w:rPr>
        <w:t xml:space="preserve"> Conseil National de la Société civile</w:t>
      </w:r>
    </w:p>
    <w:p w14:paraId="5FB45BD3" w14:textId="6CE500FA" w:rsidR="00FB07EB" w:rsidRDefault="00330362" w:rsidP="00FB07EB">
      <w:pPr>
        <w:spacing w:line="276" w:lineRule="auto"/>
        <w:jc w:val="both"/>
        <w:rPr>
          <w:bCs/>
          <w:sz w:val="22"/>
          <w:szCs w:val="22"/>
        </w:rPr>
      </w:pPr>
      <w:r w:rsidRPr="00AC4DA1">
        <w:rPr>
          <w:bCs/>
          <w:sz w:val="22"/>
          <w:szCs w:val="22"/>
        </w:rPr>
        <w:t>CNT</w:t>
      </w:r>
      <w:r>
        <w:rPr>
          <w:bCs/>
          <w:sz w:val="22"/>
          <w:szCs w:val="22"/>
        </w:rPr>
        <w:t xml:space="preserve"> : </w:t>
      </w:r>
      <w:r w:rsidR="00FB07EB" w:rsidRPr="00AC4DA1">
        <w:rPr>
          <w:bCs/>
          <w:sz w:val="22"/>
          <w:szCs w:val="22"/>
        </w:rPr>
        <w:t xml:space="preserve">Conseil National de Transition </w:t>
      </w:r>
    </w:p>
    <w:p w14:paraId="61D3DBD1" w14:textId="140B003C" w:rsidR="00330362" w:rsidRDefault="00330362" w:rsidP="00FB07EB">
      <w:pPr>
        <w:spacing w:line="276" w:lineRule="auto"/>
        <w:jc w:val="both"/>
        <w:rPr>
          <w:sz w:val="22"/>
          <w:szCs w:val="22"/>
        </w:rPr>
      </w:pPr>
      <w:r w:rsidRPr="00AC4DA1">
        <w:rPr>
          <w:sz w:val="22"/>
          <w:szCs w:val="22"/>
        </w:rPr>
        <w:t>CORPA</w:t>
      </w:r>
      <w:r>
        <w:rPr>
          <w:sz w:val="22"/>
          <w:szCs w:val="22"/>
        </w:rPr>
        <w:t> :</w:t>
      </w:r>
      <w:r w:rsidRPr="00AC4DA1">
        <w:rPr>
          <w:sz w:val="22"/>
          <w:szCs w:val="22"/>
        </w:rPr>
        <w:t xml:space="preserve"> Coalition des Organisations de Personnes atteintes d’Albinisme </w:t>
      </w:r>
    </w:p>
    <w:p w14:paraId="14E62DE0" w14:textId="22A0D592" w:rsidR="00FB07EB" w:rsidRPr="00AC4DA1" w:rsidRDefault="00330362" w:rsidP="00FB07EB">
      <w:pPr>
        <w:spacing w:line="276" w:lineRule="auto"/>
        <w:jc w:val="both"/>
        <w:rPr>
          <w:sz w:val="22"/>
          <w:szCs w:val="22"/>
          <w:lang w:eastAsia="x-none"/>
        </w:rPr>
      </w:pPr>
      <w:r w:rsidRPr="00AC4DA1">
        <w:rPr>
          <w:sz w:val="22"/>
          <w:szCs w:val="22"/>
          <w:lang w:eastAsia="x-none"/>
        </w:rPr>
        <w:t>CRDPH</w:t>
      </w:r>
      <w:r>
        <w:rPr>
          <w:sz w:val="22"/>
          <w:szCs w:val="22"/>
          <w:lang w:eastAsia="x-none"/>
        </w:rPr>
        <w:t> :</w:t>
      </w:r>
      <w:r w:rsidRPr="00AC4DA1">
        <w:rPr>
          <w:sz w:val="22"/>
          <w:szCs w:val="22"/>
          <w:lang w:eastAsia="x-none"/>
        </w:rPr>
        <w:t xml:space="preserve"> </w:t>
      </w:r>
      <w:r w:rsidR="00FB07EB" w:rsidRPr="00AC4DA1">
        <w:rPr>
          <w:sz w:val="22"/>
          <w:szCs w:val="22"/>
          <w:lang w:eastAsia="x-none"/>
        </w:rPr>
        <w:t xml:space="preserve">Convention Internationale Relative aux Droits des Personnes handicapées. </w:t>
      </w:r>
    </w:p>
    <w:p w14:paraId="5100A40B" w14:textId="4BC29B58" w:rsidR="00330362" w:rsidRDefault="00A649B5" w:rsidP="003456F1">
      <w:pPr>
        <w:spacing w:line="276" w:lineRule="auto"/>
        <w:jc w:val="both"/>
        <w:rPr>
          <w:sz w:val="22"/>
          <w:szCs w:val="22"/>
        </w:rPr>
      </w:pPr>
      <w:r w:rsidRPr="00AC4DA1">
        <w:rPr>
          <w:sz w:val="22"/>
          <w:szCs w:val="22"/>
        </w:rPr>
        <w:t>DEF</w:t>
      </w:r>
      <w:r>
        <w:rPr>
          <w:sz w:val="22"/>
          <w:szCs w:val="22"/>
        </w:rPr>
        <w:t> :</w:t>
      </w:r>
      <w:r w:rsidRPr="00AC4DA1">
        <w:rPr>
          <w:sz w:val="22"/>
          <w:szCs w:val="22"/>
        </w:rPr>
        <w:t xml:space="preserve"> </w:t>
      </w:r>
      <w:r w:rsidR="00330362" w:rsidRPr="00AC4DA1">
        <w:rPr>
          <w:sz w:val="22"/>
          <w:szCs w:val="22"/>
        </w:rPr>
        <w:t>Diplôme d’Etude Fondamentale</w:t>
      </w:r>
    </w:p>
    <w:p w14:paraId="74D27418" w14:textId="77777777" w:rsidR="000603EB" w:rsidRPr="00A649B5" w:rsidRDefault="000603EB" w:rsidP="000603EB">
      <w:pPr>
        <w:spacing w:line="276" w:lineRule="auto"/>
        <w:jc w:val="both"/>
        <w:rPr>
          <w:bCs/>
          <w:sz w:val="22"/>
          <w:szCs w:val="22"/>
        </w:rPr>
      </w:pPr>
      <w:r w:rsidRPr="00AC4DA1">
        <w:rPr>
          <w:bCs/>
          <w:sz w:val="22"/>
          <w:szCs w:val="22"/>
        </w:rPr>
        <w:t>ENACPHM</w:t>
      </w:r>
      <w:r>
        <w:rPr>
          <w:bCs/>
          <w:sz w:val="22"/>
          <w:szCs w:val="22"/>
        </w:rPr>
        <w:t xml:space="preserve"> : </w:t>
      </w:r>
      <w:r w:rsidRPr="00A649B5">
        <w:rPr>
          <w:bCs/>
          <w:sz w:val="22"/>
          <w:szCs w:val="22"/>
        </w:rPr>
        <w:t xml:space="preserve">Ensemble National Artistique et Culturel des Personnes Handicapées du Mali </w:t>
      </w:r>
    </w:p>
    <w:p w14:paraId="6177DCDA" w14:textId="77777777" w:rsidR="000603EB" w:rsidRPr="00A649B5" w:rsidRDefault="000603EB" w:rsidP="000603EB">
      <w:pPr>
        <w:spacing w:line="276" w:lineRule="auto"/>
        <w:jc w:val="both"/>
        <w:rPr>
          <w:bCs/>
          <w:sz w:val="22"/>
          <w:szCs w:val="22"/>
        </w:rPr>
      </w:pPr>
      <w:r>
        <w:rPr>
          <w:bCs/>
          <w:sz w:val="22"/>
          <w:szCs w:val="22"/>
        </w:rPr>
        <w:t xml:space="preserve">FELAPH : </w:t>
      </w:r>
      <w:r w:rsidRPr="00A649B5">
        <w:rPr>
          <w:bCs/>
          <w:sz w:val="22"/>
          <w:szCs w:val="22"/>
        </w:rPr>
        <w:t xml:space="preserve">Fédérations Locales d’Associations de Personnes Handicapées </w:t>
      </w:r>
    </w:p>
    <w:p w14:paraId="1DA398B6" w14:textId="77777777" w:rsidR="000603EB" w:rsidRPr="00A649B5" w:rsidRDefault="000603EB" w:rsidP="000603EB">
      <w:pPr>
        <w:spacing w:line="276" w:lineRule="auto"/>
        <w:jc w:val="both"/>
        <w:rPr>
          <w:bCs/>
          <w:sz w:val="22"/>
          <w:szCs w:val="22"/>
        </w:rPr>
      </w:pPr>
      <w:r>
        <w:rPr>
          <w:bCs/>
          <w:sz w:val="22"/>
          <w:szCs w:val="22"/>
        </w:rPr>
        <w:t xml:space="preserve">FEMAPH : </w:t>
      </w:r>
      <w:r w:rsidRPr="00A649B5">
        <w:rPr>
          <w:bCs/>
          <w:sz w:val="22"/>
          <w:szCs w:val="22"/>
        </w:rPr>
        <w:t>Fédération Malienne de</w:t>
      </w:r>
      <w:r>
        <w:rPr>
          <w:bCs/>
          <w:sz w:val="22"/>
          <w:szCs w:val="22"/>
        </w:rPr>
        <w:t>s Associations de</w:t>
      </w:r>
      <w:r w:rsidRPr="00A649B5">
        <w:rPr>
          <w:bCs/>
          <w:sz w:val="22"/>
          <w:szCs w:val="22"/>
        </w:rPr>
        <w:t xml:space="preserve"> Personnes Handicapées</w:t>
      </w:r>
    </w:p>
    <w:p w14:paraId="4E607F0C" w14:textId="77777777" w:rsidR="000603EB" w:rsidRPr="00A649B5" w:rsidRDefault="000603EB" w:rsidP="000603EB">
      <w:pPr>
        <w:spacing w:line="276" w:lineRule="auto"/>
        <w:jc w:val="both"/>
        <w:rPr>
          <w:bCs/>
          <w:sz w:val="22"/>
          <w:szCs w:val="22"/>
        </w:rPr>
      </w:pPr>
      <w:r>
        <w:rPr>
          <w:bCs/>
          <w:sz w:val="22"/>
          <w:szCs w:val="22"/>
        </w:rPr>
        <w:t xml:space="preserve">FEMASH : </w:t>
      </w:r>
      <w:r w:rsidRPr="00A649B5">
        <w:rPr>
          <w:bCs/>
          <w:sz w:val="22"/>
          <w:szCs w:val="22"/>
        </w:rPr>
        <w:t>Fédération Malienne de Sport pour Personnes Handicapées</w:t>
      </w:r>
    </w:p>
    <w:p w14:paraId="32CA640D" w14:textId="77777777" w:rsidR="000603EB" w:rsidRPr="00A649B5" w:rsidRDefault="000603EB" w:rsidP="000603EB">
      <w:pPr>
        <w:spacing w:line="276" w:lineRule="auto"/>
        <w:jc w:val="both"/>
        <w:rPr>
          <w:bCs/>
          <w:sz w:val="22"/>
          <w:szCs w:val="22"/>
        </w:rPr>
      </w:pPr>
      <w:r>
        <w:rPr>
          <w:bCs/>
          <w:sz w:val="22"/>
          <w:szCs w:val="22"/>
        </w:rPr>
        <w:t xml:space="preserve">FERAPH : </w:t>
      </w:r>
      <w:r w:rsidRPr="00A649B5">
        <w:rPr>
          <w:bCs/>
          <w:sz w:val="22"/>
          <w:szCs w:val="22"/>
        </w:rPr>
        <w:t>Fédérations Régionales d’Associations de Personnes Handicapées</w:t>
      </w:r>
    </w:p>
    <w:p w14:paraId="7C25BB2E" w14:textId="77777777" w:rsidR="000603EB" w:rsidRDefault="000603EB" w:rsidP="000603EB">
      <w:pPr>
        <w:spacing w:line="276" w:lineRule="auto"/>
        <w:jc w:val="both"/>
        <w:rPr>
          <w:sz w:val="22"/>
          <w:szCs w:val="22"/>
          <w:lang w:val="x-none" w:eastAsia="x-none"/>
        </w:rPr>
      </w:pPr>
      <w:r w:rsidRPr="00AC4DA1">
        <w:rPr>
          <w:sz w:val="22"/>
          <w:szCs w:val="22"/>
          <w:lang w:val="x-none" w:eastAsia="x-none"/>
        </w:rPr>
        <w:t>FONGIM</w:t>
      </w:r>
      <w:r>
        <w:rPr>
          <w:sz w:val="22"/>
          <w:szCs w:val="22"/>
          <w:lang w:val="x-none" w:eastAsia="x-none"/>
        </w:rPr>
        <w:t> </w:t>
      </w:r>
      <w:r>
        <w:rPr>
          <w:sz w:val="22"/>
          <w:szCs w:val="22"/>
          <w:lang w:eastAsia="x-none"/>
        </w:rPr>
        <w:t xml:space="preserve">: </w:t>
      </w:r>
      <w:r w:rsidRPr="00AC4DA1">
        <w:rPr>
          <w:sz w:val="22"/>
          <w:szCs w:val="22"/>
          <w:lang w:val="x-none" w:eastAsia="x-none"/>
        </w:rPr>
        <w:t>Forum des ONG Internationale</w:t>
      </w:r>
    </w:p>
    <w:p w14:paraId="58FD491C" w14:textId="77777777" w:rsidR="000603EB" w:rsidRPr="00A649B5" w:rsidRDefault="000603EB" w:rsidP="000603EB">
      <w:pPr>
        <w:spacing w:line="276" w:lineRule="auto"/>
        <w:jc w:val="both"/>
        <w:rPr>
          <w:sz w:val="22"/>
          <w:szCs w:val="22"/>
          <w:lang w:eastAsia="x-none"/>
        </w:rPr>
      </w:pPr>
      <w:r w:rsidRPr="00AC4DA1">
        <w:rPr>
          <w:sz w:val="22"/>
          <w:szCs w:val="22"/>
          <w:lang w:val="x-none" w:eastAsia="x-none"/>
        </w:rPr>
        <w:t>FOSC</w:t>
      </w:r>
      <w:r>
        <w:rPr>
          <w:sz w:val="22"/>
          <w:szCs w:val="22"/>
          <w:lang w:val="x-none" w:eastAsia="x-none"/>
        </w:rPr>
        <w:t> </w:t>
      </w:r>
      <w:r>
        <w:rPr>
          <w:sz w:val="22"/>
          <w:szCs w:val="22"/>
          <w:lang w:eastAsia="x-none"/>
        </w:rPr>
        <w:t xml:space="preserve">: </w:t>
      </w:r>
      <w:r w:rsidRPr="00AC4DA1">
        <w:rPr>
          <w:sz w:val="22"/>
          <w:szCs w:val="22"/>
          <w:lang w:val="x-none" w:eastAsia="x-none"/>
        </w:rPr>
        <w:t xml:space="preserve">Forum des Organisations de la Société Civile </w:t>
      </w:r>
    </w:p>
    <w:p w14:paraId="7E8BA59A" w14:textId="77777777" w:rsidR="000603EB" w:rsidRDefault="000603EB" w:rsidP="000603EB">
      <w:pPr>
        <w:spacing w:line="276" w:lineRule="auto"/>
        <w:jc w:val="both"/>
        <w:rPr>
          <w:sz w:val="22"/>
          <w:szCs w:val="22"/>
        </w:rPr>
      </w:pPr>
      <w:r w:rsidRPr="00AC4DA1">
        <w:rPr>
          <w:sz w:val="22"/>
          <w:szCs w:val="22"/>
        </w:rPr>
        <w:t>GIE</w:t>
      </w:r>
      <w:r>
        <w:rPr>
          <w:sz w:val="22"/>
          <w:szCs w:val="22"/>
        </w:rPr>
        <w:t xml:space="preserve"> : </w:t>
      </w:r>
      <w:r w:rsidRPr="00AC4DA1">
        <w:rPr>
          <w:sz w:val="22"/>
          <w:szCs w:val="22"/>
        </w:rPr>
        <w:t>Groupements d’Intérêt Economique</w:t>
      </w:r>
    </w:p>
    <w:p w14:paraId="58F2E04D" w14:textId="77777777" w:rsidR="000603EB" w:rsidRDefault="000603EB" w:rsidP="000603EB">
      <w:pPr>
        <w:spacing w:line="276" w:lineRule="auto"/>
        <w:jc w:val="both"/>
        <w:rPr>
          <w:sz w:val="22"/>
          <w:szCs w:val="22"/>
          <w:lang w:val="x-none" w:eastAsia="x-none"/>
        </w:rPr>
      </w:pPr>
      <w:r>
        <w:rPr>
          <w:sz w:val="22"/>
          <w:szCs w:val="22"/>
          <w:lang w:eastAsia="x-none"/>
        </w:rPr>
        <w:t xml:space="preserve">HI : </w:t>
      </w:r>
      <w:r w:rsidRPr="00AC4DA1">
        <w:rPr>
          <w:sz w:val="22"/>
          <w:szCs w:val="22"/>
          <w:lang w:val="x-none" w:eastAsia="x-none"/>
        </w:rPr>
        <w:t xml:space="preserve">Handicap International </w:t>
      </w:r>
    </w:p>
    <w:p w14:paraId="32875838" w14:textId="77777777" w:rsidR="000603EB" w:rsidRPr="00AC4DA1" w:rsidRDefault="000603EB" w:rsidP="000603EB">
      <w:pPr>
        <w:spacing w:line="276" w:lineRule="auto"/>
        <w:jc w:val="both"/>
        <w:rPr>
          <w:b/>
          <w:sz w:val="22"/>
          <w:szCs w:val="22"/>
          <w:u w:val="single"/>
        </w:rPr>
      </w:pPr>
      <w:r w:rsidRPr="00AC4DA1">
        <w:rPr>
          <w:bCs/>
          <w:sz w:val="22"/>
          <w:szCs w:val="22"/>
        </w:rPr>
        <w:t>INSPIR</w:t>
      </w:r>
      <w:r>
        <w:rPr>
          <w:bCs/>
          <w:sz w:val="22"/>
          <w:szCs w:val="22"/>
        </w:rPr>
        <w:t xml:space="preserve"> : </w:t>
      </w:r>
      <w:r w:rsidRPr="00AC4DA1">
        <w:rPr>
          <w:bCs/>
          <w:sz w:val="22"/>
          <w:szCs w:val="22"/>
        </w:rPr>
        <w:t>Réseau international network for Social Protection Rights Mali</w:t>
      </w:r>
    </w:p>
    <w:p w14:paraId="3C6EDD5C" w14:textId="77777777" w:rsidR="000603EB" w:rsidRDefault="000603EB" w:rsidP="000603EB">
      <w:pPr>
        <w:spacing w:line="276" w:lineRule="auto"/>
        <w:jc w:val="both"/>
        <w:rPr>
          <w:sz w:val="22"/>
          <w:szCs w:val="22"/>
          <w:lang w:val="x-none" w:eastAsia="x-none"/>
        </w:rPr>
      </w:pPr>
      <w:r>
        <w:rPr>
          <w:sz w:val="22"/>
          <w:szCs w:val="22"/>
          <w:lang w:eastAsia="x-none"/>
        </w:rPr>
        <w:t xml:space="preserve">IS : </w:t>
      </w:r>
      <w:r w:rsidRPr="00AC4DA1">
        <w:rPr>
          <w:sz w:val="22"/>
          <w:szCs w:val="22"/>
          <w:lang w:val="x-none" w:eastAsia="x-none"/>
        </w:rPr>
        <w:t xml:space="preserve">International Service </w:t>
      </w:r>
    </w:p>
    <w:p w14:paraId="50E625CF" w14:textId="02404440" w:rsidR="00FB07EB" w:rsidRDefault="00A649B5" w:rsidP="003456F1">
      <w:pPr>
        <w:spacing w:line="276" w:lineRule="auto"/>
        <w:jc w:val="both"/>
        <w:rPr>
          <w:sz w:val="22"/>
          <w:szCs w:val="22"/>
          <w:lang w:val="x-none" w:eastAsia="x-none"/>
        </w:rPr>
      </w:pPr>
      <w:r w:rsidRPr="00AC4DA1">
        <w:rPr>
          <w:sz w:val="22"/>
          <w:szCs w:val="22"/>
          <w:lang w:val="x-none" w:eastAsia="x-none"/>
        </w:rPr>
        <w:t>OMDH</w:t>
      </w:r>
      <w:r>
        <w:rPr>
          <w:sz w:val="22"/>
          <w:szCs w:val="22"/>
          <w:lang w:val="x-none" w:eastAsia="x-none"/>
        </w:rPr>
        <w:t> </w:t>
      </w:r>
      <w:r>
        <w:rPr>
          <w:sz w:val="22"/>
          <w:szCs w:val="22"/>
          <w:lang w:eastAsia="x-none"/>
        </w:rPr>
        <w:t xml:space="preserve">: </w:t>
      </w:r>
      <w:r w:rsidR="00FB07EB" w:rsidRPr="00AC4DA1">
        <w:rPr>
          <w:sz w:val="22"/>
          <w:szCs w:val="22"/>
          <w:lang w:val="x-none" w:eastAsia="x-none"/>
        </w:rPr>
        <w:t>Organisation Mondiale des Droits de l’Homme,</w:t>
      </w:r>
    </w:p>
    <w:p w14:paraId="039CE916" w14:textId="77777777" w:rsidR="000603EB" w:rsidRDefault="000603EB" w:rsidP="000603EB">
      <w:pPr>
        <w:spacing w:line="276" w:lineRule="auto"/>
        <w:jc w:val="both"/>
        <w:rPr>
          <w:sz w:val="22"/>
          <w:szCs w:val="22"/>
        </w:rPr>
      </w:pPr>
      <w:r>
        <w:rPr>
          <w:sz w:val="22"/>
          <w:szCs w:val="22"/>
        </w:rPr>
        <w:t>OMS : Organisation Mondiale de Santé</w:t>
      </w:r>
    </w:p>
    <w:p w14:paraId="4830E873" w14:textId="77777777" w:rsidR="000603EB" w:rsidRPr="00AC4DA1" w:rsidRDefault="000603EB" w:rsidP="000603EB">
      <w:pPr>
        <w:spacing w:line="276" w:lineRule="auto"/>
        <w:jc w:val="both"/>
        <w:rPr>
          <w:b/>
          <w:sz w:val="22"/>
          <w:szCs w:val="22"/>
          <w:u w:val="single"/>
        </w:rPr>
      </w:pPr>
      <w:r w:rsidRPr="00AC4DA1">
        <w:rPr>
          <w:sz w:val="22"/>
          <w:szCs w:val="22"/>
        </w:rPr>
        <w:t>PNG</w:t>
      </w:r>
      <w:r>
        <w:rPr>
          <w:sz w:val="22"/>
          <w:szCs w:val="22"/>
        </w:rPr>
        <w:t xml:space="preserve"> : </w:t>
      </w:r>
      <w:r w:rsidRPr="00AC4DA1">
        <w:rPr>
          <w:sz w:val="22"/>
          <w:szCs w:val="22"/>
        </w:rPr>
        <w:t xml:space="preserve">Politique Nationale Genre </w:t>
      </w:r>
    </w:p>
    <w:p w14:paraId="62137A1E" w14:textId="77777777" w:rsidR="000603EB" w:rsidRPr="00AC4DA1" w:rsidRDefault="000603EB" w:rsidP="000603EB">
      <w:pPr>
        <w:spacing w:line="276" w:lineRule="auto"/>
        <w:jc w:val="both"/>
        <w:rPr>
          <w:b/>
          <w:sz w:val="22"/>
          <w:szCs w:val="22"/>
          <w:u w:val="single"/>
        </w:rPr>
      </w:pPr>
      <w:r w:rsidRPr="00AC4DA1">
        <w:rPr>
          <w:sz w:val="22"/>
          <w:szCs w:val="22"/>
        </w:rPr>
        <w:t>RBC</w:t>
      </w:r>
      <w:r>
        <w:rPr>
          <w:sz w:val="22"/>
          <w:szCs w:val="22"/>
        </w:rPr>
        <w:t> :</w:t>
      </w:r>
      <w:r w:rsidRPr="00AC4DA1">
        <w:rPr>
          <w:sz w:val="22"/>
          <w:szCs w:val="22"/>
        </w:rPr>
        <w:t xml:space="preserve"> Réadaptation à Base Communautaire</w:t>
      </w:r>
    </w:p>
    <w:p w14:paraId="28AFE528" w14:textId="73E6BFBE" w:rsidR="00FB07EB" w:rsidRDefault="00FB07EB" w:rsidP="003456F1">
      <w:pPr>
        <w:spacing w:line="276" w:lineRule="auto"/>
        <w:jc w:val="both"/>
        <w:rPr>
          <w:sz w:val="22"/>
          <w:szCs w:val="22"/>
          <w:lang w:val="x-none" w:eastAsia="x-none"/>
        </w:rPr>
      </w:pPr>
      <w:r w:rsidRPr="00AC4DA1">
        <w:rPr>
          <w:bCs/>
          <w:sz w:val="22"/>
          <w:szCs w:val="22"/>
        </w:rPr>
        <w:t>RGPH</w:t>
      </w:r>
      <w:r w:rsidR="00A649B5">
        <w:rPr>
          <w:bCs/>
          <w:sz w:val="22"/>
          <w:szCs w:val="22"/>
        </w:rPr>
        <w:t> : Recensement Général de la Population</w:t>
      </w:r>
    </w:p>
    <w:p w14:paraId="438B4FE1" w14:textId="273EDB21" w:rsidR="00DD1E5D" w:rsidRPr="00AC4DA1" w:rsidRDefault="00A649B5" w:rsidP="003456F1">
      <w:pPr>
        <w:spacing w:line="276" w:lineRule="auto"/>
        <w:jc w:val="both"/>
        <w:rPr>
          <w:b/>
          <w:sz w:val="22"/>
          <w:szCs w:val="22"/>
          <w:u w:val="single"/>
        </w:rPr>
      </w:pPr>
      <w:r w:rsidRPr="00AC4DA1">
        <w:rPr>
          <w:sz w:val="22"/>
          <w:szCs w:val="22"/>
          <w:lang w:val="x-none" w:eastAsia="x-none"/>
        </w:rPr>
        <w:t>SSI</w:t>
      </w:r>
      <w:r>
        <w:rPr>
          <w:sz w:val="22"/>
          <w:szCs w:val="22"/>
          <w:lang w:val="x-none" w:eastAsia="x-none"/>
        </w:rPr>
        <w:t> </w:t>
      </w:r>
      <w:r>
        <w:rPr>
          <w:sz w:val="22"/>
          <w:szCs w:val="22"/>
          <w:lang w:eastAsia="x-none"/>
        </w:rPr>
        <w:t>:</w:t>
      </w:r>
      <w:r w:rsidRPr="00AC4DA1">
        <w:rPr>
          <w:sz w:val="22"/>
          <w:szCs w:val="22"/>
          <w:lang w:val="x-none" w:eastAsia="x-none"/>
        </w:rPr>
        <w:t xml:space="preserve"> </w:t>
      </w:r>
      <w:r w:rsidR="00FB07EB" w:rsidRPr="00AC4DA1">
        <w:rPr>
          <w:sz w:val="22"/>
          <w:szCs w:val="22"/>
          <w:lang w:val="x-none" w:eastAsia="x-none"/>
        </w:rPr>
        <w:t>Sight Saver International</w:t>
      </w:r>
    </w:p>
    <w:p w14:paraId="6E59E211" w14:textId="77777777" w:rsidR="000603EB" w:rsidRDefault="000603EB" w:rsidP="000603EB">
      <w:pPr>
        <w:spacing w:line="276" w:lineRule="auto"/>
        <w:jc w:val="both"/>
        <w:rPr>
          <w:bCs/>
          <w:sz w:val="22"/>
          <w:szCs w:val="22"/>
        </w:rPr>
      </w:pPr>
      <w:r w:rsidRPr="00A649B5">
        <w:rPr>
          <w:bCs/>
          <w:sz w:val="22"/>
          <w:szCs w:val="22"/>
        </w:rPr>
        <w:lastRenderedPageBreak/>
        <w:t>UMAFH</w:t>
      </w:r>
      <w:r>
        <w:rPr>
          <w:bCs/>
          <w:sz w:val="22"/>
          <w:szCs w:val="22"/>
        </w:rPr>
        <w:t xml:space="preserve"> : </w:t>
      </w:r>
      <w:r w:rsidRPr="00A649B5">
        <w:rPr>
          <w:bCs/>
          <w:sz w:val="22"/>
          <w:szCs w:val="22"/>
        </w:rPr>
        <w:t xml:space="preserve">Union Malienne des Associations et Comités de Femmes Handicapées  </w:t>
      </w:r>
    </w:p>
    <w:p w14:paraId="4415844C" w14:textId="49063EAE" w:rsidR="00FB07EB" w:rsidRDefault="00A649B5" w:rsidP="00FB07EB">
      <w:pPr>
        <w:spacing w:line="276" w:lineRule="auto"/>
        <w:jc w:val="both"/>
        <w:rPr>
          <w:bCs/>
          <w:sz w:val="22"/>
          <w:szCs w:val="22"/>
        </w:rPr>
      </w:pPr>
      <w:r w:rsidRPr="00AC4DA1">
        <w:rPr>
          <w:bCs/>
          <w:sz w:val="22"/>
          <w:szCs w:val="22"/>
        </w:rPr>
        <w:t>UMAV</w:t>
      </w:r>
      <w:r>
        <w:rPr>
          <w:bCs/>
          <w:sz w:val="22"/>
          <w:szCs w:val="22"/>
        </w:rPr>
        <w:t xml:space="preserve"> : </w:t>
      </w:r>
      <w:r w:rsidR="00FB07EB" w:rsidRPr="00AC4DA1">
        <w:rPr>
          <w:bCs/>
          <w:sz w:val="22"/>
          <w:szCs w:val="22"/>
        </w:rPr>
        <w:t xml:space="preserve">Union Malienne des Aveugles </w:t>
      </w:r>
      <w:r w:rsidR="00FB07EB">
        <w:rPr>
          <w:bCs/>
          <w:sz w:val="22"/>
          <w:szCs w:val="22"/>
        </w:rPr>
        <w:t xml:space="preserve"> </w:t>
      </w:r>
    </w:p>
    <w:p w14:paraId="4115EF29" w14:textId="77777777" w:rsidR="00DD1E5D" w:rsidRPr="00AC4DA1" w:rsidRDefault="00DD1E5D" w:rsidP="003456F1">
      <w:pPr>
        <w:spacing w:line="276" w:lineRule="auto"/>
        <w:jc w:val="both"/>
        <w:rPr>
          <w:b/>
          <w:sz w:val="22"/>
          <w:szCs w:val="22"/>
          <w:u w:val="single"/>
        </w:rPr>
      </w:pPr>
    </w:p>
    <w:p w14:paraId="600D03DB" w14:textId="77777777" w:rsidR="00DD1E5D" w:rsidRPr="00AC4DA1" w:rsidRDefault="00DD1E5D" w:rsidP="003456F1">
      <w:pPr>
        <w:spacing w:line="276" w:lineRule="auto"/>
        <w:jc w:val="both"/>
        <w:rPr>
          <w:b/>
          <w:sz w:val="22"/>
          <w:szCs w:val="22"/>
          <w:u w:val="single"/>
        </w:rPr>
      </w:pPr>
    </w:p>
    <w:p w14:paraId="04F97AE4" w14:textId="77777777" w:rsidR="00DD1E5D" w:rsidRPr="00AC4DA1" w:rsidRDefault="00DD1E5D" w:rsidP="003456F1">
      <w:pPr>
        <w:spacing w:line="276" w:lineRule="auto"/>
        <w:jc w:val="both"/>
        <w:rPr>
          <w:b/>
          <w:sz w:val="22"/>
          <w:szCs w:val="22"/>
          <w:u w:val="single"/>
        </w:rPr>
      </w:pPr>
    </w:p>
    <w:p w14:paraId="0F2DD92E" w14:textId="77777777" w:rsidR="00DD1E5D" w:rsidRPr="00AC4DA1" w:rsidRDefault="00DD1E5D" w:rsidP="003456F1">
      <w:pPr>
        <w:spacing w:line="276" w:lineRule="auto"/>
        <w:jc w:val="both"/>
        <w:rPr>
          <w:b/>
          <w:sz w:val="22"/>
          <w:szCs w:val="22"/>
          <w:u w:val="single"/>
        </w:rPr>
      </w:pPr>
    </w:p>
    <w:p w14:paraId="071303CD" w14:textId="77777777" w:rsidR="00DD1E5D" w:rsidRPr="00AC4DA1" w:rsidRDefault="00DD1E5D" w:rsidP="003456F1">
      <w:pPr>
        <w:spacing w:line="276" w:lineRule="auto"/>
        <w:jc w:val="both"/>
        <w:rPr>
          <w:b/>
          <w:sz w:val="22"/>
          <w:szCs w:val="22"/>
          <w:u w:val="single"/>
        </w:rPr>
      </w:pPr>
    </w:p>
    <w:p w14:paraId="3ED28366" w14:textId="77777777" w:rsidR="00DD1E5D" w:rsidRPr="00AC4DA1" w:rsidRDefault="00DD1E5D" w:rsidP="003456F1">
      <w:pPr>
        <w:spacing w:line="276" w:lineRule="auto"/>
        <w:jc w:val="both"/>
        <w:rPr>
          <w:b/>
          <w:sz w:val="22"/>
          <w:szCs w:val="22"/>
          <w:u w:val="single"/>
        </w:rPr>
      </w:pPr>
    </w:p>
    <w:p w14:paraId="211AD9DF" w14:textId="0731277B" w:rsidR="00DD1E5D" w:rsidRPr="00AC4DA1" w:rsidRDefault="00DD1E5D" w:rsidP="003456F1">
      <w:pPr>
        <w:spacing w:line="276" w:lineRule="auto"/>
        <w:jc w:val="both"/>
        <w:rPr>
          <w:b/>
          <w:sz w:val="22"/>
          <w:szCs w:val="22"/>
          <w:u w:val="single"/>
        </w:rPr>
      </w:pPr>
    </w:p>
    <w:p w14:paraId="03C44585" w14:textId="1BABBCC3" w:rsidR="004E48D1" w:rsidRPr="00AC4DA1" w:rsidRDefault="004E48D1" w:rsidP="003456F1">
      <w:pPr>
        <w:spacing w:line="276" w:lineRule="auto"/>
        <w:jc w:val="both"/>
        <w:rPr>
          <w:b/>
          <w:sz w:val="22"/>
          <w:szCs w:val="22"/>
          <w:u w:val="single"/>
        </w:rPr>
      </w:pPr>
    </w:p>
    <w:p w14:paraId="26753638" w14:textId="04E0D795" w:rsidR="004E48D1" w:rsidRPr="00AC4DA1" w:rsidRDefault="004E48D1" w:rsidP="003456F1">
      <w:pPr>
        <w:spacing w:line="276" w:lineRule="auto"/>
        <w:jc w:val="both"/>
        <w:rPr>
          <w:b/>
          <w:sz w:val="22"/>
          <w:szCs w:val="22"/>
          <w:u w:val="single"/>
        </w:rPr>
      </w:pPr>
    </w:p>
    <w:p w14:paraId="40BB315E" w14:textId="2058B893" w:rsidR="004E48D1" w:rsidRPr="00AC4DA1" w:rsidRDefault="004E48D1" w:rsidP="003456F1">
      <w:pPr>
        <w:spacing w:line="276" w:lineRule="auto"/>
        <w:jc w:val="both"/>
        <w:rPr>
          <w:b/>
          <w:sz w:val="22"/>
          <w:szCs w:val="22"/>
          <w:u w:val="single"/>
        </w:rPr>
      </w:pPr>
    </w:p>
    <w:p w14:paraId="06ADA7F0" w14:textId="4C87EAF9" w:rsidR="004E48D1" w:rsidRPr="00AC4DA1" w:rsidRDefault="004E48D1" w:rsidP="003456F1">
      <w:pPr>
        <w:spacing w:line="276" w:lineRule="auto"/>
        <w:jc w:val="both"/>
        <w:rPr>
          <w:b/>
          <w:sz w:val="22"/>
          <w:szCs w:val="22"/>
          <w:u w:val="single"/>
        </w:rPr>
      </w:pPr>
    </w:p>
    <w:p w14:paraId="154E2614" w14:textId="54357867" w:rsidR="004E48D1" w:rsidRPr="00AC4DA1" w:rsidRDefault="004E48D1" w:rsidP="003456F1">
      <w:pPr>
        <w:spacing w:line="276" w:lineRule="auto"/>
        <w:jc w:val="both"/>
        <w:rPr>
          <w:b/>
          <w:sz w:val="22"/>
          <w:szCs w:val="22"/>
          <w:u w:val="single"/>
        </w:rPr>
      </w:pPr>
    </w:p>
    <w:p w14:paraId="2258F8DD" w14:textId="4231E1C3" w:rsidR="004E48D1" w:rsidRPr="00AC4DA1" w:rsidRDefault="004E48D1" w:rsidP="003456F1">
      <w:pPr>
        <w:spacing w:line="276" w:lineRule="auto"/>
        <w:jc w:val="both"/>
        <w:rPr>
          <w:b/>
          <w:sz w:val="22"/>
          <w:szCs w:val="22"/>
          <w:u w:val="single"/>
        </w:rPr>
      </w:pPr>
    </w:p>
    <w:p w14:paraId="0EAEC4E4" w14:textId="2B541CCD" w:rsidR="004E48D1" w:rsidRPr="00AC4DA1" w:rsidRDefault="004E48D1" w:rsidP="003456F1">
      <w:pPr>
        <w:spacing w:line="276" w:lineRule="auto"/>
        <w:jc w:val="both"/>
        <w:rPr>
          <w:b/>
          <w:sz w:val="22"/>
          <w:szCs w:val="22"/>
          <w:u w:val="single"/>
        </w:rPr>
      </w:pPr>
    </w:p>
    <w:p w14:paraId="54E1B89E" w14:textId="7C8CA3D3" w:rsidR="004E48D1" w:rsidRPr="00AC4DA1" w:rsidRDefault="004E48D1" w:rsidP="003456F1">
      <w:pPr>
        <w:spacing w:line="276" w:lineRule="auto"/>
        <w:jc w:val="both"/>
        <w:rPr>
          <w:b/>
          <w:sz w:val="22"/>
          <w:szCs w:val="22"/>
          <w:u w:val="single"/>
        </w:rPr>
      </w:pPr>
    </w:p>
    <w:p w14:paraId="3A75CDEA" w14:textId="21BBB547" w:rsidR="004E48D1" w:rsidRPr="00AC4DA1" w:rsidRDefault="004E48D1" w:rsidP="003456F1">
      <w:pPr>
        <w:spacing w:line="276" w:lineRule="auto"/>
        <w:jc w:val="both"/>
        <w:rPr>
          <w:b/>
          <w:sz w:val="22"/>
          <w:szCs w:val="22"/>
          <w:u w:val="single"/>
        </w:rPr>
      </w:pPr>
    </w:p>
    <w:p w14:paraId="39262695" w14:textId="69B073AD" w:rsidR="004E48D1" w:rsidRPr="00AC4DA1" w:rsidRDefault="004E48D1" w:rsidP="003456F1">
      <w:pPr>
        <w:spacing w:line="276" w:lineRule="auto"/>
        <w:jc w:val="both"/>
        <w:rPr>
          <w:b/>
          <w:sz w:val="22"/>
          <w:szCs w:val="22"/>
          <w:u w:val="single"/>
        </w:rPr>
      </w:pPr>
    </w:p>
    <w:p w14:paraId="31529182" w14:textId="7BBF7A60" w:rsidR="004E48D1" w:rsidRPr="00AC4DA1" w:rsidRDefault="004E48D1" w:rsidP="003456F1">
      <w:pPr>
        <w:spacing w:line="276" w:lineRule="auto"/>
        <w:jc w:val="both"/>
        <w:rPr>
          <w:b/>
          <w:sz w:val="22"/>
          <w:szCs w:val="22"/>
          <w:u w:val="single"/>
        </w:rPr>
      </w:pPr>
    </w:p>
    <w:p w14:paraId="5D456709" w14:textId="36741BFE" w:rsidR="007C7A6C" w:rsidRPr="00AC4DA1" w:rsidRDefault="007C7A6C" w:rsidP="00E318A6">
      <w:pPr>
        <w:pStyle w:val="Heading1"/>
        <w:rPr>
          <w:rFonts w:ascii="Times New Roman" w:hAnsi="Times New Roman"/>
          <w:sz w:val="22"/>
          <w:szCs w:val="22"/>
        </w:rPr>
      </w:pPr>
      <w:bookmarkStart w:id="9" w:name="_Toc114054359"/>
      <w:bookmarkStart w:id="10" w:name="_Toc128647490"/>
      <w:r w:rsidRPr="00AC4DA1">
        <w:rPr>
          <w:rFonts w:ascii="Times New Roman" w:hAnsi="Times New Roman"/>
          <w:sz w:val="22"/>
          <w:szCs w:val="22"/>
        </w:rPr>
        <w:t>RESUME EXECUTIF</w:t>
      </w:r>
      <w:bookmarkEnd w:id="9"/>
      <w:bookmarkEnd w:id="10"/>
      <w:r w:rsidRPr="00AC4DA1">
        <w:rPr>
          <w:rFonts w:ascii="Times New Roman" w:hAnsi="Times New Roman"/>
          <w:sz w:val="22"/>
          <w:szCs w:val="22"/>
        </w:rPr>
        <w:tab/>
        <w:t xml:space="preserve"> </w:t>
      </w:r>
    </w:p>
    <w:p w14:paraId="2B10E36C" w14:textId="77777777" w:rsidR="00FD3462" w:rsidRPr="00AC4DA1" w:rsidRDefault="00A747CE" w:rsidP="007C7A6C">
      <w:pPr>
        <w:spacing w:line="276" w:lineRule="auto"/>
        <w:jc w:val="both"/>
        <w:rPr>
          <w:sz w:val="22"/>
          <w:szCs w:val="22"/>
          <w:lang w:eastAsia="x-none"/>
        </w:rPr>
      </w:pPr>
      <w:r w:rsidRPr="00AC4DA1">
        <w:rPr>
          <w:sz w:val="22"/>
          <w:szCs w:val="22"/>
          <w:lang w:eastAsia="x-none"/>
        </w:rPr>
        <w:t>Au Mali, les personnes handicapées, estimées à 15,5% de la population font partie de la couche des plus pauvres</w:t>
      </w:r>
      <w:r w:rsidR="00AF02F0" w:rsidRPr="00AC4DA1">
        <w:rPr>
          <w:sz w:val="22"/>
          <w:szCs w:val="22"/>
          <w:lang w:eastAsia="x-none"/>
        </w:rPr>
        <w:t xml:space="preserve"> </w:t>
      </w:r>
      <w:r w:rsidR="005B63F5" w:rsidRPr="00AC4DA1">
        <w:rPr>
          <w:sz w:val="22"/>
          <w:szCs w:val="22"/>
          <w:lang w:eastAsia="x-none"/>
        </w:rPr>
        <w:t>selon le rapport mondial sur le handicap de la Banque Mondial et de l’OMS</w:t>
      </w:r>
      <w:r w:rsidR="009936AA" w:rsidRPr="00AC4DA1">
        <w:rPr>
          <w:sz w:val="22"/>
          <w:szCs w:val="22"/>
          <w:lang w:eastAsia="x-none"/>
        </w:rPr>
        <w:t>, publié en 2011</w:t>
      </w:r>
      <w:r w:rsidRPr="00AC4DA1">
        <w:rPr>
          <w:sz w:val="22"/>
          <w:szCs w:val="22"/>
          <w:lang w:eastAsia="x-none"/>
        </w:rPr>
        <w:t>.  Pour s’inscrire dans l’élan mondiale par rapport au respect des droits humains des personnes handicapées, en 200</w:t>
      </w:r>
      <w:r w:rsidR="00AF02F0" w:rsidRPr="00AC4DA1">
        <w:rPr>
          <w:sz w:val="22"/>
          <w:szCs w:val="22"/>
          <w:lang w:eastAsia="x-none"/>
        </w:rPr>
        <w:t>8</w:t>
      </w:r>
      <w:r w:rsidRPr="00AC4DA1">
        <w:rPr>
          <w:sz w:val="22"/>
          <w:szCs w:val="22"/>
          <w:lang w:eastAsia="x-none"/>
        </w:rPr>
        <w:t>, le Mali a ratifié la Convention International</w:t>
      </w:r>
      <w:r w:rsidR="00AF02F0" w:rsidRPr="00AC4DA1">
        <w:rPr>
          <w:sz w:val="22"/>
          <w:szCs w:val="22"/>
          <w:lang w:eastAsia="x-none"/>
        </w:rPr>
        <w:t>e</w:t>
      </w:r>
      <w:r w:rsidRPr="00AC4DA1">
        <w:rPr>
          <w:sz w:val="22"/>
          <w:szCs w:val="22"/>
          <w:lang w:eastAsia="x-none"/>
        </w:rPr>
        <w:t xml:space="preserve"> Relative aux Droits des Personnes handicapées (CRDPH). </w:t>
      </w:r>
    </w:p>
    <w:p w14:paraId="59B2CB25" w14:textId="77777777" w:rsidR="00FD3462" w:rsidRPr="00AC4DA1" w:rsidRDefault="00FD3462" w:rsidP="007C7A6C">
      <w:pPr>
        <w:spacing w:line="276" w:lineRule="auto"/>
        <w:jc w:val="both"/>
        <w:rPr>
          <w:sz w:val="22"/>
          <w:szCs w:val="22"/>
          <w:lang w:eastAsia="x-none"/>
        </w:rPr>
      </w:pPr>
    </w:p>
    <w:p w14:paraId="749BA117" w14:textId="506EB125" w:rsidR="007C7A6C" w:rsidRPr="00AC4DA1" w:rsidRDefault="00A747CE" w:rsidP="007C7A6C">
      <w:pPr>
        <w:spacing w:line="276" w:lineRule="auto"/>
        <w:jc w:val="both"/>
        <w:rPr>
          <w:sz w:val="22"/>
          <w:szCs w:val="22"/>
          <w:lang w:eastAsia="x-none"/>
        </w:rPr>
      </w:pPr>
      <w:r w:rsidRPr="00AC4DA1">
        <w:rPr>
          <w:sz w:val="22"/>
          <w:szCs w:val="22"/>
          <w:lang w:eastAsia="x-none"/>
        </w:rPr>
        <w:lastRenderedPageBreak/>
        <w:t>Dans le souci de promouvoir les droits des personnes handicapées au Mali</w:t>
      </w:r>
      <w:r w:rsidR="00AF02F0" w:rsidRPr="00AC4DA1">
        <w:rPr>
          <w:sz w:val="22"/>
          <w:szCs w:val="22"/>
          <w:lang w:eastAsia="x-none"/>
        </w:rPr>
        <w:t>, l</w:t>
      </w:r>
      <w:r w:rsidR="003F3F52" w:rsidRPr="00AC4DA1">
        <w:rPr>
          <w:sz w:val="22"/>
          <w:szCs w:val="22"/>
          <w:lang w:eastAsia="x-none"/>
        </w:rPr>
        <w:t>a</w:t>
      </w:r>
      <w:r w:rsidRPr="00AC4DA1">
        <w:rPr>
          <w:sz w:val="22"/>
          <w:szCs w:val="22"/>
          <w:lang w:eastAsia="x-none"/>
        </w:rPr>
        <w:t xml:space="preserve"> FEMAPH et les organisations de la société civile </w:t>
      </w:r>
      <w:r w:rsidR="007C7A6C" w:rsidRPr="00AC4DA1">
        <w:rPr>
          <w:sz w:val="22"/>
          <w:szCs w:val="22"/>
          <w:lang w:val="x-none" w:eastAsia="x-none"/>
        </w:rPr>
        <w:t xml:space="preserve">ont plaidé </w:t>
      </w:r>
      <w:r w:rsidRPr="00AC4DA1">
        <w:rPr>
          <w:sz w:val="22"/>
          <w:szCs w:val="22"/>
          <w:lang w:eastAsia="x-none"/>
        </w:rPr>
        <w:t>pour la mise en œuvre de la CRDPH à travers l’élaboration et l’adoption de la loi N</w:t>
      </w:r>
      <w:r w:rsidR="003F3F52" w:rsidRPr="00AC4DA1">
        <w:rPr>
          <w:sz w:val="22"/>
          <w:szCs w:val="22"/>
          <w:lang w:eastAsia="x-none"/>
        </w:rPr>
        <w:t xml:space="preserve">° 2018-027 </w:t>
      </w:r>
      <w:r w:rsidR="00AF02F0" w:rsidRPr="00AC4DA1">
        <w:rPr>
          <w:bCs/>
          <w:sz w:val="22"/>
          <w:szCs w:val="22"/>
        </w:rPr>
        <w:t>du 12 juin 2018 relative aux droits des personnes vivant avec un handicap.</w:t>
      </w:r>
      <w:r w:rsidR="00AF02F0" w:rsidRPr="00AC4DA1">
        <w:rPr>
          <w:sz w:val="22"/>
          <w:szCs w:val="22"/>
          <w:lang w:eastAsia="x-none"/>
        </w:rPr>
        <w:t xml:space="preserve"> </w:t>
      </w:r>
      <w:r w:rsidR="007C7A6C" w:rsidRPr="00AC4DA1">
        <w:rPr>
          <w:sz w:val="22"/>
          <w:szCs w:val="22"/>
          <w:lang w:val="x-none" w:eastAsia="x-none"/>
        </w:rPr>
        <w:t xml:space="preserve">Il s'agit d'un progrès considérable </w:t>
      </w:r>
      <w:r w:rsidR="005B63F5" w:rsidRPr="00AC4DA1">
        <w:rPr>
          <w:sz w:val="22"/>
          <w:szCs w:val="22"/>
          <w:lang w:eastAsia="x-none"/>
        </w:rPr>
        <w:t xml:space="preserve">du mouvement des personnes handicapées </w:t>
      </w:r>
      <w:r w:rsidR="007C7A6C" w:rsidRPr="00AC4DA1">
        <w:rPr>
          <w:sz w:val="22"/>
          <w:szCs w:val="22"/>
          <w:lang w:val="x-none" w:eastAsia="x-none"/>
        </w:rPr>
        <w:t xml:space="preserve">par rapport à </w:t>
      </w:r>
      <w:r w:rsidR="005B63F5" w:rsidRPr="00AC4DA1">
        <w:rPr>
          <w:sz w:val="22"/>
          <w:szCs w:val="22"/>
          <w:lang w:eastAsia="x-none"/>
        </w:rPr>
        <w:t>l’amélioration du cadre juridique</w:t>
      </w:r>
      <w:r w:rsidR="003F3F52" w:rsidRPr="00AC4DA1">
        <w:rPr>
          <w:sz w:val="22"/>
          <w:szCs w:val="22"/>
          <w:lang w:eastAsia="x-none"/>
        </w:rPr>
        <w:t xml:space="preserve">; </w:t>
      </w:r>
      <w:r w:rsidR="005B63F5" w:rsidRPr="00AC4DA1">
        <w:rPr>
          <w:sz w:val="22"/>
          <w:szCs w:val="22"/>
          <w:lang w:eastAsia="x-none"/>
        </w:rPr>
        <w:t>à l</w:t>
      </w:r>
      <w:r w:rsidR="003F3F52" w:rsidRPr="00AC4DA1">
        <w:rPr>
          <w:sz w:val="22"/>
          <w:szCs w:val="22"/>
          <w:lang w:eastAsia="x-none"/>
        </w:rPr>
        <w:t xml:space="preserve">’intégration de mesures spécifiques les concernant dans les politiques publiques; </w:t>
      </w:r>
      <w:r w:rsidR="005B63F5" w:rsidRPr="00AC4DA1">
        <w:rPr>
          <w:sz w:val="22"/>
          <w:szCs w:val="22"/>
          <w:lang w:eastAsia="x-none"/>
        </w:rPr>
        <w:t xml:space="preserve">à </w:t>
      </w:r>
      <w:r w:rsidR="003F3F52" w:rsidRPr="00AC4DA1">
        <w:rPr>
          <w:sz w:val="22"/>
          <w:szCs w:val="22"/>
          <w:lang w:eastAsia="x-none"/>
        </w:rPr>
        <w:t xml:space="preserve"> la consultation de la FEMAPH dans les différents cadres de concertation portant sur les actions du développement</w:t>
      </w:r>
      <w:r w:rsidR="005B63F5" w:rsidRPr="00AC4DA1">
        <w:rPr>
          <w:sz w:val="22"/>
          <w:szCs w:val="22"/>
          <w:lang w:eastAsia="x-none"/>
        </w:rPr>
        <w:t xml:space="preserve"> et à</w:t>
      </w:r>
      <w:r w:rsidR="003F3F52" w:rsidRPr="00AC4DA1">
        <w:rPr>
          <w:sz w:val="22"/>
          <w:szCs w:val="22"/>
          <w:lang w:eastAsia="x-none"/>
        </w:rPr>
        <w:t xml:space="preserve"> la représentation des personnes handicapées au sein des institutions de la République ouvertes aux organisations de la société civile.</w:t>
      </w:r>
      <w:r w:rsidR="00FD3462" w:rsidRPr="00AC4DA1">
        <w:rPr>
          <w:sz w:val="22"/>
          <w:szCs w:val="22"/>
          <w:lang w:eastAsia="x-none"/>
        </w:rPr>
        <w:t xml:space="preserve"> </w:t>
      </w:r>
      <w:r w:rsidR="007C7A6C" w:rsidRPr="00AC4DA1">
        <w:rPr>
          <w:sz w:val="22"/>
          <w:szCs w:val="22"/>
          <w:lang w:val="x-none" w:eastAsia="x-none"/>
        </w:rPr>
        <w:t xml:space="preserve">Le plaidoyer persistant, stratégique et coordonné des personnes handicapées a conduit à un changement de </w:t>
      </w:r>
      <w:r w:rsidR="003F3F52" w:rsidRPr="00AC4DA1">
        <w:rPr>
          <w:sz w:val="22"/>
          <w:szCs w:val="22"/>
          <w:lang w:eastAsia="x-none"/>
        </w:rPr>
        <w:t>paradigme notamment de la cohabitation des approches caritatives, médicales et sociales vers l’approche basée sur les droits de l’homme.</w:t>
      </w:r>
    </w:p>
    <w:p w14:paraId="3608750F" w14:textId="77777777" w:rsidR="00FD3462" w:rsidRPr="00AC4DA1" w:rsidRDefault="00FD3462" w:rsidP="007C7A6C">
      <w:pPr>
        <w:spacing w:line="276" w:lineRule="auto"/>
        <w:jc w:val="both"/>
        <w:rPr>
          <w:sz w:val="22"/>
          <w:szCs w:val="22"/>
          <w:lang w:eastAsia="x-none"/>
        </w:rPr>
      </w:pPr>
    </w:p>
    <w:p w14:paraId="3F07D5DC" w14:textId="14A283F5" w:rsidR="007C7A6C" w:rsidRPr="00AC4DA1" w:rsidRDefault="00FF7B5E" w:rsidP="007C7A6C">
      <w:pPr>
        <w:spacing w:line="276" w:lineRule="auto"/>
        <w:jc w:val="both"/>
        <w:rPr>
          <w:sz w:val="22"/>
          <w:szCs w:val="22"/>
          <w:lang w:eastAsia="x-none"/>
        </w:rPr>
      </w:pPr>
      <w:r w:rsidRPr="00AC4DA1">
        <w:rPr>
          <w:sz w:val="22"/>
          <w:szCs w:val="22"/>
          <w:lang w:eastAsia="x-none"/>
        </w:rPr>
        <w:t>L</w:t>
      </w:r>
      <w:r w:rsidRPr="00AC4DA1">
        <w:rPr>
          <w:sz w:val="22"/>
          <w:szCs w:val="22"/>
          <w:lang w:val="x-none" w:eastAsia="x-none"/>
        </w:rPr>
        <w:t>e</w:t>
      </w:r>
      <w:r w:rsidR="007C7A6C" w:rsidRPr="00AC4DA1">
        <w:rPr>
          <w:sz w:val="22"/>
          <w:szCs w:val="22"/>
          <w:lang w:val="x-none" w:eastAsia="x-none"/>
        </w:rPr>
        <w:t xml:space="preserve"> </w:t>
      </w:r>
      <w:r w:rsidR="009936AA" w:rsidRPr="00AC4DA1">
        <w:rPr>
          <w:sz w:val="22"/>
          <w:szCs w:val="22"/>
          <w:lang w:eastAsia="x-none"/>
        </w:rPr>
        <w:t xml:space="preserve">présent </w:t>
      </w:r>
      <w:r w:rsidR="007C7A6C" w:rsidRPr="00AC4DA1">
        <w:rPr>
          <w:sz w:val="22"/>
          <w:szCs w:val="22"/>
          <w:lang w:val="x-none" w:eastAsia="x-none"/>
        </w:rPr>
        <w:t xml:space="preserve">rapport </w:t>
      </w:r>
      <w:r w:rsidR="00387863" w:rsidRPr="00AC4DA1">
        <w:rPr>
          <w:sz w:val="22"/>
          <w:szCs w:val="22"/>
          <w:lang w:eastAsia="x-none"/>
        </w:rPr>
        <w:t>alternatif sur la mise en œuvre de la Convention Relative aux Droits des Personnes Handicapées</w:t>
      </w:r>
      <w:r w:rsidR="007C7A6C" w:rsidRPr="00AC4DA1">
        <w:rPr>
          <w:sz w:val="22"/>
          <w:szCs w:val="22"/>
          <w:lang w:eastAsia="x-none"/>
        </w:rPr>
        <w:t xml:space="preserve"> </w:t>
      </w:r>
      <w:r w:rsidR="007C7A6C" w:rsidRPr="00AC4DA1">
        <w:rPr>
          <w:sz w:val="22"/>
          <w:szCs w:val="22"/>
          <w:lang w:val="x-none" w:eastAsia="x-none"/>
        </w:rPr>
        <w:t>se concentre sur les secteurs critiques identifiés par l</w:t>
      </w:r>
      <w:r w:rsidR="007C7A6C" w:rsidRPr="00AC4DA1">
        <w:rPr>
          <w:sz w:val="22"/>
          <w:szCs w:val="22"/>
          <w:lang w:eastAsia="x-none"/>
        </w:rPr>
        <w:t>a FEMAPH</w:t>
      </w:r>
      <w:r w:rsidR="00387863" w:rsidRPr="00AC4DA1">
        <w:rPr>
          <w:sz w:val="22"/>
          <w:szCs w:val="22"/>
          <w:lang w:eastAsia="x-none"/>
        </w:rPr>
        <w:t xml:space="preserve">. </w:t>
      </w:r>
      <w:r w:rsidR="009936AA" w:rsidRPr="00AC4DA1">
        <w:rPr>
          <w:sz w:val="22"/>
          <w:szCs w:val="22"/>
          <w:lang w:eastAsia="x-none"/>
        </w:rPr>
        <w:t xml:space="preserve">Il </w:t>
      </w:r>
      <w:r w:rsidR="00387863" w:rsidRPr="00AC4DA1">
        <w:rPr>
          <w:sz w:val="22"/>
          <w:szCs w:val="22"/>
          <w:lang w:eastAsia="x-none"/>
        </w:rPr>
        <w:t>met en exergue pour chaque article de 1 à 33 de la CRDPH les mesures prévues dans la convention, les actions déclarées par l’</w:t>
      </w:r>
      <w:r w:rsidR="009936AA" w:rsidRPr="00AC4DA1">
        <w:rPr>
          <w:sz w:val="22"/>
          <w:szCs w:val="22"/>
          <w:lang w:eastAsia="x-none"/>
        </w:rPr>
        <w:t>E</w:t>
      </w:r>
      <w:r w:rsidR="00387863" w:rsidRPr="00AC4DA1">
        <w:rPr>
          <w:sz w:val="22"/>
          <w:szCs w:val="22"/>
          <w:lang w:eastAsia="x-none"/>
        </w:rPr>
        <w:t>tat dans son rapport et la situation vécue dans la pratique par les personnes handicapées</w:t>
      </w:r>
      <w:r w:rsidR="009936AA" w:rsidRPr="00AC4DA1">
        <w:rPr>
          <w:sz w:val="22"/>
          <w:szCs w:val="22"/>
          <w:lang w:eastAsia="x-none"/>
        </w:rPr>
        <w:t>.</w:t>
      </w:r>
      <w:r w:rsidR="00BD0DB4" w:rsidRPr="00AC4DA1">
        <w:rPr>
          <w:sz w:val="22"/>
          <w:szCs w:val="22"/>
          <w:lang w:eastAsia="x-none"/>
        </w:rPr>
        <w:t xml:space="preserve"> Il </w:t>
      </w:r>
      <w:r w:rsidR="007C7A6C" w:rsidRPr="00AC4DA1">
        <w:rPr>
          <w:sz w:val="22"/>
          <w:szCs w:val="22"/>
          <w:lang w:val="x-none" w:eastAsia="x-none"/>
        </w:rPr>
        <w:t xml:space="preserve">cherche à comprendre et à identifier </w:t>
      </w:r>
      <w:r w:rsidR="00BD0DB4" w:rsidRPr="00AC4DA1">
        <w:rPr>
          <w:sz w:val="22"/>
          <w:szCs w:val="22"/>
          <w:lang w:eastAsia="x-none"/>
        </w:rPr>
        <w:t xml:space="preserve">les avancées, </w:t>
      </w:r>
      <w:r w:rsidR="007C7A6C" w:rsidRPr="00AC4DA1">
        <w:rPr>
          <w:sz w:val="22"/>
          <w:szCs w:val="22"/>
          <w:lang w:val="x-none" w:eastAsia="x-none"/>
        </w:rPr>
        <w:t>les lacunes</w:t>
      </w:r>
      <w:r w:rsidR="00BD0DB4" w:rsidRPr="00AC4DA1">
        <w:rPr>
          <w:sz w:val="22"/>
          <w:szCs w:val="22"/>
          <w:lang w:eastAsia="x-none"/>
        </w:rPr>
        <w:t>,</w:t>
      </w:r>
      <w:r w:rsidR="007C7A6C" w:rsidRPr="00AC4DA1">
        <w:rPr>
          <w:sz w:val="22"/>
          <w:szCs w:val="22"/>
          <w:lang w:val="x-none" w:eastAsia="x-none"/>
        </w:rPr>
        <w:t xml:space="preserve"> les obstacles </w:t>
      </w:r>
      <w:r w:rsidR="00BD0DB4" w:rsidRPr="00AC4DA1">
        <w:rPr>
          <w:sz w:val="22"/>
          <w:szCs w:val="22"/>
          <w:lang w:val="x-none" w:eastAsia="x-none"/>
        </w:rPr>
        <w:t xml:space="preserve">et </w:t>
      </w:r>
      <w:r w:rsidR="00BD0DB4" w:rsidRPr="00AC4DA1">
        <w:rPr>
          <w:sz w:val="22"/>
          <w:szCs w:val="22"/>
          <w:lang w:eastAsia="x-none"/>
        </w:rPr>
        <w:t xml:space="preserve">les limites </w:t>
      </w:r>
      <w:r w:rsidR="007C7A6C" w:rsidRPr="00AC4DA1">
        <w:rPr>
          <w:sz w:val="22"/>
          <w:szCs w:val="22"/>
          <w:lang w:val="x-none" w:eastAsia="x-none"/>
        </w:rPr>
        <w:t xml:space="preserve">dans la mise en œuvre </w:t>
      </w:r>
      <w:r w:rsidR="00387863" w:rsidRPr="00AC4DA1">
        <w:rPr>
          <w:sz w:val="22"/>
          <w:szCs w:val="22"/>
          <w:lang w:eastAsia="x-none"/>
        </w:rPr>
        <w:t>de la CRDPH en faveur des</w:t>
      </w:r>
      <w:r w:rsidR="007C7A6C" w:rsidRPr="00AC4DA1">
        <w:rPr>
          <w:sz w:val="22"/>
          <w:szCs w:val="22"/>
          <w:lang w:val="x-none" w:eastAsia="x-none"/>
        </w:rPr>
        <w:t xml:space="preserve"> </w:t>
      </w:r>
      <w:r w:rsidR="007C7A6C" w:rsidRPr="00AC4DA1">
        <w:rPr>
          <w:sz w:val="22"/>
          <w:szCs w:val="22"/>
          <w:lang w:eastAsia="x-none"/>
        </w:rPr>
        <w:t>personnes</w:t>
      </w:r>
      <w:r w:rsidR="007C7A6C" w:rsidRPr="00AC4DA1">
        <w:rPr>
          <w:sz w:val="22"/>
          <w:szCs w:val="22"/>
          <w:lang w:val="x-none" w:eastAsia="x-none"/>
        </w:rPr>
        <w:t xml:space="preserve"> handicapées. </w:t>
      </w:r>
      <w:r w:rsidR="00BD0DB4" w:rsidRPr="00AC4DA1">
        <w:rPr>
          <w:sz w:val="22"/>
          <w:szCs w:val="22"/>
          <w:lang w:eastAsia="x-none"/>
        </w:rPr>
        <w:t>Il</w:t>
      </w:r>
      <w:r w:rsidR="007C7A6C" w:rsidRPr="00AC4DA1">
        <w:rPr>
          <w:sz w:val="22"/>
          <w:szCs w:val="22"/>
          <w:lang w:val="x-none" w:eastAsia="x-none"/>
        </w:rPr>
        <w:t xml:space="preserve"> décrit également les réformes et les mesures nécessaires pour garantir que toutes les </w:t>
      </w:r>
      <w:r w:rsidR="007C7A6C" w:rsidRPr="00AC4DA1">
        <w:rPr>
          <w:sz w:val="22"/>
          <w:szCs w:val="22"/>
          <w:lang w:eastAsia="x-none"/>
        </w:rPr>
        <w:t>personnes</w:t>
      </w:r>
      <w:r w:rsidR="007C7A6C" w:rsidRPr="00AC4DA1">
        <w:rPr>
          <w:sz w:val="22"/>
          <w:szCs w:val="22"/>
          <w:lang w:val="x-none" w:eastAsia="x-none"/>
        </w:rPr>
        <w:t xml:space="preserve"> handicapées </w:t>
      </w:r>
      <w:r w:rsidR="00BD0DB4" w:rsidRPr="00AC4DA1">
        <w:rPr>
          <w:sz w:val="22"/>
          <w:szCs w:val="22"/>
          <w:lang w:eastAsia="x-none"/>
        </w:rPr>
        <w:t>a</w:t>
      </w:r>
      <w:r w:rsidR="007C7A6C" w:rsidRPr="00AC4DA1">
        <w:rPr>
          <w:sz w:val="22"/>
          <w:szCs w:val="22"/>
          <w:lang w:eastAsia="x-none"/>
        </w:rPr>
        <w:t>u Mali</w:t>
      </w:r>
      <w:r w:rsidR="007C7A6C" w:rsidRPr="00AC4DA1">
        <w:rPr>
          <w:sz w:val="22"/>
          <w:szCs w:val="22"/>
          <w:lang w:val="x-none" w:eastAsia="x-none"/>
        </w:rPr>
        <w:t xml:space="preserve"> puissent jouir de leurs droits humains sur </w:t>
      </w:r>
      <w:r w:rsidR="00BD0DB4" w:rsidRPr="00AC4DA1">
        <w:rPr>
          <w:sz w:val="22"/>
          <w:szCs w:val="22"/>
          <w:lang w:eastAsia="x-none"/>
        </w:rPr>
        <w:t>le même</w:t>
      </w:r>
      <w:r w:rsidR="00BD0DB4" w:rsidRPr="00AC4DA1">
        <w:rPr>
          <w:sz w:val="22"/>
          <w:szCs w:val="22"/>
          <w:lang w:val="x-none" w:eastAsia="x-none"/>
        </w:rPr>
        <w:t xml:space="preserve"> pied</w:t>
      </w:r>
      <w:r w:rsidR="007C7A6C" w:rsidRPr="00AC4DA1">
        <w:rPr>
          <w:sz w:val="22"/>
          <w:szCs w:val="22"/>
          <w:lang w:val="x-none" w:eastAsia="x-none"/>
        </w:rPr>
        <w:t xml:space="preserve"> d'égalité avec les autres citoyens dans la mise en œuvre de</w:t>
      </w:r>
      <w:r w:rsidR="003F04EF" w:rsidRPr="00AC4DA1">
        <w:rPr>
          <w:sz w:val="22"/>
          <w:szCs w:val="22"/>
          <w:lang w:eastAsia="x-none"/>
        </w:rPr>
        <w:t>s actions</w:t>
      </w:r>
      <w:r w:rsidR="007C7A6C" w:rsidRPr="00AC4DA1">
        <w:rPr>
          <w:sz w:val="22"/>
          <w:szCs w:val="22"/>
          <w:lang w:val="x-none" w:eastAsia="x-none"/>
        </w:rPr>
        <w:t xml:space="preserve"> de développement.</w:t>
      </w:r>
    </w:p>
    <w:p w14:paraId="718C6FEC" w14:textId="77777777" w:rsidR="007C7A6C" w:rsidRPr="00AC4DA1" w:rsidRDefault="007C7A6C" w:rsidP="007C7A6C">
      <w:pPr>
        <w:spacing w:line="276" w:lineRule="auto"/>
        <w:jc w:val="both"/>
        <w:rPr>
          <w:sz w:val="22"/>
          <w:szCs w:val="22"/>
          <w:lang w:val="x-none" w:eastAsia="x-none"/>
        </w:rPr>
      </w:pPr>
    </w:p>
    <w:p w14:paraId="2AA43F20" w14:textId="1EE8D7E1" w:rsidR="007C7A6C" w:rsidRPr="00AC4DA1" w:rsidRDefault="007C7A6C" w:rsidP="007C7A6C">
      <w:pPr>
        <w:spacing w:line="276" w:lineRule="auto"/>
        <w:jc w:val="both"/>
        <w:rPr>
          <w:sz w:val="22"/>
          <w:szCs w:val="22"/>
          <w:lang w:val="x-none" w:eastAsia="x-none"/>
        </w:rPr>
      </w:pPr>
      <w:r w:rsidRPr="00AC4DA1">
        <w:rPr>
          <w:sz w:val="22"/>
          <w:szCs w:val="22"/>
          <w:lang w:val="x-none" w:eastAsia="x-none"/>
        </w:rPr>
        <w:t>L</w:t>
      </w:r>
      <w:r w:rsidRPr="00AC4DA1">
        <w:rPr>
          <w:sz w:val="22"/>
          <w:szCs w:val="22"/>
          <w:lang w:eastAsia="x-none"/>
        </w:rPr>
        <w:t>a</w:t>
      </w:r>
      <w:r w:rsidRPr="00AC4DA1">
        <w:rPr>
          <w:sz w:val="22"/>
          <w:szCs w:val="22"/>
          <w:lang w:val="x-none" w:eastAsia="x-none"/>
        </w:rPr>
        <w:t xml:space="preserve"> F</w:t>
      </w:r>
      <w:r w:rsidRPr="00AC4DA1">
        <w:rPr>
          <w:sz w:val="22"/>
          <w:szCs w:val="22"/>
          <w:lang w:eastAsia="x-none"/>
        </w:rPr>
        <w:t>EM</w:t>
      </w:r>
      <w:r w:rsidRPr="00AC4DA1">
        <w:rPr>
          <w:sz w:val="22"/>
          <w:szCs w:val="22"/>
          <w:lang w:val="x-none" w:eastAsia="x-none"/>
        </w:rPr>
        <w:t>APH considère ce rapport comme une source d’information, de renforcement de capacité</w:t>
      </w:r>
      <w:r w:rsidR="00BD0DB4" w:rsidRPr="00AC4DA1">
        <w:rPr>
          <w:sz w:val="22"/>
          <w:szCs w:val="22"/>
          <w:lang w:eastAsia="x-none"/>
        </w:rPr>
        <w:t>s</w:t>
      </w:r>
      <w:r w:rsidRPr="00AC4DA1">
        <w:rPr>
          <w:sz w:val="22"/>
          <w:szCs w:val="22"/>
          <w:lang w:val="x-none" w:eastAsia="x-none"/>
        </w:rPr>
        <w:t xml:space="preserve">, de sensibilisation, de plaidoyer et base de recherches futures. Elle </w:t>
      </w:r>
      <w:r w:rsidR="00BD0DB4" w:rsidRPr="00AC4DA1">
        <w:rPr>
          <w:sz w:val="22"/>
          <w:szCs w:val="22"/>
          <w:lang w:eastAsia="x-none"/>
        </w:rPr>
        <w:t xml:space="preserve">oriente les différents acteurs et </w:t>
      </w:r>
      <w:r w:rsidRPr="00AC4DA1">
        <w:rPr>
          <w:sz w:val="22"/>
          <w:szCs w:val="22"/>
          <w:lang w:val="x-none" w:eastAsia="x-none"/>
        </w:rPr>
        <w:t>conseille son utilisation aux personnes handicapées, leurs organisations, les organisations non gouvernementales, les décideurs publics, les médias</w:t>
      </w:r>
      <w:r w:rsidR="003F04EF" w:rsidRPr="00AC4DA1">
        <w:rPr>
          <w:sz w:val="22"/>
          <w:szCs w:val="22"/>
          <w:lang w:eastAsia="x-none"/>
        </w:rPr>
        <w:t xml:space="preserve"> </w:t>
      </w:r>
      <w:r w:rsidRPr="00AC4DA1">
        <w:rPr>
          <w:sz w:val="22"/>
          <w:szCs w:val="22"/>
          <w:lang w:val="x-none" w:eastAsia="x-none"/>
        </w:rPr>
        <w:t xml:space="preserve">et les institutions </w:t>
      </w:r>
      <w:r w:rsidR="003F04EF" w:rsidRPr="00AC4DA1">
        <w:rPr>
          <w:sz w:val="22"/>
          <w:szCs w:val="22"/>
          <w:lang w:eastAsia="x-none"/>
        </w:rPr>
        <w:t>de la République</w:t>
      </w:r>
      <w:r w:rsidRPr="00AC4DA1">
        <w:rPr>
          <w:sz w:val="22"/>
          <w:szCs w:val="22"/>
          <w:lang w:val="x-none" w:eastAsia="x-none"/>
        </w:rPr>
        <w:t xml:space="preserve">. </w:t>
      </w:r>
    </w:p>
    <w:p w14:paraId="0C94DD74" w14:textId="77777777" w:rsidR="00DD1E5D" w:rsidRPr="00AC4DA1" w:rsidRDefault="00DD1E5D" w:rsidP="003456F1">
      <w:pPr>
        <w:spacing w:line="276" w:lineRule="auto"/>
        <w:jc w:val="both"/>
        <w:rPr>
          <w:bCs/>
          <w:sz w:val="22"/>
          <w:szCs w:val="22"/>
        </w:rPr>
      </w:pPr>
    </w:p>
    <w:p w14:paraId="18517887" w14:textId="77777777" w:rsidR="00DD1E5D" w:rsidRPr="00AC4DA1" w:rsidRDefault="00DD1E5D" w:rsidP="003456F1">
      <w:pPr>
        <w:spacing w:line="276" w:lineRule="auto"/>
        <w:jc w:val="both"/>
        <w:rPr>
          <w:b/>
          <w:sz w:val="22"/>
          <w:szCs w:val="22"/>
          <w:u w:val="single"/>
        </w:rPr>
      </w:pPr>
    </w:p>
    <w:p w14:paraId="223EE85B" w14:textId="45114472" w:rsidR="00DD1E5D" w:rsidRPr="00AC4DA1" w:rsidRDefault="00DD1E5D" w:rsidP="003456F1">
      <w:pPr>
        <w:spacing w:line="276" w:lineRule="auto"/>
        <w:jc w:val="both"/>
        <w:rPr>
          <w:b/>
          <w:sz w:val="22"/>
          <w:szCs w:val="22"/>
          <w:u w:val="single"/>
        </w:rPr>
      </w:pPr>
    </w:p>
    <w:p w14:paraId="427B96F7" w14:textId="1A5B5B7F" w:rsidR="007251C6" w:rsidRPr="00AC4DA1" w:rsidRDefault="007251C6" w:rsidP="003456F1">
      <w:pPr>
        <w:spacing w:line="276" w:lineRule="auto"/>
        <w:jc w:val="both"/>
        <w:rPr>
          <w:b/>
          <w:sz w:val="22"/>
          <w:szCs w:val="22"/>
          <w:u w:val="single"/>
        </w:rPr>
      </w:pPr>
    </w:p>
    <w:p w14:paraId="3DD1E1D7" w14:textId="37D1D29E" w:rsidR="007251C6" w:rsidRPr="00AC4DA1" w:rsidRDefault="007251C6" w:rsidP="003456F1">
      <w:pPr>
        <w:spacing w:line="276" w:lineRule="auto"/>
        <w:jc w:val="both"/>
        <w:rPr>
          <w:b/>
          <w:sz w:val="22"/>
          <w:szCs w:val="22"/>
          <w:u w:val="single"/>
        </w:rPr>
      </w:pPr>
    </w:p>
    <w:p w14:paraId="0789C541" w14:textId="4B60F786" w:rsidR="007251C6" w:rsidRPr="00AC4DA1" w:rsidRDefault="007251C6" w:rsidP="003456F1">
      <w:pPr>
        <w:spacing w:line="276" w:lineRule="auto"/>
        <w:jc w:val="both"/>
        <w:rPr>
          <w:b/>
          <w:sz w:val="22"/>
          <w:szCs w:val="22"/>
          <w:u w:val="single"/>
        </w:rPr>
      </w:pPr>
    </w:p>
    <w:p w14:paraId="6204B043" w14:textId="68EAD959" w:rsidR="007251C6" w:rsidRPr="00AC4DA1" w:rsidRDefault="007251C6" w:rsidP="003456F1">
      <w:pPr>
        <w:spacing w:line="276" w:lineRule="auto"/>
        <w:jc w:val="both"/>
        <w:rPr>
          <w:b/>
          <w:sz w:val="22"/>
          <w:szCs w:val="22"/>
          <w:u w:val="single"/>
        </w:rPr>
      </w:pPr>
    </w:p>
    <w:p w14:paraId="14A11176" w14:textId="0227A573" w:rsidR="007251C6" w:rsidRPr="00AC4DA1" w:rsidRDefault="007251C6" w:rsidP="003456F1">
      <w:pPr>
        <w:spacing w:line="276" w:lineRule="auto"/>
        <w:jc w:val="both"/>
        <w:rPr>
          <w:b/>
          <w:sz w:val="22"/>
          <w:szCs w:val="22"/>
          <w:u w:val="single"/>
        </w:rPr>
      </w:pPr>
    </w:p>
    <w:p w14:paraId="4602EE7D" w14:textId="798416B6" w:rsidR="007251C6" w:rsidRPr="00AC4DA1" w:rsidRDefault="007251C6" w:rsidP="003456F1">
      <w:pPr>
        <w:spacing w:line="276" w:lineRule="auto"/>
        <w:jc w:val="both"/>
        <w:rPr>
          <w:b/>
          <w:sz w:val="22"/>
          <w:szCs w:val="22"/>
          <w:u w:val="single"/>
        </w:rPr>
      </w:pPr>
    </w:p>
    <w:p w14:paraId="5B684B23" w14:textId="4B1763D7" w:rsidR="007251C6" w:rsidRPr="00AC4DA1" w:rsidRDefault="007251C6" w:rsidP="003456F1">
      <w:pPr>
        <w:spacing w:line="276" w:lineRule="auto"/>
        <w:jc w:val="both"/>
        <w:rPr>
          <w:b/>
          <w:sz w:val="22"/>
          <w:szCs w:val="22"/>
          <w:u w:val="single"/>
        </w:rPr>
      </w:pPr>
    </w:p>
    <w:p w14:paraId="5B5E1F0C" w14:textId="44D9F76F" w:rsidR="007251C6" w:rsidRPr="00AC4DA1" w:rsidRDefault="007251C6" w:rsidP="003456F1">
      <w:pPr>
        <w:spacing w:line="276" w:lineRule="auto"/>
        <w:jc w:val="both"/>
        <w:rPr>
          <w:b/>
          <w:sz w:val="22"/>
          <w:szCs w:val="22"/>
          <w:u w:val="single"/>
        </w:rPr>
      </w:pPr>
    </w:p>
    <w:p w14:paraId="78F642A0" w14:textId="1A66E425" w:rsidR="007251C6" w:rsidRPr="00AC4DA1" w:rsidRDefault="007251C6" w:rsidP="003456F1">
      <w:pPr>
        <w:spacing w:line="276" w:lineRule="auto"/>
        <w:jc w:val="both"/>
        <w:rPr>
          <w:b/>
          <w:sz w:val="22"/>
          <w:szCs w:val="22"/>
          <w:u w:val="single"/>
        </w:rPr>
      </w:pPr>
    </w:p>
    <w:p w14:paraId="784B2832" w14:textId="7651EE50" w:rsidR="007251C6" w:rsidRPr="00AC4DA1" w:rsidRDefault="007251C6" w:rsidP="003456F1">
      <w:pPr>
        <w:spacing w:line="276" w:lineRule="auto"/>
        <w:jc w:val="both"/>
        <w:rPr>
          <w:b/>
          <w:sz w:val="22"/>
          <w:szCs w:val="22"/>
          <w:u w:val="single"/>
        </w:rPr>
      </w:pPr>
    </w:p>
    <w:p w14:paraId="40305F7C" w14:textId="77777777" w:rsidR="007251C6" w:rsidRPr="00AC4DA1" w:rsidRDefault="007251C6" w:rsidP="003456F1">
      <w:pPr>
        <w:spacing w:line="276" w:lineRule="auto"/>
        <w:jc w:val="both"/>
        <w:rPr>
          <w:b/>
          <w:sz w:val="22"/>
          <w:szCs w:val="22"/>
          <w:u w:val="single"/>
        </w:rPr>
      </w:pPr>
    </w:p>
    <w:p w14:paraId="4D52EF34" w14:textId="77777777" w:rsidR="00DD1E5D" w:rsidRPr="00AC4DA1" w:rsidRDefault="00DD1E5D" w:rsidP="003456F1">
      <w:pPr>
        <w:spacing w:line="276" w:lineRule="auto"/>
        <w:jc w:val="both"/>
        <w:rPr>
          <w:b/>
          <w:sz w:val="22"/>
          <w:szCs w:val="22"/>
          <w:u w:val="single"/>
        </w:rPr>
      </w:pPr>
    </w:p>
    <w:p w14:paraId="431B37E8" w14:textId="77777777" w:rsidR="00DD1E5D" w:rsidRPr="00AC4DA1" w:rsidRDefault="00DD1E5D" w:rsidP="003456F1">
      <w:pPr>
        <w:spacing w:line="276" w:lineRule="auto"/>
        <w:jc w:val="both"/>
        <w:rPr>
          <w:b/>
          <w:sz w:val="22"/>
          <w:szCs w:val="22"/>
          <w:u w:val="single"/>
        </w:rPr>
      </w:pPr>
    </w:p>
    <w:p w14:paraId="600CE8F1" w14:textId="77777777" w:rsidR="00DD1E5D" w:rsidRPr="00AC4DA1" w:rsidRDefault="00DD1E5D" w:rsidP="003456F1">
      <w:pPr>
        <w:spacing w:line="276" w:lineRule="auto"/>
        <w:jc w:val="both"/>
        <w:rPr>
          <w:b/>
          <w:sz w:val="22"/>
          <w:szCs w:val="22"/>
          <w:u w:val="single"/>
        </w:rPr>
      </w:pPr>
    </w:p>
    <w:p w14:paraId="4AE56665" w14:textId="00F09313" w:rsidR="00DD1E5D" w:rsidRPr="00AC4DA1" w:rsidRDefault="00DD1E5D" w:rsidP="003456F1">
      <w:pPr>
        <w:spacing w:line="276" w:lineRule="auto"/>
        <w:jc w:val="both"/>
        <w:rPr>
          <w:b/>
          <w:sz w:val="22"/>
          <w:szCs w:val="22"/>
          <w:u w:val="single"/>
        </w:rPr>
      </w:pPr>
    </w:p>
    <w:p w14:paraId="2846E5D1" w14:textId="42EB5952" w:rsidR="007C1F56" w:rsidRPr="00AC4DA1" w:rsidRDefault="007C1F56" w:rsidP="003456F1">
      <w:pPr>
        <w:spacing w:line="276" w:lineRule="auto"/>
        <w:jc w:val="both"/>
        <w:rPr>
          <w:b/>
          <w:sz w:val="22"/>
          <w:szCs w:val="22"/>
          <w:u w:val="single"/>
        </w:rPr>
      </w:pPr>
    </w:p>
    <w:p w14:paraId="59CE6E53" w14:textId="5F6B4BE7" w:rsidR="007C1F56" w:rsidRPr="00AC4DA1" w:rsidRDefault="007C1F56" w:rsidP="003456F1">
      <w:pPr>
        <w:spacing w:line="276" w:lineRule="auto"/>
        <w:jc w:val="both"/>
        <w:rPr>
          <w:b/>
          <w:sz w:val="22"/>
          <w:szCs w:val="22"/>
          <w:u w:val="single"/>
        </w:rPr>
      </w:pPr>
    </w:p>
    <w:p w14:paraId="324BD062" w14:textId="218615EC" w:rsidR="007C1F56" w:rsidRPr="00AC4DA1" w:rsidRDefault="007C1F56" w:rsidP="003456F1">
      <w:pPr>
        <w:spacing w:line="276" w:lineRule="auto"/>
        <w:jc w:val="both"/>
        <w:rPr>
          <w:b/>
          <w:sz w:val="22"/>
          <w:szCs w:val="22"/>
          <w:u w:val="single"/>
        </w:rPr>
      </w:pPr>
    </w:p>
    <w:p w14:paraId="3003BBCD" w14:textId="68D01FA7" w:rsidR="007C1F56" w:rsidRDefault="007C1F56" w:rsidP="003456F1">
      <w:pPr>
        <w:spacing w:line="276" w:lineRule="auto"/>
        <w:jc w:val="both"/>
        <w:rPr>
          <w:b/>
          <w:sz w:val="22"/>
          <w:szCs w:val="22"/>
          <w:u w:val="single"/>
        </w:rPr>
      </w:pPr>
    </w:p>
    <w:p w14:paraId="135B31BF" w14:textId="397C03AA" w:rsidR="00E53BAE" w:rsidRDefault="00E53BAE" w:rsidP="003456F1">
      <w:pPr>
        <w:spacing w:line="276" w:lineRule="auto"/>
        <w:jc w:val="both"/>
        <w:rPr>
          <w:b/>
          <w:sz w:val="22"/>
          <w:szCs w:val="22"/>
          <w:u w:val="single"/>
        </w:rPr>
      </w:pPr>
    </w:p>
    <w:p w14:paraId="65A571F0" w14:textId="1710F495" w:rsidR="00E53BAE" w:rsidRDefault="00E53BAE" w:rsidP="003456F1">
      <w:pPr>
        <w:spacing w:line="276" w:lineRule="auto"/>
        <w:jc w:val="both"/>
        <w:rPr>
          <w:b/>
          <w:sz w:val="22"/>
          <w:szCs w:val="22"/>
          <w:u w:val="single"/>
        </w:rPr>
      </w:pPr>
    </w:p>
    <w:p w14:paraId="0083BD4B" w14:textId="59018C75" w:rsidR="00E53BAE" w:rsidRDefault="00E53BAE" w:rsidP="003456F1">
      <w:pPr>
        <w:spacing w:line="276" w:lineRule="auto"/>
        <w:jc w:val="both"/>
        <w:rPr>
          <w:b/>
          <w:sz w:val="22"/>
          <w:szCs w:val="22"/>
          <w:u w:val="single"/>
        </w:rPr>
      </w:pPr>
    </w:p>
    <w:p w14:paraId="2B7656C6" w14:textId="75EBA8F1" w:rsidR="00E53BAE" w:rsidRDefault="00E53BAE" w:rsidP="003456F1">
      <w:pPr>
        <w:spacing w:line="276" w:lineRule="auto"/>
        <w:jc w:val="both"/>
        <w:rPr>
          <w:b/>
          <w:sz w:val="22"/>
          <w:szCs w:val="22"/>
          <w:u w:val="single"/>
        </w:rPr>
      </w:pPr>
    </w:p>
    <w:p w14:paraId="6CBD1C89" w14:textId="2DFC9EB2" w:rsidR="00E53BAE" w:rsidRDefault="00E53BAE" w:rsidP="003456F1">
      <w:pPr>
        <w:spacing w:line="276" w:lineRule="auto"/>
        <w:jc w:val="both"/>
        <w:rPr>
          <w:b/>
          <w:sz w:val="22"/>
          <w:szCs w:val="22"/>
          <w:u w:val="single"/>
        </w:rPr>
      </w:pPr>
    </w:p>
    <w:p w14:paraId="4F60CDEF" w14:textId="4FC9174D" w:rsidR="00E53BAE" w:rsidRDefault="00E53BAE" w:rsidP="003456F1">
      <w:pPr>
        <w:spacing w:line="276" w:lineRule="auto"/>
        <w:jc w:val="both"/>
        <w:rPr>
          <w:b/>
          <w:sz w:val="22"/>
          <w:szCs w:val="22"/>
          <w:u w:val="single"/>
        </w:rPr>
      </w:pPr>
    </w:p>
    <w:p w14:paraId="708FB7C4" w14:textId="5489CF64" w:rsidR="00E53BAE" w:rsidRDefault="00E53BAE" w:rsidP="003456F1">
      <w:pPr>
        <w:spacing w:line="276" w:lineRule="auto"/>
        <w:jc w:val="both"/>
        <w:rPr>
          <w:b/>
          <w:sz w:val="22"/>
          <w:szCs w:val="22"/>
          <w:u w:val="single"/>
        </w:rPr>
      </w:pPr>
    </w:p>
    <w:p w14:paraId="45E60C77" w14:textId="2579029B" w:rsidR="00E53BAE" w:rsidRDefault="00E53BAE" w:rsidP="003456F1">
      <w:pPr>
        <w:spacing w:line="276" w:lineRule="auto"/>
        <w:jc w:val="both"/>
        <w:rPr>
          <w:b/>
          <w:sz w:val="22"/>
          <w:szCs w:val="22"/>
          <w:u w:val="single"/>
        </w:rPr>
      </w:pPr>
    </w:p>
    <w:p w14:paraId="2E65B1D3" w14:textId="0E63CA5D" w:rsidR="00E53BAE" w:rsidRDefault="00E53BAE" w:rsidP="003456F1">
      <w:pPr>
        <w:spacing w:line="276" w:lineRule="auto"/>
        <w:jc w:val="both"/>
        <w:rPr>
          <w:b/>
          <w:sz w:val="22"/>
          <w:szCs w:val="22"/>
          <w:u w:val="single"/>
        </w:rPr>
      </w:pPr>
    </w:p>
    <w:p w14:paraId="15A4E43E" w14:textId="77777777" w:rsidR="00E53BAE" w:rsidRPr="00AC4DA1" w:rsidRDefault="00E53BAE" w:rsidP="003456F1">
      <w:pPr>
        <w:spacing w:line="276" w:lineRule="auto"/>
        <w:jc w:val="both"/>
        <w:rPr>
          <w:b/>
          <w:sz w:val="22"/>
          <w:szCs w:val="22"/>
          <w:u w:val="single"/>
        </w:rPr>
      </w:pPr>
    </w:p>
    <w:p w14:paraId="6ACC4946" w14:textId="77777777" w:rsidR="007C1F56" w:rsidRPr="00AC4DA1" w:rsidRDefault="007C1F56" w:rsidP="003456F1">
      <w:pPr>
        <w:spacing w:line="276" w:lineRule="auto"/>
        <w:jc w:val="both"/>
        <w:rPr>
          <w:b/>
          <w:sz w:val="22"/>
          <w:szCs w:val="22"/>
          <w:u w:val="single"/>
        </w:rPr>
      </w:pPr>
    </w:p>
    <w:p w14:paraId="6127492E" w14:textId="1ACBEB98" w:rsidR="00DD1E5D" w:rsidRPr="00E53BAE" w:rsidRDefault="007251C6" w:rsidP="007C1F56">
      <w:pPr>
        <w:pStyle w:val="IntenseQuote"/>
        <w:rPr>
          <w:sz w:val="36"/>
          <w:szCs w:val="36"/>
          <w:u w:val="single"/>
        </w:rPr>
      </w:pPr>
      <w:r w:rsidRPr="00E53BAE">
        <w:rPr>
          <w:sz w:val="36"/>
          <w:szCs w:val="36"/>
        </w:rPr>
        <w:t>Chapitre I : Aperçu général</w:t>
      </w:r>
    </w:p>
    <w:p w14:paraId="1FDA82EA" w14:textId="77777777" w:rsidR="00DD1E5D" w:rsidRPr="00AC4DA1" w:rsidRDefault="00DD1E5D" w:rsidP="003456F1">
      <w:pPr>
        <w:spacing w:line="276" w:lineRule="auto"/>
        <w:jc w:val="both"/>
        <w:rPr>
          <w:b/>
          <w:sz w:val="22"/>
          <w:szCs w:val="22"/>
          <w:u w:val="single"/>
        </w:rPr>
      </w:pPr>
    </w:p>
    <w:p w14:paraId="662FA04D" w14:textId="77777777" w:rsidR="00DD1E5D" w:rsidRPr="00AC4DA1" w:rsidRDefault="00DD1E5D" w:rsidP="003456F1">
      <w:pPr>
        <w:spacing w:line="276" w:lineRule="auto"/>
        <w:jc w:val="both"/>
        <w:rPr>
          <w:b/>
          <w:sz w:val="22"/>
          <w:szCs w:val="22"/>
          <w:u w:val="single"/>
        </w:rPr>
      </w:pPr>
    </w:p>
    <w:p w14:paraId="0CB060CB" w14:textId="117D0D06" w:rsidR="007C7A6C" w:rsidRPr="00AC4DA1" w:rsidRDefault="007C7A6C" w:rsidP="003456F1">
      <w:pPr>
        <w:spacing w:line="276" w:lineRule="auto"/>
        <w:jc w:val="both"/>
        <w:rPr>
          <w:b/>
          <w:sz w:val="22"/>
          <w:szCs w:val="22"/>
          <w:u w:val="single"/>
        </w:rPr>
      </w:pPr>
    </w:p>
    <w:p w14:paraId="0569634B" w14:textId="3712EBFE" w:rsidR="007C1F56" w:rsidRPr="00AC4DA1" w:rsidRDefault="007C1F56" w:rsidP="003456F1">
      <w:pPr>
        <w:spacing w:line="276" w:lineRule="auto"/>
        <w:jc w:val="both"/>
        <w:rPr>
          <w:b/>
          <w:sz w:val="22"/>
          <w:szCs w:val="22"/>
          <w:u w:val="single"/>
        </w:rPr>
      </w:pPr>
    </w:p>
    <w:p w14:paraId="6BF44E81" w14:textId="1674A5E6" w:rsidR="007C1F56" w:rsidRPr="00AC4DA1" w:rsidRDefault="007C1F56" w:rsidP="003456F1">
      <w:pPr>
        <w:spacing w:line="276" w:lineRule="auto"/>
        <w:jc w:val="both"/>
        <w:rPr>
          <w:b/>
          <w:sz w:val="22"/>
          <w:szCs w:val="22"/>
          <w:u w:val="single"/>
        </w:rPr>
      </w:pPr>
    </w:p>
    <w:p w14:paraId="140D25ED" w14:textId="57749F82" w:rsidR="007C1F56" w:rsidRPr="00AC4DA1" w:rsidRDefault="007C1F56" w:rsidP="003456F1">
      <w:pPr>
        <w:spacing w:line="276" w:lineRule="auto"/>
        <w:jc w:val="both"/>
        <w:rPr>
          <w:b/>
          <w:sz w:val="22"/>
          <w:szCs w:val="22"/>
          <w:u w:val="single"/>
        </w:rPr>
      </w:pPr>
    </w:p>
    <w:p w14:paraId="301810B9" w14:textId="26466286" w:rsidR="007C1F56" w:rsidRPr="00AC4DA1" w:rsidRDefault="007C1F56" w:rsidP="003456F1">
      <w:pPr>
        <w:spacing w:line="276" w:lineRule="auto"/>
        <w:jc w:val="both"/>
        <w:rPr>
          <w:b/>
          <w:sz w:val="22"/>
          <w:szCs w:val="22"/>
          <w:u w:val="single"/>
        </w:rPr>
      </w:pPr>
    </w:p>
    <w:p w14:paraId="753E75EF" w14:textId="783F480F" w:rsidR="007C1F56" w:rsidRPr="00AC4DA1" w:rsidRDefault="007C1F56" w:rsidP="003456F1">
      <w:pPr>
        <w:spacing w:line="276" w:lineRule="auto"/>
        <w:jc w:val="both"/>
        <w:rPr>
          <w:b/>
          <w:sz w:val="22"/>
          <w:szCs w:val="22"/>
          <w:u w:val="single"/>
        </w:rPr>
      </w:pPr>
    </w:p>
    <w:p w14:paraId="2EBC5991" w14:textId="0AC4DBBB" w:rsidR="007C1F56" w:rsidRPr="00AC4DA1" w:rsidRDefault="007C1F56" w:rsidP="003456F1">
      <w:pPr>
        <w:spacing w:line="276" w:lineRule="auto"/>
        <w:jc w:val="both"/>
        <w:rPr>
          <w:b/>
          <w:sz w:val="22"/>
          <w:szCs w:val="22"/>
          <w:u w:val="single"/>
        </w:rPr>
      </w:pPr>
    </w:p>
    <w:p w14:paraId="3D2E566C" w14:textId="35B63DA2" w:rsidR="007C1F56" w:rsidRPr="00AC4DA1" w:rsidRDefault="007C1F56" w:rsidP="003456F1">
      <w:pPr>
        <w:spacing w:line="276" w:lineRule="auto"/>
        <w:jc w:val="both"/>
        <w:rPr>
          <w:b/>
          <w:sz w:val="22"/>
          <w:szCs w:val="22"/>
          <w:u w:val="single"/>
        </w:rPr>
      </w:pPr>
    </w:p>
    <w:p w14:paraId="2B6745DF" w14:textId="33F04392" w:rsidR="007C1F56" w:rsidRPr="00AC4DA1" w:rsidRDefault="007C1F56" w:rsidP="003456F1">
      <w:pPr>
        <w:spacing w:line="276" w:lineRule="auto"/>
        <w:jc w:val="both"/>
        <w:rPr>
          <w:b/>
          <w:sz w:val="22"/>
          <w:szCs w:val="22"/>
          <w:u w:val="single"/>
        </w:rPr>
      </w:pPr>
    </w:p>
    <w:p w14:paraId="235CFD6D" w14:textId="4172F9B7" w:rsidR="007C1F56" w:rsidRPr="00AC4DA1" w:rsidRDefault="007C1F56" w:rsidP="003456F1">
      <w:pPr>
        <w:spacing w:line="276" w:lineRule="auto"/>
        <w:jc w:val="both"/>
        <w:rPr>
          <w:b/>
          <w:sz w:val="22"/>
          <w:szCs w:val="22"/>
          <w:u w:val="single"/>
        </w:rPr>
      </w:pPr>
    </w:p>
    <w:p w14:paraId="72E2C761" w14:textId="0107D5A5" w:rsidR="007C1F56" w:rsidRPr="00AC4DA1" w:rsidRDefault="007C1F56" w:rsidP="003456F1">
      <w:pPr>
        <w:spacing w:line="276" w:lineRule="auto"/>
        <w:jc w:val="both"/>
        <w:rPr>
          <w:b/>
          <w:sz w:val="22"/>
          <w:szCs w:val="22"/>
          <w:u w:val="single"/>
        </w:rPr>
      </w:pPr>
    </w:p>
    <w:p w14:paraId="249BC2BB" w14:textId="068A44B9" w:rsidR="007C1F56" w:rsidRPr="00AC4DA1" w:rsidRDefault="007C1F56" w:rsidP="003456F1">
      <w:pPr>
        <w:spacing w:line="276" w:lineRule="auto"/>
        <w:jc w:val="both"/>
        <w:rPr>
          <w:b/>
          <w:sz w:val="22"/>
          <w:szCs w:val="22"/>
          <w:u w:val="single"/>
        </w:rPr>
      </w:pPr>
    </w:p>
    <w:p w14:paraId="017B2273" w14:textId="6BE53834" w:rsidR="007C1F56" w:rsidRPr="00AC4DA1" w:rsidRDefault="007C1F56" w:rsidP="003456F1">
      <w:pPr>
        <w:spacing w:line="276" w:lineRule="auto"/>
        <w:jc w:val="both"/>
        <w:rPr>
          <w:b/>
          <w:sz w:val="22"/>
          <w:szCs w:val="22"/>
          <w:u w:val="single"/>
        </w:rPr>
      </w:pPr>
    </w:p>
    <w:p w14:paraId="53AA21B5" w14:textId="40DBFF49" w:rsidR="007C1F56" w:rsidRPr="00AC4DA1" w:rsidRDefault="007C1F56" w:rsidP="003456F1">
      <w:pPr>
        <w:spacing w:line="276" w:lineRule="auto"/>
        <w:jc w:val="both"/>
        <w:rPr>
          <w:b/>
          <w:sz w:val="22"/>
          <w:szCs w:val="22"/>
          <w:u w:val="single"/>
        </w:rPr>
      </w:pPr>
    </w:p>
    <w:p w14:paraId="52DD67E3" w14:textId="12E75D8A" w:rsidR="007C1F56" w:rsidRPr="00AC4DA1" w:rsidRDefault="007C1F56" w:rsidP="003456F1">
      <w:pPr>
        <w:spacing w:line="276" w:lineRule="auto"/>
        <w:jc w:val="both"/>
        <w:rPr>
          <w:b/>
          <w:sz w:val="22"/>
          <w:szCs w:val="22"/>
          <w:u w:val="single"/>
        </w:rPr>
      </w:pPr>
    </w:p>
    <w:p w14:paraId="50FC2417" w14:textId="74015F98" w:rsidR="007C1F56" w:rsidRPr="00AC4DA1" w:rsidRDefault="007C1F56" w:rsidP="003456F1">
      <w:pPr>
        <w:spacing w:line="276" w:lineRule="auto"/>
        <w:jc w:val="both"/>
        <w:rPr>
          <w:b/>
          <w:sz w:val="22"/>
          <w:szCs w:val="22"/>
          <w:u w:val="single"/>
        </w:rPr>
      </w:pPr>
    </w:p>
    <w:p w14:paraId="73BD30DE" w14:textId="3C08AF28" w:rsidR="007C1F56" w:rsidRPr="00AC4DA1" w:rsidRDefault="007C1F56" w:rsidP="003456F1">
      <w:pPr>
        <w:spacing w:line="276" w:lineRule="auto"/>
        <w:jc w:val="both"/>
        <w:rPr>
          <w:b/>
          <w:sz w:val="22"/>
          <w:szCs w:val="22"/>
          <w:u w:val="single"/>
        </w:rPr>
      </w:pPr>
    </w:p>
    <w:p w14:paraId="34346AC6" w14:textId="59F0EE38" w:rsidR="007C1F56" w:rsidRPr="00AC4DA1" w:rsidRDefault="007C1F56" w:rsidP="003456F1">
      <w:pPr>
        <w:spacing w:line="276" w:lineRule="auto"/>
        <w:jc w:val="both"/>
        <w:rPr>
          <w:b/>
          <w:sz w:val="22"/>
          <w:szCs w:val="22"/>
          <w:u w:val="single"/>
        </w:rPr>
      </w:pPr>
    </w:p>
    <w:p w14:paraId="0AEFAE58" w14:textId="28000AD6" w:rsidR="007C1F56" w:rsidRPr="00AC4DA1" w:rsidRDefault="007C1F56" w:rsidP="003456F1">
      <w:pPr>
        <w:spacing w:line="276" w:lineRule="auto"/>
        <w:jc w:val="both"/>
        <w:rPr>
          <w:b/>
          <w:sz w:val="22"/>
          <w:szCs w:val="22"/>
          <w:u w:val="single"/>
        </w:rPr>
      </w:pPr>
    </w:p>
    <w:p w14:paraId="24AC754E" w14:textId="071D08B5" w:rsidR="007C1F56" w:rsidRPr="00AC4DA1" w:rsidRDefault="007C1F56" w:rsidP="003456F1">
      <w:pPr>
        <w:spacing w:line="276" w:lineRule="auto"/>
        <w:jc w:val="both"/>
        <w:rPr>
          <w:b/>
          <w:sz w:val="22"/>
          <w:szCs w:val="22"/>
          <w:u w:val="single"/>
        </w:rPr>
      </w:pPr>
    </w:p>
    <w:p w14:paraId="7FE3B349" w14:textId="5D61E5D0" w:rsidR="007C1F56" w:rsidRPr="00AC4DA1" w:rsidRDefault="007C1F56" w:rsidP="003456F1">
      <w:pPr>
        <w:spacing w:line="276" w:lineRule="auto"/>
        <w:jc w:val="both"/>
        <w:rPr>
          <w:b/>
          <w:sz w:val="22"/>
          <w:szCs w:val="22"/>
          <w:u w:val="single"/>
        </w:rPr>
      </w:pPr>
    </w:p>
    <w:p w14:paraId="0FBA44CB" w14:textId="77EDC642" w:rsidR="007C1F56" w:rsidRPr="00AC4DA1" w:rsidRDefault="007C1F56" w:rsidP="003456F1">
      <w:pPr>
        <w:spacing w:line="276" w:lineRule="auto"/>
        <w:jc w:val="both"/>
        <w:rPr>
          <w:b/>
          <w:sz w:val="22"/>
          <w:szCs w:val="22"/>
          <w:u w:val="single"/>
        </w:rPr>
      </w:pPr>
    </w:p>
    <w:p w14:paraId="679056A8" w14:textId="58B9E182" w:rsidR="007C1F56" w:rsidRDefault="007C1F56" w:rsidP="003456F1">
      <w:pPr>
        <w:spacing w:line="276" w:lineRule="auto"/>
        <w:jc w:val="both"/>
        <w:rPr>
          <w:b/>
          <w:sz w:val="22"/>
          <w:szCs w:val="22"/>
          <w:u w:val="single"/>
        </w:rPr>
      </w:pPr>
    </w:p>
    <w:p w14:paraId="6E0D1E80" w14:textId="060ADF98" w:rsidR="00AC4DA1" w:rsidRDefault="00AC4DA1" w:rsidP="003456F1">
      <w:pPr>
        <w:spacing w:line="276" w:lineRule="auto"/>
        <w:jc w:val="both"/>
        <w:rPr>
          <w:b/>
          <w:sz w:val="22"/>
          <w:szCs w:val="22"/>
          <w:u w:val="single"/>
        </w:rPr>
      </w:pPr>
    </w:p>
    <w:p w14:paraId="6A308CD4" w14:textId="57400909" w:rsidR="00AC4DA1" w:rsidRDefault="00AC4DA1" w:rsidP="003456F1">
      <w:pPr>
        <w:spacing w:line="276" w:lineRule="auto"/>
        <w:jc w:val="both"/>
        <w:rPr>
          <w:b/>
          <w:sz w:val="22"/>
          <w:szCs w:val="22"/>
          <w:u w:val="single"/>
        </w:rPr>
      </w:pPr>
    </w:p>
    <w:p w14:paraId="4EA77B8E" w14:textId="1C12DD7A" w:rsidR="00AC4DA1" w:rsidRDefault="00AC4DA1" w:rsidP="003456F1">
      <w:pPr>
        <w:spacing w:line="276" w:lineRule="auto"/>
        <w:jc w:val="both"/>
        <w:rPr>
          <w:b/>
          <w:sz w:val="22"/>
          <w:szCs w:val="22"/>
          <w:u w:val="single"/>
        </w:rPr>
      </w:pPr>
    </w:p>
    <w:p w14:paraId="1AC75489" w14:textId="028EBE3F" w:rsidR="00AC4DA1" w:rsidRDefault="00AC4DA1" w:rsidP="003456F1">
      <w:pPr>
        <w:spacing w:line="276" w:lineRule="auto"/>
        <w:jc w:val="both"/>
        <w:rPr>
          <w:b/>
          <w:sz w:val="22"/>
          <w:szCs w:val="22"/>
          <w:u w:val="single"/>
        </w:rPr>
      </w:pPr>
    </w:p>
    <w:p w14:paraId="3925189B" w14:textId="3972EFA9" w:rsidR="00AC4DA1" w:rsidRDefault="00AC4DA1" w:rsidP="003456F1">
      <w:pPr>
        <w:spacing w:line="276" w:lineRule="auto"/>
        <w:jc w:val="both"/>
        <w:rPr>
          <w:b/>
          <w:sz w:val="22"/>
          <w:szCs w:val="22"/>
          <w:u w:val="single"/>
        </w:rPr>
      </w:pPr>
    </w:p>
    <w:p w14:paraId="0960E9C2" w14:textId="71471FF0" w:rsidR="00AC4DA1" w:rsidRDefault="00AC4DA1" w:rsidP="003456F1">
      <w:pPr>
        <w:spacing w:line="276" w:lineRule="auto"/>
        <w:jc w:val="both"/>
        <w:rPr>
          <w:b/>
          <w:sz w:val="22"/>
          <w:szCs w:val="22"/>
          <w:u w:val="single"/>
        </w:rPr>
      </w:pPr>
    </w:p>
    <w:p w14:paraId="2C768E57" w14:textId="2C7383FA" w:rsidR="007C1F56" w:rsidRPr="00AC4DA1" w:rsidRDefault="007C1F56" w:rsidP="007251C6">
      <w:pPr>
        <w:pStyle w:val="Heading1"/>
        <w:rPr>
          <w:rFonts w:ascii="Times New Roman" w:hAnsi="Times New Roman"/>
          <w:sz w:val="22"/>
          <w:szCs w:val="22"/>
          <w:u w:val="single"/>
        </w:rPr>
      </w:pPr>
      <w:bookmarkStart w:id="11" w:name="_Toc128647491"/>
      <w:r w:rsidRPr="00AC4DA1">
        <w:rPr>
          <w:rFonts w:ascii="Times New Roman" w:hAnsi="Times New Roman"/>
          <w:sz w:val="22"/>
          <w:szCs w:val="22"/>
        </w:rPr>
        <w:t>Chapitre I : Aperçu général</w:t>
      </w:r>
      <w:bookmarkEnd w:id="11"/>
    </w:p>
    <w:p w14:paraId="17F07F8D" w14:textId="00F70589" w:rsidR="007C7A6C" w:rsidRPr="00B51F23" w:rsidRDefault="001260B3" w:rsidP="00B51F23">
      <w:pPr>
        <w:pStyle w:val="Heading1"/>
        <w:rPr>
          <w:rFonts w:ascii="Times New Roman" w:hAnsi="Times New Roman"/>
          <w:sz w:val="22"/>
          <w:szCs w:val="22"/>
        </w:rPr>
      </w:pPr>
      <w:bookmarkStart w:id="12" w:name="_Toc128647492"/>
      <w:r w:rsidRPr="00AC4DA1">
        <w:rPr>
          <w:rFonts w:ascii="Times New Roman" w:hAnsi="Times New Roman"/>
          <w:sz w:val="22"/>
          <w:szCs w:val="22"/>
          <w:lang w:val="fr-FR"/>
        </w:rPr>
        <w:t xml:space="preserve">1.1 </w:t>
      </w:r>
      <w:r w:rsidR="007251C6" w:rsidRPr="00AC4DA1">
        <w:rPr>
          <w:rFonts w:ascii="Times New Roman" w:hAnsi="Times New Roman"/>
          <w:sz w:val="22"/>
          <w:szCs w:val="22"/>
        </w:rPr>
        <w:t>Introduction</w:t>
      </w:r>
      <w:bookmarkEnd w:id="12"/>
    </w:p>
    <w:p w14:paraId="677F70F3" w14:textId="6E33283C" w:rsidR="007C7A6C" w:rsidRPr="00AC4DA1" w:rsidRDefault="007C7A6C" w:rsidP="007C7A6C">
      <w:pPr>
        <w:spacing w:line="276" w:lineRule="auto"/>
        <w:jc w:val="both"/>
        <w:rPr>
          <w:bCs/>
          <w:sz w:val="22"/>
          <w:szCs w:val="22"/>
        </w:rPr>
      </w:pPr>
      <w:r w:rsidRPr="00AC4DA1">
        <w:rPr>
          <w:bCs/>
          <w:sz w:val="22"/>
          <w:szCs w:val="22"/>
        </w:rPr>
        <w:t xml:space="preserve">Le présent rapport alternatif sur la mise en œuvre de la CIDPH, adoptée le 13 décembre 2006, à New York, par la résolution 61/106 de l’Assemblée Générale des Nations Unies. Ce rapport qui se veut </w:t>
      </w:r>
      <w:r w:rsidR="00FD3462" w:rsidRPr="00AC4DA1">
        <w:rPr>
          <w:bCs/>
          <w:sz w:val="22"/>
          <w:szCs w:val="22"/>
        </w:rPr>
        <w:t>alternative à celui de l´État soumis d´après l´article 35 CDPH</w:t>
      </w:r>
      <w:r w:rsidRPr="00AC4DA1">
        <w:rPr>
          <w:bCs/>
          <w:sz w:val="22"/>
          <w:szCs w:val="22"/>
        </w:rPr>
        <w:t xml:space="preserve"> le 24 juin 2019. Dans la même dynamique, la FEMAPH en collaboration avec les Organisations des Personnes Handicapées, autres organisations de la société civile, de défense des droits de l’homme, les partenaires techniques et financiers élaborent le présent rapport alternatif à celui du gouvernement.</w:t>
      </w:r>
    </w:p>
    <w:p w14:paraId="1F1D00DB" w14:textId="77777777" w:rsidR="007C7A6C" w:rsidRPr="00AC4DA1" w:rsidRDefault="007C7A6C" w:rsidP="007C7A6C">
      <w:pPr>
        <w:spacing w:line="276" w:lineRule="auto"/>
        <w:jc w:val="both"/>
        <w:rPr>
          <w:bCs/>
          <w:sz w:val="22"/>
          <w:szCs w:val="22"/>
        </w:rPr>
      </w:pPr>
      <w:r w:rsidRPr="00AC4DA1">
        <w:rPr>
          <w:bCs/>
          <w:sz w:val="22"/>
          <w:szCs w:val="22"/>
        </w:rPr>
        <w:t xml:space="preserve">Il comprend deux (2) grands chapitres. La première qui est relative au contexte général, méthodologie et la seconde partie porte sur l’appréciation des OPH sur la mise en œuvre concernant chaque disposition de la Convention. Le Mali a signé la CDPH en 2007 et l’a ratifiée en 2008 en même temps que son protocole facultatif. </w:t>
      </w:r>
    </w:p>
    <w:p w14:paraId="16EEAFD8" w14:textId="5841913D" w:rsidR="007C7A6C" w:rsidRPr="00AC4DA1" w:rsidRDefault="001260B3" w:rsidP="007251C6">
      <w:pPr>
        <w:pStyle w:val="Heading1"/>
        <w:rPr>
          <w:rFonts w:ascii="Times New Roman" w:hAnsi="Times New Roman"/>
          <w:sz w:val="22"/>
          <w:szCs w:val="22"/>
        </w:rPr>
      </w:pPr>
      <w:bookmarkStart w:id="13" w:name="_Toc128647493"/>
      <w:r w:rsidRPr="00AC4DA1">
        <w:rPr>
          <w:rFonts w:ascii="Times New Roman" w:hAnsi="Times New Roman"/>
          <w:sz w:val="22"/>
          <w:szCs w:val="22"/>
          <w:lang w:val="fr-FR"/>
        </w:rPr>
        <w:lastRenderedPageBreak/>
        <w:t xml:space="preserve">1.2 </w:t>
      </w:r>
      <w:r w:rsidR="007C7A6C" w:rsidRPr="00AC4DA1">
        <w:rPr>
          <w:rFonts w:ascii="Times New Roman" w:hAnsi="Times New Roman"/>
          <w:sz w:val="22"/>
          <w:szCs w:val="22"/>
        </w:rPr>
        <w:t>Contexte général</w:t>
      </w:r>
      <w:bookmarkEnd w:id="13"/>
    </w:p>
    <w:p w14:paraId="5DDCB2A8" w14:textId="77777777" w:rsidR="007C7A6C" w:rsidRPr="00AC4DA1" w:rsidRDefault="007C7A6C" w:rsidP="007C7A6C">
      <w:pPr>
        <w:spacing w:line="276" w:lineRule="auto"/>
        <w:jc w:val="both"/>
        <w:rPr>
          <w:bCs/>
          <w:sz w:val="22"/>
          <w:szCs w:val="22"/>
        </w:rPr>
      </w:pPr>
      <w:r w:rsidRPr="00AC4DA1">
        <w:rPr>
          <w:bCs/>
          <w:sz w:val="22"/>
          <w:szCs w:val="22"/>
        </w:rPr>
        <w:t>Le Mali avec ses 1 241 238 kilomètres carrés est le plus grand pays des Etats d’Afrique de l’Ouest après le Niger. Il est traversé par deux grands fleuves, le Niger et le Sénégal et fait frontière avec sept pays dont le Niger, le Burkina Faso, la Mauritanie, le Sénégal, la Côte d’Ivoire, la Guinée et l’Algérie. Le Sud est divisé en cinq (5) régions dont les régions de Kayes, Koulikoro, Sikasso, Ségou, Mopti et le District de Bamako. Le nord est divisé entre les régions de Gao, Tombouctou et Kidal. Le territoire est divisé en huit (8) régions, un District et 703 communes dont 666 rurales.</w:t>
      </w:r>
    </w:p>
    <w:p w14:paraId="76BEB1EB" w14:textId="77777777" w:rsidR="007C7A6C" w:rsidRPr="00AC4DA1" w:rsidRDefault="007C7A6C" w:rsidP="007C7A6C">
      <w:pPr>
        <w:spacing w:line="276" w:lineRule="auto"/>
        <w:jc w:val="both"/>
        <w:rPr>
          <w:bCs/>
          <w:sz w:val="22"/>
          <w:szCs w:val="22"/>
        </w:rPr>
      </w:pPr>
      <w:r w:rsidRPr="00AC4DA1">
        <w:rPr>
          <w:bCs/>
          <w:sz w:val="22"/>
          <w:szCs w:val="22"/>
        </w:rPr>
        <w:t>La population résidente est estimée en 2009 à 14 528 662 habitants dont 50,4% de femmes et 65 % de personnes de moins de 25 ans.</w:t>
      </w:r>
    </w:p>
    <w:p w14:paraId="0CBC6AE0" w14:textId="77777777" w:rsidR="007C7A6C" w:rsidRPr="00AC4DA1" w:rsidRDefault="007C7A6C" w:rsidP="007C7A6C">
      <w:pPr>
        <w:spacing w:line="276" w:lineRule="auto"/>
        <w:jc w:val="both"/>
        <w:rPr>
          <w:bCs/>
          <w:sz w:val="22"/>
          <w:szCs w:val="22"/>
        </w:rPr>
      </w:pPr>
      <w:r w:rsidRPr="00AC4DA1">
        <w:rPr>
          <w:bCs/>
          <w:sz w:val="22"/>
          <w:szCs w:val="22"/>
        </w:rPr>
        <w:t xml:space="preserve">La densité de la population, très variable, passe de 90 habitants/km² dans le delta central du Niger à moins de 5 habitants/km² dans la région saharienne du Nord. La population est concentrée dans la partie Sud du pays et le long du fleuve Niger. Les régions de Ségou, Sikasso et Koulikoro abritent 51% de la population tandis que les trois régions du Nord (Gao, Tombouctou et Kidal) comptent seulement 9% de la population totale (RGPH 2009). </w:t>
      </w:r>
    </w:p>
    <w:p w14:paraId="335CD96F" w14:textId="77777777" w:rsidR="007C7A6C" w:rsidRPr="00AC4DA1" w:rsidRDefault="007C7A6C" w:rsidP="007C7A6C">
      <w:pPr>
        <w:spacing w:line="276" w:lineRule="auto"/>
        <w:jc w:val="both"/>
        <w:rPr>
          <w:bCs/>
          <w:sz w:val="22"/>
          <w:szCs w:val="22"/>
        </w:rPr>
      </w:pPr>
    </w:p>
    <w:p w14:paraId="0C0E4ACC" w14:textId="77777777" w:rsidR="007C7A6C" w:rsidRPr="00AC4DA1" w:rsidRDefault="007C7A6C" w:rsidP="007C7A6C">
      <w:pPr>
        <w:spacing w:line="276" w:lineRule="auto"/>
        <w:jc w:val="both"/>
        <w:rPr>
          <w:bCs/>
          <w:sz w:val="22"/>
          <w:szCs w:val="22"/>
        </w:rPr>
      </w:pPr>
      <w:r w:rsidRPr="00AC4DA1">
        <w:rPr>
          <w:bCs/>
          <w:sz w:val="22"/>
          <w:szCs w:val="22"/>
        </w:rPr>
        <w:t xml:space="preserve">L’économie du pays repose principalement sur l’agriculture et le secteur informel.  </w:t>
      </w:r>
    </w:p>
    <w:p w14:paraId="1B5834ED" w14:textId="77777777" w:rsidR="007C7A6C" w:rsidRPr="00AC4DA1" w:rsidRDefault="007C7A6C" w:rsidP="007C7A6C">
      <w:pPr>
        <w:spacing w:line="276" w:lineRule="auto"/>
        <w:jc w:val="both"/>
        <w:rPr>
          <w:bCs/>
          <w:sz w:val="22"/>
          <w:szCs w:val="22"/>
        </w:rPr>
      </w:pPr>
    </w:p>
    <w:p w14:paraId="21F32025" w14:textId="77777777" w:rsidR="007C7A6C" w:rsidRPr="00AC4DA1" w:rsidRDefault="007C7A6C" w:rsidP="007C7A6C">
      <w:pPr>
        <w:spacing w:line="276" w:lineRule="auto"/>
        <w:jc w:val="both"/>
        <w:rPr>
          <w:bCs/>
          <w:sz w:val="22"/>
          <w:szCs w:val="22"/>
        </w:rPr>
      </w:pPr>
      <w:r w:rsidRPr="00AC4DA1">
        <w:rPr>
          <w:bCs/>
          <w:sz w:val="22"/>
          <w:szCs w:val="22"/>
        </w:rPr>
        <w:t>Le taux de pauvreté est passé de 55,6% en 2001 à 47,4 en 2006 et à 46,3% en 2010. De 2001 à 2010, il a passé de 65% à 51% en milieu rural et de 35% à 31 % dans les autres milieux urbains et de 18% à 10% à Bamako.</w:t>
      </w:r>
    </w:p>
    <w:p w14:paraId="1822649B" w14:textId="23830A38" w:rsidR="00CB5417" w:rsidRPr="00AC4DA1" w:rsidRDefault="001260B3" w:rsidP="0040329E">
      <w:pPr>
        <w:pStyle w:val="Heading1"/>
        <w:rPr>
          <w:rFonts w:ascii="Times New Roman" w:hAnsi="Times New Roman"/>
          <w:sz w:val="22"/>
          <w:szCs w:val="22"/>
        </w:rPr>
      </w:pPr>
      <w:bookmarkStart w:id="14" w:name="_Toc128647494"/>
      <w:r w:rsidRPr="00AC4DA1">
        <w:rPr>
          <w:rFonts w:ascii="Times New Roman" w:hAnsi="Times New Roman"/>
          <w:sz w:val="22"/>
          <w:szCs w:val="22"/>
          <w:lang w:val="fr-FR"/>
        </w:rPr>
        <w:t xml:space="preserve">1.3 </w:t>
      </w:r>
      <w:r w:rsidR="007C7A6C" w:rsidRPr="00AC4DA1">
        <w:rPr>
          <w:rFonts w:ascii="Times New Roman" w:hAnsi="Times New Roman"/>
          <w:sz w:val="22"/>
          <w:szCs w:val="22"/>
        </w:rPr>
        <w:t>Situation des Personnes handicapées au Mali</w:t>
      </w:r>
      <w:bookmarkEnd w:id="14"/>
    </w:p>
    <w:p w14:paraId="4E48F306" w14:textId="434A4BD2" w:rsidR="007C7A6C" w:rsidRPr="00AC4DA1" w:rsidRDefault="007C7A6C" w:rsidP="007C7A6C">
      <w:pPr>
        <w:spacing w:line="276" w:lineRule="auto"/>
        <w:jc w:val="both"/>
        <w:rPr>
          <w:bCs/>
          <w:sz w:val="22"/>
          <w:szCs w:val="22"/>
        </w:rPr>
      </w:pPr>
      <w:r w:rsidRPr="00AC4DA1">
        <w:rPr>
          <w:bCs/>
          <w:sz w:val="22"/>
          <w:szCs w:val="22"/>
        </w:rPr>
        <w:t>Au Mali, le manque de statistiques et de données socio-économiques, politiques et culturelles sur le handicap ne favorise pas la prise en compte des besoins des personnes handicapées dans les initiatives de réduction de la pauvreté.</w:t>
      </w:r>
      <w:r w:rsidR="00CB5417" w:rsidRPr="00AC4DA1">
        <w:rPr>
          <w:bCs/>
          <w:sz w:val="22"/>
          <w:szCs w:val="22"/>
        </w:rPr>
        <w:t xml:space="preserve"> </w:t>
      </w:r>
      <w:r w:rsidRPr="00AC4DA1">
        <w:rPr>
          <w:bCs/>
          <w:sz w:val="22"/>
          <w:szCs w:val="22"/>
        </w:rPr>
        <w:t xml:space="preserve">Depuis des années, elles ont été toujours estimées à 10% de la population. </w:t>
      </w:r>
    </w:p>
    <w:p w14:paraId="5FA001C6" w14:textId="54E44C5F" w:rsidR="007C7A6C" w:rsidRPr="00AC4DA1" w:rsidRDefault="007C7A6C" w:rsidP="007C7A6C">
      <w:pPr>
        <w:spacing w:line="276" w:lineRule="auto"/>
        <w:jc w:val="both"/>
        <w:rPr>
          <w:bCs/>
          <w:sz w:val="22"/>
          <w:szCs w:val="22"/>
        </w:rPr>
      </w:pPr>
      <w:r w:rsidRPr="00AC4DA1">
        <w:rPr>
          <w:bCs/>
          <w:sz w:val="22"/>
          <w:szCs w:val="22"/>
        </w:rPr>
        <w:lastRenderedPageBreak/>
        <w:t>Dans le dernier rapport mondial de l’Organisation Mondiale de la Santé (OMS) sur le handicap publié en 2011, les personnes Handicapées sont estimées à 15% de la population mondiale. Elles sont les plus pauvres des pauvres et les plus vulnérables à cause de leur situation de handicap.</w:t>
      </w:r>
    </w:p>
    <w:p w14:paraId="19617CBA" w14:textId="6FF9E46C" w:rsidR="00CB5417" w:rsidRPr="00AC4DA1" w:rsidRDefault="00A1154B" w:rsidP="007C7A6C">
      <w:pPr>
        <w:spacing w:line="276" w:lineRule="auto"/>
        <w:jc w:val="both"/>
        <w:rPr>
          <w:bCs/>
          <w:sz w:val="22"/>
          <w:szCs w:val="22"/>
        </w:rPr>
      </w:pPr>
      <w:r w:rsidRPr="00AC4DA1">
        <w:rPr>
          <w:bCs/>
          <w:sz w:val="22"/>
          <w:szCs w:val="22"/>
        </w:rPr>
        <w:t>Au Mali a</w:t>
      </w:r>
      <w:r w:rsidR="007C7A6C" w:rsidRPr="00AC4DA1">
        <w:rPr>
          <w:bCs/>
          <w:sz w:val="22"/>
          <w:szCs w:val="22"/>
        </w:rPr>
        <w:t xml:space="preserve">vec les efforts conjugués des autorités, des partenaires et des personnes handicapées </w:t>
      </w:r>
      <w:r w:rsidR="00CB5417" w:rsidRPr="00AC4DA1">
        <w:rPr>
          <w:bCs/>
          <w:sz w:val="22"/>
          <w:szCs w:val="22"/>
        </w:rPr>
        <w:t>elles-mêmes</w:t>
      </w:r>
      <w:r w:rsidR="007C7A6C" w:rsidRPr="00AC4DA1">
        <w:rPr>
          <w:bCs/>
          <w:sz w:val="22"/>
          <w:szCs w:val="22"/>
        </w:rPr>
        <w:t>, la notion de handicap a beaucoup évolué au cours des âges et continue à évoluer mais globalement elles sont toujours victimes de certaines inégalités qui affectent leur participation effective au processus de développemen</w:t>
      </w:r>
      <w:r w:rsidRPr="00AC4DA1">
        <w:rPr>
          <w:bCs/>
          <w:sz w:val="22"/>
          <w:szCs w:val="22"/>
        </w:rPr>
        <w:t>t</w:t>
      </w:r>
      <w:r w:rsidR="007C7A6C" w:rsidRPr="00AC4DA1">
        <w:rPr>
          <w:bCs/>
          <w:sz w:val="22"/>
          <w:szCs w:val="22"/>
        </w:rPr>
        <w:t>.</w:t>
      </w:r>
    </w:p>
    <w:p w14:paraId="6A8BCBD2" w14:textId="351CD6DF" w:rsidR="00CB5417" w:rsidRPr="00AC4DA1" w:rsidRDefault="001260B3" w:rsidP="007C1F56">
      <w:pPr>
        <w:pStyle w:val="Heading1"/>
        <w:rPr>
          <w:rFonts w:ascii="Times New Roman" w:hAnsi="Times New Roman"/>
          <w:sz w:val="22"/>
          <w:szCs w:val="22"/>
        </w:rPr>
      </w:pPr>
      <w:bookmarkStart w:id="15" w:name="_Toc128647495"/>
      <w:r w:rsidRPr="00AC4DA1">
        <w:rPr>
          <w:rFonts w:ascii="Times New Roman" w:hAnsi="Times New Roman"/>
          <w:sz w:val="22"/>
          <w:szCs w:val="22"/>
          <w:lang w:val="fr-FR"/>
        </w:rPr>
        <w:t xml:space="preserve">1.4 </w:t>
      </w:r>
      <w:r w:rsidR="007C7A6C" w:rsidRPr="00AC4DA1">
        <w:rPr>
          <w:rFonts w:ascii="Times New Roman" w:hAnsi="Times New Roman"/>
          <w:sz w:val="22"/>
          <w:szCs w:val="22"/>
        </w:rPr>
        <w:t>Historique du mouvement des Personnes Handicapées au Mali</w:t>
      </w:r>
      <w:bookmarkEnd w:id="15"/>
    </w:p>
    <w:p w14:paraId="49F68B04" w14:textId="1118537D" w:rsidR="00CB5417" w:rsidRPr="00AC4DA1" w:rsidRDefault="007C7A6C" w:rsidP="007C7A6C">
      <w:pPr>
        <w:spacing w:line="276" w:lineRule="auto"/>
        <w:jc w:val="both"/>
        <w:rPr>
          <w:bCs/>
          <w:sz w:val="22"/>
          <w:szCs w:val="22"/>
        </w:rPr>
      </w:pPr>
      <w:r w:rsidRPr="00AC4DA1">
        <w:rPr>
          <w:bCs/>
          <w:sz w:val="22"/>
          <w:szCs w:val="22"/>
        </w:rPr>
        <w:t xml:space="preserve">Après les grandes sécheresses des années 1970, des aides humanitaires étaient fournies par les autorités maliennes à l’époque et les personnes de bonne volonté à des nécessiteux. Ces actions humanitaires avaient pour but de venir en aide à des populations pauvres composées essentiellement de personnes handicapées démunies.  Dans le souci de renforcer la solidarité entre elles et pour que cette aide soit mieux organisée, </w:t>
      </w:r>
      <w:r w:rsidR="009A0233" w:rsidRPr="00AC4DA1">
        <w:rPr>
          <w:bCs/>
          <w:sz w:val="22"/>
          <w:szCs w:val="22"/>
        </w:rPr>
        <w:t>d</w:t>
      </w:r>
      <w:r w:rsidRPr="00AC4DA1">
        <w:rPr>
          <w:bCs/>
          <w:sz w:val="22"/>
          <w:szCs w:val="22"/>
        </w:rPr>
        <w:t xml:space="preserve">es </w:t>
      </w:r>
      <w:r w:rsidR="009A0233" w:rsidRPr="00AC4DA1">
        <w:rPr>
          <w:bCs/>
          <w:sz w:val="22"/>
          <w:szCs w:val="22"/>
        </w:rPr>
        <w:t>p</w:t>
      </w:r>
      <w:r w:rsidRPr="00AC4DA1">
        <w:rPr>
          <w:bCs/>
          <w:sz w:val="22"/>
          <w:szCs w:val="22"/>
        </w:rPr>
        <w:t xml:space="preserve">ersonnes </w:t>
      </w:r>
      <w:r w:rsidR="009A0233" w:rsidRPr="00AC4DA1">
        <w:rPr>
          <w:bCs/>
          <w:sz w:val="22"/>
          <w:szCs w:val="22"/>
        </w:rPr>
        <w:t>h</w:t>
      </w:r>
      <w:r w:rsidRPr="00AC4DA1">
        <w:rPr>
          <w:bCs/>
          <w:sz w:val="22"/>
          <w:szCs w:val="22"/>
        </w:rPr>
        <w:t>andicapées se sont regroupées en associations dont la première fût l’Union Malienne des Aveugles (UMAV), créée en 1972 et la 2e qui est l’Association Malienne des Personnes Handicapées Physiques (AMPHP), créée en 1973. Depuis cette date, l’émergence des Associations de Personnes Handicapées a continué. C’est ainsi que toutes les grandes sensibilités se sont regroupées en Association. Dans cette même mouvance, d’autres associations visant les mêmes objectifs, ont vu le jour. La diversité de ces associations a donné naissance à l’idée de la création d’une fédération en 1982. Elle s’est fixée comme préoccupations majeures la promotion et la défense de tous les droits des Personnes handicapées.</w:t>
      </w:r>
    </w:p>
    <w:p w14:paraId="6BD2736E" w14:textId="1F9C10D1" w:rsidR="00CA6293" w:rsidRPr="00B51F23" w:rsidRDefault="001260B3" w:rsidP="00B51F23">
      <w:pPr>
        <w:pStyle w:val="Heading1"/>
        <w:rPr>
          <w:rFonts w:ascii="Times New Roman" w:hAnsi="Times New Roman"/>
          <w:sz w:val="22"/>
          <w:szCs w:val="22"/>
        </w:rPr>
      </w:pPr>
      <w:bookmarkStart w:id="16" w:name="_Toc128647496"/>
      <w:r w:rsidRPr="00AC4DA1">
        <w:rPr>
          <w:rFonts w:ascii="Times New Roman" w:hAnsi="Times New Roman"/>
          <w:sz w:val="22"/>
          <w:szCs w:val="22"/>
          <w:lang w:val="fr-FR"/>
        </w:rPr>
        <w:t xml:space="preserve">1.5 </w:t>
      </w:r>
      <w:r w:rsidR="007C7A6C" w:rsidRPr="00AC4DA1">
        <w:rPr>
          <w:rFonts w:ascii="Times New Roman" w:hAnsi="Times New Roman"/>
          <w:sz w:val="22"/>
          <w:szCs w:val="22"/>
        </w:rPr>
        <w:t>Présentation de la FEMAPH</w:t>
      </w:r>
      <w:bookmarkEnd w:id="16"/>
    </w:p>
    <w:p w14:paraId="5D720333" w14:textId="3ACE64EA" w:rsidR="007C7A6C" w:rsidRPr="00AC4DA1" w:rsidRDefault="007C7A6C" w:rsidP="007C7A6C">
      <w:pPr>
        <w:spacing w:line="276" w:lineRule="auto"/>
        <w:jc w:val="both"/>
        <w:rPr>
          <w:bCs/>
          <w:sz w:val="22"/>
          <w:szCs w:val="22"/>
        </w:rPr>
      </w:pPr>
      <w:r w:rsidRPr="00AC4DA1">
        <w:rPr>
          <w:bCs/>
          <w:sz w:val="22"/>
          <w:szCs w:val="22"/>
        </w:rPr>
        <w:t>La Fédération Malienne des Associations de Personnes Handicapées fût créée le 29 Mai 1982. Elle est reconnue sous le Récépissé N°73 du 06 Avril 2006 du MATCL-DNI selon la loi N°04-038 du 05 Août 2004.</w:t>
      </w:r>
    </w:p>
    <w:p w14:paraId="4349E7D7" w14:textId="67BE3027" w:rsidR="007C7A6C" w:rsidRPr="00AC4DA1" w:rsidRDefault="007C7A6C" w:rsidP="007C7A6C">
      <w:pPr>
        <w:spacing w:line="276" w:lineRule="auto"/>
        <w:jc w:val="both"/>
        <w:rPr>
          <w:bCs/>
          <w:sz w:val="22"/>
          <w:szCs w:val="22"/>
        </w:rPr>
      </w:pPr>
      <w:r w:rsidRPr="00AC4DA1">
        <w:rPr>
          <w:bCs/>
          <w:sz w:val="22"/>
          <w:szCs w:val="22"/>
        </w:rPr>
        <w:lastRenderedPageBreak/>
        <w:t>La vision de la FEMAPH c’est de voir toutes les politiques, tous les programmes et projets de développement inclusifs de la dimension du handicap pour un monde où la Personne Handicapée jouit de tous ses droits, assume ses devoirs et participe pleinement au processus de développement.</w:t>
      </w:r>
    </w:p>
    <w:p w14:paraId="05500CD5" w14:textId="14AB060E" w:rsidR="007C7A6C" w:rsidRPr="00AC4DA1" w:rsidRDefault="007C7A6C" w:rsidP="007C7A6C">
      <w:pPr>
        <w:spacing w:line="276" w:lineRule="auto"/>
        <w:jc w:val="both"/>
        <w:rPr>
          <w:bCs/>
          <w:sz w:val="22"/>
          <w:szCs w:val="22"/>
        </w:rPr>
      </w:pPr>
      <w:r w:rsidRPr="00AC4DA1">
        <w:rPr>
          <w:bCs/>
          <w:sz w:val="22"/>
          <w:szCs w:val="22"/>
        </w:rPr>
        <w:t>Sa mission est d’</w:t>
      </w:r>
      <w:r w:rsidR="007251C6" w:rsidRPr="00AC4DA1">
        <w:rPr>
          <w:bCs/>
          <w:sz w:val="22"/>
          <w:szCs w:val="22"/>
        </w:rPr>
        <w:t>œuvrer</w:t>
      </w:r>
      <w:r w:rsidRPr="00AC4DA1">
        <w:rPr>
          <w:bCs/>
          <w:sz w:val="22"/>
          <w:szCs w:val="22"/>
        </w:rPr>
        <w:t xml:space="preserve"> pour l’amélioration des conditions de vie et de travail des Personnes Handicapées à travers la promotion des activités de prévention, d’éducation, de formation, de réadaptation, d’insertion </w:t>
      </w:r>
      <w:r w:rsidR="007251C6" w:rsidRPr="00AC4DA1">
        <w:rPr>
          <w:bCs/>
          <w:sz w:val="22"/>
          <w:szCs w:val="22"/>
        </w:rPr>
        <w:t>socioéconomique</w:t>
      </w:r>
      <w:r w:rsidRPr="00AC4DA1">
        <w:rPr>
          <w:bCs/>
          <w:sz w:val="22"/>
          <w:szCs w:val="22"/>
        </w:rPr>
        <w:t xml:space="preserve"> et de plaidoyer pour l’inclusion des personnes handicapées.</w:t>
      </w:r>
    </w:p>
    <w:p w14:paraId="543E81B4" w14:textId="77777777" w:rsidR="007C7A6C" w:rsidRPr="00AC4DA1" w:rsidRDefault="007C7A6C" w:rsidP="007C7A6C">
      <w:pPr>
        <w:spacing w:line="276" w:lineRule="auto"/>
        <w:jc w:val="both"/>
        <w:rPr>
          <w:bCs/>
          <w:sz w:val="22"/>
          <w:szCs w:val="22"/>
        </w:rPr>
      </w:pPr>
      <w:r w:rsidRPr="00AC4DA1">
        <w:rPr>
          <w:bCs/>
          <w:sz w:val="22"/>
          <w:szCs w:val="22"/>
        </w:rPr>
        <w:t>La FEMAPH a pour objectifs de promouvoir au niveau national, une unité d’actions en faveur des Personnes Handicapées. Il s’agit spécifiquement de :</w:t>
      </w:r>
    </w:p>
    <w:p w14:paraId="7D02A762" w14:textId="7941AFE0" w:rsidR="007C7A6C" w:rsidRPr="00AC4DA1" w:rsidRDefault="007C7A6C" w:rsidP="00AC4DA1">
      <w:pPr>
        <w:pStyle w:val="ListParagraph"/>
        <w:numPr>
          <w:ilvl w:val="0"/>
          <w:numId w:val="31"/>
        </w:numPr>
        <w:spacing w:line="276" w:lineRule="auto"/>
        <w:jc w:val="both"/>
        <w:rPr>
          <w:bCs/>
          <w:sz w:val="22"/>
          <w:szCs w:val="22"/>
        </w:rPr>
      </w:pPr>
      <w:r w:rsidRPr="00AC4DA1">
        <w:rPr>
          <w:bCs/>
          <w:sz w:val="22"/>
          <w:szCs w:val="22"/>
        </w:rPr>
        <w:t>Regrouper en son sein toutes les Organisations de Personnes Handicapées ;</w:t>
      </w:r>
    </w:p>
    <w:p w14:paraId="69DC685D" w14:textId="7D67A5D5" w:rsidR="007C7A6C" w:rsidRPr="00AC4DA1" w:rsidRDefault="007C7A6C" w:rsidP="00AC4DA1">
      <w:pPr>
        <w:pStyle w:val="ListParagraph"/>
        <w:numPr>
          <w:ilvl w:val="0"/>
          <w:numId w:val="31"/>
        </w:numPr>
        <w:spacing w:line="276" w:lineRule="auto"/>
        <w:jc w:val="both"/>
        <w:rPr>
          <w:bCs/>
          <w:sz w:val="22"/>
          <w:szCs w:val="22"/>
        </w:rPr>
      </w:pPr>
      <w:r w:rsidRPr="00AC4DA1">
        <w:rPr>
          <w:bCs/>
          <w:sz w:val="22"/>
          <w:szCs w:val="22"/>
        </w:rPr>
        <w:t>Renforcer les capacités des associations membres á réaliser leurs propres programmes ;</w:t>
      </w:r>
    </w:p>
    <w:p w14:paraId="479CAB1A" w14:textId="4F7E1472" w:rsidR="007C7A6C" w:rsidRPr="00AC4DA1" w:rsidRDefault="007C7A6C" w:rsidP="00AC4DA1">
      <w:pPr>
        <w:pStyle w:val="ListParagraph"/>
        <w:numPr>
          <w:ilvl w:val="0"/>
          <w:numId w:val="31"/>
        </w:numPr>
        <w:spacing w:line="276" w:lineRule="auto"/>
        <w:jc w:val="both"/>
        <w:rPr>
          <w:bCs/>
          <w:sz w:val="22"/>
          <w:szCs w:val="22"/>
        </w:rPr>
      </w:pPr>
      <w:r w:rsidRPr="00AC4DA1">
        <w:rPr>
          <w:bCs/>
          <w:sz w:val="22"/>
          <w:szCs w:val="22"/>
        </w:rPr>
        <w:t>Instaurer un système de coordination des activités des associations de promotion des droits des personnes handicapées ;</w:t>
      </w:r>
    </w:p>
    <w:p w14:paraId="605CCCD3" w14:textId="08BEBA9F" w:rsidR="007C7A6C" w:rsidRPr="00AC4DA1" w:rsidRDefault="007C7A6C" w:rsidP="00AC4DA1">
      <w:pPr>
        <w:pStyle w:val="ListParagraph"/>
        <w:numPr>
          <w:ilvl w:val="0"/>
          <w:numId w:val="31"/>
        </w:numPr>
        <w:spacing w:line="276" w:lineRule="auto"/>
        <w:jc w:val="both"/>
        <w:rPr>
          <w:bCs/>
          <w:sz w:val="22"/>
          <w:szCs w:val="22"/>
        </w:rPr>
      </w:pPr>
      <w:r w:rsidRPr="00AC4DA1">
        <w:rPr>
          <w:bCs/>
          <w:sz w:val="22"/>
          <w:szCs w:val="22"/>
        </w:rPr>
        <w:t>Favoriser le dialogue, la concertation et l’échange entre les associations de promotion de droits des personnes handicapées ;</w:t>
      </w:r>
    </w:p>
    <w:p w14:paraId="632AA653" w14:textId="2E9C5F01" w:rsidR="007C7A6C" w:rsidRPr="00AC4DA1" w:rsidRDefault="007C7A6C" w:rsidP="00AC4DA1">
      <w:pPr>
        <w:pStyle w:val="ListParagraph"/>
        <w:numPr>
          <w:ilvl w:val="0"/>
          <w:numId w:val="31"/>
        </w:numPr>
        <w:spacing w:line="276" w:lineRule="auto"/>
        <w:jc w:val="both"/>
        <w:rPr>
          <w:bCs/>
          <w:sz w:val="22"/>
          <w:szCs w:val="22"/>
        </w:rPr>
      </w:pPr>
      <w:r w:rsidRPr="00AC4DA1">
        <w:rPr>
          <w:bCs/>
          <w:sz w:val="22"/>
          <w:szCs w:val="22"/>
        </w:rPr>
        <w:t>Harmoniser les interventions des différentes ONG en matière d’invalidité et de promotion des personnes handicapées ;</w:t>
      </w:r>
    </w:p>
    <w:p w14:paraId="763B98AA" w14:textId="1E47CB5A" w:rsidR="007C7A6C" w:rsidRPr="00AC4DA1" w:rsidRDefault="007C7A6C" w:rsidP="00AC4DA1">
      <w:pPr>
        <w:pStyle w:val="ListParagraph"/>
        <w:numPr>
          <w:ilvl w:val="0"/>
          <w:numId w:val="31"/>
        </w:numPr>
        <w:spacing w:line="276" w:lineRule="auto"/>
        <w:jc w:val="both"/>
        <w:rPr>
          <w:bCs/>
          <w:sz w:val="22"/>
          <w:szCs w:val="22"/>
        </w:rPr>
      </w:pPr>
      <w:r w:rsidRPr="00AC4DA1">
        <w:rPr>
          <w:bCs/>
          <w:sz w:val="22"/>
          <w:szCs w:val="22"/>
        </w:rPr>
        <w:t>Aider les pouvoirs publics á adopter et á appliquer une législation relative á la protection, á la formation et á l’emploi des personnes handicapées ;</w:t>
      </w:r>
    </w:p>
    <w:p w14:paraId="675C9BC7" w14:textId="1A039F30" w:rsidR="007C7A6C" w:rsidRPr="00AC4DA1" w:rsidRDefault="007C7A6C" w:rsidP="00AC4DA1">
      <w:pPr>
        <w:pStyle w:val="ListParagraph"/>
        <w:numPr>
          <w:ilvl w:val="0"/>
          <w:numId w:val="31"/>
        </w:numPr>
        <w:spacing w:line="276" w:lineRule="auto"/>
        <w:jc w:val="both"/>
        <w:rPr>
          <w:bCs/>
          <w:sz w:val="22"/>
          <w:szCs w:val="22"/>
        </w:rPr>
      </w:pPr>
      <w:r w:rsidRPr="00AC4DA1">
        <w:rPr>
          <w:bCs/>
          <w:sz w:val="22"/>
          <w:szCs w:val="22"/>
        </w:rPr>
        <w:t>Promouvoir l’organisation et le développement des programmes de prévention, d’éducation, de réadaptation et de réinsertion sociale des personnes handicapées.</w:t>
      </w:r>
    </w:p>
    <w:p w14:paraId="66D12264" w14:textId="012CF42D" w:rsidR="007C7A6C" w:rsidRPr="00AC4DA1" w:rsidRDefault="007C7A6C" w:rsidP="007C7A6C">
      <w:pPr>
        <w:spacing w:line="276" w:lineRule="auto"/>
        <w:jc w:val="both"/>
        <w:rPr>
          <w:bCs/>
          <w:sz w:val="22"/>
          <w:szCs w:val="22"/>
        </w:rPr>
      </w:pPr>
      <w:r w:rsidRPr="00AC4DA1">
        <w:rPr>
          <w:bCs/>
          <w:sz w:val="22"/>
          <w:szCs w:val="22"/>
        </w:rPr>
        <w:t>La Fédération estime que les questions d’invalidités doivent être prises en compte dans tous les</w:t>
      </w:r>
      <w:r w:rsidR="00B51F23">
        <w:rPr>
          <w:bCs/>
          <w:sz w:val="22"/>
          <w:szCs w:val="22"/>
        </w:rPr>
        <w:t xml:space="preserve"> </w:t>
      </w:r>
      <w:r w:rsidRPr="00AC4DA1">
        <w:rPr>
          <w:bCs/>
          <w:sz w:val="22"/>
          <w:szCs w:val="22"/>
        </w:rPr>
        <w:t>programmes de développement au niveau local, régional, national et international.</w:t>
      </w:r>
    </w:p>
    <w:p w14:paraId="19D09347" w14:textId="77777777" w:rsidR="007C7A6C" w:rsidRPr="00AC4DA1" w:rsidRDefault="007C7A6C" w:rsidP="007C7A6C">
      <w:pPr>
        <w:spacing w:line="276" w:lineRule="auto"/>
        <w:jc w:val="both"/>
        <w:rPr>
          <w:bCs/>
          <w:sz w:val="22"/>
          <w:szCs w:val="22"/>
        </w:rPr>
      </w:pPr>
      <w:r w:rsidRPr="00AC4DA1">
        <w:rPr>
          <w:bCs/>
          <w:sz w:val="22"/>
          <w:szCs w:val="22"/>
        </w:rPr>
        <w:t>La Fédération se compose des instances et organes suivants :</w:t>
      </w:r>
    </w:p>
    <w:p w14:paraId="71AEDD83" w14:textId="77777777" w:rsidR="007C7A6C" w:rsidRPr="00AC4DA1" w:rsidRDefault="007C7A6C" w:rsidP="007C7A6C">
      <w:pPr>
        <w:spacing w:line="276" w:lineRule="auto"/>
        <w:jc w:val="both"/>
        <w:rPr>
          <w:bCs/>
          <w:sz w:val="22"/>
          <w:szCs w:val="22"/>
        </w:rPr>
      </w:pPr>
      <w:r w:rsidRPr="00AC4DA1">
        <w:rPr>
          <w:bCs/>
          <w:sz w:val="22"/>
          <w:szCs w:val="22"/>
        </w:rPr>
        <w:t>•</w:t>
      </w:r>
      <w:r w:rsidRPr="00AC4DA1">
        <w:rPr>
          <w:bCs/>
          <w:sz w:val="22"/>
          <w:szCs w:val="22"/>
        </w:rPr>
        <w:tab/>
        <w:t xml:space="preserve">L’Assemblée Générale, </w:t>
      </w:r>
    </w:p>
    <w:p w14:paraId="5C74E72D" w14:textId="77777777" w:rsidR="007C7A6C" w:rsidRPr="00AC4DA1" w:rsidRDefault="007C7A6C" w:rsidP="007C7A6C">
      <w:pPr>
        <w:spacing w:line="276" w:lineRule="auto"/>
        <w:jc w:val="both"/>
        <w:rPr>
          <w:bCs/>
          <w:sz w:val="22"/>
          <w:szCs w:val="22"/>
        </w:rPr>
      </w:pPr>
      <w:r w:rsidRPr="00AC4DA1">
        <w:rPr>
          <w:bCs/>
          <w:sz w:val="22"/>
          <w:szCs w:val="22"/>
        </w:rPr>
        <w:t>•</w:t>
      </w:r>
      <w:r w:rsidRPr="00AC4DA1">
        <w:rPr>
          <w:bCs/>
          <w:sz w:val="22"/>
          <w:szCs w:val="22"/>
        </w:rPr>
        <w:tab/>
        <w:t>Le Conseil d’Administration</w:t>
      </w:r>
    </w:p>
    <w:p w14:paraId="0BD58DAE" w14:textId="77777777" w:rsidR="007C7A6C" w:rsidRPr="00AC4DA1" w:rsidRDefault="007C7A6C" w:rsidP="007C7A6C">
      <w:pPr>
        <w:spacing w:line="276" w:lineRule="auto"/>
        <w:jc w:val="both"/>
        <w:rPr>
          <w:bCs/>
          <w:sz w:val="22"/>
          <w:szCs w:val="22"/>
        </w:rPr>
      </w:pPr>
      <w:r w:rsidRPr="00AC4DA1">
        <w:rPr>
          <w:bCs/>
          <w:sz w:val="22"/>
          <w:szCs w:val="22"/>
        </w:rPr>
        <w:lastRenderedPageBreak/>
        <w:t>•</w:t>
      </w:r>
      <w:r w:rsidRPr="00AC4DA1">
        <w:rPr>
          <w:bCs/>
          <w:sz w:val="22"/>
          <w:szCs w:val="22"/>
        </w:rPr>
        <w:tab/>
        <w:t>Le Bureau Exécutif composé de 17 membres</w:t>
      </w:r>
    </w:p>
    <w:p w14:paraId="1AA90802" w14:textId="77777777" w:rsidR="007C7A6C" w:rsidRPr="00AC4DA1" w:rsidRDefault="007C7A6C" w:rsidP="007C7A6C">
      <w:pPr>
        <w:spacing w:line="276" w:lineRule="auto"/>
        <w:jc w:val="both"/>
        <w:rPr>
          <w:bCs/>
          <w:sz w:val="22"/>
          <w:szCs w:val="22"/>
        </w:rPr>
      </w:pPr>
      <w:r w:rsidRPr="00AC4DA1">
        <w:rPr>
          <w:bCs/>
          <w:sz w:val="22"/>
          <w:szCs w:val="22"/>
        </w:rPr>
        <w:t>•</w:t>
      </w:r>
      <w:r w:rsidRPr="00AC4DA1">
        <w:rPr>
          <w:bCs/>
          <w:sz w:val="22"/>
          <w:szCs w:val="22"/>
        </w:rPr>
        <w:tab/>
        <w:t>Les commissions de travail.</w:t>
      </w:r>
    </w:p>
    <w:p w14:paraId="61A4E641" w14:textId="0013FCF7" w:rsidR="007C7A6C" w:rsidRPr="00AC4DA1" w:rsidRDefault="007C7A6C" w:rsidP="007C7A6C">
      <w:pPr>
        <w:spacing w:line="276" w:lineRule="auto"/>
        <w:jc w:val="both"/>
        <w:rPr>
          <w:bCs/>
          <w:sz w:val="22"/>
          <w:szCs w:val="22"/>
        </w:rPr>
      </w:pPr>
      <w:r w:rsidRPr="00AC4DA1">
        <w:rPr>
          <w:bCs/>
          <w:sz w:val="22"/>
          <w:szCs w:val="22"/>
        </w:rPr>
        <w:t>•</w:t>
      </w:r>
      <w:r w:rsidRPr="00AC4DA1">
        <w:rPr>
          <w:bCs/>
          <w:sz w:val="22"/>
          <w:szCs w:val="22"/>
        </w:rPr>
        <w:tab/>
        <w:t>La Direction Exécutive.</w:t>
      </w:r>
    </w:p>
    <w:p w14:paraId="19DC33D9" w14:textId="2FBDD471" w:rsidR="007251C6" w:rsidRPr="00AC4DA1" w:rsidRDefault="007251C6" w:rsidP="007C7A6C">
      <w:pPr>
        <w:spacing w:line="276" w:lineRule="auto"/>
        <w:jc w:val="both"/>
        <w:rPr>
          <w:bCs/>
          <w:sz w:val="22"/>
          <w:szCs w:val="22"/>
        </w:rPr>
      </w:pPr>
    </w:p>
    <w:p w14:paraId="4F62808B" w14:textId="77777777" w:rsidR="007C7A6C" w:rsidRPr="00AC4DA1" w:rsidRDefault="007C7A6C" w:rsidP="007C7A6C">
      <w:pPr>
        <w:spacing w:line="276" w:lineRule="auto"/>
        <w:jc w:val="both"/>
        <w:rPr>
          <w:bCs/>
          <w:sz w:val="22"/>
          <w:szCs w:val="22"/>
        </w:rPr>
      </w:pPr>
      <w:r w:rsidRPr="00AC4DA1">
        <w:rPr>
          <w:bCs/>
          <w:sz w:val="22"/>
          <w:szCs w:val="22"/>
        </w:rPr>
        <w:t>L’Assemblée Générale est l’instance suprême de la Fédération. Elle se réunit une fois tous les quatre ans sur convocation de son Président. Elle se compose de :</w:t>
      </w:r>
    </w:p>
    <w:p w14:paraId="10EA3F59" w14:textId="77777777" w:rsidR="007C7A6C" w:rsidRPr="00AC4DA1" w:rsidRDefault="007C7A6C" w:rsidP="007C7A6C">
      <w:pPr>
        <w:spacing w:line="276" w:lineRule="auto"/>
        <w:jc w:val="both"/>
        <w:rPr>
          <w:bCs/>
          <w:sz w:val="22"/>
          <w:szCs w:val="22"/>
        </w:rPr>
      </w:pPr>
      <w:r w:rsidRPr="00AC4DA1">
        <w:rPr>
          <w:bCs/>
          <w:sz w:val="22"/>
          <w:szCs w:val="22"/>
        </w:rPr>
        <w:t>-</w:t>
      </w:r>
      <w:r w:rsidRPr="00AC4DA1">
        <w:rPr>
          <w:bCs/>
          <w:sz w:val="22"/>
          <w:szCs w:val="22"/>
        </w:rPr>
        <w:tab/>
        <w:t>Deux délégués par OPH nationale,</w:t>
      </w:r>
    </w:p>
    <w:p w14:paraId="058CED90" w14:textId="77777777" w:rsidR="007C7A6C" w:rsidRPr="00AC4DA1" w:rsidRDefault="007C7A6C" w:rsidP="007C7A6C">
      <w:pPr>
        <w:spacing w:line="276" w:lineRule="auto"/>
        <w:jc w:val="both"/>
        <w:rPr>
          <w:bCs/>
          <w:sz w:val="22"/>
          <w:szCs w:val="22"/>
        </w:rPr>
      </w:pPr>
      <w:r w:rsidRPr="00AC4DA1">
        <w:rPr>
          <w:bCs/>
          <w:sz w:val="22"/>
          <w:szCs w:val="22"/>
        </w:rPr>
        <w:t>-</w:t>
      </w:r>
      <w:r w:rsidRPr="00AC4DA1">
        <w:rPr>
          <w:bCs/>
          <w:sz w:val="22"/>
          <w:szCs w:val="22"/>
        </w:rPr>
        <w:tab/>
        <w:t>Deux délégués par Fédération Régionale et du District de Bamako,</w:t>
      </w:r>
    </w:p>
    <w:p w14:paraId="0A825195" w14:textId="77777777" w:rsidR="007C7A6C" w:rsidRPr="00AC4DA1" w:rsidRDefault="007C7A6C" w:rsidP="007C7A6C">
      <w:pPr>
        <w:spacing w:line="276" w:lineRule="auto"/>
        <w:jc w:val="both"/>
        <w:rPr>
          <w:bCs/>
          <w:sz w:val="22"/>
          <w:szCs w:val="22"/>
        </w:rPr>
      </w:pPr>
      <w:r w:rsidRPr="00AC4DA1">
        <w:rPr>
          <w:bCs/>
          <w:sz w:val="22"/>
          <w:szCs w:val="22"/>
        </w:rPr>
        <w:t>-</w:t>
      </w:r>
      <w:r w:rsidRPr="00AC4DA1">
        <w:rPr>
          <w:bCs/>
          <w:sz w:val="22"/>
          <w:szCs w:val="22"/>
        </w:rPr>
        <w:tab/>
        <w:t>Un délégué par Fédération Locale.</w:t>
      </w:r>
    </w:p>
    <w:p w14:paraId="4480714F" w14:textId="77777777" w:rsidR="007C7A6C" w:rsidRPr="00AC4DA1" w:rsidRDefault="007C7A6C" w:rsidP="007C7A6C">
      <w:pPr>
        <w:spacing w:line="276" w:lineRule="auto"/>
        <w:jc w:val="both"/>
        <w:rPr>
          <w:bCs/>
          <w:sz w:val="22"/>
          <w:szCs w:val="22"/>
        </w:rPr>
      </w:pPr>
      <w:r w:rsidRPr="00AC4DA1">
        <w:rPr>
          <w:bCs/>
          <w:sz w:val="22"/>
          <w:szCs w:val="22"/>
        </w:rPr>
        <w:t>L’Assemblée Générale définit, oriente et contrôle la politique générale de la Fédération.</w:t>
      </w:r>
    </w:p>
    <w:p w14:paraId="07515663" w14:textId="77777777" w:rsidR="007C7A6C" w:rsidRPr="00AC4DA1" w:rsidRDefault="007C7A6C" w:rsidP="007C7A6C">
      <w:pPr>
        <w:spacing w:line="276" w:lineRule="auto"/>
        <w:jc w:val="both"/>
        <w:rPr>
          <w:bCs/>
          <w:sz w:val="22"/>
          <w:szCs w:val="22"/>
        </w:rPr>
      </w:pPr>
      <w:r w:rsidRPr="00AC4DA1">
        <w:rPr>
          <w:bCs/>
          <w:sz w:val="22"/>
          <w:szCs w:val="22"/>
        </w:rPr>
        <w:t>Le Conseil d’Administration se compose de deux délégués par Association nationale et deux délégués par Fédération Régionale et du District de Bamako. Il se tient une fois par an.</w:t>
      </w:r>
    </w:p>
    <w:p w14:paraId="0158DA02" w14:textId="77777777" w:rsidR="007C7A6C" w:rsidRPr="00AC4DA1" w:rsidRDefault="007C7A6C" w:rsidP="007C7A6C">
      <w:pPr>
        <w:spacing w:line="276" w:lineRule="auto"/>
        <w:jc w:val="both"/>
        <w:rPr>
          <w:bCs/>
          <w:sz w:val="22"/>
          <w:szCs w:val="22"/>
        </w:rPr>
      </w:pPr>
      <w:r w:rsidRPr="00AC4DA1">
        <w:rPr>
          <w:bCs/>
          <w:sz w:val="22"/>
          <w:szCs w:val="22"/>
        </w:rPr>
        <w:t>Le bureau est l’organe d’exécution du Conseil d’Administration de la Fédération. Il est composé actuellement de 19 membres et se réunit une fois tous les deux mois.</w:t>
      </w:r>
    </w:p>
    <w:p w14:paraId="2C125497" w14:textId="77777777" w:rsidR="007C7A6C" w:rsidRPr="00AC4DA1" w:rsidRDefault="007C7A6C" w:rsidP="007C7A6C">
      <w:pPr>
        <w:spacing w:line="276" w:lineRule="auto"/>
        <w:jc w:val="both"/>
        <w:rPr>
          <w:bCs/>
          <w:sz w:val="22"/>
          <w:szCs w:val="22"/>
        </w:rPr>
      </w:pPr>
      <w:r w:rsidRPr="00AC4DA1">
        <w:rPr>
          <w:bCs/>
          <w:sz w:val="22"/>
          <w:szCs w:val="22"/>
        </w:rPr>
        <w:t>Selon les nouveaux statuts et règlement Intérieur de la FEMAPH, une commission peut être créée au besoin.</w:t>
      </w:r>
    </w:p>
    <w:p w14:paraId="05DA2F04" w14:textId="28BA8B5F" w:rsidR="007C7A6C" w:rsidRPr="00AC4DA1" w:rsidRDefault="007C7A6C" w:rsidP="007C7A6C">
      <w:pPr>
        <w:spacing w:line="276" w:lineRule="auto"/>
        <w:jc w:val="both"/>
        <w:rPr>
          <w:bCs/>
          <w:sz w:val="22"/>
          <w:szCs w:val="22"/>
        </w:rPr>
      </w:pPr>
      <w:r w:rsidRPr="00AC4DA1">
        <w:rPr>
          <w:bCs/>
          <w:sz w:val="22"/>
          <w:szCs w:val="22"/>
        </w:rPr>
        <w:t xml:space="preserve"> La Direction Exécutive est l’organe technique d’intervention et de suivi du Bureau Exécutif de la Fédération. Elle tient lieu de permanence de la Fédération. Elle assure l’élaboration, la réalisation, la coordination, le suivi et l’évaluation des programmes et activités de la Fédération et rend compte au Bureau Exécutif.</w:t>
      </w:r>
    </w:p>
    <w:p w14:paraId="28D2E22A" w14:textId="77777777" w:rsidR="007C7A6C" w:rsidRPr="00AC4DA1" w:rsidRDefault="007C7A6C" w:rsidP="007C7A6C">
      <w:pPr>
        <w:spacing w:line="276" w:lineRule="auto"/>
        <w:jc w:val="both"/>
        <w:rPr>
          <w:bCs/>
          <w:sz w:val="22"/>
          <w:szCs w:val="22"/>
        </w:rPr>
      </w:pPr>
      <w:r w:rsidRPr="00AC4DA1">
        <w:rPr>
          <w:bCs/>
          <w:sz w:val="22"/>
          <w:szCs w:val="22"/>
        </w:rPr>
        <w:t>La FEMAPH est composée actuellement de 19 membres comme suit :</w:t>
      </w:r>
    </w:p>
    <w:p w14:paraId="0BF3374A" w14:textId="77777777" w:rsidR="00CB5417" w:rsidRPr="00AC4DA1" w:rsidRDefault="007C7A6C" w:rsidP="00CB5417">
      <w:pPr>
        <w:pStyle w:val="ListParagraph"/>
        <w:numPr>
          <w:ilvl w:val="0"/>
          <w:numId w:val="26"/>
        </w:numPr>
        <w:spacing w:line="276" w:lineRule="auto"/>
        <w:jc w:val="both"/>
        <w:rPr>
          <w:bCs/>
          <w:sz w:val="22"/>
          <w:szCs w:val="22"/>
        </w:rPr>
      </w:pPr>
      <w:r w:rsidRPr="00AC4DA1">
        <w:rPr>
          <w:bCs/>
          <w:sz w:val="22"/>
          <w:szCs w:val="22"/>
        </w:rPr>
        <w:t xml:space="preserve">Dix-neuf (19) Associations nationales de Personnes Handicapées membres dont dix-sept (18) associations mixtes et une Union Malienne des Associations et Comités de Femmes Handicapées (UMAFH) à Bamako, </w:t>
      </w:r>
    </w:p>
    <w:p w14:paraId="3F727FE5" w14:textId="77777777" w:rsidR="00CB5417" w:rsidRPr="00AC4DA1" w:rsidRDefault="007C7A6C" w:rsidP="00CB5417">
      <w:pPr>
        <w:pStyle w:val="ListParagraph"/>
        <w:numPr>
          <w:ilvl w:val="0"/>
          <w:numId w:val="26"/>
        </w:numPr>
        <w:spacing w:line="276" w:lineRule="auto"/>
        <w:jc w:val="both"/>
        <w:rPr>
          <w:bCs/>
          <w:sz w:val="22"/>
          <w:szCs w:val="22"/>
        </w:rPr>
      </w:pPr>
      <w:r w:rsidRPr="00AC4DA1">
        <w:rPr>
          <w:bCs/>
          <w:sz w:val="22"/>
          <w:szCs w:val="22"/>
        </w:rPr>
        <w:t>Huit (8) Fédérations Régionales d’Associations de Personnes Handicapées (FERAPH),</w:t>
      </w:r>
    </w:p>
    <w:p w14:paraId="43B69DD6" w14:textId="77777777" w:rsidR="00CB5417" w:rsidRPr="00AC4DA1" w:rsidRDefault="007C7A6C" w:rsidP="00CB5417">
      <w:pPr>
        <w:pStyle w:val="ListParagraph"/>
        <w:numPr>
          <w:ilvl w:val="0"/>
          <w:numId w:val="26"/>
        </w:numPr>
        <w:spacing w:line="276" w:lineRule="auto"/>
        <w:jc w:val="both"/>
        <w:rPr>
          <w:bCs/>
          <w:sz w:val="22"/>
          <w:szCs w:val="22"/>
        </w:rPr>
      </w:pPr>
      <w:r w:rsidRPr="00AC4DA1">
        <w:rPr>
          <w:bCs/>
          <w:sz w:val="22"/>
          <w:szCs w:val="22"/>
        </w:rPr>
        <w:t>Cinquante une (51) Fédérations Locales d’Associations de Personnes Handicapées (FELAPH) ;</w:t>
      </w:r>
    </w:p>
    <w:p w14:paraId="763AFF30" w14:textId="77777777" w:rsidR="00FF7B5E" w:rsidRDefault="007C7A6C" w:rsidP="007C7A6C">
      <w:pPr>
        <w:pStyle w:val="ListParagraph"/>
        <w:numPr>
          <w:ilvl w:val="0"/>
          <w:numId w:val="26"/>
        </w:numPr>
        <w:spacing w:line="276" w:lineRule="auto"/>
        <w:jc w:val="both"/>
        <w:rPr>
          <w:bCs/>
          <w:sz w:val="22"/>
          <w:szCs w:val="22"/>
        </w:rPr>
      </w:pPr>
      <w:r w:rsidRPr="00AC4DA1">
        <w:rPr>
          <w:bCs/>
          <w:sz w:val="22"/>
          <w:szCs w:val="22"/>
        </w:rPr>
        <w:lastRenderedPageBreak/>
        <w:t>Deux membres associés dont la Fédération Malienne de Sport pour Personnes Handicapées (FEMASH) et l’Ensemble National Artistique et Culturel des Personnes Handicapées du Mali (ENACPHM).</w:t>
      </w:r>
    </w:p>
    <w:p w14:paraId="0E8716DE" w14:textId="65E3FBAD" w:rsidR="007C7A6C" w:rsidRPr="00FF7B5E" w:rsidRDefault="007C7A6C" w:rsidP="00FF7B5E">
      <w:pPr>
        <w:spacing w:line="276" w:lineRule="auto"/>
        <w:jc w:val="both"/>
        <w:rPr>
          <w:bCs/>
          <w:sz w:val="22"/>
          <w:szCs w:val="22"/>
        </w:rPr>
      </w:pPr>
      <w:r w:rsidRPr="00FF7B5E">
        <w:rPr>
          <w:bCs/>
          <w:sz w:val="22"/>
          <w:szCs w:val="22"/>
        </w:rPr>
        <w:t>Globalement, il existe environ 467 organisations de personnes handicapées sous la dénomination (OPH) dont 19 sont affiliées à la FEMAPH.</w:t>
      </w:r>
    </w:p>
    <w:p w14:paraId="29FC916B" w14:textId="7D9B457B" w:rsidR="007C7A6C" w:rsidRPr="00AC4DA1" w:rsidRDefault="00365BB2" w:rsidP="007251C6">
      <w:pPr>
        <w:pStyle w:val="Heading1"/>
        <w:rPr>
          <w:rFonts w:ascii="Times New Roman" w:hAnsi="Times New Roman"/>
          <w:sz w:val="22"/>
          <w:szCs w:val="22"/>
        </w:rPr>
      </w:pPr>
      <w:bookmarkStart w:id="17" w:name="_Toc128647497"/>
      <w:r w:rsidRPr="00AC4DA1">
        <w:rPr>
          <w:rFonts w:ascii="Times New Roman" w:hAnsi="Times New Roman"/>
          <w:sz w:val="22"/>
          <w:szCs w:val="22"/>
          <w:lang w:val="fr-FR"/>
        </w:rPr>
        <w:t xml:space="preserve">1.8 </w:t>
      </w:r>
      <w:r w:rsidR="007C7A6C" w:rsidRPr="00AC4DA1">
        <w:rPr>
          <w:rFonts w:ascii="Times New Roman" w:hAnsi="Times New Roman"/>
          <w:sz w:val="22"/>
          <w:szCs w:val="22"/>
        </w:rPr>
        <w:t>Représentation</w:t>
      </w:r>
      <w:bookmarkEnd w:id="17"/>
    </w:p>
    <w:p w14:paraId="596386B8" w14:textId="77777777" w:rsidR="007C7A6C" w:rsidRPr="00AC4DA1" w:rsidRDefault="007C7A6C" w:rsidP="007C7A6C">
      <w:pPr>
        <w:spacing w:line="276" w:lineRule="auto"/>
        <w:jc w:val="both"/>
        <w:rPr>
          <w:bCs/>
          <w:sz w:val="22"/>
          <w:szCs w:val="22"/>
        </w:rPr>
      </w:pPr>
      <w:r w:rsidRPr="00AC4DA1">
        <w:rPr>
          <w:bCs/>
          <w:sz w:val="22"/>
          <w:szCs w:val="22"/>
        </w:rPr>
        <w:t>Quatre personnes handicapées (3 femmes et un homme) sont au Conseil National de Transition (CNT), avec la Présidente de la FEMAPH comme deuxième Vice-Présidente du CNT, la troisième Vice-Présidente de la FEMAPH comme Vice-Présidente de la Commission Santé et Développement Social du CNT et le premier Vice-Président de la FEMAPH est membre de la même commission.</w:t>
      </w:r>
    </w:p>
    <w:p w14:paraId="2FDFC66C" w14:textId="344A2424" w:rsidR="007C7A6C" w:rsidRPr="00AC4DA1" w:rsidRDefault="007C7A6C" w:rsidP="007C7A6C">
      <w:pPr>
        <w:spacing w:line="276" w:lineRule="auto"/>
        <w:jc w:val="both"/>
        <w:rPr>
          <w:bCs/>
          <w:sz w:val="22"/>
          <w:szCs w:val="22"/>
        </w:rPr>
      </w:pPr>
      <w:r w:rsidRPr="00AC4DA1">
        <w:rPr>
          <w:bCs/>
          <w:sz w:val="22"/>
          <w:szCs w:val="22"/>
        </w:rPr>
        <w:t>La FEMAPH est membres des réseaux de la société civile comme le Conseil National de la Société civile (CNSC), le Forum des Organisations de la Société Civile (FOSC). Elle est active dans le groupe des organisations de la société civile partenaires du PRODESS. Elle est membre du comité national intersectoriel de suivi et d’évaluation de mise en œuvre de la déclaration des Chefs d’Etat et de gouvernement sur l’emploi et la lutte contre la pauvreté et du Réseau international network for Social Protection Rights Mali (INSPIR), créé en 2019.</w:t>
      </w:r>
    </w:p>
    <w:p w14:paraId="782258C3" w14:textId="58B41B63" w:rsidR="007251C6" w:rsidRPr="00AC4DA1" w:rsidRDefault="007251C6" w:rsidP="007C7A6C">
      <w:pPr>
        <w:spacing w:line="276" w:lineRule="auto"/>
        <w:jc w:val="both"/>
        <w:rPr>
          <w:bCs/>
          <w:sz w:val="22"/>
          <w:szCs w:val="22"/>
        </w:rPr>
      </w:pPr>
    </w:p>
    <w:p w14:paraId="108B8A32" w14:textId="7FE86403" w:rsidR="007251C6" w:rsidRPr="00AC4DA1" w:rsidRDefault="007251C6" w:rsidP="007C7A6C">
      <w:pPr>
        <w:spacing w:line="276" w:lineRule="auto"/>
        <w:jc w:val="both"/>
        <w:rPr>
          <w:bCs/>
          <w:sz w:val="22"/>
          <w:szCs w:val="22"/>
        </w:rPr>
      </w:pPr>
    </w:p>
    <w:p w14:paraId="1151B191" w14:textId="0615BF80" w:rsidR="007C1F56" w:rsidRPr="00AC4DA1" w:rsidRDefault="007C1F56" w:rsidP="007C7A6C">
      <w:pPr>
        <w:spacing w:line="276" w:lineRule="auto"/>
        <w:jc w:val="both"/>
        <w:rPr>
          <w:bCs/>
          <w:sz w:val="22"/>
          <w:szCs w:val="22"/>
        </w:rPr>
      </w:pPr>
    </w:p>
    <w:p w14:paraId="0B605158" w14:textId="6949D451" w:rsidR="007C1F56" w:rsidRPr="00AC4DA1" w:rsidRDefault="007C1F56" w:rsidP="007C7A6C">
      <w:pPr>
        <w:spacing w:line="276" w:lineRule="auto"/>
        <w:jc w:val="both"/>
        <w:rPr>
          <w:bCs/>
          <w:sz w:val="22"/>
          <w:szCs w:val="22"/>
        </w:rPr>
      </w:pPr>
    </w:p>
    <w:p w14:paraId="50631412" w14:textId="0405DEEB" w:rsidR="00365BB2" w:rsidRPr="00AC4DA1" w:rsidRDefault="00365BB2" w:rsidP="007C7A6C">
      <w:pPr>
        <w:spacing w:line="276" w:lineRule="auto"/>
        <w:jc w:val="both"/>
        <w:rPr>
          <w:bCs/>
          <w:sz w:val="22"/>
          <w:szCs w:val="22"/>
        </w:rPr>
      </w:pPr>
    </w:p>
    <w:p w14:paraId="704591D1" w14:textId="1A708A59" w:rsidR="00365BB2" w:rsidRPr="00AC4DA1" w:rsidRDefault="00365BB2" w:rsidP="007C7A6C">
      <w:pPr>
        <w:spacing w:line="276" w:lineRule="auto"/>
        <w:jc w:val="both"/>
        <w:rPr>
          <w:bCs/>
          <w:sz w:val="22"/>
          <w:szCs w:val="22"/>
        </w:rPr>
      </w:pPr>
    </w:p>
    <w:p w14:paraId="6A78388B" w14:textId="4D0A111D" w:rsidR="00365BB2" w:rsidRPr="00AC4DA1" w:rsidRDefault="00365BB2" w:rsidP="007C7A6C">
      <w:pPr>
        <w:spacing w:line="276" w:lineRule="auto"/>
        <w:jc w:val="both"/>
        <w:rPr>
          <w:bCs/>
          <w:sz w:val="22"/>
          <w:szCs w:val="22"/>
        </w:rPr>
      </w:pPr>
    </w:p>
    <w:p w14:paraId="163F606D" w14:textId="12397B51" w:rsidR="00365BB2" w:rsidRPr="00AC4DA1" w:rsidRDefault="00365BB2" w:rsidP="007C7A6C">
      <w:pPr>
        <w:spacing w:line="276" w:lineRule="auto"/>
        <w:jc w:val="both"/>
        <w:rPr>
          <w:bCs/>
          <w:sz w:val="22"/>
          <w:szCs w:val="22"/>
        </w:rPr>
      </w:pPr>
    </w:p>
    <w:p w14:paraId="423C933D" w14:textId="666D1534" w:rsidR="00365BB2" w:rsidRPr="00AC4DA1" w:rsidRDefault="00365BB2" w:rsidP="007C7A6C">
      <w:pPr>
        <w:spacing w:line="276" w:lineRule="auto"/>
        <w:jc w:val="both"/>
        <w:rPr>
          <w:bCs/>
          <w:sz w:val="22"/>
          <w:szCs w:val="22"/>
        </w:rPr>
      </w:pPr>
    </w:p>
    <w:p w14:paraId="01D350F9" w14:textId="199FC5AC" w:rsidR="00365BB2" w:rsidRPr="00AC4DA1" w:rsidRDefault="00365BB2" w:rsidP="007C7A6C">
      <w:pPr>
        <w:spacing w:line="276" w:lineRule="auto"/>
        <w:jc w:val="both"/>
        <w:rPr>
          <w:bCs/>
          <w:sz w:val="22"/>
          <w:szCs w:val="22"/>
        </w:rPr>
      </w:pPr>
    </w:p>
    <w:p w14:paraId="216F2304" w14:textId="715B337D" w:rsidR="00365BB2" w:rsidRPr="00AC4DA1" w:rsidRDefault="00365BB2" w:rsidP="007C7A6C">
      <w:pPr>
        <w:spacing w:line="276" w:lineRule="auto"/>
        <w:jc w:val="both"/>
        <w:rPr>
          <w:bCs/>
          <w:sz w:val="22"/>
          <w:szCs w:val="22"/>
        </w:rPr>
      </w:pPr>
    </w:p>
    <w:p w14:paraId="52D348FB" w14:textId="5C15D1E6" w:rsidR="00365BB2" w:rsidRPr="00AC4DA1" w:rsidRDefault="00365BB2" w:rsidP="007C7A6C">
      <w:pPr>
        <w:spacing w:line="276" w:lineRule="auto"/>
        <w:jc w:val="both"/>
        <w:rPr>
          <w:bCs/>
          <w:sz w:val="22"/>
          <w:szCs w:val="22"/>
        </w:rPr>
      </w:pPr>
    </w:p>
    <w:p w14:paraId="4C225E3D" w14:textId="368781C0" w:rsidR="00365BB2" w:rsidRPr="00AC4DA1" w:rsidRDefault="00365BB2" w:rsidP="007C7A6C">
      <w:pPr>
        <w:spacing w:line="276" w:lineRule="auto"/>
        <w:jc w:val="both"/>
        <w:rPr>
          <w:bCs/>
          <w:sz w:val="22"/>
          <w:szCs w:val="22"/>
        </w:rPr>
      </w:pPr>
    </w:p>
    <w:p w14:paraId="07896E0F" w14:textId="45B55B44" w:rsidR="00365BB2" w:rsidRDefault="00365BB2" w:rsidP="007C7A6C">
      <w:pPr>
        <w:spacing w:line="276" w:lineRule="auto"/>
        <w:jc w:val="both"/>
        <w:rPr>
          <w:bCs/>
          <w:sz w:val="22"/>
          <w:szCs w:val="22"/>
        </w:rPr>
      </w:pPr>
    </w:p>
    <w:p w14:paraId="597B1126" w14:textId="614DC9A7" w:rsidR="00FB07EB" w:rsidRDefault="00FB07EB" w:rsidP="007C7A6C">
      <w:pPr>
        <w:spacing w:line="276" w:lineRule="auto"/>
        <w:jc w:val="both"/>
        <w:rPr>
          <w:bCs/>
          <w:sz w:val="22"/>
          <w:szCs w:val="22"/>
        </w:rPr>
      </w:pPr>
    </w:p>
    <w:p w14:paraId="003DE643" w14:textId="61B73C9A" w:rsidR="00FB07EB" w:rsidRDefault="00FB07EB" w:rsidP="007C7A6C">
      <w:pPr>
        <w:spacing w:line="276" w:lineRule="auto"/>
        <w:jc w:val="both"/>
        <w:rPr>
          <w:bCs/>
          <w:sz w:val="22"/>
          <w:szCs w:val="22"/>
        </w:rPr>
      </w:pPr>
    </w:p>
    <w:p w14:paraId="4D9CDCDA" w14:textId="15D1778E" w:rsidR="00FB07EB" w:rsidRDefault="00FB07EB" w:rsidP="007C7A6C">
      <w:pPr>
        <w:spacing w:line="276" w:lineRule="auto"/>
        <w:jc w:val="both"/>
        <w:rPr>
          <w:bCs/>
          <w:sz w:val="22"/>
          <w:szCs w:val="22"/>
        </w:rPr>
      </w:pPr>
    </w:p>
    <w:p w14:paraId="1FE44CB1" w14:textId="145EEE6E" w:rsidR="00FB07EB" w:rsidRDefault="00FB07EB" w:rsidP="007C7A6C">
      <w:pPr>
        <w:spacing w:line="276" w:lineRule="auto"/>
        <w:jc w:val="both"/>
        <w:rPr>
          <w:bCs/>
          <w:sz w:val="22"/>
          <w:szCs w:val="22"/>
        </w:rPr>
      </w:pPr>
    </w:p>
    <w:p w14:paraId="365AFF7E" w14:textId="77777777" w:rsidR="00FB07EB" w:rsidRPr="00AC4DA1" w:rsidRDefault="00FB07EB" w:rsidP="007C7A6C">
      <w:pPr>
        <w:spacing w:line="276" w:lineRule="auto"/>
        <w:jc w:val="both"/>
        <w:rPr>
          <w:bCs/>
          <w:sz w:val="22"/>
          <w:szCs w:val="22"/>
        </w:rPr>
      </w:pPr>
    </w:p>
    <w:p w14:paraId="19309165" w14:textId="77777777" w:rsidR="00365BB2" w:rsidRPr="00AC4DA1" w:rsidRDefault="00365BB2" w:rsidP="007C7A6C">
      <w:pPr>
        <w:spacing w:line="276" w:lineRule="auto"/>
        <w:jc w:val="both"/>
        <w:rPr>
          <w:bCs/>
          <w:sz w:val="22"/>
          <w:szCs w:val="22"/>
        </w:rPr>
      </w:pPr>
    </w:p>
    <w:p w14:paraId="433F871F" w14:textId="737D58FD" w:rsidR="007C1F56" w:rsidRPr="00E53BAE" w:rsidRDefault="007C1F56" w:rsidP="00365BB2">
      <w:pPr>
        <w:pStyle w:val="IntenseQuote"/>
        <w:rPr>
          <w:b/>
          <w:bCs/>
          <w:sz w:val="36"/>
          <w:szCs w:val="36"/>
        </w:rPr>
      </w:pPr>
      <w:r w:rsidRPr="00E53BAE">
        <w:rPr>
          <w:b/>
          <w:bCs/>
          <w:sz w:val="36"/>
          <w:szCs w:val="36"/>
        </w:rPr>
        <w:t>Chapitre II : Rapport alternatif</w:t>
      </w:r>
    </w:p>
    <w:p w14:paraId="2ACBD8D3" w14:textId="77777777" w:rsidR="00365BB2" w:rsidRPr="00AC4DA1" w:rsidRDefault="00365BB2" w:rsidP="00365BB2">
      <w:pPr>
        <w:rPr>
          <w:sz w:val="22"/>
          <w:szCs w:val="22"/>
        </w:rPr>
      </w:pPr>
    </w:p>
    <w:p w14:paraId="383F6217" w14:textId="72A2DEA0" w:rsidR="00365BB2" w:rsidRPr="00AC4DA1" w:rsidRDefault="00365BB2" w:rsidP="00365BB2">
      <w:pPr>
        <w:rPr>
          <w:sz w:val="22"/>
          <w:szCs w:val="22"/>
          <w:lang w:val="x-none" w:eastAsia="x-none"/>
        </w:rPr>
      </w:pPr>
    </w:p>
    <w:p w14:paraId="6D438AE5" w14:textId="53346D40" w:rsidR="00365BB2" w:rsidRPr="00AC4DA1" w:rsidRDefault="00365BB2" w:rsidP="00365BB2">
      <w:pPr>
        <w:rPr>
          <w:sz w:val="22"/>
          <w:szCs w:val="22"/>
          <w:lang w:val="x-none" w:eastAsia="x-none"/>
        </w:rPr>
      </w:pPr>
    </w:p>
    <w:p w14:paraId="1D50060C" w14:textId="2204AD03" w:rsidR="00365BB2" w:rsidRPr="00AC4DA1" w:rsidRDefault="00365BB2" w:rsidP="00365BB2">
      <w:pPr>
        <w:rPr>
          <w:sz w:val="22"/>
          <w:szCs w:val="22"/>
          <w:lang w:val="x-none" w:eastAsia="x-none"/>
        </w:rPr>
      </w:pPr>
    </w:p>
    <w:p w14:paraId="3AA96234" w14:textId="6EF4C3D4" w:rsidR="00365BB2" w:rsidRPr="00AC4DA1" w:rsidRDefault="00365BB2" w:rsidP="00365BB2">
      <w:pPr>
        <w:rPr>
          <w:sz w:val="22"/>
          <w:szCs w:val="22"/>
          <w:lang w:val="x-none" w:eastAsia="x-none"/>
        </w:rPr>
      </w:pPr>
    </w:p>
    <w:p w14:paraId="3F099B3F" w14:textId="6E9583D8" w:rsidR="0040329E" w:rsidRPr="00AC4DA1" w:rsidRDefault="0040329E" w:rsidP="00365BB2">
      <w:pPr>
        <w:rPr>
          <w:sz w:val="22"/>
          <w:szCs w:val="22"/>
          <w:lang w:val="x-none" w:eastAsia="x-none"/>
        </w:rPr>
      </w:pPr>
    </w:p>
    <w:p w14:paraId="78EFEC01" w14:textId="6AAAB174" w:rsidR="0040329E" w:rsidRPr="00AC4DA1" w:rsidRDefault="0040329E" w:rsidP="00365BB2">
      <w:pPr>
        <w:rPr>
          <w:sz w:val="22"/>
          <w:szCs w:val="22"/>
          <w:lang w:val="x-none" w:eastAsia="x-none"/>
        </w:rPr>
      </w:pPr>
    </w:p>
    <w:p w14:paraId="316697D1" w14:textId="201908A7" w:rsidR="0040329E" w:rsidRPr="00AC4DA1" w:rsidRDefault="0040329E" w:rsidP="00365BB2">
      <w:pPr>
        <w:rPr>
          <w:sz w:val="22"/>
          <w:szCs w:val="22"/>
          <w:lang w:val="x-none" w:eastAsia="x-none"/>
        </w:rPr>
      </w:pPr>
    </w:p>
    <w:p w14:paraId="7B6DB3AC" w14:textId="22A79DF1" w:rsidR="0040329E" w:rsidRDefault="0040329E" w:rsidP="00365BB2">
      <w:pPr>
        <w:rPr>
          <w:sz w:val="22"/>
          <w:szCs w:val="22"/>
          <w:lang w:val="x-none" w:eastAsia="x-none"/>
        </w:rPr>
      </w:pPr>
    </w:p>
    <w:p w14:paraId="1362EC76" w14:textId="55163066" w:rsidR="00AC4DA1" w:rsidRDefault="00AC4DA1" w:rsidP="00365BB2">
      <w:pPr>
        <w:rPr>
          <w:sz w:val="22"/>
          <w:szCs w:val="22"/>
          <w:lang w:val="x-none" w:eastAsia="x-none"/>
        </w:rPr>
      </w:pPr>
    </w:p>
    <w:p w14:paraId="4F4BA879" w14:textId="72033C77" w:rsidR="00AC4DA1" w:rsidRDefault="00AC4DA1" w:rsidP="00365BB2">
      <w:pPr>
        <w:rPr>
          <w:sz w:val="22"/>
          <w:szCs w:val="22"/>
          <w:lang w:val="x-none" w:eastAsia="x-none"/>
        </w:rPr>
      </w:pPr>
    </w:p>
    <w:p w14:paraId="42D53E5C" w14:textId="77777777" w:rsidR="00E53BAE" w:rsidRDefault="00E53BAE">
      <w:pPr>
        <w:spacing w:after="160" w:line="259" w:lineRule="auto"/>
        <w:rPr>
          <w:b/>
          <w:bCs/>
          <w:kern w:val="32"/>
          <w:sz w:val="22"/>
          <w:szCs w:val="22"/>
          <w:lang w:val="x-none" w:eastAsia="x-none"/>
        </w:rPr>
      </w:pPr>
      <w:bookmarkStart w:id="18" w:name="_Toc128647498"/>
      <w:r>
        <w:rPr>
          <w:sz w:val="22"/>
          <w:szCs w:val="22"/>
        </w:rPr>
        <w:br w:type="page"/>
      </w:r>
    </w:p>
    <w:p w14:paraId="409B6A8E" w14:textId="598AF491" w:rsidR="007C1F56" w:rsidRPr="00AC4DA1" w:rsidRDefault="00365BB2" w:rsidP="009D4A03">
      <w:pPr>
        <w:pStyle w:val="Heading1"/>
        <w:rPr>
          <w:rFonts w:ascii="Times New Roman" w:hAnsi="Times New Roman"/>
          <w:sz w:val="22"/>
          <w:szCs w:val="22"/>
        </w:rPr>
      </w:pPr>
      <w:r w:rsidRPr="00AC4DA1">
        <w:rPr>
          <w:rFonts w:ascii="Times New Roman" w:hAnsi="Times New Roman"/>
          <w:sz w:val="22"/>
          <w:szCs w:val="22"/>
        </w:rPr>
        <w:lastRenderedPageBreak/>
        <w:t>Chapitre II : Rapport alternatif</w:t>
      </w:r>
      <w:bookmarkEnd w:id="18"/>
    </w:p>
    <w:p w14:paraId="5742514D" w14:textId="5592667D" w:rsidR="00547A66" w:rsidRPr="00E318A6" w:rsidRDefault="00365BB2" w:rsidP="00E318A6">
      <w:pPr>
        <w:pStyle w:val="Heading1"/>
        <w:rPr>
          <w:rFonts w:ascii="Times New Roman" w:hAnsi="Times New Roman"/>
          <w:sz w:val="22"/>
          <w:szCs w:val="22"/>
        </w:rPr>
      </w:pPr>
      <w:bookmarkStart w:id="19" w:name="_Toc128647499"/>
      <w:r w:rsidRPr="00AC4DA1">
        <w:rPr>
          <w:rFonts w:ascii="Times New Roman" w:hAnsi="Times New Roman"/>
          <w:sz w:val="22"/>
          <w:szCs w:val="22"/>
          <w:lang w:val="fr-FR"/>
        </w:rPr>
        <w:t xml:space="preserve">2.1 </w:t>
      </w:r>
      <w:r w:rsidR="007C1F56" w:rsidRPr="00AC4DA1">
        <w:rPr>
          <w:rFonts w:ascii="Times New Roman" w:hAnsi="Times New Roman"/>
          <w:sz w:val="22"/>
          <w:szCs w:val="22"/>
        </w:rPr>
        <w:t>Objectifs du rapport alternatif</w:t>
      </w:r>
      <w:bookmarkEnd w:id="19"/>
    </w:p>
    <w:p w14:paraId="377B7C41" w14:textId="4A3E9DC5" w:rsidR="007C1F56" w:rsidRPr="00AC4DA1" w:rsidRDefault="007C1F56" w:rsidP="0040329E">
      <w:pPr>
        <w:jc w:val="both"/>
        <w:rPr>
          <w:sz w:val="22"/>
          <w:szCs w:val="22"/>
          <w:lang w:val="x-none" w:eastAsia="x-none"/>
        </w:rPr>
      </w:pPr>
      <w:r w:rsidRPr="00AC4DA1">
        <w:rPr>
          <w:sz w:val="22"/>
          <w:szCs w:val="22"/>
          <w:lang w:val="x-none" w:eastAsia="x-none"/>
        </w:rPr>
        <w:t xml:space="preserve">Le présent rapport alternatif </w:t>
      </w:r>
      <w:r w:rsidR="00C6279D" w:rsidRPr="00AC4DA1">
        <w:rPr>
          <w:sz w:val="22"/>
          <w:szCs w:val="22"/>
          <w:lang w:eastAsia="x-none"/>
        </w:rPr>
        <w:t xml:space="preserve">a pour objet de </w:t>
      </w:r>
      <w:r w:rsidR="00C6279D" w:rsidRPr="00AC4DA1">
        <w:rPr>
          <w:sz w:val="22"/>
          <w:szCs w:val="22"/>
          <w:lang w:val="x-none" w:eastAsia="x-none"/>
        </w:rPr>
        <w:t>compléte</w:t>
      </w:r>
      <w:r w:rsidR="00C6279D" w:rsidRPr="00AC4DA1">
        <w:rPr>
          <w:sz w:val="22"/>
          <w:szCs w:val="22"/>
          <w:lang w:eastAsia="x-none"/>
        </w:rPr>
        <w:t>r</w:t>
      </w:r>
      <w:r w:rsidRPr="00AC4DA1">
        <w:rPr>
          <w:sz w:val="22"/>
          <w:szCs w:val="22"/>
          <w:lang w:val="x-none" w:eastAsia="x-none"/>
        </w:rPr>
        <w:t>, les informations du gouvernement fournies dans le rapport initial de l’Etat sur la mise en œuvre de la Convention Internationale relative aux droits des personnes handicapées, soumis le 24 juin 2019.</w:t>
      </w:r>
    </w:p>
    <w:p w14:paraId="1E9B8649" w14:textId="7ABF4094" w:rsidR="00547A66" w:rsidRPr="00AC4DA1" w:rsidRDefault="00365BB2" w:rsidP="004300BC">
      <w:pPr>
        <w:pStyle w:val="Heading1"/>
        <w:rPr>
          <w:rFonts w:ascii="Times New Roman" w:hAnsi="Times New Roman"/>
          <w:sz w:val="22"/>
          <w:szCs w:val="22"/>
        </w:rPr>
      </w:pPr>
      <w:bookmarkStart w:id="20" w:name="_Toc128647500"/>
      <w:r w:rsidRPr="00AC4DA1">
        <w:rPr>
          <w:rFonts w:ascii="Times New Roman" w:hAnsi="Times New Roman"/>
          <w:sz w:val="22"/>
          <w:szCs w:val="22"/>
          <w:lang w:val="fr-FR"/>
        </w:rPr>
        <w:t xml:space="preserve">2.2 </w:t>
      </w:r>
      <w:r w:rsidR="007C1F56" w:rsidRPr="00AC4DA1">
        <w:rPr>
          <w:rFonts w:ascii="Times New Roman" w:hAnsi="Times New Roman"/>
          <w:sz w:val="22"/>
          <w:szCs w:val="22"/>
        </w:rPr>
        <w:t>Processus du rapport alternatif de la mise en œuvre de la CIDPH</w:t>
      </w:r>
      <w:bookmarkEnd w:id="20"/>
    </w:p>
    <w:p w14:paraId="20907BC8" w14:textId="6ACBF585" w:rsidR="007C1F56" w:rsidRPr="00AC4DA1" w:rsidRDefault="007C1F56" w:rsidP="00547A66">
      <w:pPr>
        <w:jc w:val="both"/>
        <w:rPr>
          <w:sz w:val="22"/>
          <w:szCs w:val="22"/>
          <w:lang w:val="x-none" w:eastAsia="x-none"/>
        </w:rPr>
      </w:pPr>
      <w:r w:rsidRPr="00AC4DA1">
        <w:rPr>
          <w:sz w:val="22"/>
          <w:szCs w:val="22"/>
          <w:lang w:val="x-none" w:eastAsia="x-none"/>
        </w:rPr>
        <w:t>Comme la méthodologie se doit participative, une équipe restreinte appelée Commission Technique a été mise en place</w:t>
      </w:r>
      <w:r w:rsidR="004300BC" w:rsidRPr="00AC4DA1">
        <w:rPr>
          <w:sz w:val="22"/>
          <w:szCs w:val="22"/>
          <w:lang w:eastAsia="x-none"/>
        </w:rPr>
        <w:t xml:space="preserve"> par la fédération</w:t>
      </w:r>
      <w:r w:rsidRPr="00AC4DA1">
        <w:rPr>
          <w:sz w:val="22"/>
          <w:szCs w:val="22"/>
          <w:lang w:val="x-none" w:eastAsia="x-none"/>
        </w:rPr>
        <w:t xml:space="preserve">. Cette Commission a été appuyée par des personnes ressources compétentes en la matière notamment celles qui ont participé au processus d’élaboration et en même temps très actives dans le mouvement des Personnes Handicapées au Mali depuis plusieurs années. Elle a été chargée d’élaborer et de faire renseigner une grille de collecte d’information sur les résultats positifs et les cas de violations des droits des PH dans le cadre de la mise en œuvre des 50 articles de la CIDPH dans chaque association et fédération aux niveaux, local, régional et national. Une équipe spéciale a été chargée également de la collecte des données des régions. Aussi des consultations ont été réalisées par la Commission avec des personnes ressources et partenaires ayant activement participé à la promotion des droits des Personnes Handicapées au Mali. La synthèse des données collectées a permis à la Commission d’élaborer le premier draft du rapport alternatif qui a été soumis à un Comité plus représentatif de tous les types de handicap et des partenaires de la société civile comme l’Organisation Mondiale des Droits de l’Homme (OMDH), la Commission Malienne des Droits de l’Homme (CMDH), Amnistie International, le Forum des Organisations de la Société Civile (FOSC), le Forum des ONG Internationale (FONGIM), la Coordination des ONG et Associations Féminines (CAFO), Handicap International (HI), International Service (IS), Sight Saver International (SSI) etc. </w:t>
      </w:r>
    </w:p>
    <w:p w14:paraId="60CD9FDC" w14:textId="3681BC75" w:rsidR="007C1F56" w:rsidRPr="00AC4DA1" w:rsidRDefault="007C1F56" w:rsidP="00365BB2">
      <w:pPr>
        <w:jc w:val="both"/>
        <w:rPr>
          <w:sz w:val="22"/>
          <w:szCs w:val="22"/>
          <w:lang w:eastAsia="x-none"/>
        </w:rPr>
      </w:pPr>
    </w:p>
    <w:p w14:paraId="4B7A9642" w14:textId="77777777" w:rsidR="007C1F56" w:rsidRPr="00AC4DA1" w:rsidRDefault="007C1F56" w:rsidP="007C1F56">
      <w:pPr>
        <w:rPr>
          <w:sz w:val="22"/>
          <w:szCs w:val="22"/>
          <w:lang w:val="x-none" w:eastAsia="x-none"/>
        </w:rPr>
      </w:pPr>
    </w:p>
    <w:p w14:paraId="02E496CC" w14:textId="07041D1F" w:rsidR="007C1F56" w:rsidRPr="00AC4DA1" w:rsidRDefault="007C1F56" w:rsidP="007C1F56">
      <w:pPr>
        <w:rPr>
          <w:sz w:val="22"/>
          <w:szCs w:val="22"/>
          <w:lang w:val="x-none" w:eastAsia="x-none"/>
        </w:rPr>
      </w:pPr>
    </w:p>
    <w:p w14:paraId="43DDEF60" w14:textId="343509CC" w:rsidR="007C1F56" w:rsidRPr="00AC4DA1" w:rsidRDefault="007C1F56" w:rsidP="007C1F56">
      <w:pPr>
        <w:rPr>
          <w:sz w:val="22"/>
          <w:szCs w:val="22"/>
          <w:lang w:val="x-none" w:eastAsia="x-none"/>
        </w:rPr>
      </w:pPr>
    </w:p>
    <w:p w14:paraId="71C59B5E" w14:textId="44E65132" w:rsidR="007C1F56" w:rsidRPr="00AC4DA1" w:rsidRDefault="007C1F56" w:rsidP="007C1F56">
      <w:pPr>
        <w:rPr>
          <w:sz w:val="22"/>
          <w:szCs w:val="22"/>
          <w:lang w:val="x-none" w:eastAsia="x-none"/>
        </w:rPr>
      </w:pPr>
    </w:p>
    <w:p w14:paraId="52C5C24E" w14:textId="07BC0DB2" w:rsidR="007C1F56" w:rsidRPr="00AC4DA1" w:rsidRDefault="007C1F56" w:rsidP="007C1F56">
      <w:pPr>
        <w:rPr>
          <w:sz w:val="22"/>
          <w:szCs w:val="22"/>
          <w:lang w:val="x-none" w:eastAsia="x-none"/>
        </w:rPr>
      </w:pPr>
    </w:p>
    <w:p w14:paraId="54661398" w14:textId="6B0A9551" w:rsidR="007C1F56" w:rsidRPr="00AC4DA1" w:rsidRDefault="007C1F56" w:rsidP="007C1F56">
      <w:pPr>
        <w:rPr>
          <w:sz w:val="22"/>
          <w:szCs w:val="22"/>
          <w:lang w:val="x-none" w:eastAsia="x-none"/>
        </w:rPr>
      </w:pPr>
    </w:p>
    <w:p w14:paraId="100F423C" w14:textId="346CAA60" w:rsidR="007C1F56" w:rsidRPr="00AC4DA1" w:rsidRDefault="007C1F56" w:rsidP="007C1F56">
      <w:pPr>
        <w:rPr>
          <w:sz w:val="22"/>
          <w:szCs w:val="22"/>
          <w:lang w:val="x-none" w:eastAsia="x-none"/>
        </w:rPr>
      </w:pPr>
    </w:p>
    <w:p w14:paraId="47D0EFA7" w14:textId="3586BE26" w:rsidR="007C1F56" w:rsidRPr="00AC4DA1" w:rsidRDefault="007C1F56" w:rsidP="007C1F56">
      <w:pPr>
        <w:rPr>
          <w:sz w:val="22"/>
          <w:szCs w:val="22"/>
          <w:lang w:val="x-none" w:eastAsia="x-none"/>
        </w:rPr>
      </w:pPr>
    </w:p>
    <w:p w14:paraId="0D39818A" w14:textId="722B346A" w:rsidR="007C1F56" w:rsidRPr="00AC4DA1" w:rsidRDefault="007C1F56" w:rsidP="007C1F56">
      <w:pPr>
        <w:rPr>
          <w:sz w:val="22"/>
          <w:szCs w:val="22"/>
          <w:lang w:val="x-none" w:eastAsia="x-none"/>
        </w:rPr>
      </w:pPr>
    </w:p>
    <w:p w14:paraId="7E86C9EE" w14:textId="13FDA062" w:rsidR="007C1F56" w:rsidRPr="00AC4DA1" w:rsidRDefault="007C1F56" w:rsidP="007C1F56">
      <w:pPr>
        <w:rPr>
          <w:sz w:val="22"/>
          <w:szCs w:val="22"/>
          <w:lang w:val="x-none" w:eastAsia="x-none"/>
        </w:rPr>
      </w:pPr>
    </w:p>
    <w:p w14:paraId="03FE78E4" w14:textId="54707986" w:rsidR="007C1F56" w:rsidRPr="00AC4DA1" w:rsidRDefault="007C1F56" w:rsidP="007C1F56">
      <w:pPr>
        <w:rPr>
          <w:sz w:val="22"/>
          <w:szCs w:val="22"/>
          <w:lang w:val="x-none" w:eastAsia="x-none"/>
        </w:rPr>
      </w:pPr>
    </w:p>
    <w:p w14:paraId="79F2FA72" w14:textId="797ECF69" w:rsidR="007C1F56" w:rsidRPr="00AC4DA1" w:rsidRDefault="007C1F56" w:rsidP="007C1F56">
      <w:pPr>
        <w:rPr>
          <w:sz w:val="22"/>
          <w:szCs w:val="22"/>
          <w:lang w:val="x-none" w:eastAsia="x-none"/>
        </w:rPr>
      </w:pPr>
    </w:p>
    <w:p w14:paraId="10E7F3D9" w14:textId="2D827352" w:rsidR="007C1F56" w:rsidRPr="00AC4DA1" w:rsidRDefault="007C1F56" w:rsidP="007C1F56">
      <w:pPr>
        <w:rPr>
          <w:sz w:val="22"/>
          <w:szCs w:val="22"/>
          <w:lang w:val="x-none" w:eastAsia="x-none"/>
        </w:rPr>
      </w:pPr>
    </w:p>
    <w:p w14:paraId="008EE011" w14:textId="0436A666" w:rsidR="007C1F56" w:rsidRPr="00AC4DA1" w:rsidRDefault="007C1F56" w:rsidP="007C1F56">
      <w:pPr>
        <w:rPr>
          <w:sz w:val="22"/>
          <w:szCs w:val="22"/>
          <w:lang w:val="x-none" w:eastAsia="x-none"/>
        </w:rPr>
      </w:pPr>
    </w:p>
    <w:p w14:paraId="3F9A4FB4" w14:textId="1DF077A7" w:rsidR="007C1F56" w:rsidRPr="00AC4DA1" w:rsidRDefault="007C1F56" w:rsidP="007C1F56">
      <w:pPr>
        <w:rPr>
          <w:sz w:val="22"/>
          <w:szCs w:val="22"/>
          <w:lang w:val="x-none" w:eastAsia="x-none"/>
        </w:rPr>
      </w:pPr>
    </w:p>
    <w:p w14:paraId="2D2B124B" w14:textId="68698BCE" w:rsidR="007C1F56" w:rsidRPr="00AC4DA1" w:rsidRDefault="007C1F56" w:rsidP="007C1F56">
      <w:pPr>
        <w:rPr>
          <w:sz w:val="22"/>
          <w:szCs w:val="22"/>
          <w:lang w:val="x-none" w:eastAsia="x-none"/>
        </w:rPr>
      </w:pPr>
    </w:p>
    <w:p w14:paraId="34253F65" w14:textId="13FDCC34" w:rsidR="007C1F56" w:rsidRPr="00AC4DA1" w:rsidRDefault="007C1F56" w:rsidP="007C1F56">
      <w:pPr>
        <w:rPr>
          <w:sz w:val="22"/>
          <w:szCs w:val="22"/>
          <w:lang w:val="x-none" w:eastAsia="x-none"/>
        </w:rPr>
      </w:pPr>
    </w:p>
    <w:p w14:paraId="0A8F9773" w14:textId="41B1BEDD" w:rsidR="007C1F56" w:rsidRPr="00AC4DA1" w:rsidRDefault="007C1F56" w:rsidP="007C1F56">
      <w:pPr>
        <w:rPr>
          <w:sz w:val="22"/>
          <w:szCs w:val="22"/>
          <w:lang w:val="x-none" w:eastAsia="x-none"/>
        </w:rPr>
      </w:pPr>
    </w:p>
    <w:p w14:paraId="5AF404F1" w14:textId="5E6E7787" w:rsidR="007C1F56" w:rsidRPr="00AC4DA1" w:rsidRDefault="007C1F56" w:rsidP="007C1F56">
      <w:pPr>
        <w:rPr>
          <w:sz w:val="22"/>
          <w:szCs w:val="22"/>
          <w:lang w:val="x-none" w:eastAsia="x-none"/>
        </w:rPr>
      </w:pPr>
    </w:p>
    <w:p w14:paraId="4EEC580C" w14:textId="5BFAB4AD" w:rsidR="007C1F56" w:rsidRPr="00AC4DA1" w:rsidRDefault="007C1F56" w:rsidP="007C1F56">
      <w:pPr>
        <w:rPr>
          <w:sz w:val="22"/>
          <w:szCs w:val="22"/>
          <w:lang w:val="x-none" w:eastAsia="x-none"/>
        </w:rPr>
      </w:pPr>
    </w:p>
    <w:p w14:paraId="3BF23567" w14:textId="55F7811D" w:rsidR="007C1F56" w:rsidRPr="00AC4DA1" w:rsidRDefault="007C1F56" w:rsidP="007C1F56">
      <w:pPr>
        <w:rPr>
          <w:sz w:val="22"/>
          <w:szCs w:val="22"/>
          <w:lang w:val="x-none" w:eastAsia="x-none"/>
        </w:rPr>
      </w:pPr>
    </w:p>
    <w:p w14:paraId="1321276E" w14:textId="79F25E08" w:rsidR="007C1F56" w:rsidRPr="00AC4DA1" w:rsidRDefault="007C1F56" w:rsidP="007C1F56">
      <w:pPr>
        <w:rPr>
          <w:sz w:val="22"/>
          <w:szCs w:val="22"/>
          <w:lang w:val="x-none" w:eastAsia="x-none"/>
        </w:rPr>
      </w:pPr>
    </w:p>
    <w:p w14:paraId="620E4626" w14:textId="58A619B6" w:rsidR="007C1F56" w:rsidRPr="00AC4DA1" w:rsidRDefault="007C1F56" w:rsidP="007C1F56">
      <w:pPr>
        <w:rPr>
          <w:sz w:val="22"/>
          <w:szCs w:val="22"/>
          <w:lang w:val="x-none" w:eastAsia="x-none"/>
        </w:rPr>
      </w:pPr>
    </w:p>
    <w:p w14:paraId="77354942" w14:textId="524869A1" w:rsidR="007C1F56" w:rsidRPr="00AC4DA1" w:rsidRDefault="007C1F56" w:rsidP="007C1F56">
      <w:pPr>
        <w:rPr>
          <w:sz w:val="22"/>
          <w:szCs w:val="22"/>
          <w:lang w:val="x-none" w:eastAsia="x-none"/>
        </w:rPr>
      </w:pPr>
    </w:p>
    <w:p w14:paraId="3F091AAF" w14:textId="5B517334" w:rsidR="007C1F56" w:rsidRPr="00AC4DA1" w:rsidRDefault="007C1F56" w:rsidP="007C1F56">
      <w:pPr>
        <w:rPr>
          <w:sz w:val="22"/>
          <w:szCs w:val="22"/>
          <w:lang w:val="x-none" w:eastAsia="x-none"/>
        </w:rPr>
      </w:pPr>
    </w:p>
    <w:p w14:paraId="5EBD849B" w14:textId="27950BAC" w:rsidR="007C1F56" w:rsidRPr="00AC4DA1" w:rsidRDefault="007C1F56" w:rsidP="007C1F56">
      <w:pPr>
        <w:rPr>
          <w:sz w:val="22"/>
          <w:szCs w:val="22"/>
          <w:lang w:val="x-none" w:eastAsia="x-none"/>
        </w:rPr>
      </w:pPr>
    </w:p>
    <w:p w14:paraId="1BED8567" w14:textId="02237193" w:rsidR="007C1F56" w:rsidRPr="00AC4DA1" w:rsidRDefault="007C1F56" w:rsidP="007C1F56">
      <w:pPr>
        <w:rPr>
          <w:sz w:val="22"/>
          <w:szCs w:val="22"/>
          <w:lang w:val="x-none" w:eastAsia="x-none"/>
        </w:rPr>
      </w:pPr>
    </w:p>
    <w:p w14:paraId="24C8CDE0" w14:textId="468ECA11" w:rsidR="007C1F56" w:rsidRPr="00AC4DA1" w:rsidRDefault="007C1F56" w:rsidP="007C1F56">
      <w:pPr>
        <w:rPr>
          <w:sz w:val="22"/>
          <w:szCs w:val="22"/>
          <w:lang w:val="x-none" w:eastAsia="x-none"/>
        </w:rPr>
      </w:pPr>
    </w:p>
    <w:p w14:paraId="6EEAC7CA" w14:textId="3FFF7383" w:rsidR="007C1F56" w:rsidRPr="00AC4DA1" w:rsidRDefault="007C1F56" w:rsidP="007C1F56">
      <w:pPr>
        <w:rPr>
          <w:sz w:val="22"/>
          <w:szCs w:val="22"/>
          <w:lang w:val="x-none" w:eastAsia="x-none"/>
        </w:rPr>
      </w:pPr>
    </w:p>
    <w:p w14:paraId="45FF4E6B" w14:textId="6E7032F0" w:rsidR="007C1F56" w:rsidRPr="00AC4DA1" w:rsidRDefault="007C1F56" w:rsidP="007C1F56">
      <w:pPr>
        <w:rPr>
          <w:sz w:val="22"/>
          <w:szCs w:val="22"/>
          <w:lang w:val="x-none" w:eastAsia="x-none"/>
        </w:rPr>
      </w:pPr>
    </w:p>
    <w:p w14:paraId="615F19BF" w14:textId="186B9845" w:rsidR="007C1F56" w:rsidRPr="00AC4DA1" w:rsidRDefault="007C1F56" w:rsidP="007C1F56">
      <w:pPr>
        <w:rPr>
          <w:sz w:val="22"/>
          <w:szCs w:val="22"/>
          <w:lang w:val="x-none" w:eastAsia="x-none"/>
        </w:rPr>
      </w:pPr>
    </w:p>
    <w:p w14:paraId="72BD4769" w14:textId="626977C3" w:rsidR="007C1F56" w:rsidRPr="00AC4DA1" w:rsidRDefault="007C1F56" w:rsidP="007C1F56">
      <w:pPr>
        <w:rPr>
          <w:sz w:val="22"/>
          <w:szCs w:val="22"/>
          <w:lang w:val="x-none" w:eastAsia="x-none"/>
        </w:rPr>
      </w:pPr>
    </w:p>
    <w:p w14:paraId="03244DFC" w14:textId="22D05D5E" w:rsidR="007C1F56" w:rsidRPr="00AC4DA1" w:rsidRDefault="007C1F56" w:rsidP="007C1F56">
      <w:pPr>
        <w:rPr>
          <w:sz w:val="22"/>
          <w:szCs w:val="22"/>
          <w:lang w:val="x-none" w:eastAsia="x-none"/>
        </w:rPr>
      </w:pPr>
    </w:p>
    <w:p w14:paraId="2E9AA80F" w14:textId="7E2E07CF" w:rsidR="007C1F56" w:rsidRPr="00AC4DA1" w:rsidRDefault="007C1F56" w:rsidP="007C1F56">
      <w:pPr>
        <w:rPr>
          <w:sz w:val="22"/>
          <w:szCs w:val="22"/>
          <w:lang w:val="x-none" w:eastAsia="x-none"/>
        </w:rPr>
      </w:pPr>
    </w:p>
    <w:p w14:paraId="46EE9186" w14:textId="4951AF4D" w:rsidR="007C1F56" w:rsidRPr="00AC4DA1" w:rsidRDefault="007C1F56" w:rsidP="007C1F56">
      <w:pPr>
        <w:rPr>
          <w:sz w:val="22"/>
          <w:szCs w:val="22"/>
          <w:lang w:val="x-none" w:eastAsia="x-none"/>
        </w:rPr>
      </w:pPr>
    </w:p>
    <w:p w14:paraId="5DBEECD8" w14:textId="00910C70" w:rsidR="007C1F56" w:rsidRPr="00AC4DA1" w:rsidRDefault="007C1F56" w:rsidP="007C1F56">
      <w:pPr>
        <w:rPr>
          <w:sz w:val="22"/>
          <w:szCs w:val="22"/>
          <w:lang w:val="x-none" w:eastAsia="x-none"/>
        </w:rPr>
      </w:pPr>
    </w:p>
    <w:p w14:paraId="743DDAF6" w14:textId="040613B2" w:rsidR="007C1F56" w:rsidRPr="00AC4DA1" w:rsidRDefault="007C1F56" w:rsidP="007C1F56">
      <w:pPr>
        <w:rPr>
          <w:sz w:val="22"/>
          <w:szCs w:val="22"/>
          <w:lang w:val="x-none" w:eastAsia="x-none"/>
        </w:rPr>
      </w:pPr>
    </w:p>
    <w:p w14:paraId="782E3EBF" w14:textId="212A103D" w:rsidR="007C1F56" w:rsidRPr="00AC4DA1" w:rsidRDefault="007C1F56" w:rsidP="007C1F56">
      <w:pPr>
        <w:rPr>
          <w:sz w:val="22"/>
          <w:szCs w:val="22"/>
          <w:lang w:val="x-none" w:eastAsia="x-none"/>
        </w:rPr>
      </w:pPr>
    </w:p>
    <w:p w14:paraId="65BDA888" w14:textId="37F76856" w:rsidR="007C1F56" w:rsidRPr="00AC4DA1" w:rsidRDefault="007C1F56" w:rsidP="007C1F56">
      <w:pPr>
        <w:rPr>
          <w:sz w:val="22"/>
          <w:szCs w:val="22"/>
          <w:lang w:val="x-none" w:eastAsia="x-none"/>
        </w:rPr>
      </w:pPr>
    </w:p>
    <w:p w14:paraId="296A798B" w14:textId="74C59C37" w:rsidR="007C1F56" w:rsidRPr="00AC4DA1" w:rsidRDefault="007C1F56" w:rsidP="007C1F56">
      <w:pPr>
        <w:rPr>
          <w:sz w:val="22"/>
          <w:szCs w:val="22"/>
          <w:lang w:val="x-none" w:eastAsia="x-none"/>
        </w:rPr>
      </w:pPr>
    </w:p>
    <w:p w14:paraId="5C06D833" w14:textId="77777777" w:rsidR="007C1F56" w:rsidRPr="00AC4DA1" w:rsidRDefault="007C1F56" w:rsidP="007C1F56">
      <w:pPr>
        <w:rPr>
          <w:sz w:val="22"/>
          <w:szCs w:val="22"/>
          <w:lang w:val="x-none" w:eastAsia="x-none"/>
        </w:rPr>
      </w:pPr>
    </w:p>
    <w:p w14:paraId="16D94571" w14:textId="0DA0FDDD" w:rsidR="007C1F56" w:rsidRPr="00E53BAE" w:rsidRDefault="007C1F56" w:rsidP="007C1F56">
      <w:pPr>
        <w:pStyle w:val="IntenseQuote"/>
        <w:rPr>
          <w:b/>
          <w:bCs/>
          <w:sz w:val="36"/>
          <w:szCs w:val="36"/>
        </w:rPr>
      </w:pPr>
      <w:r w:rsidRPr="00E53BAE">
        <w:rPr>
          <w:b/>
          <w:bCs/>
          <w:sz w:val="36"/>
          <w:szCs w:val="36"/>
        </w:rPr>
        <w:t>III.</w:t>
      </w:r>
      <w:r w:rsidRPr="00E53BAE">
        <w:rPr>
          <w:b/>
          <w:bCs/>
          <w:sz w:val="36"/>
          <w:szCs w:val="36"/>
        </w:rPr>
        <w:tab/>
        <w:t>Etat de mise en œuvre de la CIDPH au Mali</w:t>
      </w:r>
    </w:p>
    <w:p w14:paraId="7437B8E3" w14:textId="18BCBFBF" w:rsidR="007C1F56" w:rsidRPr="00AC4DA1" w:rsidRDefault="007C1F56" w:rsidP="007C1F56">
      <w:pPr>
        <w:rPr>
          <w:b/>
          <w:bCs/>
          <w:sz w:val="22"/>
          <w:szCs w:val="22"/>
          <w:lang w:val="x-none" w:eastAsia="x-none"/>
        </w:rPr>
      </w:pPr>
    </w:p>
    <w:p w14:paraId="1C14CFCA" w14:textId="65744435" w:rsidR="007C1F56" w:rsidRPr="00AC4DA1" w:rsidRDefault="007C1F56" w:rsidP="007C1F56">
      <w:pPr>
        <w:rPr>
          <w:b/>
          <w:bCs/>
          <w:sz w:val="22"/>
          <w:szCs w:val="22"/>
          <w:lang w:val="x-none" w:eastAsia="x-none"/>
        </w:rPr>
      </w:pPr>
    </w:p>
    <w:p w14:paraId="38699E90" w14:textId="46F4D713" w:rsidR="007C1F56" w:rsidRPr="00AC4DA1" w:rsidRDefault="007C1F56" w:rsidP="007C1F56">
      <w:pPr>
        <w:rPr>
          <w:b/>
          <w:bCs/>
          <w:sz w:val="22"/>
          <w:szCs w:val="22"/>
          <w:lang w:val="x-none" w:eastAsia="x-none"/>
        </w:rPr>
      </w:pPr>
    </w:p>
    <w:p w14:paraId="39EBC8CC" w14:textId="25830C3C" w:rsidR="007C1F56" w:rsidRPr="00AC4DA1" w:rsidRDefault="007C1F56" w:rsidP="007C1F56">
      <w:pPr>
        <w:rPr>
          <w:b/>
          <w:bCs/>
          <w:sz w:val="22"/>
          <w:szCs w:val="22"/>
          <w:lang w:val="x-none" w:eastAsia="x-none"/>
        </w:rPr>
      </w:pPr>
    </w:p>
    <w:p w14:paraId="2F791045" w14:textId="527202ED" w:rsidR="007C1F56" w:rsidRPr="00AC4DA1" w:rsidRDefault="007C1F56" w:rsidP="007C1F56">
      <w:pPr>
        <w:rPr>
          <w:b/>
          <w:bCs/>
          <w:sz w:val="22"/>
          <w:szCs w:val="22"/>
          <w:lang w:val="x-none" w:eastAsia="x-none"/>
        </w:rPr>
      </w:pPr>
    </w:p>
    <w:p w14:paraId="7AE73275" w14:textId="1287B615" w:rsidR="007C1F56" w:rsidRPr="00AC4DA1" w:rsidRDefault="007C1F56" w:rsidP="007C1F56">
      <w:pPr>
        <w:rPr>
          <w:b/>
          <w:bCs/>
          <w:sz w:val="22"/>
          <w:szCs w:val="22"/>
          <w:lang w:val="x-none" w:eastAsia="x-none"/>
        </w:rPr>
      </w:pPr>
    </w:p>
    <w:p w14:paraId="7B60F59A" w14:textId="51BB1B11" w:rsidR="007C1F56" w:rsidRPr="00AC4DA1" w:rsidRDefault="007C1F56" w:rsidP="007C1F56">
      <w:pPr>
        <w:rPr>
          <w:b/>
          <w:bCs/>
          <w:sz w:val="22"/>
          <w:szCs w:val="22"/>
          <w:lang w:val="x-none" w:eastAsia="x-none"/>
        </w:rPr>
      </w:pPr>
    </w:p>
    <w:p w14:paraId="120A3A6A" w14:textId="2D6FA2D1" w:rsidR="007C1F56" w:rsidRPr="00AC4DA1" w:rsidRDefault="007C1F56" w:rsidP="007C1F56">
      <w:pPr>
        <w:rPr>
          <w:b/>
          <w:bCs/>
          <w:sz w:val="22"/>
          <w:szCs w:val="22"/>
          <w:lang w:val="x-none" w:eastAsia="x-none"/>
        </w:rPr>
      </w:pPr>
    </w:p>
    <w:p w14:paraId="2EC5E925" w14:textId="798DF346" w:rsidR="007C1F56" w:rsidRPr="00AC4DA1" w:rsidRDefault="007C1F56" w:rsidP="007C1F56">
      <w:pPr>
        <w:rPr>
          <w:b/>
          <w:bCs/>
          <w:sz w:val="22"/>
          <w:szCs w:val="22"/>
          <w:lang w:val="x-none" w:eastAsia="x-none"/>
        </w:rPr>
      </w:pPr>
    </w:p>
    <w:p w14:paraId="55BAC588" w14:textId="7938CB0B" w:rsidR="007C1F56" w:rsidRPr="00AC4DA1" w:rsidRDefault="007C1F56" w:rsidP="007C1F56">
      <w:pPr>
        <w:rPr>
          <w:b/>
          <w:bCs/>
          <w:sz w:val="22"/>
          <w:szCs w:val="22"/>
          <w:lang w:val="x-none" w:eastAsia="x-none"/>
        </w:rPr>
      </w:pPr>
    </w:p>
    <w:p w14:paraId="12D260A2" w14:textId="2BD1CF3D" w:rsidR="007C1F56" w:rsidRPr="00AC4DA1" w:rsidRDefault="007C1F56" w:rsidP="007C1F56">
      <w:pPr>
        <w:rPr>
          <w:b/>
          <w:bCs/>
          <w:sz w:val="22"/>
          <w:szCs w:val="22"/>
          <w:lang w:val="x-none" w:eastAsia="x-none"/>
        </w:rPr>
      </w:pPr>
    </w:p>
    <w:p w14:paraId="2B082D54" w14:textId="73BFC502" w:rsidR="007C1F56" w:rsidRPr="00AC4DA1" w:rsidRDefault="007C1F56" w:rsidP="007C1F56">
      <w:pPr>
        <w:rPr>
          <w:b/>
          <w:bCs/>
          <w:sz w:val="22"/>
          <w:szCs w:val="22"/>
          <w:lang w:val="x-none" w:eastAsia="x-none"/>
        </w:rPr>
      </w:pPr>
    </w:p>
    <w:p w14:paraId="1EF5C13C" w14:textId="5502D6AA" w:rsidR="007C1F56" w:rsidRPr="00AC4DA1" w:rsidRDefault="007C1F56" w:rsidP="007C1F56">
      <w:pPr>
        <w:rPr>
          <w:b/>
          <w:bCs/>
          <w:sz w:val="22"/>
          <w:szCs w:val="22"/>
          <w:lang w:val="x-none" w:eastAsia="x-none"/>
        </w:rPr>
      </w:pPr>
    </w:p>
    <w:p w14:paraId="68F2169D" w14:textId="2A5A8397" w:rsidR="007C1F56" w:rsidRPr="00AC4DA1" w:rsidRDefault="007C1F56" w:rsidP="007C1F56">
      <w:pPr>
        <w:rPr>
          <w:b/>
          <w:bCs/>
          <w:sz w:val="22"/>
          <w:szCs w:val="22"/>
          <w:lang w:val="x-none" w:eastAsia="x-none"/>
        </w:rPr>
      </w:pPr>
    </w:p>
    <w:p w14:paraId="6D7709AD" w14:textId="0ABB192D" w:rsidR="007C1F56" w:rsidRPr="00AC4DA1" w:rsidRDefault="007C1F56" w:rsidP="007C1F56">
      <w:pPr>
        <w:rPr>
          <w:b/>
          <w:bCs/>
          <w:sz w:val="22"/>
          <w:szCs w:val="22"/>
          <w:lang w:val="x-none" w:eastAsia="x-none"/>
        </w:rPr>
      </w:pPr>
    </w:p>
    <w:p w14:paraId="46C19968" w14:textId="0C26FE41" w:rsidR="007C1F56" w:rsidRPr="00AC4DA1" w:rsidRDefault="007C1F56" w:rsidP="007C1F56">
      <w:pPr>
        <w:rPr>
          <w:b/>
          <w:bCs/>
          <w:sz w:val="22"/>
          <w:szCs w:val="22"/>
          <w:lang w:val="x-none" w:eastAsia="x-none"/>
        </w:rPr>
      </w:pPr>
    </w:p>
    <w:p w14:paraId="4EF4C46D" w14:textId="1F206802" w:rsidR="007C1F56" w:rsidRPr="00AC4DA1" w:rsidRDefault="007C1F56" w:rsidP="007C1F56">
      <w:pPr>
        <w:rPr>
          <w:b/>
          <w:bCs/>
          <w:sz w:val="22"/>
          <w:szCs w:val="22"/>
          <w:lang w:val="x-none" w:eastAsia="x-none"/>
        </w:rPr>
      </w:pPr>
    </w:p>
    <w:p w14:paraId="3942E979" w14:textId="2D96E242" w:rsidR="007C1F56" w:rsidRPr="00AC4DA1" w:rsidRDefault="007C1F56" w:rsidP="007C1F56">
      <w:pPr>
        <w:rPr>
          <w:b/>
          <w:bCs/>
          <w:sz w:val="22"/>
          <w:szCs w:val="22"/>
          <w:lang w:val="x-none" w:eastAsia="x-none"/>
        </w:rPr>
      </w:pPr>
    </w:p>
    <w:p w14:paraId="1072CA08" w14:textId="1EBD5665" w:rsidR="0040329E" w:rsidRPr="00AC4DA1" w:rsidRDefault="0040329E" w:rsidP="007C1F56">
      <w:pPr>
        <w:rPr>
          <w:b/>
          <w:bCs/>
          <w:sz w:val="22"/>
          <w:szCs w:val="22"/>
          <w:lang w:val="x-none" w:eastAsia="x-none"/>
        </w:rPr>
      </w:pPr>
    </w:p>
    <w:p w14:paraId="60A83116" w14:textId="2F701560" w:rsidR="0040329E" w:rsidRPr="00AC4DA1" w:rsidRDefault="0040329E" w:rsidP="007C1F56">
      <w:pPr>
        <w:rPr>
          <w:b/>
          <w:bCs/>
          <w:sz w:val="22"/>
          <w:szCs w:val="22"/>
          <w:lang w:val="x-none" w:eastAsia="x-none"/>
        </w:rPr>
      </w:pPr>
    </w:p>
    <w:p w14:paraId="79F0CB6E" w14:textId="77777777" w:rsidR="0040329E" w:rsidRPr="00AC4DA1" w:rsidRDefault="0040329E" w:rsidP="007C1F56">
      <w:pPr>
        <w:rPr>
          <w:b/>
          <w:bCs/>
          <w:sz w:val="22"/>
          <w:szCs w:val="22"/>
          <w:lang w:val="x-none" w:eastAsia="x-none"/>
        </w:rPr>
      </w:pPr>
    </w:p>
    <w:p w14:paraId="3DFDC928" w14:textId="4C1ADEA5" w:rsidR="007C1F56" w:rsidRPr="00AC4DA1" w:rsidRDefault="007C1F56" w:rsidP="007C1F56">
      <w:pPr>
        <w:rPr>
          <w:b/>
          <w:bCs/>
          <w:sz w:val="22"/>
          <w:szCs w:val="22"/>
          <w:lang w:val="x-none" w:eastAsia="x-none"/>
        </w:rPr>
      </w:pPr>
    </w:p>
    <w:p w14:paraId="3DDC34FC" w14:textId="43E9879B" w:rsidR="007C1F56" w:rsidRPr="00AC4DA1" w:rsidRDefault="007C1F56" w:rsidP="007C1F56">
      <w:pPr>
        <w:rPr>
          <w:b/>
          <w:bCs/>
          <w:sz w:val="22"/>
          <w:szCs w:val="22"/>
          <w:lang w:val="x-none" w:eastAsia="x-none"/>
        </w:rPr>
      </w:pPr>
    </w:p>
    <w:p w14:paraId="710419E6" w14:textId="77AD73BE" w:rsidR="007C1F56" w:rsidRDefault="007C1F56" w:rsidP="007C1F56">
      <w:pPr>
        <w:rPr>
          <w:b/>
          <w:bCs/>
          <w:sz w:val="22"/>
          <w:szCs w:val="22"/>
          <w:lang w:val="x-none" w:eastAsia="x-none"/>
        </w:rPr>
      </w:pPr>
    </w:p>
    <w:p w14:paraId="543E477E" w14:textId="054A308E" w:rsidR="00AC4DA1" w:rsidRDefault="00AC4DA1" w:rsidP="007C1F56">
      <w:pPr>
        <w:rPr>
          <w:b/>
          <w:bCs/>
          <w:sz w:val="22"/>
          <w:szCs w:val="22"/>
          <w:lang w:val="x-none" w:eastAsia="x-none"/>
        </w:rPr>
      </w:pPr>
    </w:p>
    <w:p w14:paraId="0A356E96" w14:textId="5E0F8C71" w:rsidR="00AC4DA1" w:rsidRDefault="00AC4DA1" w:rsidP="007C1F56">
      <w:pPr>
        <w:rPr>
          <w:b/>
          <w:bCs/>
          <w:sz w:val="22"/>
          <w:szCs w:val="22"/>
          <w:lang w:val="x-none" w:eastAsia="x-none"/>
        </w:rPr>
      </w:pPr>
    </w:p>
    <w:p w14:paraId="158BB11B" w14:textId="0C3CA51C" w:rsidR="00AC4DA1" w:rsidRDefault="00AC4DA1" w:rsidP="007C1F56">
      <w:pPr>
        <w:rPr>
          <w:b/>
          <w:bCs/>
          <w:sz w:val="22"/>
          <w:szCs w:val="22"/>
          <w:lang w:val="x-none" w:eastAsia="x-none"/>
        </w:rPr>
      </w:pPr>
    </w:p>
    <w:p w14:paraId="0D96C9FD" w14:textId="77422A92" w:rsidR="00AC4DA1" w:rsidRDefault="00AC4DA1" w:rsidP="007C1F56">
      <w:pPr>
        <w:rPr>
          <w:b/>
          <w:bCs/>
          <w:sz w:val="22"/>
          <w:szCs w:val="22"/>
          <w:lang w:val="x-none" w:eastAsia="x-none"/>
        </w:rPr>
      </w:pPr>
    </w:p>
    <w:p w14:paraId="406828F0" w14:textId="50C69543" w:rsidR="00AC4DA1" w:rsidRDefault="00AC4DA1" w:rsidP="007C1F56">
      <w:pPr>
        <w:rPr>
          <w:b/>
          <w:bCs/>
          <w:sz w:val="22"/>
          <w:szCs w:val="22"/>
          <w:lang w:val="x-none" w:eastAsia="x-none"/>
        </w:rPr>
      </w:pPr>
    </w:p>
    <w:p w14:paraId="6D59064D" w14:textId="77777777" w:rsidR="00AC4DA1" w:rsidRPr="00AC4DA1" w:rsidRDefault="00AC4DA1" w:rsidP="007C1F56">
      <w:pPr>
        <w:rPr>
          <w:b/>
          <w:bCs/>
          <w:sz w:val="22"/>
          <w:szCs w:val="22"/>
          <w:lang w:val="x-none" w:eastAsia="x-none"/>
        </w:rPr>
      </w:pPr>
    </w:p>
    <w:p w14:paraId="0D2BF25F" w14:textId="25B926B6" w:rsidR="00DD1E5D" w:rsidRPr="00AC4DA1" w:rsidRDefault="007C1F56" w:rsidP="0040329E">
      <w:pPr>
        <w:pStyle w:val="Heading1"/>
        <w:rPr>
          <w:rFonts w:ascii="Times New Roman" w:hAnsi="Times New Roman"/>
          <w:sz w:val="22"/>
          <w:szCs w:val="22"/>
        </w:rPr>
      </w:pPr>
      <w:bookmarkStart w:id="21" w:name="_Toc128647501"/>
      <w:r w:rsidRPr="00AC4DA1">
        <w:rPr>
          <w:rFonts w:ascii="Times New Roman" w:hAnsi="Times New Roman"/>
          <w:sz w:val="22"/>
          <w:szCs w:val="22"/>
        </w:rPr>
        <w:t>III.</w:t>
      </w:r>
      <w:r w:rsidRPr="00AC4DA1">
        <w:rPr>
          <w:rFonts w:ascii="Times New Roman" w:hAnsi="Times New Roman"/>
          <w:sz w:val="22"/>
          <w:szCs w:val="22"/>
        </w:rPr>
        <w:tab/>
        <w:t>Etat de mise en œuvre de la CIDPH au Mali</w:t>
      </w:r>
      <w:bookmarkEnd w:id="21"/>
    </w:p>
    <w:p w14:paraId="1069F726" w14:textId="4B0ECF63" w:rsidR="00DD1E5D" w:rsidRPr="00AC4DA1" w:rsidRDefault="00365BB2" w:rsidP="0040329E">
      <w:pPr>
        <w:pStyle w:val="Heading1"/>
        <w:rPr>
          <w:rFonts w:ascii="Times New Roman" w:hAnsi="Times New Roman"/>
          <w:sz w:val="22"/>
          <w:szCs w:val="22"/>
        </w:rPr>
      </w:pPr>
      <w:bookmarkStart w:id="22" w:name="_Toc128647502"/>
      <w:r w:rsidRPr="00AC4DA1">
        <w:rPr>
          <w:rFonts w:ascii="Times New Roman" w:hAnsi="Times New Roman"/>
          <w:sz w:val="22"/>
          <w:szCs w:val="22"/>
          <w:lang w:val="fr-FR"/>
        </w:rPr>
        <w:t xml:space="preserve">3.1 </w:t>
      </w:r>
      <w:r w:rsidR="00DD1E5D" w:rsidRPr="00AC4DA1">
        <w:rPr>
          <w:rFonts w:ascii="Times New Roman" w:hAnsi="Times New Roman"/>
          <w:sz w:val="22"/>
          <w:szCs w:val="22"/>
        </w:rPr>
        <w:t>Articles transversaux (articles 1, 2, 3, 4, 5, 8 et 9)</w:t>
      </w:r>
      <w:bookmarkEnd w:id="22"/>
    </w:p>
    <w:p w14:paraId="1532463C" w14:textId="1236D672" w:rsidR="00DD1E5D" w:rsidRPr="00AC4DA1" w:rsidRDefault="00DD1E5D" w:rsidP="0040329E">
      <w:pPr>
        <w:pStyle w:val="Heading1"/>
        <w:rPr>
          <w:rFonts w:ascii="Times New Roman" w:hAnsi="Times New Roman"/>
          <w:sz w:val="22"/>
          <w:szCs w:val="22"/>
        </w:rPr>
      </w:pPr>
      <w:bookmarkStart w:id="23" w:name="_Toc128647503"/>
      <w:r w:rsidRPr="00AC4DA1">
        <w:rPr>
          <w:rFonts w:ascii="Times New Roman" w:hAnsi="Times New Roman"/>
          <w:sz w:val="22"/>
          <w:szCs w:val="22"/>
        </w:rPr>
        <w:t>Article</w:t>
      </w:r>
      <w:r w:rsidR="00C8536A" w:rsidRPr="00AC4DA1">
        <w:rPr>
          <w:rFonts w:ascii="Times New Roman" w:hAnsi="Times New Roman"/>
          <w:sz w:val="22"/>
          <w:szCs w:val="22"/>
          <w:lang w:val="fr-CH"/>
        </w:rPr>
        <w:t>s</w:t>
      </w:r>
      <w:r w:rsidRPr="00AC4DA1">
        <w:rPr>
          <w:rFonts w:ascii="Times New Roman" w:hAnsi="Times New Roman"/>
          <w:sz w:val="22"/>
          <w:szCs w:val="22"/>
        </w:rPr>
        <w:t xml:space="preserve"> 1</w:t>
      </w:r>
      <w:r w:rsidR="00C8536A" w:rsidRPr="00AC4DA1">
        <w:rPr>
          <w:rFonts w:ascii="Times New Roman" w:hAnsi="Times New Roman"/>
          <w:sz w:val="22"/>
          <w:szCs w:val="22"/>
          <w:lang w:val="fr-CH"/>
        </w:rPr>
        <w:t xml:space="preserve"> a 4</w:t>
      </w:r>
      <w:r w:rsidRPr="00AC4DA1">
        <w:rPr>
          <w:rFonts w:ascii="Times New Roman" w:hAnsi="Times New Roman"/>
          <w:sz w:val="22"/>
          <w:szCs w:val="22"/>
        </w:rPr>
        <w:t xml:space="preserve"> : Objet de la CIDPH</w:t>
      </w:r>
      <w:bookmarkEnd w:id="23"/>
    </w:p>
    <w:p w14:paraId="44BD2125" w14:textId="77777777" w:rsidR="00DD1E5D" w:rsidRPr="00AC4DA1" w:rsidRDefault="00DD1E5D" w:rsidP="00DD1E5D">
      <w:pPr>
        <w:spacing w:line="276" w:lineRule="auto"/>
        <w:jc w:val="both"/>
        <w:rPr>
          <w:sz w:val="22"/>
          <w:szCs w:val="22"/>
        </w:rPr>
      </w:pPr>
      <w:r w:rsidRPr="00AC4DA1">
        <w:rPr>
          <w:sz w:val="22"/>
          <w:szCs w:val="22"/>
        </w:rPr>
        <w:t>La République du Mali, en ratifiant la Convention relative aux droits des personnes handicapées, fait sienne et intègre dans sa législation interne les définitions telles qu’elles y sont contenues et les principes généraux qui y sont annoncés, en vertu de l’article 116 de la Constitution du 25 février 1992 qui dispose que : « les Traités ou Accords régulièrement ratifiés ou approuvés ont dès leur publication une autorité supérieure à celle des lois ».</w:t>
      </w:r>
    </w:p>
    <w:p w14:paraId="26AD6EDF" w14:textId="77777777" w:rsidR="00DD1E5D" w:rsidRPr="00AC4DA1" w:rsidRDefault="00DD1E5D" w:rsidP="00DD1E5D">
      <w:pPr>
        <w:spacing w:line="276" w:lineRule="auto"/>
        <w:jc w:val="both"/>
        <w:rPr>
          <w:sz w:val="22"/>
          <w:szCs w:val="22"/>
        </w:rPr>
      </w:pPr>
    </w:p>
    <w:p w14:paraId="66832019" w14:textId="52AE76A8" w:rsidR="00DD1E5D" w:rsidRPr="00AC4DA1" w:rsidRDefault="00DD1E5D" w:rsidP="00DD1E5D">
      <w:pPr>
        <w:spacing w:line="276" w:lineRule="auto"/>
        <w:jc w:val="both"/>
        <w:rPr>
          <w:sz w:val="22"/>
          <w:szCs w:val="22"/>
        </w:rPr>
      </w:pPr>
      <w:r w:rsidRPr="00AC4DA1">
        <w:rPr>
          <w:sz w:val="22"/>
          <w:szCs w:val="22"/>
        </w:rPr>
        <w:t xml:space="preserve">En plus de la promotion et de la protection, </w:t>
      </w:r>
      <w:r w:rsidR="0040329E" w:rsidRPr="00AC4DA1">
        <w:rPr>
          <w:sz w:val="22"/>
          <w:szCs w:val="22"/>
        </w:rPr>
        <w:t>l</w:t>
      </w:r>
      <w:r w:rsidRPr="00AC4DA1">
        <w:rPr>
          <w:sz w:val="22"/>
          <w:szCs w:val="22"/>
        </w:rPr>
        <w:t>a loi N°2018-027 du 12 juin 2018 devrait également assurer la pleine et égale jouissance de tous les droits de l’homme et de toutes les libertés fondamentales par les personnes handicapées et de promouvoir le respect de leur dignité intrinsèque conformément à l’objet de la CDPH.</w:t>
      </w:r>
    </w:p>
    <w:p w14:paraId="4F735D09" w14:textId="77777777" w:rsidR="00DD1E5D" w:rsidRPr="00AC4DA1" w:rsidRDefault="00DD1E5D" w:rsidP="00DD1E5D">
      <w:pPr>
        <w:spacing w:line="276" w:lineRule="auto"/>
        <w:jc w:val="both"/>
        <w:rPr>
          <w:sz w:val="22"/>
          <w:szCs w:val="22"/>
        </w:rPr>
      </w:pPr>
    </w:p>
    <w:p w14:paraId="7CF9D978" w14:textId="4CCF8582" w:rsidR="00DD1E5D" w:rsidRPr="00AC4DA1" w:rsidRDefault="00DD1E5D" w:rsidP="00DD1E5D">
      <w:pPr>
        <w:spacing w:line="276" w:lineRule="auto"/>
        <w:jc w:val="both"/>
        <w:rPr>
          <w:sz w:val="22"/>
          <w:szCs w:val="22"/>
        </w:rPr>
      </w:pPr>
      <w:r w:rsidRPr="00AC4DA1">
        <w:rPr>
          <w:sz w:val="22"/>
          <w:szCs w:val="22"/>
        </w:rPr>
        <w:t>Ainsi, au Mali,</w:t>
      </w:r>
      <w:r w:rsidR="009340CA" w:rsidRPr="00AC4DA1">
        <w:rPr>
          <w:sz w:val="22"/>
          <w:szCs w:val="22"/>
        </w:rPr>
        <w:t xml:space="preserve"> le</w:t>
      </w:r>
      <w:r w:rsidRPr="00AC4DA1">
        <w:rPr>
          <w:sz w:val="22"/>
          <w:szCs w:val="22"/>
        </w:rPr>
        <w:t xml:space="preserve"> </w:t>
      </w:r>
      <w:r w:rsidR="009340CA" w:rsidRPr="00AC4DA1">
        <w:rPr>
          <w:sz w:val="22"/>
          <w:szCs w:val="22"/>
        </w:rPr>
        <w:t xml:space="preserve">Chapitre II des définitions </w:t>
      </w:r>
      <w:r w:rsidR="00C8536A" w:rsidRPr="00AC4DA1">
        <w:rPr>
          <w:sz w:val="22"/>
          <w:szCs w:val="22"/>
        </w:rPr>
        <w:t>article 4 de</w:t>
      </w:r>
      <w:r w:rsidRPr="00AC4DA1">
        <w:rPr>
          <w:sz w:val="22"/>
          <w:szCs w:val="22"/>
        </w:rPr>
        <w:t xml:space="preserve"> la loi n</w:t>
      </w:r>
      <w:r w:rsidR="009340CA" w:rsidRPr="00AC4DA1">
        <w:rPr>
          <w:sz w:val="22"/>
          <w:szCs w:val="22"/>
        </w:rPr>
        <w:t>°</w:t>
      </w:r>
      <w:r w:rsidRPr="00AC4DA1">
        <w:rPr>
          <w:sz w:val="22"/>
          <w:szCs w:val="22"/>
        </w:rPr>
        <w:t xml:space="preserve"> 2018-027 du 12 juin 2018 relative aux droits des personnes vivant avec un handicap, les personnes handicapées sont : « </w:t>
      </w:r>
      <w:r w:rsidRPr="00AC4DA1">
        <w:rPr>
          <w:sz w:val="22"/>
          <w:szCs w:val="22"/>
        </w:rPr>
        <w:lastRenderedPageBreak/>
        <w:t>des personnes qui présentent des incapacités physiques, mentales, intellectuelles ou sensorielles durables dont l’interaction avec diverses barrières peut faire obstacle à leur pleine et effective participation à la société sur la base de l’égalité avec les autres</w:t>
      </w:r>
      <w:r w:rsidR="00C8536A" w:rsidRPr="00AC4DA1">
        <w:rPr>
          <w:sz w:val="22"/>
          <w:szCs w:val="22"/>
        </w:rPr>
        <w:t> »</w:t>
      </w:r>
      <w:r w:rsidRPr="00AC4DA1">
        <w:rPr>
          <w:sz w:val="22"/>
          <w:szCs w:val="22"/>
        </w:rPr>
        <w:t>.</w:t>
      </w:r>
    </w:p>
    <w:p w14:paraId="1818B9F2" w14:textId="77777777" w:rsidR="00DD1E5D" w:rsidRPr="00AC4DA1" w:rsidRDefault="00DD1E5D" w:rsidP="00547A66">
      <w:pPr>
        <w:pStyle w:val="Heading1"/>
        <w:rPr>
          <w:rFonts w:ascii="Times New Roman" w:hAnsi="Times New Roman"/>
          <w:sz w:val="22"/>
          <w:szCs w:val="22"/>
        </w:rPr>
      </w:pPr>
      <w:bookmarkStart w:id="24" w:name="_Toc128647504"/>
      <w:r w:rsidRPr="00AC4DA1">
        <w:rPr>
          <w:rFonts w:ascii="Times New Roman" w:hAnsi="Times New Roman"/>
          <w:sz w:val="22"/>
          <w:szCs w:val="22"/>
        </w:rPr>
        <w:t>Article 2. Définition du Handicap</w:t>
      </w:r>
      <w:bookmarkEnd w:id="24"/>
    </w:p>
    <w:p w14:paraId="75CCB022" w14:textId="444498D2" w:rsidR="00DD1E5D" w:rsidRPr="00AC4DA1" w:rsidRDefault="00DD1E5D" w:rsidP="00DD1E5D">
      <w:pPr>
        <w:spacing w:line="276" w:lineRule="auto"/>
        <w:jc w:val="both"/>
        <w:rPr>
          <w:sz w:val="22"/>
          <w:szCs w:val="22"/>
        </w:rPr>
      </w:pPr>
      <w:r w:rsidRPr="00AC4DA1">
        <w:rPr>
          <w:sz w:val="22"/>
          <w:szCs w:val="22"/>
        </w:rPr>
        <w:t xml:space="preserve">La loi </w:t>
      </w:r>
      <w:r w:rsidR="0040329E" w:rsidRPr="00AC4DA1">
        <w:rPr>
          <w:sz w:val="22"/>
          <w:szCs w:val="22"/>
        </w:rPr>
        <w:t>N°</w:t>
      </w:r>
      <w:r w:rsidRPr="00AC4DA1">
        <w:rPr>
          <w:sz w:val="22"/>
          <w:szCs w:val="22"/>
        </w:rPr>
        <w:t xml:space="preserve">2018-027 du 12 juin 2018 relative aux droits des personnes vivant avec un handicap devrait conserver l’expression </w:t>
      </w:r>
      <w:r w:rsidRPr="00AC4DA1">
        <w:rPr>
          <w:b/>
          <w:bCs/>
          <w:sz w:val="22"/>
          <w:szCs w:val="22"/>
        </w:rPr>
        <w:t>Personnes Handicapée</w:t>
      </w:r>
      <w:r w:rsidRPr="00AC4DA1">
        <w:rPr>
          <w:sz w:val="22"/>
          <w:szCs w:val="22"/>
        </w:rPr>
        <w:t xml:space="preserve"> inclue dans la CDPH au lieu de </w:t>
      </w:r>
      <w:r w:rsidRPr="00AC4DA1">
        <w:rPr>
          <w:b/>
          <w:bCs/>
          <w:sz w:val="22"/>
          <w:szCs w:val="22"/>
        </w:rPr>
        <w:t>Personnes Vivant avec un Handicap</w:t>
      </w:r>
      <w:r w:rsidRPr="00AC4DA1">
        <w:rPr>
          <w:sz w:val="22"/>
          <w:szCs w:val="22"/>
        </w:rPr>
        <w:t>.</w:t>
      </w:r>
    </w:p>
    <w:p w14:paraId="488DF586" w14:textId="77777777" w:rsidR="00DD1E5D" w:rsidRPr="00AC4DA1" w:rsidRDefault="00DD1E5D" w:rsidP="00DD1E5D">
      <w:pPr>
        <w:spacing w:line="276" w:lineRule="auto"/>
        <w:jc w:val="both"/>
        <w:rPr>
          <w:sz w:val="22"/>
          <w:szCs w:val="22"/>
        </w:rPr>
      </w:pPr>
    </w:p>
    <w:p w14:paraId="0910E22F" w14:textId="77777777" w:rsidR="00DD1E5D" w:rsidRPr="00AC4DA1" w:rsidRDefault="00DD1E5D" w:rsidP="00DD1E5D">
      <w:pPr>
        <w:spacing w:line="276" w:lineRule="auto"/>
        <w:jc w:val="both"/>
        <w:rPr>
          <w:sz w:val="22"/>
          <w:szCs w:val="22"/>
        </w:rPr>
      </w:pPr>
      <w:r w:rsidRPr="00AC4DA1">
        <w:rPr>
          <w:sz w:val="22"/>
          <w:szCs w:val="22"/>
        </w:rPr>
        <w:t>Cette loi en son chapitre 2 traitant des définitions à l’article 4 défini la Déficience, le Handicap, l’Incapacité, l’Invalidité et la Personne vivant avec un handicap. Ces définitions illustrent la cohabitation de l’approche médicale et sociale du handicap.</w:t>
      </w:r>
    </w:p>
    <w:p w14:paraId="67C1EA02" w14:textId="77777777" w:rsidR="00DD1E5D" w:rsidRPr="00AC4DA1" w:rsidRDefault="00DD1E5D" w:rsidP="00DD1E5D">
      <w:pPr>
        <w:spacing w:line="276" w:lineRule="auto"/>
        <w:jc w:val="both"/>
        <w:rPr>
          <w:sz w:val="22"/>
          <w:szCs w:val="22"/>
        </w:rPr>
      </w:pPr>
    </w:p>
    <w:p w14:paraId="153B2CC4" w14:textId="77777777" w:rsidR="00DD1E5D" w:rsidRPr="00AC4DA1" w:rsidRDefault="00DD1E5D" w:rsidP="00DD1E5D">
      <w:pPr>
        <w:spacing w:line="276" w:lineRule="auto"/>
        <w:jc w:val="both"/>
        <w:rPr>
          <w:sz w:val="22"/>
          <w:szCs w:val="22"/>
        </w:rPr>
      </w:pPr>
      <w:r w:rsidRPr="00AC4DA1">
        <w:rPr>
          <w:sz w:val="22"/>
          <w:szCs w:val="22"/>
        </w:rPr>
        <w:t>L’article 4 devrait être en harmonie avec la CDPH en réaffirmant les définitions des concepts de la communication, la langue, la discrimination fondée sur le handicap, l’aménagement raisonnable et la conception universelle.</w:t>
      </w:r>
    </w:p>
    <w:p w14:paraId="30D7A214" w14:textId="7EE91A8D" w:rsidR="00DD1E5D" w:rsidRPr="00AC4DA1" w:rsidRDefault="00DD1E5D" w:rsidP="004300BC">
      <w:pPr>
        <w:pStyle w:val="Heading1"/>
        <w:rPr>
          <w:rFonts w:ascii="Times New Roman" w:hAnsi="Times New Roman"/>
          <w:sz w:val="22"/>
          <w:szCs w:val="22"/>
        </w:rPr>
      </w:pPr>
      <w:bookmarkStart w:id="25" w:name="_Toc128647505"/>
      <w:r w:rsidRPr="00AC4DA1">
        <w:rPr>
          <w:rFonts w:ascii="Times New Roman" w:hAnsi="Times New Roman"/>
          <w:sz w:val="22"/>
          <w:szCs w:val="22"/>
        </w:rPr>
        <w:t>Article 3 : Principes de la CIDPH :</w:t>
      </w:r>
      <w:bookmarkEnd w:id="25"/>
      <w:r w:rsidRPr="00AC4DA1">
        <w:rPr>
          <w:rFonts w:ascii="Times New Roman" w:hAnsi="Times New Roman"/>
          <w:sz w:val="22"/>
          <w:szCs w:val="22"/>
        </w:rPr>
        <w:t xml:space="preserve"> </w:t>
      </w:r>
    </w:p>
    <w:p w14:paraId="5B71B6ED" w14:textId="77777777" w:rsidR="00DD1E5D" w:rsidRPr="00AC4DA1" w:rsidRDefault="00DD1E5D" w:rsidP="00DD1E5D">
      <w:pPr>
        <w:spacing w:line="276" w:lineRule="auto"/>
        <w:jc w:val="both"/>
        <w:rPr>
          <w:sz w:val="22"/>
          <w:szCs w:val="22"/>
        </w:rPr>
      </w:pPr>
      <w:r w:rsidRPr="00AC4DA1">
        <w:rPr>
          <w:sz w:val="22"/>
          <w:szCs w:val="22"/>
        </w:rPr>
        <w:t>Le niveau de respect de ces principes par les institutions de la République et les Organisations non étatiques varient selon les secteurs d’activité et la pertinence dans le processus d’inclusion des personnes handicapées.</w:t>
      </w:r>
    </w:p>
    <w:p w14:paraId="34837DE3" w14:textId="77777777" w:rsidR="00DD1E5D" w:rsidRPr="00AC4DA1" w:rsidRDefault="00DD1E5D" w:rsidP="00DD1E5D">
      <w:pPr>
        <w:spacing w:line="276" w:lineRule="auto"/>
        <w:jc w:val="both"/>
        <w:rPr>
          <w:sz w:val="22"/>
          <w:szCs w:val="22"/>
        </w:rPr>
      </w:pPr>
    </w:p>
    <w:p w14:paraId="3381347F" w14:textId="77777777" w:rsidR="00DD1E5D" w:rsidRPr="00AC4DA1" w:rsidRDefault="00DD1E5D" w:rsidP="00DD1E5D">
      <w:pPr>
        <w:spacing w:line="276" w:lineRule="auto"/>
        <w:jc w:val="both"/>
        <w:rPr>
          <w:sz w:val="22"/>
          <w:szCs w:val="22"/>
        </w:rPr>
      </w:pPr>
      <w:r w:rsidRPr="00AC4DA1">
        <w:rPr>
          <w:sz w:val="22"/>
          <w:szCs w:val="22"/>
        </w:rPr>
        <w:t>Les législateurs, concepteurs et exécutants responsables de la bonne gouvernance devraient s’assurer du respect des huit principes de la CRDPH dans les processus d’élaboration des lois, politiques, programmes, plan et projets de gouvernance.</w:t>
      </w:r>
    </w:p>
    <w:p w14:paraId="7EC7CD77" w14:textId="77777777" w:rsidR="00DD1E5D" w:rsidRPr="00AC4DA1" w:rsidRDefault="00DD1E5D" w:rsidP="00DD1E5D">
      <w:pPr>
        <w:spacing w:line="276" w:lineRule="auto"/>
        <w:jc w:val="both"/>
        <w:rPr>
          <w:sz w:val="22"/>
          <w:szCs w:val="22"/>
        </w:rPr>
      </w:pPr>
    </w:p>
    <w:p w14:paraId="52224C8F" w14:textId="77777777" w:rsidR="00DD1E5D" w:rsidRPr="00AC4DA1" w:rsidRDefault="00DD1E5D" w:rsidP="00547A66">
      <w:pPr>
        <w:pStyle w:val="Heading1"/>
        <w:rPr>
          <w:rFonts w:ascii="Times New Roman" w:hAnsi="Times New Roman"/>
          <w:sz w:val="22"/>
          <w:szCs w:val="22"/>
        </w:rPr>
      </w:pPr>
      <w:bookmarkStart w:id="26" w:name="_Toc128647506"/>
      <w:r w:rsidRPr="00AC4DA1">
        <w:rPr>
          <w:rFonts w:ascii="Times New Roman" w:hAnsi="Times New Roman"/>
          <w:sz w:val="22"/>
          <w:szCs w:val="22"/>
        </w:rPr>
        <w:lastRenderedPageBreak/>
        <w:t>Article 4 : Obligation générales</w:t>
      </w:r>
      <w:bookmarkEnd w:id="26"/>
    </w:p>
    <w:p w14:paraId="4A289880" w14:textId="66DCB729" w:rsidR="00DD1E5D" w:rsidRPr="00AC4DA1" w:rsidRDefault="00C8536A" w:rsidP="00DD1E5D">
      <w:pPr>
        <w:spacing w:line="276" w:lineRule="auto"/>
        <w:jc w:val="both"/>
        <w:rPr>
          <w:bCs/>
          <w:sz w:val="22"/>
          <w:szCs w:val="22"/>
        </w:rPr>
      </w:pPr>
      <w:r w:rsidRPr="00AC4DA1">
        <w:rPr>
          <w:b/>
          <w:sz w:val="22"/>
          <w:szCs w:val="22"/>
        </w:rPr>
        <w:t>L</w:t>
      </w:r>
      <w:r w:rsidR="00DD1E5D" w:rsidRPr="00AC4DA1">
        <w:rPr>
          <w:b/>
          <w:sz w:val="22"/>
          <w:szCs w:val="22"/>
        </w:rPr>
        <w:t>es mesures législatives adoptées pour mettre en œuvre les droits énoncés dans la CRDPH</w:t>
      </w:r>
      <w:r w:rsidR="00DD1E5D" w:rsidRPr="00AC4DA1">
        <w:rPr>
          <w:bCs/>
          <w:sz w:val="22"/>
          <w:szCs w:val="22"/>
        </w:rPr>
        <w:t xml:space="preserve"> </w:t>
      </w:r>
      <w:r w:rsidR="009A6B93" w:rsidRPr="00AC4DA1">
        <w:rPr>
          <w:rStyle w:val="EndnoteReference"/>
          <w:bCs/>
          <w:sz w:val="22"/>
          <w:szCs w:val="22"/>
        </w:rPr>
        <w:endnoteReference w:id="1"/>
      </w:r>
      <w:r w:rsidR="00DD1E5D" w:rsidRPr="00AC4DA1">
        <w:rPr>
          <w:bCs/>
          <w:sz w:val="22"/>
          <w:szCs w:val="22"/>
        </w:rPr>
        <w:t>Les mesures législatives, administratives et d’autres mesures visant à abolir la discrimination contre les personnes handicapées n’ont pas encore été adoptées.</w:t>
      </w:r>
    </w:p>
    <w:p w14:paraId="126F3BD9" w14:textId="77777777" w:rsidR="00DD1E5D" w:rsidRPr="00AC4DA1" w:rsidRDefault="00DD1E5D" w:rsidP="00DD1E5D">
      <w:pPr>
        <w:spacing w:line="276" w:lineRule="auto"/>
        <w:jc w:val="both"/>
        <w:rPr>
          <w:bCs/>
          <w:sz w:val="22"/>
          <w:szCs w:val="22"/>
        </w:rPr>
      </w:pPr>
    </w:p>
    <w:p w14:paraId="5057A309" w14:textId="6B239940" w:rsidR="00DD1E5D" w:rsidRPr="00AC4DA1" w:rsidRDefault="00DD1E5D" w:rsidP="00DD1E5D">
      <w:pPr>
        <w:spacing w:line="276" w:lineRule="auto"/>
        <w:jc w:val="both"/>
        <w:rPr>
          <w:bCs/>
          <w:sz w:val="22"/>
          <w:szCs w:val="22"/>
        </w:rPr>
      </w:pPr>
      <w:r w:rsidRPr="00AC4DA1">
        <w:rPr>
          <w:b/>
          <w:sz w:val="22"/>
          <w:szCs w:val="22"/>
        </w:rPr>
        <w:t>La protection et la promotion des droits des personnes handicapées dans toutes les politiques et programmes</w:t>
      </w:r>
      <w:r w:rsidR="00AC4DA1" w:rsidRPr="00AC4DA1">
        <w:rPr>
          <w:rStyle w:val="EndnoteReference"/>
          <w:b/>
          <w:sz w:val="22"/>
          <w:szCs w:val="22"/>
        </w:rPr>
        <w:endnoteReference w:id="2"/>
      </w:r>
    </w:p>
    <w:p w14:paraId="4D167ABE" w14:textId="77777777" w:rsidR="00DD1E5D" w:rsidRPr="00AC4DA1" w:rsidRDefault="00DD1E5D" w:rsidP="00DD1E5D">
      <w:pPr>
        <w:spacing w:line="276" w:lineRule="auto"/>
        <w:jc w:val="both"/>
        <w:rPr>
          <w:bCs/>
          <w:sz w:val="22"/>
          <w:szCs w:val="22"/>
        </w:rPr>
      </w:pPr>
    </w:p>
    <w:p w14:paraId="726FA921" w14:textId="2C8BE931" w:rsidR="00DD1E5D" w:rsidRPr="00AC4DA1" w:rsidRDefault="00DD1E5D" w:rsidP="00DD1E5D">
      <w:pPr>
        <w:spacing w:line="276" w:lineRule="auto"/>
        <w:jc w:val="both"/>
        <w:rPr>
          <w:bCs/>
          <w:sz w:val="22"/>
          <w:szCs w:val="22"/>
        </w:rPr>
      </w:pPr>
      <w:r w:rsidRPr="00AC4DA1">
        <w:rPr>
          <w:b/>
          <w:sz w:val="22"/>
          <w:szCs w:val="22"/>
        </w:rPr>
        <w:t>Les mesures prises pour éliminer la discrimination basée sur le handicap</w:t>
      </w:r>
      <w:r w:rsidR="00A736CB" w:rsidRPr="00AC4DA1">
        <w:rPr>
          <w:b/>
          <w:sz w:val="22"/>
          <w:szCs w:val="22"/>
        </w:rPr>
        <w:t xml:space="preserve"> ne</w:t>
      </w:r>
      <w:r w:rsidRPr="00AC4DA1">
        <w:rPr>
          <w:b/>
          <w:sz w:val="22"/>
          <w:szCs w:val="22"/>
        </w:rPr>
        <w:t xml:space="preserve"> </w:t>
      </w:r>
      <w:r w:rsidRPr="00AC4DA1">
        <w:rPr>
          <w:bCs/>
          <w:sz w:val="22"/>
          <w:szCs w:val="22"/>
        </w:rPr>
        <w:t xml:space="preserve">sont prise </w:t>
      </w:r>
      <w:r w:rsidR="00A736CB" w:rsidRPr="00AC4DA1">
        <w:rPr>
          <w:bCs/>
          <w:sz w:val="22"/>
          <w:szCs w:val="22"/>
        </w:rPr>
        <w:t xml:space="preserve">pas prise en compte dans </w:t>
      </w:r>
      <w:r w:rsidRPr="00AC4DA1">
        <w:rPr>
          <w:bCs/>
          <w:sz w:val="22"/>
          <w:szCs w:val="22"/>
        </w:rPr>
        <w:t xml:space="preserve">l’article 2 de </w:t>
      </w:r>
      <w:r w:rsidR="00A736CB" w:rsidRPr="00AC4DA1">
        <w:rPr>
          <w:bCs/>
          <w:sz w:val="22"/>
          <w:szCs w:val="22"/>
        </w:rPr>
        <w:t xml:space="preserve">la </w:t>
      </w:r>
      <w:r w:rsidRPr="00AC4DA1">
        <w:rPr>
          <w:bCs/>
          <w:sz w:val="22"/>
          <w:szCs w:val="22"/>
        </w:rPr>
        <w:t>Constitution d</w:t>
      </w:r>
      <w:r w:rsidR="00A736CB" w:rsidRPr="00AC4DA1">
        <w:rPr>
          <w:bCs/>
          <w:sz w:val="22"/>
          <w:szCs w:val="22"/>
        </w:rPr>
        <w:t>u 25</w:t>
      </w:r>
      <w:r w:rsidRPr="00AC4DA1">
        <w:rPr>
          <w:bCs/>
          <w:sz w:val="22"/>
          <w:szCs w:val="22"/>
        </w:rPr>
        <w:t xml:space="preserve"> février 1992</w:t>
      </w:r>
      <w:r w:rsidR="00A736CB" w:rsidRPr="00AC4DA1">
        <w:rPr>
          <w:bCs/>
          <w:sz w:val="22"/>
          <w:szCs w:val="22"/>
        </w:rPr>
        <w:t xml:space="preserve">.  </w:t>
      </w:r>
    </w:p>
    <w:p w14:paraId="40B85C96" w14:textId="77777777" w:rsidR="00DD1E5D" w:rsidRPr="00AC4DA1" w:rsidRDefault="00DD1E5D" w:rsidP="00DD1E5D">
      <w:pPr>
        <w:spacing w:line="276" w:lineRule="auto"/>
        <w:jc w:val="both"/>
        <w:rPr>
          <w:bCs/>
          <w:sz w:val="22"/>
          <w:szCs w:val="22"/>
        </w:rPr>
      </w:pPr>
    </w:p>
    <w:p w14:paraId="7BC4BB3C" w14:textId="77777777" w:rsidR="00DD1E5D" w:rsidRPr="00AC4DA1" w:rsidRDefault="00DD1E5D" w:rsidP="00DD1E5D">
      <w:pPr>
        <w:spacing w:line="276" w:lineRule="auto"/>
        <w:jc w:val="both"/>
        <w:rPr>
          <w:bCs/>
          <w:sz w:val="22"/>
          <w:szCs w:val="22"/>
        </w:rPr>
      </w:pPr>
      <w:r w:rsidRPr="00AC4DA1">
        <w:rPr>
          <w:b/>
          <w:sz w:val="22"/>
          <w:szCs w:val="22"/>
        </w:rPr>
        <w:t>L’entreprise ou la promotion de la recherche et le développement de nouvelles technologies adaptées aux personnes handicapées</w:t>
      </w:r>
      <w:r w:rsidRPr="00AC4DA1">
        <w:rPr>
          <w:bCs/>
          <w:sz w:val="22"/>
          <w:szCs w:val="22"/>
        </w:rPr>
        <w:t xml:space="preserve"> est timide au regard du développement des activités de recherches et le domaine de la nouvelle technologie au profit des population en général et non moins pour les groupes spécifiques y compris les personnes handicapées.</w:t>
      </w:r>
    </w:p>
    <w:p w14:paraId="454FD758" w14:textId="77777777" w:rsidR="00DD1E5D" w:rsidRPr="00AC4DA1" w:rsidRDefault="00DD1E5D" w:rsidP="00DD1E5D">
      <w:pPr>
        <w:spacing w:line="276" w:lineRule="auto"/>
        <w:jc w:val="both"/>
        <w:rPr>
          <w:bCs/>
          <w:sz w:val="22"/>
          <w:szCs w:val="22"/>
        </w:rPr>
      </w:pPr>
    </w:p>
    <w:p w14:paraId="23053033" w14:textId="77777777" w:rsidR="00DD1E5D" w:rsidRPr="00AC4DA1" w:rsidRDefault="00DD1E5D" w:rsidP="00DD1E5D">
      <w:pPr>
        <w:spacing w:line="276" w:lineRule="auto"/>
        <w:jc w:val="both"/>
        <w:rPr>
          <w:bCs/>
          <w:sz w:val="22"/>
          <w:szCs w:val="22"/>
        </w:rPr>
      </w:pPr>
      <w:r w:rsidRPr="00AC4DA1">
        <w:rPr>
          <w:b/>
          <w:sz w:val="22"/>
          <w:szCs w:val="22"/>
        </w:rPr>
        <w:t>La fourniture d’informations accessibles sur les services d'assistance, de soutien et les installations pour les personnes handicapées</w:t>
      </w:r>
      <w:r w:rsidRPr="00AC4DA1">
        <w:rPr>
          <w:bCs/>
          <w:sz w:val="22"/>
          <w:szCs w:val="22"/>
        </w:rPr>
        <w:t xml:space="preserve"> n’a pas encore intégré les formes de communication adaptées aux personnes handicapées à savoir le braille, la langue des signes et autres modes alternatifs de communication. La FEMAPH se charge de la fourniture d’informations accessible sur ces services à travers des projets thématiques qui mettent l’accent sur l’information des bénéficiaires.</w:t>
      </w:r>
    </w:p>
    <w:p w14:paraId="1916D737" w14:textId="77777777" w:rsidR="00DD1E5D" w:rsidRPr="00AC4DA1" w:rsidRDefault="00DD1E5D" w:rsidP="00DD1E5D">
      <w:pPr>
        <w:spacing w:line="276" w:lineRule="auto"/>
        <w:jc w:val="both"/>
        <w:rPr>
          <w:bCs/>
          <w:sz w:val="22"/>
          <w:szCs w:val="22"/>
        </w:rPr>
      </w:pPr>
    </w:p>
    <w:p w14:paraId="1C4B25C9" w14:textId="77777777" w:rsidR="00DD1E5D" w:rsidRPr="00AC4DA1" w:rsidRDefault="00DD1E5D" w:rsidP="00DD1E5D">
      <w:pPr>
        <w:spacing w:line="276" w:lineRule="auto"/>
        <w:jc w:val="both"/>
        <w:rPr>
          <w:bCs/>
          <w:sz w:val="22"/>
          <w:szCs w:val="22"/>
        </w:rPr>
      </w:pPr>
      <w:r w:rsidRPr="00AC4DA1">
        <w:rPr>
          <w:b/>
          <w:sz w:val="22"/>
          <w:szCs w:val="22"/>
        </w:rPr>
        <w:t xml:space="preserve">La promotion de la formation des professionnels et du personnel qui travaillent avec les personnes handicapées </w:t>
      </w:r>
      <w:r w:rsidRPr="00AC4DA1">
        <w:rPr>
          <w:bCs/>
          <w:sz w:val="22"/>
          <w:szCs w:val="22"/>
        </w:rPr>
        <w:t>ne figure pas dans les actions entreprises par l’état dans le cadre de son intervention dans le domaine du handicap. Les formations menées sur le droit des personnes handicapées sont planifiées dans les projets soumis aux partenaires par la FEMAPH et les OPH.</w:t>
      </w:r>
    </w:p>
    <w:p w14:paraId="09F54A78" w14:textId="77777777" w:rsidR="00DD1E5D" w:rsidRPr="00AC4DA1" w:rsidRDefault="00DD1E5D" w:rsidP="00DD1E5D">
      <w:pPr>
        <w:spacing w:line="276" w:lineRule="auto"/>
        <w:jc w:val="both"/>
        <w:rPr>
          <w:b/>
          <w:sz w:val="22"/>
          <w:szCs w:val="22"/>
        </w:rPr>
      </w:pPr>
    </w:p>
    <w:p w14:paraId="223684C9" w14:textId="5FB4BC08" w:rsidR="00DD1E5D" w:rsidRPr="00AC4DA1" w:rsidRDefault="00DD1E5D" w:rsidP="00DD1E5D">
      <w:pPr>
        <w:spacing w:line="276" w:lineRule="auto"/>
        <w:jc w:val="both"/>
        <w:rPr>
          <w:bCs/>
          <w:sz w:val="22"/>
          <w:szCs w:val="22"/>
        </w:rPr>
      </w:pPr>
      <w:r w:rsidRPr="00AC4DA1">
        <w:rPr>
          <w:b/>
          <w:sz w:val="22"/>
          <w:szCs w:val="22"/>
        </w:rPr>
        <w:t xml:space="preserve">L’implication des personnes handicapées dans l'élaboration et la mise en œuvre de la législation et des politiques et dans tous les processus décisionnels relatifs aux personnes handicapées </w:t>
      </w:r>
      <w:r w:rsidRPr="00AC4DA1">
        <w:rPr>
          <w:bCs/>
          <w:sz w:val="22"/>
          <w:szCs w:val="22"/>
        </w:rPr>
        <w:t xml:space="preserve">connait une avancée. Les </w:t>
      </w:r>
      <w:r w:rsidR="00E93D93" w:rsidRPr="00AC4DA1">
        <w:rPr>
          <w:bCs/>
          <w:sz w:val="22"/>
          <w:szCs w:val="22"/>
        </w:rPr>
        <w:t>personnes handicapées ont</w:t>
      </w:r>
      <w:r w:rsidRPr="00AC4DA1">
        <w:rPr>
          <w:bCs/>
          <w:sz w:val="22"/>
          <w:szCs w:val="22"/>
        </w:rPr>
        <w:t xml:space="preserve"> particip</w:t>
      </w:r>
      <w:r w:rsidR="00E93D93" w:rsidRPr="00AC4DA1">
        <w:rPr>
          <w:bCs/>
          <w:sz w:val="22"/>
          <w:szCs w:val="22"/>
        </w:rPr>
        <w:t>é</w:t>
      </w:r>
      <w:r w:rsidRPr="00AC4DA1">
        <w:rPr>
          <w:bCs/>
          <w:sz w:val="22"/>
          <w:szCs w:val="22"/>
        </w:rPr>
        <w:t xml:space="preserve"> à la concertation nationale qui a élaborée la Charte de la Transition. Les personnes handicapées sont représentées par 04 membre sur les 147 qui siègent au sein du Conseil National de la Transition (CNT).</w:t>
      </w:r>
    </w:p>
    <w:p w14:paraId="2090C66C" w14:textId="3B11A7EF" w:rsidR="00DD1E5D" w:rsidRPr="00AC4DA1" w:rsidRDefault="00DD1E5D" w:rsidP="00DD1E5D">
      <w:pPr>
        <w:spacing w:line="276" w:lineRule="auto"/>
        <w:ind w:right="40"/>
        <w:jc w:val="both"/>
        <w:rPr>
          <w:rFonts w:eastAsia="Arial"/>
          <w:sz w:val="22"/>
          <w:szCs w:val="22"/>
        </w:rPr>
      </w:pPr>
      <w:r w:rsidRPr="00AC4DA1">
        <w:rPr>
          <w:rFonts w:eastAsia="Arial"/>
          <w:sz w:val="22"/>
          <w:szCs w:val="22"/>
        </w:rPr>
        <w:t>Un examen systématique de toute la législation pour identifier les domaines qui sont incompatibles avec la CDPH n’a pas été fait et n’est prévu ni pour la législation spécifique au handicap, mais aussi pour toute la législation à portée générale pertinente, ce qui explique</w:t>
      </w:r>
      <w:r w:rsidR="00F25A65" w:rsidRPr="00AC4DA1">
        <w:rPr>
          <w:rFonts w:eastAsia="Arial"/>
          <w:sz w:val="22"/>
          <w:szCs w:val="22"/>
        </w:rPr>
        <w:t xml:space="preserve"> </w:t>
      </w:r>
      <w:r w:rsidRPr="00AC4DA1">
        <w:rPr>
          <w:rFonts w:eastAsia="Arial"/>
          <w:sz w:val="22"/>
          <w:szCs w:val="22"/>
        </w:rPr>
        <w:t xml:space="preserve">la contradiction entre la loi N°2018-027 relative aux droits des personnes vivant avec handicap et les autres lois. </w:t>
      </w:r>
    </w:p>
    <w:p w14:paraId="6D18E7EF" w14:textId="77777777" w:rsidR="00DD1E5D" w:rsidRPr="00AC4DA1" w:rsidRDefault="00DD1E5D" w:rsidP="00DD1E5D">
      <w:pPr>
        <w:spacing w:line="276" w:lineRule="auto"/>
        <w:ind w:right="40"/>
        <w:jc w:val="both"/>
        <w:rPr>
          <w:rFonts w:eastAsia="Arial"/>
          <w:sz w:val="22"/>
          <w:szCs w:val="22"/>
        </w:rPr>
      </w:pPr>
    </w:p>
    <w:p w14:paraId="6F86BFB2" w14:textId="6673C317" w:rsidR="00DD1E5D" w:rsidRPr="00AC4DA1" w:rsidRDefault="00DD1E5D" w:rsidP="00DD1E5D">
      <w:pPr>
        <w:tabs>
          <w:tab w:val="left" w:pos="688"/>
        </w:tabs>
        <w:spacing w:line="276" w:lineRule="auto"/>
        <w:ind w:right="120"/>
        <w:jc w:val="both"/>
        <w:rPr>
          <w:rFonts w:eastAsia="Arial"/>
          <w:sz w:val="22"/>
          <w:szCs w:val="22"/>
        </w:rPr>
      </w:pPr>
      <w:r w:rsidRPr="00AC4DA1">
        <w:rPr>
          <w:rFonts w:eastAsia="Arial"/>
          <w:sz w:val="22"/>
          <w:szCs w:val="22"/>
        </w:rPr>
        <w:t>La stratégie de la FEMAPH consiste à saisir comme opportunité les révisions des législations pour influencer sa conformité avec la CDPH. Malgré la participation active des représentants des OPH</w:t>
      </w:r>
      <w:r w:rsidR="00F25A65" w:rsidRPr="00AC4DA1">
        <w:rPr>
          <w:rFonts w:eastAsia="Arial"/>
          <w:sz w:val="22"/>
          <w:szCs w:val="22"/>
        </w:rPr>
        <w:t xml:space="preserve"> à travers les séances d’écoutes de la FEMAPH par la commission loi du CNT</w:t>
      </w:r>
      <w:r w:rsidRPr="00AC4DA1">
        <w:rPr>
          <w:rFonts w:eastAsia="Arial"/>
          <w:sz w:val="22"/>
          <w:szCs w:val="22"/>
        </w:rPr>
        <w:t>, le résultat des modifications n’</w:t>
      </w:r>
      <w:r w:rsidR="00F25A65" w:rsidRPr="00AC4DA1">
        <w:rPr>
          <w:rFonts w:eastAsia="Arial"/>
          <w:sz w:val="22"/>
          <w:szCs w:val="22"/>
        </w:rPr>
        <w:t xml:space="preserve">a pas </w:t>
      </w:r>
      <w:r w:rsidRPr="00AC4DA1">
        <w:rPr>
          <w:rFonts w:eastAsia="Arial"/>
          <w:sz w:val="22"/>
          <w:szCs w:val="22"/>
        </w:rPr>
        <w:t>abouti.</w:t>
      </w:r>
    </w:p>
    <w:p w14:paraId="1F7503E1" w14:textId="77777777" w:rsidR="00DD1E5D" w:rsidRPr="00AC4DA1" w:rsidRDefault="00DD1E5D" w:rsidP="00DD1E5D">
      <w:pPr>
        <w:tabs>
          <w:tab w:val="left" w:pos="688"/>
        </w:tabs>
        <w:spacing w:line="276" w:lineRule="auto"/>
        <w:ind w:right="120"/>
        <w:jc w:val="both"/>
        <w:rPr>
          <w:rFonts w:eastAsia="Symbol"/>
          <w:sz w:val="22"/>
          <w:szCs w:val="22"/>
        </w:rPr>
      </w:pPr>
    </w:p>
    <w:p w14:paraId="67229E16" w14:textId="77777777" w:rsidR="00DD1E5D" w:rsidRPr="00AC4DA1" w:rsidRDefault="00DD1E5D" w:rsidP="00DD1E5D">
      <w:pPr>
        <w:spacing w:line="276" w:lineRule="auto"/>
        <w:ind w:left="2" w:right="40"/>
        <w:jc w:val="both"/>
        <w:rPr>
          <w:rFonts w:eastAsia="Arial"/>
          <w:sz w:val="22"/>
          <w:szCs w:val="22"/>
        </w:rPr>
      </w:pPr>
      <w:r w:rsidRPr="00AC4DA1">
        <w:rPr>
          <w:rFonts w:eastAsia="Arial"/>
          <w:sz w:val="22"/>
          <w:szCs w:val="22"/>
        </w:rPr>
        <w:t>Selon la doctrine admise des droits de l'Homme, les droits civils et politiques sont d'application immédiate, tandis que les droits économiques, sociaux et culturels sont mis en œuvre de manière progressive. Ni la loi N°2018-027 relative aux droits des personnes vivant avec handicap et son décret d’application ne contiennent aucune indication de l'État, signalant qu'il mettra en œuvre progressivement certains articles.</w:t>
      </w:r>
    </w:p>
    <w:p w14:paraId="3617998B" w14:textId="77777777" w:rsidR="00DD1E5D" w:rsidRPr="00AC4DA1" w:rsidRDefault="00DD1E5D" w:rsidP="00DD1E5D">
      <w:pPr>
        <w:spacing w:line="276" w:lineRule="auto"/>
        <w:ind w:left="2" w:right="40"/>
        <w:jc w:val="both"/>
        <w:rPr>
          <w:rFonts w:eastAsia="Arial"/>
          <w:sz w:val="22"/>
          <w:szCs w:val="22"/>
        </w:rPr>
      </w:pPr>
    </w:p>
    <w:p w14:paraId="426A4462" w14:textId="365AD06E" w:rsidR="00DD1E5D" w:rsidRPr="00AC4DA1" w:rsidRDefault="00DD1E5D" w:rsidP="00DD1E5D">
      <w:pPr>
        <w:spacing w:line="276" w:lineRule="auto"/>
        <w:ind w:left="2" w:right="80"/>
        <w:jc w:val="both"/>
        <w:rPr>
          <w:rFonts w:eastAsia="Arial"/>
          <w:sz w:val="22"/>
          <w:szCs w:val="22"/>
        </w:rPr>
      </w:pPr>
      <w:r w:rsidRPr="00AC4DA1">
        <w:rPr>
          <w:rFonts w:eastAsia="Arial"/>
          <w:sz w:val="22"/>
          <w:szCs w:val="22"/>
        </w:rPr>
        <w:t>L'article 4 (1) (c)</w:t>
      </w:r>
      <w:r w:rsidR="00C8536A" w:rsidRPr="00AC4DA1">
        <w:rPr>
          <w:rFonts w:eastAsia="Arial"/>
          <w:sz w:val="22"/>
          <w:szCs w:val="22"/>
        </w:rPr>
        <w:t xml:space="preserve"> de la CDPH</w:t>
      </w:r>
      <w:r w:rsidRPr="00AC4DA1">
        <w:rPr>
          <w:rFonts w:eastAsia="Arial"/>
          <w:sz w:val="22"/>
          <w:szCs w:val="22"/>
        </w:rPr>
        <w:t xml:space="preserve"> exige que les États prennent en compte les droits des personnes handicapées dans toutes les politiques et dans tous les programmes. Il n’existe pas d’obligation à consulter les personnes handicapées à travers les organisations les représentant, sur toutes les lois futures qui peuvent potentiellement affecter les personnes handicapées pour s’assurer de sa cohérence avec la CDPH.</w:t>
      </w:r>
    </w:p>
    <w:p w14:paraId="209CF7E9" w14:textId="77777777" w:rsidR="00210976" w:rsidRPr="00AC4DA1" w:rsidRDefault="00210976" w:rsidP="00210976">
      <w:pPr>
        <w:tabs>
          <w:tab w:val="left" w:pos="688"/>
        </w:tabs>
        <w:spacing w:line="276" w:lineRule="auto"/>
        <w:ind w:right="60"/>
        <w:jc w:val="both"/>
        <w:rPr>
          <w:rFonts w:eastAsia="Arial"/>
          <w:sz w:val="22"/>
          <w:szCs w:val="22"/>
        </w:rPr>
      </w:pPr>
    </w:p>
    <w:p w14:paraId="1CB8C015" w14:textId="5EE55FE7" w:rsidR="00DD1E5D" w:rsidRPr="00AC4DA1" w:rsidRDefault="00DD1E5D" w:rsidP="00210976">
      <w:pPr>
        <w:tabs>
          <w:tab w:val="left" w:pos="688"/>
        </w:tabs>
        <w:spacing w:line="276" w:lineRule="auto"/>
        <w:ind w:right="60"/>
        <w:jc w:val="both"/>
        <w:rPr>
          <w:rFonts w:eastAsia="Arial"/>
          <w:sz w:val="22"/>
          <w:szCs w:val="22"/>
        </w:rPr>
      </w:pPr>
      <w:r w:rsidRPr="00AC4DA1">
        <w:rPr>
          <w:rFonts w:eastAsia="Arial"/>
          <w:sz w:val="22"/>
          <w:szCs w:val="22"/>
        </w:rPr>
        <w:t>La FEMAPH a été consultées dans le processus de rédaction du rapport de l'État par la Direction Nationale du Développement Social. La FEMAPH ne siège pas au sein du Comité mise en place dans le cadre de la rédaction des rapports alternatifs et les représentants de la société civile de ce comité n’a pas consulté la FEMAPH.</w:t>
      </w:r>
    </w:p>
    <w:p w14:paraId="4CF516A9" w14:textId="627D3D35" w:rsidR="00686EC5" w:rsidRPr="00AC4DA1" w:rsidRDefault="00686EC5" w:rsidP="00DD1E5D">
      <w:pPr>
        <w:tabs>
          <w:tab w:val="left" w:pos="688"/>
        </w:tabs>
        <w:spacing w:line="276" w:lineRule="auto"/>
        <w:ind w:right="20"/>
        <w:jc w:val="both"/>
        <w:rPr>
          <w:rFonts w:eastAsia="Arial"/>
          <w:sz w:val="22"/>
          <w:szCs w:val="22"/>
        </w:rPr>
      </w:pPr>
    </w:p>
    <w:p w14:paraId="79A1F5D0" w14:textId="478E1D68" w:rsidR="00686EC5" w:rsidRPr="00AC4DA1" w:rsidRDefault="00686EC5" w:rsidP="00DD1E5D">
      <w:pPr>
        <w:tabs>
          <w:tab w:val="left" w:pos="688"/>
        </w:tabs>
        <w:spacing w:line="276" w:lineRule="auto"/>
        <w:ind w:right="20"/>
        <w:jc w:val="both"/>
        <w:rPr>
          <w:rFonts w:eastAsia="Arial"/>
          <w:sz w:val="22"/>
          <w:szCs w:val="22"/>
        </w:rPr>
      </w:pPr>
      <w:r w:rsidRPr="00AC4DA1">
        <w:rPr>
          <w:rFonts w:eastAsia="Arial"/>
          <w:sz w:val="22"/>
          <w:szCs w:val="22"/>
        </w:rPr>
        <w:t>Questions proposées au Comité CDPH pour son inclusion à la Liste de Points à traiter :</w:t>
      </w:r>
    </w:p>
    <w:p w14:paraId="6DC3C6A2" w14:textId="529FBCBB" w:rsidR="00686EC5" w:rsidRPr="00AC4DA1" w:rsidRDefault="003908B7" w:rsidP="00DD1E5D">
      <w:pPr>
        <w:tabs>
          <w:tab w:val="left" w:pos="688"/>
        </w:tabs>
        <w:spacing w:line="276" w:lineRule="auto"/>
        <w:ind w:right="20"/>
        <w:jc w:val="both"/>
        <w:rPr>
          <w:rFonts w:eastAsia="Arial"/>
          <w:sz w:val="22"/>
          <w:szCs w:val="22"/>
        </w:rPr>
      </w:pPr>
      <w:r w:rsidRPr="00AC4DA1">
        <w:rPr>
          <w:rFonts w:eastAsia="Arial"/>
          <w:sz w:val="22"/>
          <w:szCs w:val="22"/>
        </w:rPr>
        <w:t xml:space="preserve"> </w:t>
      </w:r>
    </w:p>
    <w:p w14:paraId="7EBAA4E8" w14:textId="771830C1" w:rsidR="00686EC5" w:rsidRPr="002F72AC" w:rsidRDefault="0066610C" w:rsidP="002F72AC">
      <w:pPr>
        <w:tabs>
          <w:tab w:val="left" w:pos="688"/>
        </w:tabs>
        <w:spacing w:line="276" w:lineRule="auto"/>
        <w:ind w:right="20"/>
        <w:jc w:val="both"/>
        <w:rPr>
          <w:rFonts w:eastAsia="Arial"/>
          <w:sz w:val="22"/>
          <w:szCs w:val="22"/>
        </w:rPr>
      </w:pPr>
      <w:r w:rsidRPr="002F72AC">
        <w:rPr>
          <w:sz w:val="22"/>
          <w:szCs w:val="22"/>
        </w:rPr>
        <w:t>Quelles sont les mesures que prévoit l´Etat malien pour harmoniser les textes de lois avec la CDPH ?</w:t>
      </w:r>
    </w:p>
    <w:p w14:paraId="17CEE0C9" w14:textId="4D96CFC8" w:rsidR="00DD1E5D" w:rsidRPr="002F72AC" w:rsidRDefault="00DD1E5D" w:rsidP="002F72AC">
      <w:pPr>
        <w:pStyle w:val="Heading1"/>
        <w:rPr>
          <w:rFonts w:ascii="Times New Roman" w:hAnsi="Times New Roman"/>
          <w:sz w:val="22"/>
          <w:szCs w:val="22"/>
          <w:lang w:val="fr-FR"/>
        </w:rPr>
      </w:pPr>
      <w:bookmarkStart w:id="28" w:name="_Toc128647507"/>
      <w:r w:rsidRPr="00AC4DA1">
        <w:rPr>
          <w:rFonts w:ascii="Times New Roman" w:hAnsi="Times New Roman"/>
          <w:sz w:val="22"/>
          <w:szCs w:val="22"/>
        </w:rPr>
        <w:t>Article 5 : Egalité et non-discrimination</w:t>
      </w:r>
      <w:bookmarkEnd w:id="28"/>
    </w:p>
    <w:p w14:paraId="769244C6" w14:textId="77777777" w:rsidR="00DD1E5D" w:rsidRPr="00AC4DA1" w:rsidRDefault="00DD1E5D" w:rsidP="00DD1E5D">
      <w:pPr>
        <w:tabs>
          <w:tab w:val="left" w:pos="688"/>
        </w:tabs>
        <w:spacing w:line="276" w:lineRule="auto"/>
        <w:ind w:right="60"/>
        <w:jc w:val="both"/>
        <w:rPr>
          <w:sz w:val="22"/>
          <w:szCs w:val="22"/>
        </w:rPr>
      </w:pPr>
      <w:r w:rsidRPr="00AC4DA1">
        <w:rPr>
          <w:sz w:val="22"/>
          <w:szCs w:val="22"/>
        </w:rPr>
        <w:t>La Constitution du Mali du 25 février 1992 garantit à toutes les personnes sans discrimination tous les droits de l’homme. Elle souscrit à la Déclaration Universelle des Droits de l’Homme du 10 décembre 1948 et la Charte Africaine des Droits de l’Homme et des Peuples.</w:t>
      </w:r>
    </w:p>
    <w:p w14:paraId="64656440" w14:textId="77777777" w:rsidR="00DD1E5D" w:rsidRPr="00AC4DA1" w:rsidRDefault="00DD1E5D" w:rsidP="00DD1E5D">
      <w:pPr>
        <w:tabs>
          <w:tab w:val="left" w:pos="688"/>
        </w:tabs>
        <w:spacing w:line="276" w:lineRule="auto"/>
        <w:ind w:right="60"/>
        <w:jc w:val="both"/>
        <w:rPr>
          <w:sz w:val="22"/>
          <w:szCs w:val="22"/>
        </w:rPr>
      </w:pPr>
    </w:p>
    <w:p w14:paraId="20C3E310" w14:textId="77777777" w:rsidR="00DD1E5D" w:rsidRPr="00AC4DA1" w:rsidRDefault="00DD1E5D" w:rsidP="00DD1E5D">
      <w:pPr>
        <w:spacing w:line="276" w:lineRule="auto"/>
        <w:jc w:val="both"/>
        <w:rPr>
          <w:rFonts w:eastAsia="Arial"/>
          <w:sz w:val="22"/>
          <w:szCs w:val="22"/>
        </w:rPr>
      </w:pPr>
      <w:r w:rsidRPr="00AC4DA1">
        <w:rPr>
          <w:sz w:val="22"/>
          <w:szCs w:val="22"/>
        </w:rPr>
        <w:t xml:space="preserve">Apres la ratification de la CDPH, l’état </w:t>
      </w:r>
      <w:r w:rsidRPr="00AC4DA1">
        <w:rPr>
          <w:rFonts w:eastAsia="Arial"/>
          <w:sz w:val="22"/>
          <w:szCs w:val="22"/>
        </w:rPr>
        <w:t>n’a pas encore adopter une législation qui protège contre la discrimination fondée sur le handicap par des particuliers, des entreprises et d’autres organisations privées.</w:t>
      </w:r>
    </w:p>
    <w:p w14:paraId="15EAA14D" w14:textId="77777777" w:rsidR="00DD1E5D" w:rsidRPr="00AC4DA1" w:rsidRDefault="00DD1E5D" w:rsidP="00DD1E5D">
      <w:pPr>
        <w:spacing w:line="276" w:lineRule="auto"/>
        <w:jc w:val="both"/>
        <w:rPr>
          <w:rFonts w:eastAsia="Arial"/>
          <w:sz w:val="22"/>
          <w:szCs w:val="22"/>
        </w:rPr>
      </w:pPr>
    </w:p>
    <w:p w14:paraId="653ABB32" w14:textId="77777777" w:rsidR="00DD1E5D" w:rsidRPr="00AC4DA1" w:rsidRDefault="00DD1E5D" w:rsidP="00DD1E5D">
      <w:pPr>
        <w:spacing w:line="276" w:lineRule="auto"/>
        <w:jc w:val="both"/>
        <w:rPr>
          <w:rFonts w:eastAsia="Arial"/>
          <w:sz w:val="22"/>
          <w:szCs w:val="22"/>
        </w:rPr>
      </w:pPr>
      <w:r w:rsidRPr="00AC4DA1">
        <w:rPr>
          <w:rFonts w:eastAsia="Arial"/>
          <w:sz w:val="22"/>
          <w:szCs w:val="22"/>
        </w:rPr>
        <w:t>Au Mali Les personnes handicapées ne sont pas protégées contre la discrimination de manière direct dans tous les domaines de la vie. Les domaines qui connaissent plus d’avancés sont ceux de l’accès à la fonction publique, la santé, l’éducation et la participation à la vie publique et politique.</w:t>
      </w:r>
    </w:p>
    <w:p w14:paraId="192C5E29" w14:textId="77777777" w:rsidR="00DD1E5D" w:rsidRPr="00AC4DA1" w:rsidRDefault="00DD1E5D" w:rsidP="00DD1E5D">
      <w:pPr>
        <w:spacing w:line="276" w:lineRule="auto"/>
        <w:jc w:val="both"/>
        <w:rPr>
          <w:rFonts w:eastAsia="Arial"/>
          <w:sz w:val="22"/>
          <w:szCs w:val="22"/>
        </w:rPr>
      </w:pPr>
    </w:p>
    <w:p w14:paraId="5624FB13" w14:textId="77777777" w:rsidR="00DD1E5D" w:rsidRPr="00AC4DA1" w:rsidRDefault="00DD1E5D" w:rsidP="00DD1E5D">
      <w:pPr>
        <w:tabs>
          <w:tab w:val="left" w:pos="688"/>
        </w:tabs>
        <w:spacing w:line="276" w:lineRule="auto"/>
        <w:ind w:right="60"/>
        <w:jc w:val="both"/>
        <w:rPr>
          <w:rFonts w:eastAsia="Arial"/>
          <w:sz w:val="22"/>
          <w:szCs w:val="22"/>
        </w:rPr>
      </w:pPr>
      <w:r w:rsidRPr="00AC4DA1">
        <w:rPr>
          <w:rFonts w:eastAsia="Arial"/>
          <w:sz w:val="22"/>
          <w:szCs w:val="22"/>
        </w:rPr>
        <w:t>La protection contre la discrimination dans ces domaines identifiés ne couvre pas le refus d'aménagement raisonnable qui jusqu’ici compris comme faisant parti de la réalisation progressive.</w:t>
      </w:r>
    </w:p>
    <w:p w14:paraId="63C0D9DF" w14:textId="77777777" w:rsidR="00DD1E5D" w:rsidRPr="00AC4DA1" w:rsidRDefault="00DD1E5D" w:rsidP="00DD1E5D">
      <w:pPr>
        <w:tabs>
          <w:tab w:val="left" w:pos="688"/>
        </w:tabs>
        <w:spacing w:line="276" w:lineRule="auto"/>
        <w:ind w:right="60"/>
        <w:jc w:val="both"/>
        <w:rPr>
          <w:rFonts w:eastAsia="Arial"/>
          <w:sz w:val="22"/>
          <w:szCs w:val="22"/>
        </w:rPr>
      </w:pPr>
    </w:p>
    <w:p w14:paraId="78733545" w14:textId="543DB96C" w:rsidR="00DD1E5D" w:rsidRPr="00AC4DA1" w:rsidRDefault="00DD1E5D" w:rsidP="00DD1E5D">
      <w:pPr>
        <w:tabs>
          <w:tab w:val="left" w:pos="688"/>
        </w:tabs>
        <w:spacing w:line="276" w:lineRule="auto"/>
        <w:ind w:right="60"/>
        <w:jc w:val="both"/>
        <w:rPr>
          <w:rFonts w:eastAsia="Arial"/>
          <w:sz w:val="22"/>
          <w:szCs w:val="22"/>
        </w:rPr>
      </w:pPr>
      <w:r w:rsidRPr="00AC4DA1">
        <w:rPr>
          <w:rFonts w:eastAsia="Arial"/>
          <w:sz w:val="22"/>
          <w:szCs w:val="22"/>
        </w:rPr>
        <w:t>La loi N</w:t>
      </w:r>
      <w:r w:rsidR="00C502B5" w:rsidRPr="00AC4DA1">
        <w:rPr>
          <w:rFonts w:eastAsia="Arial"/>
          <w:sz w:val="22"/>
          <w:szCs w:val="22"/>
        </w:rPr>
        <w:t xml:space="preserve">° </w:t>
      </w:r>
      <w:r w:rsidRPr="00AC4DA1">
        <w:rPr>
          <w:rFonts w:eastAsia="Arial"/>
          <w:sz w:val="22"/>
          <w:szCs w:val="22"/>
        </w:rPr>
        <w:t>2018-027 ne mentionne aucunement le mot discrimination non moins l’expression discrimination fondée sur le handicap. Cet état de fait maintien l’approche social au-dessus des autres approches du handicap. Il explique aussi l’inexistence de sanctions pour ceux qui exercent la discrimination et restreignent les actions des ONG au compte des personnes handicapées qui prétendent être victimes de discrimination fondée sur le handicap.</w:t>
      </w:r>
    </w:p>
    <w:p w14:paraId="76CFA288" w14:textId="5CFFC233" w:rsidR="00DD1E5D" w:rsidRPr="00AC4DA1" w:rsidRDefault="00DD1E5D" w:rsidP="00DD1E5D">
      <w:pPr>
        <w:tabs>
          <w:tab w:val="left" w:pos="688"/>
        </w:tabs>
        <w:spacing w:line="276" w:lineRule="auto"/>
        <w:ind w:right="60"/>
        <w:jc w:val="both"/>
        <w:rPr>
          <w:rFonts w:eastAsia="Arial"/>
          <w:sz w:val="22"/>
          <w:szCs w:val="22"/>
        </w:rPr>
      </w:pPr>
    </w:p>
    <w:p w14:paraId="30860017" w14:textId="77777777" w:rsidR="00686EC5" w:rsidRPr="00AC4DA1" w:rsidRDefault="00686EC5" w:rsidP="00686EC5">
      <w:pPr>
        <w:tabs>
          <w:tab w:val="left" w:pos="688"/>
        </w:tabs>
        <w:spacing w:line="276" w:lineRule="auto"/>
        <w:ind w:right="20"/>
        <w:jc w:val="both"/>
        <w:rPr>
          <w:rFonts w:eastAsia="Arial"/>
          <w:sz w:val="22"/>
          <w:szCs w:val="22"/>
        </w:rPr>
      </w:pPr>
      <w:r w:rsidRPr="00AC4DA1">
        <w:rPr>
          <w:rFonts w:eastAsia="Arial"/>
          <w:sz w:val="22"/>
          <w:szCs w:val="22"/>
        </w:rPr>
        <w:t>Questions proposées au Comité CDPH pour son inclusion à la Liste de Points à traiter :</w:t>
      </w:r>
    </w:p>
    <w:p w14:paraId="1FBE3E56" w14:textId="77777777" w:rsidR="00686EC5" w:rsidRPr="00AC4DA1" w:rsidRDefault="00686EC5" w:rsidP="00686EC5">
      <w:pPr>
        <w:tabs>
          <w:tab w:val="left" w:pos="688"/>
        </w:tabs>
        <w:spacing w:line="276" w:lineRule="auto"/>
        <w:ind w:right="20"/>
        <w:jc w:val="both"/>
        <w:rPr>
          <w:rFonts w:eastAsia="Arial"/>
          <w:sz w:val="22"/>
          <w:szCs w:val="22"/>
        </w:rPr>
      </w:pPr>
    </w:p>
    <w:p w14:paraId="04C30520" w14:textId="130C81CD" w:rsidR="00C502B5" w:rsidRPr="00AC4DA1" w:rsidRDefault="00C502B5" w:rsidP="00686EC5">
      <w:pPr>
        <w:tabs>
          <w:tab w:val="left" w:pos="688"/>
        </w:tabs>
        <w:spacing w:line="276" w:lineRule="auto"/>
        <w:ind w:right="20"/>
        <w:jc w:val="both"/>
        <w:rPr>
          <w:rFonts w:eastAsia="Arial"/>
          <w:sz w:val="22"/>
          <w:szCs w:val="22"/>
        </w:rPr>
      </w:pPr>
      <w:r w:rsidRPr="00AC4DA1">
        <w:rPr>
          <w:rFonts w:eastAsia="Arial"/>
          <w:sz w:val="22"/>
          <w:szCs w:val="22"/>
        </w:rPr>
        <w:t>Quelles sont les dispositions prises par l’Etat en cas de discriminations fondées sur le handicap pour prévenir et sanctionner les auteurs ?</w:t>
      </w:r>
    </w:p>
    <w:p w14:paraId="5ACA107E" w14:textId="235BD86A" w:rsidR="00686EC5" w:rsidRDefault="00686EC5" w:rsidP="00DD1E5D">
      <w:pPr>
        <w:tabs>
          <w:tab w:val="left" w:pos="688"/>
        </w:tabs>
        <w:spacing w:line="276" w:lineRule="auto"/>
        <w:ind w:right="60"/>
        <w:jc w:val="both"/>
        <w:rPr>
          <w:rFonts w:eastAsia="Arial"/>
          <w:sz w:val="22"/>
          <w:szCs w:val="22"/>
        </w:rPr>
      </w:pPr>
    </w:p>
    <w:p w14:paraId="158A13AE" w14:textId="77777777" w:rsidR="00AC4DA1" w:rsidRPr="00AC4DA1" w:rsidRDefault="00AC4DA1" w:rsidP="00DD1E5D">
      <w:pPr>
        <w:tabs>
          <w:tab w:val="left" w:pos="688"/>
        </w:tabs>
        <w:spacing w:line="276" w:lineRule="auto"/>
        <w:ind w:right="60"/>
        <w:jc w:val="both"/>
        <w:rPr>
          <w:rFonts w:eastAsia="Arial"/>
          <w:sz w:val="22"/>
          <w:szCs w:val="22"/>
        </w:rPr>
      </w:pPr>
    </w:p>
    <w:p w14:paraId="7DB6C98E" w14:textId="61DC449A" w:rsidR="001D6867" w:rsidRDefault="001D6867" w:rsidP="00DD1E5D">
      <w:pPr>
        <w:tabs>
          <w:tab w:val="left" w:pos="688"/>
        </w:tabs>
        <w:spacing w:line="276" w:lineRule="auto"/>
        <w:ind w:right="60"/>
        <w:jc w:val="both"/>
        <w:rPr>
          <w:rFonts w:eastAsia="Arial"/>
          <w:sz w:val="22"/>
          <w:szCs w:val="22"/>
        </w:rPr>
      </w:pPr>
    </w:p>
    <w:p w14:paraId="5A40AB73" w14:textId="2DAE05F2" w:rsidR="00AC4DA1" w:rsidRDefault="00AC4DA1" w:rsidP="00DD1E5D">
      <w:pPr>
        <w:tabs>
          <w:tab w:val="left" w:pos="688"/>
        </w:tabs>
        <w:spacing w:line="276" w:lineRule="auto"/>
        <w:ind w:right="60"/>
        <w:jc w:val="both"/>
        <w:rPr>
          <w:rFonts w:eastAsia="Arial"/>
          <w:sz w:val="22"/>
          <w:szCs w:val="22"/>
        </w:rPr>
      </w:pPr>
    </w:p>
    <w:p w14:paraId="0826EA09" w14:textId="77777777" w:rsidR="002F72AC" w:rsidRPr="00AC4DA1" w:rsidRDefault="002F72AC" w:rsidP="00DD1E5D">
      <w:pPr>
        <w:tabs>
          <w:tab w:val="left" w:pos="688"/>
        </w:tabs>
        <w:spacing w:line="276" w:lineRule="auto"/>
        <w:ind w:right="60"/>
        <w:jc w:val="both"/>
        <w:rPr>
          <w:rFonts w:eastAsia="Arial"/>
          <w:sz w:val="22"/>
          <w:szCs w:val="22"/>
        </w:rPr>
      </w:pPr>
    </w:p>
    <w:p w14:paraId="5A67B725" w14:textId="57ED1BEE" w:rsidR="00DD1E5D" w:rsidRPr="002F72AC" w:rsidRDefault="00DD1E5D" w:rsidP="002F72AC">
      <w:pPr>
        <w:pStyle w:val="Heading1"/>
        <w:rPr>
          <w:rFonts w:ascii="Times New Roman" w:hAnsi="Times New Roman"/>
          <w:sz w:val="22"/>
          <w:szCs w:val="22"/>
        </w:rPr>
      </w:pPr>
      <w:bookmarkStart w:id="29" w:name="_Toc128647508"/>
      <w:r w:rsidRPr="00AC4DA1">
        <w:rPr>
          <w:rFonts w:ascii="Times New Roman" w:hAnsi="Times New Roman"/>
          <w:sz w:val="22"/>
          <w:szCs w:val="22"/>
        </w:rPr>
        <w:t>Article 8 : Sensibilisation</w:t>
      </w:r>
      <w:bookmarkEnd w:id="29"/>
      <w:r w:rsidRPr="00AC4DA1">
        <w:rPr>
          <w:rFonts w:ascii="Times New Roman" w:hAnsi="Times New Roman"/>
          <w:sz w:val="22"/>
          <w:szCs w:val="22"/>
        </w:rPr>
        <w:t> </w:t>
      </w:r>
    </w:p>
    <w:p w14:paraId="57E9E899" w14:textId="74DF95D5" w:rsidR="00DD1E5D" w:rsidRPr="00AC4DA1" w:rsidRDefault="00DD1E5D" w:rsidP="00DD1E5D">
      <w:pPr>
        <w:spacing w:line="276" w:lineRule="auto"/>
        <w:jc w:val="both"/>
        <w:rPr>
          <w:sz w:val="22"/>
          <w:szCs w:val="22"/>
        </w:rPr>
      </w:pPr>
      <w:r w:rsidRPr="00AC4DA1">
        <w:rPr>
          <w:sz w:val="22"/>
          <w:szCs w:val="22"/>
        </w:rPr>
        <w:t>Depuis sa ratification en Novembre 2008, l’Etat n’a pas encore commencé les campagnes de sensibilisation et d’information concrètes sur cette convention. Dans le cadre de la mise en œuvre du programme de Réadaptation à Base Communautaire (RBC), l’Etat fait des actions d’information sur l</w:t>
      </w:r>
      <w:r w:rsidR="008E38A5" w:rsidRPr="00AC4DA1">
        <w:rPr>
          <w:sz w:val="22"/>
          <w:szCs w:val="22"/>
        </w:rPr>
        <w:t>e handicap</w:t>
      </w:r>
      <w:r w:rsidRPr="00AC4DA1">
        <w:rPr>
          <w:sz w:val="22"/>
          <w:szCs w:val="22"/>
        </w:rPr>
        <w:t>. L’Etat n’a pas entrepris des actions de sensibilisation s’adressant à des groupes spécifiques dans la société, comme les médias, les employeurs, les professionnels de la santé et de l’éducation.</w:t>
      </w:r>
    </w:p>
    <w:p w14:paraId="7DE1E28F" w14:textId="77777777" w:rsidR="00151867" w:rsidRPr="00AC4DA1" w:rsidRDefault="00151867" w:rsidP="00151867">
      <w:pPr>
        <w:tabs>
          <w:tab w:val="left" w:pos="690"/>
        </w:tabs>
        <w:spacing w:line="276" w:lineRule="auto"/>
        <w:ind w:right="20"/>
        <w:rPr>
          <w:sz w:val="22"/>
          <w:szCs w:val="22"/>
        </w:rPr>
      </w:pPr>
    </w:p>
    <w:p w14:paraId="154AB746" w14:textId="5EDBF61E" w:rsidR="00DD1E5D" w:rsidRPr="00AC4DA1" w:rsidRDefault="00DD1E5D" w:rsidP="00FF7B5E">
      <w:pPr>
        <w:tabs>
          <w:tab w:val="left" w:pos="690"/>
        </w:tabs>
        <w:spacing w:line="276" w:lineRule="auto"/>
        <w:ind w:right="20"/>
        <w:jc w:val="both"/>
        <w:rPr>
          <w:sz w:val="22"/>
          <w:szCs w:val="22"/>
        </w:rPr>
      </w:pPr>
      <w:r w:rsidRPr="00AC4DA1">
        <w:rPr>
          <w:sz w:val="22"/>
          <w:szCs w:val="22"/>
        </w:rPr>
        <w:t xml:space="preserve">Cependant avec l’appui financier de l’Etat et de ses partenaires, la FEMAPH et ses OPH membres organisent des actions de sensibilisation sur la CIDPH sur l’ensemble du territoire </w:t>
      </w:r>
      <w:r w:rsidRPr="00AC4DA1">
        <w:rPr>
          <w:sz w:val="22"/>
          <w:szCs w:val="22"/>
        </w:rPr>
        <w:lastRenderedPageBreak/>
        <w:t>national. La convention a été également traduite par la FEMAPH avec l’appui financier de ses partenaires en version bambara, en braille et en langue de signes.</w:t>
      </w:r>
    </w:p>
    <w:p w14:paraId="6E65A383" w14:textId="77777777" w:rsidR="00DD1E5D" w:rsidRPr="00AC4DA1" w:rsidRDefault="00DD1E5D" w:rsidP="00DD1E5D">
      <w:pPr>
        <w:spacing w:line="276" w:lineRule="auto"/>
        <w:jc w:val="both"/>
        <w:rPr>
          <w:sz w:val="22"/>
          <w:szCs w:val="22"/>
        </w:rPr>
      </w:pPr>
    </w:p>
    <w:p w14:paraId="0B51802B" w14:textId="0B2EC85A" w:rsidR="00DD1E5D" w:rsidRPr="00AC4DA1" w:rsidRDefault="00DD1E5D" w:rsidP="00DD1E5D">
      <w:pPr>
        <w:spacing w:line="276" w:lineRule="auto"/>
        <w:jc w:val="both"/>
        <w:rPr>
          <w:sz w:val="22"/>
          <w:szCs w:val="22"/>
        </w:rPr>
      </w:pPr>
      <w:r w:rsidRPr="00AC4DA1">
        <w:rPr>
          <w:sz w:val="22"/>
          <w:szCs w:val="22"/>
        </w:rPr>
        <w:t>Il faut aussi noter La Journée mondiale des personnes handicapées est célébrée le 3 décembre de chaque année. Une des activités phares du Mois est la troisième semaine consacrée aux personnes handicapées. Au cours de chaque édition, des conférences débats sont organisés sur toute l’étendue du territoire.</w:t>
      </w:r>
    </w:p>
    <w:p w14:paraId="50AE998F" w14:textId="77777777" w:rsidR="00DD1E5D" w:rsidRPr="00AC4DA1" w:rsidRDefault="00DD1E5D" w:rsidP="00DD1E5D">
      <w:pPr>
        <w:spacing w:line="276" w:lineRule="auto"/>
        <w:jc w:val="both"/>
        <w:rPr>
          <w:sz w:val="22"/>
          <w:szCs w:val="22"/>
        </w:rPr>
      </w:pPr>
    </w:p>
    <w:p w14:paraId="5545D5AB" w14:textId="77777777" w:rsidR="00DD1E5D" w:rsidRPr="00AC4DA1" w:rsidRDefault="00DD1E5D" w:rsidP="00DD1E5D">
      <w:pPr>
        <w:spacing w:line="276" w:lineRule="auto"/>
        <w:jc w:val="both"/>
        <w:rPr>
          <w:sz w:val="22"/>
          <w:szCs w:val="22"/>
        </w:rPr>
      </w:pPr>
      <w:r w:rsidRPr="00AC4DA1">
        <w:rPr>
          <w:sz w:val="22"/>
          <w:szCs w:val="22"/>
        </w:rPr>
        <w:t>L’ensemble de ces activités de sensibilisation sont réalisées avec l’appui financier de l’état et des ONG partenaires œuvrant dans le domaine du handicap et du processus électoral.</w:t>
      </w:r>
    </w:p>
    <w:p w14:paraId="1E44BDDD" w14:textId="77777777" w:rsidR="00DD1E5D" w:rsidRPr="00AC4DA1" w:rsidRDefault="00DD1E5D" w:rsidP="00DD1E5D">
      <w:pPr>
        <w:tabs>
          <w:tab w:val="left" w:pos="688"/>
        </w:tabs>
        <w:spacing w:line="276" w:lineRule="auto"/>
        <w:jc w:val="both"/>
        <w:rPr>
          <w:rFonts w:eastAsia="Arial"/>
          <w:sz w:val="22"/>
          <w:szCs w:val="22"/>
        </w:rPr>
      </w:pPr>
      <w:r w:rsidRPr="00AC4DA1">
        <w:rPr>
          <w:rFonts w:eastAsia="Arial"/>
          <w:sz w:val="22"/>
          <w:szCs w:val="22"/>
        </w:rPr>
        <w:t>L'Etat devrait lancer des campagnes d'information générale sur la CDPH avec la participation active des organisations représentant les personnes handicapées en y intégrant des actions de sensibilisation s'adressant à des groupes spécifiques dans la société, comme les médias, les employeurs, les professionnels de la santé et de l'éducation.</w:t>
      </w:r>
    </w:p>
    <w:p w14:paraId="52C8A94C" w14:textId="77777777" w:rsidR="00DD1E5D" w:rsidRPr="00AC4DA1" w:rsidRDefault="00DD1E5D" w:rsidP="00DD1E5D">
      <w:pPr>
        <w:tabs>
          <w:tab w:val="left" w:pos="688"/>
        </w:tabs>
        <w:spacing w:line="276" w:lineRule="auto"/>
        <w:jc w:val="both"/>
        <w:rPr>
          <w:rFonts w:eastAsia="Symbol"/>
          <w:sz w:val="22"/>
          <w:szCs w:val="22"/>
        </w:rPr>
      </w:pPr>
      <w:r w:rsidRPr="00AC4DA1">
        <w:rPr>
          <w:rFonts w:eastAsia="Arial"/>
          <w:sz w:val="22"/>
          <w:szCs w:val="22"/>
        </w:rPr>
        <w:t>Ces campagnes devraient se dérouler avec des versions de la CDPH traduite dans les langues locales concernées y compris en langues des signes, en Braille et en langage simple.</w:t>
      </w:r>
    </w:p>
    <w:p w14:paraId="49E109B4" w14:textId="77777777" w:rsidR="00DD1E5D" w:rsidRPr="00AC4DA1" w:rsidRDefault="00DD1E5D" w:rsidP="00547A66">
      <w:pPr>
        <w:pStyle w:val="Heading1"/>
        <w:rPr>
          <w:rFonts w:ascii="Times New Roman" w:hAnsi="Times New Roman"/>
          <w:sz w:val="22"/>
          <w:szCs w:val="22"/>
        </w:rPr>
      </w:pPr>
      <w:bookmarkStart w:id="30" w:name="_Toc128647509"/>
      <w:r w:rsidRPr="00AC4DA1">
        <w:rPr>
          <w:rFonts w:ascii="Times New Roman" w:hAnsi="Times New Roman"/>
          <w:sz w:val="22"/>
          <w:szCs w:val="22"/>
        </w:rPr>
        <w:t>Article 9 : Accessibilité</w:t>
      </w:r>
      <w:bookmarkEnd w:id="30"/>
      <w:r w:rsidRPr="00AC4DA1">
        <w:rPr>
          <w:rFonts w:ascii="Times New Roman" w:hAnsi="Times New Roman"/>
          <w:sz w:val="22"/>
          <w:szCs w:val="22"/>
        </w:rPr>
        <w:t> </w:t>
      </w:r>
    </w:p>
    <w:p w14:paraId="3FD24E7C" w14:textId="77777777" w:rsidR="00DD1E5D" w:rsidRPr="00AC4DA1" w:rsidRDefault="00DD1E5D" w:rsidP="00DD1E5D">
      <w:pPr>
        <w:spacing w:line="276" w:lineRule="auto"/>
        <w:jc w:val="both"/>
        <w:rPr>
          <w:sz w:val="22"/>
          <w:szCs w:val="22"/>
        </w:rPr>
      </w:pPr>
      <w:r w:rsidRPr="00AC4DA1">
        <w:rPr>
          <w:sz w:val="22"/>
          <w:szCs w:val="22"/>
        </w:rPr>
        <w:t>Il existe déjà un Code sur la construction au Mali qui demande que tous les nouveaux services et nouvelles infrastructures répondent aux normes adéquates d’accessibilité. Il n’existe pas encore de stratégie nationale visant à éliminer tous les obstacles existant dans un délai raisonnable. En Mars 2012, suite à une action de plaidoyer de HI et de la FEMAPH, une lettre circulaire du Directeur National de l’Urbanisme a été diffusée auprès des différents acteurs pour une meilleure application dudit code.</w:t>
      </w:r>
    </w:p>
    <w:p w14:paraId="0219B275" w14:textId="77777777" w:rsidR="00DD1E5D" w:rsidRPr="00AC4DA1" w:rsidRDefault="00DD1E5D" w:rsidP="00DD1E5D">
      <w:pPr>
        <w:spacing w:line="276" w:lineRule="auto"/>
        <w:jc w:val="both"/>
        <w:rPr>
          <w:sz w:val="22"/>
          <w:szCs w:val="22"/>
        </w:rPr>
      </w:pPr>
    </w:p>
    <w:p w14:paraId="2EDFE9F4" w14:textId="77777777" w:rsidR="00DD1E5D" w:rsidRPr="00AC4DA1" w:rsidRDefault="00DD1E5D" w:rsidP="00DD1E5D">
      <w:pPr>
        <w:spacing w:line="276" w:lineRule="auto"/>
        <w:jc w:val="both"/>
        <w:rPr>
          <w:sz w:val="22"/>
          <w:szCs w:val="22"/>
        </w:rPr>
      </w:pPr>
      <w:r w:rsidRPr="00AC4DA1">
        <w:rPr>
          <w:sz w:val="22"/>
          <w:szCs w:val="22"/>
        </w:rPr>
        <w:lastRenderedPageBreak/>
        <w:t>L’Etat a adopté des normes d’accessibilité seulement sur les bâtiments. Des débuts de solutions commencent à voir le jour. Une équipe de plaidoyer et de sensibilisation composée du Ministère de l’Habitat, de l’Urbanisme, de Handicap International et de la FEMAPH a entrepris des contacts dans les régions.</w:t>
      </w:r>
    </w:p>
    <w:p w14:paraId="5F1EF900" w14:textId="77777777" w:rsidR="00DD1E5D" w:rsidRPr="00AC4DA1" w:rsidRDefault="00DD1E5D" w:rsidP="00DD1E5D">
      <w:pPr>
        <w:spacing w:line="276" w:lineRule="auto"/>
        <w:jc w:val="both"/>
        <w:rPr>
          <w:sz w:val="22"/>
          <w:szCs w:val="22"/>
        </w:rPr>
      </w:pPr>
    </w:p>
    <w:p w14:paraId="42437128" w14:textId="77777777" w:rsidR="00DD1E5D" w:rsidRPr="00AC4DA1" w:rsidRDefault="00DD1E5D" w:rsidP="00DD1E5D">
      <w:pPr>
        <w:spacing w:line="276" w:lineRule="auto"/>
        <w:jc w:val="both"/>
        <w:rPr>
          <w:sz w:val="22"/>
          <w:szCs w:val="22"/>
        </w:rPr>
      </w:pPr>
      <w:r w:rsidRPr="00AC4DA1">
        <w:rPr>
          <w:sz w:val="22"/>
          <w:szCs w:val="22"/>
        </w:rPr>
        <w:t>L’Etat a fait référence aux normes dans la législation de manière à ce qu’il soit obligatoire de construire en suivant ces normes.</w:t>
      </w:r>
    </w:p>
    <w:p w14:paraId="2CD23AAB" w14:textId="77777777" w:rsidR="00DD1E5D" w:rsidRPr="00AC4DA1" w:rsidRDefault="00DD1E5D" w:rsidP="00DD1E5D">
      <w:pPr>
        <w:spacing w:line="276" w:lineRule="auto"/>
        <w:jc w:val="both"/>
        <w:rPr>
          <w:sz w:val="22"/>
          <w:szCs w:val="22"/>
        </w:rPr>
      </w:pPr>
    </w:p>
    <w:p w14:paraId="514731FB" w14:textId="0A704286" w:rsidR="00DD1E5D" w:rsidRPr="00AC4DA1" w:rsidRDefault="00DD1E5D" w:rsidP="00DD1E5D">
      <w:pPr>
        <w:spacing w:line="276" w:lineRule="auto"/>
        <w:jc w:val="both"/>
        <w:rPr>
          <w:sz w:val="22"/>
          <w:szCs w:val="22"/>
        </w:rPr>
      </w:pPr>
      <w:r w:rsidRPr="00AC4DA1">
        <w:rPr>
          <w:sz w:val="22"/>
          <w:szCs w:val="22"/>
        </w:rPr>
        <w:t xml:space="preserve">L’Etat met à la disposition de l’Ecole des sourds des enseignants qui sont formés par l’AMASOURD en langage de signes pour jouer le rôle d’enseignant et d’interprète. Il apporte aussi un appui financier </w:t>
      </w:r>
      <w:r w:rsidR="000227CC" w:rsidRPr="00AC4DA1">
        <w:rPr>
          <w:sz w:val="22"/>
          <w:szCs w:val="22"/>
        </w:rPr>
        <w:t xml:space="preserve">très insuffisants </w:t>
      </w:r>
      <w:r w:rsidRPr="00AC4DA1">
        <w:rPr>
          <w:sz w:val="22"/>
          <w:szCs w:val="22"/>
        </w:rPr>
        <w:t>aux institutions d’éducation spéciales.</w:t>
      </w:r>
      <w:r w:rsidR="00652C6C" w:rsidRPr="00AC4DA1">
        <w:rPr>
          <w:sz w:val="22"/>
          <w:szCs w:val="22"/>
        </w:rPr>
        <w:t xml:space="preserve"> Par contre, </w:t>
      </w:r>
      <w:r w:rsidRPr="00AC4DA1">
        <w:rPr>
          <w:sz w:val="22"/>
          <w:szCs w:val="22"/>
        </w:rPr>
        <w:t>L’Etat n’a pas développé la formation des interprètes professionnels en langue de signes.</w:t>
      </w:r>
    </w:p>
    <w:p w14:paraId="613650DE" w14:textId="77777777" w:rsidR="00F45A6D" w:rsidRPr="00AC4DA1" w:rsidRDefault="00F45A6D" w:rsidP="00F45A6D">
      <w:pPr>
        <w:spacing w:line="276" w:lineRule="auto"/>
        <w:jc w:val="both"/>
        <w:rPr>
          <w:sz w:val="22"/>
          <w:szCs w:val="22"/>
        </w:rPr>
      </w:pPr>
    </w:p>
    <w:p w14:paraId="22758221" w14:textId="31833659" w:rsidR="00F45A6D" w:rsidRPr="00AC4DA1" w:rsidRDefault="00F45A6D" w:rsidP="00F45A6D">
      <w:pPr>
        <w:spacing w:line="276" w:lineRule="auto"/>
        <w:jc w:val="both"/>
        <w:rPr>
          <w:sz w:val="22"/>
          <w:szCs w:val="22"/>
        </w:rPr>
      </w:pPr>
      <w:r w:rsidRPr="00AC4DA1">
        <w:rPr>
          <w:sz w:val="22"/>
          <w:szCs w:val="22"/>
        </w:rPr>
        <w:t xml:space="preserve">Seul </w:t>
      </w:r>
      <w:r w:rsidR="00AD568F" w:rsidRPr="00AC4DA1">
        <w:rPr>
          <w:sz w:val="22"/>
          <w:szCs w:val="22"/>
        </w:rPr>
        <w:t>trois</w:t>
      </w:r>
      <w:r w:rsidRPr="00AC4DA1">
        <w:rPr>
          <w:sz w:val="22"/>
          <w:szCs w:val="22"/>
        </w:rPr>
        <w:t xml:space="preserve"> enseignants ont reçu des bourses de l’Etat pour la formation des maîtres d’enfants en langage de signes.</w:t>
      </w:r>
    </w:p>
    <w:p w14:paraId="33555CD3" w14:textId="7722D25B" w:rsidR="00DD1E5D" w:rsidRPr="00AC4DA1" w:rsidRDefault="00DD1E5D" w:rsidP="00DD1E5D">
      <w:pPr>
        <w:spacing w:line="276" w:lineRule="auto"/>
        <w:jc w:val="both"/>
        <w:rPr>
          <w:sz w:val="22"/>
          <w:szCs w:val="22"/>
        </w:rPr>
      </w:pPr>
      <w:r w:rsidRPr="00AC4DA1">
        <w:rPr>
          <w:sz w:val="22"/>
          <w:szCs w:val="22"/>
        </w:rPr>
        <w:t>L’Etat n’a pas promu la formation d’experts dans les dispositifs techniques et autres équipements d’aide à la communication ainsi que dans les modes, moyens et formes alternati</w:t>
      </w:r>
      <w:r w:rsidR="00F5295E">
        <w:rPr>
          <w:sz w:val="22"/>
          <w:szCs w:val="22"/>
        </w:rPr>
        <w:t>ve</w:t>
      </w:r>
      <w:r w:rsidRPr="00AC4DA1">
        <w:rPr>
          <w:sz w:val="22"/>
          <w:szCs w:val="22"/>
        </w:rPr>
        <w:t>s de communication tels que le sous- titrage.</w:t>
      </w:r>
    </w:p>
    <w:p w14:paraId="6CD6E10B" w14:textId="77777777" w:rsidR="00DD1E5D" w:rsidRPr="00AC4DA1" w:rsidRDefault="00DD1E5D" w:rsidP="00DD1E5D">
      <w:pPr>
        <w:spacing w:line="276" w:lineRule="auto"/>
        <w:jc w:val="both"/>
        <w:rPr>
          <w:sz w:val="22"/>
          <w:szCs w:val="22"/>
        </w:rPr>
      </w:pPr>
    </w:p>
    <w:p w14:paraId="0A844D66" w14:textId="77777777" w:rsidR="00DD1E5D" w:rsidRPr="00AC4DA1" w:rsidRDefault="00DD1E5D" w:rsidP="00DD1E5D">
      <w:pPr>
        <w:spacing w:line="276" w:lineRule="auto"/>
        <w:jc w:val="both"/>
        <w:rPr>
          <w:sz w:val="22"/>
          <w:szCs w:val="22"/>
        </w:rPr>
      </w:pPr>
      <w:r w:rsidRPr="00AC4DA1">
        <w:rPr>
          <w:sz w:val="22"/>
          <w:szCs w:val="22"/>
        </w:rPr>
        <w:t xml:space="preserve">L’Etat ne pratique pas des marchés publics pour promouvoir la conformité aux normes d’accessibilité, n’exige pas encore que ces normes soient obligatoires. </w:t>
      </w:r>
    </w:p>
    <w:p w14:paraId="1099F2D6" w14:textId="77777777" w:rsidR="00DD1E5D" w:rsidRPr="00AC4DA1" w:rsidRDefault="00DD1E5D" w:rsidP="00DD1E5D">
      <w:pPr>
        <w:spacing w:line="276" w:lineRule="auto"/>
        <w:jc w:val="both"/>
        <w:rPr>
          <w:sz w:val="22"/>
          <w:szCs w:val="22"/>
        </w:rPr>
      </w:pPr>
    </w:p>
    <w:p w14:paraId="7D05B8BB" w14:textId="2ADCE829" w:rsidR="00DD1E5D" w:rsidRPr="00AC4DA1" w:rsidRDefault="00DD1E5D" w:rsidP="00DD1E5D">
      <w:pPr>
        <w:spacing w:line="276" w:lineRule="auto"/>
        <w:jc w:val="both"/>
        <w:rPr>
          <w:sz w:val="22"/>
          <w:szCs w:val="22"/>
        </w:rPr>
      </w:pPr>
      <w:r w:rsidRPr="00AC4DA1">
        <w:rPr>
          <w:sz w:val="22"/>
          <w:szCs w:val="22"/>
        </w:rPr>
        <w:t xml:space="preserve">Le Mali a adopté des normes d’accessibilité des personnes handicapées aux bâtiments et édifices publics. La loi </w:t>
      </w:r>
      <w:r w:rsidR="00F5295E">
        <w:rPr>
          <w:sz w:val="22"/>
          <w:szCs w:val="22"/>
        </w:rPr>
        <w:t xml:space="preserve">N° </w:t>
      </w:r>
      <w:r w:rsidRPr="00AC4DA1">
        <w:rPr>
          <w:sz w:val="22"/>
          <w:szCs w:val="22"/>
        </w:rPr>
        <w:t>02-016 du 3 juin 2002 fixant les règles générales de l’Urbanisme en son article 54 dispose que : « les constructeurs, propriétaires et exploitants des établissements recevant du public sont tenus, tant au moment de la construction qu’au cours de l’exploitation, de respecter les mesures de prévention et de sauvegarde propres à assurer la sécurité des per</w:t>
      </w:r>
      <w:r w:rsidRPr="00AC4DA1">
        <w:rPr>
          <w:sz w:val="22"/>
          <w:szCs w:val="22"/>
        </w:rPr>
        <w:lastRenderedPageBreak/>
        <w:t xml:space="preserve">sonnes. Ces mesures sont déterminées compte tenu de la nature de l’exploitation, des dimensions des locaux, du mode de construction et du nombre de personnes pouvant être admises dans l’établissement, y compris les handicapés ». </w:t>
      </w:r>
    </w:p>
    <w:p w14:paraId="5F8CD897" w14:textId="77777777" w:rsidR="00DD1E5D" w:rsidRPr="00AC4DA1" w:rsidRDefault="00DD1E5D" w:rsidP="00DD1E5D">
      <w:pPr>
        <w:spacing w:line="276" w:lineRule="auto"/>
        <w:jc w:val="both"/>
        <w:rPr>
          <w:sz w:val="22"/>
          <w:szCs w:val="22"/>
        </w:rPr>
      </w:pPr>
    </w:p>
    <w:p w14:paraId="12AAE958" w14:textId="4A11172E" w:rsidR="00DD1E5D" w:rsidRPr="00AC4DA1" w:rsidRDefault="00DD1E5D" w:rsidP="006B01B7">
      <w:pPr>
        <w:spacing w:line="276" w:lineRule="auto"/>
        <w:jc w:val="both"/>
        <w:rPr>
          <w:sz w:val="22"/>
          <w:szCs w:val="22"/>
        </w:rPr>
      </w:pPr>
      <w:r w:rsidRPr="00AC4DA1">
        <w:rPr>
          <w:sz w:val="22"/>
          <w:szCs w:val="22"/>
        </w:rPr>
        <w:t xml:space="preserve">Le Mali a ratifié en 2015 le Traité de Marrakech qui vise l’accessibilité des aveugles et des déficients visuels aux œuvres publiées et aux nouvelles technologies de l’information et de la communication. </w:t>
      </w:r>
      <w:r w:rsidR="006B01B7" w:rsidRPr="00AC4DA1">
        <w:rPr>
          <w:sz w:val="22"/>
          <w:szCs w:val="22"/>
        </w:rPr>
        <w:t xml:space="preserve"> </w:t>
      </w:r>
    </w:p>
    <w:p w14:paraId="41C6890B" w14:textId="03DA7872" w:rsidR="00DD1E5D" w:rsidRPr="00AC4DA1" w:rsidRDefault="00DD1E5D" w:rsidP="00DD1E5D">
      <w:pPr>
        <w:spacing w:line="276" w:lineRule="auto"/>
        <w:jc w:val="both"/>
        <w:rPr>
          <w:sz w:val="22"/>
          <w:szCs w:val="22"/>
        </w:rPr>
      </w:pPr>
      <w:r w:rsidRPr="00AC4DA1">
        <w:rPr>
          <w:sz w:val="22"/>
          <w:szCs w:val="22"/>
        </w:rPr>
        <w:t>Cette législation ne garantit pas que tous les nouveaux services et nouvelles infrastructures répondent aux normes adéquates d'accessibilité au sens de la CDPH, ne fait pas de la conception universelle et n’est pas assortie d’une stratégie nationale d'accessibilité visant à éliminer tous les obstacles existants dans un délai raisonnable.</w:t>
      </w:r>
    </w:p>
    <w:p w14:paraId="78844E0C" w14:textId="77777777" w:rsidR="00DD1E5D" w:rsidRPr="00AC4DA1" w:rsidRDefault="00DD1E5D" w:rsidP="00DD1E5D">
      <w:pPr>
        <w:spacing w:line="276" w:lineRule="auto"/>
        <w:jc w:val="both"/>
        <w:rPr>
          <w:sz w:val="22"/>
          <w:szCs w:val="22"/>
        </w:rPr>
      </w:pPr>
    </w:p>
    <w:p w14:paraId="06B32783" w14:textId="3A4F56CF" w:rsidR="00DD1E5D" w:rsidRPr="00AC4DA1" w:rsidRDefault="00DD1E5D" w:rsidP="00DD1E5D">
      <w:pPr>
        <w:spacing w:line="276" w:lineRule="auto"/>
        <w:jc w:val="both"/>
        <w:rPr>
          <w:sz w:val="22"/>
          <w:szCs w:val="22"/>
        </w:rPr>
      </w:pPr>
      <w:r w:rsidRPr="00AC4DA1">
        <w:rPr>
          <w:sz w:val="22"/>
          <w:szCs w:val="22"/>
        </w:rPr>
        <w:t>Cette stratégie devrait bénéficier d’une allocation budgétaire adéquate et d’objectifs intermédiaires pour permettre le suivi des progrès et la stratégie</w:t>
      </w:r>
      <w:r w:rsidR="006B01B7" w:rsidRPr="00AC4DA1">
        <w:rPr>
          <w:sz w:val="22"/>
          <w:szCs w:val="22"/>
        </w:rPr>
        <w:t>.</w:t>
      </w:r>
    </w:p>
    <w:p w14:paraId="21FF7787" w14:textId="77777777" w:rsidR="00DD1E5D" w:rsidRPr="00AC4DA1" w:rsidRDefault="00DD1E5D" w:rsidP="00DD1E5D">
      <w:pPr>
        <w:spacing w:line="276" w:lineRule="auto"/>
        <w:jc w:val="both"/>
        <w:rPr>
          <w:sz w:val="22"/>
          <w:szCs w:val="22"/>
        </w:rPr>
      </w:pPr>
    </w:p>
    <w:p w14:paraId="60992C97" w14:textId="05F4D6D6" w:rsidR="00DD1E5D" w:rsidRPr="00AC4DA1" w:rsidRDefault="00DD1E5D" w:rsidP="00DD1E5D">
      <w:pPr>
        <w:spacing w:line="276" w:lineRule="auto"/>
        <w:jc w:val="both"/>
        <w:rPr>
          <w:sz w:val="22"/>
          <w:szCs w:val="22"/>
        </w:rPr>
      </w:pPr>
      <w:r w:rsidRPr="00AC4DA1">
        <w:rPr>
          <w:sz w:val="22"/>
          <w:szCs w:val="22"/>
        </w:rPr>
        <w:t xml:space="preserve">Cette législation reconnait le droit à l’accessibilité aux bâtiments publics mais ne prévoit pas l’adoption des normes d'accessibilité appropriées (bâtiments, transports, site web, communication, y compris services professionnels d'interprétation en langues des signes, dispositifs techniques et autres équipements d’aide à la communication, ainsi que les modes, moyens et </w:t>
      </w:r>
      <w:r w:rsidR="00AC4DA1" w:rsidRPr="00AC4DA1">
        <w:rPr>
          <w:sz w:val="22"/>
          <w:szCs w:val="22"/>
        </w:rPr>
        <w:t>formes alternatives</w:t>
      </w:r>
      <w:r w:rsidRPr="00AC4DA1">
        <w:rPr>
          <w:sz w:val="22"/>
          <w:szCs w:val="22"/>
        </w:rPr>
        <w:t xml:space="preserve"> de communication)</w:t>
      </w:r>
    </w:p>
    <w:p w14:paraId="6F507FAF" w14:textId="77777777" w:rsidR="00DD1E5D" w:rsidRPr="00AC4DA1" w:rsidRDefault="00DD1E5D" w:rsidP="00DD1E5D">
      <w:pPr>
        <w:spacing w:line="276" w:lineRule="auto"/>
        <w:jc w:val="both"/>
        <w:rPr>
          <w:sz w:val="22"/>
          <w:szCs w:val="22"/>
        </w:rPr>
      </w:pPr>
    </w:p>
    <w:p w14:paraId="7E3F4CD0" w14:textId="569D07A0" w:rsidR="00DD1E5D" w:rsidRPr="00AC4DA1" w:rsidRDefault="00DD1E5D" w:rsidP="00DD1E5D">
      <w:pPr>
        <w:spacing w:line="276" w:lineRule="auto"/>
        <w:jc w:val="both"/>
        <w:rPr>
          <w:sz w:val="22"/>
          <w:szCs w:val="22"/>
        </w:rPr>
      </w:pPr>
      <w:r w:rsidRPr="00AC4DA1">
        <w:rPr>
          <w:sz w:val="22"/>
          <w:szCs w:val="22"/>
        </w:rPr>
        <w:t xml:space="preserve">Ces normes d’accessibilité </w:t>
      </w:r>
      <w:r w:rsidR="00547A66" w:rsidRPr="00AC4DA1">
        <w:rPr>
          <w:sz w:val="22"/>
          <w:szCs w:val="22"/>
        </w:rPr>
        <w:t>devraient</w:t>
      </w:r>
      <w:r w:rsidRPr="00AC4DA1">
        <w:rPr>
          <w:sz w:val="22"/>
          <w:szCs w:val="22"/>
        </w:rPr>
        <w:t xml:space="preserve"> être prise en compte dans la loi des marchés publics (achat de produits ou services par les pouvoirs publics, à travers des appels d'offres publics) pour promouvoir la conformité aux normes d'accessibilité.</w:t>
      </w:r>
    </w:p>
    <w:p w14:paraId="5D72CBA9" w14:textId="59032D18" w:rsidR="00DD1E5D" w:rsidRPr="00AC4DA1" w:rsidRDefault="00365BB2" w:rsidP="00365BB2">
      <w:pPr>
        <w:pStyle w:val="Heading1"/>
        <w:rPr>
          <w:rFonts w:ascii="Times New Roman" w:hAnsi="Times New Roman"/>
          <w:sz w:val="22"/>
          <w:szCs w:val="22"/>
        </w:rPr>
      </w:pPr>
      <w:bookmarkStart w:id="31" w:name="_Toc128647510"/>
      <w:r w:rsidRPr="00AC4DA1">
        <w:rPr>
          <w:rFonts w:ascii="Times New Roman" w:hAnsi="Times New Roman"/>
          <w:sz w:val="22"/>
          <w:szCs w:val="22"/>
          <w:lang w:val="fr-FR"/>
        </w:rPr>
        <w:lastRenderedPageBreak/>
        <w:t xml:space="preserve">3.2 </w:t>
      </w:r>
      <w:r w:rsidR="00DD1E5D" w:rsidRPr="00AC4DA1">
        <w:rPr>
          <w:rFonts w:ascii="Times New Roman" w:hAnsi="Times New Roman"/>
          <w:sz w:val="22"/>
          <w:szCs w:val="22"/>
        </w:rPr>
        <w:t>Dispositions spécifiques pour femmes, enfants et autres groupes de Personnes Handicapées</w:t>
      </w:r>
      <w:bookmarkEnd w:id="31"/>
    </w:p>
    <w:p w14:paraId="45CEF6DD" w14:textId="3E55704C" w:rsidR="00DD1E5D" w:rsidRPr="00AC4DA1" w:rsidRDefault="00DD1E5D" w:rsidP="002F72AC">
      <w:pPr>
        <w:pStyle w:val="Heading1"/>
        <w:rPr>
          <w:rFonts w:ascii="Times New Roman" w:hAnsi="Times New Roman"/>
          <w:sz w:val="22"/>
          <w:szCs w:val="22"/>
        </w:rPr>
      </w:pPr>
      <w:bookmarkStart w:id="32" w:name="_Toc128647511"/>
      <w:r w:rsidRPr="00AC4DA1">
        <w:rPr>
          <w:rFonts w:ascii="Times New Roman" w:hAnsi="Times New Roman"/>
          <w:sz w:val="22"/>
          <w:szCs w:val="22"/>
        </w:rPr>
        <w:t>Article 6 – Femmes handicapées</w:t>
      </w:r>
      <w:bookmarkEnd w:id="32"/>
    </w:p>
    <w:p w14:paraId="71F143F5" w14:textId="3FFAC964" w:rsidR="00DD1E5D" w:rsidRPr="00AC4DA1" w:rsidRDefault="00DD1E5D" w:rsidP="00DD1E5D">
      <w:pPr>
        <w:spacing w:line="276" w:lineRule="auto"/>
        <w:jc w:val="both"/>
        <w:rPr>
          <w:sz w:val="22"/>
          <w:szCs w:val="22"/>
        </w:rPr>
      </w:pPr>
      <w:r w:rsidRPr="00AC4DA1">
        <w:rPr>
          <w:sz w:val="22"/>
          <w:szCs w:val="22"/>
        </w:rPr>
        <w:t xml:space="preserve">La loi N°2018-027 relative aux droits des personnes vivant avec handicap accorde une attention particulière à la situation des femmes handicapées en son article 26 stipule que « Les femmes et les enfants vivant avec un </w:t>
      </w:r>
      <w:r w:rsidR="00547A66" w:rsidRPr="00AC4DA1">
        <w:rPr>
          <w:sz w:val="22"/>
          <w:szCs w:val="22"/>
        </w:rPr>
        <w:t>handicap bénéficient</w:t>
      </w:r>
      <w:r w:rsidRPr="00AC4DA1">
        <w:rPr>
          <w:sz w:val="22"/>
          <w:szCs w:val="22"/>
        </w:rPr>
        <w:t xml:space="preserve"> de mesures spécifiques d’assistance et de protection contre l’exploitation de toute nature, les violences, les agressions sexuelles et les maltraitances » </w:t>
      </w:r>
    </w:p>
    <w:p w14:paraId="49155E75" w14:textId="77777777" w:rsidR="000245F1" w:rsidRPr="00AC4DA1" w:rsidRDefault="000245F1" w:rsidP="00DD1E5D">
      <w:pPr>
        <w:spacing w:line="276" w:lineRule="auto"/>
        <w:jc w:val="both"/>
        <w:rPr>
          <w:sz w:val="22"/>
          <w:szCs w:val="22"/>
        </w:rPr>
      </w:pPr>
    </w:p>
    <w:p w14:paraId="3FC181D4" w14:textId="17ABC0EC" w:rsidR="00DD1E5D" w:rsidRPr="00AC4DA1" w:rsidRDefault="000245F1" w:rsidP="00DD1E5D">
      <w:pPr>
        <w:spacing w:line="276" w:lineRule="auto"/>
        <w:jc w:val="both"/>
        <w:rPr>
          <w:sz w:val="22"/>
          <w:szCs w:val="22"/>
        </w:rPr>
      </w:pPr>
      <w:r w:rsidRPr="00AC4DA1">
        <w:rPr>
          <w:sz w:val="22"/>
          <w:szCs w:val="22"/>
        </w:rPr>
        <w:t xml:space="preserve">La loi </w:t>
      </w:r>
      <w:r w:rsidR="00F5295E" w:rsidRPr="00AC4DA1">
        <w:rPr>
          <w:sz w:val="22"/>
          <w:szCs w:val="22"/>
        </w:rPr>
        <w:t>N°</w:t>
      </w:r>
      <w:r w:rsidR="00DD1E5D" w:rsidRPr="00AC4DA1">
        <w:rPr>
          <w:sz w:val="22"/>
          <w:szCs w:val="22"/>
        </w:rPr>
        <w:t xml:space="preserve"> </w:t>
      </w:r>
      <w:r w:rsidRPr="00AC4DA1">
        <w:rPr>
          <w:sz w:val="22"/>
          <w:szCs w:val="22"/>
        </w:rPr>
        <w:t xml:space="preserve">2015-052, du 18 Décembre 2015 instituant des mesures pour promouvoir le genre dans l’accès aux fonctions nominatives et électives </w:t>
      </w:r>
      <w:r w:rsidR="00DD1E5D" w:rsidRPr="00AC4DA1">
        <w:rPr>
          <w:sz w:val="22"/>
          <w:szCs w:val="22"/>
        </w:rPr>
        <w:t xml:space="preserve">au Mali traite de la participation des femmes en fixant un quota de 30% à tous postes nominatifs et électifs. Cela a pour effet de discriminer les femmes handicapées qui par absence de mesures d’égalité de chance ne sauront affirmer leur leadership à concourir ces postes face aux femmes non handicapées. La même approche d’égalisation des chances entre les femmes et les hommes devrait s’étendre </w:t>
      </w:r>
      <w:r w:rsidRPr="00AC4DA1">
        <w:rPr>
          <w:sz w:val="22"/>
          <w:szCs w:val="22"/>
        </w:rPr>
        <w:t>aux</w:t>
      </w:r>
      <w:r w:rsidR="00DD1E5D" w:rsidRPr="00AC4DA1">
        <w:rPr>
          <w:sz w:val="22"/>
          <w:szCs w:val="22"/>
        </w:rPr>
        <w:t xml:space="preserve"> femmes handicapées et non handicapées à travers un sous quota fixé dans les 30% accordés aux femmes non handicapées</w:t>
      </w:r>
    </w:p>
    <w:p w14:paraId="7D9E873E" w14:textId="77777777" w:rsidR="00DD1E5D" w:rsidRPr="00AC4DA1" w:rsidRDefault="00DD1E5D" w:rsidP="00DD1E5D">
      <w:pPr>
        <w:spacing w:line="276" w:lineRule="auto"/>
        <w:jc w:val="both"/>
        <w:rPr>
          <w:sz w:val="22"/>
          <w:szCs w:val="22"/>
        </w:rPr>
      </w:pPr>
    </w:p>
    <w:p w14:paraId="45B73E93" w14:textId="1C0B6AA1" w:rsidR="00DD1E5D" w:rsidRPr="00AC4DA1" w:rsidRDefault="00DD1E5D" w:rsidP="00DD1E5D">
      <w:pPr>
        <w:spacing w:line="276" w:lineRule="auto"/>
        <w:jc w:val="both"/>
        <w:rPr>
          <w:sz w:val="22"/>
          <w:szCs w:val="22"/>
        </w:rPr>
      </w:pPr>
      <w:r w:rsidRPr="00AC4DA1">
        <w:rPr>
          <w:sz w:val="22"/>
          <w:szCs w:val="22"/>
        </w:rPr>
        <w:t xml:space="preserve">Les femmes handicapées, et l’approche genre, sont reflétées dans certaines consultations avec les organisations représentant les personnes handicapées notamment dans la participation à la vie publique et politique. La mise en place du </w:t>
      </w:r>
      <w:r w:rsidR="00547A66" w:rsidRPr="00AC4DA1">
        <w:rPr>
          <w:sz w:val="22"/>
          <w:szCs w:val="22"/>
        </w:rPr>
        <w:t>CNT, du</w:t>
      </w:r>
      <w:r w:rsidRPr="00AC4DA1">
        <w:rPr>
          <w:sz w:val="22"/>
          <w:szCs w:val="22"/>
        </w:rPr>
        <w:t xml:space="preserve"> Gouvernement et tout autre structure étatique dans la majorité des cas respecte les 30% de quota fixé par la loi 2015-052, du 18 Décembre 2015 instituant des mesures pour promouvoir le genre dans l’accès aux fonctions nominatives et électives</w:t>
      </w:r>
    </w:p>
    <w:p w14:paraId="21E85A5B" w14:textId="77777777" w:rsidR="00DD1E5D" w:rsidRPr="00AC4DA1" w:rsidRDefault="00DD1E5D" w:rsidP="00DD1E5D">
      <w:pPr>
        <w:spacing w:line="276" w:lineRule="auto"/>
        <w:jc w:val="both"/>
        <w:rPr>
          <w:sz w:val="22"/>
          <w:szCs w:val="22"/>
        </w:rPr>
      </w:pPr>
    </w:p>
    <w:p w14:paraId="69DF1D70" w14:textId="77777777" w:rsidR="00DD1E5D" w:rsidRPr="00AC4DA1" w:rsidRDefault="00DD1E5D" w:rsidP="00DD1E5D">
      <w:pPr>
        <w:spacing w:line="276" w:lineRule="auto"/>
        <w:jc w:val="both"/>
        <w:rPr>
          <w:sz w:val="22"/>
          <w:szCs w:val="22"/>
        </w:rPr>
      </w:pPr>
      <w:r w:rsidRPr="00AC4DA1">
        <w:rPr>
          <w:sz w:val="22"/>
          <w:szCs w:val="22"/>
        </w:rPr>
        <w:lastRenderedPageBreak/>
        <w:t>Les lois et les politiques qui soutiennent l’autonomie des femmes n’accordent pas une attention particulière à l'autonomie des femmes handicapées notamment La Loi N°2015-052 du 18 décembre 2015 instituant des mesures pour promouvoir le genre dans l’accès aux fonctions nominatives et électives ; La Loi sur le Foncier agricole ; La Politique Nationale Genre (PNG) ; l’objectif global 5.4 du CREDD (2019-2023) et le FAFE.</w:t>
      </w:r>
    </w:p>
    <w:p w14:paraId="5933CCEF" w14:textId="77777777" w:rsidR="00DD1E5D" w:rsidRPr="00AC4DA1" w:rsidRDefault="00DD1E5D" w:rsidP="00547A66">
      <w:pPr>
        <w:pStyle w:val="Heading1"/>
        <w:rPr>
          <w:rFonts w:ascii="Times New Roman" w:hAnsi="Times New Roman"/>
          <w:sz w:val="22"/>
          <w:szCs w:val="22"/>
        </w:rPr>
      </w:pPr>
      <w:bookmarkStart w:id="33" w:name="_Toc128647512"/>
      <w:r w:rsidRPr="00AC4DA1">
        <w:rPr>
          <w:rFonts w:ascii="Times New Roman" w:hAnsi="Times New Roman"/>
          <w:sz w:val="22"/>
          <w:szCs w:val="22"/>
        </w:rPr>
        <w:t>Article 7 – Enfants handicapés</w:t>
      </w:r>
      <w:bookmarkEnd w:id="33"/>
    </w:p>
    <w:p w14:paraId="785498B7" w14:textId="516D9E3B" w:rsidR="00DD1E5D" w:rsidRPr="00AC4DA1" w:rsidRDefault="00DD1E5D" w:rsidP="00DD1E5D">
      <w:pPr>
        <w:spacing w:line="276" w:lineRule="auto"/>
        <w:jc w:val="both"/>
        <w:rPr>
          <w:sz w:val="22"/>
          <w:szCs w:val="22"/>
        </w:rPr>
      </w:pPr>
      <w:r w:rsidRPr="00AC4DA1">
        <w:rPr>
          <w:sz w:val="22"/>
          <w:szCs w:val="22"/>
        </w:rPr>
        <w:t>Les actions déclarées en faveur des enfants handicapées concernent plus le domaine de l’éducation et la protection sociale à travers les prises en charge de l’AMO et de l’ANAM</w:t>
      </w:r>
      <w:r w:rsidR="00207A65" w:rsidRPr="00AC4DA1">
        <w:rPr>
          <w:sz w:val="22"/>
          <w:szCs w:val="22"/>
        </w:rPr>
        <w:t xml:space="preserve"> qui ne couvre pas suffisamment tous les services </w:t>
      </w:r>
      <w:r w:rsidR="00361B51" w:rsidRPr="00AC4DA1">
        <w:rPr>
          <w:sz w:val="22"/>
          <w:szCs w:val="22"/>
        </w:rPr>
        <w:t xml:space="preserve">et produits </w:t>
      </w:r>
      <w:r w:rsidR="00207A65" w:rsidRPr="00AC4DA1">
        <w:rPr>
          <w:sz w:val="22"/>
          <w:szCs w:val="22"/>
        </w:rPr>
        <w:t>sanitaires</w:t>
      </w:r>
      <w:r w:rsidRPr="00AC4DA1">
        <w:rPr>
          <w:sz w:val="22"/>
          <w:szCs w:val="22"/>
        </w:rPr>
        <w:t>.</w:t>
      </w:r>
    </w:p>
    <w:p w14:paraId="3FD77C67" w14:textId="77777777" w:rsidR="00207A65" w:rsidRPr="00AC4DA1" w:rsidRDefault="00207A65" w:rsidP="00DD1E5D">
      <w:pPr>
        <w:spacing w:line="276" w:lineRule="auto"/>
        <w:jc w:val="both"/>
        <w:rPr>
          <w:sz w:val="22"/>
          <w:szCs w:val="22"/>
        </w:rPr>
      </w:pPr>
    </w:p>
    <w:p w14:paraId="60739D30" w14:textId="2C12FF90" w:rsidR="00DD1E5D" w:rsidRPr="00AC4DA1" w:rsidRDefault="00DD1E5D" w:rsidP="00DD1E5D">
      <w:pPr>
        <w:spacing w:line="276" w:lineRule="auto"/>
        <w:jc w:val="both"/>
        <w:rPr>
          <w:sz w:val="22"/>
          <w:szCs w:val="22"/>
        </w:rPr>
      </w:pPr>
      <w:r w:rsidRPr="00AC4DA1">
        <w:rPr>
          <w:sz w:val="22"/>
          <w:szCs w:val="22"/>
        </w:rPr>
        <w:t xml:space="preserve">L’article 17 du décret no 09-552/P-RM du 12 octobre 2009 portant application de la loi no 09-015 du 26 juin 2009 </w:t>
      </w:r>
      <w:r w:rsidR="00361B51" w:rsidRPr="00AC4DA1">
        <w:rPr>
          <w:sz w:val="22"/>
          <w:szCs w:val="22"/>
        </w:rPr>
        <w:t xml:space="preserve">portant sur l’institution du régime d’Assurance Obligatoire </w:t>
      </w:r>
      <w:r w:rsidRPr="00AC4DA1">
        <w:rPr>
          <w:sz w:val="22"/>
          <w:szCs w:val="22"/>
        </w:rPr>
        <w:t xml:space="preserve">discrimine autres enfants handicapés et </w:t>
      </w:r>
      <w:r w:rsidR="00361B51" w:rsidRPr="00AC4DA1">
        <w:rPr>
          <w:sz w:val="22"/>
          <w:szCs w:val="22"/>
        </w:rPr>
        <w:t xml:space="preserve">ne </w:t>
      </w:r>
      <w:r w:rsidRPr="00AC4DA1">
        <w:rPr>
          <w:sz w:val="22"/>
          <w:szCs w:val="22"/>
        </w:rPr>
        <w:t>soutien que les enfants handicapés physique ou mental.</w:t>
      </w:r>
    </w:p>
    <w:p w14:paraId="4E622C41" w14:textId="77777777" w:rsidR="00DD1E5D" w:rsidRPr="00AC4DA1" w:rsidRDefault="00DD1E5D" w:rsidP="00DD1E5D">
      <w:pPr>
        <w:spacing w:line="276" w:lineRule="auto"/>
        <w:jc w:val="both"/>
        <w:rPr>
          <w:sz w:val="22"/>
          <w:szCs w:val="22"/>
        </w:rPr>
      </w:pPr>
    </w:p>
    <w:p w14:paraId="27489015" w14:textId="77777777" w:rsidR="00DD1E5D" w:rsidRPr="00AC4DA1" w:rsidRDefault="00DD1E5D" w:rsidP="00DD1E5D">
      <w:pPr>
        <w:spacing w:line="276" w:lineRule="auto"/>
        <w:jc w:val="both"/>
        <w:rPr>
          <w:sz w:val="22"/>
          <w:szCs w:val="22"/>
        </w:rPr>
      </w:pPr>
      <w:r w:rsidRPr="00AC4DA1">
        <w:rPr>
          <w:sz w:val="22"/>
          <w:szCs w:val="22"/>
        </w:rPr>
        <w:t>Certaines dispositions législative et règlementaires sont antérieur à la CDPH, ce qui explique leur mise en œuvre sous l’approche médicale et sociale du handicap.</w:t>
      </w:r>
    </w:p>
    <w:p w14:paraId="25CC40A2" w14:textId="77777777" w:rsidR="00DD1E5D" w:rsidRPr="00AC4DA1" w:rsidRDefault="00DD1E5D" w:rsidP="00DD1E5D">
      <w:pPr>
        <w:spacing w:line="276" w:lineRule="auto"/>
        <w:jc w:val="both"/>
        <w:rPr>
          <w:sz w:val="22"/>
          <w:szCs w:val="22"/>
        </w:rPr>
      </w:pPr>
    </w:p>
    <w:p w14:paraId="27D859E0" w14:textId="573DF32E" w:rsidR="00DD1E5D" w:rsidRPr="00AC4DA1" w:rsidRDefault="00DD1E5D" w:rsidP="00DD1E5D">
      <w:pPr>
        <w:spacing w:line="276" w:lineRule="auto"/>
        <w:jc w:val="both"/>
        <w:rPr>
          <w:sz w:val="22"/>
          <w:szCs w:val="22"/>
        </w:rPr>
      </w:pPr>
      <w:r w:rsidRPr="00AC4DA1">
        <w:rPr>
          <w:sz w:val="22"/>
          <w:szCs w:val="22"/>
        </w:rPr>
        <w:t xml:space="preserve">Les données </w:t>
      </w:r>
      <w:r w:rsidR="00CD623C" w:rsidRPr="00AC4DA1">
        <w:rPr>
          <w:sz w:val="22"/>
          <w:szCs w:val="22"/>
        </w:rPr>
        <w:t xml:space="preserve">de l’Etat </w:t>
      </w:r>
      <w:r w:rsidRPr="00AC4DA1">
        <w:rPr>
          <w:sz w:val="22"/>
          <w:szCs w:val="22"/>
        </w:rPr>
        <w:t>concernant coût total de la prise en charge des enfants se chiffre à 58 532 685,42 FCFA pour la période du 1er mai 2011 au 24 janvier 2017 ne sont pas désagrégées par type de handicap, sexe et par région ni ventilé auprès des OPH qui devraient s’en servir dans le cadre du plaidoyer conformément aux dispositions de l’article 32 de la CDPH.</w:t>
      </w:r>
    </w:p>
    <w:p w14:paraId="31FCA3BE" w14:textId="77777777" w:rsidR="00DD1E5D" w:rsidRPr="00AC4DA1" w:rsidRDefault="00DD1E5D" w:rsidP="00DD1E5D">
      <w:pPr>
        <w:spacing w:line="276" w:lineRule="auto"/>
        <w:jc w:val="both"/>
        <w:rPr>
          <w:sz w:val="22"/>
          <w:szCs w:val="22"/>
        </w:rPr>
      </w:pPr>
    </w:p>
    <w:p w14:paraId="442280CC" w14:textId="77777777" w:rsidR="00DD1E5D" w:rsidRPr="00AC4DA1" w:rsidRDefault="00DD1E5D" w:rsidP="00DD1E5D">
      <w:pPr>
        <w:spacing w:line="276" w:lineRule="auto"/>
        <w:jc w:val="both"/>
        <w:rPr>
          <w:sz w:val="22"/>
          <w:szCs w:val="22"/>
        </w:rPr>
      </w:pPr>
      <w:r w:rsidRPr="00AC4DA1">
        <w:rPr>
          <w:sz w:val="22"/>
          <w:szCs w:val="22"/>
        </w:rPr>
        <w:t>La Politique nationale en matière d’éducation spéciale et la loi no 99-046 du 28 décembre 1999, modifiée, portant Loi d’orientation sur l’éducation ne posent pas les base d’un système d’éducation inclusif. Ils promeuvent de manières persistante la ségrégation en renforçant les systèmes d’éducation spécial existant.</w:t>
      </w:r>
    </w:p>
    <w:p w14:paraId="7AB3E49A" w14:textId="77777777" w:rsidR="00DD1E5D" w:rsidRPr="00AC4DA1" w:rsidRDefault="00DD1E5D" w:rsidP="00DD1E5D">
      <w:pPr>
        <w:spacing w:line="276" w:lineRule="auto"/>
        <w:jc w:val="both"/>
        <w:rPr>
          <w:sz w:val="22"/>
          <w:szCs w:val="22"/>
        </w:rPr>
      </w:pPr>
    </w:p>
    <w:p w14:paraId="6255E79F" w14:textId="3B98AE4D" w:rsidR="00DD1E5D" w:rsidRPr="00AC4DA1" w:rsidRDefault="00CD623C" w:rsidP="00DD1E5D">
      <w:pPr>
        <w:spacing w:line="276" w:lineRule="auto"/>
        <w:jc w:val="both"/>
        <w:rPr>
          <w:sz w:val="22"/>
          <w:szCs w:val="22"/>
        </w:rPr>
      </w:pPr>
      <w:r w:rsidRPr="00AC4DA1">
        <w:rPr>
          <w:sz w:val="22"/>
          <w:szCs w:val="22"/>
        </w:rPr>
        <w:lastRenderedPageBreak/>
        <w:t>Même</w:t>
      </w:r>
      <w:r w:rsidR="00835B1D" w:rsidRPr="00AC4DA1">
        <w:rPr>
          <w:sz w:val="22"/>
          <w:szCs w:val="22"/>
        </w:rPr>
        <w:t xml:space="preserve"> l´Etat souligne et reconnait que l</w:t>
      </w:r>
      <w:r w:rsidR="00DD1E5D" w:rsidRPr="00AC4DA1">
        <w:rPr>
          <w:sz w:val="22"/>
          <w:szCs w:val="22"/>
        </w:rPr>
        <w:t>es articles 47 et 55 de cette loi qui disposent que « l’éducation spéciale s’adresse aux grands handicapés », « les handicapés légers sont accueillis dans les différents ordres et types d’enseignement</w:t>
      </w:r>
      <w:r w:rsidR="00835B1D" w:rsidRPr="00AC4DA1">
        <w:rPr>
          <w:sz w:val="22"/>
          <w:szCs w:val="22"/>
        </w:rPr>
        <w:t> »</w:t>
      </w:r>
      <w:r w:rsidR="00DD1E5D" w:rsidRPr="00AC4DA1">
        <w:rPr>
          <w:sz w:val="22"/>
          <w:szCs w:val="22"/>
        </w:rPr>
        <w:t>.</w:t>
      </w:r>
      <w:r w:rsidR="00835B1D" w:rsidRPr="00AC4DA1">
        <w:rPr>
          <w:rStyle w:val="FootnoteReference"/>
          <w:sz w:val="22"/>
          <w:szCs w:val="22"/>
        </w:rPr>
        <w:footnoteReference w:id="1"/>
      </w:r>
      <w:r w:rsidR="00DD1E5D" w:rsidRPr="00AC4DA1">
        <w:rPr>
          <w:sz w:val="22"/>
          <w:szCs w:val="22"/>
        </w:rPr>
        <w:t xml:space="preserve"> Ils reçoivent les mêmes apprentissages que les apprenants non handicapés en même temps qu’ils bénéficient de soins éducatifs spéciaux » emploient des terminologies non conformes à la CDPH notamment « handicapés légers » et « grands handicapés ».</w:t>
      </w:r>
      <w:r w:rsidRPr="00AC4DA1">
        <w:rPr>
          <w:sz w:val="22"/>
          <w:szCs w:val="22"/>
        </w:rPr>
        <w:t xml:space="preserve"> et ne mets en avant l’éducative comme seule alternative pour l’éducation des enfants handicapés</w:t>
      </w:r>
      <w:r w:rsidR="00DD1E5D" w:rsidRPr="00AC4DA1">
        <w:rPr>
          <w:sz w:val="22"/>
          <w:szCs w:val="22"/>
        </w:rPr>
        <w:t xml:space="preserve"> </w:t>
      </w:r>
    </w:p>
    <w:p w14:paraId="14A3AC63" w14:textId="77777777" w:rsidR="00DD1E5D" w:rsidRPr="00AC4DA1" w:rsidRDefault="00DD1E5D" w:rsidP="00DD1E5D">
      <w:pPr>
        <w:spacing w:line="276" w:lineRule="auto"/>
        <w:jc w:val="both"/>
        <w:rPr>
          <w:sz w:val="22"/>
          <w:szCs w:val="22"/>
        </w:rPr>
      </w:pPr>
    </w:p>
    <w:p w14:paraId="6618FB79" w14:textId="77777777" w:rsidR="00DD1E5D" w:rsidRPr="00AC4DA1" w:rsidRDefault="00DD1E5D" w:rsidP="00DD1E5D">
      <w:pPr>
        <w:spacing w:line="276" w:lineRule="auto"/>
        <w:jc w:val="both"/>
        <w:rPr>
          <w:sz w:val="22"/>
          <w:szCs w:val="22"/>
        </w:rPr>
      </w:pPr>
      <w:r w:rsidRPr="00AC4DA1">
        <w:rPr>
          <w:sz w:val="22"/>
          <w:szCs w:val="22"/>
        </w:rPr>
        <w:t xml:space="preserve">Reconnaissant que les enfants handicapés doivent jouir pleinement de tous les droits de l’homme et de toutes les libertés fondamentales, sur la base de l’égalité avec les autres enfants, et rappelant les obligations qu’ont contractées à cette fin l’Etat Malien doit prendre toutes les dispositions pour garantir l’égalité de chance entre enfants handicapés et enfants non handicapés. </w:t>
      </w:r>
    </w:p>
    <w:p w14:paraId="677442EC" w14:textId="77777777" w:rsidR="00DD1E5D" w:rsidRPr="00AC4DA1" w:rsidRDefault="00DD1E5D" w:rsidP="00DD1E5D">
      <w:pPr>
        <w:spacing w:line="276" w:lineRule="auto"/>
        <w:jc w:val="both"/>
        <w:rPr>
          <w:sz w:val="22"/>
          <w:szCs w:val="22"/>
        </w:rPr>
      </w:pPr>
    </w:p>
    <w:p w14:paraId="72383C23" w14:textId="77777777" w:rsidR="00DD1E5D" w:rsidRPr="00AC4DA1" w:rsidRDefault="00DD1E5D" w:rsidP="00DD1E5D">
      <w:pPr>
        <w:spacing w:line="276" w:lineRule="auto"/>
        <w:jc w:val="both"/>
        <w:rPr>
          <w:sz w:val="22"/>
          <w:szCs w:val="22"/>
        </w:rPr>
      </w:pPr>
      <w:r w:rsidRPr="00AC4DA1">
        <w:rPr>
          <w:sz w:val="22"/>
          <w:szCs w:val="22"/>
        </w:rPr>
        <w:t>La loi N°2018-027 relative aux droits des personnes vivant avec handicap accorde une attention particulière aux enfants handicapés dans l’article 13 « Les élèves et étudiants vivant avec un handicap bénéficient de mesures spécifiques en ce qui concerne l’âge limite pour l’inscription à l’école, la participation aux examens et concours, l’octroi de bourses ou autres aides aux études » et  l’article 26 « Les femmes et les enfants vivant avec un handicap bénéficient de mesures spécifiques d’assistance et de protection contre l’exploitation de toute nature, les violences, les agressions sexuelles et les maltraitances ».</w:t>
      </w:r>
    </w:p>
    <w:p w14:paraId="7267F3D6" w14:textId="77777777" w:rsidR="00DD1E5D" w:rsidRPr="00AC4DA1" w:rsidRDefault="00DD1E5D" w:rsidP="00DD1E5D">
      <w:pPr>
        <w:spacing w:line="276" w:lineRule="auto"/>
        <w:jc w:val="both"/>
        <w:rPr>
          <w:sz w:val="22"/>
          <w:szCs w:val="22"/>
        </w:rPr>
      </w:pPr>
    </w:p>
    <w:p w14:paraId="190252F4" w14:textId="77777777" w:rsidR="00DD1E5D" w:rsidRPr="00AC4DA1" w:rsidRDefault="00DD1E5D" w:rsidP="00DD1E5D">
      <w:pPr>
        <w:spacing w:line="276" w:lineRule="auto"/>
        <w:jc w:val="both"/>
        <w:rPr>
          <w:sz w:val="22"/>
          <w:szCs w:val="22"/>
        </w:rPr>
      </w:pPr>
      <w:r w:rsidRPr="00AC4DA1">
        <w:rPr>
          <w:sz w:val="22"/>
          <w:szCs w:val="22"/>
        </w:rPr>
        <w:t>L’Ordonnance n° 02-062/P-RM du 5 juin 2002 portant sur le Code de Protection de l’Enfant en son article 16 stipule que L'enfant handicapé a droit, en plus des droits reconnus à l'enfance, à la protection et aux soins médicaux ainsi qu'à un degré d'enseignement et de formation qui consolide son auto-prise en charge et facilite sa participation active à la vie sociale.</w:t>
      </w:r>
    </w:p>
    <w:p w14:paraId="09351803" w14:textId="77777777" w:rsidR="00DD1E5D" w:rsidRPr="00AC4DA1" w:rsidRDefault="00DD1E5D" w:rsidP="00DD1E5D">
      <w:pPr>
        <w:spacing w:line="276" w:lineRule="auto"/>
        <w:jc w:val="both"/>
        <w:rPr>
          <w:sz w:val="22"/>
          <w:szCs w:val="22"/>
        </w:rPr>
      </w:pPr>
    </w:p>
    <w:p w14:paraId="54E6D580" w14:textId="77777777" w:rsidR="00DD1E5D" w:rsidRPr="00AC4DA1" w:rsidRDefault="00DD1E5D" w:rsidP="00DD1E5D">
      <w:pPr>
        <w:spacing w:line="276" w:lineRule="auto"/>
        <w:jc w:val="both"/>
        <w:rPr>
          <w:sz w:val="22"/>
          <w:szCs w:val="22"/>
        </w:rPr>
      </w:pPr>
      <w:r w:rsidRPr="00AC4DA1">
        <w:rPr>
          <w:sz w:val="22"/>
          <w:szCs w:val="22"/>
        </w:rPr>
        <w:t>Cette loi inclue les enfants handicapées sous une approche sociale en garantissant l’éducation spéciale et intégratrice. Tout en reconnaissant le caractère antérieur de cette loi à la CRDPH, elle devrait promouvoir pour les enfants handicapées l’éducation inclusive comme mentionné dans l’article 24 de la CRDPH.</w:t>
      </w:r>
    </w:p>
    <w:p w14:paraId="369961FF" w14:textId="77777777" w:rsidR="00DD1E5D" w:rsidRPr="00AC4DA1" w:rsidRDefault="00DD1E5D" w:rsidP="00DD1E5D">
      <w:pPr>
        <w:spacing w:line="276" w:lineRule="auto"/>
        <w:jc w:val="both"/>
        <w:rPr>
          <w:sz w:val="22"/>
          <w:szCs w:val="22"/>
        </w:rPr>
      </w:pPr>
    </w:p>
    <w:p w14:paraId="35514CF4" w14:textId="77777777" w:rsidR="00DD1E5D" w:rsidRPr="00AC4DA1" w:rsidRDefault="00DD1E5D" w:rsidP="00DD1E5D">
      <w:pPr>
        <w:spacing w:line="276" w:lineRule="auto"/>
        <w:jc w:val="both"/>
        <w:rPr>
          <w:sz w:val="22"/>
          <w:szCs w:val="22"/>
        </w:rPr>
      </w:pPr>
      <w:r w:rsidRPr="00AC4DA1">
        <w:rPr>
          <w:sz w:val="22"/>
          <w:szCs w:val="22"/>
        </w:rPr>
        <w:t>Les meilleurs intérêts de l'enfant ne sont pas pris en compte dans toutes les actions concernant les enfants handicapés parce que les principes de la CDPH précisément celui concernant l’enfant handicapé « Le respect du développement des capacités de l’enfant handicapé et le respect du droit des enfants handicapés à préserver leur identité. » connait un taux d’application faible.</w:t>
      </w:r>
    </w:p>
    <w:p w14:paraId="6636D22C" w14:textId="2D337202" w:rsidR="003456F1" w:rsidRPr="00AC4DA1" w:rsidRDefault="00365BB2" w:rsidP="00547A66">
      <w:pPr>
        <w:pStyle w:val="Heading1"/>
        <w:rPr>
          <w:rFonts w:ascii="Times New Roman" w:hAnsi="Times New Roman"/>
          <w:sz w:val="22"/>
          <w:szCs w:val="22"/>
        </w:rPr>
      </w:pPr>
      <w:bookmarkStart w:id="34" w:name="page39"/>
      <w:bookmarkStart w:id="35" w:name="_Toc128647513"/>
      <w:bookmarkEnd w:id="34"/>
      <w:r w:rsidRPr="00AC4DA1">
        <w:rPr>
          <w:rFonts w:ascii="Times New Roman" w:hAnsi="Times New Roman"/>
          <w:sz w:val="22"/>
          <w:szCs w:val="22"/>
          <w:lang w:val="fr-FR"/>
        </w:rPr>
        <w:t xml:space="preserve">3.3 </w:t>
      </w:r>
      <w:r w:rsidR="003456F1" w:rsidRPr="00AC4DA1">
        <w:rPr>
          <w:rFonts w:ascii="Times New Roman" w:hAnsi="Times New Roman"/>
          <w:sz w:val="22"/>
          <w:szCs w:val="22"/>
        </w:rPr>
        <w:t>Dispositions spécifiques : Articles 10 à 30 :</w:t>
      </w:r>
      <w:bookmarkEnd w:id="35"/>
    </w:p>
    <w:p w14:paraId="4F84EA8D" w14:textId="6EC1F098" w:rsidR="003456F1" w:rsidRPr="002F72AC" w:rsidRDefault="003456F1" w:rsidP="002F72AC">
      <w:pPr>
        <w:pStyle w:val="Heading1"/>
        <w:rPr>
          <w:rFonts w:ascii="Times New Roman" w:hAnsi="Times New Roman"/>
          <w:sz w:val="22"/>
          <w:szCs w:val="22"/>
        </w:rPr>
      </w:pPr>
      <w:bookmarkStart w:id="36" w:name="_Toc128647514"/>
      <w:r w:rsidRPr="00AC4DA1">
        <w:rPr>
          <w:rFonts w:ascii="Times New Roman" w:hAnsi="Times New Roman"/>
          <w:sz w:val="22"/>
          <w:szCs w:val="22"/>
        </w:rPr>
        <w:t>Articles 10 : Droit à la vie</w:t>
      </w:r>
      <w:bookmarkEnd w:id="36"/>
    </w:p>
    <w:p w14:paraId="7C3EB742" w14:textId="3DE601E9" w:rsidR="003456F1" w:rsidRPr="00AC4DA1" w:rsidRDefault="00151867" w:rsidP="003456F1">
      <w:pPr>
        <w:spacing w:line="276" w:lineRule="auto"/>
        <w:jc w:val="both"/>
        <w:rPr>
          <w:sz w:val="22"/>
          <w:szCs w:val="22"/>
        </w:rPr>
      </w:pPr>
      <w:r w:rsidRPr="00AC4DA1">
        <w:rPr>
          <w:sz w:val="22"/>
          <w:szCs w:val="22"/>
        </w:rPr>
        <w:t>L</w:t>
      </w:r>
      <w:r w:rsidR="003456F1" w:rsidRPr="00AC4DA1">
        <w:rPr>
          <w:sz w:val="22"/>
          <w:szCs w:val="22"/>
        </w:rPr>
        <w:t>a Constitution du Mali du 25 février 1992 garantit à toutes les personnes sans discrimination aucune le droit à la vie. Elle dispose en son article premier, alinéa 1 que : « la personne humaine est sacrée et inviolable ».</w:t>
      </w:r>
    </w:p>
    <w:p w14:paraId="7A624F2A" w14:textId="77777777" w:rsidR="0027435A" w:rsidRPr="00AC4DA1" w:rsidRDefault="0027435A" w:rsidP="003456F1">
      <w:pPr>
        <w:spacing w:line="276" w:lineRule="auto"/>
        <w:jc w:val="both"/>
        <w:rPr>
          <w:sz w:val="22"/>
          <w:szCs w:val="22"/>
        </w:rPr>
      </w:pPr>
    </w:p>
    <w:p w14:paraId="2E89DD51" w14:textId="4875F414" w:rsidR="00673EEB" w:rsidRPr="00AC4DA1" w:rsidRDefault="003456F1" w:rsidP="003456F1">
      <w:pPr>
        <w:spacing w:line="276" w:lineRule="auto"/>
        <w:jc w:val="both"/>
        <w:rPr>
          <w:sz w:val="22"/>
          <w:szCs w:val="22"/>
        </w:rPr>
      </w:pPr>
      <w:r w:rsidRPr="00AC4DA1">
        <w:rPr>
          <w:sz w:val="22"/>
          <w:szCs w:val="22"/>
        </w:rPr>
        <w:t xml:space="preserve">L’Etat protège les citoyens maliens de pratiques médicales et d’autres pratiques qui pourraient causer la mort des personnes. Les personnes handicapées sont incluses dans ces mesures de protection </w:t>
      </w:r>
      <w:r w:rsidR="0027435A" w:rsidRPr="00AC4DA1">
        <w:rPr>
          <w:sz w:val="22"/>
          <w:szCs w:val="22"/>
        </w:rPr>
        <w:t>générales</w:t>
      </w:r>
      <w:r w:rsidRPr="00AC4DA1">
        <w:rPr>
          <w:sz w:val="22"/>
          <w:szCs w:val="22"/>
        </w:rPr>
        <w:t xml:space="preserve">. Il n’existe pas de mesures de protection </w:t>
      </w:r>
      <w:r w:rsidR="0027435A" w:rsidRPr="00AC4DA1">
        <w:rPr>
          <w:sz w:val="22"/>
          <w:szCs w:val="22"/>
        </w:rPr>
        <w:t>spécifiques</w:t>
      </w:r>
      <w:r w:rsidRPr="00AC4DA1">
        <w:rPr>
          <w:sz w:val="22"/>
          <w:szCs w:val="22"/>
        </w:rPr>
        <w:t xml:space="preserve"> concernant les personnes handicapées</w:t>
      </w:r>
      <w:r w:rsidR="00673EEB" w:rsidRPr="00AC4DA1">
        <w:rPr>
          <w:sz w:val="22"/>
          <w:szCs w:val="22"/>
        </w:rPr>
        <w:t xml:space="preserve"> notamment l’enfant handicapé.</w:t>
      </w:r>
    </w:p>
    <w:p w14:paraId="0D094A34" w14:textId="3E52F8F3" w:rsidR="003456F1" w:rsidRPr="00AC4DA1" w:rsidRDefault="00673EEB" w:rsidP="003456F1">
      <w:pPr>
        <w:spacing w:line="276" w:lineRule="auto"/>
        <w:jc w:val="both"/>
        <w:rPr>
          <w:sz w:val="22"/>
          <w:szCs w:val="22"/>
        </w:rPr>
      </w:pPr>
      <w:r w:rsidRPr="00AC4DA1">
        <w:rPr>
          <w:sz w:val="22"/>
          <w:szCs w:val="22"/>
        </w:rPr>
        <w:t>La vie d</w:t>
      </w:r>
      <w:r w:rsidR="003456F1" w:rsidRPr="00AC4DA1">
        <w:rPr>
          <w:sz w:val="22"/>
          <w:szCs w:val="22"/>
        </w:rPr>
        <w:t>es personnes avec albinisme</w:t>
      </w:r>
      <w:r w:rsidRPr="00AC4DA1">
        <w:rPr>
          <w:sz w:val="22"/>
          <w:szCs w:val="22"/>
        </w:rPr>
        <w:t xml:space="preserve"> </w:t>
      </w:r>
      <w:r w:rsidR="003456F1" w:rsidRPr="00AC4DA1">
        <w:rPr>
          <w:sz w:val="22"/>
          <w:szCs w:val="22"/>
        </w:rPr>
        <w:t xml:space="preserve">est fortement menacée </w:t>
      </w:r>
      <w:r w:rsidR="0027435A" w:rsidRPr="00AC4DA1">
        <w:rPr>
          <w:sz w:val="22"/>
          <w:szCs w:val="22"/>
        </w:rPr>
        <w:t>par des enlèvements, assassinats aux fins de crimes rituels et trafics d’organes humains.</w:t>
      </w:r>
    </w:p>
    <w:p w14:paraId="09BA1343" w14:textId="77777777" w:rsidR="0027435A" w:rsidRPr="00AC4DA1" w:rsidRDefault="0027435A" w:rsidP="003456F1">
      <w:pPr>
        <w:spacing w:line="276" w:lineRule="auto"/>
        <w:jc w:val="both"/>
        <w:rPr>
          <w:sz w:val="22"/>
          <w:szCs w:val="22"/>
        </w:rPr>
      </w:pPr>
    </w:p>
    <w:p w14:paraId="69DBB8E7" w14:textId="3FABC5CE" w:rsidR="0027435A" w:rsidRPr="00AC4DA1" w:rsidRDefault="0027435A" w:rsidP="003456F1">
      <w:pPr>
        <w:spacing w:line="276" w:lineRule="auto"/>
        <w:jc w:val="both"/>
        <w:rPr>
          <w:sz w:val="22"/>
          <w:szCs w:val="22"/>
        </w:rPr>
      </w:pPr>
      <w:r w:rsidRPr="00AC4DA1">
        <w:rPr>
          <w:sz w:val="22"/>
          <w:szCs w:val="22"/>
        </w:rPr>
        <w:t>Les organisations de personnes atteintes d’albinisme réunies au sein de la</w:t>
      </w:r>
      <w:r w:rsidR="009C7FE6" w:rsidRPr="00AC4DA1">
        <w:rPr>
          <w:sz w:val="22"/>
          <w:szCs w:val="22"/>
        </w:rPr>
        <w:t xml:space="preserve"> Coalition des Organisations de Personnes atteintes d’Albinisme</w:t>
      </w:r>
      <w:r w:rsidRPr="00AC4DA1">
        <w:rPr>
          <w:sz w:val="22"/>
          <w:szCs w:val="22"/>
        </w:rPr>
        <w:t xml:space="preserve"> </w:t>
      </w:r>
      <w:r w:rsidR="009C7FE6" w:rsidRPr="00AC4DA1">
        <w:rPr>
          <w:sz w:val="22"/>
          <w:szCs w:val="22"/>
        </w:rPr>
        <w:t>(</w:t>
      </w:r>
      <w:r w:rsidRPr="00AC4DA1">
        <w:rPr>
          <w:sz w:val="22"/>
          <w:szCs w:val="22"/>
        </w:rPr>
        <w:t>CORPA</w:t>
      </w:r>
      <w:r w:rsidR="009C7FE6" w:rsidRPr="00AC4DA1">
        <w:rPr>
          <w:sz w:val="22"/>
          <w:szCs w:val="22"/>
        </w:rPr>
        <w:t>)</w:t>
      </w:r>
      <w:r w:rsidRPr="00AC4DA1">
        <w:rPr>
          <w:sz w:val="22"/>
          <w:szCs w:val="22"/>
        </w:rPr>
        <w:t xml:space="preserve">, en commun accord avec le Premier </w:t>
      </w:r>
      <w:r w:rsidRPr="00AC4DA1">
        <w:rPr>
          <w:sz w:val="22"/>
          <w:szCs w:val="22"/>
        </w:rPr>
        <w:lastRenderedPageBreak/>
        <w:t>Ministre de la Transition ont élaboré un Mémorandum sur l’inclusion socio-économique des Personnes atteintes d’albinisme du Mali.</w:t>
      </w:r>
    </w:p>
    <w:p w14:paraId="6EDA9B08" w14:textId="77777777" w:rsidR="0027435A" w:rsidRPr="00AC4DA1" w:rsidRDefault="0027435A" w:rsidP="003456F1">
      <w:pPr>
        <w:spacing w:line="276" w:lineRule="auto"/>
        <w:jc w:val="both"/>
        <w:rPr>
          <w:sz w:val="22"/>
          <w:szCs w:val="22"/>
        </w:rPr>
      </w:pPr>
    </w:p>
    <w:p w14:paraId="7F355859" w14:textId="0B3219EA" w:rsidR="0027435A" w:rsidRPr="00AC4DA1" w:rsidRDefault="0027435A" w:rsidP="003456F1">
      <w:pPr>
        <w:spacing w:line="276" w:lineRule="auto"/>
        <w:jc w:val="both"/>
        <w:rPr>
          <w:sz w:val="22"/>
          <w:szCs w:val="22"/>
        </w:rPr>
      </w:pPr>
      <w:r w:rsidRPr="00AC4DA1">
        <w:rPr>
          <w:sz w:val="22"/>
          <w:szCs w:val="22"/>
        </w:rPr>
        <w:t>La CORPA déclare qu’il n’y a jamais en République du Mali eut un jugement, ni condamnation d’auteurs et commanditaires des assassinats perpétrés à l’encontre des personnes atteintes d’albinisme.</w:t>
      </w:r>
    </w:p>
    <w:p w14:paraId="33C44259" w14:textId="77777777" w:rsidR="001F3CAA" w:rsidRPr="00AC4DA1" w:rsidRDefault="001F3CAA" w:rsidP="001F3CAA">
      <w:pPr>
        <w:tabs>
          <w:tab w:val="left" w:pos="690"/>
        </w:tabs>
        <w:spacing w:line="276" w:lineRule="auto"/>
        <w:ind w:right="20"/>
        <w:rPr>
          <w:rFonts w:eastAsia="Arial"/>
          <w:sz w:val="22"/>
          <w:szCs w:val="22"/>
        </w:rPr>
      </w:pPr>
    </w:p>
    <w:p w14:paraId="78F7B621" w14:textId="76C60F8D" w:rsidR="001F3CAA" w:rsidRPr="00AC4DA1" w:rsidRDefault="001F3CAA" w:rsidP="001F3CAA">
      <w:pPr>
        <w:tabs>
          <w:tab w:val="left" w:pos="690"/>
        </w:tabs>
        <w:spacing w:line="276" w:lineRule="auto"/>
        <w:ind w:right="20"/>
        <w:jc w:val="both"/>
        <w:rPr>
          <w:rFonts w:eastAsia="Symbol"/>
          <w:sz w:val="22"/>
          <w:szCs w:val="22"/>
        </w:rPr>
      </w:pPr>
      <w:r w:rsidRPr="00AC4DA1">
        <w:rPr>
          <w:rFonts w:eastAsia="Arial"/>
          <w:sz w:val="22"/>
          <w:szCs w:val="22"/>
        </w:rPr>
        <w:t>Le principe du respect de la différence des personnes handicapées et leur acceptation comme faisant parti de la diversité humaine, l’égalité et la non-discrimination, le respect de l’intégrité de la personnes handicapées et l’inclusion socioéconomique des personnes handicapées et leur autonomie de vie devraient justifier la prise de mesures par l’état pour luter contre les stéréotypes sur la qualité de vie des personnes handicapées</w:t>
      </w:r>
    </w:p>
    <w:p w14:paraId="070224E3" w14:textId="027E6327" w:rsidR="003456F1" w:rsidRPr="00AC4DA1" w:rsidRDefault="003456F1" w:rsidP="00547A66">
      <w:pPr>
        <w:pStyle w:val="Heading1"/>
        <w:rPr>
          <w:rFonts w:ascii="Times New Roman" w:hAnsi="Times New Roman"/>
          <w:sz w:val="22"/>
          <w:szCs w:val="22"/>
        </w:rPr>
      </w:pPr>
      <w:bookmarkStart w:id="37" w:name="_Toc128647515"/>
      <w:r w:rsidRPr="00AC4DA1">
        <w:rPr>
          <w:rFonts w:ascii="Times New Roman" w:hAnsi="Times New Roman"/>
          <w:sz w:val="22"/>
          <w:szCs w:val="22"/>
        </w:rPr>
        <w:t>Article 11</w:t>
      </w:r>
      <w:r w:rsidRPr="00AC4DA1">
        <w:rPr>
          <w:rFonts w:ascii="Times New Roman" w:hAnsi="Times New Roman"/>
          <w:sz w:val="22"/>
          <w:szCs w:val="22"/>
          <w:u w:val="single"/>
        </w:rPr>
        <w:t> </w:t>
      </w:r>
      <w:r w:rsidRPr="00AC4DA1">
        <w:rPr>
          <w:rFonts w:ascii="Times New Roman" w:hAnsi="Times New Roman"/>
          <w:sz w:val="22"/>
          <w:szCs w:val="22"/>
        </w:rPr>
        <w:t>: Situation de risque et situation d’urgence humanitaire</w:t>
      </w:r>
      <w:bookmarkEnd w:id="37"/>
      <w:r w:rsidRPr="00AC4DA1">
        <w:rPr>
          <w:rFonts w:ascii="Times New Roman" w:hAnsi="Times New Roman"/>
          <w:sz w:val="22"/>
          <w:szCs w:val="22"/>
        </w:rPr>
        <w:t xml:space="preserve"> </w:t>
      </w:r>
    </w:p>
    <w:p w14:paraId="268A4080" w14:textId="11D48E17" w:rsidR="00543D7C" w:rsidRPr="00AC4DA1" w:rsidRDefault="00543D7C" w:rsidP="00E56471">
      <w:pPr>
        <w:spacing w:line="276" w:lineRule="auto"/>
        <w:jc w:val="both"/>
        <w:rPr>
          <w:sz w:val="22"/>
          <w:szCs w:val="22"/>
        </w:rPr>
      </w:pPr>
      <w:r w:rsidRPr="00AC4DA1">
        <w:rPr>
          <w:sz w:val="22"/>
          <w:szCs w:val="22"/>
        </w:rPr>
        <w:t>La loi 2018-027 relative aux droits des personnes vivant avec un handicap dispose en son article 5 que Les personnes vivant avec un handicap bénéficient d’une protection particulière de l’Etat, des Collectivités territoriales, des familles et des autres personnes morales, publiques et privées.</w:t>
      </w:r>
    </w:p>
    <w:p w14:paraId="09A0FAEA" w14:textId="1893BDF9" w:rsidR="009C7FE6" w:rsidRPr="00AC4DA1" w:rsidRDefault="00543D7C" w:rsidP="00E56471">
      <w:pPr>
        <w:spacing w:line="276" w:lineRule="auto"/>
        <w:jc w:val="both"/>
        <w:rPr>
          <w:sz w:val="22"/>
          <w:szCs w:val="22"/>
        </w:rPr>
      </w:pPr>
      <w:r w:rsidRPr="00AC4DA1">
        <w:rPr>
          <w:sz w:val="22"/>
          <w:szCs w:val="22"/>
        </w:rPr>
        <w:t>L’Etat assure la protection et la sécurité des personnes vivant avec un handicap dans les situations de risques, de conflits, de crises humanitaires et de catastrophes.</w:t>
      </w:r>
    </w:p>
    <w:p w14:paraId="76EBBF70" w14:textId="77777777" w:rsidR="0081498B" w:rsidRPr="00AC4DA1" w:rsidRDefault="0081498B" w:rsidP="00E56471">
      <w:pPr>
        <w:spacing w:line="276" w:lineRule="auto"/>
        <w:jc w:val="both"/>
        <w:rPr>
          <w:sz w:val="22"/>
          <w:szCs w:val="22"/>
        </w:rPr>
      </w:pPr>
    </w:p>
    <w:p w14:paraId="38195E16" w14:textId="4D1C1E8D" w:rsidR="003456F1" w:rsidRPr="00AC4DA1" w:rsidRDefault="009C7FE6" w:rsidP="006116D0">
      <w:pPr>
        <w:spacing w:line="276" w:lineRule="auto"/>
        <w:jc w:val="both"/>
        <w:rPr>
          <w:sz w:val="22"/>
          <w:szCs w:val="22"/>
        </w:rPr>
      </w:pPr>
      <w:r w:rsidRPr="00AC4DA1">
        <w:rPr>
          <w:rFonts w:eastAsia="Arial"/>
          <w:sz w:val="22"/>
          <w:szCs w:val="22"/>
        </w:rPr>
        <w:t>Selon la FEMAPH, l</w:t>
      </w:r>
      <w:r w:rsidR="003456F1" w:rsidRPr="00AC4DA1">
        <w:rPr>
          <w:rFonts w:eastAsia="Arial"/>
          <w:sz w:val="22"/>
          <w:szCs w:val="22"/>
        </w:rPr>
        <w:t>es personnes handicapées sont souvent négligées dans les situations d'urgence humanitaire, tant celles causées par l'homme (tels que les conflits armés) que les catastrophes naturelles</w:t>
      </w:r>
      <w:r w:rsidR="003456F1" w:rsidRPr="00AC4DA1">
        <w:rPr>
          <w:sz w:val="22"/>
          <w:szCs w:val="22"/>
        </w:rPr>
        <w:t>.</w:t>
      </w:r>
    </w:p>
    <w:p w14:paraId="4ACCF298" w14:textId="77777777" w:rsidR="0081498B" w:rsidRPr="00AC4DA1" w:rsidRDefault="0081498B" w:rsidP="006116D0">
      <w:pPr>
        <w:spacing w:line="276" w:lineRule="auto"/>
        <w:jc w:val="both"/>
        <w:rPr>
          <w:sz w:val="22"/>
          <w:szCs w:val="22"/>
        </w:rPr>
      </w:pPr>
    </w:p>
    <w:p w14:paraId="37DF4269" w14:textId="33839639" w:rsidR="00742A5D" w:rsidRPr="00AC4DA1" w:rsidRDefault="0081498B" w:rsidP="006116D0">
      <w:pPr>
        <w:spacing w:line="276" w:lineRule="auto"/>
        <w:jc w:val="both"/>
        <w:rPr>
          <w:sz w:val="22"/>
          <w:szCs w:val="22"/>
        </w:rPr>
      </w:pPr>
      <w:r w:rsidRPr="00AC4DA1">
        <w:rPr>
          <w:sz w:val="22"/>
          <w:szCs w:val="22"/>
        </w:rPr>
        <w:t>Il y’a un besoin criard de renforcement de capacité des acteurs de l’humanitaire sur le secours d’urgence inclusif.</w:t>
      </w:r>
    </w:p>
    <w:p w14:paraId="3447F6CB" w14:textId="77777777" w:rsidR="009C7FE6" w:rsidRPr="00AC4DA1" w:rsidRDefault="009C7FE6" w:rsidP="009C7FE6">
      <w:pPr>
        <w:tabs>
          <w:tab w:val="left" w:pos="342"/>
        </w:tabs>
        <w:spacing w:line="276" w:lineRule="auto"/>
        <w:ind w:right="20"/>
        <w:jc w:val="both"/>
        <w:rPr>
          <w:sz w:val="22"/>
          <w:szCs w:val="22"/>
        </w:rPr>
      </w:pPr>
    </w:p>
    <w:p w14:paraId="3219A2A6" w14:textId="6AEBD255" w:rsidR="009C7FE6" w:rsidRPr="00AC4DA1" w:rsidRDefault="009C7FE6" w:rsidP="009C7FE6">
      <w:pPr>
        <w:tabs>
          <w:tab w:val="left" w:pos="342"/>
        </w:tabs>
        <w:spacing w:line="276" w:lineRule="auto"/>
        <w:ind w:right="20"/>
        <w:jc w:val="both"/>
        <w:rPr>
          <w:rFonts w:eastAsia="Arial"/>
          <w:sz w:val="22"/>
          <w:szCs w:val="22"/>
        </w:rPr>
      </w:pPr>
      <w:r w:rsidRPr="00AC4DA1">
        <w:rPr>
          <w:rFonts w:eastAsia="Arial"/>
          <w:sz w:val="22"/>
          <w:szCs w:val="22"/>
        </w:rPr>
        <w:lastRenderedPageBreak/>
        <w:t>La crise sécuritaire que vit le Mali au nord et au centre depuis 2012 a créé</w:t>
      </w:r>
      <w:r w:rsidR="003456F1" w:rsidRPr="00AC4DA1">
        <w:rPr>
          <w:rFonts w:eastAsia="Arial"/>
          <w:sz w:val="22"/>
          <w:szCs w:val="22"/>
        </w:rPr>
        <w:t xml:space="preserve"> une situation d'urgence humanitaire</w:t>
      </w:r>
      <w:r w:rsidRPr="00AC4DA1">
        <w:rPr>
          <w:rFonts w:eastAsia="Arial"/>
          <w:sz w:val="22"/>
          <w:szCs w:val="22"/>
        </w:rPr>
        <w:t xml:space="preserve"> qui par conséquence est à l’origine de la création des camps de déplacés interne et de refugier. </w:t>
      </w:r>
    </w:p>
    <w:p w14:paraId="73F0F459" w14:textId="77777777" w:rsidR="00B7459F" w:rsidRPr="00AC4DA1" w:rsidRDefault="00B7459F" w:rsidP="009C7FE6">
      <w:pPr>
        <w:tabs>
          <w:tab w:val="left" w:pos="342"/>
        </w:tabs>
        <w:spacing w:line="276" w:lineRule="auto"/>
        <w:ind w:right="20"/>
        <w:jc w:val="both"/>
        <w:rPr>
          <w:rFonts w:eastAsia="Arial"/>
          <w:sz w:val="22"/>
          <w:szCs w:val="22"/>
        </w:rPr>
      </w:pPr>
    </w:p>
    <w:p w14:paraId="291962D1" w14:textId="12E2C7DC" w:rsidR="003456F1" w:rsidRPr="00AC4DA1" w:rsidRDefault="009C7FE6" w:rsidP="009C7FE6">
      <w:pPr>
        <w:tabs>
          <w:tab w:val="left" w:pos="342"/>
        </w:tabs>
        <w:spacing w:line="276" w:lineRule="auto"/>
        <w:ind w:right="20"/>
        <w:jc w:val="both"/>
        <w:rPr>
          <w:rFonts w:eastAsia="Arial"/>
          <w:sz w:val="22"/>
          <w:szCs w:val="22"/>
        </w:rPr>
      </w:pPr>
      <w:r w:rsidRPr="00AC4DA1">
        <w:rPr>
          <w:rFonts w:eastAsia="Arial"/>
          <w:sz w:val="22"/>
          <w:szCs w:val="22"/>
        </w:rPr>
        <w:t>La prise en compte d</w:t>
      </w:r>
      <w:r w:rsidR="003456F1" w:rsidRPr="00AC4DA1">
        <w:rPr>
          <w:rFonts w:eastAsia="Arial"/>
          <w:sz w:val="22"/>
          <w:szCs w:val="22"/>
        </w:rPr>
        <w:t xml:space="preserve">es droits des personnes handicapées </w:t>
      </w:r>
      <w:r w:rsidR="004B6F55" w:rsidRPr="00AC4DA1">
        <w:rPr>
          <w:rFonts w:eastAsia="Arial"/>
          <w:sz w:val="22"/>
          <w:szCs w:val="22"/>
        </w:rPr>
        <w:t xml:space="preserve">non répertoriées, </w:t>
      </w:r>
      <w:r w:rsidR="003456F1" w:rsidRPr="00AC4DA1">
        <w:rPr>
          <w:rFonts w:eastAsia="Arial"/>
          <w:sz w:val="22"/>
          <w:szCs w:val="22"/>
        </w:rPr>
        <w:t xml:space="preserve">sont confrontées à cette situation (réfugiés, personnes déplacées) </w:t>
      </w:r>
      <w:r w:rsidR="004B6F55" w:rsidRPr="00AC4DA1">
        <w:rPr>
          <w:rFonts w:eastAsia="Arial"/>
          <w:sz w:val="22"/>
          <w:szCs w:val="22"/>
        </w:rPr>
        <w:t xml:space="preserve">cela </w:t>
      </w:r>
      <w:r w:rsidRPr="00AC4DA1">
        <w:rPr>
          <w:rFonts w:eastAsia="Arial"/>
          <w:sz w:val="22"/>
          <w:szCs w:val="22"/>
        </w:rPr>
        <w:t>n’a pas fait l’objet d’une consultation de la FEMAPH et les réponses nationales à cette situation n’intègrent pas de mesures spécifiques concernant le handicap.</w:t>
      </w:r>
    </w:p>
    <w:p w14:paraId="17EAB886" w14:textId="77777777" w:rsidR="00DF4E94" w:rsidRPr="00AC4DA1" w:rsidRDefault="00DF4E94" w:rsidP="00B7459F">
      <w:pPr>
        <w:tabs>
          <w:tab w:val="left" w:pos="342"/>
        </w:tabs>
        <w:spacing w:line="276" w:lineRule="auto"/>
        <w:ind w:right="60"/>
        <w:jc w:val="both"/>
        <w:rPr>
          <w:rFonts w:eastAsia="Symbol"/>
          <w:sz w:val="22"/>
          <w:szCs w:val="22"/>
        </w:rPr>
      </w:pPr>
    </w:p>
    <w:p w14:paraId="446D957A" w14:textId="4ACD6CA1" w:rsidR="00B7459F" w:rsidRPr="00AC4DA1" w:rsidRDefault="00DF4E94" w:rsidP="00B7459F">
      <w:pPr>
        <w:tabs>
          <w:tab w:val="left" w:pos="342"/>
        </w:tabs>
        <w:spacing w:line="276" w:lineRule="auto"/>
        <w:ind w:right="60"/>
        <w:jc w:val="both"/>
        <w:rPr>
          <w:rFonts w:eastAsia="Symbol"/>
          <w:sz w:val="22"/>
          <w:szCs w:val="22"/>
        </w:rPr>
      </w:pPr>
      <w:r w:rsidRPr="00AC4DA1">
        <w:rPr>
          <w:rFonts w:eastAsia="Symbol"/>
          <w:sz w:val="22"/>
          <w:szCs w:val="22"/>
        </w:rPr>
        <w:t>Quelles sont les mesures adoptées par l’Etat pour la prise en compte des personnes handicapées dans les situations d’urgence humanitaire ?</w:t>
      </w:r>
    </w:p>
    <w:p w14:paraId="7EC06D25" w14:textId="77777777" w:rsidR="00DF4E94" w:rsidRPr="00AC4DA1" w:rsidRDefault="00DF4E94" w:rsidP="00B7459F">
      <w:pPr>
        <w:tabs>
          <w:tab w:val="left" w:pos="342"/>
        </w:tabs>
        <w:spacing w:line="276" w:lineRule="auto"/>
        <w:ind w:right="60"/>
        <w:jc w:val="both"/>
        <w:rPr>
          <w:rFonts w:eastAsia="Arial"/>
          <w:sz w:val="22"/>
          <w:szCs w:val="22"/>
        </w:rPr>
      </w:pPr>
    </w:p>
    <w:p w14:paraId="1C2BCD31" w14:textId="72C66C39" w:rsidR="003456F1" w:rsidRPr="00AC4DA1" w:rsidRDefault="003456F1" w:rsidP="00F5295E">
      <w:pPr>
        <w:tabs>
          <w:tab w:val="left" w:pos="342"/>
        </w:tabs>
        <w:spacing w:line="276" w:lineRule="auto"/>
        <w:ind w:right="60"/>
        <w:jc w:val="both"/>
        <w:rPr>
          <w:rFonts w:eastAsia="Symbol"/>
          <w:sz w:val="22"/>
          <w:szCs w:val="22"/>
        </w:rPr>
      </w:pPr>
      <w:r w:rsidRPr="00AC4DA1">
        <w:rPr>
          <w:rFonts w:eastAsia="Arial"/>
          <w:sz w:val="22"/>
          <w:szCs w:val="22"/>
        </w:rPr>
        <w:t>Les protocoles d'urgence</w:t>
      </w:r>
      <w:r w:rsidR="00B7459F" w:rsidRPr="00AC4DA1">
        <w:rPr>
          <w:rFonts w:eastAsia="Arial"/>
          <w:sz w:val="22"/>
          <w:szCs w:val="22"/>
        </w:rPr>
        <w:t xml:space="preserve"> du CICR et certaines ONG</w:t>
      </w:r>
      <w:r w:rsidRPr="00AC4DA1">
        <w:rPr>
          <w:rFonts w:eastAsia="Arial"/>
          <w:sz w:val="22"/>
          <w:szCs w:val="22"/>
        </w:rPr>
        <w:t xml:space="preserve"> prévoient des mesures pour s'assurer que les personnes handicapées ne soient pas victimes de discrimination ou exclues dans le cas d'une urgence humanitaire</w:t>
      </w:r>
      <w:r w:rsidR="00B7459F" w:rsidRPr="00AC4DA1">
        <w:rPr>
          <w:rFonts w:eastAsia="Arial"/>
          <w:sz w:val="22"/>
          <w:szCs w:val="22"/>
        </w:rPr>
        <w:t>.</w:t>
      </w:r>
    </w:p>
    <w:p w14:paraId="576B8852" w14:textId="7A5FFF1E" w:rsidR="003456F1" w:rsidRPr="00AC4DA1" w:rsidRDefault="003456F1" w:rsidP="00547A66">
      <w:pPr>
        <w:pStyle w:val="Heading1"/>
        <w:rPr>
          <w:rFonts w:ascii="Times New Roman" w:hAnsi="Times New Roman"/>
          <w:sz w:val="22"/>
          <w:szCs w:val="22"/>
        </w:rPr>
      </w:pPr>
      <w:bookmarkStart w:id="38" w:name="_Toc128647516"/>
      <w:r w:rsidRPr="00AC4DA1">
        <w:rPr>
          <w:rFonts w:ascii="Times New Roman" w:hAnsi="Times New Roman"/>
          <w:sz w:val="22"/>
          <w:szCs w:val="22"/>
        </w:rPr>
        <w:t>Article 12 : Reconnaissance de la personn</w:t>
      </w:r>
      <w:r w:rsidR="001D1AB8" w:rsidRPr="00AC4DA1">
        <w:rPr>
          <w:rFonts w:ascii="Times New Roman" w:hAnsi="Times New Roman"/>
          <w:sz w:val="22"/>
          <w:szCs w:val="22"/>
          <w:lang w:val="fr-FR"/>
        </w:rPr>
        <w:t xml:space="preserve">alité </w:t>
      </w:r>
      <w:r w:rsidRPr="00AC4DA1">
        <w:rPr>
          <w:rFonts w:ascii="Times New Roman" w:hAnsi="Times New Roman"/>
          <w:sz w:val="22"/>
          <w:szCs w:val="22"/>
        </w:rPr>
        <w:t>juridique dans les conditions d’égalité.</w:t>
      </w:r>
      <w:bookmarkEnd w:id="38"/>
    </w:p>
    <w:p w14:paraId="7BA14B96" w14:textId="48E43213" w:rsidR="003456F1" w:rsidRPr="00AC4DA1" w:rsidRDefault="001D1AB8" w:rsidP="00E56471">
      <w:pPr>
        <w:spacing w:line="276" w:lineRule="auto"/>
        <w:jc w:val="both"/>
        <w:rPr>
          <w:sz w:val="22"/>
          <w:szCs w:val="22"/>
        </w:rPr>
      </w:pPr>
      <w:r w:rsidRPr="00AC4DA1">
        <w:rPr>
          <w:b/>
          <w:sz w:val="22"/>
          <w:szCs w:val="22"/>
        </w:rPr>
        <w:t xml:space="preserve"> </w:t>
      </w:r>
      <w:r w:rsidRPr="00AC4DA1">
        <w:rPr>
          <w:sz w:val="22"/>
          <w:szCs w:val="22"/>
        </w:rPr>
        <w:t>L</w:t>
      </w:r>
      <w:r w:rsidR="00B7459F" w:rsidRPr="00AC4DA1">
        <w:rPr>
          <w:sz w:val="22"/>
          <w:szCs w:val="22"/>
        </w:rPr>
        <w:t>a Constitution du Mali en son article 2 dispose que : « tous les Maliens naissent et demeurent libres et égaux en droits et en devoirs ». En d’autres termes, elle garantit à toutes les personnes sans aucune discrimination tous les droits de l’homme, y compris la personnalité juridique. Elle consacre également le droit de propriété à toutes les personnes sans discrimination.</w:t>
      </w:r>
      <w:r w:rsidR="007E1676" w:rsidRPr="00AC4DA1">
        <w:rPr>
          <w:sz w:val="22"/>
          <w:szCs w:val="22"/>
        </w:rPr>
        <w:t> »</w:t>
      </w:r>
    </w:p>
    <w:p w14:paraId="7F962784" w14:textId="3E76FA33" w:rsidR="00B7459F" w:rsidRPr="00AC4DA1" w:rsidRDefault="00B7459F" w:rsidP="00E56471">
      <w:pPr>
        <w:spacing w:line="276" w:lineRule="auto"/>
        <w:jc w:val="both"/>
        <w:rPr>
          <w:sz w:val="22"/>
          <w:szCs w:val="22"/>
        </w:rPr>
      </w:pPr>
    </w:p>
    <w:p w14:paraId="7693A09F" w14:textId="4132B29B" w:rsidR="00604C9D" w:rsidRPr="00F5295E" w:rsidRDefault="00B7459F" w:rsidP="00F5295E">
      <w:pPr>
        <w:spacing w:line="276" w:lineRule="auto"/>
        <w:jc w:val="both"/>
        <w:rPr>
          <w:sz w:val="22"/>
          <w:szCs w:val="22"/>
        </w:rPr>
      </w:pPr>
      <w:r w:rsidRPr="00AC4DA1">
        <w:rPr>
          <w:sz w:val="22"/>
          <w:szCs w:val="22"/>
        </w:rPr>
        <w:t>Selon la FEMAPH, cet article devrait mentionner le handicap parmi les allégeances qui s’y trouvent notamment l’origine sociale, la couleur, la langue, la race, le sexe, la religion et l’opinion politique.</w:t>
      </w:r>
      <w:r w:rsidR="00F5295E">
        <w:rPr>
          <w:rStyle w:val="EndnoteReference"/>
          <w:sz w:val="22"/>
          <w:szCs w:val="22"/>
        </w:rPr>
        <w:endnoteReference w:id="3"/>
      </w:r>
    </w:p>
    <w:p w14:paraId="797A6638" w14:textId="1F55349F" w:rsidR="003456F1" w:rsidRPr="00AC4DA1" w:rsidRDefault="00C303FC" w:rsidP="00C303FC">
      <w:pPr>
        <w:tabs>
          <w:tab w:val="left" w:pos="700"/>
        </w:tabs>
        <w:spacing w:line="276" w:lineRule="auto"/>
        <w:ind w:right="260"/>
        <w:rPr>
          <w:rFonts w:eastAsia="Arial"/>
          <w:sz w:val="22"/>
          <w:szCs w:val="22"/>
        </w:rPr>
      </w:pPr>
      <w:r w:rsidRPr="00AC4DA1">
        <w:rPr>
          <w:rFonts w:eastAsia="Symbol"/>
          <w:sz w:val="22"/>
          <w:szCs w:val="22"/>
        </w:rPr>
        <w:t>L’ensemble de ces dispositions renforce l</w:t>
      </w:r>
      <w:r w:rsidR="003456F1" w:rsidRPr="00AC4DA1">
        <w:rPr>
          <w:rFonts w:eastAsia="Arial"/>
          <w:sz w:val="22"/>
          <w:szCs w:val="22"/>
        </w:rPr>
        <w:t xml:space="preserve">a tutelle </w:t>
      </w:r>
      <w:r w:rsidRPr="00AC4DA1">
        <w:rPr>
          <w:rFonts w:eastAsia="Arial"/>
          <w:sz w:val="22"/>
          <w:szCs w:val="22"/>
        </w:rPr>
        <w:t>des personnes handicapées intellectuels et psychosocial</w:t>
      </w:r>
      <w:r w:rsidR="003456F1" w:rsidRPr="00AC4DA1">
        <w:rPr>
          <w:rFonts w:eastAsia="Arial"/>
          <w:sz w:val="22"/>
          <w:szCs w:val="22"/>
        </w:rPr>
        <w:t xml:space="preserve"> </w:t>
      </w:r>
      <w:r w:rsidRPr="00AC4DA1">
        <w:rPr>
          <w:rFonts w:eastAsia="Arial"/>
          <w:sz w:val="22"/>
          <w:szCs w:val="22"/>
        </w:rPr>
        <w:t>en les privant</w:t>
      </w:r>
      <w:r w:rsidR="003456F1" w:rsidRPr="00AC4DA1">
        <w:rPr>
          <w:rFonts w:eastAsia="Arial"/>
          <w:sz w:val="22"/>
          <w:szCs w:val="22"/>
        </w:rPr>
        <w:t xml:space="preserve"> de</w:t>
      </w:r>
      <w:r w:rsidRPr="00AC4DA1">
        <w:rPr>
          <w:rFonts w:eastAsia="Arial"/>
          <w:sz w:val="22"/>
          <w:szCs w:val="22"/>
        </w:rPr>
        <w:t xml:space="preserve"> la prise</w:t>
      </w:r>
      <w:r w:rsidR="003456F1" w:rsidRPr="00AC4DA1">
        <w:rPr>
          <w:rFonts w:eastAsia="Arial"/>
          <w:sz w:val="22"/>
          <w:szCs w:val="22"/>
        </w:rPr>
        <w:t xml:space="preserve"> de </w:t>
      </w:r>
      <w:r w:rsidRPr="00AC4DA1">
        <w:rPr>
          <w:rFonts w:eastAsia="Arial"/>
          <w:sz w:val="22"/>
          <w:szCs w:val="22"/>
        </w:rPr>
        <w:t>décision.</w:t>
      </w:r>
      <w:r w:rsidR="003456F1" w:rsidRPr="00AC4DA1">
        <w:rPr>
          <w:rFonts w:eastAsia="Arial"/>
          <w:sz w:val="22"/>
          <w:szCs w:val="22"/>
        </w:rPr>
        <w:t xml:space="preserve"> </w:t>
      </w:r>
    </w:p>
    <w:p w14:paraId="22D07D86" w14:textId="77777777" w:rsidR="009B411A" w:rsidRPr="00AC4DA1" w:rsidRDefault="009B411A" w:rsidP="00C303FC">
      <w:pPr>
        <w:tabs>
          <w:tab w:val="left" w:pos="700"/>
        </w:tabs>
        <w:spacing w:line="276" w:lineRule="auto"/>
        <w:ind w:right="260"/>
        <w:rPr>
          <w:rFonts w:eastAsia="Symbol"/>
          <w:sz w:val="22"/>
          <w:szCs w:val="22"/>
        </w:rPr>
      </w:pPr>
    </w:p>
    <w:p w14:paraId="67B07A7D" w14:textId="7F8E7BC9" w:rsidR="003456F1" w:rsidRPr="00AC4DA1" w:rsidRDefault="00C303FC" w:rsidP="009B411A">
      <w:pPr>
        <w:spacing w:line="276" w:lineRule="auto"/>
        <w:jc w:val="both"/>
        <w:rPr>
          <w:rFonts w:eastAsia="Symbol"/>
          <w:sz w:val="22"/>
          <w:szCs w:val="22"/>
        </w:rPr>
      </w:pPr>
      <w:r w:rsidRPr="00AC4DA1">
        <w:rPr>
          <w:rFonts w:eastAsia="Symbol"/>
          <w:sz w:val="22"/>
          <w:szCs w:val="22"/>
        </w:rPr>
        <w:lastRenderedPageBreak/>
        <w:t xml:space="preserve">Cette loi datant de 1987 est </w:t>
      </w:r>
      <w:r w:rsidR="009D4A03" w:rsidRPr="00AC4DA1">
        <w:rPr>
          <w:rFonts w:eastAsia="Symbol"/>
          <w:sz w:val="22"/>
          <w:szCs w:val="22"/>
        </w:rPr>
        <w:t>antérieure</w:t>
      </w:r>
      <w:r w:rsidRPr="00AC4DA1">
        <w:rPr>
          <w:rFonts w:eastAsia="Symbol"/>
          <w:sz w:val="22"/>
          <w:szCs w:val="22"/>
        </w:rPr>
        <w:t xml:space="preserve"> à la ratification de la CDPH donc de l’homme droit de l’homme du handicap qui met un accent</w:t>
      </w:r>
      <w:r w:rsidR="009B411A" w:rsidRPr="00AC4DA1">
        <w:rPr>
          <w:rFonts w:eastAsia="Symbol"/>
          <w:sz w:val="22"/>
          <w:szCs w:val="22"/>
        </w:rPr>
        <w:t xml:space="preserve"> particulier sur la reconnaissance de la personnalité et la capacité juridique des personnes handicapées.</w:t>
      </w:r>
    </w:p>
    <w:p w14:paraId="0DD03E7D" w14:textId="77777777" w:rsidR="009B411A" w:rsidRPr="00AC4DA1" w:rsidRDefault="009B411A" w:rsidP="009B411A">
      <w:pPr>
        <w:spacing w:line="276" w:lineRule="auto"/>
        <w:jc w:val="both"/>
        <w:rPr>
          <w:rFonts w:eastAsia="Symbol"/>
          <w:sz w:val="22"/>
          <w:szCs w:val="22"/>
        </w:rPr>
      </w:pPr>
    </w:p>
    <w:p w14:paraId="7ADF8AEF" w14:textId="63BA28C7" w:rsidR="003456F1" w:rsidRPr="00F5295E" w:rsidRDefault="009B411A" w:rsidP="00F5295E">
      <w:pPr>
        <w:spacing w:line="276" w:lineRule="auto"/>
        <w:jc w:val="both"/>
        <w:rPr>
          <w:rFonts w:eastAsia="Arial"/>
          <w:sz w:val="22"/>
          <w:szCs w:val="22"/>
        </w:rPr>
      </w:pPr>
      <w:r w:rsidRPr="00AC4DA1">
        <w:rPr>
          <w:rFonts w:eastAsia="Symbol"/>
          <w:sz w:val="22"/>
          <w:szCs w:val="22"/>
        </w:rPr>
        <w:t xml:space="preserve">A défaut de l’existence de mesures de révision systématiques des législations après la ratification de la CDPH, la prochaine révision de cette devrait intégrer des mesures pouvant </w:t>
      </w:r>
      <w:r w:rsidRPr="00AC4DA1">
        <w:rPr>
          <w:rFonts w:eastAsia="Arial"/>
          <w:sz w:val="22"/>
          <w:szCs w:val="22"/>
        </w:rPr>
        <w:t>assurer la reconnaissance de la capacité juridique des personnes handicapées comme étant égale à celle des autres, et pour assurer un accompagnement pour exercer cette capacité, sous réserve de la volonté et des préférences de la personne ; empêcher les personnes handicapées d'être abusées par des tuteurs qui prétendent aider une personne handicapée à concevoir et prendre une décision personnelle, mais qui, en réalité</w:t>
      </w:r>
      <w:r w:rsidRPr="00AC4DA1">
        <w:rPr>
          <w:sz w:val="22"/>
          <w:szCs w:val="22"/>
        </w:rPr>
        <w:t>,</w:t>
      </w:r>
      <w:r w:rsidRPr="00AC4DA1">
        <w:rPr>
          <w:rFonts w:eastAsia="Arial"/>
          <w:sz w:val="22"/>
          <w:szCs w:val="22"/>
        </w:rPr>
        <w:t xml:space="preserve"> transmettent une décision incorrecte ou manipulée ; lever toute restriction auxquelles l</w:t>
      </w:r>
      <w:r w:rsidR="003456F1" w:rsidRPr="00AC4DA1">
        <w:rPr>
          <w:rFonts w:eastAsia="Arial"/>
          <w:sz w:val="22"/>
          <w:szCs w:val="22"/>
        </w:rPr>
        <w:t>es personnes handicapées sont</w:t>
      </w:r>
      <w:r w:rsidRPr="00AC4DA1">
        <w:rPr>
          <w:rFonts w:eastAsia="Arial"/>
          <w:sz w:val="22"/>
          <w:szCs w:val="22"/>
        </w:rPr>
        <w:t xml:space="preserve"> </w:t>
      </w:r>
      <w:r w:rsidR="003456F1" w:rsidRPr="00AC4DA1">
        <w:rPr>
          <w:rFonts w:eastAsia="Arial"/>
          <w:sz w:val="22"/>
          <w:szCs w:val="22"/>
        </w:rPr>
        <w:t>confrontées à pour signer un contrat, obtenir un prêt hypothécaire ou pour d' autres transactions financières et juridiques</w:t>
      </w:r>
      <w:r w:rsidRPr="00AC4DA1">
        <w:rPr>
          <w:rFonts w:eastAsia="Arial"/>
          <w:sz w:val="22"/>
          <w:szCs w:val="22"/>
        </w:rPr>
        <w:t>.</w:t>
      </w:r>
      <w:r w:rsidR="00F5295E">
        <w:rPr>
          <w:rStyle w:val="EndnoteReference"/>
          <w:rFonts w:eastAsia="Arial"/>
          <w:sz w:val="22"/>
          <w:szCs w:val="22"/>
        </w:rPr>
        <w:endnoteReference w:id="4"/>
      </w:r>
    </w:p>
    <w:p w14:paraId="7D58C49F" w14:textId="6D469970" w:rsidR="003456F1" w:rsidRPr="00AC4DA1" w:rsidRDefault="00F81B26" w:rsidP="00941CD0">
      <w:pPr>
        <w:tabs>
          <w:tab w:val="left" w:pos="688"/>
        </w:tabs>
        <w:spacing w:line="276" w:lineRule="auto"/>
        <w:ind w:right="60"/>
        <w:jc w:val="both"/>
        <w:rPr>
          <w:rFonts w:eastAsia="Symbol"/>
          <w:sz w:val="22"/>
          <w:szCs w:val="22"/>
        </w:rPr>
      </w:pPr>
      <w:r w:rsidRPr="00AC4DA1">
        <w:rPr>
          <w:rFonts w:eastAsia="Arial"/>
          <w:sz w:val="22"/>
          <w:szCs w:val="22"/>
        </w:rPr>
        <w:t xml:space="preserve">L’ensemble de ces dispositions garantissent aux personnes handicapées </w:t>
      </w:r>
      <w:r w:rsidR="003456F1" w:rsidRPr="00AC4DA1">
        <w:rPr>
          <w:rFonts w:eastAsia="Arial"/>
          <w:sz w:val="22"/>
          <w:szCs w:val="22"/>
        </w:rPr>
        <w:t xml:space="preserve"> la capacité juridique </w:t>
      </w:r>
      <w:r w:rsidRPr="00AC4DA1">
        <w:rPr>
          <w:rFonts w:eastAsia="Arial"/>
          <w:sz w:val="22"/>
          <w:szCs w:val="22"/>
        </w:rPr>
        <w:t xml:space="preserve">dans le domaine de l’accès à la santé y compris </w:t>
      </w:r>
      <w:r w:rsidR="003456F1" w:rsidRPr="00AC4DA1">
        <w:rPr>
          <w:rFonts w:eastAsia="Arial"/>
          <w:sz w:val="22"/>
          <w:szCs w:val="22"/>
        </w:rPr>
        <w:t xml:space="preserve"> la capacité d'accepter ou de refuser un traitement médical ou d'expérimentation scientifique</w:t>
      </w:r>
      <w:r w:rsidR="00941CD0" w:rsidRPr="00AC4DA1">
        <w:rPr>
          <w:rFonts w:eastAsia="Arial"/>
          <w:sz w:val="22"/>
          <w:szCs w:val="22"/>
        </w:rPr>
        <w:t> ; des mesures</w:t>
      </w:r>
      <w:r w:rsidR="003456F1" w:rsidRPr="00AC4DA1">
        <w:rPr>
          <w:rFonts w:eastAsia="Arial"/>
          <w:sz w:val="22"/>
          <w:szCs w:val="22"/>
        </w:rPr>
        <w:t xml:space="preserve"> pour garantir que la personne qui semble accepter un traitement médical a réellement donné son consentement libre et éclairé</w:t>
      </w:r>
      <w:r w:rsidR="00941CD0" w:rsidRPr="00AC4DA1">
        <w:rPr>
          <w:rFonts w:eastAsia="Arial"/>
          <w:sz w:val="22"/>
          <w:szCs w:val="22"/>
        </w:rPr>
        <w:t> et</w:t>
      </w:r>
      <w:r w:rsidR="00941CD0" w:rsidRPr="00AC4DA1">
        <w:rPr>
          <w:rFonts w:eastAsia="Symbol"/>
          <w:sz w:val="22"/>
          <w:szCs w:val="22"/>
        </w:rPr>
        <w:t xml:space="preserve"> des mesures </w:t>
      </w:r>
      <w:r w:rsidR="003456F1" w:rsidRPr="00AC4DA1">
        <w:rPr>
          <w:rFonts w:eastAsia="Arial"/>
          <w:sz w:val="22"/>
          <w:szCs w:val="22"/>
        </w:rPr>
        <w:t xml:space="preserve">qui permettent l’internement ou le traitement obligatoire fondé sur le constat que la personne est incapable de formuler un </w:t>
      </w:r>
      <w:r w:rsidR="00941CD0" w:rsidRPr="00AC4DA1">
        <w:rPr>
          <w:rFonts w:eastAsia="Arial"/>
          <w:sz w:val="22"/>
          <w:szCs w:val="22"/>
        </w:rPr>
        <w:t>consentement.</w:t>
      </w:r>
    </w:p>
    <w:p w14:paraId="517BFDFF" w14:textId="1B61AB88" w:rsidR="003456F1" w:rsidRPr="00AC4DA1" w:rsidRDefault="003456F1" w:rsidP="003456F1">
      <w:pPr>
        <w:spacing w:line="276" w:lineRule="auto"/>
        <w:rPr>
          <w:rFonts w:eastAsia="Symbol"/>
          <w:sz w:val="22"/>
          <w:szCs w:val="22"/>
        </w:rPr>
      </w:pPr>
    </w:p>
    <w:p w14:paraId="1CCC11C1" w14:textId="4DA96387" w:rsidR="003456F1" w:rsidRPr="00AC4DA1" w:rsidRDefault="003456F1" w:rsidP="00941CD0">
      <w:pPr>
        <w:tabs>
          <w:tab w:val="left" w:pos="688"/>
        </w:tabs>
        <w:spacing w:line="276" w:lineRule="auto"/>
        <w:ind w:right="60"/>
        <w:jc w:val="both"/>
        <w:rPr>
          <w:rFonts w:eastAsia="Arial"/>
          <w:sz w:val="22"/>
          <w:szCs w:val="22"/>
        </w:rPr>
      </w:pPr>
      <w:r w:rsidRPr="00AC4DA1">
        <w:rPr>
          <w:rFonts w:eastAsia="Arial"/>
          <w:sz w:val="22"/>
          <w:szCs w:val="22"/>
        </w:rPr>
        <w:t xml:space="preserve">Les </w:t>
      </w:r>
      <w:r w:rsidR="00CE7039" w:rsidRPr="00AC4DA1">
        <w:rPr>
          <w:rFonts w:eastAsia="Arial"/>
          <w:sz w:val="22"/>
          <w:szCs w:val="22"/>
        </w:rPr>
        <w:t>O</w:t>
      </w:r>
      <w:r w:rsidRPr="00AC4DA1">
        <w:rPr>
          <w:rFonts w:eastAsia="Arial"/>
          <w:sz w:val="22"/>
          <w:szCs w:val="22"/>
        </w:rPr>
        <w:t>rganisations représentant les personnes avec des déficiences intellectuelles et psychosociales</w:t>
      </w:r>
      <w:r w:rsidR="007D74FA" w:rsidRPr="00AC4DA1">
        <w:rPr>
          <w:rFonts w:eastAsia="Arial"/>
          <w:sz w:val="22"/>
          <w:szCs w:val="22"/>
        </w:rPr>
        <w:t xml:space="preserve"> </w:t>
      </w:r>
      <w:r w:rsidR="0094263D" w:rsidRPr="00AC4DA1">
        <w:rPr>
          <w:rFonts w:eastAsia="Arial"/>
          <w:sz w:val="22"/>
          <w:szCs w:val="22"/>
        </w:rPr>
        <w:t xml:space="preserve">ne </w:t>
      </w:r>
      <w:r w:rsidR="007D74FA" w:rsidRPr="00AC4DA1">
        <w:rPr>
          <w:rFonts w:eastAsia="Arial"/>
          <w:sz w:val="22"/>
          <w:szCs w:val="22"/>
        </w:rPr>
        <w:t>sont</w:t>
      </w:r>
      <w:r w:rsidRPr="00AC4DA1">
        <w:rPr>
          <w:rFonts w:eastAsia="Arial"/>
          <w:sz w:val="22"/>
          <w:szCs w:val="22"/>
        </w:rPr>
        <w:t xml:space="preserve"> </w:t>
      </w:r>
      <w:r w:rsidR="0094263D" w:rsidRPr="00AC4DA1">
        <w:rPr>
          <w:rFonts w:eastAsia="Arial"/>
          <w:sz w:val="22"/>
          <w:szCs w:val="22"/>
        </w:rPr>
        <w:t xml:space="preserve">pas </w:t>
      </w:r>
      <w:r w:rsidRPr="00AC4DA1">
        <w:rPr>
          <w:rFonts w:eastAsia="Arial"/>
          <w:sz w:val="22"/>
          <w:szCs w:val="22"/>
        </w:rPr>
        <w:t>impliquées dans la révision de</w:t>
      </w:r>
      <w:r w:rsidR="00941CD0" w:rsidRPr="00AC4DA1">
        <w:rPr>
          <w:rFonts w:eastAsia="Arial"/>
          <w:sz w:val="22"/>
          <w:szCs w:val="22"/>
        </w:rPr>
        <w:t>s</w:t>
      </w:r>
      <w:r w:rsidRPr="00AC4DA1">
        <w:rPr>
          <w:rFonts w:eastAsia="Arial"/>
          <w:sz w:val="22"/>
          <w:szCs w:val="22"/>
        </w:rPr>
        <w:t xml:space="preserve"> </w:t>
      </w:r>
      <w:r w:rsidR="00941CD0" w:rsidRPr="00AC4DA1">
        <w:rPr>
          <w:rFonts w:eastAsia="Arial"/>
          <w:sz w:val="22"/>
          <w:szCs w:val="22"/>
        </w:rPr>
        <w:t xml:space="preserve">législations concernant les domaines de la santé, de l’éducation, de l’emploi, </w:t>
      </w:r>
      <w:r w:rsidR="007D74FA" w:rsidRPr="00AC4DA1">
        <w:rPr>
          <w:rFonts w:eastAsia="Arial"/>
          <w:sz w:val="22"/>
          <w:szCs w:val="22"/>
        </w:rPr>
        <w:t>de la protection sociale</w:t>
      </w:r>
      <w:r w:rsidR="00941CD0" w:rsidRPr="00AC4DA1">
        <w:rPr>
          <w:rFonts w:eastAsia="Arial"/>
          <w:sz w:val="22"/>
          <w:szCs w:val="22"/>
        </w:rPr>
        <w:t xml:space="preserve">, </w:t>
      </w:r>
      <w:r w:rsidR="007D74FA" w:rsidRPr="00AC4DA1">
        <w:rPr>
          <w:rFonts w:eastAsia="Arial"/>
          <w:sz w:val="22"/>
          <w:szCs w:val="22"/>
        </w:rPr>
        <w:t>du sport</w:t>
      </w:r>
      <w:r w:rsidR="00941CD0" w:rsidRPr="00AC4DA1">
        <w:rPr>
          <w:rFonts w:eastAsia="Arial"/>
          <w:sz w:val="22"/>
          <w:szCs w:val="22"/>
        </w:rPr>
        <w:t xml:space="preserve"> et de la participation à la vie publique et politique </w:t>
      </w:r>
      <w:r w:rsidR="009D5AF3" w:rsidRPr="00AC4DA1">
        <w:rPr>
          <w:rFonts w:eastAsia="Arial"/>
          <w:sz w:val="22"/>
          <w:szCs w:val="22"/>
        </w:rPr>
        <w:t>précisément le processus électoral.</w:t>
      </w:r>
    </w:p>
    <w:p w14:paraId="62142177" w14:textId="77777777" w:rsidR="0094263D" w:rsidRPr="00AC4DA1" w:rsidRDefault="0094263D" w:rsidP="00941CD0">
      <w:pPr>
        <w:tabs>
          <w:tab w:val="left" w:pos="688"/>
        </w:tabs>
        <w:spacing w:line="276" w:lineRule="auto"/>
        <w:ind w:right="60"/>
        <w:jc w:val="both"/>
        <w:rPr>
          <w:rFonts w:eastAsia="Arial"/>
          <w:sz w:val="22"/>
          <w:szCs w:val="22"/>
        </w:rPr>
      </w:pPr>
    </w:p>
    <w:p w14:paraId="5A89080C" w14:textId="5CCEE35C" w:rsidR="0094263D" w:rsidRPr="00AC4DA1" w:rsidRDefault="0094263D" w:rsidP="00941CD0">
      <w:pPr>
        <w:tabs>
          <w:tab w:val="left" w:pos="688"/>
        </w:tabs>
        <w:spacing w:line="276" w:lineRule="auto"/>
        <w:ind w:right="60"/>
        <w:jc w:val="both"/>
        <w:rPr>
          <w:rFonts w:eastAsia="Arial"/>
          <w:b/>
          <w:bCs/>
          <w:sz w:val="22"/>
          <w:szCs w:val="22"/>
        </w:rPr>
      </w:pPr>
      <w:r w:rsidRPr="00AC4DA1">
        <w:rPr>
          <w:rFonts w:eastAsia="Arial"/>
          <w:b/>
          <w:bCs/>
          <w:sz w:val="22"/>
          <w:szCs w:val="22"/>
        </w:rPr>
        <w:t xml:space="preserve">La relecture de la </w:t>
      </w:r>
      <w:r w:rsidRPr="00AC4DA1">
        <w:rPr>
          <w:b/>
          <w:bCs/>
          <w:sz w:val="22"/>
          <w:szCs w:val="22"/>
        </w:rPr>
        <w:t>loi N°87-31/AN-RM du 29 AOUT 1987 portant Régime général des obligations pour prendre en compte la personnalité juridique de la personne handicapée.</w:t>
      </w:r>
    </w:p>
    <w:p w14:paraId="4533ECAE" w14:textId="22755E34" w:rsidR="003456F1" w:rsidRPr="00AC4DA1" w:rsidRDefault="003456F1" w:rsidP="00547A66">
      <w:pPr>
        <w:pStyle w:val="Heading1"/>
        <w:rPr>
          <w:rFonts w:ascii="Times New Roman" w:hAnsi="Times New Roman"/>
          <w:sz w:val="22"/>
          <w:szCs w:val="22"/>
        </w:rPr>
      </w:pPr>
      <w:bookmarkStart w:id="39" w:name="_Toc128647517"/>
      <w:r w:rsidRPr="00AC4DA1">
        <w:rPr>
          <w:rFonts w:ascii="Times New Roman" w:hAnsi="Times New Roman"/>
          <w:sz w:val="22"/>
          <w:szCs w:val="22"/>
        </w:rPr>
        <w:lastRenderedPageBreak/>
        <w:t>Article 13 : Accès à la justice</w:t>
      </w:r>
      <w:bookmarkEnd w:id="39"/>
    </w:p>
    <w:p w14:paraId="2AF57E28" w14:textId="27CF97D0" w:rsidR="003456F1" w:rsidRPr="00AC4DA1" w:rsidRDefault="005863B5" w:rsidP="007D74FA">
      <w:pPr>
        <w:spacing w:line="276" w:lineRule="auto"/>
        <w:ind w:right="20"/>
        <w:jc w:val="both"/>
        <w:rPr>
          <w:rFonts w:eastAsia="Arial"/>
          <w:sz w:val="22"/>
          <w:szCs w:val="22"/>
        </w:rPr>
      </w:pPr>
      <w:r w:rsidRPr="00AC4DA1">
        <w:rPr>
          <w:rFonts w:eastAsia="Arial"/>
          <w:sz w:val="22"/>
          <w:szCs w:val="22"/>
        </w:rPr>
        <w:t xml:space="preserve">Le rapport de l’état n’a pas traité de l’accès à la justice des personnes handicapées au Mali. </w:t>
      </w:r>
      <w:r w:rsidR="003456F1" w:rsidRPr="00AC4DA1">
        <w:rPr>
          <w:rFonts w:eastAsia="Arial"/>
          <w:sz w:val="22"/>
          <w:szCs w:val="22"/>
        </w:rPr>
        <w:t xml:space="preserve">Un accès effectif à la justice est un défi pour de nombreuses personnes, mais surtout pour les personnes handicapées. Différents types de barrières (juridique, physique, de communication) et l’absence de flexibilité de la justice pour fournir les aménagements </w:t>
      </w:r>
      <w:r w:rsidR="00835C95" w:rsidRPr="00AC4DA1">
        <w:rPr>
          <w:rFonts w:eastAsia="Arial"/>
          <w:sz w:val="22"/>
          <w:szCs w:val="22"/>
        </w:rPr>
        <w:t>raisonnables</w:t>
      </w:r>
      <w:r w:rsidR="003456F1" w:rsidRPr="00AC4DA1">
        <w:rPr>
          <w:rFonts w:eastAsia="Arial"/>
          <w:sz w:val="22"/>
          <w:szCs w:val="22"/>
        </w:rPr>
        <w:t xml:space="preserve">, en cas de besoin, conduisent souvent à l'exclusion des personnes handicapées d'un accès </w:t>
      </w:r>
      <w:r w:rsidR="007D74FA" w:rsidRPr="00AC4DA1">
        <w:rPr>
          <w:rFonts w:eastAsia="Arial"/>
          <w:sz w:val="22"/>
          <w:szCs w:val="22"/>
        </w:rPr>
        <w:t>effectif</w:t>
      </w:r>
      <w:r w:rsidR="003456F1" w:rsidRPr="00AC4DA1">
        <w:rPr>
          <w:rFonts w:eastAsia="Arial"/>
          <w:sz w:val="22"/>
          <w:szCs w:val="22"/>
        </w:rPr>
        <w:t xml:space="preserve"> à la justice.</w:t>
      </w:r>
    </w:p>
    <w:p w14:paraId="6944CD5B" w14:textId="77777777" w:rsidR="00527DCD" w:rsidRPr="00AC4DA1" w:rsidRDefault="00527DCD" w:rsidP="007D74FA">
      <w:pPr>
        <w:spacing w:line="276" w:lineRule="auto"/>
        <w:ind w:right="20"/>
        <w:jc w:val="both"/>
        <w:rPr>
          <w:rFonts w:eastAsia="Arial"/>
          <w:sz w:val="22"/>
          <w:szCs w:val="22"/>
        </w:rPr>
      </w:pPr>
    </w:p>
    <w:p w14:paraId="541C74C4" w14:textId="0F86F946" w:rsidR="005863B5" w:rsidRPr="00AC4DA1" w:rsidRDefault="005863B5" w:rsidP="005863B5">
      <w:pPr>
        <w:spacing w:line="276" w:lineRule="auto"/>
        <w:jc w:val="both"/>
        <w:rPr>
          <w:sz w:val="22"/>
          <w:szCs w:val="22"/>
        </w:rPr>
      </w:pPr>
      <w:r w:rsidRPr="00AC4DA1">
        <w:rPr>
          <w:sz w:val="22"/>
          <w:szCs w:val="22"/>
        </w:rPr>
        <w:t>Le code de procédure pénale et tout autre législations et règlements disposent de mesures générales. Il n’existe pas de mesures spécifiques concernant la levée de barrières juridiques favorisant la reconnaissance de la capacité juridique des personnes handicapées intellectuels et psychosociales.</w:t>
      </w:r>
    </w:p>
    <w:p w14:paraId="4815A468" w14:textId="77777777" w:rsidR="00527DCD" w:rsidRPr="00AC4DA1" w:rsidRDefault="00527DCD" w:rsidP="005863B5">
      <w:pPr>
        <w:spacing w:line="276" w:lineRule="auto"/>
        <w:jc w:val="both"/>
        <w:rPr>
          <w:sz w:val="22"/>
          <w:szCs w:val="22"/>
        </w:rPr>
      </w:pPr>
    </w:p>
    <w:p w14:paraId="54CF1874" w14:textId="11B3A8F8" w:rsidR="00527DCD" w:rsidRPr="00AC4DA1" w:rsidRDefault="00527DCD" w:rsidP="005863B5">
      <w:pPr>
        <w:spacing w:line="276" w:lineRule="auto"/>
        <w:jc w:val="both"/>
        <w:rPr>
          <w:sz w:val="22"/>
          <w:szCs w:val="22"/>
        </w:rPr>
      </w:pPr>
      <w:r w:rsidRPr="00AC4DA1">
        <w:rPr>
          <w:sz w:val="22"/>
          <w:szCs w:val="22"/>
        </w:rPr>
        <w:t xml:space="preserve">Malgré l’adoption des normes d’accessibilité des personnes handicapées aux bâtiments et édifices publics à travers La loi no 02-016 du 3 juin 2002 fixant les règles générales de l’Urbanisme en son article </w:t>
      </w:r>
      <w:r w:rsidR="00AF7E92" w:rsidRPr="00AC4DA1">
        <w:rPr>
          <w:sz w:val="22"/>
          <w:szCs w:val="22"/>
        </w:rPr>
        <w:t>54, les</w:t>
      </w:r>
      <w:r w:rsidRPr="00AC4DA1">
        <w:rPr>
          <w:sz w:val="22"/>
          <w:szCs w:val="22"/>
        </w:rPr>
        <w:t xml:space="preserve"> locaux abritant les administrations de la police, la gendarmerie et la justice ne sont pas accessibles aux personnes handicapées physiques.</w:t>
      </w:r>
    </w:p>
    <w:p w14:paraId="1CE7D238" w14:textId="04787515" w:rsidR="00527DCD" w:rsidRPr="00AC4DA1" w:rsidRDefault="00527DCD" w:rsidP="005863B5">
      <w:pPr>
        <w:spacing w:line="276" w:lineRule="auto"/>
        <w:jc w:val="both"/>
        <w:rPr>
          <w:sz w:val="22"/>
          <w:szCs w:val="22"/>
        </w:rPr>
      </w:pPr>
    </w:p>
    <w:p w14:paraId="1C30513A" w14:textId="3D159AC4" w:rsidR="00527DCD" w:rsidRPr="00AC4DA1" w:rsidRDefault="00527DCD" w:rsidP="005863B5">
      <w:pPr>
        <w:spacing w:line="276" w:lineRule="auto"/>
        <w:jc w:val="both"/>
        <w:rPr>
          <w:sz w:val="22"/>
          <w:szCs w:val="22"/>
        </w:rPr>
      </w:pPr>
      <w:r w:rsidRPr="00AC4DA1">
        <w:rPr>
          <w:sz w:val="22"/>
          <w:szCs w:val="22"/>
        </w:rPr>
        <w:t>L’accès à la justice au Mali ne garanti pas aux personnes handicapées auditives et intellectuelles des formats de communication adaptés à leurs incapacités au sens de l’article 21 de la CDPH.</w:t>
      </w:r>
    </w:p>
    <w:p w14:paraId="2155CF5F" w14:textId="77777777" w:rsidR="00527DCD" w:rsidRPr="00AC4DA1" w:rsidRDefault="00527DCD" w:rsidP="005863B5">
      <w:pPr>
        <w:spacing w:line="276" w:lineRule="auto"/>
        <w:jc w:val="both"/>
        <w:rPr>
          <w:sz w:val="22"/>
          <w:szCs w:val="22"/>
        </w:rPr>
      </w:pPr>
    </w:p>
    <w:p w14:paraId="26F59EAC" w14:textId="380F7963" w:rsidR="003456F1" w:rsidRPr="00AC4DA1" w:rsidRDefault="005863B5" w:rsidP="003456F1">
      <w:pPr>
        <w:spacing w:line="276" w:lineRule="auto"/>
        <w:rPr>
          <w:sz w:val="22"/>
          <w:szCs w:val="22"/>
        </w:rPr>
      </w:pPr>
      <w:r w:rsidRPr="00AC4DA1">
        <w:rPr>
          <w:sz w:val="22"/>
          <w:szCs w:val="22"/>
        </w:rPr>
        <w:t xml:space="preserve"> </w:t>
      </w:r>
      <w:r w:rsidR="00527DCD" w:rsidRPr="00AC4DA1">
        <w:rPr>
          <w:sz w:val="22"/>
          <w:szCs w:val="22"/>
        </w:rPr>
        <w:t xml:space="preserve">Bien vrais qu’il n’existe pas de législation garantissant l’aménagement </w:t>
      </w:r>
      <w:r w:rsidR="00B61573" w:rsidRPr="00AC4DA1">
        <w:rPr>
          <w:sz w:val="22"/>
          <w:szCs w:val="22"/>
        </w:rPr>
        <w:t>procéduraux</w:t>
      </w:r>
      <w:r w:rsidR="00527DCD" w:rsidRPr="00AC4DA1">
        <w:rPr>
          <w:sz w:val="22"/>
          <w:szCs w:val="22"/>
        </w:rPr>
        <w:t xml:space="preserve">, dans la pratique une grande majorité des agents de la justice accepte de procéder à des aménagements </w:t>
      </w:r>
      <w:r w:rsidR="00C25E68" w:rsidRPr="00AC4DA1">
        <w:rPr>
          <w:sz w:val="22"/>
          <w:szCs w:val="22"/>
        </w:rPr>
        <w:t>proc</w:t>
      </w:r>
      <w:r w:rsidR="00B61573" w:rsidRPr="00AC4DA1">
        <w:rPr>
          <w:sz w:val="22"/>
          <w:szCs w:val="22"/>
        </w:rPr>
        <w:t>é</w:t>
      </w:r>
      <w:r w:rsidR="00C25E68" w:rsidRPr="00AC4DA1">
        <w:rPr>
          <w:sz w:val="22"/>
          <w:szCs w:val="22"/>
        </w:rPr>
        <w:t xml:space="preserve">duraux </w:t>
      </w:r>
      <w:r w:rsidR="00527DCD" w:rsidRPr="00AC4DA1">
        <w:rPr>
          <w:sz w:val="22"/>
          <w:szCs w:val="22"/>
        </w:rPr>
        <w:t xml:space="preserve">surtout dans </w:t>
      </w:r>
      <w:r w:rsidR="00B61573" w:rsidRPr="00AC4DA1">
        <w:rPr>
          <w:sz w:val="22"/>
          <w:szCs w:val="22"/>
        </w:rPr>
        <w:t xml:space="preserve">le </w:t>
      </w:r>
      <w:r w:rsidR="00527DCD" w:rsidRPr="00AC4DA1">
        <w:rPr>
          <w:sz w:val="22"/>
          <w:szCs w:val="22"/>
        </w:rPr>
        <w:t>domaine de la communication, précisément la facilitation par un interprète en langue de signes.</w:t>
      </w:r>
    </w:p>
    <w:p w14:paraId="7761EFA6" w14:textId="0333B29D" w:rsidR="00AF7E92" w:rsidRPr="00AC4DA1" w:rsidRDefault="00AF7E92" w:rsidP="003456F1">
      <w:pPr>
        <w:spacing w:line="276" w:lineRule="auto"/>
        <w:rPr>
          <w:sz w:val="22"/>
          <w:szCs w:val="22"/>
        </w:rPr>
      </w:pPr>
    </w:p>
    <w:p w14:paraId="7157D586" w14:textId="219D3CA8" w:rsidR="00AF7E92" w:rsidRPr="00AC4DA1" w:rsidRDefault="00835C95" w:rsidP="00AF7E92">
      <w:pPr>
        <w:tabs>
          <w:tab w:val="left" w:pos="688"/>
        </w:tabs>
        <w:spacing w:line="276" w:lineRule="auto"/>
        <w:ind w:right="20"/>
        <w:jc w:val="both"/>
        <w:rPr>
          <w:rFonts w:eastAsia="Symbol"/>
          <w:sz w:val="22"/>
          <w:szCs w:val="22"/>
        </w:rPr>
      </w:pPr>
      <w:r w:rsidRPr="00AC4DA1">
        <w:rPr>
          <w:rFonts w:eastAsia="Arial"/>
          <w:sz w:val="22"/>
          <w:szCs w:val="22"/>
        </w:rPr>
        <w:lastRenderedPageBreak/>
        <w:t>Les personnes handicapées auditives, intellectuelles, et psychosociales</w:t>
      </w:r>
      <w:r w:rsidR="00AF7E92" w:rsidRPr="00AC4DA1">
        <w:rPr>
          <w:rFonts w:eastAsia="Arial"/>
          <w:sz w:val="22"/>
          <w:szCs w:val="22"/>
        </w:rPr>
        <w:t xml:space="preserve"> en République du Mali </w:t>
      </w:r>
      <w:r w:rsidRPr="00AC4DA1">
        <w:rPr>
          <w:rFonts w:eastAsia="Arial"/>
          <w:sz w:val="22"/>
          <w:szCs w:val="22"/>
        </w:rPr>
        <w:t xml:space="preserve">ont </w:t>
      </w:r>
      <w:r w:rsidR="00AF7E92" w:rsidRPr="00AC4DA1">
        <w:rPr>
          <w:rFonts w:eastAsia="Arial"/>
          <w:sz w:val="22"/>
          <w:szCs w:val="22"/>
        </w:rPr>
        <w:t xml:space="preserve">des obstacles juridiques </w:t>
      </w:r>
      <w:r w:rsidRPr="00AC4DA1">
        <w:rPr>
          <w:rFonts w:eastAsia="Arial"/>
          <w:sz w:val="22"/>
          <w:szCs w:val="22"/>
        </w:rPr>
        <w:t xml:space="preserve">qui les </w:t>
      </w:r>
      <w:r w:rsidR="00AF7E92" w:rsidRPr="00AC4DA1">
        <w:rPr>
          <w:rFonts w:eastAsia="Arial"/>
          <w:sz w:val="22"/>
          <w:szCs w:val="22"/>
        </w:rPr>
        <w:t>empêch</w:t>
      </w:r>
      <w:r w:rsidRPr="00AC4DA1">
        <w:rPr>
          <w:rFonts w:eastAsia="Arial"/>
          <w:sz w:val="22"/>
          <w:szCs w:val="22"/>
        </w:rPr>
        <w:t>e</w:t>
      </w:r>
      <w:r w:rsidR="00AF7E92" w:rsidRPr="00AC4DA1">
        <w:rPr>
          <w:rFonts w:eastAsia="Arial"/>
          <w:sz w:val="22"/>
          <w:szCs w:val="22"/>
        </w:rPr>
        <w:t xml:space="preserve"> d'être juge, membre d'un jury, ou témoin</w:t>
      </w:r>
      <w:r w:rsidRPr="00AC4DA1">
        <w:rPr>
          <w:rFonts w:eastAsia="Arial"/>
          <w:sz w:val="22"/>
          <w:szCs w:val="22"/>
        </w:rPr>
        <w:t>.</w:t>
      </w:r>
    </w:p>
    <w:p w14:paraId="7F94B006" w14:textId="77777777" w:rsidR="003456F1" w:rsidRPr="00AC4DA1" w:rsidRDefault="003456F1" w:rsidP="003456F1">
      <w:pPr>
        <w:spacing w:line="276" w:lineRule="auto"/>
        <w:rPr>
          <w:sz w:val="22"/>
          <w:szCs w:val="22"/>
        </w:rPr>
      </w:pPr>
    </w:p>
    <w:p w14:paraId="4716607B" w14:textId="452304FF" w:rsidR="003456F1" w:rsidRPr="00AC4DA1" w:rsidRDefault="00AF7E92" w:rsidP="00355456">
      <w:pPr>
        <w:spacing w:line="276" w:lineRule="auto"/>
        <w:jc w:val="both"/>
        <w:rPr>
          <w:rFonts w:eastAsia="Arial"/>
          <w:sz w:val="22"/>
          <w:szCs w:val="22"/>
        </w:rPr>
      </w:pPr>
      <w:r w:rsidRPr="00AC4DA1">
        <w:rPr>
          <w:rFonts w:eastAsia="Arial"/>
          <w:sz w:val="22"/>
          <w:szCs w:val="22"/>
        </w:rPr>
        <w:t>La révision des législations encadrant l’accès à la justice au Mali devraient intégrer des mesures favorisant le fait qu’u</w:t>
      </w:r>
      <w:r w:rsidR="003456F1" w:rsidRPr="00AC4DA1">
        <w:rPr>
          <w:rFonts w:eastAsia="Arial"/>
          <w:sz w:val="22"/>
          <w:szCs w:val="22"/>
        </w:rPr>
        <w:t>ne personne sourde qui participe à un procès p</w:t>
      </w:r>
      <w:r w:rsidRPr="00AC4DA1">
        <w:rPr>
          <w:rFonts w:eastAsia="Arial"/>
          <w:sz w:val="22"/>
          <w:szCs w:val="22"/>
        </w:rPr>
        <w:t>uisse</w:t>
      </w:r>
      <w:r w:rsidR="003456F1" w:rsidRPr="00AC4DA1">
        <w:rPr>
          <w:rFonts w:eastAsia="Arial"/>
          <w:sz w:val="22"/>
          <w:szCs w:val="22"/>
        </w:rPr>
        <w:t xml:space="preserve"> avoir accès à une traduction en langue des signes ainsi qu’au soutien linguistique</w:t>
      </w:r>
      <w:r w:rsidRPr="00AC4DA1">
        <w:rPr>
          <w:rFonts w:eastAsia="Arial"/>
          <w:sz w:val="22"/>
          <w:szCs w:val="22"/>
        </w:rPr>
        <w:t xml:space="preserve"> </w:t>
      </w:r>
      <w:r w:rsidR="003456F1" w:rsidRPr="00AC4DA1">
        <w:rPr>
          <w:rFonts w:eastAsia="Arial"/>
          <w:sz w:val="22"/>
          <w:szCs w:val="22"/>
        </w:rPr>
        <w:t>si nécessaire</w:t>
      </w:r>
      <w:r w:rsidRPr="00AC4DA1">
        <w:rPr>
          <w:rFonts w:eastAsia="Arial"/>
          <w:sz w:val="22"/>
          <w:szCs w:val="22"/>
        </w:rPr>
        <w:t xml:space="preserve"> et </w:t>
      </w:r>
      <w:r w:rsidR="003456F1" w:rsidRPr="00AC4DA1">
        <w:rPr>
          <w:rFonts w:eastAsia="Arial"/>
          <w:sz w:val="22"/>
          <w:szCs w:val="22"/>
        </w:rPr>
        <w:t>bénéficie d'une boucle auditive et d'autres équipements techniques requis pour la communication</w:t>
      </w:r>
      <w:r w:rsidRPr="00AC4DA1">
        <w:rPr>
          <w:rFonts w:eastAsia="Arial"/>
          <w:sz w:val="22"/>
          <w:szCs w:val="22"/>
        </w:rPr>
        <w:t> ; qu’u</w:t>
      </w:r>
      <w:r w:rsidR="003456F1" w:rsidRPr="00AC4DA1">
        <w:rPr>
          <w:rFonts w:eastAsia="Arial"/>
          <w:sz w:val="22"/>
          <w:szCs w:val="22"/>
        </w:rPr>
        <w:t xml:space="preserve">ne personne avec une déficience intellectuelle </w:t>
      </w:r>
      <w:r w:rsidRPr="00AC4DA1">
        <w:rPr>
          <w:rFonts w:eastAsia="Arial"/>
          <w:sz w:val="22"/>
          <w:szCs w:val="22"/>
        </w:rPr>
        <w:t>soit</w:t>
      </w:r>
      <w:r w:rsidR="003456F1" w:rsidRPr="00AC4DA1">
        <w:rPr>
          <w:rFonts w:eastAsia="Arial"/>
          <w:sz w:val="22"/>
          <w:szCs w:val="22"/>
        </w:rPr>
        <w:t xml:space="preserve"> en droit de demander des ordonnances, des jugements ou autres documents en langage simple, ou au moins une explication facile à comprendre des décisions prises par le tribunal</w:t>
      </w:r>
      <w:r w:rsidRPr="00AC4DA1">
        <w:rPr>
          <w:rFonts w:eastAsia="Arial"/>
          <w:sz w:val="22"/>
          <w:szCs w:val="22"/>
        </w:rPr>
        <w:t xml:space="preserve"> ;  l’existence </w:t>
      </w:r>
      <w:r w:rsidR="003456F1" w:rsidRPr="00AC4DA1">
        <w:rPr>
          <w:rFonts w:eastAsia="Arial"/>
          <w:sz w:val="22"/>
          <w:szCs w:val="22"/>
        </w:rPr>
        <w:t>des dispositions qui prévoient des adaptations d'ordre procédural pour permettre une enquête et un témoignage circonstanciés par une personne ayant une déficience intellectuelle</w:t>
      </w:r>
      <w:r w:rsidR="00355456" w:rsidRPr="00AC4DA1">
        <w:rPr>
          <w:rFonts w:eastAsia="Arial"/>
          <w:sz w:val="22"/>
          <w:szCs w:val="22"/>
        </w:rPr>
        <w:t> ; l’utilisation au tribunal de l</w:t>
      </w:r>
      <w:r w:rsidR="003456F1" w:rsidRPr="00AC4DA1">
        <w:rPr>
          <w:rFonts w:eastAsia="Arial"/>
          <w:sz w:val="22"/>
          <w:szCs w:val="22"/>
        </w:rPr>
        <w:t>a communication alternative et améliorée, et l'assistance dans la formulation de questions d'une manière qui est comprise par la personne</w:t>
      </w:r>
      <w:r w:rsidR="00355456" w:rsidRPr="00AC4DA1">
        <w:rPr>
          <w:rFonts w:eastAsia="Arial"/>
          <w:sz w:val="22"/>
          <w:szCs w:val="22"/>
        </w:rPr>
        <w:t xml:space="preserve"> handicapée ; la prévoyance d</w:t>
      </w:r>
      <w:r w:rsidR="003456F1" w:rsidRPr="00AC4DA1">
        <w:rPr>
          <w:rFonts w:eastAsia="Arial"/>
          <w:sz w:val="22"/>
          <w:szCs w:val="22"/>
        </w:rPr>
        <w:t xml:space="preserve">es aménagements </w:t>
      </w:r>
      <w:r w:rsidR="00355456" w:rsidRPr="00AC4DA1">
        <w:rPr>
          <w:rFonts w:eastAsia="Arial"/>
          <w:sz w:val="22"/>
          <w:szCs w:val="22"/>
        </w:rPr>
        <w:t>raisonnables</w:t>
      </w:r>
      <w:r w:rsidR="003456F1" w:rsidRPr="00AC4DA1">
        <w:rPr>
          <w:rFonts w:eastAsia="Arial"/>
          <w:sz w:val="22"/>
          <w:szCs w:val="22"/>
        </w:rPr>
        <w:t xml:space="preserve"> pour les personnes avec un handicap psychosocial qui en ont besoin</w:t>
      </w:r>
      <w:r w:rsidR="00355456" w:rsidRPr="00AC4DA1">
        <w:rPr>
          <w:rFonts w:eastAsia="Arial"/>
          <w:sz w:val="22"/>
          <w:szCs w:val="22"/>
        </w:rPr>
        <w:t xml:space="preserve"> ; l’accessibilité des </w:t>
      </w:r>
      <w:r w:rsidR="003456F1" w:rsidRPr="00AC4DA1">
        <w:rPr>
          <w:rFonts w:eastAsia="Arial"/>
          <w:sz w:val="22"/>
          <w:szCs w:val="22"/>
        </w:rPr>
        <w:t xml:space="preserve">salles d'audience  aux personnes avec un handicap physique </w:t>
      </w:r>
      <w:r w:rsidR="00355456" w:rsidRPr="00AC4DA1">
        <w:rPr>
          <w:rFonts w:eastAsia="Arial"/>
          <w:sz w:val="22"/>
          <w:szCs w:val="22"/>
        </w:rPr>
        <w:t>et l’ accès à l'information sous des formes alternatives d’une personne avec une déficience visuelle.</w:t>
      </w:r>
    </w:p>
    <w:p w14:paraId="6123DAD4" w14:textId="5E1E3ADD" w:rsidR="007D74FA" w:rsidRPr="00DA7369" w:rsidRDefault="003456F1" w:rsidP="00DA7369">
      <w:pPr>
        <w:pStyle w:val="Heading1"/>
        <w:rPr>
          <w:rFonts w:ascii="Times New Roman" w:hAnsi="Times New Roman"/>
          <w:sz w:val="22"/>
          <w:szCs w:val="22"/>
        </w:rPr>
      </w:pPr>
      <w:bookmarkStart w:id="40" w:name="_Toc128647518"/>
      <w:r w:rsidRPr="00AC4DA1">
        <w:rPr>
          <w:rFonts w:ascii="Times New Roman" w:hAnsi="Times New Roman"/>
          <w:sz w:val="22"/>
          <w:szCs w:val="22"/>
        </w:rPr>
        <w:t>Article 14 : Liberté et sécurité de la personne</w:t>
      </w:r>
      <w:bookmarkEnd w:id="40"/>
    </w:p>
    <w:p w14:paraId="16C28A8B" w14:textId="7D7610A6" w:rsidR="003456F1" w:rsidRPr="00AC4DA1" w:rsidRDefault="00146B39" w:rsidP="00DA7369">
      <w:pPr>
        <w:autoSpaceDE w:val="0"/>
        <w:autoSpaceDN w:val="0"/>
        <w:adjustRightInd w:val="0"/>
        <w:spacing w:line="276" w:lineRule="auto"/>
        <w:jc w:val="both"/>
        <w:rPr>
          <w:b/>
          <w:sz w:val="22"/>
          <w:szCs w:val="22"/>
        </w:rPr>
      </w:pPr>
      <w:r w:rsidRPr="00AC4DA1">
        <w:rPr>
          <w:rFonts w:eastAsia="Arial"/>
          <w:sz w:val="22"/>
          <w:szCs w:val="22"/>
        </w:rPr>
        <w:t>L</w:t>
      </w:r>
      <w:r w:rsidR="00BC46FD" w:rsidRPr="00AC4DA1">
        <w:rPr>
          <w:rFonts w:eastAsia="Arial"/>
          <w:sz w:val="22"/>
          <w:szCs w:val="22"/>
        </w:rPr>
        <w:t>es mesures prises par l’</w:t>
      </w:r>
      <w:r w:rsidRPr="00AC4DA1">
        <w:rPr>
          <w:rFonts w:eastAsia="Arial"/>
          <w:sz w:val="22"/>
          <w:szCs w:val="22"/>
        </w:rPr>
        <w:t>E</w:t>
      </w:r>
      <w:r w:rsidR="00BC46FD" w:rsidRPr="00AC4DA1">
        <w:rPr>
          <w:rFonts w:eastAsia="Arial"/>
          <w:sz w:val="22"/>
          <w:szCs w:val="22"/>
        </w:rPr>
        <w:t>tat n’assurent ni ne favorisent pas la liberté et la sécurité des personnes handicapées et précisément les personnes handicapées psychosocial identifiées dans certaines législations comme des incapables majeurs.</w:t>
      </w:r>
      <w:r w:rsidR="00DA7369">
        <w:rPr>
          <w:rFonts w:eastAsia="Arial"/>
          <w:sz w:val="22"/>
          <w:szCs w:val="22"/>
        </w:rPr>
        <w:t xml:space="preserve"> </w:t>
      </w:r>
      <w:r w:rsidR="00112CE4" w:rsidRPr="00DA7369">
        <w:rPr>
          <w:rFonts w:eastAsia="Arial"/>
          <w:sz w:val="22"/>
          <w:szCs w:val="22"/>
        </w:rPr>
        <w:t>Les personnes handicapées qui sont privées de leur liberté pour des motifs non discriminatoires ont les mêmes droits que les autres personnes privées de leur liberté</w:t>
      </w:r>
      <w:r w:rsidR="00BD7B8A" w:rsidRPr="00DA7369">
        <w:rPr>
          <w:rFonts w:eastAsia="Arial"/>
          <w:sz w:val="22"/>
          <w:szCs w:val="22"/>
        </w:rPr>
        <w:t xml:space="preserve"> en tant que citoyens maliens.</w:t>
      </w:r>
      <w:r w:rsidR="00DA7369">
        <w:rPr>
          <w:rFonts w:eastAsia="Symbol"/>
          <w:sz w:val="22"/>
          <w:szCs w:val="22"/>
        </w:rPr>
        <w:t xml:space="preserve"> </w:t>
      </w:r>
      <w:r w:rsidR="00BD7B8A" w:rsidRPr="00DA7369">
        <w:rPr>
          <w:rFonts w:eastAsia="Symbol"/>
          <w:sz w:val="22"/>
          <w:szCs w:val="22"/>
        </w:rPr>
        <w:t xml:space="preserve">Ces personnes handicapées </w:t>
      </w:r>
      <w:r w:rsidR="00BD7B8A" w:rsidRPr="00DA7369">
        <w:rPr>
          <w:rFonts w:eastAsia="Arial"/>
          <w:sz w:val="22"/>
          <w:szCs w:val="22"/>
        </w:rPr>
        <w:t>o</w:t>
      </w:r>
      <w:r w:rsidR="00112CE4" w:rsidRPr="00DA7369">
        <w:rPr>
          <w:rFonts w:eastAsia="Arial"/>
          <w:sz w:val="22"/>
          <w:szCs w:val="22"/>
        </w:rPr>
        <w:t>nt accès à l’aménagement raisonnable adéquat dont elles ont besoin pour jouir de leurs droits sur un pied d'égalité avec d'autres personnes privées de leur liberté</w:t>
      </w:r>
      <w:r w:rsidR="00170936" w:rsidRPr="00DA7369">
        <w:rPr>
          <w:rFonts w:eastAsia="Arial"/>
          <w:sz w:val="22"/>
          <w:szCs w:val="22"/>
        </w:rPr>
        <w:t> ;</w:t>
      </w:r>
      <w:r w:rsidR="00B94EA2" w:rsidRPr="00AC4DA1">
        <w:rPr>
          <w:rFonts w:eastAsia="Arial"/>
          <w:sz w:val="22"/>
          <w:szCs w:val="22"/>
        </w:rPr>
        <w:t xml:space="preserve"> </w:t>
      </w:r>
    </w:p>
    <w:p w14:paraId="4049BEBA" w14:textId="1D7D01CA" w:rsidR="003456F1" w:rsidRPr="00AC4DA1" w:rsidRDefault="003456F1" w:rsidP="00547A66">
      <w:pPr>
        <w:pStyle w:val="Heading1"/>
        <w:rPr>
          <w:rFonts w:ascii="Times New Roman" w:hAnsi="Times New Roman"/>
          <w:sz w:val="22"/>
          <w:szCs w:val="22"/>
        </w:rPr>
      </w:pPr>
      <w:bookmarkStart w:id="41" w:name="_Toc128647519"/>
      <w:r w:rsidRPr="00AC4DA1">
        <w:rPr>
          <w:rFonts w:ascii="Times New Roman" w:hAnsi="Times New Roman"/>
          <w:sz w:val="22"/>
          <w:szCs w:val="22"/>
        </w:rPr>
        <w:lastRenderedPageBreak/>
        <w:t>Article 15 – Droit de ne pas être soumis à la torture, ni à des peines ou traitements cruels, inhumains ou dégradants</w:t>
      </w:r>
      <w:bookmarkEnd w:id="41"/>
    </w:p>
    <w:p w14:paraId="4DB5A2CB" w14:textId="46C87F52" w:rsidR="003456F1" w:rsidRPr="00AC4DA1" w:rsidRDefault="003456F1" w:rsidP="00547A66">
      <w:pPr>
        <w:pStyle w:val="Heading1"/>
        <w:rPr>
          <w:rFonts w:ascii="Times New Roman" w:hAnsi="Times New Roman"/>
          <w:sz w:val="22"/>
          <w:szCs w:val="22"/>
        </w:rPr>
      </w:pPr>
      <w:bookmarkStart w:id="42" w:name="_Toc128647520"/>
      <w:r w:rsidRPr="00AC4DA1">
        <w:rPr>
          <w:rFonts w:ascii="Times New Roman" w:hAnsi="Times New Roman"/>
          <w:sz w:val="22"/>
          <w:szCs w:val="22"/>
        </w:rPr>
        <w:t>Article 16 – Droit de ne pas être soumis à l’exploitation, à la violence et à la maltraitance</w:t>
      </w:r>
      <w:bookmarkEnd w:id="42"/>
    </w:p>
    <w:p w14:paraId="3DB2C583" w14:textId="424D7BE9" w:rsidR="00241D88" w:rsidRPr="00AC4DA1" w:rsidRDefault="00241D88" w:rsidP="003456F1">
      <w:pPr>
        <w:autoSpaceDE w:val="0"/>
        <w:autoSpaceDN w:val="0"/>
        <w:adjustRightInd w:val="0"/>
        <w:spacing w:line="276" w:lineRule="auto"/>
        <w:jc w:val="both"/>
        <w:rPr>
          <w:sz w:val="22"/>
          <w:szCs w:val="22"/>
        </w:rPr>
      </w:pPr>
      <w:r w:rsidRPr="00AC4DA1">
        <w:rPr>
          <w:sz w:val="22"/>
          <w:szCs w:val="22"/>
        </w:rPr>
        <w:t xml:space="preserve">La </w:t>
      </w:r>
      <w:r w:rsidR="00656882" w:rsidRPr="00AC4DA1">
        <w:rPr>
          <w:sz w:val="22"/>
          <w:szCs w:val="22"/>
        </w:rPr>
        <w:t xml:space="preserve">loi </w:t>
      </w:r>
      <w:r w:rsidRPr="00AC4DA1">
        <w:rPr>
          <w:sz w:val="22"/>
          <w:szCs w:val="22"/>
        </w:rPr>
        <w:t>N°2018 027 du 12 juin 2018 relative aux droits des personnes vivant avec un handicap ne prévoit pas de dispositions relatives à l’exploitation à la violence et à la maltraitance.</w:t>
      </w:r>
    </w:p>
    <w:p w14:paraId="2DD44804" w14:textId="43DB8B2F" w:rsidR="00241D88" w:rsidRPr="00AC4DA1" w:rsidRDefault="00241D88" w:rsidP="003456F1">
      <w:pPr>
        <w:autoSpaceDE w:val="0"/>
        <w:autoSpaceDN w:val="0"/>
        <w:adjustRightInd w:val="0"/>
        <w:spacing w:line="276" w:lineRule="auto"/>
        <w:jc w:val="both"/>
        <w:rPr>
          <w:sz w:val="22"/>
          <w:szCs w:val="22"/>
        </w:rPr>
      </w:pPr>
      <w:r w:rsidRPr="00AC4DA1">
        <w:rPr>
          <w:sz w:val="22"/>
          <w:szCs w:val="22"/>
        </w:rPr>
        <w:t xml:space="preserve"> </w:t>
      </w:r>
    </w:p>
    <w:p w14:paraId="4C33177E" w14:textId="52EDF113" w:rsidR="003456F1" w:rsidRPr="00AC4DA1" w:rsidRDefault="003456F1" w:rsidP="003456F1">
      <w:pPr>
        <w:autoSpaceDE w:val="0"/>
        <w:autoSpaceDN w:val="0"/>
        <w:adjustRightInd w:val="0"/>
        <w:spacing w:line="276" w:lineRule="auto"/>
        <w:jc w:val="both"/>
        <w:rPr>
          <w:sz w:val="22"/>
          <w:szCs w:val="22"/>
        </w:rPr>
      </w:pPr>
      <w:r w:rsidRPr="00AC4DA1">
        <w:rPr>
          <w:sz w:val="22"/>
          <w:szCs w:val="22"/>
        </w:rPr>
        <w:t>Les personnes handicapées</w:t>
      </w:r>
      <w:r w:rsidR="00241D88" w:rsidRPr="00AC4DA1">
        <w:rPr>
          <w:sz w:val="22"/>
          <w:szCs w:val="22"/>
        </w:rPr>
        <w:t xml:space="preserve"> sont</w:t>
      </w:r>
      <w:r w:rsidRPr="00AC4DA1">
        <w:rPr>
          <w:sz w:val="22"/>
          <w:szCs w:val="22"/>
        </w:rPr>
        <w:t xml:space="preserve"> confronté</w:t>
      </w:r>
      <w:r w:rsidR="00241D88" w:rsidRPr="00AC4DA1">
        <w:rPr>
          <w:sz w:val="22"/>
          <w:szCs w:val="22"/>
        </w:rPr>
        <w:t>e</w:t>
      </w:r>
      <w:r w:rsidRPr="00AC4DA1">
        <w:rPr>
          <w:sz w:val="22"/>
          <w:szCs w:val="22"/>
        </w:rPr>
        <w:t>s à l'exploitation, à la violence et à la maltraitance. Ceci exige que</w:t>
      </w:r>
      <w:r w:rsidR="00241D88" w:rsidRPr="00AC4DA1">
        <w:rPr>
          <w:sz w:val="22"/>
          <w:szCs w:val="22"/>
        </w:rPr>
        <w:t xml:space="preserve"> les lois,</w:t>
      </w:r>
      <w:r w:rsidRPr="00AC4DA1">
        <w:rPr>
          <w:sz w:val="22"/>
          <w:szCs w:val="22"/>
        </w:rPr>
        <w:t xml:space="preserve"> les stratégies nationales de prévention de la violence, y compris de la violence domestique, fassent preuve d’une attention particulière à l’égard des personnes handicapées, </w:t>
      </w:r>
    </w:p>
    <w:p w14:paraId="1A790DB5" w14:textId="72151C00" w:rsidR="00656882" w:rsidRPr="00AC4DA1" w:rsidRDefault="00656882" w:rsidP="003456F1">
      <w:pPr>
        <w:autoSpaceDE w:val="0"/>
        <w:autoSpaceDN w:val="0"/>
        <w:adjustRightInd w:val="0"/>
        <w:spacing w:line="276" w:lineRule="auto"/>
        <w:jc w:val="both"/>
        <w:rPr>
          <w:bCs/>
          <w:sz w:val="22"/>
          <w:szCs w:val="22"/>
        </w:rPr>
      </w:pPr>
      <w:r w:rsidRPr="00AC4DA1">
        <w:rPr>
          <w:bCs/>
          <w:sz w:val="22"/>
          <w:szCs w:val="22"/>
        </w:rPr>
        <w:t>Les mécanismes d’alerte VBG ne sont pas suffisamment accessible aux personnes handicapées.</w:t>
      </w:r>
    </w:p>
    <w:p w14:paraId="5F191D21" w14:textId="0D5AB5D5" w:rsidR="003456F1" w:rsidRPr="00AC4DA1" w:rsidRDefault="00656882" w:rsidP="003456F1">
      <w:pPr>
        <w:autoSpaceDE w:val="0"/>
        <w:autoSpaceDN w:val="0"/>
        <w:adjustRightInd w:val="0"/>
        <w:spacing w:line="276" w:lineRule="auto"/>
        <w:jc w:val="both"/>
        <w:rPr>
          <w:bCs/>
          <w:sz w:val="22"/>
          <w:szCs w:val="22"/>
        </w:rPr>
      </w:pPr>
      <w:r w:rsidRPr="00AC4DA1">
        <w:rPr>
          <w:bCs/>
          <w:sz w:val="22"/>
          <w:szCs w:val="22"/>
        </w:rPr>
        <w:t>Le Programme National Genre ne traite pas spécifiquement des violences liées au handicap.</w:t>
      </w:r>
    </w:p>
    <w:p w14:paraId="0C601BC4" w14:textId="77777777" w:rsidR="00656882" w:rsidRPr="00AC4DA1" w:rsidRDefault="00656882" w:rsidP="003456F1">
      <w:pPr>
        <w:autoSpaceDE w:val="0"/>
        <w:autoSpaceDN w:val="0"/>
        <w:adjustRightInd w:val="0"/>
        <w:spacing w:line="276" w:lineRule="auto"/>
        <w:jc w:val="both"/>
        <w:rPr>
          <w:b/>
          <w:sz w:val="22"/>
          <w:szCs w:val="22"/>
        </w:rPr>
      </w:pPr>
    </w:p>
    <w:p w14:paraId="1A44C345" w14:textId="5B4C3A38" w:rsidR="007B6487" w:rsidRPr="00AC4DA1" w:rsidRDefault="00656882" w:rsidP="003456F1">
      <w:pPr>
        <w:autoSpaceDE w:val="0"/>
        <w:autoSpaceDN w:val="0"/>
        <w:adjustRightInd w:val="0"/>
        <w:spacing w:line="276" w:lineRule="auto"/>
        <w:jc w:val="both"/>
        <w:rPr>
          <w:bCs/>
          <w:sz w:val="22"/>
          <w:szCs w:val="22"/>
        </w:rPr>
      </w:pPr>
      <w:r w:rsidRPr="00AC4DA1">
        <w:rPr>
          <w:bCs/>
          <w:sz w:val="22"/>
          <w:szCs w:val="22"/>
        </w:rPr>
        <w:t xml:space="preserve"> </w:t>
      </w:r>
    </w:p>
    <w:p w14:paraId="6D5F6DA5" w14:textId="18D6088F" w:rsidR="003456F1" w:rsidRPr="00AC4DA1" w:rsidRDefault="003456F1" w:rsidP="00547A66">
      <w:pPr>
        <w:pStyle w:val="Heading1"/>
        <w:rPr>
          <w:rFonts w:ascii="Times New Roman" w:hAnsi="Times New Roman"/>
          <w:sz w:val="22"/>
          <w:szCs w:val="22"/>
        </w:rPr>
      </w:pPr>
      <w:bookmarkStart w:id="43" w:name="_Toc128647521"/>
      <w:r w:rsidRPr="00AC4DA1">
        <w:rPr>
          <w:rFonts w:ascii="Times New Roman" w:hAnsi="Times New Roman"/>
          <w:sz w:val="22"/>
          <w:szCs w:val="22"/>
        </w:rPr>
        <w:t>Article 18 – Droit de circuler librement et nationalité</w:t>
      </w:r>
      <w:bookmarkEnd w:id="43"/>
    </w:p>
    <w:p w14:paraId="02ED121A" w14:textId="32EA39DF" w:rsidR="003456F1" w:rsidRPr="00DA7369" w:rsidRDefault="00184709" w:rsidP="00DA7369">
      <w:pPr>
        <w:tabs>
          <w:tab w:val="left" w:pos="688"/>
        </w:tabs>
        <w:spacing w:line="276" w:lineRule="auto"/>
        <w:ind w:right="20"/>
        <w:jc w:val="both"/>
        <w:rPr>
          <w:rFonts w:eastAsia="Arial"/>
          <w:sz w:val="22"/>
          <w:szCs w:val="22"/>
        </w:rPr>
      </w:pPr>
      <w:r w:rsidRPr="00AC4DA1">
        <w:rPr>
          <w:rFonts w:eastAsia="Arial"/>
          <w:sz w:val="22"/>
          <w:szCs w:val="22"/>
        </w:rPr>
        <w:t xml:space="preserve">Au Mali, </w:t>
      </w:r>
      <w:r w:rsidR="005D3888" w:rsidRPr="00AC4DA1">
        <w:rPr>
          <w:rFonts w:eastAsia="Arial"/>
          <w:sz w:val="22"/>
          <w:szCs w:val="22"/>
        </w:rPr>
        <w:t>le Code des personnes et de la famille</w:t>
      </w:r>
      <w:r w:rsidR="00031C22" w:rsidRPr="00AC4DA1">
        <w:rPr>
          <w:rFonts w:eastAsia="Arial"/>
          <w:sz w:val="22"/>
          <w:szCs w:val="22"/>
        </w:rPr>
        <w:t xml:space="preserve"> portant </w:t>
      </w:r>
      <w:r w:rsidR="0015235D" w:rsidRPr="00AC4DA1">
        <w:rPr>
          <w:rFonts w:eastAsia="Arial"/>
          <w:sz w:val="22"/>
          <w:szCs w:val="22"/>
        </w:rPr>
        <w:t>de la nationalité</w:t>
      </w:r>
      <w:r w:rsidR="00031C22" w:rsidRPr="00AC4DA1">
        <w:rPr>
          <w:rFonts w:eastAsia="Arial"/>
          <w:sz w:val="22"/>
          <w:szCs w:val="22"/>
        </w:rPr>
        <w:t xml:space="preserve"> </w:t>
      </w:r>
      <w:r w:rsidR="0015235D" w:rsidRPr="00AC4DA1">
        <w:rPr>
          <w:rFonts w:eastAsia="Arial"/>
          <w:sz w:val="22"/>
          <w:szCs w:val="22"/>
        </w:rPr>
        <w:t>malienne</w:t>
      </w:r>
      <w:r w:rsidR="00031C22" w:rsidRPr="00AC4DA1">
        <w:rPr>
          <w:rFonts w:eastAsia="Arial"/>
          <w:sz w:val="22"/>
          <w:szCs w:val="22"/>
        </w:rPr>
        <w:t xml:space="preserve"> </w:t>
      </w:r>
      <w:r w:rsidRPr="00AC4DA1">
        <w:rPr>
          <w:rFonts w:eastAsia="Arial"/>
          <w:sz w:val="22"/>
          <w:szCs w:val="22"/>
        </w:rPr>
        <w:t>et</w:t>
      </w:r>
      <w:r w:rsidR="003456F1" w:rsidRPr="00AC4DA1">
        <w:rPr>
          <w:rFonts w:eastAsia="Arial"/>
          <w:sz w:val="22"/>
          <w:szCs w:val="22"/>
        </w:rPr>
        <w:t xml:space="preserve"> son application pratique relative à l'entrée et au séjour des non- ressortissants dans le pays, y compris les demandes d'asile, </w:t>
      </w:r>
      <w:r w:rsidRPr="00AC4DA1">
        <w:rPr>
          <w:rFonts w:eastAsia="Arial"/>
          <w:sz w:val="22"/>
          <w:szCs w:val="22"/>
        </w:rPr>
        <w:t>n’</w:t>
      </w:r>
      <w:r w:rsidR="003456F1" w:rsidRPr="00AC4DA1">
        <w:rPr>
          <w:rFonts w:eastAsia="Arial"/>
          <w:sz w:val="22"/>
          <w:szCs w:val="22"/>
        </w:rPr>
        <w:t>établi</w:t>
      </w:r>
      <w:r w:rsidRPr="00AC4DA1">
        <w:rPr>
          <w:rFonts w:eastAsia="Arial"/>
          <w:sz w:val="22"/>
          <w:szCs w:val="22"/>
        </w:rPr>
        <w:t>ssent pas</w:t>
      </w:r>
      <w:r w:rsidR="003456F1" w:rsidRPr="00AC4DA1">
        <w:rPr>
          <w:rFonts w:eastAsia="Arial"/>
          <w:sz w:val="22"/>
          <w:szCs w:val="22"/>
        </w:rPr>
        <w:t xml:space="preserve"> une discrimination sur la base du handicap</w:t>
      </w:r>
      <w:r w:rsidRPr="00AC4DA1">
        <w:rPr>
          <w:rFonts w:eastAsia="Arial"/>
          <w:sz w:val="22"/>
          <w:szCs w:val="22"/>
        </w:rPr>
        <w:t>.</w:t>
      </w:r>
      <w:r w:rsidR="00DA7369">
        <w:rPr>
          <w:rFonts w:eastAsia="Arial"/>
          <w:sz w:val="22"/>
          <w:szCs w:val="22"/>
        </w:rPr>
        <w:t xml:space="preserve"> </w:t>
      </w:r>
      <w:r w:rsidR="005D3888" w:rsidRPr="00AC4DA1">
        <w:rPr>
          <w:sz w:val="22"/>
          <w:szCs w:val="22"/>
        </w:rPr>
        <w:t>Toute fois nous notons que, c</w:t>
      </w:r>
      <w:r w:rsidR="00E232DA" w:rsidRPr="00AC4DA1">
        <w:rPr>
          <w:sz w:val="22"/>
          <w:szCs w:val="22"/>
        </w:rPr>
        <w:t>ertaine</w:t>
      </w:r>
      <w:r w:rsidR="005D3888" w:rsidRPr="00AC4DA1">
        <w:rPr>
          <w:sz w:val="22"/>
          <w:szCs w:val="22"/>
        </w:rPr>
        <w:t>s</w:t>
      </w:r>
      <w:r w:rsidR="00E232DA" w:rsidRPr="00AC4DA1">
        <w:rPr>
          <w:sz w:val="22"/>
          <w:szCs w:val="22"/>
        </w:rPr>
        <w:t xml:space="preserve"> catégorie</w:t>
      </w:r>
      <w:r w:rsidR="005D3888" w:rsidRPr="00AC4DA1">
        <w:rPr>
          <w:sz w:val="22"/>
          <w:szCs w:val="22"/>
        </w:rPr>
        <w:t>s</w:t>
      </w:r>
      <w:r w:rsidR="00E232DA" w:rsidRPr="00AC4DA1">
        <w:rPr>
          <w:sz w:val="22"/>
          <w:szCs w:val="22"/>
        </w:rPr>
        <w:t xml:space="preserve"> de personnes handicapées sont privées</w:t>
      </w:r>
      <w:r w:rsidR="005D3888" w:rsidRPr="00AC4DA1">
        <w:rPr>
          <w:sz w:val="22"/>
          <w:szCs w:val="22"/>
        </w:rPr>
        <w:t xml:space="preserve"> par leur parent</w:t>
      </w:r>
      <w:r w:rsidR="00E232DA" w:rsidRPr="00AC4DA1">
        <w:rPr>
          <w:sz w:val="22"/>
          <w:szCs w:val="22"/>
        </w:rPr>
        <w:t>, en raison de leur handicap, de la capacité d’obtenir, de posséder et d’utiliser des titres attestant leur naissance.</w:t>
      </w:r>
      <w:r w:rsidR="005D3888" w:rsidRPr="00AC4DA1">
        <w:rPr>
          <w:sz w:val="22"/>
          <w:szCs w:val="22"/>
        </w:rPr>
        <w:tab/>
      </w:r>
    </w:p>
    <w:p w14:paraId="262AEB5A" w14:textId="77777777" w:rsidR="00C107C6" w:rsidRPr="00AC4DA1" w:rsidRDefault="00C107C6" w:rsidP="005D3888">
      <w:pPr>
        <w:tabs>
          <w:tab w:val="left" w:pos="688"/>
        </w:tabs>
        <w:spacing w:line="276" w:lineRule="auto"/>
        <w:ind w:right="20"/>
        <w:rPr>
          <w:sz w:val="22"/>
          <w:szCs w:val="22"/>
        </w:rPr>
      </w:pPr>
    </w:p>
    <w:p w14:paraId="3DCEFA11" w14:textId="00466D62" w:rsidR="00C107C6" w:rsidRPr="00AC4DA1" w:rsidRDefault="00C107C6" w:rsidP="005D3888">
      <w:pPr>
        <w:tabs>
          <w:tab w:val="left" w:pos="688"/>
        </w:tabs>
        <w:spacing w:line="276" w:lineRule="auto"/>
        <w:ind w:right="20"/>
        <w:rPr>
          <w:sz w:val="22"/>
          <w:szCs w:val="22"/>
        </w:rPr>
      </w:pPr>
      <w:r w:rsidRPr="00AC4DA1">
        <w:rPr>
          <w:sz w:val="22"/>
          <w:szCs w:val="22"/>
        </w:rPr>
        <w:t>Inexistence de mesures favorisant la jouissance du droit à la libre circulation des personnes handicapées.</w:t>
      </w:r>
    </w:p>
    <w:p w14:paraId="5BDC11E9" w14:textId="2376F94F" w:rsidR="003456F1" w:rsidRPr="00AC4DA1" w:rsidRDefault="003456F1" w:rsidP="00547A66">
      <w:pPr>
        <w:pStyle w:val="Heading1"/>
        <w:rPr>
          <w:rFonts w:ascii="Times New Roman" w:hAnsi="Times New Roman"/>
          <w:sz w:val="22"/>
          <w:szCs w:val="22"/>
        </w:rPr>
      </w:pPr>
      <w:bookmarkStart w:id="44" w:name="_Toc128647522"/>
      <w:r w:rsidRPr="00AC4DA1">
        <w:rPr>
          <w:rFonts w:ascii="Times New Roman" w:hAnsi="Times New Roman"/>
          <w:sz w:val="22"/>
          <w:szCs w:val="22"/>
        </w:rPr>
        <w:lastRenderedPageBreak/>
        <w:t>Article 19 – Autonomie de vie et inclusion dans la communauté</w:t>
      </w:r>
      <w:bookmarkEnd w:id="44"/>
      <w:r w:rsidRPr="00AC4DA1">
        <w:rPr>
          <w:rFonts w:ascii="Times New Roman" w:hAnsi="Times New Roman"/>
          <w:sz w:val="22"/>
          <w:szCs w:val="22"/>
        </w:rPr>
        <w:t xml:space="preserve"> </w:t>
      </w:r>
    </w:p>
    <w:p w14:paraId="24A806C4" w14:textId="77777777" w:rsidR="003456F1" w:rsidRPr="00AC4DA1" w:rsidRDefault="003456F1" w:rsidP="003456F1">
      <w:pPr>
        <w:autoSpaceDE w:val="0"/>
        <w:autoSpaceDN w:val="0"/>
        <w:adjustRightInd w:val="0"/>
        <w:spacing w:line="276" w:lineRule="auto"/>
        <w:jc w:val="both"/>
        <w:rPr>
          <w:sz w:val="22"/>
          <w:szCs w:val="22"/>
        </w:rPr>
      </w:pPr>
      <w:r w:rsidRPr="00AC4DA1">
        <w:rPr>
          <w:sz w:val="22"/>
          <w:szCs w:val="22"/>
        </w:rPr>
        <w:t>Dans les pays en développement comme le Mali, l’insuffisance de services d’encadrement adaptés se traduit souvent par l'isolement et la négligence des Personnes Handicapées dans leur milieu familial et communautaire. Cet isolement et cette négligence frappent surtout les personnes handicapées mentales et intellectuelles à des degrés différents.</w:t>
      </w:r>
    </w:p>
    <w:p w14:paraId="5D1865FE" w14:textId="77777777" w:rsidR="003456F1" w:rsidRPr="00AC4DA1" w:rsidRDefault="003456F1" w:rsidP="003456F1">
      <w:pPr>
        <w:autoSpaceDE w:val="0"/>
        <w:autoSpaceDN w:val="0"/>
        <w:adjustRightInd w:val="0"/>
        <w:spacing w:line="276" w:lineRule="auto"/>
        <w:jc w:val="both"/>
        <w:rPr>
          <w:sz w:val="22"/>
          <w:szCs w:val="22"/>
        </w:rPr>
      </w:pPr>
    </w:p>
    <w:p w14:paraId="0C0DA47B" w14:textId="284E8D2C" w:rsidR="003456F1" w:rsidRPr="00AC4DA1" w:rsidRDefault="003456F1" w:rsidP="003456F1">
      <w:pPr>
        <w:autoSpaceDE w:val="0"/>
        <w:autoSpaceDN w:val="0"/>
        <w:adjustRightInd w:val="0"/>
        <w:spacing w:line="276" w:lineRule="auto"/>
        <w:jc w:val="both"/>
        <w:rPr>
          <w:sz w:val="22"/>
          <w:szCs w:val="22"/>
        </w:rPr>
      </w:pPr>
      <w:r w:rsidRPr="00AC4DA1">
        <w:rPr>
          <w:sz w:val="22"/>
          <w:szCs w:val="22"/>
        </w:rPr>
        <w:t xml:space="preserve">Les Personnes Handicapées, qui en ont besoin, </w:t>
      </w:r>
      <w:r w:rsidR="00D01644" w:rsidRPr="00AC4DA1">
        <w:rPr>
          <w:sz w:val="22"/>
          <w:szCs w:val="22"/>
        </w:rPr>
        <w:t>n’</w:t>
      </w:r>
      <w:r w:rsidRPr="00AC4DA1">
        <w:rPr>
          <w:sz w:val="22"/>
          <w:szCs w:val="22"/>
        </w:rPr>
        <w:t xml:space="preserve">ont </w:t>
      </w:r>
      <w:r w:rsidR="00D01644" w:rsidRPr="00AC4DA1">
        <w:rPr>
          <w:sz w:val="22"/>
          <w:szCs w:val="22"/>
        </w:rPr>
        <w:t xml:space="preserve">pas </w:t>
      </w:r>
      <w:r w:rsidRPr="00AC4DA1">
        <w:rPr>
          <w:sz w:val="22"/>
          <w:szCs w:val="22"/>
        </w:rPr>
        <w:t>accès à une assistance personnelle</w:t>
      </w:r>
      <w:r w:rsidR="00434711" w:rsidRPr="00AC4DA1">
        <w:rPr>
          <w:sz w:val="22"/>
          <w:szCs w:val="22"/>
        </w:rPr>
        <w:t xml:space="preserve">, et pas </w:t>
      </w:r>
      <w:r w:rsidR="00C107C6" w:rsidRPr="00AC4DA1">
        <w:rPr>
          <w:sz w:val="22"/>
          <w:szCs w:val="22"/>
        </w:rPr>
        <w:t>un service fourni</w:t>
      </w:r>
      <w:r w:rsidR="00434711" w:rsidRPr="00AC4DA1">
        <w:rPr>
          <w:sz w:val="22"/>
          <w:szCs w:val="22"/>
        </w:rPr>
        <w:t xml:space="preserve"> et couvert par les prestations sociales de l´Etat.</w:t>
      </w:r>
    </w:p>
    <w:p w14:paraId="026BC90C" w14:textId="77777777" w:rsidR="003456F1" w:rsidRPr="00AC4DA1" w:rsidRDefault="003456F1" w:rsidP="003456F1">
      <w:pPr>
        <w:autoSpaceDE w:val="0"/>
        <w:autoSpaceDN w:val="0"/>
        <w:adjustRightInd w:val="0"/>
        <w:spacing w:line="276" w:lineRule="auto"/>
        <w:jc w:val="both"/>
        <w:rPr>
          <w:sz w:val="22"/>
          <w:szCs w:val="22"/>
        </w:rPr>
      </w:pPr>
    </w:p>
    <w:p w14:paraId="7C0C73F9" w14:textId="253137C6" w:rsidR="003456F1" w:rsidRPr="00AC4DA1" w:rsidRDefault="003456F1" w:rsidP="003456F1">
      <w:pPr>
        <w:autoSpaceDE w:val="0"/>
        <w:autoSpaceDN w:val="0"/>
        <w:adjustRightInd w:val="0"/>
        <w:spacing w:line="276" w:lineRule="auto"/>
        <w:jc w:val="both"/>
        <w:rPr>
          <w:sz w:val="22"/>
          <w:szCs w:val="22"/>
        </w:rPr>
      </w:pPr>
      <w:r w:rsidRPr="00AC4DA1">
        <w:rPr>
          <w:sz w:val="22"/>
          <w:szCs w:val="22"/>
        </w:rPr>
        <w:t>Les Personnes Handicapées qui souhaitent vivre seules, fonder un foyer et leur propre famille ou vivre dans un appartement en cohabitation,</w:t>
      </w:r>
      <w:r w:rsidR="00E04E27" w:rsidRPr="00AC4DA1">
        <w:rPr>
          <w:sz w:val="22"/>
          <w:szCs w:val="22"/>
        </w:rPr>
        <w:t xml:space="preserve"> </w:t>
      </w:r>
      <w:r w:rsidRPr="00AC4DA1">
        <w:rPr>
          <w:sz w:val="22"/>
          <w:szCs w:val="22"/>
        </w:rPr>
        <w:t>rencontrent</w:t>
      </w:r>
      <w:r w:rsidR="00E04E27" w:rsidRPr="00AC4DA1">
        <w:rPr>
          <w:sz w:val="22"/>
          <w:szCs w:val="22"/>
        </w:rPr>
        <w:t xml:space="preserve"> d’énormes</w:t>
      </w:r>
      <w:r w:rsidRPr="00AC4DA1">
        <w:rPr>
          <w:sz w:val="22"/>
          <w:szCs w:val="22"/>
        </w:rPr>
        <w:t xml:space="preserve"> obstacles liés au handicap pour le faire.</w:t>
      </w:r>
    </w:p>
    <w:p w14:paraId="04CA1485" w14:textId="77777777" w:rsidR="003456F1" w:rsidRPr="00AC4DA1" w:rsidRDefault="003456F1" w:rsidP="003456F1">
      <w:pPr>
        <w:autoSpaceDE w:val="0"/>
        <w:autoSpaceDN w:val="0"/>
        <w:adjustRightInd w:val="0"/>
        <w:spacing w:line="276" w:lineRule="auto"/>
        <w:jc w:val="both"/>
        <w:rPr>
          <w:sz w:val="22"/>
          <w:szCs w:val="22"/>
        </w:rPr>
      </w:pPr>
    </w:p>
    <w:p w14:paraId="5781DC80" w14:textId="4ED03940" w:rsidR="003456F1" w:rsidRPr="00AC4DA1" w:rsidRDefault="003456F1" w:rsidP="003456F1">
      <w:pPr>
        <w:autoSpaceDE w:val="0"/>
        <w:autoSpaceDN w:val="0"/>
        <w:adjustRightInd w:val="0"/>
        <w:spacing w:line="276" w:lineRule="auto"/>
        <w:jc w:val="both"/>
        <w:rPr>
          <w:sz w:val="22"/>
          <w:szCs w:val="22"/>
        </w:rPr>
      </w:pPr>
      <w:r w:rsidRPr="00AC4DA1">
        <w:rPr>
          <w:sz w:val="22"/>
          <w:szCs w:val="22"/>
        </w:rPr>
        <w:t xml:space="preserve">Les personnes handicapées </w:t>
      </w:r>
      <w:r w:rsidR="00E04E27" w:rsidRPr="00AC4DA1">
        <w:rPr>
          <w:sz w:val="22"/>
          <w:szCs w:val="22"/>
        </w:rPr>
        <w:t xml:space="preserve">ne </w:t>
      </w:r>
      <w:r w:rsidRPr="00AC4DA1">
        <w:rPr>
          <w:sz w:val="22"/>
          <w:szCs w:val="22"/>
        </w:rPr>
        <w:t xml:space="preserve">disposent </w:t>
      </w:r>
      <w:r w:rsidR="00E04E27" w:rsidRPr="00AC4DA1">
        <w:rPr>
          <w:sz w:val="22"/>
          <w:szCs w:val="22"/>
        </w:rPr>
        <w:t xml:space="preserve">pas </w:t>
      </w:r>
      <w:r w:rsidRPr="00AC4DA1">
        <w:rPr>
          <w:sz w:val="22"/>
          <w:szCs w:val="22"/>
        </w:rPr>
        <w:t xml:space="preserve">des services de soutien nécessaires pour réaliser leur choix quant à la façon dont elles veulent vivre dans la communauté. </w:t>
      </w:r>
      <w:r w:rsidR="00E04E27" w:rsidRPr="00AC4DA1">
        <w:rPr>
          <w:sz w:val="22"/>
          <w:szCs w:val="22"/>
        </w:rPr>
        <w:t xml:space="preserve"> </w:t>
      </w:r>
    </w:p>
    <w:p w14:paraId="2BF4FE75" w14:textId="77777777" w:rsidR="003456F1" w:rsidRPr="00AC4DA1" w:rsidRDefault="003456F1" w:rsidP="003456F1">
      <w:pPr>
        <w:autoSpaceDE w:val="0"/>
        <w:autoSpaceDN w:val="0"/>
        <w:adjustRightInd w:val="0"/>
        <w:spacing w:line="276" w:lineRule="auto"/>
        <w:jc w:val="both"/>
        <w:rPr>
          <w:sz w:val="22"/>
          <w:szCs w:val="22"/>
        </w:rPr>
      </w:pPr>
    </w:p>
    <w:p w14:paraId="70D28DD1" w14:textId="6902594E" w:rsidR="003456F1" w:rsidRPr="00AC4DA1" w:rsidRDefault="003456F1" w:rsidP="003456F1">
      <w:pPr>
        <w:autoSpaceDE w:val="0"/>
        <w:autoSpaceDN w:val="0"/>
        <w:adjustRightInd w:val="0"/>
        <w:spacing w:line="276" w:lineRule="auto"/>
        <w:jc w:val="both"/>
        <w:rPr>
          <w:sz w:val="22"/>
          <w:szCs w:val="22"/>
        </w:rPr>
      </w:pPr>
      <w:r w:rsidRPr="00AC4DA1">
        <w:rPr>
          <w:sz w:val="22"/>
          <w:szCs w:val="22"/>
        </w:rPr>
        <w:t>Il existe des personnes handicapées orientées vers des institutions spéciales</w:t>
      </w:r>
      <w:r w:rsidR="005C3402" w:rsidRPr="00AC4DA1">
        <w:rPr>
          <w:sz w:val="22"/>
          <w:szCs w:val="22"/>
        </w:rPr>
        <w:t xml:space="preserve"> (Centre psychiatrique du CHU du Point G à Bamako) </w:t>
      </w:r>
      <w:r w:rsidRPr="00AC4DA1">
        <w:rPr>
          <w:sz w:val="22"/>
          <w:szCs w:val="22"/>
        </w:rPr>
        <w:t>qui vivent actuellement et qui ne souhaitent pas le faire.</w:t>
      </w:r>
    </w:p>
    <w:p w14:paraId="5897776C" w14:textId="77777777" w:rsidR="003456F1" w:rsidRPr="00AC4DA1" w:rsidRDefault="003456F1" w:rsidP="003456F1">
      <w:pPr>
        <w:autoSpaceDE w:val="0"/>
        <w:autoSpaceDN w:val="0"/>
        <w:adjustRightInd w:val="0"/>
        <w:spacing w:line="276" w:lineRule="auto"/>
        <w:jc w:val="both"/>
        <w:rPr>
          <w:sz w:val="22"/>
          <w:szCs w:val="22"/>
        </w:rPr>
      </w:pPr>
    </w:p>
    <w:p w14:paraId="3FFA85DF" w14:textId="2D5BD6A7" w:rsidR="003456F1" w:rsidRPr="00AC4DA1" w:rsidRDefault="003456F1" w:rsidP="00DF3614">
      <w:pPr>
        <w:autoSpaceDE w:val="0"/>
        <w:autoSpaceDN w:val="0"/>
        <w:adjustRightInd w:val="0"/>
        <w:spacing w:line="276" w:lineRule="auto"/>
        <w:jc w:val="both"/>
        <w:rPr>
          <w:rFonts w:eastAsia="Arial"/>
          <w:sz w:val="22"/>
          <w:szCs w:val="22"/>
        </w:rPr>
      </w:pPr>
      <w:r w:rsidRPr="00AC4DA1">
        <w:rPr>
          <w:rFonts w:eastAsia="Arial"/>
          <w:sz w:val="22"/>
          <w:szCs w:val="22"/>
        </w:rPr>
        <w:t xml:space="preserve">On empêche de nombreuses personnes handicapées de vivre dans leur communauté en raison de l'absence de services adéquats, ou de lois et de pratiques qui permettent l’internement obligatoire en institution, qui fournissent des services de soutien uniquement aux grands et petits établissements ou qui conditionnent les services de soutien à la communauté à la justification d’un certain degré de capacité fonctionnelle. </w:t>
      </w:r>
      <w:r w:rsidR="00DF3614" w:rsidRPr="00AC4DA1">
        <w:rPr>
          <w:rFonts w:eastAsia="Arial"/>
          <w:sz w:val="22"/>
          <w:szCs w:val="22"/>
        </w:rPr>
        <w:t>L</w:t>
      </w:r>
      <w:r w:rsidRPr="00AC4DA1">
        <w:rPr>
          <w:rFonts w:eastAsia="Arial"/>
          <w:sz w:val="22"/>
          <w:szCs w:val="22"/>
        </w:rPr>
        <w:t>e manque de services se traduit souvent par l'isolement et la négligence des personnes handicapées dans leur milieu familial et communautaire.</w:t>
      </w:r>
    </w:p>
    <w:p w14:paraId="3D1276F6" w14:textId="3E0CFF28" w:rsidR="00A11687" w:rsidRPr="00E63DBA" w:rsidRDefault="003456F1" w:rsidP="00E63DBA">
      <w:pPr>
        <w:pStyle w:val="Heading1"/>
        <w:rPr>
          <w:rFonts w:ascii="Times New Roman" w:hAnsi="Times New Roman"/>
          <w:sz w:val="22"/>
          <w:szCs w:val="22"/>
        </w:rPr>
      </w:pPr>
      <w:bookmarkStart w:id="45" w:name="_Toc128647523"/>
      <w:r w:rsidRPr="00AC4DA1">
        <w:rPr>
          <w:rFonts w:ascii="Times New Roman" w:hAnsi="Times New Roman"/>
          <w:sz w:val="22"/>
          <w:szCs w:val="22"/>
        </w:rPr>
        <w:lastRenderedPageBreak/>
        <w:t>Article 20 – Mobilité personnelle</w:t>
      </w:r>
      <w:bookmarkEnd w:id="45"/>
    </w:p>
    <w:p w14:paraId="124D0B74" w14:textId="13A588C9" w:rsidR="004E281E" w:rsidRPr="00AC4DA1" w:rsidRDefault="004E281E" w:rsidP="004E281E">
      <w:pPr>
        <w:autoSpaceDE w:val="0"/>
        <w:autoSpaceDN w:val="0"/>
        <w:adjustRightInd w:val="0"/>
        <w:spacing w:line="276" w:lineRule="auto"/>
        <w:jc w:val="both"/>
        <w:rPr>
          <w:sz w:val="22"/>
          <w:szCs w:val="22"/>
        </w:rPr>
      </w:pPr>
      <w:r w:rsidRPr="00AC4DA1">
        <w:rPr>
          <w:sz w:val="22"/>
          <w:szCs w:val="22"/>
        </w:rPr>
        <w:t>L'accessibilité générale des services et des installations doit être complétée par le droit des personnes handicapées d'avoir accès à une assistance adéquate afin qu’elles puissent se déplacer de façon autonome.</w:t>
      </w:r>
    </w:p>
    <w:p w14:paraId="611E588D" w14:textId="77777777" w:rsidR="00E63DBA" w:rsidRDefault="00DF3614" w:rsidP="004E281E">
      <w:pPr>
        <w:autoSpaceDE w:val="0"/>
        <w:autoSpaceDN w:val="0"/>
        <w:adjustRightInd w:val="0"/>
        <w:spacing w:line="276" w:lineRule="auto"/>
        <w:jc w:val="both"/>
        <w:rPr>
          <w:sz w:val="22"/>
          <w:szCs w:val="22"/>
        </w:rPr>
      </w:pPr>
      <w:r w:rsidRPr="00AC4DA1">
        <w:rPr>
          <w:sz w:val="22"/>
          <w:szCs w:val="22"/>
        </w:rPr>
        <w:t>L</w:t>
      </w:r>
      <w:r w:rsidR="004E281E" w:rsidRPr="00AC4DA1">
        <w:rPr>
          <w:sz w:val="22"/>
          <w:szCs w:val="22"/>
        </w:rPr>
        <w:t xml:space="preserve">es personnes handicapées n’ont pas accès aux technologies et aux dispositifs d'assistance existantes. </w:t>
      </w:r>
    </w:p>
    <w:p w14:paraId="556850F6" w14:textId="77777777" w:rsidR="00E63DBA" w:rsidRPr="00E63DBA" w:rsidRDefault="00E63DBA" w:rsidP="004E281E">
      <w:pPr>
        <w:autoSpaceDE w:val="0"/>
        <w:autoSpaceDN w:val="0"/>
        <w:adjustRightInd w:val="0"/>
        <w:spacing w:line="276" w:lineRule="auto"/>
        <w:jc w:val="both"/>
        <w:rPr>
          <w:sz w:val="8"/>
          <w:szCs w:val="8"/>
        </w:rPr>
      </w:pPr>
    </w:p>
    <w:p w14:paraId="177F251C" w14:textId="64380D6F" w:rsidR="004E281E" w:rsidRPr="00AC4DA1" w:rsidRDefault="004E281E" w:rsidP="004E281E">
      <w:pPr>
        <w:autoSpaceDE w:val="0"/>
        <w:autoSpaceDN w:val="0"/>
        <w:adjustRightInd w:val="0"/>
        <w:spacing w:line="276" w:lineRule="auto"/>
        <w:jc w:val="both"/>
        <w:rPr>
          <w:sz w:val="22"/>
          <w:szCs w:val="22"/>
        </w:rPr>
      </w:pPr>
      <w:r w:rsidRPr="00AC4DA1">
        <w:rPr>
          <w:sz w:val="22"/>
          <w:szCs w:val="22"/>
        </w:rPr>
        <w:t>Le peu parmi elles qui sont accessibles ne sont pas à la bourse des personnes handicapées en général.</w:t>
      </w:r>
    </w:p>
    <w:p w14:paraId="2047C24A" w14:textId="77777777" w:rsidR="00E63DBA" w:rsidRPr="00E63DBA" w:rsidRDefault="00E63DBA" w:rsidP="004E281E">
      <w:pPr>
        <w:autoSpaceDE w:val="0"/>
        <w:autoSpaceDN w:val="0"/>
        <w:adjustRightInd w:val="0"/>
        <w:spacing w:line="276" w:lineRule="auto"/>
        <w:jc w:val="both"/>
        <w:rPr>
          <w:sz w:val="8"/>
          <w:szCs w:val="8"/>
        </w:rPr>
      </w:pPr>
    </w:p>
    <w:p w14:paraId="72AB7D65" w14:textId="1DF6CDF4" w:rsidR="003456F1" w:rsidRPr="00AC4DA1" w:rsidRDefault="004E281E" w:rsidP="004E281E">
      <w:pPr>
        <w:autoSpaceDE w:val="0"/>
        <w:autoSpaceDN w:val="0"/>
        <w:adjustRightInd w:val="0"/>
        <w:spacing w:line="276" w:lineRule="auto"/>
        <w:jc w:val="both"/>
        <w:rPr>
          <w:sz w:val="22"/>
          <w:szCs w:val="22"/>
        </w:rPr>
      </w:pPr>
      <w:r w:rsidRPr="00AC4DA1">
        <w:rPr>
          <w:sz w:val="22"/>
          <w:szCs w:val="22"/>
        </w:rPr>
        <w:t xml:space="preserve">Les personnes handicapées qui ont besoin d'une formation aux techniques de </w:t>
      </w:r>
      <w:r w:rsidR="001260B3" w:rsidRPr="00AC4DA1">
        <w:rPr>
          <w:sz w:val="22"/>
          <w:szCs w:val="22"/>
        </w:rPr>
        <w:t>mobilité sont</w:t>
      </w:r>
      <w:r w:rsidR="00665111" w:rsidRPr="00AC4DA1">
        <w:rPr>
          <w:sz w:val="22"/>
          <w:szCs w:val="22"/>
        </w:rPr>
        <w:t xml:space="preserve"> prise en charge par l’Union Malienne des Aveugles (UMAV).</w:t>
      </w:r>
    </w:p>
    <w:p w14:paraId="37F672F2" w14:textId="77777777" w:rsidR="003456F1" w:rsidRPr="00AC4DA1" w:rsidRDefault="003456F1" w:rsidP="003456F1">
      <w:pPr>
        <w:autoSpaceDE w:val="0"/>
        <w:autoSpaceDN w:val="0"/>
        <w:adjustRightInd w:val="0"/>
        <w:spacing w:line="276" w:lineRule="auto"/>
        <w:jc w:val="both"/>
        <w:rPr>
          <w:b/>
          <w:sz w:val="22"/>
          <w:szCs w:val="22"/>
        </w:rPr>
      </w:pPr>
    </w:p>
    <w:p w14:paraId="21AED4AD" w14:textId="7BF550A5" w:rsidR="00774984" w:rsidRPr="00E63DBA" w:rsidRDefault="003456F1" w:rsidP="00E63DBA">
      <w:pPr>
        <w:pStyle w:val="Heading1"/>
        <w:rPr>
          <w:rFonts w:ascii="Times New Roman" w:hAnsi="Times New Roman"/>
          <w:sz w:val="22"/>
          <w:szCs w:val="22"/>
        </w:rPr>
      </w:pPr>
      <w:bookmarkStart w:id="46" w:name="_Toc128647524"/>
      <w:r w:rsidRPr="00AC4DA1">
        <w:rPr>
          <w:rFonts w:ascii="Times New Roman" w:hAnsi="Times New Roman"/>
          <w:sz w:val="22"/>
          <w:szCs w:val="22"/>
        </w:rPr>
        <w:t>Article 21– Liberté d'expression et d'opinion, et accès à l'information</w:t>
      </w:r>
      <w:bookmarkEnd w:id="46"/>
    </w:p>
    <w:p w14:paraId="75E501DF" w14:textId="064C0DD6" w:rsidR="004E5DA1" w:rsidRPr="00AC4DA1" w:rsidRDefault="004E5DA1" w:rsidP="004E5DA1">
      <w:pPr>
        <w:autoSpaceDE w:val="0"/>
        <w:autoSpaceDN w:val="0"/>
        <w:adjustRightInd w:val="0"/>
        <w:spacing w:line="276" w:lineRule="auto"/>
        <w:jc w:val="both"/>
        <w:rPr>
          <w:sz w:val="22"/>
          <w:szCs w:val="22"/>
        </w:rPr>
      </w:pPr>
      <w:r w:rsidRPr="00AC4DA1">
        <w:rPr>
          <w:sz w:val="22"/>
          <w:szCs w:val="22"/>
        </w:rPr>
        <w:t xml:space="preserve">Selon el rapport de l’état, </w:t>
      </w:r>
      <w:r w:rsidR="000F542F" w:rsidRPr="00AC4DA1">
        <w:rPr>
          <w:sz w:val="22"/>
          <w:szCs w:val="22"/>
        </w:rPr>
        <w:t>« </w:t>
      </w:r>
      <w:r w:rsidRPr="00AC4DA1">
        <w:rPr>
          <w:sz w:val="22"/>
          <w:szCs w:val="22"/>
        </w:rPr>
        <w:t>la Constitution du Mali garantit à toutes les personnes sans discrimination la liberté d’expression et d’opinion. Elle dispose en son article 4 que : « Toute personne a droit à la liberté de pensée, de conscience, de religion, de culte, d’opinion, d’expression et de création dans le respect de la loi »</w:t>
      </w:r>
      <w:r w:rsidR="000F542F" w:rsidRPr="00AC4DA1">
        <w:rPr>
          <w:sz w:val="22"/>
          <w:szCs w:val="22"/>
        </w:rPr>
        <w:t xml:space="preserve"> ».</w:t>
      </w:r>
    </w:p>
    <w:p w14:paraId="74693B2E" w14:textId="4D1D0414" w:rsidR="004E5DA1" w:rsidRPr="00E63DBA" w:rsidRDefault="007A116B" w:rsidP="003456F1">
      <w:pPr>
        <w:autoSpaceDE w:val="0"/>
        <w:autoSpaceDN w:val="0"/>
        <w:adjustRightInd w:val="0"/>
        <w:spacing w:line="276" w:lineRule="auto"/>
        <w:jc w:val="both"/>
        <w:rPr>
          <w:sz w:val="8"/>
          <w:szCs w:val="8"/>
        </w:rPr>
      </w:pPr>
      <w:r w:rsidRPr="00AC4DA1">
        <w:rPr>
          <w:sz w:val="22"/>
          <w:szCs w:val="22"/>
        </w:rPr>
        <w:t xml:space="preserve"> </w:t>
      </w:r>
    </w:p>
    <w:p w14:paraId="5166222F" w14:textId="62EFA0C4" w:rsidR="003456F1" w:rsidRPr="00AC4DA1" w:rsidRDefault="003456F1" w:rsidP="003456F1">
      <w:pPr>
        <w:autoSpaceDE w:val="0"/>
        <w:autoSpaceDN w:val="0"/>
        <w:adjustRightInd w:val="0"/>
        <w:spacing w:line="276" w:lineRule="auto"/>
        <w:jc w:val="both"/>
        <w:rPr>
          <w:sz w:val="22"/>
          <w:szCs w:val="22"/>
        </w:rPr>
      </w:pPr>
      <w:r w:rsidRPr="00AC4DA1">
        <w:rPr>
          <w:sz w:val="22"/>
          <w:szCs w:val="22"/>
        </w:rPr>
        <w:t>Toutes les personnes handicapées n’ont pas systématiquement accès à l'information du grand public, sous des formes alternatives, sans frais et en temps opportun.</w:t>
      </w:r>
    </w:p>
    <w:p w14:paraId="648C5CF5" w14:textId="77777777" w:rsidR="003456F1" w:rsidRPr="00E63DBA" w:rsidRDefault="003456F1" w:rsidP="003456F1">
      <w:pPr>
        <w:spacing w:line="276" w:lineRule="auto"/>
        <w:rPr>
          <w:sz w:val="8"/>
          <w:szCs w:val="8"/>
        </w:rPr>
      </w:pPr>
    </w:p>
    <w:p w14:paraId="0089B92A" w14:textId="0243C59E" w:rsidR="003456F1" w:rsidRPr="00AC4DA1" w:rsidRDefault="003456F1" w:rsidP="004555A6">
      <w:pPr>
        <w:tabs>
          <w:tab w:val="left" w:pos="688"/>
        </w:tabs>
        <w:spacing w:line="276" w:lineRule="auto"/>
        <w:ind w:right="40"/>
        <w:jc w:val="both"/>
        <w:rPr>
          <w:rFonts w:eastAsia="Symbol"/>
          <w:sz w:val="22"/>
          <w:szCs w:val="22"/>
        </w:rPr>
      </w:pPr>
      <w:r w:rsidRPr="00AC4DA1">
        <w:rPr>
          <w:rFonts w:eastAsia="Arial"/>
          <w:sz w:val="22"/>
          <w:szCs w:val="22"/>
        </w:rPr>
        <w:t>L</w:t>
      </w:r>
      <w:r w:rsidR="00566234" w:rsidRPr="00AC4DA1">
        <w:rPr>
          <w:rFonts w:eastAsia="Arial"/>
          <w:sz w:val="22"/>
          <w:szCs w:val="22"/>
        </w:rPr>
        <w:t>’Etat ne fournit pas de service d’</w:t>
      </w:r>
      <w:r w:rsidR="004555A6" w:rsidRPr="00AC4DA1">
        <w:rPr>
          <w:rFonts w:eastAsia="Arial"/>
          <w:sz w:val="22"/>
          <w:szCs w:val="22"/>
        </w:rPr>
        <w:t>interprètes en langues de signe</w:t>
      </w:r>
      <w:r w:rsidR="00566234" w:rsidRPr="00AC4DA1">
        <w:rPr>
          <w:rFonts w:eastAsia="Arial"/>
          <w:sz w:val="22"/>
          <w:szCs w:val="22"/>
        </w:rPr>
        <w:t>.</w:t>
      </w:r>
    </w:p>
    <w:p w14:paraId="3E9140D9" w14:textId="77777777" w:rsidR="003456F1" w:rsidRPr="00E63DBA" w:rsidRDefault="003456F1" w:rsidP="003456F1">
      <w:pPr>
        <w:pStyle w:val="ListParagraph"/>
        <w:spacing w:line="276" w:lineRule="auto"/>
        <w:rPr>
          <w:rFonts w:eastAsia="Arial"/>
          <w:sz w:val="8"/>
          <w:szCs w:val="8"/>
        </w:rPr>
      </w:pPr>
    </w:p>
    <w:p w14:paraId="65718E56" w14:textId="35C6D1DA" w:rsidR="003456F1" w:rsidRPr="00AC4DA1" w:rsidRDefault="003456F1" w:rsidP="004555A6">
      <w:pPr>
        <w:tabs>
          <w:tab w:val="left" w:pos="688"/>
        </w:tabs>
        <w:spacing w:line="276" w:lineRule="auto"/>
        <w:ind w:right="40"/>
        <w:jc w:val="both"/>
        <w:rPr>
          <w:rFonts w:eastAsia="Symbol"/>
          <w:sz w:val="22"/>
          <w:szCs w:val="22"/>
        </w:rPr>
      </w:pPr>
      <w:r w:rsidRPr="00AC4DA1">
        <w:rPr>
          <w:rFonts w:eastAsia="Arial"/>
          <w:sz w:val="22"/>
          <w:szCs w:val="22"/>
        </w:rPr>
        <w:t xml:space="preserve">Une personne avec une déficience auditive peut avoir </w:t>
      </w:r>
      <w:r w:rsidR="00566234" w:rsidRPr="00AC4DA1">
        <w:rPr>
          <w:rFonts w:eastAsia="Arial"/>
          <w:sz w:val="22"/>
          <w:szCs w:val="22"/>
        </w:rPr>
        <w:t xml:space="preserve">difficilement </w:t>
      </w:r>
      <w:r w:rsidRPr="00AC4DA1">
        <w:rPr>
          <w:rFonts w:eastAsia="Arial"/>
          <w:sz w:val="22"/>
          <w:szCs w:val="22"/>
        </w:rPr>
        <w:t xml:space="preserve">accès à des équipements de communication visuelle et auditive qui lui permettent d'interagir </w:t>
      </w:r>
      <w:r w:rsidR="00566234" w:rsidRPr="00AC4DA1">
        <w:rPr>
          <w:rFonts w:eastAsia="Arial"/>
          <w:sz w:val="22"/>
          <w:szCs w:val="22"/>
        </w:rPr>
        <w:t>avec la communauté.</w:t>
      </w:r>
    </w:p>
    <w:p w14:paraId="3CCFDDA9" w14:textId="77777777" w:rsidR="00566234" w:rsidRPr="00AC4DA1" w:rsidRDefault="00566234" w:rsidP="004555A6">
      <w:pPr>
        <w:tabs>
          <w:tab w:val="left" w:pos="688"/>
        </w:tabs>
        <w:spacing w:line="276" w:lineRule="auto"/>
        <w:ind w:right="40"/>
        <w:jc w:val="both"/>
        <w:rPr>
          <w:rFonts w:eastAsia="Arial"/>
          <w:sz w:val="22"/>
          <w:szCs w:val="22"/>
        </w:rPr>
      </w:pPr>
      <w:r w:rsidRPr="00AC4DA1">
        <w:rPr>
          <w:rFonts w:eastAsia="Arial"/>
          <w:sz w:val="22"/>
          <w:szCs w:val="22"/>
        </w:rPr>
        <w:t xml:space="preserve"> </w:t>
      </w:r>
    </w:p>
    <w:p w14:paraId="3644BDF8" w14:textId="0D23B9E3" w:rsidR="003456F1" w:rsidRPr="00AC4DA1" w:rsidRDefault="005A3419" w:rsidP="004555A6">
      <w:pPr>
        <w:tabs>
          <w:tab w:val="left" w:pos="688"/>
        </w:tabs>
        <w:spacing w:line="276" w:lineRule="auto"/>
        <w:ind w:right="40"/>
        <w:jc w:val="both"/>
        <w:rPr>
          <w:rFonts w:eastAsia="Arial"/>
          <w:sz w:val="22"/>
          <w:szCs w:val="22"/>
        </w:rPr>
      </w:pPr>
      <w:r w:rsidRPr="00AC4DA1">
        <w:rPr>
          <w:rFonts w:eastAsia="Arial"/>
          <w:sz w:val="22"/>
          <w:szCs w:val="22"/>
        </w:rPr>
        <w:t>Malgré l’existence de</w:t>
      </w:r>
      <w:r w:rsidR="00B70B80" w:rsidRPr="00AC4DA1">
        <w:rPr>
          <w:rFonts w:eastAsia="Arial"/>
          <w:sz w:val="22"/>
          <w:szCs w:val="22"/>
        </w:rPr>
        <w:t xml:space="preserve"> la loi N°2018-027 </w:t>
      </w:r>
      <w:r w:rsidR="00B553F3" w:rsidRPr="00AC4DA1">
        <w:rPr>
          <w:rFonts w:eastAsia="Arial"/>
          <w:sz w:val="22"/>
          <w:szCs w:val="22"/>
        </w:rPr>
        <w:t>r</w:t>
      </w:r>
      <w:r w:rsidR="00B70B80" w:rsidRPr="00AC4DA1">
        <w:rPr>
          <w:rFonts w:eastAsia="Arial"/>
          <w:sz w:val="22"/>
          <w:szCs w:val="22"/>
        </w:rPr>
        <w:t xml:space="preserve">elative aux droits des personnes vivant avec un handicap </w:t>
      </w:r>
      <w:r w:rsidRPr="00AC4DA1">
        <w:rPr>
          <w:rFonts w:eastAsia="Arial"/>
          <w:sz w:val="22"/>
          <w:szCs w:val="22"/>
        </w:rPr>
        <w:t>qui son</w:t>
      </w:r>
      <w:r w:rsidR="00B70B80" w:rsidRPr="00AC4DA1">
        <w:rPr>
          <w:rFonts w:eastAsia="Arial"/>
          <w:sz w:val="22"/>
          <w:szCs w:val="22"/>
        </w:rPr>
        <w:t xml:space="preserve"> article 23 « Les personnes vivant avec un handicap ont droit à l’information et à la communication adaptées à leur handicap »</w:t>
      </w:r>
      <w:r w:rsidR="00566234" w:rsidRPr="00AC4DA1">
        <w:rPr>
          <w:rFonts w:eastAsia="Arial"/>
          <w:sz w:val="22"/>
          <w:szCs w:val="22"/>
        </w:rPr>
        <w:t xml:space="preserve"> </w:t>
      </w:r>
      <w:r w:rsidRPr="00AC4DA1">
        <w:rPr>
          <w:rFonts w:eastAsia="Arial"/>
          <w:sz w:val="22"/>
          <w:szCs w:val="22"/>
        </w:rPr>
        <w:t xml:space="preserve">l’accès à l’information et à la communication </w:t>
      </w:r>
      <w:r w:rsidRPr="00AC4DA1">
        <w:rPr>
          <w:rFonts w:eastAsia="Arial"/>
          <w:sz w:val="22"/>
          <w:szCs w:val="22"/>
        </w:rPr>
        <w:lastRenderedPageBreak/>
        <w:t>reste insuffisante pour les personnes handicapées en général et particulièrement les déficients intellectuels.</w:t>
      </w:r>
    </w:p>
    <w:p w14:paraId="0638B208" w14:textId="77777777" w:rsidR="003456F1" w:rsidRPr="00AC4DA1" w:rsidRDefault="003456F1" w:rsidP="003456F1">
      <w:pPr>
        <w:pStyle w:val="ListParagraph"/>
        <w:spacing w:line="276" w:lineRule="auto"/>
        <w:rPr>
          <w:rFonts w:eastAsia="Arial"/>
          <w:sz w:val="22"/>
          <w:szCs w:val="22"/>
        </w:rPr>
      </w:pPr>
    </w:p>
    <w:p w14:paraId="59A5A20E" w14:textId="61B926CF" w:rsidR="003456F1" w:rsidRPr="00AC4DA1" w:rsidRDefault="003456F1" w:rsidP="001C6A9A">
      <w:pPr>
        <w:tabs>
          <w:tab w:val="left" w:pos="688"/>
        </w:tabs>
        <w:spacing w:line="276" w:lineRule="auto"/>
        <w:ind w:right="40"/>
        <w:jc w:val="both"/>
        <w:rPr>
          <w:rFonts w:eastAsia="Arial"/>
          <w:sz w:val="22"/>
          <w:szCs w:val="22"/>
        </w:rPr>
      </w:pPr>
      <w:r w:rsidRPr="00AC4DA1">
        <w:rPr>
          <w:rFonts w:eastAsia="Arial"/>
          <w:sz w:val="22"/>
          <w:szCs w:val="22"/>
        </w:rPr>
        <w:t>La législation nationale du droit d'auteur</w:t>
      </w:r>
      <w:r w:rsidR="001C6A9A" w:rsidRPr="00AC4DA1">
        <w:rPr>
          <w:rFonts w:eastAsia="Arial"/>
          <w:sz w:val="22"/>
          <w:szCs w:val="22"/>
        </w:rPr>
        <w:t xml:space="preserve"> </w:t>
      </w:r>
      <w:r w:rsidR="00117371" w:rsidRPr="00AC4DA1">
        <w:rPr>
          <w:rFonts w:eastAsia="Arial"/>
          <w:sz w:val="22"/>
          <w:szCs w:val="22"/>
        </w:rPr>
        <w:t xml:space="preserve">notamment La loi N° 84-26/AN-RM du 17 octobre 1984 abrogeant et remplaçant l’ordonnance </w:t>
      </w:r>
      <w:r w:rsidR="0062113B" w:rsidRPr="00AC4DA1">
        <w:rPr>
          <w:rFonts w:eastAsia="Arial"/>
          <w:sz w:val="22"/>
          <w:szCs w:val="22"/>
        </w:rPr>
        <w:t>N°</w:t>
      </w:r>
      <w:r w:rsidR="00117371" w:rsidRPr="00AC4DA1">
        <w:rPr>
          <w:rFonts w:eastAsia="Arial"/>
          <w:sz w:val="22"/>
          <w:szCs w:val="22"/>
        </w:rPr>
        <w:t xml:space="preserve"> 77</w:t>
      </w:r>
      <w:r w:rsidR="0062113B" w:rsidRPr="00AC4DA1">
        <w:rPr>
          <w:rFonts w:eastAsia="Arial"/>
          <w:sz w:val="22"/>
          <w:szCs w:val="22"/>
        </w:rPr>
        <w:t>-</w:t>
      </w:r>
      <w:r w:rsidR="00117371" w:rsidRPr="00AC4DA1">
        <w:rPr>
          <w:rFonts w:eastAsia="Arial"/>
          <w:sz w:val="22"/>
          <w:szCs w:val="22"/>
        </w:rPr>
        <w:t xml:space="preserve">46 du 12 juillet 1977 portant sur le régime </w:t>
      </w:r>
      <w:r w:rsidR="001C6A9A" w:rsidRPr="00AC4DA1">
        <w:rPr>
          <w:rFonts w:eastAsia="Arial"/>
          <w:sz w:val="22"/>
          <w:szCs w:val="22"/>
        </w:rPr>
        <w:t>de la propriété littéraire</w:t>
      </w:r>
      <w:r w:rsidR="00117371" w:rsidRPr="00AC4DA1">
        <w:rPr>
          <w:rFonts w:eastAsia="Arial"/>
          <w:sz w:val="22"/>
          <w:szCs w:val="22"/>
        </w:rPr>
        <w:t xml:space="preserve"> </w:t>
      </w:r>
      <w:r w:rsidR="001C6A9A" w:rsidRPr="00AC4DA1">
        <w:rPr>
          <w:rFonts w:eastAsia="Arial"/>
          <w:sz w:val="22"/>
          <w:szCs w:val="22"/>
        </w:rPr>
        <w:t>et artistique</w:t>
      </w:r>
      <w:r w:rsidR="00117371" w:rsidRPr="00AC4DA1">
        <w:rPr>
          <w:rFonts w:eastAsia="Arial"/>
          <w:sz w:val="22"/>
          <w:szCs w:val="22"/>
        </w:rPr>
        <w:t xml:space="preserve"> ne </w:t>
      </w:r>
      <w:r w:rsidRPr="00AC4DA1">
        <w:rPr>
          <w:rFonts w:eastAsia="Arial"/>
          <w:sz w:val="22"/>
          <w:szCs w:val="22"/>
        </w:rPr>
        <w:t>permet</w:t>
      </w:r>
      <w:r w:rsidR="00117371" w:rsidRPr="00AC4DA1">
        <w:rPr>
          <w:rFonts w:eastAsia="Arial"/>
          <w:sz w:val="22"/>
          <w:szCs w:val="22"/>
        </w:rPr>
        <w:t xml:space="preserve"> pas</w:t>
      </w:r>
      <w:r w:rsidRPr="00AC4DA1">
        <w:rPr>
          <w:rFonts w:eastAsia="Arial"/>
          <w:sz w:val="22"/>
          <w:szCs w:val="22"/>
        </w:rPr>
        <w:t xml:space="preserve"> l'accès à l'information pour les personnes handicapées qui nécessitent des formes alternatives</w:t>
      </w:r>
      <w:r w:rsidR="00117371" w:rsidRPr="00AC4DA1">
        <w:rPr>
          <w:rFonts w:eastAsia="Arial"/>
          <w:sz w:val="22"/>
          <w:szCs w:val="22"/>
        </w:rPr>
        <w:t>.</w:t>
      </w:r>
    </w:p>
    <w:p w14:paraId="4246DBE9" w14:textId="77777777" w:rsidR="003456F1" w:rsidRPr="00AC4DA1" w:rsidRDefault="003456F1" w:rsidP="003456F1">
      <w:pPr>
        <w:pStyle w:val="ListParagraph"/>
        <w:spacing w:line="276" w:lineRule="auto"/>
        <w:rPr>
          <w:rFonts w:eastAsia="Arial"/>
          <w:sz w:val="22"/>
          <w:szCs w:val="22"/>
        </w:rPr>
      </w:pPr>
    </w:p>
    <w:p w14:paraId="336F57E8" w14:textId="7F0264F8" w:rsidR="003456F1" w:rsidRPr="00AC4DA1" w:rsidRDefault="003456F1" w:rsidP="00117371">
      <w:pPr>
        <w:tabs>
          <w:tab w:val="left" w:pos="688"/>
        </w:tabs>
        <w:spacing w:line="276" w:lineRule="auto"/>
        <w:ind w:right="40"/>
        <w:jc w:val="both"/>
        <w:rPr>
          <w:rFonts w:eastAsia="Arial"/>
          <w:sz w:val="22"/>
          <w:szCs w:val="22"/>
        </w:rPr>
      </w:pPr>
      <w:r w:rsidRPr="00AC4DA1">
        <w:rPr>
          <w:rFonts w:eastAsia="Arial"/>
          <w:sz w:val="22"/>
          <w:szCs w:val="22"/>
        </w:rPr>
        <w:t xml:space="preserve">La langue des signes </w:t>
      </w:r>
      <w:r w:rsidR="00117371" w:rsidRPr="00AC4DA1">
        <w:rPr>
          <w:rFonts w:eastAsia="Arial"/>
          <w:sz w:val="22"/>
          <w:szCs w:val="22"/>
        </w:rPr>
        <w:t>LSQ utilisée au Mali n’a pas</w:t>
      </w:r>
      <w:r w:rsidRPr="00AC4DA1">
        <w:rPr>
          <w:rFonts w:eastAsia="Arial"/>
          <w:sz w:val="22"/>
          <w:szCs w:val="22"/>
        </w:rPr>
        <w:t xml:space="preserve"> été reconnue</w:t>
      </w:r>
      <w:r w:rsidR="00117371" w:rsidRPr="00AC4DA1">
        <w:rPr>
          <w:rFonts w:eastAsia="Arial"/>
          <w:sz w:val="22"/>
          <w:szCs w:val="22"/>
        </w:rPr>
        <w:t xml:space="preserve"> </w:t>
      </w:r>
      <w:r w:rsidRPr="00AC4DA1">
        <w:rPr>
          <w:rFonts w:eastAsia="Arial"/>
          <w:sz w:val="22"/>
          <w:szCs w:val="22"/>
        </w:rPr>
        <w:t>comme langues officielles</w:t>
      </w:r>
      <w:r w:rsidR="00117371" w:rsidRPr="00AC4DA1">
        <w:rPr>
          <w:rFonts w:eastAsia="Arial"/>
          <w:sz w:val="22"/>
          <w:szCs w:val="22"/>
        </w:rPr>
        <w:t>.</w:t>
      </w:r>
      <w:r w:rsidRPr="00AC4DA1">
        <w:rPr>
          <w:rFonts w:eastAsia="Arial"/>
          <w:sz w:val="22"/>
          <w:szCs w:val="22"/>
        </w:rPr>
        <w:t xml:space="preserve"> </w:t>
      </w:r>
    </w:p>
    <w:p w14:paraId="19E87AED" w14:textId="6DA5AEDB" w:rsidR="00117371" w:rsidRPr="00AC4DA1" w:rsidRDefault="00117371" w:rsidP="00117371">
      <w:pPr>
        <w:tabs>
          <w:tab w:val="left" w:pos="688"/>
        </w:tabs>
        <w:spacing w:line="276" w:lineRule="auto"/>
        <w:ind w:right="40"/>
        <w:jc w:val="both"/>
        <w:rPr>
          <w:rFonts w:eastAsia="Symbol"/>
          <w:sz w:val="22"/>
          <w:szCs w:val="22"/>
        </w:rPr>
      </w:pPr>
      <w:r w:rsidRPr="00AC4DA1">
        <w:rPr>
          <w:rFonts w:eastAsia="Arial"/>
          <w:sz w:val="22"/>
          <w:szCs w:val="22"/>
        </w:rPr>
        <w:t>La reforme constitutionnelle en court a été saisie par la FEMAPH pour proposer la reconnaissance de la langue de signe comme langue nationale.</w:t>
      </w:r>
    </w:p>
    <w:p w14:paraId="32BB3878" w14:textId="6E71B4A7" w:rsidR="003456F1" w:rsidRPr="00AC4DA1" w:rsidRDefault="003456F1" w:rsidP="00365BB2">
      <w:pPr>
        <w:pStyle w:val="Heading1"/>
        <w:rPr>
          <w:rFonts w:ascii="Times New Roman" w:hAnsi="Times New Roman"/>
          <w:sz w:val="22"/>
          <w:szCs w:val="22"/>
        </w:rPr>
      </w:pPr>
      <w:bookmarkStart w:id="47" w:name="_Toc128647525"/>
      <w:r w:rsidRPr="00AC4DA1">
        <w:rPr>
          <w:rFonts w:ascii="Times New Roman" w:hAnsi="Times New Roman"/>
          <w:sz w:val="22"/>
          <w:szCs w:val="22"/>
        </w:rPr>
        <w:t>Article 22– Respect de la vie privée</w:t>
      </w:r>
      <w:bookmarkEnd w:id="47"/>
    </w:p>
    <w:p w14:paraId="532175E0" w14:textId="274BF5A1" w:rsidR="003456F1" w:rsidRPr="00AC4DA1" w:rsidRDefault="003456F1" w:rsidP="003456F1">
      <w:pPr>
        <w:autoSpaceDE w:val="0"/>
        <w:autoSpaceDN w:val="0"/>
        <w:adjustRightInd w:val="0"/>
        <w:spacing w:line="276" w:lineRule="auto"/>
        <w:jc w:val="both"/>
        <w:rPr>
          <w:sz w:val="22"/>
          <w:szCs w:val="22"/>
        </w:rPr>
      </w:pPr>
      <w:r w:rsidRPr="00AC4DA1">
        <w:rPr>
          <w:sz w:val="22"/>
          <w:szCs w:val="22"/>
        </w:rPr>
        <w:t xml:space="preserve">La vie privée des personnes handicapées qui vivent dans de grandes ou petites institutions ou qui dépendent d’un niveau élevé de services d’aide, n’est pas </w:t>
      </w:r>
      <w:r w:rsidR="00405A8A" w:rsidRPr="00AC4DA1">
        <w:rPr>
          <w:sz w:val="22"/>
          <w:szCs w:val="22"/>
        </w:rPr>
        <w:t>toujours respectée</w:t>
      </w:r>
      <w:r w:rsidRPr="00AC4DA1">
        <w:rPr>
          <w:sz w:val="22"/>
          <w:szCs w:val="22"/>
        </w:rPr>
        <w:t xml:space="preserve"> sur une base d'égalité avec la vie privée des personnes non handicapées de l’ensemble de la population surtout pour </w:t>
      </w:r>
      <w:r w:rsidR="00405A8A" w:rsidRPr="00AC4DA1">
        <w:rPr>
          <w:sz w:val="22"/>
          <w:szCs w:val="22"/>
        </w:rPr>
        <w:t xml:space="preserve">celle qui </w:t>
      </w:r>
      <w:r w:rsidR="008A601F" w:rsidRPr="00AC4DA1">
        <w:rPr>
          <w:sz w:val="22"/>
          <w:szCs w:val="22"/>
        </w:rPr>
        <w:t>dépendent plus d’une assistance personnelle.</w:t>
      </w:r>
    </w:p>
    <w:p w14:paraId="45B3F6A1" w14:textId="77777777" w:rsidR="003456F1" w:rsidRPr="00AC4DA1" w:rsidRDefault="003456F1" w:rsidP="003456F1">
      <w:pPr>
        <w:autoSpaceDE w:val="0"/>
        <w:autoSpaceDN w:val="0"/>
        <w:adjustRightInd w:val="0"/>
        <w:spacing w:line="276" w:lineRule="auto"/>
        <w:jc w:val="both"/>
        <w:rPr>
          <w:sz w:val="22"/>
          <w:szCs w:val="22"/>
        </w:rPr>
      </w:pPr>
    </w:p>
    <w:p w14:paraId="1730B640" w14:textId="448EC804" w:rsidR="003456F1" w:rsidRPr="00AC4DA1" w:rsidRDefault="003456F1" w:rsidP="0062113B">
      <w:pPr>
        <w:tabs>
          <w:tab w:val="left" w:pos="688"/>
        </w:tabs>
        <w:spacing w:line="276" w:lineRule="auto"/>
        <w:jc w:val="both"/>
        <w:rPr>
          <w:rFonts w:eastAsia="Arial"/>
          <w:sz w:val="22"/>
          <w:szCs w:val="22"/>
        </w:rPr>
      </w:pPr>
      <w:r w:rsidRPr="00AC4DA1">
        <w:rPr>
          <w:rFonts w:eastAsia="Arial"/>
          <w:sz w:val="22"/>
          <w:szCs w:val="22"/>
        </w:rPr>
        <w:t xml:space="preserve">La législation relative à la confidentialité des dossiers médicaux </w:t>
      </w:r>
      <w:r w:rsidR="008A601F" w:rsidRPr="00AC4DA1">
        <w:rPr>
          <w:rFonts w:eastAsia="Arial"/>
          <w:sz w:val="22"/>
          <w:szCs w:val="22"/>
        </w:rPr>
        <w:t xml:space="preserve">protège </w:t>
      </w:r>
      <w:r w:rsidRPr="00AC4DA1">
        <w:rPr>
          <w:rFonts w:eastAsia="Arial"/>
          <w:sz w:val="22"/>
          <w:szCs w:val="22"/>
        </w:rPr>
        <w:t>de manière adéquate le droit à la vie privée des personnes</w:t>
      </w:r>
      <w:r w:rsidR="008A601F" w:rsidRPr="00AC4DA1">
        <w:rPr>
          <w:rFonts w:eastAsia="Arial"/>
          <w:sz w:val="22"/>
          <w:szCs w:val="22"/>
        </w:rPr>
        <w:t xml:space="preserve"> </w:t>
      </w:r>
      <w:r w:rsidR="0062113B" w:rsidRPr="00AC4DA1">
        <w:rPr>
          <w:rFonts w:eastAsia="Arial"/>
          <w:sz w:val="22"/>
          <w:szCs w:val="22"/>
        </w:rPr>
        <w:t>notamment L’arrêté 08-2716 portant charte du malade dans les établissements hospitaliers dispose en article 16 « Le malade a le droit, dans la mesure où les conditions matérielles de son environnement le permettent, à la protection de sa vie privée. Le caractère confidentiel de l’information et du contenu des dossiers le concernant, notamment médicale, doit être garanti. »</w:t>
      </w:r>
      <w:r w:rsidR="008069C0" w:rsidRPr="00AC4DA1">
        <w:rPr>
          <w:rFonts w:eastAsia="Arial"/>
          <w:sz w:val="22"/>
          <w:szCs w:val="22"/>
        </w:rPr>
        <w:t>.</w:t>
      </w:r>
    </w:p>
    <w:p w14:paraId="49CC3F78" w14:textId="77777777" w:rsidR="008069C0" w:rsidRPr="00AC4DA1" w:rsidRDefault="008069C0" w:rsidP="0062113B">
      <w:pPr>
        <w:tabs>
          <w:tab w:val="left" w:pos="688"/>
        </w:tabs>
        <w:spacing w:line="276" w:lineRule="auto"/>
        <w:jc w:val="both"/>
        <w:rPr>
          <w:rFonts w:eastAsia="Arial"/>
          <w:sz w:val="22"/>
          <w:szCs w:val="22"/>
        </w:rPr>
      </w:pPr>
    </w:p>
    <w:p w14:paraId="66B95A41" w14:textId="09602680" w:rsidR="008069C0" w:rsidRPr="00AC4DA1" w:rsidRDefault="008069C0" w:rsidP="0062113B">
      <w:pPr>
        <w:tabs>
          <w:tab w:val="left" w:pos="688"/>
        </w:tabs>
        <w:spacing w:line="276" w:lineRule="auto"/>
        <w:jc w:val="both"/>
        <w:rPr>
          <w:rFonts w:eastAsia="Arial"/>
          <w:sz w:val="22"/>
          <w:szCs w:val="22"/>
        </w:rPr>
      </w:pPr>
      <w:r w:rsidRPr="00AC4DA1">
        <w:rPr>
          <w:rFonts w:eastAsia="Arial"/>
          <w:sz w:val="22"/>
          <w:szCs w:val="22"/>
        </w:rPr>
        <w:t xml:space="preserve">L’Etat doit prendre des </w:t>
      </w:r>
      <w:r w:rsidR="00E47421">
        <w:rPr>
          <w:rFonts w:eastAsia="Arial"/>
          <w:sz w:val="22"/>
          <w:szCs w:val="22"/>
        </w:rPr>
        <w:t>mesures</w:t>
      </w:r>
      <w:r w:rsidRPr="00AC4DA1">
        <w:rPr>
          <w:rFonts w:eastAsia="Arial"/>
          <w:sz w:val="22"/>
          <w:szCs w:val="22"/>
        </w:rPr>
        <w:t xml:space="preserve"> pour garantir le respect de la vie privée des personnes handicapées.</w:t>
      </w:r>
    </w:p>
    <w:p w14:paraId="756A1F6A" w14:textId="21932696" w:rsidR="003456F1" w:rsidRPr="00AC4DA1" w:rsidRDefault="003456F1" w:rsidP="001260B3">
      <w:pPr>
        <w:pStyle w:val="Heading1"/>
        <w:rPr>
          <w:rFonts w:ascii="Times New Roman" w:hAnsi="Times New Roman"/>
          <w:sz w:val="22"/>
          <w:szCs w:val="22"/>
        </w:rPr>
      </w:pPr>
      <w:bookmarkStart w:id="48" w:name="_Toc128647526"/>
      <w:r w:rsidRPr="00AC4DA1">
        <w:rPr>
          <w:rFonts w:ascii="Times New Roman" w:hAnsi="Times New Roman"/>
          <w:sz w:val="22"/>
          <w:szCs w:val="22"/>
        </w:rPr>
        <w:lastRenderedPageBreak/>
        <w:t>Article 23 – Respect du domicile et de la famille</w:t>
      </w:r>
      <w:bookmarkEnd w:id="48"/>
    </w:p>
    <w:p w14:paraId="034423EA" w14:textId="77777777" w:rsidR="003456F1" w:rsidRPr="00AC4DA1" w:rsidRDefault="003456F1" w:rsidP="003456F1">
      <w:pPr>
        <w:autoSpaceDE w:val="0"/>
        <w:autoSpaceDN w:val="0"/>
        <w:adjustRightInd w:val="0"/>
        <w:spacing w:line="276" w:lineRule="auto"/>
        <w:jc w:val="both"/>
        <w:rPr>
          <w:sz w:val="22"/>
          <w:szCs w:val="22"/>
        </w:rPr>
      </w:pPr>
      <w:r w:rsidRPr="00AC4DA1">
        <w:rPr>
          <w:sz w:val="22"/>
          <w:szCs w:val="22"/>
        </w:rPr>
        <w:t>Les personnes handicapées ont les mêmes droits que toutes les autres à vivre dans leur famille et à fonder leur propre famille. Toutefois, les personnes handicapées sont souvent victimes de discrimination dans les questions liées à la famille, y compris le mariage, l'adoption et le divorce.</w:t>
      </w:r>
    </w:p>
    <w:p w14:paraId="68228BF7" w14:textId="77777777" w:rsidR="003456F1" w:rsidRPr="00AC4DA1" w:rsidRDefault="003456F1" w:rsidP="003456F1">
      <w:pPr>
        <w:autoSpaceDE w:val="0"/>
        <w:autoSpaceDN w:val="0"/>
        <w:adjustRightInd w:val="0"/>
        <w:spacing w:line="276" w:lineRule="auto"/>
        <w:jc w:val="both"/>
        <w:rPr>
          <w:sz w:val="22"/>
          <w:szCs w:val="22"/>
        </w:rPr>
      </w:pPr>
      <w:r w:rsidRPr="00AC4DA1">
        <w:rPr>
          <w:sz w:val="22"/>
          <w:szCs w:val="22"/>
        </w:rPr>
        <w:t>Les parents en situation de handicap ont le droit de ne pas être séparés de leurs enfants sous prétexte du handicap du parent sauf le cas des malades mentaux où les droits de l’enfant peuvent être menacés.</w:t>
      </w:r>
    </w:p>
    <w:p w14:paraId="10607946" w14:textId="110CBF76" w:rsidR="003456F1" w:rsidRPr="00AC4DA1" w:rsidRDefault="003456F1" w:rsidP="003456F1">
      <w:pPr>
        <w:autoSpaceDE w:val="0"/>
        <w:autoSpaceDN w:val="0"/>
        <w:adjustRightInd w:val="0"/>
        <w:spacing w:line="276" w:lineRule="auto"/>
        <w:jc w:val="both"/>
        <w:rPr>
          <w:sz w:val="22"/>
          <w:szCs w:val="22"/>
        </w:rPr>
      </w:pPr>
      <w:r w:rsidRPr="00AC4DA1">
        <w:rPr>
          <w:sz w:val="22"/>
          <w:szCs w:val="22"/>
        </w:rPr>
        <w:t xml:space="preserve">Les parents d'enfants handicapés ont besoin </w:t>
      </w:r>
      <w:r w:rsidR="00BD0DF2" w:rsidRPr="00AC4DA1">
        <w:rPr>
          <w:sz w:val="22"/>
          <w:szCs w:val="22"/>
        </w:rPr>
        <w:t>d’assistance</w:t>
      </w:r>
      <w:r w:rsidRPr="00AC4DA1">
        <w:rPr>
          <w:sz w:val="22"/>
          <w:szCs w:val="22"/>
        </w:rPr>
        <w:t xml:space="preserve"> pour pouvoir </w:t>
      </w:r>
      <w:r w:rsidR="00BD0DF2" w:rsidRPr="00AC4DA1">
        <w:rPr>
          <w:sz w:val="22"/>
          <w:szCs w:val="22"/>
        </w:rPr>
        <w:t xml:space="preserve">prendre en charge </w:t>
      </w:r>
      <w:r w:rsidRPr="00AC4DA1">
        <w:rPr>
          <w:sz w:val="22"/>
          <w:szCs w:val="22"/>
        </w:rPr>
        <w:t xml:space="preserve">leurs enfants et éviter les situations d'isolement et de négligence dans la famille. Les enfants handicapés surtout visuels sont placés en institution en raison du handicap. </w:t>
      </w:r>
    </w:p>
    <w:p w14:paraId="6019242E" w14:textId="77777777" w:rsidR="003456F1" w:rsidRPr="00AC4DA1" w:rsidRDefault="003456F1" w:rsidP="003456F1">
      <w:pPr>
        <w:autoSpaceDE w:val="0"/>
        <w:autoSpaceDN w:val="0"/>
        <w:adjustRightInd w:val="0"/>
        <w:spacing w:line="276" w:lineRule="auto"/>
        <w:rPr>
          <w:sz w:val="22"/>
          <w:szCs w:val="22"/>
        </w:rPr>
      </w:pPr>
    </w:p>
    <w:p w14:paraId="3F8DE9EE" w14:textId="1E653799" w:rsidR="003456F1" w:rsidRPr="00AC4DA1" w:rsidRDefault="003456F1" w:rsidP="003456F1">
      <w:pPr>
        <w:autoSpaceDE w:val="0"/>
        <w:autoSpaceDN w:val="0"/>
        <w:adjustRightInd w:val="0"/>
        <w:spacing w:line="276" w:lineRule="auto"/>
        <w:jc w:val="both"/>
        <w:rPr>
          <w:sz w:val="22"/>
          <w:szCs w:val="22"/>
        </w:rPr>
      </w:pPr>
      <w:r w:rsidRPr="00AC4DA1">
        <w:rPr>
          <w:sz w:val="22"/>
          <w:szCs w:val="22"/>
        </w:rPr>
        <w:t>Il existe des obstacles tels que les préjugés sociaux que rencontrent les personnes handicapées qui veulent se marier.</w:t>
      </w:r>
    </w:p>
    <w:p w14:paraId="2C12A713" w14:textId="77777777" w:rsidR="00562A30" w:rsidRPr="00AC4DA1" w:rsidRDefault="00562A30" w:rsidP="003456F1">
      <w:pPr>
        <w:autoSpaceDE w:val="0"/>
        <w:autoSpaceDN w:val="0"/>
        <w:adjustRightInd w:val="0"/>
        <w:spacing w:line="276" w:lineRule="auto"/>
        <w:jc w:val="both"/>
        <w:rPr>
          <w:sz w:val="22"/>
          <w:szCs w:val="22"/>
        </w:rPr>
      </w:pPr>
    </w:p>
    <w:p w14:paraId="2EA50478" w14:textId="32BF0BC7" w:rsidR="003456F1" w:rsidRPr="00AC4DA1" w:rsidRDefault="003456F1" w:rsidP="003456F1">
      <w:pPr>
        <w:autoSpaceDE w:val="0"/>
        <w:autoSpaceDN w:val="0"/>
        <w:adjustRightInd w:val="0"/>
        <w:spacing w:line="276" w:lineRule="auto"/>
        <w:jc w:val="both"/>
        <w:rPr>
          <w:sz w:val="22"/>
          <w:szCs w:val="22"/>
        </w:rPr>
      </w:pPr>
      <w:r w:rsidRPr="00AC4DA1">
        <w:rPr>
          <w:sz w:val="22"/>
          <w:szCs w:val="22"/>
        </w:rPr>
        <w:t xml:space="preserve">Les parents d'enfants handicapés ont </w:t>
      </w:r>
      <w:r w:rsidR="00BD0DF2" w:rsidRPr="00AC4DA1">
        <w:rPr>
          <w:sz w:val="22"/>
          <w:szCs w:val="22"/>
        </w:rPr>
        <w:t>difficilement</w:t>
      </w:r>
      <w:r w:rsidRPr="00AC4DA1">
        <w:rPr>
          <w:sz w:val="22"/>
          <w:szCs w:val="22"/>
        </w:rPr>
        <w:t xml:space="preserve"> accès à un soutien du service social en milieu urbain leur permettant d’assurer leurs responsabilités d’élever leurs enfants.</w:t>
      </w:r>
    </w:p>
    <w:p w14:paraId="0BA93F9F" w14:textId="6633B16D" w:rsidR="003456F1" w:rsidRPr="00AC4DA1" w:rsidRDefault="003456F1" w:rsidP="003456F1">
      <w:pPr>
        <w:autoSpaceDE w:val="0"/>
        <w:autoSpaceDN w:val="0"/>
        <w:adjustRightInd w:val="0"/>
        <w:spacing w:line="276" w:lineRule="auto"/>
        <w:jc w:val="both"/>
        <w:rPr>
          <w:sz w:val="22"/>
          <w:szCs w:val="22"/>
        </w:rPr>
      </w:pPr>
      <w:r w:rsidRPr="00AC4DA1">
        <w:rPr>
          <w:sz w:val="22"/>
          <w:szCs w:val="22"/>
        </w:rPr>
        <w:t>Il n’existe pas une législation conduisant directement ou indirectement à la séparation de l'enfant de sa famille à cause du handicap de l'enfant ou du handicap des parents.</w:t>
      </w:r>
    </w:p>
    <w:p w14:paraId="682A7E28" w14:textId="77777777" w:rsidR="00BD0DF2" w:rsidRPr="00AC4DA1" w:rsidRDefault="00BD0DF2" w:rsidP="003456F1">
      <w:pPr>
        <w:autoSpaceDE w:val="0"/>
        <w:autoSpaceDN w:val="0"/>
        <w:adjustRightInd w:val="0"/>
        <w:spacing w:line="276" w:lineRule="auto"/>
        <w:jc w:val="both"/>
        <w:rPr>
          <w:sz w:val="22"/>
          <w:szCs w:val="22"/>
        </w:rPr>
      </w:pPr>
    </w:p>
    <w:p w14:paraId="76FA69EF" w14:textId="75A50DB2" w:rsidR="003456F1" w:rsidRPr="00AC4DA1" w:rsidRDefault="003456F1" w:rsidP="003456F1">
      <w:pPr>
        <w:autoSpaceDE w:val="0"/>
        <w:autoSpaceDN w:val="0"/>
        <w:adjustRightInd w:val="0"/>
        <w:spacing w:line="276" w:lineRule="auto"/>
        <w:jc w:val="both"/>
        <w:rPr>
          <w:sz w:val="22"/>
          <w:szCs w:val="22"/>
        </w:rPr>
      </w:pPr>
      <w:r w:rsidRPr="00AC4DA1">
        <w:rPr>
          <w:sz w:val="22"/>
          <w:szCs w:val="22"/>
        </w:rPr>
        <w:t>La législation et les procédures pour déterminer la garde des enfants n’exercent pas une discrimination basée sur le handicap du parent sauf les cas où la sécurité de l’enfant est menacée.</w:t>
      </w:r>
    </w:p>
    <w:p w14:paraId="580B6B2F" w14:textId="77777777" w:rsidR="00562A30" w:rsidRPr="00AC4DA1" w:rsidRDefault="00562A30" w:rsidP="003456F1">
      <w:pPr>
        <w:autoSpaceDE w:val="0"/>
        <w:autoSpaceDN w:val="0"/>
        <w:adjustRightInd w:val="0"/>
        <w:spacing w:line="276" w:lineRule="auto"/>
        <w:jc w:val="both"/>
        <w:rPr>
          <w:sz w:val="22"/>
          <w:szCs w:val="22"/>
        </w:rPr>
      </w:pPr>
    </w:p>
    <w:p w14:paraId="7FBEF859" w14:textId="0156A1AF" w:rsidR="003456F1" w:rsidRPr="00AC4DA1" w:rsidRDefault="003456F1" w:rsidP="003456F1">
      <w:pPr>
        <w:autoSpaceDE w:val="0"/>
        <w:autoSpaceDN w:val="0"/>
        <w:adjustRightInd w:val="0"/>
        <w:spacing w:line="276" w:lineRule="auto"/>
        <w:jc w:val="both"/>
        <w:rPr>
          <w:sz w:val="22"/>
          <w:szCs w:val="22"/>
        </w:rPr>
      </w:pPr>
      <w:r w:rsidRPr="00AC4DA1">
        <w:rPr>
          <w:sz w:val="22"/>
          <w:szCs w:val="22"/>
        </w:rPr>
        <w:t>Il existe des mesures pour veiller à ce que l'enfant puisse vivre dans la famille élargie ou dans un milieu familial dans la communauté élargie dans les circonstances où le meilleur intérêt de l’enfant handicapé aboutit à la nécessité de séparer l'enfant de ses parents</w:t>
      </w:r>
      <w:r w:rsidR="00562A30" w:rsidRPr="00AC4DA1">
        <w:rPr>
          <w:sz w:val="22"/>
          <w:szCs w:val="22"/>
        </w:rPr>
        <w:t>.</w:t>
      </w:r>
    </w:p>
    <w:p w14:paraId="73856C98" w14:textId="77777777" w:rsidR="00562A30" w:rsidRPr="00AC4DA1" w:rsidRDefault="00562A30" w:rsidP="003456F1">
      <w:pPr>
        <w:autoSpaceDE w:val="0"/>
        <w:autoSpaceDN w:val="0"/>
        <w:adjustRightInd w:val="0"/>
        <w:spacing w:line="276" w:lineRule="auto"/>
        <w:jc w:val="both"/>
        <w:rPr>
          <w:sz w:val="22"/>
          <w:szCs w:val="22"/>
        </w:rPr>
      </w:pPr>
    </w:p>
    <w:p w14:paraId="1500F190" w14:textId="6EF12BD7" w:rsidR="003456F1" w:rsidRPr="00AC4DA1" w:rsidRDefault="003456F1" w:rsidP="001260B3">
      <w:pPr>
        <w:autoSpaceDE w:val="0"/>
        <w:autoSpaceDN w:val="0"/>
        <w:adjustRightInd w:val="0"/>
        <w:spacing w:line="276" w:lineRule="auto"/>
        <w:jc w:val="both"/>
        <w:rPr>
          <w:sz w:val="22"/>
          <w:szCs w:val="22"/>
        </w:rPr>
      </w:pPr>
      <w:r w:rsidRPr="00AC4DA1">
        <w:rPr>
          <w:sz w:val="22"/>
          <w:szCs w:val="22"/>
        </w:rPr>
        <w:lastRenderedPageBreak/>
        <w:t>Les enfants handicapés ne sont pas spécifiquement protégés contre l'internement involontaire en institution à cause de leur handicap</w:t>
      </w:r>
      <w:r w:rsidR="00BD0DF2" w:rsidRPr="00AC4DA1">
        <w:rPr>
          <w:sz w:val="22"/>
          <w:szCs w:val="22"/>
        </w:rPr>
        <w:t xml:space="preserve"> cas des enfants handicapés </w:t>
      </w:r>
      <w:r w:rsidR="00C369C0" w:rsidRPr="00AC4DA1">
        <w:rPr>
          <w:sz w:val="22"/>
          <w:szCs w:val="22"/>
        </w:rPr>
        <w:t xml:space="preserve">abandonnés </w:t>
      </w:r>
      <w:r w:rsidR="00BD0DF2" w:rsidRPr="00AC4DA1">
        <w:rPr>
          <w:sz w:val="22"/>
          <w:szCs w:val="22"/>
        </w:rPr>
        <w:t xml:space="preserve">de </w:t>
      </w:r>
      <w:r w:rsidR="00C369C0" w:rsidRPr="00AC4DA1">
        <w:rPr>
          <w:sz w:val="22"/>
          <w:szCs w:val="22"/>
        </w:rPr>
        <w:t xml:space="preserve">la </w:t>
      </w:r>
      <w:r w:rsidR="00BD0DF2" w:rsidRPr="00AC4DA1">
        <w:rPr>
          <w:sz w:val="22"/>
          <w:szCs w:val="22"/>
        </w:rPr>
        <w:t>pouponnière de Niamana à Bamako</w:t>
      </w:r>
      <w:r w:rsidR="00C369C0" w:rsidRPr="00AC4DA1">
        <w:rPr>
          <w:sz w:val="22"/>
          <w:szCs w:val="22"/>
        </w:rPr>
        <w:t xml:space="preserve"> qui vivent dans des conditions inhumaines qui ne sont ni placés dans les familles ni adoptés</w:t>
      </w:r>
      <w:r w:rsidRPr="00AC4DA1">
        <w:rPr>
          <w:sz w:val="22"/>
          <w:szCs w:val="22"/>
        </w:rPr>
        <w:t xml:space="preserve">. </w:t>
      </w:r>
      <w:r w:rsidR="00724A8B">
        <w:rPr>
          <w:sz w:val="22"/>
          <w:szCs w:val="22"/>
        </w:rPr>
        <w:t xml:space="preserve"> </w:t>
      </w:r>
    </w:p>
    <w:p w14:paraId="6E635C81" w14:textId="22F89E16" w:rsidR="00DD1E5D" w:rsidRPr="00AC4DA1" w:rsidRDefault="004976AA" w:rsidP="001260B3">
      <w:pPr>
        <w:pStyle w:val="Heading1"/>
        <w:rPr>
          <w:rFonts w:ascii="Times New Roman" w:hAnsi="Times New Roman"/>
          <w:sz w:val="22"/>
          <w:szCs w:val="22"/>
        </w:rPr>
      </w:pPr>
      <w:bookmarkStart w:id="49" w:name="_Toc128647527"/>
      <w:r w:rsidRPr="00AC4DA1">
        <w:rPr>
          <w:rFonts w:ascii="Times New Roman" w:hAnsi="Times New Roman"/>
          <w:sz w:val="22"/>
          <w:szCs w:val="22"/>
        </w:rPr>
        <w:t>Article 24 – Education</w:t>
      </w:r>
      <w:bookmarkEnd w:id="49"/>
    </w:p>
    <w:p w14:paraId="4844BFBD" w14:textId="7A00BFFD" w:rsidR="004976AA" w:rsidRPr="00AC4DA1" w:rsidRDefault="00C20F66" w:rsidP="000F5798">
      <w:pPr>
        <w:spacing w:line="276" w:lineRule="auto"/>
        <w:jc w:val="both"/>
        <w:rPr>
          <w:i/>
          <w:iCs/>
          <w:sz w:val="22"/>
          <w:szCs w:val="22"/>
        </w:rPr>
      </w:pPr>
      <w:r w:rsidRPr="00AC4DA1">
        <w:rPr>
          <w:rStyle w:val="CommentReference"/>
          <w:sz w:val="22"/>
          <w:szCs w:val="22"/>
        </w:rPr>
        <w:t>S</w:t>
      </w:r>
      <w:r w:rsidR="004976AA" w:rsidRPr="00AC4DA1">
        <w:rPr>
          <w:sz w:val="22"/>
          <w:szCs w:val="22"/>
        </w:rPr>
        <w:t>elon l’article 8 du décret N°2021-0662 PT/RM du 23 Septembre 2021 fixant les modalités d’application de la loi 2018-027 du 12 juin 2018 relative aux droits des personnes vivant avec un handicap</w:t>
      </w:r>
      <w:r w:rsidR="009F694F" w:rsidRPr="00AC4DA1">
        <w:rPr>
          <w:sz w:val="22"/>
          <w:szCs w:val="22"/>
        </w:rPr>
        <w:t xml:space="preserve">, </w:t>
      </w:r>
      <w:r w:rsidR="000F5798" w:rsidRPr="00AC4DA1">
        <w:rPr>
          <w:sz w:val="22"/>
          <w:szCs w:val="22"/>
        </w:rPr>
        <w:t>offre des mesures aux</w:t>
      </w:r>
      <w:r w:rsidR="004976AA" w:rsidRPr="00AC4DA1">
        <w:rPr>
          <w:sz w:val="22"/>
          <w:szCs w:val="22"/>
        </w:rPr>
        <w:t xml:space="preserve"> élèves et étudiants vivant avec un handicap</w:t>
      </w:r>
      <w:r w:rsidR="00724A8B">
        <w:rPr>
          <w:sz w:val="22"/>
          <w:szCs w:val="22"/>
        </w:rPr>
        <w:t>.</w:t>
      </w:r>
    </w:p>
    <w:p w14:paraId="64512342" w14:textId="77777777" w:rsidR="00724A8B" w:rsidRDefault="00724A8B" w:rsidP="009F694F">
      <w:pPr>
        <w:spacing w:line="276" w:lineRule="auto"/>
        <w:jc w:val="both"/>
        <w:rPr>
          <w:sz w:val="22"/>
          <w:szCs w:val="22"/>
        </w:rPr>
      </w:pPr>
    </w:p>
    <w:p w14:paraId="424FC662" w14:textId="5D1E0921" w:rsidR="00C20F66" w:rsidRPr="00AC4DA1" w:rsidRDefault="00C20F66" w:rsidP="009F694F">
      <w:pPr>
        <w:spacing w:line="276" w:lineRule="auto"/>
        <w:jc w:val="both"/>
        <w:rPr>
          <w:sz w:val="22"/>
          <w:szCs w:val="22"/>
        </w:rPr>
      </w:pPr>
      <w:r w:rsidRPr="00AC4DA1">
        <w:rPr>
          <w:sz w:val="22"/>
          <w:szCs w:val="22"/>
        </w:rPr>
        <w:t xml:space="preserve">Ces dispositions ne sont pas encore </w:t>
      </w:r>
      <w:r w:rsidR="000F5798" w:rsidRPr="00AC4DA1">
        <w:rPr>
          <w:sz w:val="22"/>
          <w:szCs w:val="22"/>
        </w:rPr>
        <w:t>mises</w:t>
      </w:r>
      <w:r w:rsidRPr="00AC4DA1">
        <w:rPr>
          <w:sz w:val="22"/>
          <w:szCs w:val="22"/>
        </w:rPr>
        <w:t xml:space="preserve"> en œuvre.</w:t>
      </w:r>
    </w:p>
    <w:p w14:paraId="61783F37" w14:textId="77777777" w:rsidR="00724A8B" w:rsidRDefault="00724A8B" w:rsidP="00F4685C">
      <w:pPr>
        <w:spacing w:line="276" w:lineRule="auto"/>
        <w:jc w:val="both"/>
        <w:rPr>
          <w:sz w:val="22"/>
          <w:szCs w:val="22"/>
        </w:rPr>
      </w:pPr>
    </w:p>
    <w:p w14:paraId="36AF7A47" w14:textId="5C031872" w:rsidR="004976AA" w:rsidRPr="00AC4DA1" w:rsidRDefault="004976AA" w:rsidP="00F4685C">
      <w:pPr>
        <w:spacing w:line="276" w:lineRule="auto"/>
        <w:jc w:val="both"/>
        <w:rPr>
          <w:sz w:val="22"/>
          <w:szCs w:val="22"/>
        </w:rPr>
      </w:pPr>
      <w:r w:rsidRPr="00AC4DA1">
        <w:rPr>
          <w:sz w:val="22"/>
          <w:szCs w:val="22"/>
        </w:rPr>
        <w:t>Selon la FEMAPH</w:t>
      </w:r>
      <w:r w:rsidR="005015D9">
        <w:rPr>
          <w:sz w:val="22"/>
          <w:szCs w:val="22"/>
        </w:rPr>
        <w:t>, m</w:t>
      </w:r>
      <w:r w:rsidRPr="00AC4DA1">
        <w:rPr>
          <w:sz w:val="22"/>
          <w:szCs w:val="22"/>
        </w:rPr>
        <w:t xml:space="preserve">algré les engagements pris par l’Etat </w:t>
      </w:r>
      <w:r w:rsidR="00077816" w:rsidRPr="00AC4DA1">
        <w:rPr>
          <w:sz w:val="22"/>
          <w:szCs w:val="22"/>
        </w:rPr>
        <w:t xml:space="preserve">notamment l’article 24 de la CDPH, </w:t>
      </w:r>
      <w:r w:rsidRPr="00AC4DA1">
        <w:rPr>
          <w:sz w:val="22"/>
          <w:szCs w:val="22"/>
        </w:rPr>
        <w:t>force est de reconnaître que :</w:t>
      </w:r>
    </w:p>
    <w:p w14:paraId="04F2C3DF" w14:textId="67574C8C" w:rsidR="004976AA" w:rsidRPr="00AC4DA1" w:rsidRDefault="004976AA" w:rsidP="00F4685C">
      <w:pPr>
        <w:spacing w:line="276" w:lineRule="auto"/>
        <w:jc w:val="both"/>
        <w:rPr>
          <w:sz w:val="22"/>
          <w:szCs w:val="22"/>
        </w:rPr>
      </w:pPr>
      <w:r w:rsidRPr="00AC4DA1">
        <w:rPr>
          <w:sz w:val="22"/>
          <w:szCs w:val="22"/>
        </w:rPr>
        <w:t>Toutes les Institutions d’éducation spéciale sont créées et gérées par les Associations de personnes handicapées avec l’appui de l’Etat et des Partenaires Techniques et Financiers. Certaines ont eu le statut d’utilité publique. Bien qu’elles jouent le rôle de l’Etat, ces institutions travaillent dans des conditions très difficiles et leur capacité d’accueil est très limité.</w:t>
      </w:r>
    </w:p>
    <w:p w14:paraId="7050FFD3" w14:textId="77777777" w:rsidR="004976AA" w:rsidRPr="00AC4DA1" w:rsidRDefault="004976AA" w:rsidP="004976AA">
      <w:pPr>
        <w:spacing w:line="276" w:lineRule="auto"/>
        <w:rPr>
          <w:sz w:val="22"/>
          <w:szCs w:val="22"/>
        </w:rPr>
      </w:pPr>
      <w:r w:rsidRPr="00AC4DA1">
        <w:rPr>
          <w:sz w:val="22"/>
          <w:szCs w:val="22"/>
        </w:rPr>
        <w:t xml:space="preserve">Les enfants non-voyants et sourds ont accès à l'éducation en Braille, en langue des signes, et à l’aide d’autres méthodes de communication comme le logiciel JAWS seulement dans les institutions spécialisées. </w:t>
      </w:r>
    </w:p>
    <w:p w14:paraId="6E733C3C" w14:textId="77777777" w:rsidR="004976AA" w:rsidRPr="00AC4DA1" w:rsidRDefault="004976AA" w:rsidP="00F4685C">
      <w:pPr>
        <w:spacing w:line="276" w:lineRule="auto"/>
        <w:jc w:val="both"/>
        <w:rPr>
          <w:sz w:val="22"/>
          <w:szCs w:val="22"/>
        </w:rPr>
      </w:pPr>
      <w:r w:rsidRPr="00AC4DA1">
        <w:rPr>
          <w:sz w:val="22"/>
          <w:szCs w:val="22"/>
        </w:rPr>
        <w:t>Les personnes sourdes ont accès à une éducation de qualité dans un environnement en langue des signes, notamment des enseignants qui utilisent couramment la langue des signes et des outils pédagogiques qui sont fournis en langue des signes, seulement dans les écoles de déficients auditifs qui se limitent au niveau fondamental et faiblement décentralisées à l’intérieur du pays.</w:t>
      </w:r>
    </w:p>
    <w:p w14:paraId="55DAA9EE" w14:textId="77777777" w:rsidR="004976AA" w:rsidRPr="00AC4DA1" w:rsidRDefault="004976AA" w:rsidP="00F4685C">
      <w:pPr>
        <w:spacing w:line="276" w:lineRule="auto"/>
        <w:jc w:val="both"/>
        <w:rPr>
          <w:sz w:val="22"/>
          <w:szCs w:val="22"/>
        </w:rPr>
      </w:pPr>
      <w:r w:rsidRPr="00AC4DA1">
        <w:rPr>
          <w:sz w:val="22"/>
          <w:szCs w:val="22"/>
        </w:rPr>
        <w:t>Les programmes d'éducation ne facilitent pas l'apprentissage de la langue des signes et ne soutiennent pas l'identité linguistique et culturelle des personnes sourdes.</w:t>
      </w:r>
    </w:p>
    <w:p w14:paraId="40B5EB19" w14:textId="77777777" w:rsidR="004976AA" w:rsidRPr="00AC4DA1" w:rsidRDefault="004976AA" w:rsidP="00F4685C">
      <w:pPr>
        <w:spacing w:line="276" w:lineRule="auto"/>
        <w:jc w:val="both"/>
        <w:rPr>
          <w:sz w:val="22"/>
          <w:szCs w:val="22"/>
        </w:rPr>
      </w:pPr>
      <w:r w:rsidRPr="00AC4DA1">
        <w:rPr>
          <w:sz w:val="22"/>
          <w:szCs w:val="22"/>
        </w:rPr>
        <w:lastRenderedPageBreak/>
        <w:t>L’Etat malien soutient l'apprentissage du Braille, de l’écriture adaptée, des modes et des moyens de communication améliorée et alternative, ainsi que le développement des capacités d’orientation uniquement au niveau des institutions d’éducation spéciale.</w:t>
      </w:r>
    </w:p>
    <w:p w14:paraId="1E08FD8B" w14:textId="77777777" w:rsidR="004976AA" w:rsidRPr="00AC4DA1" w:rsidRDefault="004976AA" w:rsidP="00F4685C">
      <w:pPr>
        <w:spacing w:line="276" w:lineRule="auto"/>
        <w:jc w:val="both"/>
        <w:rPr>
          <w:sz w:val="22"/>
          <w:szCs w:val="22"/>
        </w:rPr>
      </w:pPr>
      <w:r w:rsidRPr="00AC4DA1">
        <w:rPr>
          <w:sz w:val="22"/>
          <w:szCs w:val="22"/>
        </w:rPr>
        <w:t>La loi sur l'éducation veille à ce que les enfants handicapés puissent accéder seulement à l'enseignement préscolaire et fondamental. Ils ne reçoivent pas le soutien nécessaire au sein du système d'enseignement général pour faciliter leur éducation effective, y compris les aménagements raisonnables, quand ils le demandent.</w:t>
      </w:r>
    </w:p>
    <w:p w14:paraId="59F380B5" w14:textId="77777777" w:rsidR="004976AA" w:rsidRPr="00AC4DA1" w:rsidRDefault="004976AA" w:rsidP="004976AA">
      <w:pPr>
        <w:spacing w:line="276" w:lineRule="auto"/>
        <w:rPr>
          <w:sz w:val="22"/>
          <w:szCs w:val="22"/>
        </w:rPr>
      </w:pPr>
    </w:p>
    <w:p w14:paraId="44FB4DAE" w14:textId="77777777" w:rsidR="009F694F" w:rsidRPr="00AC4DA1" w:rsidRDefault="004976AA" w:rsidP="009F694F">
      <w:pPr>
        <w:spacing w:line="276" w:lineRule="auto"/>
        <w:jc w:val="both"/>
        <w:rPr>
          <w:sz w:val="22"/>
          <w:szCs w:val="22"/>
        </w:rPr>
      </w:pPr>
      <w:r w:rsidRPr="00AC4DA1">
        <w:rPr>
          <w:sz w:val="22"/>
          <w:szCs w:val="22"/>
        </w:rPr>
        <w:t>Il est incontestable que des efforts importants ont été déployés tant par l’État, les organisations de personnes handicapées et les partenaires au développement pour améliorer l’accès à l’éducation de l’enfant handicapé. On constate ainsi, pour tous les ordres d’enseignement, une amélioration de l’accès à l’éducation pour la population générale. Cependant, pour les personnes handicapées cet accès reste très faible dans les écoles ordinaires et à l’intérieur du pays. A titre d’exemple les personnes handicapées intellectuelles sont exclues du secondaire et les personnes sourdes se voient limitées au second cycle du secondaire faute d’interprètes professionnels en langue de signes. A ces contraintes d'ordre général s'ajoutent pour les personnes handicapées les difficultés suivantes :</w:t>
      </w:r>
    </w:p>
    <w:p w14:paraId="5E21FA52"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L’absence de données d’études et de recherches nationales devant nourrir une bonne planification ;</w:t>
      </w:r>
    </w:p>
    <w:p w14:paraId="39A8778C"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L’absence d’une politique nationale inclusive de l’éducation inclusive assortie de programmes et de budgets inclusifs ;</w:t>
      </w:r>
    </w:p>
    <w:p w14:paraId="1C24CCC0"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L’insuffisance de budget alloué à l’éducation des enfants handicapées ;</w:t>
      </w:r>
    </w:p>
    <w:p w14:paraId="0D335FFF"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L’inadaptation de curriculum de formation des enseignants ;</w:t>
      </w:r>
    </w:p>
    <w:p w14:paraId="41FCDAF7"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L’insuffisance notoire des spécialistes (éducateurs formés dans l’encadrement des enfants handicapés) ;</w:t>
      </w:r>
    </w:p>
    <w:p w14:paraId="6DE15614"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 xml:space="preserve">Le manque de coordination et synergie d’actions des différents partenaires </w:t>
      </w:r>
    </w:p>
    <w:p w14:paraId="7A2C9032"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lastRenderedPageBreak/>
        <w:t>Le problème de structures d’accueil et de transport pour les élèves handicapés sensoriels et intellectuels ;</w:t>
      </w:r>
    </w:p>
    <w:p w14:paraId="579C5FE3"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L’inaccessibilité des infrastructures scolaires et de la voirie ;</w:t>
      </w:r>
    </w:p>
    <w:p w14:paraId="74D2DD6C"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L’éloignement des écoles des lieux d’habitation des enfants handicapés ;</w:t>
      </w:r>
    </w:p>
    <w:p w14:paraId="135FBDD2"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Le manque d’interprètes professionnels en langue de signes et autres assistants personnels ;</w:t>
      </w:r>
    </w:p>
    <w:p w14:paraId="6A0D6784" w14:textId="77777777" w:rsidR="009F694F" w:rsidRPr="00AC4DA1" w:rsidRDefault="004976AA" w:rsidP="009F694F">
      <w:pPr>
        <w:pStyle w:val="ListParagraph"/>
        <w:numPr>
          <w:ilvl w:val="0"/>
          <w:numId w:val="29"/>
        </w:numPr>
        <w:spacing w:line="276" w:lineRule="auto"/>
        <w:jc w:val="both"/>
        <w:rPr>
          <w:sz w:val="22"/>
          <w:szCs w:val="22"/>
        </w:rPr>
      </w:pPr>
      <w:r w:rsidRPr="00AC4DA1">
        <w:rPr>
          <w:sz w:val="22"/>
          <w:szCs w:val="22"/>
        </w:rPr>
        <w:t>L’insuffisance de matériels didactiques adaptés ;</w:t>
      </w:r>
    </w:p>
    <w:p w14:paraId="22B882B3" w14:textId="6E1656D0" w:rsidR="004976AA" w:rsidRPr="00AC4DA1" w:rsidRDefault="004976AA" w:rsidP="009F694F">
      <w:pPr>
        <w:pStyle w:val="ListParagraph"/>
        <w:numPr>
          <w:ilvl w:val="0"/>
          <w:numId w:val="29"/>
        </w:numPr>
        <w:spacing w:line="276" w:lineRule="auto"/>
        <w:jc w:val="both"/>
        <w:rPr>
          <w:sz w:val="22"/>
          <w:szCs w:val="22"/>
        </w:rPr>
      </w:pPr>
      <w:r w:rsidRPr="00AC4DA1">
        <w:rPr>
          <w:sz w:val="22"/>
          <w:szCs w:val="22"/>
        </w:rPr>
        <w:t>L’insuffisance de la prise de conscience des parents et des communautés sur la possibilité et la nécessité de scolariser leurs enfants handicapés ;</w:t>
      </w:r>
    </w:p>
    <w:p w14:paraId="1B7AE30C" w14:textId="77777777" w:rsidR="004976AA" w:rsidRPr="00AC4DA1" w:rsidRDefault="004976AA" w:rsidP="00F4685C">
      <w:pPr>
        <w:spacing w:line="276" w:lineRule="auto"/>
        <w:jc w:val="both"/>
        <w:rPr>
          <w:sz w:val="22"/>
          <w:szCs w:val="22"/>
        </w:rPr>
      </w:pPr>
    </w:p>
    <w:p w14:paraId="54650AEA" w14:textId="77777777" w:rsidR="004976AA" w:rsidRPr="00AC4DA1" w:rsidRDefault="004976AA" w:rsidP="00F4685C">
      <w:pPr>
        <w:spacing w:line="276" w:lineRule="auto"/>
        <w:jc w:val="both"/>
        <w:rPr>
          <w:sz w:val="22"/>
          <w:szCs w:val="22"/>
        </w:rPr>
      </w:pPr>
      <w:r w:rsidRPr="00AC4DA1">
        <w:rPr>
          <w:sz w:val="22"/>
          <w:szCs w:val="22"/>
        </w:rPr>
        <w:t xml:space="preserve">Dans ce domaine, des mesures et des aménagements raisonnables ne sont pas prises pour l’accessibilité des salles de classe des écoles ordinaires, la formation des enseignants et l’adaptation du matériel didactique.  </w:t>
      </w:r>
    </w:p>
    <w:p w14:paraId="43609EC1" w14:textId="77777777" w:rsidR="004976AA" w:rsidRPr="00AC4DA1" w:rsidRDefault="004976AA" w:rsidP="00F4685C">
      <w:pPr>
        <w:spacing w:line="276" w:lineRule="auto"/>
        <w:jc w:val="both"/>
        <w:rPr>
          <w:sz w:val="22"/>
          <w:szCs w:val="22"/>
        </w:rPr>
      </w:pPr>
      <w:r w:rsidRPr="00AC4DA1">
        <w:rPr>
          <w:sz w:val="22"/>
          <w:szCs w:val="22"/>
        </w:rPr>
        <w:t>Les élèves sourds admis au Diplôme d’Etude Fondamentale (DEF) ne sont pas orientés dans les écoles professionnelles techniques et secondaires.</w:t>
      </w:r>
    </w:p>
    <w:p w14:paraId="6CB73398" w14:textId="77777777" w:rsidR="004976AA" w:rsidRPr="00AC4DA1" w:rsidRDefault="004976AA" w:rsidP="00F4685C">
      <w:pPr>
        <w:spacing w:line="276" w:lineRule="auto"/>
        <w:jc w:val="both"/>
        <w:rPr>
          <w:sz w:val="22"/>
          <w:szCs w:val="22"/>
        </w:rPr>
      </w:pPr>
      <w:r w:rsidRPr="00AC4DA1">
        <w:rPr>
          <w:sz w:val="22"/>
          <w:szCs w:val="22"/>
        </w:rPr>
        <w:t>Il existe des enfants handicapés qui sont considérés comme "inéducables" ou contraints de fréquenter des écoles spéciales en raison de la nature et de la gravité de leur handicap.</w:t>
      </w:r>
    </w:p>
    <w:p w14:paraId="4B43341F" w14:textId="77777777" w:rsidR="004976AA" w:rsidRPr="00AC4DA1" w:rsidRDefault="004976AA" w:rsidP="00F4685C">
      <w:pPr>
        <w:spacing w:line="276" w:lineRule="auto"/>
        <w:jc w:val="both"/>
        <w:rPr>
          <w:sz w:val="22"/>
          <w:szCs w:val="22"/>
        </w:rPr>
      </w:pPr>
      <w:r w:rsidRPr="00AC4DA1">
        <w:rPr>
          <w:sz w:val="22"/>
          <w:szCs w:val="22"/>
        </w:rPr>
        <w:t>Il y a des enfants qui sont obligés d’utiliser des traitements ou de subir un traitement médical comme condition pour recevoir une éducation (cas des enfants handicapés visuels, des déficients intellectuels et auditifs).</w:t>
      </w:r>
    </w:p>
    <w:p w14:paraId="6C33644C" w14:textId="77777777" w:rsidR="004976AA" w:rsidRPr="00AC4DA1" w:rsidRDefault="004976AA" w:rsidP="004976AA">
      <w:pPr>
        <w:spacing w:line="276" w:lineRule="auto"/>
        <w:rPr>
          <w:sz w:val="22"/>
          <w:szCs w:val="22"/>
        </w:rPr>
      </w:pPr>
      <w:r w:rsidRPr="00AC4DA1">
        <w:rPr>
          <w:sz w:val="22"/>
          <w:szCs w:val="22"/>
        </w:rPr>
        <w:t xml:space="preserve">Les étudiants en situation de handicap n’ont pas accès à tous les soutiens nécessaires dans l'enseignement universitaire. </w:t>
      </w:r>
    </w:p>
    <w:p w14:paraId="0A9BAC0D" w14:textId="77777777" w:rsidR="004976AA" w:rsidRPr="00AC4DA1" w:rsidRDefault="004976AA" w:rsidP="004976AA">
      <w:pPr>
        <w:spacing w:line="276" w:lineRule="auto"/>
        <w:rPr>
          <w:sz w:val="22"/>
          <w:szCs w:val="22"/>
        </w:rPr>
      </w:pPr>
      <w:r w:rsidRPr="00AC4DA1">
        <w:rPr>
          <w:sz w:val="22"/>
          <w:szCs w:val="22"/>
        </w:rPr>
        <w:t>Les enseignants de l’enseignement ordinaire ne bénéficient pas d'un soutien suffisant pour que les enfants handicapés puissent participer à l'éducation sur un pied d'égalité avec les autres enfants.</w:t>
      </w:r>
    </w:p>
    <w:p w14:paraId="11242CB1" w14:textId="77777777" w:rsidR="004976AA" w:rsidRPr="00AC4DA1" w:rsidRDefault="004976AA" w:rsidP="004976AA">
      <w:pPr>
        <w:spacing w:line="276" w:lineRule="auto"/>
        <w:rPr>
          <w:sz w:val="22"/>
          <w:szCs w:val="22"/>
        </w:rPr>
      </w:pPr>
      <w:r w:rsidRPr="00AC4DA1">
        <w:rPr>
          <w:sz w:val="22"/>
          <w:szCs w:val="22"/>
        </w:rPr>
        <w:t>Les programmes éducatifs sont inadaptés aux personnes handicapées sourdes et visuelles.</w:t>
      </w:r>
    </w:p>
    <w:p w14:paraId="33D33E18" w14:textId="2755DD87" w:rsidR="004976AA" w:rsidRPr="00AC4DA1" w:rsidRDefault="004976AA" w:rsidP="004976AA">
      <w:pPr>
        <w:spacing w:line="276" w:lineRule="auto"/>
        <w:rPr>
          <w:sz w:val="22"/>
          <w:szCs w:val="22"/>
        </w:rPr>
      </w:pPr>
      <w:r w:rsidRPr="00AC4DA1">
        <w:rPr>
          <w:sz w:val="22"/>
          <w:szCs w:val="22"/>
        </w:rPr>
        <w:lastRenderedPageBreak/>
        <w:t xml:space="preserve">Il existe des obstacles qui empêchent les personnes handicapées de devenir enseignant surtout pour les </w:t>
      </w:r>
      <w:r w:rsidR="00F4685C" w:rsidRPr="00AC4DA1">
        <w:rPr>
          <w:sz w:val="22"/>
          <w:szCs w:val="22"/>
        </w:rPr>
        <w:t>non-voyants</w:t>
      </w:r>
      <w:r w:rsidRPr="00AC4DA1">
        <w:rPr>
          <w:sz w:val="22"/>
          <w:szCs w:val="22"/>
        </w:rPr>
        <w:t xml:space="preserve">. </w:t>
      </w:r>
    </w:p>
    <w:p w14:paraId="4A01F69C" w14:textId="77777777" w:rsidR="004976AA" w:rsidRPr="00AC4DA1" w:rsidRDefault="004976AA" w:rsidP="004976AA">
      <w:pPr>
        <w:spacing w:line="276" w:lineRule="auto"/>
        <w:rPr>
          <w:sz w:val="22"/>
          <w:szCs w:val="22"/>
        </w:rPr>
      </w:pPr>
      <w:r w:rsidRPr="00AC4DA1">
        <w:rPr>
          <w:sz w:val="22"/>
          <w:szCs w:val="22"/>
        </w:rPr>
        <w:t>Le module sur l’éducation inclusive n’est pas encore intégré dans le manuel de formation des stagiaires des Instituts de formation des maîtres (IFM) au Mali.</w:t>
      </w:r>
    </w:p>
    <w:p w14:paraId="485E9AFC" w14:textId="77777777" w:rsidR="004976AA" w:rsidRPr="00AC4DA1" w:rsidRDefault="004976AA" w:rsidP="004976AA">
      <w:pPr>
        <w:spacing w:line="276" w:lineRule="auto"/>
        <w:rPr>
          <w:sz w:val="22"/>
          <w:szCs w:val="22"/>
        </w:rPr>
      </w:pPr>
    </w:p>
    <w:p w14:paraId="706C86FE" w14:textId="0D138B75" w:rsidR="004976AA" w:rsidRPr="00AC4DA1" w:rsidRDefault="00077816" w:rsidP="004976AA">
      <w:pPr>
        <w:spacing w:line="276" w:lineRule="auto"/>
        <w:rPr>
          <w:sz w:val="22"/>
          <w:szCs w:val="22"/>
        </w:rPr>
      </w:pPr>
      <w:r w:rsidRPr="00AC4DA1">
        <w:rPr>
          <w:sz w:val="22"/>
          <w:szCs w:val="22"/>
        </w:rPr>
        <w:t>Question</w:t>
      </w:r>
      <w:r w:rsidR="004976AA" w:rsidRPr="00AC4DA1">
        <w:rPr>
          <w:sz w:val="22"/>
          <w:szCs w:val="22"/>
        </w:rPr>
        <w:t>s :</w:t>
      </w:r>
    </w:p>
    <w:p w14:paraId="0E83A920" w14:textId="4709DC9D" w:rsidR="004976AA" w:rsidRPr="00724A8B" w:rsidRDefault="004A2D5B" w:rsidP="00724A8B">
      <w:pPr>
        <w:pStyle w:val="ListParagraph"/>
        <w:numPr>
          <w:ilvl w:val="0"/>
          <w:numId w:val="33"/>
        </w:numPr>
        <w:spacing w:line="276" w:lineRule="auto"/>
        <w:rPr>
          <w:sz w:val="22"/>
          <w:szCs w:val="22"/>
        </w:rPr>
      </w:pPr>
      <w:r w:rsidRPr="00724A8B">
        <w:rPr>
          <w:sz w:val="22"/>
          <w:szCs w:val="22"/>
        </w:rPr>
        <w:t>A quand</w:t>
      </w:r>
      <w:r w:rsidR="004976AA" w:rsidRPr="00724A8B">
        <w:rPr>
          <w:sz w:val="22"/>
          <w:szCs w:val="22"/>
        </w:rPr>
        <w:t xml:space="preserve"> une politique nationale de l’éducation inclu</w:t>
      </w:r>
      <w:r w:rsidR="009F694F" w:rsidRPr="00724A8B">
        <w:rPr>
          <w:sz w:val="22"/>
          <w:szCs w:val="22"/>
        </w:rPr>
        <w:t>sive</w:t>
      </w:r>
      <w:r w:rsidRPr="00724A8B">
        <w:rPr>
          <w:sz w:val="22"/>
          <w:szCs w:val="22"/>
        </w:rPr>
        <w:t> ?</w:t>
      </w:r>
    </w:p>
    <w:p w14:paraId="6BFBE4FF" w14:textId="26DB361D" w:rsidR="004976AA" w:rsidRPr="00724A8B" w:rsidRDefault="004A2D5B" w:rsidP="00724A8B">
      <w:pPr>
        <w:pStyle w:val="ListParagraph"/>
        <w:numPr>
          <w:ilvl w:val="0"/>
          <w:numId w:val="33"/>
        </w:numPr>
        <w:spacing w:line="276" w:lineRule="auto"/>
        <w:rPr>
          <w:sz w:val="22"/>
          <w:szCs w:val="22"/>
        </w:rPr>
      </w:pPr>
      <w:r w:rsidRPr="00724A8B">
        <w:rPr>
          <w:sz w:val="22"/>
          <w:szCs w:val="22"/>
        </w:rPr>
        <w:t xml:space="preserve">A quand la mise en place </w:t>
      </w:r>
      <w:r w:rsidR="004976AA" w:rsidRPr="00724A8B">
        <w:rPr>
          <w:sz w:val="22"/>
          <w:szCs w:val="22"/>
        </w:rPr>
        <w:t>des plans stratégiques de l’éducation inclusive assortis de plan d’action, de budget et d’indicateurs objectivement vérifiables</w:t>
      </w:r>
      <w:r w:rsidRPr="00724A8B">
        <w:rPr>
          <w:sz w:val="22"/>
          <w:szCs w:val="22"/>
        </w:rPr>
        <w:t> ?</w:t>
      </w:r>
    </w:p>
    <w:p w14:paraId="398D0991" w14:textId="5C6FD337" w:rsidR="004976AA" w:rsidRPr="00724A8B" w:rsidRDefault="004A2D5B" w:rsidP="00724A8B">
      <w:pPr>
        <w:pStyle w:val="ListParagraph"/>
        <w:numPr>
          <w:ilvl w:val="0"/>
          <w:numId w:val="33"/>
        </w:numPr>
        <w:spacing w:line="276" w:lineRule="auto"/>
        <w:rPr>
          <w:sz w:val="22"/>
          <w:szCs w:val="22"/>
        </w:rPr>
      </w:pPr>
      <w:r w:rsidRPr="00724A8B">
        <w:rPr>
          <w:sz w:val="22"/>
          <w:szCs w:val="22"/>
        </w:rPr>
        <w:t>A quand la mise</w:t>
      </w:r>
      <w:r w:rsidR="004976AA" w:rsidRPr="00724A8B">
        <w:rPr>
          <w:sz w:val="22"/>
          <w:szCs w:val="22"/>
        </w:rPr>
        <w:t xml:space="preserve"> en place</w:t>
      </w:r>
      <w:r w:rsidRPr="00724A8B">
        <w:rPr>
          <w:sz w:val="22"/>
          <w:szCs w:val="22"/>
        </w:rPr>
        <w:t xml:space="preserve"> de</w:t>
      </w:r>
      <w:r w:rsidR="004976AA" w:rsidRPr="00724A8B">
        <w:rPr>
          <w:sz w:val="22"/>
          <w:szCs w:val="22"/>
        </w:rPr>
        <w:t xml:space="preserve"> l’arrêté ministériel ou interministériel de l’article 8 relatif à l’éducation des enfants handicapés du Décret N° 2021-0662/PT-RM du 23 S</w:t>
      </w:r>
      <w:r w:rsidR="005015D9">
        <w:rPr>
          <w:sz w:val="22"/>
          <w:szCs w:val="22"/>
        </w:rPr>
        <w:t>EP</w:t>
      </w:r>
      <w:r w:rsidR="004976AA" w:rsidRPr="00724A8B">
        <w:rPr>
          <w:sz w:val="22"/>
          <w:szCs w:val="22"/>
        </w:rPr>
        <w:t>. 2021</w:t>
      </w:r>
      <w:r w:rsidRPr="00724A8B">
        <w:rPr>
          <w:sz w:val="22"/>
          <w:szCs w:val="22"/>
        </w:rPr>
        <w:t> ?</w:t>
      </w:r>
    </w:p>
    <w:p w14:paraId="72B4CE1F" w14:textId="7EEA5BA2" w:rsidR="004976AA" w:rsidRPr="00724A8B" w:rsidRDefault="004A2D5B" w:rsidP="00724A8B">
      <w:pPr>
        <w:pStyle w:val="ListParagraph"/>
        <w:numPr>
          <w:ilvl w:val="0"/>
          <w:numId w:val="33"/>
        </w:numPr>
        <w:spacing w:line="276" w:lineRule="auto"/>
        <w:rPr>
          <w:sz w:val="22"/>
          <w:szCs w:val="22"/>
        </w:rPr>
      </w:pPr>
      <w:r w:rsidRPr="00724A8B">
        <w:rPr>
          <w:sz w:val="22"/>
          <w:szCs w:val="22"/>
        </w:rPr>
        <w:t>Comment rendre</w:t>
      </w:r>
      <w:r w:rsidR="004976AA" w:rsidRPr="00724A8B">
        <w:rPr>
          <w:sz w:val="22"/>
          <w:szCs w:val="22"/>
        </w:rPr>
        <w:t xml:space="preserve"> le système d’information inclusif des données désagrégées par sexe, par type de handicap et par régions sur les personnes handicapées</w:t>
      </w:r>
      <w:r w:rsidRPr="00724A8B">
        <w:rPr>
          <w:sz w:val="22"/>
          <w:szCs w:val="22"/>
        </w:rPr>
        <w:t> ?</w:t>
      </w:r>
    </w:p>
    <w:p w14:paraId="1D548249" w14:textId="21DC3BD6" w:rsidR="004976AA" w:rsidRPr="00724A8B" w:rsidRDefault="004A2D5B" w:rsidP="00724A8B">
      <w:pPr>
        <w:pStyle w:val="ListParagraph"/>
        <w:numPr>
          <w:ilvl w:val="0"/>
          <w:numId w:val="33"/>
        </w:numPr>
        <w:spacing w:line="276" w:lineRule="auto"/>
        <w:rPr>
          <w:sz w:val="22"/>
          <w:szCs w:val="22"/>
        </w:rPr>
      </w:pPr>
      <w:r w:rsidRPr="00724A8B">
        <w:rPr>
          <w:sz w:val="22"/>
          <w:szCs w:val="22"/>
        </w:rPr>
        <w:t xml:space="preserve">A quand la mise </w:t>
      </w:r>
      <w:r w:rsidR="004976AA" w:rsidRPr="00724A8B">
        <w:rPr>
          <w:sz w:val="22"/>
          <w:szCs w:val="22"/>
        </w:rPr>
        <w:t xml:space="preserve">en œuvre </w:t>
      </w:r>
      <w:r w:rsidRPr="00724A8B">
        <w:rPr>
          <w:sz w:val="22"/>
          <w:szCs w:val="22"/>
        </w:rPr>
        <w:t>d’</w:t>
      </w:r>
      <w:r w:rsidR="004976AA" w:rsidRPr="00724A8B">
        <w:rPr>
          <w:sz w:val="22"/>
          <w:szCs w:val="22"/>
        </w:rPr>
        <w:t>un programme de renforcement des capacités des acteurs à tous les niveaux sur les concepts et les stratégies d’inclusion du handicap</w:t>
      </w:r>
      <w:r w:rsidRPr="00724A8B">
        <w:rPr>
          <w:sz w:val="22"/>
          <w:szCs w:val="22"/>
        </w:rPr>
        <w:t> ?</w:t>
      </w:r>
    </w:p>
    <w:p w14:paraId="4E16EA48" w14:textId="6E600348" w:rsidR="004976AA" w:rsidRPr="00724A8B" w:rsidRDefault="004A2D5B" w:rsidP="00724A8B">
      <w:pPr>
        <w:pStyle w:val="ListParagraph"/>
        <w:numPr>
          <w:ilvl w:val="0"/>
          <w:numId w:val="33"/>
        </w:numPr>
        <w:spacing w:line="276" w:lineRule="auto"/>
        <w:rPr>
          <w:sz w:val="22"/>
          <w:szCs w:val="22"/>
        </w:rPr>
      </w:pPr>
      <w:r w:rsidRPr="00724A8B">
        <w:rPr>
          <w:sz w:val="22"/>
          <w:szCs w:val="22"/>
        </w:rPr>
        <w:t>Quel mécanisme à mettre en place pour i</w:t>
      </w:r>
      <w:r w:rsidR="004976AA" w:rsidRPr="00724A8B">
        <w:rPr>
          <w:sz w:val="22"/>
          <w:szCs w:val="22"/>
        </w:rPr>
        <w:t>nclure dans les curricula de formation initiale et continue des enseignants, des modules sur les besoins relatifs aux personnes handicapées et rendre accessibles les infrastructures et outils pédagogiques aux personnes handicapées</w:t>
      </w:r>
      <w:r w:rsidRPr="00724A8B">
        <w:rPr>
          <w:sz w:val="22"/>
          <w:szCs w:val="22"/>
        </w:rPr>
        <w:t> ?</w:t>
      </w:r>
    </w:p>
    <w:p w14:paraId="62CE635F" w14:textId="352B8F46" w:rsidR="00F4685C" w:rsidRPr="00724A8B" w:rsidRDefault="00582BA9" w:rsidP="00724A8B">
      <w:pPr>
        <w:pStyle w:val="ListParagraph"/>
        <w:numPr>
          <w:ilvl w:val="0"/>
          <w:numId w:val="33"/>
        </w:numPr>
        <w:spacing w:line="276" w:lineRule="auto"/>
        <w:rPr>
          <w:sz w:val="22"/>
          <w:szCs w:val="22"/>
        </w:rPr>
      </w:pPr>
      <w:r w:rsidRPr="00724A8B">
        <w:rPr>
          <w:sz w:val="22"/>
          <w:szCs w:val="22"/>
        </w:rPr>
        <w:t xml:space="preserve">Comment </w:t>
      </w:r>
      <w:r w:rsidR="004A2D5B" w:rsidRPr="00724A8B">
        <w:rPr>
          <w:sz w:val="22"/>
          <w:szCs w:val="22"/>
        </w:rPr>
        <w:t>a</w:t>
      </w:r>
      <w:r w:rsidR="004976AA" w:rsidRPr="00724A8B">
        <w:rPr>
          <w:sz w:val="22"/>
          <w:szCs w:val="22"/>
        </w:rPr>
        <w:t>dapter les programmes éducatifs aux personnes handicapées sourdes et visuelles</w:t>
      </w:r>
      <w:r w:rsidR="004A2D5B" w:rsidRPr="00724A8B">
        <w:rPr>
          <w:sz w:val="22"/>
          <w:szCs w:val="22"/>
        </w:rPr>
        <w:t> ?</w:t>
      </w:r>
    </w:p>
    <w:p w14:paraId="77639ABB" w14:textId="22C72208" w:rsidR="004976AA" w:rsidRPr="00AC4DA1" w:rsidRDefault="004976AA" w:rsidP="001260B3">
      <w:pPr>
        <w:pStyle w:val="Heading1"/>
        <w:rPr>
          <w:rFonts w:ascii="Times New Roman" w:hAnsi="Times New Roman"/>
          <w:sz w:val="22"/>
          <w:szCs w:val="22"/>
        </w:rPr>
      </w:pPr>
      <w:bookmarkStart w:id="50" w:name="_Toc128647528"/>
      <w:r w:rsidRPr="00AC4DA1">
        <w:rPr>
          <w:rFonts w:ascii="Times New Roman" w:hAnsi="Times New Roman"/>
          <w:sz w:val="22"/>
          <w:szCs w:val="22"/>
        </w:rPr>
        <w:t>Article 25 – Santé</w:t>
      </w:r>
      <w:bookmarkEnd w:id="50"/>
    </w:p>
    <w:p w14:paraId="193D0C7B" w14:textId="4906C557" w:rsidR="004976AA" w:rsidRPr="00AC4DA1" w:rsidRDefault="004976AA" w:rsidP="004E106B">
      <w:pPr>
        <w:spacing w:line="276" w:lineRule="auto"/>
        <w:jc w:val="both"/>
        <w:rPr>
          <w:sz w:val="22"/>
          <w:szCs w:val="22"/>
        </w:rPr>
      </w:pPr>
      <w:r w:rsidRPr="00AC4DA1">
        <w:rPr>
          <w:sz w:val="22"/>
          <w:szCs w:val="22"/>
        </w:rPr>
        <w:t>Selon la FEMAPH</w:t>
      </w:r>
      <w:r w:rsidR="002F72AC">
        <w:rPr>
          <w:sz w:val="22"/>
          <w:szCs w:val="22"/>
        </w:rPr>
        <w:t>, l</w:t>
      </w:r>
      <w:r w:rsidRPr="00AC4DA1">
        <w:rPr>
          <w:sz w:val="22"/>
          <w:szCs w:val="22"/>
        </w:rPr>
        <w:t xml:space="preserve">a législation générale relative à la santé prévoit certaines dispositions </w:t>
      </w:r>
      <w:r w:rsidR="00ED7CFF" w:rsidRPr="00AC4DA1">
        <w:rPr>
          <w:sz w:val="22"/>
          <w:szCs w:val="22"/>
        </w:rPr>
        <w:t xml:space="preserve">dans le rapport de l’Etat </w:t>
      </w:r>
      <w:r w:rsidRPr="00AC4DA1">
        <w:rPr>
          <w:sz w:val="22"/>
          <w:szCs w:val="22"/>
        </w:rPr>
        <w:t>qui protègent les personnes handicapées contre la discrimination dans l'accès à tous les services de santé, y compris dans le domaine de la santé sexuelle.</w:t>
      </w:r>
    </w:p>
    <w:p w14:paraId="561481FB" w14:textId="77777777" w:rsidR="004976AA" w:rsidRPr="00AC4DA1" w:rsidRDefault="004976AA" w:rsidP="004E106B">
      <w:pPr>
        <w:spacing w:line="276" w:lineRule="auto"/>
        <w:jc w:val="both"/>
        <w:rPr>
          <w:sz w:val="22"/>
          <w:szCs w:val="22"/>
        </w:rPr>
      </w:pPr>
    </w:p>
    <w:p w14:paraId="6BCB55F8" w14:textId="77777777" w:rsidR="004976AA" w:rsidRPr="00AC4DA1" w:rsidRDefault="004976AA" w:rsidP="004E106B">
      <w:pPr>
        <w:spacing w:line="276" w:lineRule="auto"/>
        <w:jc w:val="both"/>
        <w:rPr>
          <w:sz w:val="22"/>
          <w:szCs w:val="22"/>
        </w:rPr>
      </w:pPr>
      <w:r w:rsidRPr="00AC4DA1">
        <w:rPr>
          <w:sz w:val="22"/>
          <w:szCs w:val="22"/>
        </w:rPr>
        <w:lastRenderedPageBreak/>
        <w:t>La législation assure que les personnes handicapées reçoivent des soins médicaux sur la base de leur consentement libre et éclairé et que le traitement n'est pas fourni sans leur consentement.</w:t>
      </w:r>
    </w:p>
    <w:p w14:paraId="72ADF87C" w14:textId="77777777" w:rsidR="004976AA" w:rsidRPr="00AC4DA1" w:rsidRDefault="004976AA" w:rsidP="004E106B">
      <w:pPr>
        <w:spacing w:line="276" w:lineRule="auto"/>
        <w:jc w:val="both"/>
        <w:rPr>
          <w:sz w:val="22"/>
          <w:szCs w:val="22"/>
        </w:rPr>
      </w:pPr>
    </w:p>
    <w:p w14:paraId="1722B4BF" w14:textId="77777777" w:rsidR="004976AA" w:rsidRPr="00AC4DA1" w:rsidRDefault="004976AA" w:rsidP="004E106B">
      <w:pPr>
        <w:spacing w:line="276" w:lineRule="auto"/>
        <w:jc w:val="both"/>
        <w:rPr>
          <w:sz w:val="22"/>
          <w:szCs w:val="22"/>
        </w:rPr>
      </w:pPr>
      <w:r w:rsidRPr="00AC4DA1">
        <w:rPr>
          <w:sz w:val="22"/>
          <w:szCs w:val="22"/>
        </w:rPr>
        <w:t>L’État garantit les services de santé nécessaires au dépistage et aux interventions précoces pour les personnes handicapées y compris les enfants handicapés à travers les journées nationales de vaccination et les services de consultations pré et post natales.</w:t>
      </w:r>
    </w:p>
    <w:p w14:paraId="297CB511" w14:textId="77777777" w:rsidR="004976AA" w:rsidRPr="00AC4DA1" w:rsidRDefault="004976AA" w:rsidP="004E106B">
      <w:pPr>
        <w:spacing w:line="276" w:lineRule="auto"/>
        <w:jc w:val="both"/>
        <w:rPr>
          <w:sz w:val="22"/>
          <w:szCs w:val="22"/>
        </w:rPr>
      </w:pPr>
    </w:p>
    <w:p w14:paraId="303B1110" w14:textId="77777777" w:rsidR="004976AA" w:rsidRPr="00AC4DA1" w:rsidRDefault="004976AA" w:rsidP="004E106B">
      <w:pPr>
        <w:spacing w:line="276" w:lineRule="auto"/>
        <w:jc w:val="both"/>
        <w:rPr>
          <w:sz w:val="22"/>
          <w:szCs w:val="22"/>
        </w:rPr>
      </w:pPr>
      <w:r w:rsidRPr="00AC4DA1">
        <w:rPr>
          <w:sz w:val="22"/>
          <w:szCs w:val="22"/>
        </w:rPr>
        <w:t>L'Etat n’encourage aucune identification précoce inappropriée, aucune intervention, ni médicalisation inappropriée, concernant le développement des enfants.</w:t>
      </w:r>
    </w:p>
    <w:p w14:paraId="650A5C04" w14:textId="77777777" w:rsidR="004976AA" w:rsidRPr="00AC4DA1" w:rsidRDefault="004976AA" w:rsidP="004E106B">
      <w:pPr>
        <w:spacing w:line="276" w:lineRule="auto"/>
        <w:jc w:val="both"/>
        <w:rPr>
          <w:sz w:val="22"/>
          <w:szCs w:val="22"/>
        </w:rPr>
      </w:pPr>
    </w:p>
    <w:p w14:paraId="5978F10D" w14:textId="77777777" w:rsidR="004976AA" w:rsidRPr="00AC4DA1" w:rsidRDefault="004976AA" w:rsidP="004E106B">
      <w:pPr>
        <w:spacing w:line="276" w:lineRule="auto"/>
        <w:jc w:val="both"/>
        <w:rPr>
          <w:sz w:val="22"/>
          <w:szCs w:val="22"/>
        </w:rPr>
      </w:pPr>
      <w:r w:rsidRPr="00AC4DA1">
        <w:rPr>
          <w:sz w:val="22"/>
          <w:szCs w:val="22"/>
        </w:rPr>
        <w:t>Malgré les acquis force est de reconnaître que.</w:t>
      </w:r>
    </w:p>
    <w:p w14:paraId="0FC45345" w14:textId="77777777" w:rsidR="004976AA" w:rsidRPr="00AC4DA1" w:rsidRDefault="004976AA" w:rsidP="004E106B">
      <w:pPr>
        <w:spacing w:line="276" w:lineRule="auto"/>
        <w:jc w:val="both"/>
        <w:rPr>
          <w:sz w:val="22"/>
          <w:szCs w:val="22"/>
        </w:rPr>
      </w:pPr>
      <w:r w:rsidRPr="00AC4DA1">
        <w:rPr>
          <w:sz w:val="22"/>
          <w:szCs w:val="22"/>
        </w:rPr>
        <w:t xml:space="preserve">Les personnes handicapées qui ont des besoins médicaux spécifiques liés au handicap ont difficilement accès aux services de santé requis dans les formations sanitaires publiques et privées. Les prestaires n’ont pas reçu de formation appropriée liée aux spécificités des différents types de handicap. </w:t>
      </w:r>
    </w:p>
    <w:p w14:paraId="79BB45D8" w14:textId="77777777" w:rsidR="004976AA" w:rsidRPr="00AC4DA1" w:rsidRDefault="004976AA" w:rsidP="004E106B">
      <w:pPr>
        <w:spacing w:line="276" w:lineRule="auto"/>
        <w:jc w:val="both"/>
        <w:rPr>
          <w:sz w:val="22"/>
          <w:szCs w:val="22"/>
        </w:rPr>
      </w:pPr>
      <w:r w:rsidRPr="00AC4DA1">
        <w:rPr>
          <w:sz w:val="22"/>
          <w:szCs w:val="22"/>
        </w:rPr>
        <w:t>Les services de santé généraux ne sont pas très respectueux des droits des personnes handicapées, y compris toutes les questions d'accessibilité qui y sont liées (langue des signes, informations sous d’autres formes comme le Braille et le langage simple, installations accessibles).</w:t>
      </w:r>
    </w:p>
    <w:p w14:paraId="2073701F" w14:textId="77777777" w:rsidR="004976AA" w:rsidRPr="00AC4DA1" w:rsidRDefault="004976AA" w:rsidP="004E106B">
      <w:pPr>
        <w:spacing w:line="276" w:lineRule="auto"/>
        <w:jc w:val="both"/>
        <w:rPr>
          <w:sz w:val="22"/>
          <w:szCs w:val="22"/>
        </w:rPr>
      </w:pPr>
      <w:r w:rsidRPr="00AC4DA1">
        <w:rPr>
          <w:sz w:val="22"/>
          <w:szCs w:val="22"/>
        </w:rPr>
        <w:t>Les infrastructures, installations et équipements sont conçus sans tenir compte des besoins spécifiques des différents types de handicap.</w:t>
      </w:r>
    </w:p>
    <w:p w14:paraId="07A12A75" w14:textId="77777777" w:rsidR="004976AA" w:rsidRPr="00AC4DA1" w:rsidRDefault="004976AA" w:rsidP="004E106B">
      <w:pPr>
        <w:spacing w:line="276" w:lineRule="auto"/>
        <w:jc w:val="both"/>
        <w:rPr>
          <w:sz w:val="22"/>
          <w:szCs w:val="22"/>
        </w:rPr>
      </w:pPr>
      <w:r w:rsidRPr="00AC4DA1">
        <w:rPr>
          <w:sz w:val="22"/>
          <w:szCs w:val="22"/>
        </w:rPr>
        <w:t>Les personnes handicapées ont accès aux soins de réadaptation, à un coût abordable seulement dans les capitales régionales. A l’intérieur du pays, elles sont confrontées à d’énormes difficultés en termes de disponibilité des services et en termes de coût très souvent élevé en rapport avec leur pouvoir d’achat.</w:t>
      </w:r>
    </w:p>
    <w:p w14:paraId="4CE69223" w14:textId="77777777" w:rsidR="004976AA" w:rsidRPr="00AC4DA1" w:rsidRDefault="004976AA" w:rsidP="004E106B">
      <w:pPr>
        <w:spacing w:line="276" w:lineRule="auto"/>
        <w:jc w:val="both"/>
        <w:rPr>
          <w:sz w:val="22"/>
          <w:szCs w:val="22"/>
        </w:rPr>
      </w:pPr>
      <w:r w:rsidRPr="00AC4DA1">
        <w:rPr>
          <w:sz w:val="22"/>
          <w:szCs w:val="22"/>
        </w:rPr>
        <w:t>Les campagnes de santé publique ne sont pas conçues de manière à ce qu'elles soient accessibles aux personnes handicapées surtout visuelles et auditives.</w:t>
      </w:r>
    </w:p>
    <w:p w14:paraId="44811511" w14:textId="77777777" w:rsidR="004976AA" w:rsidRPr="00AC4DA1" w:rsidRDefault="004976AA" w:rsidP="004E106B">
      <w:pPr>
        <w:spacing w:line="276" w:lineRule="auto"/>
        <w:jc w:val="both"/>
        <w:rPr>
          <w:sz w:val="22"/>
          <w:szCs w:val="22"/>
        </w:rPr>
      </w:pPr>
      <w:r w:rsidRPr="00AC4DA1">
        <w:rPr>
          <w:sz w:val="22"/>
          <w:szCs w:val="22"/>
        </w:rPr>
        <w:lastRenderedPageBreak/>
        <w:t>Les médecins et autres professionnels de santé ne reçoivent pas une formation sur les droits des personnes handicapées. L’Union Malienne des Associations et Comités de Femmes handicapées (UMAFH) a entrepris des actions de formation des professionnels de la santé sur la prise en compte des Personnes Handicapées en général et des Femmes Handicapées en particulier. Handicap International a aussi formé des professionnels de la santé sur l’accueil et la prise en charge des Personnes handicapées.</w:t>
      </w:r>
    </w:p>
    <w:p w14:paraId="27120A8A" w14:textId="77777777" w:rsidR="004976AA" w:rsidRPr="00AC4DA1" w:rsidRDefault="004976AA" w:rsidP="004E106B">
      <w:pPr>
        <w:spacing w:line="276" w:lineRule="auto"/>
        <w:jc w:val="both"/>
        <w:rPr>
          <w:sz w:val="22"/>
          <w:szCs w:val="22"/>
        </w:rPr>
      </w:pPr>
      <w:r w:rsidRPr="00AC4DA1">
        <w:rPr>
          <w:sz w:val="22"/>
          <w:szCs w:val="22"/>
        </w:rPr>
        <w:t>Selon les types de handicap, les équipements ne sont pas adaptés, le personnel soignant n’est pas formé par rapport à l’accueil des personnes handicapées.</w:t>
      </w:r>
    </w:p>
    <w:p w14:paraId="7A2B100B" w14:textId="77777777" w:rsidR="004976AA" w:rsidRPr="00AC4DA1" w:rsidRDefault="004976AA" w:rsidP="004976AA">
      <w:pPr>
        <w:spacing w:line="276" w:lineRule="auto"/>
        <w:rPr>
          <w:sz w:val="22"/>
          <w:szCs w:val="22"/>
        </w:rPr>
      </w:pPr>
    </w:p>
    <w:p w14:paraId="611373E0" w14:textId="2810BD93" w:rsidR="004976AA" w:rsidRPr="00724A8B" w:rsidRDefault="00ED7CFF" w:rsidP="004976AA">
      <w:pPr>
        <w:spacing w:line="276" w:lineRule="auto"/>
        <w:rPr>
          <w:sz w:val="22"/>
          <w:szCs w:val="22"/>
        </w:rPr>
      </w:pPr>
      <w:r w:rsidRPr="00724A8B">
        <w:rPr>
          <w:sz w:val="22"/>
          <w:szCs w:val="22"/>
        </w:rPr>
        <w:t>Quest</w:t>
      </w:r>
      <w:r w:rsidR="004976AA" w:rsidRPr="00724A8B">
        <w:rPr>
          <w:sz w:val="22"/>
          <w:szCs w:val="22"/>
        </w:rPr>
        <w:t xml:space="preserve">ions : </w:t>
      </w:r>
    </w:p>
    <w:p w14:paraId="42513835" w14:textId="3D373946" w:rsidR="004976AA" w:rsidRPr="00724A8B" w:rsidRDefault="004976AA" w:rsidP="00724A8B">
      <w:pPr>
        <w:pStyle w:val="ListParagraph"/>
        <w:numPr>
          <w:ilvl w:val="0"/>
          <w:numId w:val="37"/>
        </w:numPr>
        <w:spacing w:line="276" w:lineRule="auto"/>
        <w:rPr>
          <w:sz w:val="22"/>
          <w:szCs w:val="22"/>
        </w:rPr>
      </w:pPr>
      <w:r w:rsidRPr="00724A8B">
        <w:rPr>
          <w:sz w:val="22"/>
          <w:szCs w:val="22"/>
        </w:rPr>
        <w:t>Faire adopter une loi relative à la non-discrimination,</w:t>
      </w:r>
    </w:p>
    <w:p w14:paraId="40E62F4E" w14:textId="388F8977" w:rsidR="004976AA" w:rsidRPr="00724A8B" w:rsidRDefault="00ED7CFF" w:rsidP="00724A8B">
      <w:pPr>
        <w:pStyle w:val="ListParagraph"/>
        <w:numPr>
          <w:ilvl w:val="0"/>
          <w:numId w:val="37"/>
        </w:numPr>
        <w:spacing w:line="276" w:lineRule="auto"/>
        <w:rPr>
          <w:sz w:val="22"/>
          <w:szCs w:val="22"/>
        </w:rPr>
      </w:pPr>
      <w:r w:rsidRPr="00724A8B">
        <w:rPr>
          <w:sz w:val="22"/>
          <w:szCs w:val="22"/>
        </w:rPr>
        <w:t xml:space="preserve">A quand </w:t>
      </w:r>
      <w:r w:rsidR="004976AA" w:rsidRPr="00724A8B">
        <w:rPr>
          <w:sz w:val="22"/>
          <w:szCs w:val="22"/>
        </w:rPr>
        <w:t>l’arrêté ministériel ou interministériel de l’article 8 relatif à la santé et à l’éducation des enfants handicapés du Décret N° 2021-0662/PT-RM du 23 Septembre 2021</w:t>
      </w:r>
      <w:r w:rsidRPr="00724A8B">
        <w:rPr>
          <w:sz w:val="22"/>
          <w:szCs w:val="22"/>
        </w:rPr>
        <w:t> ?</w:t>
      </w:r>
    </w:p>
    <w:p w14:paraId="59B1AC4F" w14:textId="252FDD78" w:rsidR="004976AA" w:rsidRPr="00724A8B" w:rsidRDefault="00ED7CFF" w:rsidP="00724A8B">
      <w:pPr>
        <w:pStyle w:val="ListParagraph"/>
        <w:numPr>
          <w:ilvl w:val="0"/>
          <w:numId w:val="37"/>
        </w:numPr>
        <w:spacing w:line="276" w:lineRule="auto"/>
        <w:rPr>
          <w:sz w:val="22"/>
          <w:szCs w:val="22"/>
        </w:rPr>
      </w:pPr>
      <w:r w:rsidRPr="00724A8B">
        <w:rPr>
          <w:sz w:val="22"/>
          <w:szCs w:val="22"/>
        </w:rPr>
        <w:t>Comment r</w:t>
      </w:r>
      <w:r w:rsidR="004976AA" w:rsidRPr="00724A8B">
        <w:rPr>
          <w:sz w:val="22"/>
          <w:szCs w:val="22"/>
        </w:rPr>
        <w:t xml:space="preserve">endre le système d’information </w:t>
      </w:r>
      <w:r w:rsidRPr="00724A8B">
        <w:rPr>
          <w:sz w:val="22"/>
          <w:szCs w:val="22"/>
        </w:rPr>
        <w:t xml:space="preserve">sanitaire </w:t>
      </w:r>
      <w:r w:rsidR="004976AA" w:rsidRPr="00724A8B">
        <w:rPr>
          <w:sz w:val="22"/>
          <w:szCs w:val="22"/>
        </w:rPr>
        <w:t>inclusif des données désagrégées par sexe, par type de handicap et par régions</w:t>
      </w:r>
      <w:r w:rsidRPr="00724A8B">
        <w:rPr>
          <w:sz w:val="22"/>
          <w:szCs w:val="22"/>
        </w:rPr>
        <w:t> ?</w:t>
      </w:r>
    </w:p>
    <w:p w14:paraId="102C3EE6" w14:textId="3F730FE4" w:rsidR="004976AA" w:rsidRPr="00724A8B" w:rsidRDefault="00ED7CFF" w:rsidP="00724A8B">
      <w:pPr>
        <w:pStyle w:val="ListParagraph"/>
        <w:numPr>
          <w:ilvl w:val="0"/>
          <w:numId w:val="37"/>
        </w:numPr>
        <w:spacing w:line="276" w:lineRule="auto"/>
        <w:rPr>
          <w:sz w:val="22"/>
          <w:szCs w:val="22"/>
        </w:rPr>
      </w:pPr>
      <w:r w:rsidRPr="00724A8B">
        <w:rPr>
          <w:sz w:val="22"/>
          <w:szCs w:val="22"/>
        </w:rPr>
        <w:t>Comment m</w:t>
      </w:r>
      <w:r w:rsidR="004976AA" w:rsidRPr="00724A8B">
        <w:rPr>
          <w:sz w:val="22"/>
          <w:szCs w:val="22"/>
        </w:rPr>
        <w:t>ettre en œuvre un programme de renforcement des capacités des acteurs à tous les niveaux sur les concepts et les stratégies d’inclusion du handicap</w:t>
      </w:r>
      <w:r w:rsidRPr="00724A8B">
        <w:rPr>
          <w:sz w:val="22"/>
          <w:szCs w:val="22"/>
        </w:rPr>
        <w:t> ?</w:t>
      </w:r>
    </w:p>
    <w:p w14:paraId="0C75BC20" w14:textId="6B31BB2D" w:rsidR="004976AA" w:rsidRPr="00724A8B" w:rsidRDefault="00ED7CFF" w:rsidP="00724A8B">
      <w:pPr>
        <w:pStyle w:val="ListParagraph"/>
        <w:numPr>
          <w:ilvl w:val="0"/>
          <w:numId w:val="37"/>
        </w:numPr>
        <w:spacing w:line="276" w:lineRule="auto"/>
        <w:rPr>
          <w:sz w:val="22"/>
          <w:szCs w:val="22"/>
        </w:rPr>
      </w:pPr>
      <w:r w:rsidRPr="00724A8B">
        <w:rPr>
          <w:sz w:val="22"/>
          <w:szCs w:val="22"/>
        </w:rPr>
        <w:t>A quand la f</w:t>
      </w:r>
      <w:r w:rsidR="004976AA" w:rsidRPr="00724A8B">
        <w:rPr>
          <w:sz w:val="22"/>
          <w:szCs w:val="22"/>
        </w:rPr>
        <w:t>orm</w:t>
      </w:r>
      <w:r w:rsidRPr="00724A8B">
        <w:rPr>
          <w:sz w:val="22"/>
          <w:szCs w:val="22"/>
        </w:rPr>
        <w:t>ation d</w:t>
      </w:r>
      <w:r w:rsidR="004976AA" w:rsidRPr="00724A8B">
        <w:rPr>
          <w:sz w:val="22"/>
          <w:szCs w:val="22"/>
        </w:rPr>
        <w:t xml:space="preserve">es prestaires de santé sur les questions liées aux </w:t>
      </w:r>
      <w:r w:rsidR="002D6FC0" w:rsidRPr="00724A8B">
        <w:rPr>
          <w:sz w:val="22"/>
          <w:szCs w:val="22"/>
        </w:rPr>
        <w:t>besoins spécifiques</w:t>
      </w:r>
      <w:r w:rsidR="004976AA" w:rsidRPr="00724A8B">
        <w:rPr>
          <w:sz w:val="22"/>
          <w:szCs w:val="22"/>
        </w:rPr>
        <w:t xml:space="preserve"> </w:t>
      </w:r>
      <w:r w:rsidR="00D27D64" w:rsidRPr="00724A8B">
        <w:rPr>
          <w:sz w:val="22"/>
          <w:szCs w:val="22"/>
        </w:rPr>
        <w:t xml:space="preserve">à chaque </w:t>
      </w:r>
      <w:r w:rsidR="004976AA" w:rsidRPr="00724A8B">
        <w:rPr>
          <w:sz w:val="22"/>
          <w:szCs w:val="22"/>
        </w:rPr>
        <w:t>type de handicap</w:t>
      </w:r>
      <w:r w:rsidR="002D6FC0" w:rsidRPr="00724A8B">
        <w:rPr>
          <w:sz w:val="22"/>
          <w:szCs w:val="22"/>
        </w:rPr>
        <w:t> ?</w:t>
      </w:r>
    </w:p>
    <w:p w14:paraId="1BBEBE71" w14:textId="576DC337" w:rsidR="004976AA" w:rsidRPr="00724A8B" w:rsidRDefault="004976AA" w:rsidP="00724A8B">
      <w:pPr>
        <w:pStyle w:val="ListParagraph"/>
        <w:numPr>
          <w:ilvl w:val="0"/>
          <w:numId w:val="37"/>
        </w:numPr>
        <w:spacing w:line="276" w:lineRule="auto"/>
        <w:rPr>
          <w:sz w:val="22"/>
          <w:szCs w:val="22"/>
        </w:rPr>
      </w:pPr>
      <w:r w:rsidRPr="00724A8B">
        <w:rPr>
          <w:sz w:val="22"/>
          <w:szCs w:val="22"/>
        </w:rPr>
        <w:t>Rendre les messages des campagnes de santé publiques plus accessibles aux personnes handicapées,</w:t>
      </w:r>
    </w:p>
    <w:p w14:paraId="7F9CABF8" w14:textId="308325A0" w:rsidR="004976AA" w:rsidRPr="00724A8B" w:rsidRDefault="002D6FC0" w:rsidP="00724A8B">
      <w:pPr>
        <w:pStyle w:val="ListParagraph"/>
        <w:numPr>
          <w:ilvl w:val="0"/>
          <w:numId w:val="37"/>
        </w:numPr>
        <w:spacing w:line="276" w:lineRule="auto"/>
        <w:rPr>
          <w:sz w:val="22"/>
          <w:szCs w:val="22"/>
        </w:rPr>
      </w:pPr>
      <w:r w:rsidRPr="00724A8B">
        <w:rPr>
          <w:sz w:val="22"/>
          <w:szCs w:val="22"/>
        </w:rPr>
        <w:t>Comment r</w:t>
      </w:r>
      <w:r w:rsidR="004976AA" w:rsidRPr="00724A8B">
        <w:rPr>
          <w:sz w:val="22"/>
          <w:szCs w:val="22"/>
        </w:rPr>
        <w:t>endre accessibles l’environnement (infrastructures, installations, équipements) et les outils des centres de santé aux personnes handicapées</w:t>
      </w:r>
      <w:r w:rsidRPr="00724A8B">
        <w:rPr>
          <w:sz w:val="22"/>
          <w:szCs w:val="22"/>
        </w:rPr>
        <w:t> ?</w:t>
      </w:r>
    </w:p>
    <w:p w14:paraId="387E4EC4" w14:textId="4593EC0E" w:rsidR="004976AA" w:rsidRPr="00724A8B" w:rsidRDefault="002D6FC0" w:rsidP="00724A8B">
      <w:pPr>
        <w:pStyle w:val="ListParagraph"/>
        <w:numPr>
          <w:ilvl w:val="0"/>
          <w:numId w:val="37"/>
        </w:numPr>
        <w:spacing w:line="276" w:lineRule="auto"/>
        <w:rPr>
          <w:sz w:val="22"/>
          <w:szCs w:val="22"/>
        </w:rPr>
      </w:pPr>
      <w:r w:rsidRPr="00724A8B">
        <w:rPr>
          <w:sz w:val="22"/>
          <w:szCs w:val="22"/>
        </w:rPr>
        <w:t>A quand l’extension d</w:t>
      </w:r>
      <w:r w:rsidR="004976AA" w:rsidRPr="00724A8B">
        <w:rPr>
          <w:sz w:val="22"/>
          <w:szCs w:val="22"/>
        </w:rPr>
        <w:t>es services de rééducation et de réadaptation sur l’ensemble du territoire national</w:t>
      </w:r>
      <w:r w:rsidRPr="00724A8B">
        <w:rPr>
          <w:sz w:val="22"/>
          <w:szCs w:val="22"/>
        </w:rPr>
        <w:t> ?</w:t>
      </w:r>
    </w:p>
    <w:p w14:paraId="60A090D7" w14:textId="6D2809B2" w:rsidR="004976AA" w:rsidRPr="00724A8B" w:rsidRDefault="004976AA" w:rsidP="00724A8B">
      <w:pPr>
        <w:pStyle w:val="ListParagraph"/>
        <w:numPr>
          <w:ilvl w:val="0"/>
          <w:numId w:val="37"/>
        </w:numPr>
        <w:spacing w:line="276" w:lineRule="auto"/>
        <w:rPr>
          <w:sz w:val="22"/>
          <w:szCs w:val="22"/>
        </w:rPr>
      </w:pPr>
      <w:r w:rsidRPr="00724A8B">
        <w:rPr>
          <w:sz w:val="22"/>
          <w:szCs w:val="22"/>
        </w:rPr>
        <w:t xml:space="preserve">Veiller sur une meilleure application des textes en vigueur. </w:t>
      </w:r>
    </w:p>
    <w:p w14:paraId="0AE16791" w14:textId="77777777" w:rsidR="004976AA" w:rsidRPr="00AC4DA1" w:rsidRDefault="004976AA" w:rsidP="004976AA">
      <w:pPr>
        <w:spacing w:line="276" w:lineRule="auto"/>
        <w:rPr>
          <w:sz w:val="22"/>
          <w:szCs w:val="22"/>
        </w:rPr>
      </w:pPr>
    </w:p>
    <w:p w14:paraId="4DF34652" w14:textId="3CD483FF" w:rsidR="00F4685C" w:rsidRPr="00AC4DA1" w:rsidRDefault="004976AA" w:rsidP="002F72AC">
      <w:pPr>
        <w:pStyle w:val="Heading1"/>
        <w:rPr>
          <w:rFonts w:ascii="Times New Roman" w:hAnsi="Times New Roman"/>
          <w:sz w:val="22"/>
          <w:szCs w:val="22"/>
        </w:rPr>
      </w:pPr>
      <w:bookmarkStart w:id="51" w:name="_Toc128647529"/>
      <w:r w:rsidRPr="00AC4DA1">
        <w:rPr>
          <w:rFonts w:ascii="Times New Roman" w:hAnsi="Times New Roman"/>
          <w:sz w:val="22"/>
          <w:szCs w:val="22"/>
        </w:rPr>
        <w:t>Article 26 – Réadaptation</w:t>
      </w:r>
      <w:bookmarkEnd w:id="51"/>
    </w:p>
    <w:p w14:paraId="2AEAB489" w14:textId="46E93515" w:rsidR="004976AA" w:rsidRPr="00AC4DA1" w:rsidRDefault="004976AA" w:rsidP="00F4685C">
      <w:pPr>
        <w:spacing w:line="276" w:lineRule="auto"/>
        <w:jc w:val="both"/>
        <w:rPr>
          <w:sz w:val="22"/>
          <w:szCs w:val="22"/>
        </w:rPr>
      </w:pPr>
      <w:r w:rsidRPr="00AC4DA1">
        <w:rPr>
          <w:sz w:val="22"/>
          <w:szCs w:val="22"/>
        </w:rPr>
        <w:t>Selon la FEMAPH</w:t>
      </w:r>
      <w:r w:rsidR="00243628">
        <w:rPr>
          <w:sz w:val="22"/>
          <w:szCs w:val="22"/>
        </w:rPr>
        <w:t>,</w:t>
      </w:r>
      <w:r w:rsidR="00FC0A17">
        <w:rPr>
          <w:sz w:val="22"/>
          <w:szCs w:val="22"/>
        </w:rPr>
        <w:t xml:space="preserve"> </w:t>
      </w:r>
      <w:r w:rsidR="00243628">
        <w:rPr>
          <w:sz w:val="22"/>
          <w:szCs w:val="22"/>
        </w:rPr>
        <w:t>l</w:t>
      </w:r>
      <w:r w:rsidRPr="00AC4DA1">
        <w:rPr>
          <w:sz w:val="22"/>
          <w:szCs w:val="22"/>
        </w:rPr>
        <w:t>a réadaptation et le soutien par les pairs couvrent un large éventail d'actions dans les domaines de la santé, de l'emploi, de l'éducation et des services sociaux, dont l'objectif est de permettre la pleine participation des personnes handicapées dans leurs communautés. La réadaptation n’est pas imposée aux personnes handicapées comme une obligation.</w:t>
      </w:r>
    </w:p>
    <w:p w14:paraId="091CBBF2" w14:textId="77777777" w:rsidR="004976AA" w:rsidRPr="00AC4DA1" w:rsidRDefault="004976AA" w:rsidP="00F4685C">
      <w:pPr>
        <w:spacing w:line="276" w:lineRule="auto"/>
        <w:jc w:val="both"/>
        <w:rPr>
          <w:sz w:val="22"/>
          <w:szCs w:val="22"/>
        </w:rPr>
      </w:pPr>
      <w:r w:rsidRPr="00AC4DA1">
        <w:rPr>
          <w:sz w:val="22"/>
          <w:szCs w:val="22"/>
        </w:rPr>
        <w:t>Les personnes handicapées peuvent accéder à un large éventail de services de réadaptation dans les centres seulement au niveau des capitales régionales.</w:t>
      </w:r>
    </w:p>
    <w:p w14:paraId="2E62F407" w14:textId="77777777" w:rsidR="004976AA" w:rsidRPr="00AC4DA1" w:rsidRDefault="004976AA" w:rsidP="00F4685C">
      <w:pPr>
        <w:spacing w:line="276" w:lineRule="auto"/>
        <w:jc w:val="both"/>
        <w:rPr>
          <w:sz w:val="22"/>
          <w:szCs w:val="22"/>
        </w:rPr>
      </w:pPr>
      <w:r w:rsidRPr="00AC4DA1">
        <w:rPr>
          <w:sz w:val="22"/>
          <w:szCs w:val="22"/>
        </w:rPr>
        <w:t>Les personnes handicapées nécessiteuses sont orientées vers ces centres par les associations de personnes handicapées. Les frais y afférents sont pris en charge par les intéressés et /ou les pairs.</w:t>
      </w:r>
    </w:p>
    <w:p w14:paraId="38DD8B81" w14:textId="037480B4" w:rsidR="00F4685C" w:rsidRDefault="004976AA" w:rsidP="00724A8B">
      <w:pPr>
        <w:spacing w:line="276" w:lineRule="auto"/>
        <w:jc w:val="both"/>
        <w:rPr>
          <w:strike/>
          <w:sz w:val="22"/>
          <w:szCs w:val="22"/>
        </w:rPr>
      </w:pPr>
      <w:r w:rsidRPr="00AC4DA1">
        <w:rPr>
          <w:sz w:val="22"/>
          <w:szCs w:val="22"/>
        </w:rPr>
        <w:t>Au Mali il y a un minimum de services de détection précoce de surdité, de kinésithérapeute, d’orthophoniste.</w:t>
      </w:r>
      <w:r w:rsidR="00724A8B">
        <w:rPr>
          <w:strike/>
          <w:sz w:val="22"/>
          <w:szCs w:val="22"/>
        </w:rPr>
        <w:t xml:space="preserve"> </w:t>
      </w:r>
    </w:p>
    <w:p w14:paraId="277A2EF7" w14:textId="15688EB4" w:rsidR="00243628" w:rsidRDefault="00243628" w:rsidP="00724A8B">
      <w:pPr>
        <w:spacing w:line="276" w:lineRule="auto"/>
        <w:jc w:val="both"/>
        <w:rPr>
          <w:strike/>
          <w:sz w:val="22"/>
          <w:szCs w:val="22"/>
        </w:rPr>
      </w:pPr>
    </w:p>
    <w:p w14:paraId="6737421D" w14:textId="77777777" w:rsidR="00243628" w:rsidRPr="00AC4DA1" w:rsidRDefault="00243628" w:rsidP="00724A8B">
      <w:pPr>
        <w:spacing w:line="276" w:lineRule="auto"/>
        <w:jc w:val="both"/>
        <w:rPr>
          <w:sz w:val="22"/>
          <w:szCs w:val="22"/>
        </w:rPr>
      </w:pPr>
    </w:p>
    <w:p w14:paraId="25497A91" w14:textId="6A7DD7E8" w:rsidR="00F4685C" w:rsidRPr="00AC4DA1" w:rsidRDefault="004976AA" w:rsidP="00243628">
      <w:pPr>
        <w:pStyle w:val="Heading1"/>
        <w:rPr>
          <w:rFonts w:ascii="Times New Roman" w:hAnsi="Times New Roman"/>
          <w:sz w:val="22"/>
          <w:szCs w:val="22"/>
        </w:rPr>
      </w:pPr>
      <w:bookmarkStart w:id="52" w:name="_Toc128647530"/>
      <w:r w:rsidRPr="00AC4DA1">
        <w:rPr>
          <w:rFonts w:ascii="Times New Roman" w:hAnsi="Times New Roman"/>
          <w:sz w:val="22"/>
          <w:szCs w:val="22"/>
        </w:rPr>
        <w:t>Article 27 – Travail et emploi</w:t>
      </w:r>
      <w:bookmarkEnd w:id="52"/>
    </w:p>
    <w:p w14:paraId="716443FE" w14:textId="77777777" w:rsidR="004976AA" w:rsidRPr="00AC4DA1" w:rsidRDefault="004976AA" w:rsidP="004E106B">
      <w:pPr>
        <w:spacing w:line="276" w:lineRule="auto"/>
        <w:jc w:val="both"/>
        <w:rPr>
          <w:sz w:val="22"/>
          <w:szCs w:val="22"/>
        </w:rPr>
      </w:pPr>
      <w:r w:rsidRPr="00AC4DA1">
        <w:rPr>
          <w:sz w:val="22"/>
          <w:szCs w:val="22"/>
        </w:rPr>
        <w:t>Dans la Loi 2018-027, l’article 8 encourage l'emploi des personnes handicapées dans le secteur privé par des mesures incitatives et autres. Les personnes handicapées sont protégées contre toutes les formes de travail forcé.</w:t>
      </w:r>
    </w:p>
    <w:p w14:paraId="2E914981" w14:textId="77777777" w:rsidR="004976AA" w:rsidRPr="00AC4DA1" w:rsidRDefault="004976AA" w:rsidP="004E106B">
      <w:pPr>
        <w:spacing w:line="276" w:lineRule="auto"/>
        <w:jc w:val="both"/>
        <w:rPr>
          <w:sz w:val="22"/>
          <w:szCs w:val="22"/>
        </w:rPr>
      </w:pPr>
      <w:r w:rsidRPr="00AC4DA1">
        <w:rPr>
          <w:sz w:val="22"/>
          <w:szCs w:val="22"/>
        </w:rPr>
        <w:t>Selon l’article 22 du Décret N°2021-0662 PT/RM du 23 Septembre 2021 fixant les modalités d’application de la loi 2018-027 du 12 juin 2018 relative aux droits des personnes vivant avec un handicap, les PVH qui ne peuvent supporter les conditions normales de travail bénéficient de postes et d’outils de travail adaptés en tenant compte de leurs possibilités fonctionnelles et des capacités de mouvements et de communication.</w:t>
      </w:r>
    </w:p>
    <w:p w14:paraId="16BDB8CD" w14:textId="77777777" w:rsidR="004976AA" w:rsidRPr="00AC4DA1" w:rsidRDefault="004976AA" w:rsidP="004E106B">
      <w:pPr>
        <w:spacing w:line="276" w:lineRule="auto"/>
        <w:jc w:val="both"/>
        <w:rPr>
          <w:sz w:val="22"/>
          <w:szCs w:val="22"/>
        </w:rPr>
      </w:pPr>
      <w:r w:rsidRPr="00AC4DA1">
        <w:rPr>
          <w:sz w:val="22"/>
          <w:szCs w:val="22"/>
        </w:rPr>
        <w:lastRenderedPageBreak/>
        <w:t>L’article 23 stipule que les personnes handicapées fonctionnaires ou contractuelles de l’Etat et des collectivités territoriales bénéficient d’une assistance physique et d’un environnement de travail adapté.</w:t>
      </w:r>
    </w:p>
    <w:p w14:paraId="07674946" w14:textId="77777777" w:rsidR="004976AA" w:rsidRPr="00AC4DA1" w:rsidRDefault="004976AA" w:rsidP="004E106B">
      <w:pPr>
        <w:spacing w:line="276" w:lineRule="auto"/>
        <w:jc w:val="both"/>
        <w:rPr>
          <w:sz w:val="22"/>
          <w:szCs w:val="22"/>
        </w:rPr>
      </w:pPr>
      <w:r w:rsidRPr="00AC4DA1">
        <w:rPr>
          <w:sz w:val="22"/>
          <w:szCs w:val="22"/>
        </w:rPr>
        <w:t>L’article 24 dudit décret, stipule que l’Etat et les collectivités territoriales appuient les PVH dans la création des entreprises collectives et individuelles, des coopératives de production et de vente ainsi que des Groupements d’Intérêt Economique (GIE).</w:t>
      </w:r>
    </w:p>
    <w:p w14:paraId="2072A9C5" w14:textId="77777777" w:rsidR="004976AA" w:rsidRPr="00AC4DA1" w:rsidRDefault="004976AA" w:rsidP="004E106B">
      <w:pPr>
        <w:spacing w:line="276" w:lineRule="auto"/>
        <w:jc w:val="both"/>
        <w:rPr>
          <w:sz w:val="22"/>
          <w:szCs w:val="22"/>
        </w:rPr>
      </w:pPr>
      <w:r w:rsidRPr="00AC4DA1">
        <w:rPr>
          <w:sz w:val="22"/>
          <w:szCs w:val="22"/>
        </w:rPr>
        <w:t>Selon l’article 26, les PHV justifiant d’une formation professionnelle bénéficient des mesures d’égalisation de chances de recrutement et de rémunération aux emplois publics et privés que les personnes non handicapées lorsque l’occupation de l’emploi et leur état sont compatibles. Selon l’article 24, les PVH font le concours d’entrée à la fonction publique. A chaque recrutement dans la fonction publique de l’Etat et des collectivités, un quota de 15% est accordé aux PVH sur la base de l’égalité avec les autres. Ce quota ne s’applique qu’aux personnes ayant concouru et qui ont obtenu au moins 10 de moyenne.</w:t>
      </w:r>
    </w:p>
    <w:p w14:paraId="0C28E44E" w14:textId="30C3786E" w:rsidR="004976AA" w:rsidRPr="00AC4DA1" w:rsidRDefault="004976AA" w:rsidP="00724A8B">
      <w:pPr>
        <w:spacing w:line="276" w:lineRule="auto"/>
        <w:jc w:val="both"/>
        <w:rPr>
          <w:sz w:val="22"/>
          <w:szCs w:val="22"/>
        </w:rPr>
      </w:pPr>
      <w:r w:rsidRPr="00AC4DA1">
        <w:rPr>
          <w:sz w:val="22"/>
          <w:szCs w:val="22"/>
        </w:rPr>
        <w:t>Selon la FEMAPH</w:t>
      </w:r>
    </w:p>
    <w:p w14:paraId="3984C67C" w14:textId="17B4264A" w:rsidR="000261E3" w:rsidRPr="00AC4DA1" w:rsidRDefault="004976AA" w:rsidP="004E106B">
      <w:pPr>
        <w:spacing w:line="276" w:lineRule="auto"/>
        <w:jc w:val="both"/>
        <w:rPr>
          <w:sz w:val="22"/>
          <w:szCs w:val="22"/>
        </w:rPr>
      </w:pPr>
      <w:r w:rsidRPr="00AC4DA1">
        <w:rPr>
          <w:sz w:val="22"/>
          <w:szCs w:val="22"/>
        </w:rPr>
        <w:t xml:space="preserve">La commission note également que, dans le cadre de la collaboration entre le ministère de la Fonction publique et la FEMAPH, entre 1997 et 2012, 310 jeunes diplômés handicapés, dont 119 femmes et 191 hommes, ont été intégrés dans la fonction publique. La commission invite le gouvernement à continuer à fournir des indications sur les mesures pratiques prises ou envisagées pour assurer l’égalité des chances entre les travailleurs handicapés et les travailleurs en général, et entre les travailleurs et les travailleuses handicapés. </w:t>
      </w:r>
      <w:r w:rsidR="00724A8B">
        <w:rPr>
          <w:sz w:val="22"/>
          <w:szCs w:val="22"/>
        </w:rPr>
        <w:t xml:space="preserve"> </w:t>
      </w:r>
    </w:p>
    <w:p w14:paraId="0FC64C4F" w14:textId="5DCA8F7A" w:rsidR="004976AA" w:rsidRPr="00AC4DA1" w:rsidRDefault="004976AA" w:rsidP="004E106B">
      <w:pPr>
        <w:spacing w:line="276" w:lineRule="auto"/>
        <w:jc w:val="both"/>
        <w:rPr>
          <w:sz w:val="22"/>
          <w:szCs w:val="22"/>
        </w:rPr>
      </w:pPr>
      <w:r w:rsidRPr="00AC4DA1">
        <w:rPr>
          <w:sz w:val="22"/>
          <w:szCs w:val="22"/>
        </w:rPr>
        <w:t xml:space="preserve">Malgré </w:t>
      </w:r>
      <w:r w:rsidR="00724A8B">
        <w:rPr>
          <w:sz w:val="22"/>
          <w:szCs w:val="22"/>
        </w:rPr>
        <w:t xml:space="preserve">quelques </w:t>
      </w:r>
      <w:r w:rsidRPr="00AC4DA1">
        <w:rPr>
          <w:sz w:val="22"/>
          <w:szCs w:val="22"/>
        </w:rPr>
        <w:t>acquis force est de reconnaître que</w:t>
      </w:r>
      <w:r w:rsidR="00FC0A17">
        <w:rPr>
          <w:sz w:val="22"/>
          <w:szCs w:val="22"/>
        </w:rPr>
        <w:t xml:space="preserve"> l</w:t>
      </w:r>
      <w:r w:rsidRPr="00AC4DA1">
        <w:rPr>
          <w:sz w:val="22"/>
          <w:szCs w:val="22"/>
        </w:rPr>
        <w:t>es lieux et les outils de travail sont rarement adaptés aux personnes handicapées. Il existe toujours des préjugés discriminatoires basés sur le handicap à l’égard des travailleurs handicapés.</w:t>
      </w:r>
    </w:p>
    <w:p w14:paraId="456A3A55" w14:textId="1098F428" w:rsidR="004976AA" w:rsidRPr="00AC4DA1" w:rsidRDefault="004976AA" w:rsidP="004E106B">
      <w:pPr>
        <w:spacing w:line="276" w:lineRule="auto"/>
        <w:jc w:val="both"/>
        <w:rPr>
          <w:sz w:val="22"/>
          <w:szCs w:val="22"/>
        </w:rPr>
      </w:pPr>
      <w:r w:rsidRPr="00AC4DA1">
        <w:rPr>
          <w:sz w:val="22"/>
          <w:szCs w:val="22"/>
        </w:rPr>
        <w:t>Les Bâtiments et les Bureaux sont peu accessibles aux personnes handicapées.</w:t>
      </w:r>
    </w:p>
    <w:p w14:paraId="174C9B3C" w14:textId="0C6C8687" w:rsidR="004976AA" w:rsidRPr="00AC4DA1" w:rsidRDefault="004976AA" w:rsidP="004E106B">
      <w:pPr>
        <w:spacing w:line="276" w:lineRule="auto"/>
        <w:jc w:val="both"/>
        <w:rPr>
          <w:sz w:val="22"/>
          <w:szCs w:val="22"/>
        </w:rPr>
      </w:pPr>
      <w:r w:rsidRPr="00AC4DA1">
        <w:rPr>
          <w:sz w:val="22"/>
          <w:szCs w:val="22"/>
        </w:rPr>
        <w:t xml:space="preserve">Les personnes handicapées sont toujours confrontées à des taux de chômage plus élevés que ceux des personnes non handicapées. </w:t>
      </w:r>
      <w:r w:rsidR="003E7B75" w:rsidRPr="00AC4DA1">
        <w:rPr>
          <w:sz w:val="22"/>
          <w:szCs w:val="22"/>
        </w:rPr>
        <w:t xml:space="preserve">Il n’existe aucune donnée ou de statistique au niveau national sur le taux de chômage des personnes handicapées. </w:t>
      </w:r>
      <w:r w:rsidRPr="00AC4DA1">
        <w:rPr>
          <w:sz w:val="22"/>
          <w:szCs w:val="22"/>
        </w:rPr>
        <w:t>Pour remédier à cette situation, la loi générale sur l'emploi prot</w:t>
      </w:r>
      <w:r w:rsidR="003E7B75" w:rsidRPr="00AC4DA1">
        <w:rPr>
          <w:sz w:val="22"/>
          <w:szCs w:val="22"/>
        </w:rPr>
        <w:t>è</w:t>
      </w:r>
      <w:r w:rsidRPr="00AC4DA1">
        <w:rPr>
          <w:sz w:val="22"/>
          <w:szCs w:val="22"/>
        </w:rPr>
        <w:t xml:space="preserve">ge les personnes handicapées de toute discrimination, mais pas </w:t>
      </w:r>
      <w:r w:rsidRPr="00AC4DA1">
        <w:rPr>
          <w:sz w:val="22"/>
          <w:szCs w:val="22"/>
        </w:rPr>
        <w:lastRenderedPageBreak/>
        <w:t xml:space="preserve">le refus d'aménagement raisonnable, et le harcèlement à tous les stades de l'emploi. Il n’existe pas des formes d'emploi destinées aux personnes handicapées (tels que l'emploi protégé ou assisté) qui sont exemptées des normes de travail, et dont résulteraient une protection inférieure et une exploitation. </w:t>
      </w:r>
    </w:p>
    <w:p w14:paraId="3A71B073" w14:textId="368B0997" w:rsidR="00297AB7" w:rsidRPr="00AC4DA1" w:rsidRDefault="00297AB7" w:rsidP="004E106B">
      <w:pPr>
        <w:spacing w:line="276" w:lineRule="auto"/>
        <w:jc w:val="both"/>
        <w:rPr>
          <w:sz w:val="22"/>
          <w:szCs w:val="22"/>
        </w:rPr>
      </w:pPr>
    </w:p>
    <w:p w14:paraId="0FF62C9F" w14:textId="3EEF2EA3" w:rsidR="000261E3" w:rsidRPr="00AC4DA1" w:rsidRDefault="000261E3" w:rsidP="004E106B">
      <w:pPr>
        <w:spacing w:line="276" w:lineRule="auto"/>
        <w:jc w:val="both"/>
        <w:rPr>
          <w:sz w:val="22"/>
          <w:szCs w:val="22"/>
        </w:rPr>
      </w:pPr>
      <w:r w:rsidRPr="00AC4DA1">
        <w:rPr>
          <w:sz w:val="22"/>
          <w:szCs w:val="22"/>
        </w:rPr>
        <w:t>Notons également que le Décret d’application N°2021-</w:t>
      </w:r>
      <w:r w:rsidR="00724A8B">
        <w:rPr>
          <w:sz w:val="22"/>
          <w:szCs w:val="22"/>
        </w:rPr>
        <w:t>0</w:t>
      </w:r>
      <w:r w:rsidRPr="00AC4DA1">
        <w:rPr>
          <w:sz w:val="22"/>
          <w:szCs w:val="22"/>
        </w:rPr>
        <w:t>6</w:t>
      </w:r>
      <w:r w:rsidR="00724A8B">
        <w:rPr>
          <w:sz w:val="22"/>
          <w:szCs w:val="22"/>
        </w:rPr>
        <w:t>62 de la loi N°2018-027 relative aux droits des personnes vivant avec un handicap</w:t>
      </w:r>
      <w:r w:rsidRPr="00AC4DA1">
        <w:rPr>
          <w:sz w:val="22"/>
          <w:szCs w:val="22"/>
        </w:rPr>
        <w:t xml:space="preserve"> </w:t>
      </w:r>
      <w:r w:rsidR="00724A8B">
        <w:rPr>
          <w:sz w:val="22"/>
          <w:szCs w:val="22"/>
        </w:rPr>
        <w:t xml:space="preserve">ne </w:t>
      </w:r>
      <w:r w:rsidRPr="00AC4DA1">
        <w:rPr>
          <w:sz w:val="22"/>
          <w:szCs w:val="22"/>
        </w:rPr>
        <w:t>définit pas le quota aux personnes handicapées dans les organismes publics et privés.</w:t>
      </w:r>
    </w:p>
    <w:p w14:paraId="70EC03CB" w14:textId="77777777" w:rsidR="004976AA" w:rsidRPr="00AC4DA1" w:rsidRDefault="004976AA" w:rsidP="004E106B">
      <w:pPr>
        <w:spacing w:line="276" w:lineRule="auto"/>
        <w:jc w:val="both"/>
        <w:rPr>
          <w:sz w:val="22"/>
          <w:szCs w:val="22"/>
        </w:rPr>
      </w:pPr>
    </w:p>
    <w:p w14:paraId="219ED0BB" w14:textId="65425BE9" w:rsidR="004976AA" w:rsidRPr="00AC4DA1" w:rsidRDefault="009B021A" w:rsidP="004976AA">
      <w:pPr>
        <w:spacing w:line="276" w:lineRule="auto"/>
        <w:rPr>
          <w:sz w:val="22"/>
          <w:szCs w:val="22"/>
        </w:rPr>
      </w:pPr>
      <w:r w:rsidRPr="00AC4DA1">
        <w:rPr>
          <w:sz w:val="22"/>
          <w:szCs w:val="22"/>
        </w:rPr>
        <w:t>A quand la modification du décret d’application du statut général de Fonction Publique pour préciser la mesure positive en faveur des Personnes handicapées prévue par l’article 18 dudit statut ?</w:t>
      </w:r>
    </w:p>
    <w:p w14:paraId="3DCCF414" w14:textId="78D0CE3F" w:rsidR="009B021A" w:rsidRPr="00AC4DA1" w:rsidRDefault="00297AB7" w:rsidP="00243628">
      <w:pPr>
        <w:pStyle w:val="Heading1"/>
        <w:rPr>
          <w:rFonts w:ascii="Times New Roman" w:hAnsi="Times New Roman"/>
          <w:sz w:val="22"/>
          <w:szCs w:val="22"/>
        </w:rPr>
      </w:pPr>
      <w:bookmarkStart w:id="53" w:name="_Toc128647531"/>
      <w:r w:rsidRPr="00AC4DA1">
        <w:rPr>
          <w:rFonts w:ascii="Times New Roman" w:hAnsi="Times New Roman"/>
          <w:sz w:val="22"/>
          <w:szCs w:val="22"/>
        </w:rPr>
        <w:t>Article 28 – Niveau de vie adéquat et protection sociale</w:t>
      </w:r>
      <w:bookmarkEnd w:id="53"/>
    </w:p>
    <w:p w14:paraId="5AD2A4FA" w14:textId="6D7E6A75" w:rsidR="004976AA" w:rsidRPr="00AC4DA1" w:rsidRDefault="004976AA" w:rsidP="004E106B">
      <w:pPr>
        <w:spacing w:line="276" w:lineRule="auto"/>
        <w:jc w:val="both"/>
        <w:rPr>
          <w:sz w:val="22"/>
          <w:szCs w:val="22"/>
        </w:rPr>
      </w:pPr>
      <w:r w:rsidRPr="00AC4DA1">
        <w:rPr>
          <w:sz w:val="22"/>
          <w:szCs w:val="22"/>
        </w:rPr>
        <w:t xml:space="preserve">Selon la FEMAPH, </w:t>
      </w:r>
      <w:r w:rsidR="00243628">
        <w:rPr>
          <w:sz w:val="22"/>
          <w:szCs w:val="22"/>
        </w:rPr>
        <w:t>d</w:t>
      </w:r>
      <w:r w:rsidRPr="00AC4DA1">
        <w:rPr>
          <w:sz w:val="22"/>
          <w:szCs w:val="22"/>
        </w:rPr>
        <w:t>es efforts sont faits mais les besoins non satisfaits sont énormes.</w:t>
      </w:r>
    </w:p>
    <w:p w14:paraId="5E0FF79D" w14:textId="77777777" w:rsidR="004976AA" w:rsidRPr="00AC4DA1" w:rsidRDefault="004976AA" w:rsidP="004E106B">
      <w:pPr>
        <w:spacing w:line="276" w:lineRule="auto"/>
        <w:jc w:val="both"/>
        <w:rPr>
          <w:sz w:val="22"/>
          <w:szCs w:val="22"/>
        </w:rPr>
      </w:pPr>
      <w:r w:rsidRPr="00AC4DA1">
        <w:rPr>
          <w:sz w:val="22"/>
          <w:szCs w:val="22"/>
        </w:rPr>
        <w:t>L’offre en termes de financement d’AGR et de fourniture d’appareillage est toujours nettement inférieure à la demande et le niveau intérieur est peu fourni. Malgré l’existence de la politique de protection sociale, de nombreuses personnes handicapées vivent dans la pauvreté. Ceci constitue un défi au Mali. Bien que les régimes de protection sociale jouent un rôle clé en assurant un niveau de vie suffisant pour toutes les personnes vivant dans la pauvreté, elles excluent souvent les personnes handicapées. Notamment, l'absence de couverture par l'Etat des dépenses supplémentaires liées au handicap aboutit très souvent à la pauvreté et à l'exclusion sociale des personnes handicapées et de leurs familles.</w:t>
      </w:r>
    </w:p>
    <w:p w14:paraId="259B3859" w14:textId="77777777" w:rsidR="004976AA" w:rsidRPr="00AC4DA1" w:rsidRDefault="004976AA" w:rsidP="004E106B">
      <w:pPr>
        <w:spacing w:line="276" w:lineRule="auto"/>
        <w:jc w:val="both"/>
        <w:rPr>
          <w:sz w:val="22"/>
          <w:szCs w:val="22"/>
        </w:rPr>
      </w:pPr>
      <w:r w:rsidRPr="00AC4DA1">
        <w:rPr>
          <w:sz w:val="22"/>
          <w:szCs w:val="22"/>
        </w:rPr>
        <w:t>L'Etat ne couvre pas les dépenses supplémentaires liées au handicap subi par les personnes handicapées et leurs familles. Il n’existe pas des allocations de handicap.</w:t>
      </w:r>
    </w:p>
    <w:p w14:paraId="3CD6FE34" w14:textId="27EA835C" w:rsidR="004976AA" w:rsidRPr="00AC4DA1" w:rsidRDefault="004976AA" w:rsidP="004E106B">
      <w:pPr>
        <w:spacing w:line="276" w:lineRule="auto"/>
        <w:jc w:val="both"/>
        <w:rPr>
          <w:sz w:val="22"/>
          <w:szCs w:val="22"/>
        </w:rPr>
      </w:pPr>
      <w:r w:rsidRPr="00AC4DA1">
        <w:rPr>
          <w:sz w:val="22"/>
          <w:szCs w:val="22"/>
        </w:rPr>
        <w:t>Les personnes handicapées ont accès mais pas au même pied d'égalité avec les autres à une alimentation, des vêtements, un logement adéquat et de l'eau. Des aménagements ne sont pas prévus pour en garantir l'accès.</w:t>
      </w:r>
    </w:p>
    <w:p w14:paraId="1EE2D407" w14:textId="77777777" w:rsidR="004976AA" w:rsidRPr="00AC4DA1" w:rsidRDefault="004976AA" w:rsidP="004E106B">
      <w:pPr>
        <w:spacing w:line="276" w:lineRule="auto"/>
        <w:jc w:val="both"/>
        <w:rPr>
          <w:sz w:val="22"/>
          <w:szCs w:val="22"/>
        </w:rPr>
      </w:pPr>
      <w:r w:rsidRPr="00AC4DA1">
        <w:rPr>
          <w:sz w:val="22"/>
          <w:szCs w:val="22"/>
        </w:rPr>
        <w:lastRenderedPageBreak/>
        <w:t>Les personnes handicapées peuvent accéder mais pas sur un pied d'égalité avec les autres aux programmes de protection sociale, aux stratégies de réduction de la pauvreté et aux autres programmes existants.</w:t>
      </w:r>
    </w:p>
    <w:p w14:paraId="0CCBFBF8" w14:textId="53F25330" w:rsidR="004976AA" w:rsidRPr="00AC4DA1" w:rsidRDefault="004976AA" w:rsidP="001260B3">
      <w:pPr>
        <w:spacing w:line="276" w:lineRule="auto"/>
        <w:jc w:val="both"/>
        <w:rPr>
          <w:sz w:val="22"/>
          <w:szCs w:val="22"/>
        </w:rPr>
      </w:pPr>
      <w:r w:rsidRPr="00AC4DA1">
        <w:rPr>
          <w:sz w:val="22"/>
          <w:szCs w:val="22"/>
        </w:rPr>
        <w:t xml:space="preserve">Les programmes de logement public </w:t>
      </w:r>
      <w:r w:rsidR="00297AB7" w:rsidRPr="00AC4DA1">
        <w:rPr>
          <w:sz w:val="22"/>
          <w:szCs w:val="22"/>
        </w:rPr>
        <w:t>prévoient certaines mesures</w:t>
      </w:r>
      <w:r w:rsidRPr="00AC4DA1">
        <w:rPr>
          <w:sz w:val="22"/>
          <w:szCs w:val="22"/>
        </w:rPr>
        <w:t xml:space="preserve"> </w:t>
      </w:r>
      <w:r w:rsidR="00020970" w:rsidRPr="00AC4DA1">
        <w:rPr>
          <w:sz w:val="22"/>
          <w:szCs w:val="22"/>
        </w:rPr>
        <w:t xml:space="preserve">qui reste insuffisant </w:t>
      </w:r>
      <w:r w:rsidR="00297AB7" w:rsidRPr="00AC4DA1">
        <w:rPr>
          <w:sz w:val="22"/>
          <w:szCs w:val="22"/>
        </w:rPr>
        <w:t>pour l’accès des personnes Handicapées aux logements sociaux</w:t>
      </w:r>
      <w:r w:rsidRPr="00AC4DA1">
        <w:rPr>
          <w:sz w:val="22"/>
          <w:szCs w:val="22"/>
        </w:rPr>
        <w:t>.</w:t>
      </w:r>
    </w:p>
    <w:p w14:paraId="088E054E" w14:textId="0EEFDA3B" w:rsidR="004976AA" w:rsidRPr="00AC4DA1" w:rsidRDefault="004976AA" w:rsidP="001260B3">
      <w:pPr>
        <w:pStyle w:val="Heading1"/>
        <w:rPr>
          <w:rFonts w:ascii="Times New Roman" w:hAnsi="Times New Roman"/>
          <w:sz w:val="22"/>
          <w:szCs w:val="22"/>
        </w:rPr>
      </w:pPr>
      <w:bookmarkStart w:id="54" w:name="_Toc128647532"/>
      <w:r w:rsidRPr="00AC4DA1">
        <w:rPr>
          <w:rFonts w:ascii="Times New Roman" w:hAnsi="Times New Roman"/>
          <w:sz w:val="22"/>
          <w:szCs w:val="22"/>
        </w:rPr>
        <w:t>Article 29 – Participation à la vie politique et à la vie publique</w:t>
      </w:r>
      <w:bookmarkEnd w:id="54"/>
    </w:p>
    <w:p w14:paraId="02236A44" w14:textId="48C0CB28" w:rsidR="004976AA" w:rsidRPr="00AC4DA1" w:rsidRDefault="004976AA" w:rsidP="004976AA">
      <w:pPr>
        <w:spacing w:line="276" w:lineRule="auto"/>
        <w:rPr>
          <w:sz w:val="22"/>
          <w:szCs w:val="22"/>
        </w:rPr>
      </w:pPr>
      <w:r w:rsidRPr="00AC4DA1">
        <w:rPr>
          <w:sz w:val="22"/>
          <w:szCs w:val="22"/>
        </w:rPr>
        <w:t>Selon la FEMAPH</w:t>
      </w:r>
      <w:r w:rsidR="00243628">
        <w:rPr>
          <w:sz w:val="22"/>
          <w:szCs w:val="22"/>
        </w:rPr>
        <w:t>, l</w:t>
      </w:r>
      <w:r w:rsidRPr="00AC4DA1">
        <w:rPr>
          <w:sz w:val="22"/>
          <w:szCs w:val="22"/>
        </w:rPr>
        <w:t>a présence directe des personnes handicapées à des postes politiques de dirigeants est encore une exception rare. Le rôle des associations de personnes handicapées est essentiel à la promotion des droits des personnes handicapées.</w:t>
      </w:r>
    </w:p>
    <w:p w14:paraId="23B05C97" w14:textId="77777777" w:rsidR="004976AA" w:rsidRPr="00AC4DA1" w:rsidRDefault="004976AA" w:rsidP="004976AA">
      <w:pPr>
        <w:spacing w:line="276" w:lineRule="auto"/>
        <w:rPr>
          <w:sz w:val="22"/>
          <w:szCs w:val="22"/>
        </w:rPr>
      </w:pPr>
      <w:r w:rsidRPr="00AC4DA1">
        <w:rPr>
          <w:sz w:val="22"/>
          <w:szCs w:val="22"/>
        </w:rPr>
        <w:t xml:space="preserve">Depuis le début de la transition, la FEMAPH a participé à des espaces de réflexion stratégique organisés par les autorités de la Transition comme le DNI et les ANR. Une nouvelle loi électorale est mise en place ainsi que l’organe unique de gestion des élections (l’AIGE) et le processus de dotation du Mali d’une nouvelle constitution est en cours. </w:t>
      </w:r>
    </w:p>
    <w:p w14:paraId="3FDCD4F0" w14:textId="77777777" w:rsidR="004976AA" w:rsidRPr="00AC4DA1" w:rsidRDefault="004976AA" w:rsidP="004976AA">
      <w:pPr>
        <w:spacing w:line="276" w:lineRule="auto"/>
        <w:rPr>
          <w:sz w:val="22"/>
          <w:szCs w:val="22"/>
        </w:rPr>
      </w:pPr>
      <w:r w:rsidRPr="00AC4DA1">
        <w:rPr>
          <w:sz w:val="22"/>
          <w:szCs w:val="22"/>
        </w:rPr>
        <w:t>La Loi électorale générale n’exclut pas certaines personnes handicapées du droit de vote et du droit d'être élu. Elle permet aux personnes handicapées, qui en décident ainsi, à exprimer leur vote en étant assistées par une personne de leur choix.</w:t>
      </w:r>
    </w:p>
    <w:p w14:paraId="15E1E1FE" w14:textId="77777777" w:rsidR="004976AA" w:rsidRPr="00AC4DA1" w:rsidRDefault="004976AA" w:rsidP="004976AA">
      <w:pPr>
        <w:spacing w:line="276" w:lineRule="auto"/>
        <w:rPr>
          <w:sz w:val="22"/>
          <w:szCs w:val="22"/>
        </w:rPr>
      </w:pPr>
      <w:r w:rsidRPr="00AC4DA1">
        <w:rPr>
          <w:sz w:val="22"/>
          <w:szCs w:val="22"/>
        </w:rPr>
        <w:t>L'Etat encourage aussi la création d'associations autonomes de personnes handicapées et d’union d’associations ainsi que leur accompagnement.</w:t>
      </w:r>
    </w:p>
    <w:p w14:paraId="15A788D8" w14:textId="77777777" w:rsidR="004976AA" w:rsidRPr="00AC4DA1" w:rsidRDefault="004976AA" w:rsidP="004976AA">
      <w:pPr>
        <w:spacing w:line="276" w:lineRule="auto"/>
        <w:rPr>
          <w:sz w:val="22"/>
          <w:szCs w:val="22"/>
        </w:rPr>
      </w:pPr>
      <w:r w:rsidRPr="00AC4DA1">
        <w:rPr>
          <w:sz w:val="22"/>
          <w:szCs w:val="22"/>
        </w:rPr>
        <w:t>Malgré les progrès :</w:t>
      </w:r>
    </w:p>
    <w:p w14:paraId="57398974" w14:textId="77777777" w:rsidR="004976AA" w:rsidRPr="00AC4DA1" w:rsidRDefault="004976AA" w:rsidP="004976AA">
      <w:pPr>
        <w:spacing w:line="276" w:lineRule="auto"/>
        <w:rPr>
          <w:sz w:val="22"/>
          <w:szCs w:val="22"/>
        </w:rPr>
      </w:pPr>
      <w:r w:rsidRPr="00AC4DA1">
        <w:rPr>
          <w:sz w:val="22"/>
          <w:szCs w:val="22"/>
        </w:rPr>
        <w:t>La loi électorale générale ne veille pas à ce que tous les bureaux de vote soient physiquement accessibles et que le matériel de vote soit accessible aux personnes non-voyantes, leur permettant de voter par elles-mêmes.</w:t>
      </w:r>
    </w:p>
    <w:p w14:paraId="4B5B4A25" w14:textId="77777777" w:rsidR="00B81316" w:rsidRPr="00AC4DA1" w:rsidRDefault="00B81316" w:rsidP="004976AA">
      <w:pPr>
        <w:spacing w:line="276" w:lineRule="auto"/>
        <w:rPr>
          <w:sz w:val="22"/>
          <w:szCs w:val="22"/>
        </w:rPr>
      </w:pPr>
    </w:p>
    <w:p w14:paraId="217A9540" w14:textId="62069952" w:rsidR="004976AA" w:rsidRPr="00AC4DA1" w:rsidRDefault="00B81316" w:rsidP="004976AA">
      <w:pPr>
        <w:spacing w:line="276" w:lineRule="auto"/>
        <w:rPr>
          <w:sz w:val="22"/>
          <w:szCs w:val="22"/>
        </w:rPr>
      </w:pPr>
      <w:r w:rsidRPr="00AC4DA1">
        <w:rPr>
          <w:sz w:val="22"/>
          <w:szCs w:val="22"/>
        </w:rPr>
        <w:t>Pour la représentativité des personnes handicapées dans les instances politiques et décisionnelles il n’existe pas de quota prévu par la loi relative aux droit des personnes vivant avec un handicap.</w:t>
      </w:r>
    </w:p>
    <w:p w14:paraId="399F60A7" w14:textId="18C02873" w:rsidR="004976AA" w:rsidRPr="00AC4DA1" w:rsidRDefault="004976AA" w:rsidP="001260B3">
      <w:pPr>
        <w:pStyle w:val="Heading1"/>
        <w:rPr>
          <w:rFonts w:ascii="Times New Roman" w:hAnsi="Times New Roman"/>
          <w:sz w:val="22"/>
          <w:szCs w:val="22"/>
        </w:rPr>
      </w:pPr>
      <w:bookmarkStart w:id="55" w:name="_Toc128647533"/>
      <w:r w:rsidRPr="00AC4DA1">
        <w:rPr>
          <w:rFonts w:ascii="Times New Roman" w:hAnsi="Times New Roman"/>
          <w:sz w:val="22"/>
          <w:szCs w:val="22"/>
        </w:rPr>
        <w:lastRenderedPageBreak/>
        <w:t>Article 30 – Participation à la vie culturelle, récréative, aux loisirs et aux sports</w:t>
      </w:r>
      <w:bookmarkEnd w:id="55"/>
    </w:p>
    <w:p w14:paraId="4F9DB929" w14:textId="280711FF" w:rsidR="004976AA" w:rsidRPr="00AC4DA1" w:rsidRDefault="004976AA" w:rsidP="00C433BD">
      <w:pPr>
        <w:spacing w:line="276" w:lineRule="auto"/>
        <w:jc w:val="both"/>
        <w:rPr>
          <w:sz w:val="22"/>
          <w:szCs w:val="22"/>
        </w:rPr>
      </w:pPr>
      <w:r w:rsidRPr="00AC4DA1">
        <w:rPr>
          <w:sz w:val="22"/>
          <w:szCs w:val="22"/>
        </w:rPr>
        <w:t>Selon la FEMAPH</w:t>
      </w:r>
      <w:r w:rsidR="00FC0A17">
        <w:rPr>
          <w:sz w:val="22"/>
          <w:szCs w:val="22"/>
        </w:rPr>
        <w:t>, l</w:t>
      </w:r>
      <w:r w:rsidRPr="00AC4DA1">
        <w:rPr>
          <w:sz w:val="22"/>
          <w:szCs w:val="22"/>
        </w:rPr>
        <w:t>’Etat soutient la participation des personnes handicapées à des compétitions organisées au niveau national, sous régional et international et dans les rencontres artistiques et culturelles du pays.</w:t>
      </w:r>
    </w:p>
    <w:p w14:paraId="70D5348E" w14:textId="77777777" w:rsidR="004976AA" w:rsidRPr="00AC4DA1" w:rsidRDefault="004976AA" w:rsidP="00C433BD">
      <w:pPr>
        <w:spacing w:line="276" w:lineRule="auto"/>
        <w:jc w:val="both"/>
        <w:rPr>
          <w:sz w:val="22"/>
          <w:szCs w:val="22"/>
        </w:rPr>
      </w:pPr>
      <w:r w:rsidRPr="00AC4DA1">
        <w:rPr>
          <w:sz w:val="22"/>
          <w:szCs w:val="22"/>
        </w:rPr>
        <w:t>Toutefois, le financement public accordé aux installations culturelles, de loisirs, touristiques et sportives ne tiennent pas compte de la conformité aux normes d’accessibilité.</w:t>
      </w:r>
    </w:p>
    <w:p w14:paraId="3E4E238C" w14:textId="77777777" w:rsidR="004976AA" w:rsidRPr="00AC4DA1" w:rsidRDefault="004976AA" w:rsidP="00C433BD">
      <w:pPr>
        <w:spacing w:line="276" w:lineRule="auto"/>
        <w:jc w:val="both"/>
        <w:rPr>
          <w:sz w:val="22"/>
          <w:szCs w:val="22"/>
        </w:rPr>
      </w:pPr>
      <w:r w:rsidRPr="00AC4DA1">
        <w:rPr>
          <w:sz w:val="22"/>
          <w:szCs w:val="22"/>
        </w:rPr>
        <w:t>Les stratégies globales d'accessibilité ne comprennent pas l'élimination des obstacles dans les domaines de la culture, des activités de détente, des loisirs et du sport.</w:t>
      </w:r>
    </w:p>
    <w:p w14:paraId="56B6845B" w14:textId="77777777" w:rsidR="004976AA" w:rsidRPr="00AC4DA1" w:rsidRDefault="004976AA" w:rsidP="00C433BD">
      <w:pPr>
        <w:spacing w:line="276" w:lineRule="auto"/>
        <w:jc w:val="both"/>
        <w:rPr>
          <w:sz w:val="22"/>
          <w:szCs w:val="22"/>
        </w:rPr>
      </w:pPr>
      <w:r w:rsidRPr="00AC4DA1">
        <w:rPr>
          <w:sz w:val="22"/>
          <w:szCs w:val="22"/>
        </w:rPr>
        <w:t>Les lieux de loisirs et de sport ne sont pas en général adaptés.</w:t>
      </w:r>
    </w:p>
    <w:p w14:paraId="33007060" w14:textId="77777777" w:rsidR="004976AA" w:rsidRPr="00AC4DA1" w:rsidRDefault="004976AA" w:rsidP="00C433BD">
      <w:pPr>
        <w:spacing w:line="276" w:lineRule="auto"/>
        <w:jc w:val="both"/>
        <w:rPr>
          <w:sz w:val="22"/>
          <w:szCs w:val="22"/>
        </w:rPr>
      </w:pPr>
      <w:r w:rsidRPr="00AC4DA1">
        <w:rPr>
          <w:sz w:val="22"/>
          <w:szCs w:val="22"/>
        </w:rPr>
        <w:t xml:space="preserve">Les résultats sportifs des personnes handicapées (médailles et autres trophées) ne sont pas valorisés par les autorités comme les médailles apportés par les personnes non handicapées. </w:t>
      </w:r>
    </w:p>
    <w:p w14:paraId="6BDEEEAC" w14:textId="31881AC5" w:rsidR="004976AA" w:rsidRPr="00AC4DA1" w:rsidRDefault="00F0697D" w:rsidP="001260B3">
      <w:pPr>
        <w:pStyle w:val="Heading1"/>
        <w:rPr>
          <w:rFonts w:ascii="Times New Roman" w:hAnsi="Times New Roman"/>
          <w:sz w:val="22"/>
          <w:szCs w:val="22"/>
        </w:rPr>
      </w:pPr>
      <w:bookmarkStart w:id="56" w:name="_Toc128647534"/>
      <w:r w:rsidRPr="00AC4DA1">
        <w:rPr>
          <w:rFonts w:ascii="Times New Roman" w:hAnsi="Times New Roman"/>
          <w:sz w:val="22"/>
          <w:szCs w:val="22"/>
          <w:lang w:val="fr-FR"/>
        </w:rPr>
        <w:t xml:space="preserve">3.4 </w:t>
      </w:r>
      <w:r w:rsidR="004976AA" w:rsidRPr="00AC4DA1">
        <w:rPr>
          <w:rFonts w:ascii="Times New Roman" w:hAnsi="Times New Roman"/>
          <w:sz w:val="22"/>
          <w:szCs w:val="22"/>
        </w:rPr>
        <w:t>Autres articles généraux (31 à 3</w:t>
      </w:r>
      <w:r w:rsidR="001260B3" w:rsidRPr="00AC4DA1">
        <w:rPr>
          <w:rFonts w:ascii="Times New Roman" w:hAnsi="Times New Roman"/>
          <w:sz w:val="22"/>
          <w:szCs w:val="22"/>
        </w:rPr>
        <w:t>3</w:t>
      </w:r>
      <w:r w:rsidR="004976AA" w:rsidRPr="00AC4DA1">
        <w:rPr>
          <w:rFonts w:ascii="Times New Roman" w:hAnsi="Times New Roman"/>
          <w:sz w:val="22"/>
          <w:szCs w:val="22"/>
        </w:rPr>
        <w:t>)</w:t>
      </w:r>
      <w:bookmarkEnd w:id="56"/>
    </w:p>
    <w:p w14:paraId="627720E3" w14:textId="0B64A3F4" w:rsidR="004976AA" w:rsidRPr="00AC4DA1" w:rsidRDefault="004976AA" w:rsidP="001260B3">
      <w:pPr>
        <w:pStyle w:val="Heading1"/>
        <w:rPr>
          <w:rFonts w:ascii="Times New Roman" w:hAnsi="Times New Roman"/>
          <w:sz w:val="22"/>
          <w:szCs w:val="22"/>
        </w:rPr>
      </w:pPr>
      <w:bookmarkStart w:id="57" w:name="_Toc128647535"/>
      <w:r w:rsidRPr="00AC4DA1">
        <w:rPr>
          <w:rFonts w:ascii="Times New Roman" w:hAnsi="Times New Roman"/>
          <w:sz w:val="22"/>
          <w:szCs w:val="22"/>
        </w:rPr>
        <w:t>Article 31 : Statistiques et collecte des données</w:t>
      </w:r>
      <w:bookmarkEnd w:id="57"/>
    </w:p>
    <w:p w14:paraId="6762AFCF" w14:textId="45F4CD7A" w:rsidR="004976AA" w:rsidRPr="00AC4DA1" w:rsidRDefault="004976AA" w:rsidP="001260B3">
      <w:pPr>
        <w:spacing w:line="276" w:lineRule="auto"/>
        <w:jc w:val="both"/>
        <w:rPr>
          <w:sz w:val="22"/>
          <w:szCs w:val="22"/>
        </w:rPr>
      </w:pPr>
      <w:r w:rsidRPr="00AC4DA1">
        <w:rPr>
          <w:sz w:val="22"/>
          <w:szCs w:val="22"/>
        </w:rPr>
        <w:t>Selon la FEMAPH</w:t>
      </w:r>
      <w:r w:rsidR="00243628">
        <w:rPr>
          <w:sz w:val="22"/>
          <w:szCs w:val="22"/>
        </w:rPr>
        <w:t>, l</w:t>
      </w:r>
      <w:r w:rsidRPr="00AC4DA1">
        <w:rPr>
          <w:sz w:val="22"/>
          <w:szCs w:val="22"/>
        </w:rPr>
        <w:t>e rapport de l’Etat n’a pas traité l’article 31 de la CIDPH.</w:t>
      </w:r>
    </w:p>
    <w:p w14:paraId="4FFF8C7D" w14:textId="2E27BAA6" w:rsidR="004976AA" w:rsidRPr="00AC4DA1" w:rsidRDefault="004976AA" w:rsidP="001260B3">
      <w:pPr>
        <w:spacing w:line="276" w:lineRule="auto"/>
        <w:jc w:val="both"/>
        <w:rPr>
          <w:sz w:val="22"/>
          <w:szCs w:val="22"/>
        </w:rPr>
      </w:pPr>
      <w:r w:rsidRPr="00AC4DA1">
        <w:rPr>
          <w:sz w:val="22"/>
          <w:szCs w:val="22"/>
        </w:rPr>
        <w:t>L’Etat malien a mené son dernier recensement général de la population et de l’habitat intégrant la dimension handicap en 2009. Les enquêteurs n’ayant pas été bien formés sur le handicap, les données concernant les personnes handicapées dans le rapport final (99 916) ne reflètent pas la réalité et sont très loin du taux de 15,5% pour le Mali donné dans le rapport mondial de l’OMS sur le handicap, publié en juin 2011</w:t>
      </w:r>
      <w:r w:rsidR="00243628">
        <w:rPr>
          <w:sz w:val="22"/>
          <w:szCs w:val="22"/>
        </w:rPr>
        <w:t>.</w:t>
      </w:r>
    </w:p>
    <w:p w14:paraId="13247C22" w14:textId="2BABAF65" w:rsidR="004976AA" w:rsidRPr="00AC4DA1" w:rsidRDefault="0013736E" w:rsidP="00C73AFF">
      <w:pPr>
        <w:spacing w:line="276" w:lineRule="auto"/>
        <w:jc w:val="both"/>
        <w:rPr>
          <w:sz w:val="22"/>
          <w:szCs w:val="22"/>
        </w:rPr>
      </w:pPr>
      <w:r w:rsidRPr="00AC4DA1">
        <w:rPr>
          <w:sz w:val="22"/>
          <w:szCs w:val="22"/>
        </w:rPr>
        <w:t>Ques</w:t>
      </w:r>
      <w:r w:rsidR="004976AA" w:rsidRPr="00AC4DA1">
        <w:rPr>
          <w:sz w:val="22"/>
          <w:szCs w:val="22"/>
        </w:rPr>
        <w:t>tions :</w:t>
      </w:r>
    </w:p>
    <w:p w14:paraId="79BADD5E" w14:textId="76B1CC09" w:rsidR="004976AA" w:rsidRPr="00C73AFF" w:rsidRDefault="0013736E" w:rsidP="00C73AFF">
      <w:pPr>
        <w:pStyle w:val="ListParagraph"/>
        <w:numPr>
          <w:ilvl w:val="0"/>
          <w:numId w:val="38"/>
        </w:numPr>
        <w:spacing w:line="276" w:lineRule="auto"/>
        <w:jc w:val="both"/>
        <w:rPr>
          <w:sz w:val="22"/>
          <w:szCs w:val="22"/>
        </w:rPr>
      </w:pPr>
      <w:r w:rsidRPr="00C73AFF">
        <w:rPr>
          <w:sz w:val="22"/>
          <w:szCs w:val="22"/>
        </w:rPr>
        <w:t>A quand l’o</w:t>
      </w:r>
      <w:r w:rsidR="004976AA" w:rsidRPr="00C73AFF">
        <w:rPr>
          <w:sz w:val="22"/>
          <w:szCs w:val="22"/>
        </w:rPr>
        <w:t>rganis</w:t>
      </w:r>
      <w:r w:rsidR="00C73AFF">
        <w:rPr>
          <w:sz w:val="22"/>
          <w:szCs w:val="22"/>
        </w:rPr>
        <w:t xml:space="preserve">ation </w:t>
      </w:r>
      <w:r w:rsidRPr="00C73AFF">
        <w:rPr>
          <w:sz w:val="22"/>
          <w:szCs w:val="22"/>
        </w:rPr>
        <w:t>d’</w:t>
      </w:r>
      <w:r w:rsidR="004976AA" w:rsidRPr="00C73AFF">
        <w:rPr>
          <w:sz w:val="22"/>
          <w:szCs w:val="22"/>
        </w:rPr>
        <w:t>un recensement général des Personnes Handicapées avec des données désagrégées, accessibles aux personnes handicapées et autres personnes,</w:t>
      </w:r>
    </w:p>
    <w:p w14:paraId="10CB681F" w14:textId="390673BB" w:rsidR="004976AA" w:rsidRPr="00C73AFF" w:rsidRDefault="0013736E" w:rsidP="00C73AFF">
      <w:pPr>
        <w:pStyle w:val="ListParagraph"/>
        <w:numPr>
          <w:ilvl w:val="0"/>
          <w:numId w:val="38"/>
        </w:numPr>
        <w:spacing w:line="276" w:lineRule="auto"/>
        <w:jc w:val="both"/>
        <w:rPr>
          <w:sz w:val="22"/>
          <w:szCs w:val="22"/>
        </w:rPr>
      </w:pPr>
      <w:r w:rsidRPr="00C73AFF">
        <w:rPr>
          <w:sz w:val="22"/>
          <w:szCs w:val="22"/>
        </w:rPr>
        <w:t>A quand la disponib</w:t>
      </w:r>
      <w:r w:rsidR="006E5D22" w:rsidRPr="00C73AFF">
        <w:rPr>
          <w:sz w:val="22"/>
          <w:szCs w:val="22"/>
        </w:rPr>
        <w:t>ilité</w:t>
      </w:r>
      <w:r w:rsidRPr="00C73AFF">
        <w:rPr>
          <w:sz w:val="22"/>
          <w:szCs w:val="22"/>
        </w:rPr>
        <w:t xml:space="preserve"> des donnée</w:t>
      </w:r>
      <w:r w:rsidR="004976AA" w:rsidRPr="00C73AFF">
        <w:rPr>
          <w:sz w:val="22"/>
          <w:szCs w:val="22"/>
        </w:rPr>
        <w:t xml:space="preserve"> des études spécifiques sur des thématiques</w:t>
      </w:r>
      <w:r w:rsidR="00C73AFF">
        <w:rPr>
          <w:sz w:val="22"/>
          <w:szCs w:val="22"/>
        </w:rPr>
        <w:t> ?</w:t>
      </w:r>
    </w:p>
    <w:p w14:paraId="5DB31015" w14:textId="77777777" w:rsidR="004976AA" w:rsidRPr="00AC4DA1" w:rsidRDefault="004976AA" w:rsidP="001260B3">
      <w:pPr>
        <w:pStyle w:val="Heading1"/>
        <w:rPr>
          <w:rFonts w:ascii="Times New Roman" w:hAnsi="Times New Roman"/>
          <w:sz w:val="22"/>
          <w:szCs w:val="22"/>
        </w:rPr>
      </w:pPr>
      <w:bookmarkStart w:id="58" w:name="_Toc128647536"/>
      <w:r w:rsidRPr="00AC4DA1">
        <w:rPr>
          <w:rFonts w:ascii="Times New Roman" w:hAnsi="Times New Roman"/>
          <w:sz w:val="22"/>
          <w:szCs w:val="22"/>
        </w:rPr>
        <w:t>Article 32 : Coopération internationale</w:t>
      </w:r>
      <w:bookmarkEnd w:id="58"/>
    </w:p>
    <w:p w14:paraId="7DACB3FE" w14:textId="26CCA03D" w:rsidR="004976AA" w:rsidRPr="00AC4DA1" w:rsidRDefault="004976AA" w:rsidP="006D293D">
      <w:pPr>
        <w:spacing w:line="276" w:lineRule="auto"/>
        <w:jc w:val="both"/>
        <w:rPr>
          <w:sz w:val="22"/>
          <w:szCs w:val="22"/>
        </w:rPr>
      </w:pPr>
      <w:r w:rsidRPr="00AC4DA1">
        <w:rPr>
          <w:sz w:val="22"/>
          <w:szCs w:val="22"/>
        </w:rPr>
        <w:t>Selon la FEMAPH</w:t>
      </w:r>
      <w:r w:rsidR="00243628">
        <w:rPr>
          <w:sz w:val="22"/>
          <w:szCs w:val="22"/>
        </w:rPr>
        <w:t>, l</w:t>
      </w:r>
      <w:r w:rsidRPr="00AC4DA1">
        <w:rPr>
          <w:sz w:val="22"/>
          <w:szCs w:val="22"/>
        </w:rPr>
        <w:t xml:space="preserve">e rapport </w:t>
      </w:r>
      <w:r w:rsidR="006E5D22" w:rsidRPr="00AC4DA1">
        <w:rPr>
          <w:sz w:val="22"/>
          <w:szCs w:val="22"/>
        </w:rPr>
        <w:t xml:space="preserve">de l’Etat </w:t>
      </w:r>
      <w:r w:rsidRPr="00AC4DA1">
        <w:rPr>
          <w:sz w:val="22"/>
          <w:szCs w:val="22"/>
        </w:rPr>
        <w:t>n’a pas touché cet article.</w:t>
      </w:r>
    </w:p>
    <w:p w14:paraId="65821DFE" w14:textId="23A9121F" w:rsidR="004976AA" w:rsidRPr="00AC4DA1" w:rsidRDefault="004976AA" w:rsidP="006D293D">
      <w:pPr>
        <w:spacing w:line="276" w:lineRule="auto"/>
        <w:jc w:val="both"/>
        <w:rPr>
          <w:sz w:val="22"/>
          <w:szCs w:val="22"/>
        </w:rPr>
      </w:pPr>
      <w:r w:rsidRPr="00AC4DA1">
        <w:rPr>
          <w:sz w:val="22"/>
          <w:szCs w:val="22"/>
        </w:rPr>
        <w:lastRenderedPageBreak/>
        <w:t xml:space="preserve">L’Etat a engagé un grand processus participatif qui a abouti à l’adoption du plan stratégique de promotion des droits des personnes vivant avec un handicap 2015-2024 par le Conseil des Ministres depuis 2014 mais il n’a pas encore engagé un processus à la même hauteur pour mobiliser des ressources </w:t>
      </w:r>
      <w:r w:rsidR="007F1BA4" w:rsidRPr="00AC4DA1">
        <w:rPr>
          <w:sz w:val="22"/>
          <w:szCs w:val="22"/>
        </w:rPr>
        <w:t xml:space="preserve">à travers la coopération </w:t>
      </w:r>
      <w:r w:rsidRPr="00AC4DA1">
        <w:rPr>
          <w:sz w:val="22"/>
          <w:szCs w:val="22"/>
        </w:rPr>
        <w:t>pour sa mise en œuvre et son suivi évaluation. L’Etat appuie la FEMAPH dans la mise en œuvre du PRODESS qui prend en compte certains besoins des personnes vivant avec un handicap mais il n’a pas encore développé des initiatives dans le cadre de la coopération internationale en vu</w:t>
      </w:r>
      <w:r w:rsidR="006E5D22" w:rsidRPr="00AC4DA1">
        <w:rPr>
          <w:sz w:val="22"/>
          <w:szCs w:val="22"/>
        </w:rPr>
        <w:t>e</w:t>
      </w:r>
      <w:r w:rsidRPr="00AC4DA1">
        <w:rPr>
          <w:sz w:val="22"/>
          <w:szCs w:val="22"/>
        </w:rPr>
        <w:t xml:space="preserve"> d’appuyer ces efforts au niveau national</w:t>
      </w:r>
      <w:r w:rsidR="006E5D22" w:rsidRPr="00AC4DA1">
        <w:rPr>
          <w:sz w:val="22"/>
          <w:szCs w:val="22"/>
        </w:rPr>
        <w:t>.</w:t>
      </w:r>
      <w:r w:rsidRPr="00AC4DA1">
        <w:rPr>
          <w:sz w:val="22"/>
          <w:szCs w:val="22"/>
        </w:rPr>
        <w:t xml:space="preserve"> </w:t>
      </w:r>
      <w:r w:rsidR="006E5D22" w:rsidRPr="00AC4DA1">
        <w:rPr>
          <w:sz w:val="22"/>
          <w:szCs w:val="22"/>
        </w:rPr>
        <w:t xml:space="preserve"> </w:t>
      </w:r>
    </w:p>
    <w:p w14:paraId="7447C9E4" w14:textId="6BB60AD8" w:rsidR="004976AA" w:rsidRPr="00AC4DA1" w:rsidRDefault="004976AA" w:rsidP="001260B3">
      <w:pPr>
        <w:pStyle w:val="Heading1"/>
        <w:rPr>
          <w:rFonts w:ascii="Times New Roman" w:hAnsi="Times New Roman"/>
          <w:sz w:val="22"/>
          <w:szCs w:val="22"/>
        </w:rPr>
      </w:pPr>
      <w:bookmarkStart w:id="59" w:name="_Toc128647537"/>
      <w:r w:rsidRPr="00AC4DA1">
        <w:rPr>
          <w:rFonts w:ascii="Times New Roman" w:hAnsi="Times New Roman"/>
          <w:sz w:val="22"/>
          <w:szCs w:val="22"/>
        </w:rPr>
        <w:t>Article 33 : Application et suivi au niveau national</w:t>
      </w:r>
      <w:bookmarkEnd w:id="59"/>
    </w:p>
    <w:p w14:paraId="2E0F2036" w14:textId="4CD14D2B" w:rsidR="004976AA" w:rsidRPr="00AC4DA1" w:rsidRDefault="004976AA" w:rsidP="006D293D">
      <w:pPr>
        <w:spacing w:line="276" w:lineRule="auto"/>
        <w:jc w:val="both"/>
        <w:rPr>
          <w:sz w:val="22"/>
          <w:szCs w:val="22"/>
        </w:rPr>
      </w:pPr>
      <w:r w:rsidRPr="00AC4DA1">
        <w:rPr>
          <w:sz w:val="22"/>
          <w:szCs w:val="22"/>
        </w:rPr>
        <w:t>Selon la FEMAPH</w:t>
      </w:r>
      <w:r w:rsidR="00E318A6">
        <w:rPr>
          <w:sz w:val="22"/>
          <w:szCs w:val="22"/>
        </w:rPr>
        <w:t>, l</w:t>
      </w:r>
      <w:r w:rsidRPr="00AC4DA1">
        <w:rPr>
          <w:sz w:val="22"/>
          <w:szCs w:val="22"/>
        </w:rPr>
        <w:t xml:space="preserve">e rapport </w:t>
      </w:r>
      <w:r w:rsidR="006E5D22" w:rsidRPr="00AC4DA1">
        <w:rPr>
          <w:sz w:val="22"/>
          <w:szCs w:val="22"/>
        </w:rPr>
        <w:t xml:space="preserve">de l’Etat </w:t>
      </w:r>
      <w:r w:rsidRPr="00AC4DA1">
        <w:rPr>
          <w:sz w:val="22"/>
          <w:szCs w:val="22"/>
        </w:rPr>
        <w:t>n’a pas touché cet article.</w:t>
      </w:r>
    </w:p>
    <w:p w14:paraId="0133AB86" w14:textId="041E4FF7" w:rsidR="00A464CF" w:rsidRPr="00AC4DA1" w:rsidRDefault="004976AA" w:rsidP="006D293D">
      <w:pPr>
        <w:spacing w:line="276" w:lineRule="auto"/>
        <w:jc w:val="both"/>
        <w:rPr>
          <w:sz w:val="22"/>
          <w:szCs w:val="22"/>
        </w:rPr>
      </w:pPr>
      <w:r w:rsidRPr="00AC4DA1">
        <w:rPr>
          <w:sz w:val="22"/>
          <w:szCs w:val="22"/>
        </w:rPr>
        <w:t xml:space="preserve">Comme prévu dans la CIDPH, le Mali n’a pas encore désigné, conformément à son système de gouvernement, un ou plusieurs points de contact dans différents secteurs et à différents niveaux pour les questions relatives à l’application de la présente Convention. </w:t>
      </w:r>
    </w:p>
    <w:p w14:paraId="06C02169" w14:textId="77777777" w:rsidR="00A464CF" w:rsidRPr="00AC4DA1" w:rsidRDefault="00A464CF" w:rsidP="006D293D">
      <w:pPr>
        <w:spacing w:line="276" w:lineRule="auto"/>
        <w:jc w:val="both"/>
        <w:rPr>
          <w:sz w:val="22"/>
          <w:szCs w:val="22"/>
        </w:rPr>
      </w:pPr>
    </w:p>
    <w:p w14:paraId="41C0CA05" w14:textId="5C1A7DF6" w:rsidR="004976AA" w:rsidRPr="00AC4DA1" w:rsidRDefault="004976AA" w:rsidP="00BC0BDE">
      <w:pPr>
        <w:spacing w:line="276" w:lineRule="auto"/>
        <w:jc w:val="both"/>
        <w:rPr>
          <w:sz w:val="22"/>
          <w:szCs w:val="22"/>
        </w:rPr>
      </w:pPr>
      <w:r w:rsidRPr="00AC4DA1">
        <w:rPr>
          <w:sz w:val="22"/>
          <w:szCs w:val="22"/>
        </w:rPr>
        <w:t xml:space="preserve">L’Etat malien n’a pas encore désigné ou créé, conformément à son système administratif et juridique, un ou plusieurs mécanismes indépendants de suivi de l’application de la présente Convention. </w:t>
      </w:r>
    </w:p>
    <w:p w14:paraId="7F5F3D81" w14:textId="77777777" w:rsidR="00BC0BDE" w:rsidRPr="00AC4DA1" w:rsidRDefault="00BC0BDE" w:rsidP="00BC0BDE">
      <w:pPr>
        <w:spacing w:line="276" w:lineRule="auto"/>
        <w:jc w:val="both"/>
        <w:rPr>
          <w:sz w:val="22"/>
          <w:szCs w:val="22"/>
        </w:rPr>
      </w:pPr>
    </w:p>
    <w:p w14:paraId="2152966D" w14:textId="44366243" w:rsidR="004976AA" w:rsidRPr="00AC4DA1" w:rsidRDefault="003F47C4" w:rsidP="006D293D">
      <w:pPr>
        <w:spacing w:line="276" w:lineRule="auto"/>
        <w:jc w:val="both"/>
        <w:rPr>
          <w:sz w:val="22"/>
          <w:szCs w:val="22"/>
        </w:rPr>
      </w:pPr>
      <w:r w:rsidRPr="00AC4DA1">
        <w:rPr>
          <w:sz w:val="22"/>
          <w:szCs w:val="22"/>
        </w:rPr>
        <w:t xml:space="preserve">Ce </w:t>
      </w:r>
      <w:r w:rsidR="00A94C6B" w:rsidRPr="00AC4DA1">
        <w:rPr>
          <w:sz w:val="22"/>
          <w:szCs w:val="22"/>
        </w:rPr>
        <w:t>mécanisme doit prendre en</w:t>
      </w:r>
      <w:r w:rsidR="004976AA" w:rsidRPr="00AC4DA1">
        <w:rPr>
          <w:sz w:val="22"/>
          <w:szCs w:val="22"/>
        </w:rPr>
        <w:t xml:space="preserve"> compte des principes applicables au statut et au fonctionnement des institutions nationales de protection et de promotion des droits d</w:t>
      </w:r>
      <w:r w:rsidR="00A94C6B" w:rsidRPr="00AC4DA1">
        <w:rPr>
          <w:sz w:val="22"/>
          <w:szCs w:val="22"/>
        </w:rPr>
        <w:t>es personnes handicapées</w:t>
      </w:r>
      <w:r w:rsidR="004976AA" w:rsidRPr="00AC4DA1">
        <w:rPr>
          <w:sz w:val="22"/>
          <w:szCs w:val="22"/>
        </w:rPr>
        <w:t>,</w:t>
      </w:r>
    </w:p>
    <w:p w14:paraId="7861A019" w14:textId="369DD9FA" w:rsidR="004976AA" w:rsidRPr="00AC4DA1" w:rsidRDefault="004976AA" w:rsidP="006D293D">
      <w:pPr>
        <w:spacing w:line="276" w:lineRule="auto"/>
        <w:jc w:val="both"/>
        <w:rPr>
          <w:sz w:val="22"/>
          <w:szCs w:val="22"/>
        </w:rPr>
      </w:pPr>
      <w:r w:rsidRPr="00AC4DA1">
        <w:rPr>
          <w:sz w:val="22"/>
          <w:szCs w:val="22"/>
        </w:rPr>
        <w:t xml:space="preserve">La société civile en particulier les personnes handicapées et les organisations qui les représentent </w:t>
      </w:r>
      <w:r w:rsidR="00A94C6B" w:rsidRPr="00AC4DA1">
        <w:rPr>
          <w:sz w:val="22"/>
          <w:szCs w:val="22"/>
        </w:rPr>
        <w:t>son</w:t>
      </w:r>
      <w:r w:rsidRPr="00AC4DA1">
        <w:rPr>
          <w:sz w:val="22"/>
          <w:szCs w:val="22"/>
        </w:rPr>
        <w:t>t associée</w:t>
      </w:r>
      <w:r w:rsidR="00A94C6B" w:rsidRPr="00AC4DA1">
        <w:rPr>
          <w:sz w:val="22"/>
          <w:szCs w:val="22"/>
        </w:rPr>
        <w:t>s</w:t>
      </w:r>
      <w:r w:rsidRPr="00AC4DA1">
        <w:rPr>
          <w:sz w:val="22"/>
          <w:szCs w:val="22"/>
        </w:rPr>
        <w:t xml:space="preserve"> et participe</w:t>
      </w:r>
      <w:r w:rsidR="00A94C6B" w:rsidRPr="00AC4DA1">
        <w:rPr>
          <w:sz w:val="22"/>
          <w:szCs w:val="22"/>
        </w:rPr>
        <w:t>nt</w:t>
      </w:r>
      <w:r w:rsidRPr="00AC4DA1">
        <w:rPr>
          <w:sz w:val="22"/>
          <w:szCs w:val="22"/>
        </w:rPr>
        <w:t xml:space="preserve"> pleinement à la fonction de suivi.</w:t>
      </w:r>
    </w:p>
    <w:sectPr w:rsidR="004976AA" w:rsidRPr="00AC4DA1" w:rsidSect="00017F4E">
      <w:footerReference w:type="default" r:id="rId1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AC90E" w14:textId="77777777" w:rsidR="003D348B" w:rsidRDefault="003D348B" w:rsidP="00DC5BA3">
      <w:r>
        <w:separator/>
      </w:r>
    </w:p>
  </w:endnote>
  <w:endnote w:type="continuationSeparator" w:id="0">
    <w:p w14:paraId="62D7BCE8" w14:textId="77777777" w:rsidR="003D348B" w:rsidRDefault="003D348B" w:rsidP="00DC5BA3">
      <w:r>
        <w:continuationSeparator/>
      </w:r>
    </w:p>
  </w:endnote>
  <w:endnote w:id="1">
    <w:p w14:paraId="3C6B83D9" w14:textId="5E93C7A5" w:rsidR="009A6B93" w:rsidRPr="009A6B93" w:rsidRDefault="009A6B93" w:rsidP="009A6B93">
      <w:pPr>
        <w:pStyle w:val="EndnoteText"/>
        <w:jc w:val="both"/>
        <w:rPr>
          <w:sz w:val="10"/>
          <w:szCs w:val="10"/>
        </w:rPr>
      </w:pPr>
      <w:r>
        <w:rPr>
          <w:rStyle w:val="EndnoteReference"/>
        </w:rPr>
        <w:endnoteRef/>
      </w:r>
      <w:r>
        <w:t xml:space="preserve"> </w:t>
      </w:r>
      <w:r w:rsidRPr="009A6B93">
        <w:rPr>
          <w:bCs/>
          <w:sz w:val="10"/>
          <w:szCs w:val="10"/>
        </w:rPr>
        <w:t xml:space="preserve">l’Ordonnance N° 07-035-P-RM du 4 septembre 2007 autorisant la ratification de la Convention relative aux droits des personnes handicapées et du protocole facultatif se rapportant à ladite Convention ; </w:t>
      </w:r>
      <w:bookmarkStart w:id="27" w:name="_Hlk122419109"/>
      <w:r w:rsidRPr="009A6B93">
        <w:rPr>
          <w:bCs/>
          <w:sz w:val="10"/>
          <w:szCs w:val="10"/>
        </w:rPr>
        <w:t>La Loi N°2018-027 du 12 juin 2018 relative aux droits des personnes vivant avec un handicap </w:t>
      </w:r>
      <w:bookmarkEnd w:id="27"/>
      <w:r w:rsidRPr="009A6B93">
        <w:rPr>
          <w:bCs/>
          <w:sz w:val="10"/>
          <w:szCs w:val="10"/>
        </w:rPr>
        <w:t>; Le décret N° 2021-0662/PT-RM du 23 septembre 2023 fixant les modalités d’application de la loi N°2018-027 du 12 juin 2018 relative aux droits des personnes vivant avec un handicap ; Le protocole à la Charte Africaine des Droits de l’Homme et des Peuples relatif aux Droits des Personnes Handicapées.</w:t>
      </w:r>
    </w:p>
  </w:endnote>
  <w:endnote w:id="2">
    <w:p w14:paraId="4FBB2B7A" w14:textId="6FDBC8D0" w:rsidR="00AC4DA1" w:rsidRPr="00F5295E" w:rsidRDefault="00AC4DA1" w:rsidP="00F5295E">
      <w:pPr>
        <w:spacing w:line="276" w:lineRule="auto"/>
        <w:jc w:val="both"/>
        <w:rPr>
          <w:bCs/>
          <w:sz w:val="12"/>
          <w:szCs w:val="12"/>
        </w:rPr>
      </w:pPr>
      <w:r>
        <w:rPr>
          <w:rStyle w:val="EndnoteReference"/>
        </w:rPr>
        <w:endnoteRef/>
      </w:r>
      <w:r>
        <w:t xml:space="preserve"> </w:t>
      </w:r>
      <w:r w:rsidRPr="00AC4DA1">
        <w:rPr>
          <w:bCs/>
          <w:sz w:val="12"/>
          <w:szCs w:val="12"/>
        </w:rPr>
        <w:t>La politique nationale de l’action humanitaire et son Plan d’Action 2018-2022 ; La politique nationale de solidarité (2018) ; La politique nationale de protection sociale (2016) ; La politique nationale de l’emploi (2015) ; La politique nationale de formation professionnelle (2008) ; Le plan stratégique pour la promotion des personnes handicapées 2015-2024 ; Les Programmes de Développement Sanitaire et Social (PRODESS) 1 et 2.</w:t>
      </w:r>
    </w:p>
  </w:endnote>
  <w:endnote w:id="3">
    <w:p w14:paraId="615C8657" w14:textId="3FA509C2" w:rsidR="00F5295E" w:rsidRPr="00F5295E" w:rsidRDefault="00F5295E" w:rsidP="00F5295E">
      <w:pPr>
        <w:spacing w:line="276" w:lineRule="auto"/>
        <w:jc w:val="both"/>
        <w:rPr>
          <w:sz w:val="12"/>
          <w:szCs w:val="12"/>
        </w:rPr>
      </w:pPr>
      <w:r>
        <w:rPr>
          <w:rStyle w:val="EndnoteReference"/>
        </w:rPr>
        <w:endnoteRef/>
      </w:r>
      <w:r>
        <w:t xml:space="preserve"> </w:t>
      </w:r>
      <w:r w:rsidRPr="00F5295E">
        <w:rPr>
          <w:sz w:val="12"/>
          <w:szCs w:val="12"/>
        </w:rPr>
        <w:t>La loi N°87-31/AN-RM du 29 AOUT 1987 portant Régime général des obligations stipules en ces articles suivants :</w:t>
      </w:r>
    </w:p>
    <w:p w14:paraId="3469EFD3" w14:textId="3BDF27B7" w:rsidR="00F5295E" w:rsidRPr="00F5295E" w:rsidRDefault="00F5295E" w:rsidP="00F5295E">
      <w:pPr>
        <w:spacing w:line="276" w:lineRule="auto"/>
        <w:jc w:val="both"/>
        <w:rPr>
          <w:rFonts w:eastAsia="Symbol"/>
          <w:sz w:val="12"/>
          <w:szCs w:val="12"/>
        </w:rPr>
      </w:pPr>
      <w:r w:rsidRPr="00F5295E">
        <w:rPr>
          <w:rFonts w:eastAsia="Symbol"/>
          <w:sz w:val="12"/>
          <w:szCs w:val="12"/>
        </w:rPr>
        <w:t>Article 35 La volonté de chacun des contractants doit être libre et éclairée. Elle doit émaner d’une personne saine d’esprit et en état de discernement. Il n’y a point de contrat sans consentement émanant de l’une et de autres parties. Article 48 Toute personne peut contracter si elle n’en est pas déclarée incapable par la loi.</w:t>
      </w:r>
    </w:p>
    <w:p w14:paraId="097ECA36" w14:textId="29B069E9" w:rsidR="00F5295E" w:rsidRPr="00F5295E" w:rsidRDefault="00F5295E" w:rsidP="00F5295E">
      <w:pPr>
        <w:spacing w:line="276" w:lineRule="auto"/>
        <w:jc w:val="both"/>
        <w:rPr>
          <w:rFonts w:eastAsia="Symbol"/>
          <w:sz w:val="12"/>
          <w:szCs w:val="12"/>
        </w:rPr>
      </w:pPr>
      <w:r w:rsidRPr="00F5295E">
        <w:rPr>
          <w:rFonts w:eastAsia="Symbol"/>
          <w:b/>
          <w:bCs/>
          <w:sz w:val="12"/>
          <w:szCs w:val="12"/>
        </w:rPr>
        <w:t>Article 49</w:t>
      </w:r>
      <w:r w:rsidRPr="00F5295E">
        <w:rPr>
          <w:rFonts w:eastAsia="Symbol"/>
          <w:sz w:val="12"/>
          <w:szCs w:val="12"/>
        </w:rPr>
        <w:t xml:space="preserve"> L’incapacité de jouissance enlève à l’incapable le pouvoir de passer des contrats ayant pour objet le droit dont il est privé. Elle est toujours partielle et ne peut résulter que d’une disposition de la loi. </w:t>
      </w:r>
      <w:r w:rsidRPr="00F5295E">
        <w:rPr>
          <w:rFonts w:eastAsia="Symbol"/>
          <w:b/>
          <w:bCs/>
          <w:sz w:val="12"/>
          <w:szCs w:val="12"/>
        </w:rPr>
        <w:t>Article 50</w:t>
      </w:r>
      <w:r w:rsidRPr="00F5295E">
        <w:rPr>
          <w:rFonts w:eastAsia="Symbol"/>
          <w:sz w:val="12"/>
          <w:szCs w:val="12"/>
        </w:rPr>
        <w:t xml:space="preserve"> L’incapacité d’exercice ne permet à l’incapable d’exercer ses droits que par l’intermédiaire d’un représentant ou en observant certaines formalités conformément aux dispositions du Code du mariage et de la tutelle. </w:t>
      </w:r>
      <w:r w:rsidRPr="00F5295E">
        <w:rPr>
          <w:rFonts w:eastAsia="Symbol"/>
          <w:b/>
          <w:bCs/>
          <w:sz w:val="12"/>
          <w:szCs w:val="12"/>
        </w:rPr>
        <w:t>Article 51</w:t>
      </w:r>
      <w:r w:rsidRPr="00F5295E">
        <w:rPr>
          <w:rFonts w:eastAsia="Symbol"/>
          <w:sz w:val="12"/>
          <w:szCs w:val="12"/>
        </w:rPr>
        <w:t xml:space="preserve"> Sont incapables de contracter :</w:t>
      </w:r>
    </w:p>
    <w:p w14:paraId="60204152" w14:textId="77777777" w:rsidR="00F5295E" w:rsidRPr="00F5295E" w:rsidRDefault="00F5295E" w:rsidP="00F5295E">
      <w:pPr>
        <w:spacing w:line="276" w:lineRule="auto"/>
        <w:rPr>
          <w:rFonts w:eastAsia="Symbol"/>
          <w:sz w:val="12"/>
          <w:szCs w:val="12"/>
        </w:rPr>
      </w:pPr>
      <w:r w:rsidRPr="00F5295E">
        <w:rPr>
          <w:rFonts w:eastAsia="Symbol"/>
          <w:sz w:val="12"/>
          <w:szCs w:val="12"/>
        </w:rPr>
        <w:t>• les mineurs non émancipés ;</w:t>
      </w:r>
    </w:p>
    <w:p w14:paraId="5BBFAA67" w14:textId="15525136" w:rsidR="00F5295E" w:rsidRPr="00F5295E" w:rsidRDefault="00F5295E" w:rsidP="00F5295E">
      <w:pPr>
        <w:spacing w:line="276" w:lineRule="auto"/>
        <w:rPr>
          <w:rFonts w:eastAsia="Symbol"/>
          <w:sz w:val="12"/>
          <w:szCs w:val="12"/>
        </w:rPr>
      </w:pPr>
      <w:r w:rsidRPr="00F5295E">
        <w:rPr>
          <w:rFonts w:eastAsia="Symbol"/>
          <w:sz w:val="12"/>
          <w:szCs w:val="12"/>
        </w:rPr>
        <w:t>• les majeurs interdits.</w:t>
      </w:r>
    </w:p>
  </w:endnote>
  <w:endnote w:id="4">
    <w:p w14:paraId="7D9B9001" w14:textId="77777777" w:rsidR="00F5295E" w:rsidRPr="00F5295E" w:rsidRDefault="00F5295E" w:rsidP="00F5295E">
      <w:pPr>
        <w:spacing w:line="276" w:lineRule="auto"/>
        <w:jc w:val="both"/>
        <w:rPr>
          <w:rFonts w:eastAsia="Arial"/>
          <w:sz w:val="12"/>
          <w:szCs w:val="12"/>
        </w:rPr>
      </w:pPr>
      <w:r>
        <w:rPr>
          <w:rStyle w:val="EndnoteReference"/>
        </w:rPr>
        <w:endnoteRef/>
      </w:r>
      <w:r w:rsidRPr="00F5295E">
        <w:rPr>
          <w:sz w:val="14"/>
          <w:szCs w:val="14"/>
        </w:rPr>
        <w:t xml:space="preserve"> </w:t>
      </w:r>
      <w:r w:rsidRPr="00F5295E">
        <w:rPr>
          <w:rFonts w:eastAsia="Arial"/>
          <w:sz w:val="12"/>
          <w:szCs w:val="12"/>
        </w:rPr>
        <w:t>L’arrêté 08-2716 portant charte du malade dans les établissements hospitaliers dispose en ces articles suivants :</w:t>
      </w:r>
    </w:p>
    <w:p w14:paraId="47A8D0F6" w14:textId="120237A6" w:rsidR="00F5295E" w:rsidRPr="00F5295E" w:rsidRDefault="00F5295E" w:rsidP="00F5295E">
      <w:pPr>
        <w:spacing w:line="276" w:lineRule="auto"/>
        <w:jc w:val="both"/>
        <w:rPr>
          <w:rFonts w:eastAsia="Arial"/>
          <w:sz w:val="12"/>
          <w:szCs w:val="12"/>
        </w:rPr>
      </w:pPr>
      <w:r w:rsidRPr="00F5295E">
        <w:rPr>
          <w:rFonts w:eastAsia="Arial"/>
          <w:b/>
          <w:bCs/>
          <w:sz w:val="12"/>
          <w:szCs w:val="12"/>
        </w:rPr>
        <w:t>Article 4 :</w:t>
      </w:r>
      <w:r w:rsidRPr="00F5295E">
        <w:rPr>
          <w:rFonts w:eastAsia="Arial"/>
          <w:sz w:val="12"/>
          <w:szCs w:val="12"/>
        </w:rPr>
        <w:t xml:space="preserve"> La charte du malade est l’expression des droits individuels fondamentaux de chaque patient au moment où il entre en contact avec l’établissement. Les établissements hospitaliers se doivent de veiller au respect des droits de l’homme et de citoyen reconnus universellement : non-discrimination, respect à la personne, de sa liberté individuelle, de sa vie privée, de son autonomie, notamment, le droit à l’autodétermination pour choisir son médecin, le droit à l’information, le droit à la liberté religieuse et philosophique.</w:t>
      </w:r>
    </w:p>
    <w:p w14:paraId="7374E1E5" w14:textId="7A1D832A" w:rsidR="00F5295E" w:rsidRPr="00F5295E" w:rsidRDefault="00F5295E" w:rsidP="00F5295E">
      <w:pPr>
        <w:spacing w:line="276" w:lineRule="auto"/>
        <w:jc w:val="both"/>
        <w:rPr>
          <w:rFonts w:eastAsia="Arial"/>
          <w:sz w:val="12"/>
          <w:szCs w:val="12"/>
        </w:rPr>
      </w:pPr>
      <w:r w:rsidRPr="00F5295E">
        <w:rPr>
          <w:rFonts w:eastAsia="Arial"/>
          <w:b/>
          <w:bCs/>
          <w:sz w:val="12"/>
          <w:szCs w:val="12"/>
        </w:rPr>
        <w:t>Article 6 :</w:t>
      </w:r>
      <w:r w:rsidRPr="00F5295E">
        <w:rPr>
          <w:rFonts w:eastAsia="Arial"/>
          <w:sz w:val="12"/>
          <w:szCs w:val="12"/>
        </w:rPr>
        <w:t xml:space="preserve"> Les établissements hospitaliers sont tenus d’accueillir toutes personnes, quels que soient leur origine, leur sexe, leur situation de famille, leur âge, leur état de santé, leur handicap, leurs opinions politiques, syndicales, philosophiques ou religieuses. A défaut de pouvoir les accueillir, ils doivent tout mettre en œuvre pour assurer leur admission dans un autre établissement.</w:t>
      </w:r>
    </w:p>
    <w:p w14:paraId="51312AA4" w14:textId="593DD45F" w:rsidR="00F5295E" w:rsidRPr="00F5295E" w:rsidRDefault="00F5295E" w:rsidP="00F5295E">
      <w:pPr>
        <w:spacing w:line="276" w:lineRule="auto"/>
        <w:jc w:val="both"/>
        <w:rPr>
          <w:rFonts w:eastAsia="Arial"/>
          <w:sz w:val="12"/>
          <w:szCs w:val="12"/>
        </w:rPr>
      </w:pPr>
      <w:r w:rsidRPr="00F5295E">
        <w:rPr>
          <w:rFonts w:eastAsia="Arial"/>
          <w:b/>
          <w:bCs/>
          <w:sz w:val="12"/>
          <w:szCs w:val="12"/>
        </w:rPr>
        <w:t>Article 12 :</w:t>
      </w:r>
      <w:r w:rsidRPr="00F5295E">
        <w:rPr>
          <w:rFonts w:eastAsia="Arial"/>
          <w:sz w:val="12"/>
          <w:szCs w:val="12"/>
        </w:rPr>
        <w:t xml:space="preserve"> Le malade a le droit d’accepter ou de refuser l’hospitalisation ou toute prestation de diagnostic ou de traitement, s’il ne met pas en danger sa vie ou l’intérêt public. Lorsqu’il est complètement ou partiellement (de par la loi ou de fait) incapable d’exercer ce droit, celui-ci est exercé par son représentant ou par une personne légalement désignée.</w:t>
      </w:r>
    </w:p>
    <w:p w14:paraId="6A22EF26" w14:textId="340932EE" w:rsidR="00F5295E" w:rsidRPr="00F5295E" w:rsidRDefault="00F5295E" w:rsidP="00F5295E">
      <w:pPr>
        <w:spacing w:line="276" w:lineRule="auto"/>
        <w:jc w:val="both"/>
        <w:rPr>
          <w:rFonts w:eastAsia="Arial"/>
          <w:sz w:val="12"/>
          <w:szCs w:val="12"/>
        </w:rPr>
      </w:pPr>
      <w:r w:rsidRPr="00F5295E">
        <w:rPr>
          <w:rFonts w:eastAsia="Arial"/>
          <w:b/>
          <w:bCs/>
          <w:sz w:val="12"/>
          <w:szCs w:val="12"/>
        </w:rPr>
        <w:t>Article 13 :</w:t>
      </w:r>
      <w:r w:rsidRPr="00F5295E">
        <w:rPr>
          <w:rFonts w:eastAsia="Arial"/>
          <w:sz w:val="12"/>
          <w:szCs w:val="12"/>
        </w:rPr>
        <w:t xml:space="preserve"> Le malade a le droit d’être informé de ce qui concerne son état. C’est l’intérêt du malade qui doit être déterminant pour l’information à lui donner. Cette information doit permettre d’obtenir un aperçu complet de tous les aspects médicaux et autres, de son état et de prendre lui-même les décisions ou de participer aux décisions pouvant avoir des conséquences sur son bien-être.</w:t>
      </w:r>
    </w:p>
    <w:p w14:paraId="26ABE058" w14:textId="5FF395F2" w:rsidR="00F5295E" w:rsidRPr="00F5295E" w:rsidRDefault="00F5295E" w:rsidP="00F5295E">
      <w:pPr>
        <w:spacing w:line="276" w:lineRule="auto"/>
        <w:jc w:val="both"/>
        <w:rPr>
          <w:rFonts w:eastAsia="Arial"/>
          <w:sz w:val="12"/>
          <w:szCs w:val="12"/>
        </w:rPr>
      </w:pPr>
      <w:r w:rsidRPr="00F5295E">
        <w:rPr>
          <w:rFonts w:eastAsia="Arial"/>
          <w:b/>
          <w:bCs/>
          <w:sz w:val="12"/>
          <w:szCs w:val="12"/>
        </w:rPr>
        <w:t>Article 14 :</w:t>
      </w:r>
      <w:r w:rsidRPr="00F5295E">
        <w:rPr>
          <w:rFonts w:eastAsia="Arial"/>
          <w:sz w:val="12"/>
          <w:szCs w:val="12"/>
        </w:rPr>
        <w:t xml:space="preserve"> Pour des raisons légitimes et qui doivent demeurer exceptionnelles, un malade peut être laissé dans l’ignorance d’un pronostic ou d’un diagnostic grave. Un tel diagnostic fatal doit être révélé avec circonspection, mais à moins que le patient n’ait préalablement interdit, notamment au cours d’entretiens avec le médecin, cette révélation, ou désigné les tiers auxquels elle doit être faite, les proches doivent généralement en être prévenus. De même, la volonté du patient de ne pas être informé sur son état de santé doit être respectée.</w:t>
      </w:r>
    </w:p>
    <w:p w14:paraId="2ACA45C5" w14:textId="77777777" w:rsidR="00F5295E" w:rsidRPr="00F5295E" w:rsidRDefault="00F5295E" w:rsidP="00F5295E">
      <w:pPr>
        <w:spacing w:line="276" w:lineRule="auto"/>
        <w:jc w:val="both"/>
        <w:rPr>
          <w:rFonts w:eastAsia="Arial"/>
          <w:sz w:val="12"/>
          <w:szCs w:val="12"/>
        </w:rPr>
      </w:pPr>
      <w:r w:rsidRPr="00F5295E">
        <w:rPr>
          <w:rFonts w:eastAsia="Arial"/>
          <w:b/>
          <w:bCs/>
          <w:sz w:val="12"/>
          <w:szCs w:val="12"/>
        </w:rPr>
        <w:t>Article 15 :</w:t>
      </w:r>
      <w:r w:rsidRPr="00F5295E">
        <w:rPr>
          <w:rFonts w:eastAsia="Arial"/>
          <w:sz w:val="12"/>
          <w:szCs w:val="12"/>
        </w:rPr>
        <w:t xml:space="preserve"> Le malade, ou son représentant, a le droit d’être complètement informé à l’avance des risques que peut présenter toute prestation en vue du diagnostic ou de traitement. Pareille prestation doit faire l’objet d’un consentement explicite du malade ; ce consentement peut être retiré à tout moment. Le malade doit pouvoir se sentir complètement libre d’accepter ou de refuser sa collaboration à la recherche clinique ou à l’enseignement ; il peut à tout moment retirer son acceptation.</w:t>
      </w:r>
    </w:p>
    <w:p w14:paraId="29037DFE" w14:textId="77777777" w:rsidR="00F5295E" w:rsidRPr="00F5295E" w:rsidRDefault="00F5295E" w:rsidP="00F5295E">
      <w:pPr>
        <w:spacing w:line="276" w:lineRule="auto"/>
        <w:jc w:val="both"/>
        <w:rPr>
          <w:rFonts w:eastAsia="Arial"/>
          <w:sz w:val="12"/>
          <w:szCs w:val="12"/>
        </w:rPr>
      </w:pPr>
      <w:r w:rsidRPr="00F5295E">
        <w:rPr>
          <w:rFonts w:eastAsia="Arial"/>
          <w:b/>
          <w:bCs/>
          <w:sz w:val="12"/>
          <w:szCs w:val="12"/>
        </w:rPr>
        <w:t>Article 24 :</w:t>
      </w:r>
      <w:r w:rsidRPr="00F5295E">
        <w:rPr>
          <w:rFonts w:eastAsia="Arial"/>
          <w:sz w:val="12"/>
          <w:szCs w:val="12"/>
        </w:rPr>
        <w:t xml:space="preserve"> L’égalité d’accès des usagers aux prestations des personnels de l’hôpital est garantie. A titre exceptionnel, une dérogation peut être fondée sur l’âge de l’usager, un handicap apparent ou l’urgence du cas. Dans cette situation, le personnel doit expliquer aux usagers présents les motifs de la décision d’accorder ce privilège.</w:t>
      </w:r>
    </w:p>
    <w:p w14:paraId="77BB3421" w14:textId="0605531E" w:rsidR="00F5295E" w:rsidRDefault="00F5295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5335961"/>
      <w:docPartObj>
        <w:docPartGallery w:val="Page Numbers (Bottom of Page)"/>
        <w:docPartUnique/>
      </w:docPartObj>
    </w:sdtPr>
    <w:sdtEndPr/>
    <w:sdtContent>
      <w:p w14:paraId="1902E92A" w14:textId="4DF4DA3D" w:rsidR="00017F4E" w:rsidRDefault="00017F4E">
        <w:pPr>
          <w:pStyle w:val="Footer"/>
          <w:jc w:val="center"/>
        </w:pPr>
        <w:r>
          <w:fldChar w:fldCharType="begin"/>
        </w:r>
        <w:r>
          <w:instrText>PAGE   \* MERGEFORMAT</w:instrText>
        </w:r>
        <w:r>
          <w:fldChar w:fldCharType="separate"/>
        </w:r>
        <w:r w:rsidR="00497775">
          <w:rPr>
            <w:noProof/>
          </w:rPr>
          <w:t>3</w:t>
        </w:r>
        <w:r>
          <w:fldChar w:fldCharType="end"/>
        </w:r>
      </w:p>
    </w:sdtContent>
  </w:sdt>
  <w:p w14:paraId="70A8AADA" w14:textId="77777777" w:rsidR="00F1536C" w:rsidRDefault="00F1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77EA0" w14:textId="77777777" w:rsidR="003D348B" w:rsidRDefault="003D348B" w:rsidP="00DC5BA3">
      <w:r>
        <w:separator/>
      </w:r>
    </w:p>
  </w:footnote>
  <w:footnote w:type="continuationSeparator" w:id="0">
    <w:p w14:paraId="73312D22" w14:textId="77777777" w:rsidR="003D348B" w:rsidRDefault="003D348B" w:rsidP="00DC5BA3">
      <w:r>
        <w:continuationSeparator/>
      </w:r>
    </w:p>
  </w:footnote>
  <w:footnote w:id="1">
    <w:p w14:paraId="3C01DA02" w14:textId="76417137" w:rsidR="00835B1D" w:rsidRPr="00321A6A" w:rsidRDefault="00835B1D">
      <w:pPr>
        <w:pStyle w:val="FootnoteText"/>
      </w:pPr>
      <w:r>
        <w:rPr>
          <w:rStyle w:val="FootnoteReference"/>
        </w:rPr>
        <w:footnoteRef/>
      </w:r>
      <w:r>
        <w:t xml:space="preserve"> </w:t>
      </w:r>
      <w:r w:rsidRPr="00321A6A">
        <w:rPr>
          <w:lang w:val="fr-CH"/>
        </w:rPr>
        <w:t xml:space="preserve">Voir Rapport de l´Etat, </w:t>
      </w:r>
      <w:r w:rsidRPr="00835B1D">
        <w:t>CRPD/C/MLI/1</w:t>
      </w:r>
      <w:r w:rsidRPr="00321A6A">
        <w:rPr>
          <w:lang w:val="fr-CH"/>
        </w:rPr>
        <w:t xml:space="preserve">, </w:t>
      </w:r>
      <w:r>
        <w:rPr>
          <w:lang w:val="fr-CH"/>
        </w:rPr>
        <w:t>para. 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3D"/>
    <w:multiLevelType w:val="hybridMultilevel"/>
    <w:tmpl w:val="5092CA7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3E"/>
    <w:multiLevelType w:val="hybridMultilevel"/>
    <w:tmpl w:val="1D545C4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3F"/>
    <w:multiLevelType w:val="hybridMultilevel"/>
    <w:tmpl w:val="59ADEA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41"/>
    <w:multiLevelType w:val="hybridMultilevel"/>
    <w:tmpl w:val="2A155DB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42"/>
    <w:multiLevelType w:val="hybridMultilevel"/>
    <w:tmpl w:val="1D9F6E5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45"/>
    <w:multiLevelType w:val="hybridMultilevel"/>
    <w:tmpl w:val="1CA0C5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46"/>
    <w:multiLevelType w:val="hybridMultilevel"/>
    <w:tmpl w:val="53584BCA"/>
    <w:lvl w:ilvl="0" w:tplc="FFFFFFFF">
      <w:start w:val="1"/>
      <w:numFmt w:val="bullet"/>
      <w:lvlText w:val="à"/>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47"/>
    <w:multiLevelType w:val="hybridMultilevel"/>
    <w:tmpl w:val="415E286C"/>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48"/>
    <w:multiLevelType w:val="hybridMultilevel"/>
    <w:tmpl w:val="7C58FD04"/>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49"/>
    <w:multiLevelType w:val="hybridMultilevel"/>
    <w:tmpl w:val="23D86AA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4A"/>
    <w:multiLevelType w:val="hybridMultilevel"/>
    <w:tmpl w:val="45E6D48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4B"/>
    <w:multiLevelType w:val="hybridMultilevel"/>
    <w:tmpl w:val="5C10FE2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4C"/>
    <w:multiLevelType w:val="hybridMultilevel"/>
    <w:tmpl w:val="0E7FFA2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4D"/>
    <w:multiLevelType w:val="hybridMultilevel"/>
    <w:tmpl w:val="3C5991A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4E"/>
    <w:multiLevelType w:val="hybridMultilevel"/>
    <w:tmpl w:val="4BD8591A"/>
    <w:lvl w:ilvl="0" w:tplc="FFFFFFFF">
      <w:start w:val="1"/>
      <w:numFmt w:val="bullet"/>
      <w:lvlText w:val="·"/>
      <w:lvlJc w:val="left"/>
    </w:lvl>
    <w:lvl w:ilvl="1" w:tplc="FFFFFFFF">
      <w:start w:val="1"/>
      <w:numFmt w:val="bullet"/>
      <w:lvlText w:val="·"/>
      <w:lvlJc w:val="left"/>
    </w:lvl>
    <w:lvl w:ilvl="2" w:tplc="FFFFFFFF">
      <w:start w:val="15"/>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4F"/>
    <w:multiLevelType w:val="hybridMultilevel"/>
    <w:tmpl w:val="78DF6A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50"/>
    <w:multiLevelType w:val="hybridMultilevel"/>
    <w:tmpl w:val="39B7AAA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52"/>
    <w:multiLevelType w:val="hybridMultilevel"/>
    <w:tmpl w:val="6C80EC7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53"/>
    <w:multiLevelType w:val="hybridMultilevel"/>
    <w:tmpl w:val="379E21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3225D62"/>
    <w:multiLevelType w:val="hybridMultilevel"/>
    <w:tmpl w:val="7BD654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05C86CEC"/>
    <w:multiLevelType w:val="hybridMultilevel"/>
    <w:tmpl w:val="8670FD60"/>
    <w:lvl w:ilvl="0" w:tplc="98AA5370">
      <w:numFmt w:val="bullet"/>
      <w:lvlText w:val="•"/>
      <w:lvlJc w:val="left"/>
      <w:pPr>
        <w:ind w:left="1065" w:hanging="70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09C1691D"/>
    <w:multiLevelType w:val="hybridMultilevel"/>
    <w:tmpl w:val="D1FE9FC2"/>
    <w:lvl w:ilvl="0" w:tplc="040C000F">
      <w:start w:val="1"/>
      <w:numFmt w:val="decimal"/>
      <w:lvlText w:val="%1."/>
      <w:lvlJc w:val="left"/>
      <w:pPr>
        <w:ind w:left="720" w:hanging="360"/>
      </w:pPr>
      <w:rPr>
        <w:rFonts w:eastAsia="Times New Roman"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0A7861E5"/>
    <w:multiLevelType w:val="hybridMultilevel"/>
    <w:tmpl w:val="374E1E88"/>
    <w:lvl w:ilvl="0" w:tplc="98AA5370">
      <w:numFmt w:val="bullet"/>
      <w:lvlText w:val="•"/>
      <w:lvlJc w:val="left"/>
      <w:pPr>
        <w:ind w:left="1065" w:hanging="70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100F472C"/>
    <w:multiLevelType w:val="hybridMultilevel"/>
    <w:tmpl w:val="271E16C4"/>
    <w:lvl w:ilvl="0" w:tplc="7570A626">
      <w:numFmt w:val="bullet"/>
      <w:lvlText w:val="-"/>
      <w:lvlJc w:val="left"/>
      <w:pPr>
        <w:ind w:left="1431" w:hanging="711"/>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139B687F"/>
    <w:multiLevelType w:val="hybridMultilevel"/>
    <w:tmpl w:val="534E4962"/>
    <w:lvl w:ilvl="0" w:tplc="7570A626">
      <w:numFmt w:val="bullet"/>
      <w:lvlText w:val="-"/>
      <w:lvlJc w:val="left"/>
      <w:pPr>
        <w:ind w:left="1071" w:hanging="711"/>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14301C5A"/>
    <w:multiLevelType w:val="hybridMultilevel"/>
    <w:tmpl w:val="6F0ECCE4"/>
    <w:lvl w:ilvl="0" w:tplc="C53E519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19CF4B53"/>
    <w:multiLevelType w:val="hybridMultilevel"/>
    <w:tmpl w:val="99000C52"/>
    <w:lvl w:ilvl="0" w:tplc="040C0003">
      <w:start w:val="1"/>
      <w:numFmt w:val="bullet"/>
      <w:lvlText w:val="o"/>
      <w:lvlJc w:val="left"/>
      <w:pPr>
        <w:ind w:left="1065" w:hanging="705"/>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1CD6F93"/>
    <w:multiLevelType w:val="hybridMultilevel"/>
    <w:tmpl w:val="321A719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11415CB"/>
    <w:multiLevelType w:val="hybridMultilevel"/>
    <w:tmpl w:val="7A9645F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8501962"/>
    <w:multiLevelType w:val="hybridMultilevel"/>
    <w:tmpl w:val="A19085FE"/>
    <w:lvl w:ilvl="0" w:tplc="946C8B90">
      <w:numFmt w:val="bullet"/>
      <w:lvlText w:val="•"/>
      <w:lvlJc w:val="left"/>
      <w:pPr>
        <w:ind w:left="1065" w:hanging="70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3B236E2B"/>
    <w:multiLevelType w:val="hybridMultilevel"/>
    <w:tmpl w:val="59B262BC"/>
    <w:lvl w:ilvl="0" w:tplc="7570A626">
      <w:numFmt w:val="bullet"/>
      <w:lvlText w:val="-"/>
      <w:lvlJc w:val="left"/>
      <w:pPr>
        <w:ind w:left="1071" w:hanging="711"/>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5D71292"/>
    <w:multiLevelType w:val="hybridMultilevel"/>
    <w:tmpl w:val="9BAC9D04"/>
    <w:lvl w:ilvl="0" w:tplc="7570A626">
      <w:numFmt w:val="bullet"/>
      <w:lvlText w:val="-"/>
      <w:lvlJc w:val="left"/>
      <w:pPr>
        <w:ind w:left="1071" w:hanging="711"/>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9CE38D7"/>
    <w:multiLevelType w:val="hybridMultilevel"/>
    <w:tmpl w:val="C0EEE19A"/>
    <w:lvl w:ilvl="0" w:tplc="98AA5370">
      <w:numFmt w:val="bullet"/>
      <w:lvlText w:val="•"/>
      <w:lvlJc w:val="left"/>
      <w:pPr>
        <w:ind w:left="1065" w:hanging="70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D0C18B7"/>
    <w:multiLevelType w:val="hybridMultilevel"/>
    <w:tmpl w:val="C32CF8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3925C7A"/>
    <w:multiLevelType w:val="hybridMultilevel"/>
    <w:tmpl w:val="D7A426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EB048FA"/>
    <w:multiLevelType w:val="hybridMultilevel"/>
    <w:tmpl w:val="134A3A3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49F7C8A"/>
    <w:multiLevelType w:val="hybridMultilevel"/>
    <w:tmpl w:val="FE8CF7DC"/>
    <w:lvl w:ilvl="0" w:tplc="6A98D78E">
      <w:start w:val="1"/>
      <w:numFmt w:val="decimal"/>
      <w:lvlText w:val="%1."/>
      <w:lvlJc w:val="left"/>
      <w:pPr>
        <w:ind w:left="1071" w:hanging="71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FEE47B2"/>
    <w:multiLevelType w:val="hybridMultilevel"/>
    <w:tmpl w:val="81BEEB2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2D4754F"/>
    <w:multiLevelType w:val="hybridMultilevel"/>
    <w:tmpl w:val="4EBE3D98"/>
    <w:lvl w:ilvl="0" w:tplc="98AA5370">
      <w:numFmt w:val="bullet"/>
      <w:lvlText w:val="•"/>
      <w:lvlJc w:val="left"/>
      <w:pPr>
        <w:ind w:left="1065" w:hanging="70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17"/>
  </w:num>
  <w:num w:numId="3">
    <w:abstractNumId w:val="16"/>
  </w:num>
  <w:num w:numId="4">
    <w:abstractNumId w:val="15"/>
  </w:num>
  <w:num w:numId="5">
    <w:abstractNumId w:val="11"/>
  </w:num>
  <w:num w:numId="6">
    <w:abstractNumId w:val="12"/>
  </w:num>
  <w:num w:numId="7">
    <w:abstractNumId w:val="13"/>
  </w:num>
  <w:num w:numId="8">
    <w:abstractNumId w:val="14"/>
  </w:num>
  <w:num w:numId="9">
    <w:abstractNumId w:val="10"/>
  </w:num>
  <w:num w:numId="10">
    <w:abstractNumId w:val="9"/>
  </w:num>
  <w:num w:numId="11">
    <w:abstractNumId w:val="8"/>
  </w:num>
  <w:num w:numId="12">
    <w:abstractNumId w:val="6"/>
  </w:num>
  <w:num w:numId="13">
    <w:abstractNumId w:val="7"/>
  </w:num>
  <w:num w:numId="14">
    <w:abstractNumId w:val="5"/>
  </w:num>
  <w:num w:numId="15">
    <w:abstractNumId w:val="4"/>
  </w:num>
  <w:num w:numId="16">
    <w:abstractNumId w:val="3"/>
  </w:num>
  <w:num w:numId="17">
    <w:abstractNumId w:val="1"/>
  </w:num>
  <w:num w:numId="18">
    <w:abstractNumId w:val="2"/>
  </w:num>
  <w:num w:numId="19">
    <w:abstractNumId w:val="0"/>
  </w:num>
  <w:num w:numId="20">
    <w:abstractNumId w:val="35"/>
  </w:num>
  <w:num w:numId="21">
    <w:abstractNumId w:val="33"/>
  </w:num>
  <w:num w:numId="22">
    <w:abstractNumId w:val="31"/>
  </w:num>
  <w:num w:numId="23">
    <w:abstractNumId w:val="23"/>
  </w:num>
  <w:num w:numId="24">
    <w:abstractNumId w:val="36"/>
  </w:num>
  <w:num w:numId="25">
    <w:abstractNumId w:val="30"/>
  </w:num>
  <w:num w:numId="26">
    <w:abstractNumId w:val="24"/>
  </w:num>
  <w:num w:numId="27">
    <w:abstractNumId w:val="25"/>
  </w:num>
  <w:num w:numId="28">
    <w:abstractNumId w:val="19"/>
  </w:num>
  <w:num w:numId="29">
    <w:abstractNumId w:val="34"/>
  </w:num>
  <w:num w:numId="30">
    <w:abstractNumId w:val="21"/>
  </w:num>
  <w:num w:numId="31">
    <w:abstractNumId w:val="37"/>
  </w:num>
  <w:num w:numId="32">
    <w:abstractNumId w:val="29"/>
  </w:num>
  <w:num w:numId="33">
    <w:abstractNumId w:val="28"/>
  </w:num>
  <w:num w:numId="34">
    <w:abstractNumId w:val="38"/>
  </w:num>
  <w:num w:numId="35">
    <w:abstractNumId w:val="32"/>
  </w:num>
  <w:num w:numId="36">
    <w:abstractNumId w:val="20"/>
  </w:num>
  <w:num w:numId="37">
    <w:abstractNumId w:val="26"/>
  </w:num>
  <w:num w:numId="38">
    <w:abstractNumId w:val="27"/>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6F1"/>
    <w:rsid w:val="000120FD"/>
    <w:rsid w:val="00017F4E"/>
    <w:rsid w:val="00020970"/>
    <w:rsid w:val="000227CC"/>
    <w:rsid w:val="000245F1"/>
    <w:rsid w:val="000261E3"/>
    <w:rsid w:val="00031C22"/>
    <w:rsid w:val="000603EB"/>
    <w:rsid w:val="00066893"/>
    <w:rsid w:val="00070C38"/>
    <w:rsid w:val="00077816"/>
    <w:rsid w:val="000A4959"/>
    <w:rsid w:val="000D2B4A"/>
    <w:rsid w:val="000F542F"/>
    <w:rsid w:val="000F5798"/>
    <w:rsid w:val="00103021"/>
    <w:rsid w:val="00112CE4"/>
    <w:rsid w:val="00114142"/>
    <w:rsid w:val="00117371"/>
    <w:rsid w:val="001260B3"/>
    <w:rsid w:val="00137146"/>
    <w:rsid w:val="0013736E"/>
    <w:rsid w:val="0014014E"/>
    <w:rsid w:val="00146B39"/>
    <w:rsid w:val="00150FA7"/>
    <w:rsid w:val="00151867"/>
    <w:rsid w:val="0015235D"/>
    <w:rsid w:val="00170936"/>
    <w:rsid w:val="00181E85"/>
    <w:rsid w:val="00184709"/>
    <w:rsid w:val="00197D3A"/>
    <w:rsid w:val="001A7E45"/>
    <w:rsid w:val="001B1049"/>
    <w:rsid w:val="001B63F7"/>
    <w:rsid w:val="001C6A9A"/>
    <w:rsid w:val="001D1AB8"/>
    <w:rsid w:val="001D6867"/>
    <w:rsid w:val="001E031B"/>
    <w:rsid w:val="001F3CAA"/>
    <w:rsid w:val="001F48F6"/>
    <w:rsid w:val="00207A65"/>
    <w:rsid w:val="00210976"/>
    <w:rsid w:val="0021406C"/>
    <w:rsid w:val="00241D88"/>
    <w:rsid w:val="00243628"/>
    <w:rsid w:val="002578C4"/>
    <w:rsid w:val="0027435A"/>
    <w:rsid w:val="002761A6"/>
    <w:rsid w:val="002923F5"/>
    <w:rsid w:val="00297AB7"/>
    <w:rsid w:val="002A4E7B"/>
    <w:rsid w:val="002C1A7B"/>
    <w:rsid w:val="002D6FC0"/>
    <w:rsid w:val="002F72AC"/>
    <w:rsid w:val="00321A6A"/>
    <w:rsid w:val="00330362"/>
    <w:rsid w:val="003456F1"/>
    <w:rsid w:val="00355456"/>
    <w:rsid w:val="00361B51"/>
    <w:rsid w:val="00365BB2"/>
    <w:rsid w:val="00387863"/>
    <w:rsid w:val="003908B7"/>
    <w:rsid w:val="003A4476"/>
    <w:rsid w:val="003B1FCE"/>
    <w:rsid w:val="003B3C64"/>
    <w:rsid w:val="003D348B"/>
    <w:rsid w:val="003E7B75"/>
    <w:rsid w:val="003F04EF"/>
    <w:rsid w:val="003F3F52"/>
    <w:rsid w:val="003F47C4"/>
    <w:rsid w:val="0040329E"/>
    <w:rsid w:val="00405A8A"/>
    <w:rsid w:val="00422492"/>
    <w:rsid w:val="004300BC"/>
    <w:rsid w:val="00434711"/>
    <w:rsid w:val="00434DD3"/>
    <w:rsid w:val="004555A6"/>
    <w:rsid w:val="00457A73"/>
    <w:rsid w:val="00487576"/>
    <w:rsid w:val="00490A08"/>
    <w:rsid w:val="004976AA"/>
    <w:rsid w:val="00497775"/>
    <w:rsid w:val="004A2D5B"/>
    <w:rsid w:val="004B1E7C"/>
    <w:rsid w:val="004B4E0B"/>
    <w:rsid w:val="004B6F55"/>
    <w:rsid w:val="004E106B"/>
    <w:rsid w:val="004E281E"/>
    <w:rsid w:val="004E48D1"/>
    <w:rsid w:val="004E5DA1"/>
    <w:rsid w:val="004F4855"/>
    <w:rsid w:val="004F6ABE"/>
    <w:rsid w:val="005013CA"/>
    <w:rsid w:val="005015D9"/>
    <w:rsid w:val="00527DCD"/>
    <w:rsid w:val="00530850"/>
    <w:rsid w:val="00541210"/>
    <w:rsid w:val="00543D7C"/>
    <w:rsid w:val="00547A66"/>
    <w:rsid w:val="00562A30"/>
    <w:rsid w:val="00566234"/>
    <w:rsid w:val="00582BA9"/>
    <w:rsid w:val="005863B5"/>
    <w:rsid w:val="005A3419"/>
    <w:rsid w:val="005A56EC"/>
    <w:rsid w:val="005B3FEB"/>
    <w:rsid w:val="005B50F5"/>
    <w:rsid w:val="005B63F5"/>
    <w:rsid w:val="005C3402"/>
    <w:rsid w:val="005D3888"/>
    <w:rsid w:val="005F03B3"/>
    <w:rsid w:val="005F74F1"/>
    <w:rsid w:val="00603AED"/>
    <w:rsid w:val="00604C9D"/>
    <w:rsid w:val="006116D0"/>
    <w:rsid w:val="0062113B"/>
    <w:rsid w:val="006267B2"/>
    <w:rsid w:val="00652C6C"/>
    <w:rsid w:val="00656882"/>
    <w:rsid w:val="00665111"/>
    <w:rsid w:val="0066610C"/>
    <w:rsid w:val="006706D7"/>
    <w:rsid w:val="00673EEB"/>
    <w:rsid w:val="0068507E"/>
    <w:rsid w:val="00686EC5"/>
    <w:rsid w:val="006B01B7"/>
    <w:rsid w:val="006D293D"/>
    <w:rsid w:val="006E5D22"/>
    <w:rsid w:val="006F7A5C"/>
    <w:rsid w:val="0070477A"/>
    <w:rsid w:val="0071188E"/>
    <w:rsid w:val="0071305F"/>
    <w:rsid w:val="00724A8B"/>
    <w:rsid w:val="007251C6"/>
    <w:rsid w:val="00742A5D"/>
    <w:rsid w:val="00774984"/>
    <w:rsid w:val="00794F0A"/>
    <w:rsid w:val="007A116B"/>
    <w:rsid w:val="007B6487"/>
    <w:rsid w:val="007C1F56"/>
    <w:rsid w:val="007C7A6C"/>
    <w:rsid w:val="007D74FA"/>
    <w:rsid w:val="007E1676"/>
    <w:rsid w:val="007F1BA4"/>
    <w:rsid w:val="007F5478"/>
    <w:rsid w:val="008069C0"/>
    <w:rsid w:val="0081498B"/>
    <w:rsid w:val="00827A76"/>
    <w:rsid w:val="008323CA"/>
    <w:rsid w:val="00835B1D"/>
    <w:rsid w:val="00835C95"/>
    <w:rsid w:val="00855E3C"/>
    <w:rsid w:val="008A601F"/>
    <w:rsid w:val="008D73C2"/>
    <w:rsid w:val="008E38A5"/>
    <w:rsid w:val="0092046B"/>
    <w:rsid w:val="00922DD7"/>
    <w:rsid w:val="009340CA"/>
    <w:rsid w:val="00941CD0"/>
    <w:rsid w:val="0094263D"/>
    <w:rsid w:val="009936AA"/>
    <w:rsid w:val="009A0233"/>
    <w:rsid w:val="009A6B93"/>
    <w:rsid w:val="009B021A"/>
    <w:rsid w:val="009B411A"/>
    <w:rsid w:val="009C7FE6"/>
    <w:rsid w:val="009D4A03"/>
    <w:rsid w:val="009D5AF3"/>
    <w:rsid w:val="009D7404"/>
    <w:rsid w:val="009E190F"/>
    <w:rsid w:val="009E79DE"/>
    <w:rsid w:val="009F2C4C"/>
    <w:rsid w:val="009F382F"/>
    <w:rsid w:val="009F694F"/>
    <w:rsid w:val="00A03FA1"/>
    <w:rsid w:val="00A1154B"/>
    <w:rsid w:val="00A11687"/>
    <w:rsid w:val="00A13650"/>
    <w:rsid w:val="00A37518"/>
    <w:rsid w:val="00A464CF"/>
    <w:rsid w:val="00A649B5"/>
    <w:rsid w:val="00A736CB"/>
    <w:rsid w:val="00A747CE"/>
    <w:rsid w:val="00A94C6B"/>
    <w:rsid w:val="00AC30E0"/>
    <w:rsid w:val="00AC4DA1"/>
    <w:rsid w:val="00AD47AF"/>
    <w:rsid w:val="00AD4CE1"/>
    <w:rsid w:val="00AD568F"/>
    <w:rsid w:val="00AD6CF6"/>
    <w:rsid w:val="00AD75C0"/>
    <w:rsid w:val="00AF02F0"/>
    <w:rsid w:val="00AF7E92"/>
    <w:rsid w:val="00B0043B"/>
    <w:rsid w:val="00B01307"/>
    <w:rsid w:val="00B239DC"/>
    <w:rsid w:val="00B42747"/>
    <w:rsid w:val="00B51F23"/>
    <w:rsid w:val="00B553F3"/>
    <w:rsid w:val="00B5748D"/>
    <w:rsid w:val="00B61573"/>
    <w:rsid w:val="00B70B80"/>
    <w:rsid w:val="00B7459F"/>
    <w:rsid w:val="00B81316"/>
    <w:rsid w:val="00B94EA2"/>
    <w:rsid w:val="00BC0BDE"/>
    <w:rsid w:val="00BC46FD"/>
    <w:rsid w:val="00BC6585"/>
    <w:rsid w:val="00BD0DB4"/>
    <w:rsid w:val="00BD0DF2"/>
    <w:rsid w:val="00BD7B8A"/>
    <w:rsid w:val="00BE2C3E"/>
    <w:rsid w:val="00BF724C"/>
    <w:rsid w:val="00C107C6"/>
    <w:rsid w:val="00C13E06"/>
    <w:rsid w:val="00C20F66"/>
    <w:rsid w:val="00C25E68"/>
    <w:rsid w:val="00C26DC9"/>
    <w:rsid w:val="00C303FC"/>
    <w:rsid w:val="00C369C0"/>
    <w:rsid w:val="00C433BD"/>
    <w:rsid w:val="00C502B5"/>
    <w:rsid w:val="00C6279D"/>
    <w:rsid w:val="00C73AFF"/>
    <w:rsid w:val="00C8536A"/>
    <w:rsid w:val="00CA6293"/>
    <w:rsid w:val="00CB171A"/>
    <w:rsid w:val="00CB1D46"/>
    <w:rsid w:val="00CB5417"/>
    <w:rsid w:val="00CD623C"/>
    <w:rsid w:val="00CE7039"/>
    <w:rsid w:val="00CF6E85"/>
    <w:rsid w:val="00D01644"/>
    <w:rsid w:val="00D27D64"/>
    <w:rsid w:val="00D46FCE"/>
    <w:rsid w:val="00D652DE"/>
    <w:rsid w:val="00DA7369"/>
    <w:rsid w:val="00DC5BA3"/>
    <w:rsid w:val="00DD1E5D"/>
    <w:rsid w:val="00DF3614"/>
    <w:rsid w:val="00DF4E94"/>
    <w:rsid w:val="00E04E27"/>
    <w:rsid w:val="00E12107"/>
    <w:rsid w:val="00E21EA6"/>
    <w:rsid w:val="00E232DA"/>
    <w:rsid w:val="00E318A6"/>
    <w:rsid w:val="00E47421"/>
    <w:rsid w:val="00E53BAE"/>
    <w:rsid w:val="00E56471"/>
    <w:rsid w:val="00E63DBA"/>
    <w:rsid w:val="00E74F15"/>
    <w:rsid w:val="00E93D93"/>
    <w:rsid w:val="00E97E67"/>
    <w:rsid w:val="00ED7CFF"/>
    <w:rsid w:val="00F0697D"/>
    <w:rsid w:val="00F1536C"/>
    <w:rsid w:val="00F25A65"/>
    <w:rsid w:val="00F31BEE"/>
    <w:rsid w:val="00F45A6D"/>
    <w:rsid w:val="00F4685C"/>
    <w:rsid w:val="00F5295E"/>
    <w:rsid w:val="00F81B26"/>
    <w:rsid w:val="00FB07EB"/>
    <w:rsid w:val="00FC0A17"/>
    <w:rsid w:val="00FD3462"/>
    <w:rsid w:val="00FF7B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BCAB2"/>
  <w15:chartTrackingRefBased/>
  <w15:docId w15:val="{C9C98ACC-2A4A-4C5D-9648-0E7BE83D1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6F1"/>
    <w:pPr>
      <w:spacing w:after="0" w:line="240" w:lineRule="auto"/>
    </w:pPr>
    <w:rPr>
      <w:rFonts w:ascii="Times New Roman" w:eastAsia="Times New Roman" w:hAnsi="Times New Roman" w:cs="Times New Roman"/>
      <w:sz w:val="24"/>
      <w:szCs w:val="24"/>
      <w:lang w:eastAsia="fr-FR"/>
    </w:rPr>
  </w:style>
  <w:style w:type="paragraph" w:styleId="Heading1">
    <w:name w:val="heading 1"/>
    <w:basedOn w:val="Normal"/>
    <w:next w:val="Normal"/>
    <w:link w:val="Heading1Char"/>
    <w:uiPriority w:val="9"/>
    <w:qFormat/>
    <w:rsid w:val="007C7A6C"/>
    <w:pPr>
      <w:keepNext/>
      <w:spacing w:before="240" w:after="60" w:line="259" w:lineRule="auto"/>
      <w:outlineLvl w:val="0"/>
    </w:pPr>
    <w:rPr>
      <w:rFonts w:ascii="Cambria"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56F1"/>
    <w:pPr>
      <w:ind w:left="720"/>
      <w:contextualSpacing/>
    </w:pPr>
  </w:style>
  <w:style w:type="character" w:customStyle="1" w:styleId="Heading1Char">
    <w:name w:val="Heading 1 Char"/>
    <w:basedOn w:val="DefaultParagraphFont"/>
    <w:link w:val="Heading1"/>
    <w:uiPriority w:val="9"/>
    <w:rsid w:val="007C7A6C"/>
    <w:rPr>
      <w:rFonts w:ascii="Cambria" w:eastAsia="Times New Roman" w:hAnsi="Cambria" w:cs="Times New Roman"/>
      <w:b/>
      <w:bCs/>
      <w:kern w:val="32"/>
      <w:sz w:val="32"/>
      <w:szCs w:val="32"/>
      <w:lang w:val="x-none" w:eastAsia="x-none"/>
    </w:rPr>
  </w:style>
  <w:style w:type="paragraph" w:styleId="NoSpacing">
    <w:name w:val="No Spacing"/>
    <w:link w:val="NoSpacingChar"/>
    <w:uiPriority w:val="1"/>
    <w:qFormat/>
    <w:rsid w:val="007C7A6C"/>
    <w:pPr>
      <w:spacing w:after="0" w:line="240" w:lineRule="auto"/>
    </w:pPr>
    <w:rPr>
      <w:rFonts w:eastAsiaTheme="minorEastAsia"/>
      <w:lang w:eastAsia="fr-FR"/>
    </w:rPr>
  </w:style>
  <w:style w:type="character" w:customStyle="1" w:styleId="NoSpacingChar">
    <w:name w:val="No Spacing Char"/>
    <w:basedOn w:val="DefaultParagraphFont"/>
    <w:link w:val="NoSpacing"/>
    <w:uiPriority w:val="1"/>
    <w:rsid w:val="007C7A6C"/>
    <w:rPr>
      <w:rFonts w:eastAsiaTheme="minorEastAsia"/>
      <w:lang w:eastAsia="fr-FR"/>
    </w:rPr>
  </w:style>
  <w:style w:type="character" w:styleId="IntenseEmphasis">
    <w:name w:val="Intense Emphasis"/>
    <w:basedOn w:val="DefaultParagraphFont"/>
    <w:uiPriority w:val="21"/>
    <w:qFormat/>
    <w:rsid w:val="007C7A6C"/>
    <w:rPr>
      <w:b/>
      <w:bCs/>
      <w:i/>
      <w:iCs/>
      <w:color w:val="4472C4" w:themeColor="accent1"/>
    </w:rPr>
  </w:style>
  <w:style w:type="table" w:styleId="TableGridLight">
    <w:name w:val="Grid Table Light"/>
    <w:basedOn w:val="TableNormal"/>
    <w:uiPriority w:val="40"/>
    <w:rsid w:val="007C7A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IntenseQuote">
    <w:name w:val="Intense Quote"/>
    <w:basedOn w:val="Normal"/>
    <w:next w:val="Normal"/>
    <w:link w:val="IntenseQuoteChar"/>
    <w:uiPriority w:val="30"/>
    <w:qFormat/>
    <w:rsid w:val="007C1F5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C1F56"/>
    <w:rPr>
      <w:rFonts w:ascii="Times New Roman" w:eastAsia="Times New Roman" w:hAnsi="Times New Roman" w:cs="Times New Roman"/>
      <w:i/>
      <w:iCs/>
      <w:color w:val="4472C4" w:themeColor="accent1"/>
      <w:sz w:val="24"/>
      <w:szCs w:val="24"/>
      <w:lang w:eastAsia="fr-FR"/>
    </w:rPr>
  </w:style>
  <w:style w:type="paragraph" w:styleId="TOCHeading">
    <w:name w:val="TOC Heading"/>
    <w:basedOn w:val="Heading1"/>
    <w:next w:val="Normal"/>
    <w:uiPriority w:val="39"/>
    <w:unhideWhenUsed/>
    <w:qFormat/>
    <w:rsid w:val="001260B3"/>
    <w:pPr>
      <w:keepLines/>
      <w:spacing w:after="0"/>
      <w:outlineLvl w:val="9"/>
    </w:pPr>
    <w:rPr>
      <w:rFonts w:asciiTheme="majorHAnsi" w:eastAsiaTheme="majorEastAsia" w:hAnsiTheme="majorHAnsi" w:cstheme="majorBidi"/>
      <w:b w:val="0"/>
      <w:bCs w:val="0"/>
      <w:color w:val="2F5496" w:themeColor="accent1" w:themeShade="BF"/>
      <w:kern w:val="0"/>
      <w:lang w:val="fr-FR" w:eastAsia="fr-FR"/>
    </w:rPr>
  </w:style>
  <w:style w:type="paragraph" w:styleId="TOC1">
    <w:name w:val="toc 1"/>
    <w:basedOn w:val="Normal"/>
    <w:next w:val="Normal"/>
    <w:autoRedefine/>
    <w:uiPriority w:val="39"/>
    <w:unhideWhenUsed/>
    <w:rsid w:val="001260B3"/>
    <w:pPr>
      <w:spacing w:after="100"/>
    </w:pPr>
  </w:style>
  <w:style w:type="character" w:styleId="Hyperlink">
    <w:name w:val="Hyperlink"/>
    <w:basedOn w:val="DefaultParagraphFont"/>
    <w:uiPriority w:val="99"/>
    <w:unhideWhenUsed/>
    <w:rsid w:val="001260B3"/>
    <w:rPr>
      <w:color w:val="0563C1" w:themeColor="hyperlink"/>
      <w:u w:val="single"/>
    </w:rPr>
  </w:style>
  <w:style w:type="paragraph" w:styleId="Title">
    <w:name w:val="Title"/>
    <w:basedOn w:val="Normal"/>
    <w:next w:val="Normal"/>
    <w:link w:val="TitleChar"/>
    <w:uiPriority w:val="10"/>
    <w:qFormat/>
    <w:rsid w:val="00B0043B"/>
    <w:pPr>
      <w:spacing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B0043B"/>
    <w:rPr>
      <w:rFonts w:asciiTheme="majorHAnsi" w:eastAsiaTheme="majorEastAsia" w:hAnsiTheme="majorHAnsi" w:cstheme="majorBidi"/>
      <w:color w:val="404040" w:themeColor="text1" w:themeTint="BF"/>
      <w:spacing w:val="-10"/>
      <w:kern w:val="28"/>
      <w:sz w:val="56"/>
      <w:szCs w:val="56"/>
      <w:lang w:eastAsia="fr-FR"/>
    </w:rPr>
  </w:style>
  <w:style w:type="paragraph" w:styleId="Subtitle">
    <w:name w:val="Subtitle"/>
    <w:basedOn w:val="Normal"/>
    <w:next w:val="Normal"/>
    <w:link w:val="SubtitleChar"/>
    <w:uiPriority w:val="11"/>
    <w:qFormat/>
    <w:rsid w:val="00B0043B"/>
    <w:pPr>
      <w:numPr>
        <w:ilvl w:val="1"/>
      </w:numPr>
      <w:spacing w:after="160" w:line="259" w:lineRule="auto"/>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B0043B"/>
    <w:rPr>
      <w:rFonts w:eastAsiaTheme="minorEastAsia" w:cs="Times New Roman"/>
      <w:color w:val="5A5A5A" w:themeColor="text1" w:themeTint="A5"/>
      <w:spacing w:val="15"/>
      <w:lang w:eastAsia="fr-FR"/>
    </w:rPr>
  </w:style>
  <w:style w:type="paragraph" w:styleId="Header">
    <w:name w:val="header"/>
    <w:basedOn w:val="Normal"/>
    <w:link w:val="HeaderChar"/>
    <w:uiPriority w:val="99"/>
    <w:unhideWhenUsed/>
    <w:rsid w:val="00DC5BA3"/>
    <w:pPr>
      <w:tabs>
        <w:tab w:val="center" w:pos="4536"/>
        <w:tab w:val="right" w:pos="9072"/>
      </w:tabs>
    </w:pPr>
  </w:style>
  <w:style w:type="character" w:customStyle="1" w:styleId="HeaderChar">
    <w:name w:val="Header Char"/>
    <w:basedOn w:val="DefaultParagraphFont"/>
    <w:link w:val="Header"/>
    <w:uiPriority w:val="99"/>
    <w:rsid w:val="00DC5BA3"/>
    <w:rPr>
      <w:rFonts w:ascii="Times New Roman" w:eastAsia="Times New Roman" w:hAnsi="Times New Roman" w:cs="Times New Roman"/>
      <w:sz w:val="24"/>
      <w:szCs w:val="24"/>
      <w:lang w:eastAsia="fr-FR"/>
    </w:rPr>
  </w:style>
  <w:style w:type="paragraph" w:styleId="Footer">
    <w:name w:val="footer"/>
    <w:basedOn w:val="Normal"/>
    <w:link w:val="FooterChar"/>
    <w:uiPriority w:val="99"/>
    <w:unhideWhenUsed/>
    <w:rsid w:val="00DC5BA3"/>
    <w:pPr>
      <w:tabs>
        <w:tab w:val="center" w:pos="4536"/>
        <w:tab w:val="right" w:pos="9072"/>
      </w:tabs>
    </w:pPr>
  </w:style>
  <w:style w:type="character" w:customStyle="1" w:styleId="FooterChar">
    <w:name w:val="Footer Char"/>
    <w:basedOn w:val="DefaultParagraphFont"/>
    <w:link w:val="Footer"/>
    <w:uiPriority w:val="99"/>
    <w:rsid w:val="00DC5BA3"/>
    <w:rPr>
      <w:rFonts w:ascii="Times New Roman" w:eastAsia="Times New Roman" w:hAnsi="Times New Roman" w:cs="Times New Roman"/>
      <w:sz w:val="24"/>
      <w:szCs w:val="24"/>
      <w:lang w:eastAsia="fr-FR"/>
    </w:rPr>
  </w:style>
  <w:style w:type="character" w:styleId="CommentReference">
    <w:name w:val="annotation reference"/>
    <w:basedOn w:val="DefaultParagraphFont"/>
    <w:uiPriority w:val="99"/>
    <w:semiHidden/>
    <w:unhideWhenUsed/>
    <w:rsid w:val="00FD3462"/>
    <w:rPr>
      <w:sz w:val="16"/>
      <w:szCs w:val="16"/>
    </w:rPr>
  </w:style>
  <w:style w:type="paragraph" w:styleId="CommentText">
    <w:name w:val="annotation text"/>
    <w:basedOn w:val="Normal"/>
    <w:link w:val="CommentTextChar"/>
    <w:uiPriority w:val="99"/>
    <w:semiHidden/>
    <w:unhideWhenUsed/>
    <w:rsid w:val="00FD3462"/>
    <w:rPr>
      <w:sz w:val="20"/>
      <w:szCs w:val="20"/>
    </w:rPr>
  </w:style>
  <w:style w:type="character" w:customStyle="1" w:styleId="CommentTextChar">
    <w:name w:val="Comment Text Char"/>
    <w:basedOn w:val="DefaultParagraphFont"/>
    <w:link w:val="CommentText"/>
    <w:uiPriority w:val="99"/>
    <w:semiHidden/>
    <w:rsid w:val="00FD3462"/>
    <w:rPr>
      <w:rFonts w:ascii="Times New Roman" w:eastAsia="Times New Roman" w:hAnsi="Times New Roman" w:cs="Times New Roman"/>
      <w:sz w:val="20"/>
      <w:szCs w:val="20"/>
      <w:lang w:eastAsia="fr-FR"/>
    </w:rPr>
  </w:style>
  <w:style w:type="paragraph" w:styleId="CommentSubject">
    <w:name w:val="annotation subject"/>
    <w:basedOn w:val="CommentText"/>
    <w:next w:val="CommentText"/>
    <w:link w:val="CommentSubjectChar"/>
    <w:uiPriority w:val="99"/>
    <w:semiHidden/>
    <w:unhideWhenUsed/>
    <w:rsid w:val="00FD3462"/>
    <w:rPr>
      <w:b/>
      <w:bCs/>
    </w:rPr>
  </w:style>
  <w:style w:type="character" w:customStyle="1" w:styleId="CommentSubjectChar">
    <w:name w:val="Comment Subject Char"/>
    <w:basedOn w:val="CommentTextChar"/>
    <w:link w:val="CommentSubject"/>
    <w:uiPriority w:val="99"/>
    <w:semiHidden/>
    <w:rsid w:val="00FD3462"/>
    <w:rPr>
      <w:rFonts w:ascii="Times New Roman" w:eastAsia="Times New Roman" w:hAnsi="Times New Roman" w:cs="Times New Roman"/>
      <w:b/>
      <w:bCs/>
      <w:sz w:val="20"/>
      <w:szCs w:val="20"/>
      <w:lang w:eastAsia="fr-FR"/>
    </w:rPr>
  </w:style>
  <w:style w:type="paragraph" w:styleId="Revision">
    <w:name w:val="Revision"/>
    <w:hidden/>
    <w:uiPriority w:val="99"/>
    <w:semiHidden/>
    <w:rsid w:val="00FD3462"/>
    <w:pPr>
      <w:spacing w:after="0" w:line="240" w:lineRule="auto"/>
    </w:pPr>
    <w:rPr>
      <w:rFonts w:ascii="Times New Roman" w:eastAsia="Times New Roman" w:hAnsi="Times New Roman" w:cs="Times New Roman"/>
      <w:sz w:val="24"/>
      <w:szCs w:val="24"/>
      <w:lang w:eastAsia="fr-FR"/>
    </w:rPr>
  </w:style>
  <w:style w:type="paragraph" w:styleId="FootnoteText">
    <w:name w:val="footnote text"/>
    <w:basedOn w:val="Normal"/>
    <w:link w:val="FootnoteTextChar"/>
    <w:uiPriority w:val="99"/>
    <w:semiHidden/>
    <w:unhideWhenUsed/>
    <w:rsid w:val="00835B1D"/>
    <w:rPr>
      <w:sz w:val="20"/>
      <w:szCs w:val="20"/>
    </w:rPr>
  </w:style>
  <w:style w:type="character" w:customStyle="1" w:styleId="FootnoteTextChar">
    <w:name w:val="Footnote Text Char"/>
    <w:basedOn w:val="DefaultParagraphFont"/>
    <w:link w:val="FootnoteText"/>
    <w:uiPriority w:val="99"/>
    <w:semiHidden/>
    <w:rsid w:val="00835B1D"/>
    <w:rPr>
      <w:rFonts w:ascii="Times New Roman" w:eastAsia="Times New Roman" w:hAnsi="Times New Roman" w:cs="Times New Roman"/>
      <w:sz w:val="20"/>
      <w:szCs w:val="20"/>
      <w:lang w:eastAsia="fr-FR"/>
    </w:rPr>
  </w:style>
  <w:style w:type="character" w:styleId="FootnoteReference">
    <w:name w:val="footnote reference"/>
    <w:basedOn w:val="DefaultParagraphFont"/>
    <w:uiPriority w:val="99"/>
    <w:semiHidden/>
    <w:unhideWhenUsed/>
    <w:rsid w:val="00835B1D"/>
    <w:rPr>
      <w:vertAlign w:val="superscript"/>
    </w:rPr>
  </w:style>
  <w:style w:type="paragraph" w:styleId="NormalWeb">
    <w:name w:val="Normal (Web)"/>
    <w:basedOn w:val="Normal"/>
    <w:uiPriority w:val="99"/>
    <w:semiHidden/>
    <w:unhideWhenUsed/>
    <w:rsid w:val="00835B1D"/>
  </w:style>
  <w:style w:type="character" w:customStyle="1" w:styleId="UnresolvedMention">
    <w:name w:val="Unresolved Mention"/>
    <w:basedOn w:val="DefaultParagraphFont"/>
    <w:uiPriority w:val="99"/>
    <w:semiHidden/>
    <w:unhideWhenUsed/>
    <w:rsid w:val="00E74F15"/>
    <w:rPr>
      <w:color w:val="605E5C"/>
      <w:shd w:val="clear" w:color="auto" w:fill="E1DFDD"/>
    </w:rPr>
  </w:style>
  <w:style w:type="paragraph" w:styleId="EndnoteText">
    <w:name w:val="endnote text"/>
    <w:basedOn w:val="Normal"/>
    <w:link w:val="EndnoteTextChar"/>
    <w:uiPriority w:val="99"/>
    <w:semiHidden/>
    <w:unhideWhenUsed/>
    <w:rsid w:val="009A6B93"/>
    <w:rPr>
      <w:sz w:val="20"/>
      <w:szCs w:val="20"/>
    </w:rPr>
  </w:style>
  <w:style w:type="character" w:customStyle="1" w:styleId="EndnoteTextChar">
    <w:name w:val="Endnote Text Char"/>
    <w:basedOn w:val="DefaultParagraphFont"/>
    <w:link w:val="EndnoteText"/>
    <w:uiPriority w:val="99"/>
    <w:semiHidden/>
    <w:rsid w:val="009A6B93"/>
    <w:rPr>
      <w:rFonts w:ascii="Times New Roman" w:eastAsia="Times New Roman" w:hAnsi="Times New Roman" w:cs="Times New Roman"/>
      <w:sz w:val="20"/>
      <w:szCs w:val="20"/>
      <w:lang w:eastAsia="fr-FR"/>
    </w:rPr>
  </w:style>
  <w:style w:type="character" w:styleId="EndnoteReference">
    <w:name w:val="endnote reference"/>
    <w:basedOn w:val="DefaultParagraphFont"/>
    <w:uiPriority w:val="99"/>
    <w:semiHidden/>
    <w:unhideWhenUsed/>
    <w:rsid w:val="009A6B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29419">
      <w:bodyDiv w:val="1"/>
      <w:marLeft w:val="0"/>
      <w:marRight w:val="0"/>
      <w:marTop w:val="0"/>
      <w:marBottom w:val="0"/>
      <w:divBdr>
        <w:top w:val="none" w:sz="0" w:space="0" w:color="auto"/>
        <w:left w:val="none" w:sz="0" w:space="0" w:color="auto"/>
        <w:bottom w:val="none" w:sz="0" w:space="0" w:color="auto"/>
        <w:right w:val="none" w:sz="0" w:space="0" w:color="auto"/>
      </w:divBdr>
      <w:divsChild>
        <w:div w:id="1204172667">
          <w:marLeft w:val="0"/>
          <w:marRight w:val="0"/>
          <w:marTop w:val="0"/>
          <w:marBottom w:val="0"/>
          <w:divBdr>
            <w:top w:val="none" w:sz="0" w:space="0" w:color="auto"/>
            <w:left w:val="none" w:sz="0" w:space="0" w:color="auto"/>
            <w:bottom w:val="none" w:sz="0" w:space="0" w:color="auto"/>
            <w:right w:val="none" w:sz="0" w:space="0" w:color="auto"/>
          </w:divBdr>
          <w:divsChild>
            <w:div w:id="1234193081">
              <w:marLeft w:val="0"/>
              <w:marRight w:val="0"/>
              <w:marTop w:val="0"/>
              <w:marBottom w:val="0"/>
              <w:divBdr>
                <w:top w:val="none" w:sz="0" w:space="0" w:color="auto"/>
                <w:left w:val="none" w:sz="0" w:space="0" w:color="auto"/>
                <w:bottom w:val="none" w:sz="0" w:space="0" w:color="auto"/>
                <w:right w:val="none" w:sz="0" w:space="0" w:color="auto"/>
              </w:divBdr>
              <w:divsChild>
                <w:div w:id="83133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07/relationships/hdphoto" Target="media/hdphoto1.wd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871581-4CF1-4FAD-B80D-7898A2766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12526</Words>
  <Characters>71401</Characters>
  <Application>Microsoft Office Word</Application>
  <DocSecurity>6</DocSecurity>
  <Lines>595</Lines>
  <Paragraphs>167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RAPPORT ALTERNATIF DE LA MISE EN ŒUVRE DE LA CONVENTION RELATIVE AUX DROITS DES PERSONNES HANDICAPEES AU MALI</vt:lpstr>
      <vt:lpstr>RAPPORT ALTERNATIF DE LA MISE EN ŒUVRE DE LA CONVENTION RELATIVE AUX DROITS DES PERSONNES HANDICAPEES AU MALI</vt:lpstr>
    </vt:vector>
  </TitlesOfParts>
  <Company/>
  <LinksUpToDate>false</LinksUpToDate>
  <CharactersWithSpaces>83760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ALTERNATIF DE LA MISE EN ŒUVRE DE LA CONVENTION RELATIVE AUX DROITS DES PERSONNES HANDICAPEES AU MALI</dc:title>
  <dc:subject/>
  <dc:creator>Mme Sinaba</dc:creator>
  <cp:keywords/>
  <dc:description/>
  <cp:lastModifiedBy>OUKO Robert</cp:lastModifiedBy>
  <cp:revision>2</cp:revision>
  <dcterms:created xsi:type="dcterms:W3CDTF">2023-03-14T16:32:00Z</dcterms:created>
  <dcterms:modified xsi:type="dcterms:W3CDTF">2023-03-14T16:32:00Z</dcterms:modified>
</cp:coreProperties>
</file>