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E605E" w:rsidRDefault="00FE605E" w:rsidP="644C647B"/>
    <w:p w14:paraId="00000003" w14:textId="422CFB7B" w:rsidR="00FE605E" w:rsidRDefault="644C647B" w:rsidP="002626EB">
      <w:pPr>
        <w:keepNext/>
        <w:keepLines/>
        <w:pBdr>
          <w:top w:val="nil"/>
          <w:left w:val="nil"/>
          <w:bottom w:val="nil"/>
          <w:right w:val="nil"/>
          <w:between w:val="nil"/>
        </w:pBdr>
        <w:tabs>
          <w:tab w:val="left" w:pos="5370"/>
        </w:tabs>
        <w:jc w:val="center"/>
        <w:rPr>
          <w:b/>
          <w:bCs/>
          <w:color w:val="000000"/>
        </w:rPr>
      </w:pPr>
      <w:r w:rsidRPr="644C647B">
        <w:rPr>
          <w:b/>
          <w:bCs/>
          <w:color w:val="000000"/>
        </w:rPr>
        <w:t>United Republic of Tanzania’s Compliance with the Convention on the Rights of the Child</w:t>
      </w:r>
    </w:p>
    <w:p w14:paraId="00000004" w14:textId="77777777" w:rsidR="00FE605E" w:rsidRDefault="00FE605E" w:rsidP="644C647B">
      <w:pPr>
        <w:widowControl w:val="0"/>
        <w:jc w:val="center"/>
        <w:rPr>
          <w:b/>
          <w:bCs/>
          <w:color w:val="000000"/>
        </w:rPr>
      </w:pPr>
    </w:p>
    <w:p w14:paraId="484BACBF" w14:textId="77777777" w:rsidR="002626EB" w:rsidRDefault="644C647B" w:rsidP="002626EB">
      <w:pPr>
        <w:keepNext/>
        <w:keepLines/>
        <w:pBdr>
          <w:top w:val="nil"/>
          <w:left w:val="nil"/>
          <w:bottom w:val="nil"/>
          <w:right w:val="nil"/>
          <w:between w:val="nil"/>
        </w:pBdr>
        <w:jc w:val="center"/>
        <w:rPr>
          <w:b/>
          <w:bCs/>
          <w:color w:val="000000"/>
        </w:rPr>
      </w:pPr>
      <w:r w:rsidRPr="644C647B">
        <w:rPr>
          <w:b/>
          <w:bCs/>
          <w:color w:val="000000" w:themeColor="text1"/>
        </w:rPr>
        <w:t xml:space="preserve">Submitted by </w:t>
      </w:r>
      <w:r w:rsidR="002626EB" w:rsidRPr="644C647B">
        <w:rPr>
          <w:b/>
          <w:bCs/>
          <w:color w:val="000000"/>
        </w:rPr>
        <w:t>The Advocates for Human Rights</w:t>
      </w:r>
    </w:p>
    <w:p w14:paraId="654C46C4" w14:textId="77777777" w:rsidR="002626EB" w:rsidRDefault="002626EB" w:rsidP="002626EB">
      <w:pPr>
        <w:pBdr>
          <w:top w:val="nil"/>
          <w:left w:val="nil"/>
          <w:bottom w:val="nil"/>
          <w:right w:val="nil"/>
          <w:between w:val="nil"/>
        </w:pBdr>
        <w:jc w:val="center"/>
        <w:rPr>
          <w:color w:val="000000"/>
        </w:rPr>
      </w:pPr>
      <w:r w:rsidRPr="644C647B">
        <w:rPr>
          <w:color w:val="000000"/>
        </w:rPr>
        <w:t xml:space="preserve">a non-governmental organization in special consultative status with ECOSOC since 1996 </w:t>
      </w:r>
    </w:p>
    <w:p w14:paraId="773D2924" w14:textId="77777777" w:rsidR="002626EB" w:rsidRDefault="002626EB" w:rsidP="002626EB">
      <w:pPr>
        <w:keepNext/>
        <w:keepLines/>
        <w:pBdr>
          <w:top w:val="nil"/>
          <w:left w:val="nil"/>
          <w:bottom w:val="nil"/>
          <w:right w:val="nil"/>
          <w:between w:val="nil"/>
        </w:pBdr>
        <w:jc w:val="center"/>
        <w:rPr>
          <w:b/>
          <w:bCs/>
          <w:color w:val="000000"/>
        </w:rPr>
      </w:pPr>
    </w:p>
    <w:p w14:paraId="46312CD4" w14:textId="77777777" w:rsidR="002626EB" w:rsidRDefault="002626EB" w:rsidP="002626EB">
      <w:pPr>
        <w:widowControl w:val="0"/>
        <w:jc w:val="center"/>
        <w:rPr>
          <w:color w:val="000000" w:themeColor="text1"/>
        </w:rPr>
      </w:pPr>
      <w:r w:rsidRPr="644C647B">
        <w:rPr>
          <w:color w:val="000000" w:themeColor="text1"/>
        </w:rPr>
        <w:t xml:space="preserve">and </w:t>
      </w:r>
    </w:p>
    <w:p w14:paraId="07DDCB9E" w14:textId="77777777" w:rsidR="002626EB" w:rsidRDefault="002626EB" w:rsidP="002626EB">
      <w:pPr>
        <w:widowControl w:val="0"/>
        <w:jc w:val="center"/>
        <w:rPr>
          <w:color w:val="000000"/>
        </w:rPr>
      </w:pPr>
    </w:p>
    <w:p w14:paraId="00000005" w14:textId="1A2EFDEC" w:rsidR="00FE605E" w:rsidRDefault="644C647B" w:rsidP="644C647B">
      <w:pPr>
        <w:widowControl w:val="0"/>
        <w:jc w:val="center"/>
        <w:rPr>
          <w:b/>
          <w:bCs/>
          <w:color w:val="000000"/>
        </w:rPr>
      </w:pPr>
      <w:r w:rsidRPr="644C647B">
        <w:rPr>
          <w:b/>
          <w:bCs/>
          <w:color w:val="000000" w:themeColor="text1"/>
        </w:rPr>
        <w:t>The Legal Human Rights Centre (LHRC)</w:t>
      </w:r>
    </w:p>
    <w:p w14:paraId="00000007" w14:textId="4CADE4D9" w:rsidR="00FE605E" w:rsidRDefault="00FE605E" w:rsidP="644C647B">
      <w:pPr>
        <w:keepNext/>
        <w:keepLines/>
        <w:pBdr>
          <w:top w:val="nil"/>
          <w:left w:val="nil"/>
          <w:bottom w:val="nil"/>
          <w:right w:val="nil"/>
          <w:between w:val="nil"/>
        </w:pBdr>
        <w:jc w:val="center"/>
        <w:rPr>
          <w:b/>
          <w:bCs/>
          <w:color w:val="000000"/>
        </w:rPr>
      </w:pPr>
    </w:p>
    <w:p w14:paraId="0000000A" w14:textId="77777777" w:rsidR="00FE605E" w:rsidRDefault="644C647B" w:rsidP="644C647B">
      <w:pPr>
        <w:pBdr>
          <w:top w:val="nil"/>
          <w:left w:val="nil"/>
          <w:bottom w:val="nil"/>
          <w:right w:val="nil"/>
          <w:between w:val="nil"/>
        </w:pBdr>
        <w:jc w:val="center"/>
        <w:rPr>
          <w:color w:val="000000"/>
        </w:rPr>
      </w:pPr>
      <w:r w:rsidRPr="644C647B">
        <w:rPr>
          <w:color w:val="000000"/>
        </w:rPr>
        <w:t>for the 101st Session of the Committee on the Rights of the Child</w:t>
      </w:r>
    </w:p>
    <w:p w14:paraId="0000000B" w14:textId="4035D03C" w:rsidR="00FE605E" w:rsidRDefault="644C647B" w:rsidP="644C647B">
      <w:pPr>
        <w:pBdr>
          <w:top w:val="nil"/>
          <w:left w:val="nil"/>
          <w:bottom w:val="nil"/>
          <w:right w:val="nil"/>
          <w:between w:val="nil"/>
        </w:pBdr>
        <w:jc w:val="center"/>
        <w:rPr>
          <w:color w:val="000000"/>
        </w:rPr>
      </w:pPr>
      <w:r w:rsidRPr="644C647B">
        <w:rPr>
          <w:color w:val="000000"/>
        </w:rPr>
        <w:t>01 September–</w:t>
      </w:r>
      <w:r w:rsidR="00727452">
        <w:rPr>
          <w:color w:val="000000"/>
        </w:rPr>
        <w:t>28</w:t>
      </w:r>
      <w:r w:rsidRPr="644C647B">
        <w:rPr>
          <w:color w:val="000000"/>
        </w:rPr>
        <w:t xml:space="preserve"> September 2026</w:t>
      </w:r>
    </w:p>
    <w:p w14:paraId="0000000C" w14:textId="77777777" w:rsidR="00FE605E" w:rsidRDefault="00FE605E" w:rsidP="644C647B">
      <w:pPr>
        <w:pBdr>
          <w:top w:val="nil"/>
          <w:left w:val="nil"/>
          <w:bottom w:val="nil"/>
          <w:right w:val="nil"/>
          <w:between w:val="nil"/>
        </w:pBdr>
        <w:jc w:val="center"/>
        <w:rPr>
          <w:color w:val="000000"/>
        </w:rPr>
      </w:pPr>
    </w:p>
    <w:p w14:paraId="0000000D" w14:textId="1B7DABBB" w:rsidR="00FE605E" w:rsidRDefault="00807235" w:rsidP="644C647B">
      <w:pPr>
        <w:pBdr>
          <w:top w:val="nil"/>
          <w:left w:val="nil"/>
          <w:bottom w:val="nil"/>
          <w:right w:val="nil"/>
          <w:between w:val="nil"/>
        </w:pBdr>
        <w:jc w:val="center"/>
        <w:rPr>
          <w:color w:val="000000"/>
        </w:rPr>
      </w:pPr>
      <w:sdt>
        <w:sdtPr>
          <w:tag w:val="goog_rdk_0"/>
          <w:id w:val="1146367792"/>
        </w:sdtPr>
        <w:sdtEndPr/>
        <w:sdtContent/>
      </w:sdt>
      <w:r w:rsidR="644C647B" w:rsidRPr="644C647B">
        <w:rPr>
          <w:color w:val="000000"/>
        </w:rPr>
        <w:t xml:space="preserve">Submitted </w:t>
      </w:r>
      <w:r w:rsidR="00654C49">
        <w:rPr>
          <w:color w:val="000000"/>
        </w:rPr>
        <w:t>29 July 2026</w:t>
      </w:r>
    </w:p>
    <w:p w14:paraId="0000000E" w14:textId="77777777" w:rsidR="00FE605E" w:rsidRDefault="00FE605E" w:rsidP="644C647B">
      <w:pPr>
        <w:widowControl w:val="0"/>
        <w:spacing w:after="240"/>
        <w:jc w:val="both"/>
        <w:rPr>
          <w:b/>
          <w:bCs/>
          <w:color w:val="000000"/>
        </w:rPr>
      </w:pPr>
    </w:p>
    <w:p w14:paraId="7BDD48D6" w14:textId="77777777" w:rsidR="002626EB" w:rsidRDefault="002626EB" w:rsidP="005D0361">
      <w:pPr>
        <w:spacing w:after="240" w:line="259" w:lineRule="auto"/>
        <w:rPr>
          <w:color w:val="000000"/>
        </w:rPr>
      </w:pPr>
      <w:r w:rsidRPr="644C647B">
        <w:rPr>
          <w:b/>
          <w:bCs/>
          <w:color w:val="000000" w:themeColor="text1"/>
        </w:rPr>
        <w:t>The Advocates for Human Rights </w:t>
      </w:r>
      <w:r w:rsidRPr="644C647B">
        <w:rPr>
          <w:color w:val="000000" w:themeColor="text1"/>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 and publications. The Advocates is the primary provider of legal services to low-income asylum seekers in the Upper Midwest region of the United States. The Advocates is committed to ensuring human rights protection for women around the world. The Advocates has published more than 30 reports on violence against women as a human rights issue, provided consultation and commentary on draft laws on domestic violence, and trained lawyers, police, prosecutors, judges, and other law enforcement personnel to effectively implement new and existing laws on domestic violence. </w:t>
      </w:r>
    </w:p>
    <w:p w14:paraId="0000000F" w14:textId="77777777" w:rsidR="00FE605E" w:rsidRDefault="644C647B" w:rsidP="005D0361">
      <w:pPr>
        <w:widowControl w:val="0"/>
        <w:spacing w:after="240" w:line="259" w:lineRule="auto"/>
        <w:jc w:val="both"/>
        <w:rPr>
          <w:color w:val="000000"/>
          <w:lang w:val="en-US"/>
        </w:rPr>
      </w:pPr>
      <w:r w:rsidRPr="644C647B">
        <w:rPr>
          <w:b/>
          <w:bCs/>
          <w:color w:val="000000"/>
          <w:lang w:val="en-US"/>
        </w:rPr>
        <w:t xml:space="preserve">Legal Human Rights Centre </w:t>
      </w:r>
      <w:r w:rsidRPr="644C647B">
        <w:rPr>
          <w:color w:val="000000"/>
          <w:lang w:val="en-US"/>
        </w:rPr>
        <w:t xml:space="preserve">(LHRC) is Tanzania’s human rights advocacy organization. LHRC was establish in 1995 as a non-governmental, voluntary, non-partisan and not-for-profit sharing organization, with the purpose of working to empower and conscientize the people of Tanzania on legal and human rights. LHRC works on diverse programs such as advocacy and reforms, access to justice, research, human rights monitoring and response, capacity development and community engagement and research. LHRC envisions “a Just and Equitable Society.”  </w:t>
      </w:r>
      <w:r w:rsidRPr="644C647B">
        <w:rPr>
          <w:b/>
          <w:bCs/>
          <w:color w:val="000000"/>
          <w:lang w:val="en-US"/>
        </w:rPr>
        <w:t xml:space="preserve"> </w:t>
      </w:r>
    </w:p>
    <w:p w14:paraId="00000011" w14:textId="77777777" w:rsidR="00FE605E" w:rsidRDefault="00FE605E" w:rsidP="644C647B">
      <w:pPr>
        <w:pBdr>
          <w:top w:val="nil"/>
          <w:left w:val="nil"/>
          <w:bottom w:val="nil"/>
          <w:right w:val="nil"/>
          <w:between w:val="nil"/>
        </w:pBdr>
        <w:jc w:val="center"/>
        <w:rPr>
          <w:b/>
          <w:bCs/>
          <w:smallCaps/>
          <w:color w:val="000000"/>
        </w:rPr>
      </w:pPr>
    </w:p>
    <w:p w14:paraId="00000012" w14:textId="77777777" w:rsidR="00FE605E" w:rsidRDefault="00FE605E" w:rsidP="644C647B">
      <w:pPr>
        <w:pBdr>
          <w:top w:val="nil"/>
          <w:left w:val="nil"/>
          <w:bottom w:val="nil"/>
          <w:right w:val="nil"/>
          <w:between w:val="nil"/>
        </w:pBdr>
        <w:jc w:val="center"/>
        <w:rPr>
          <w:b/>
          <w:bCs/>
          <w:smallCaps/>
          <w:color w:val="000000"/>
        </w:rPr>
      </w:pPr>
    </w:p>
    <w:p w14:paraId="00000013" w14:textId="77777777" w:rsidR="00FE605E" w:rsidRDefault="00FE605E" w:rsidP="644C647B">
      <w:pPr>
        <w:pBdr>
          <w:top w:val="nil"/>
          <w:left w:val="nil"/>
          <w:bottom w:val="nil"/>
          <w:right w:val="nil"/>
          <w:between w:val="nil"/>
        </w:pBdr>
        <w:jc w:val="center"/>
        <w:rPr>
          <w:b/>
          <w:bCs/>
          <w:smallCaps/>
          <w:color w:val="000000"/>
        </w:rPr>
      </w:pPr>
    </w:p>
    <w:p w14:paraId="00000014" w14:textId="77777777" w:rsidR="00FE605E" w:rsidRDefault="00FE605E" w:rsidP="644C647B">
      <w:pPr>
        <w:pBdr>
          <w:top w:val="nil"/>
          <w:left w:val="nil"/>
          <w:bottom w:val="nil"/>
          <w:right w:val="nil"/>
          <w:between w:val="nil"/>
        </w:pBdr>
        <w:jc w:val="center"/>
        <w:rPr>
          <w:b/>
          <w:bCs/>
          <w:smallCaps/>
          <w:color w:val="000000"/>
        </w:rPr>
      </w:pPr>
    </w:p>
    <w:p w14:paraId="00000015" w14:textId="77777777" w:rsidR="00FE605E" w:rsidRDefault="00FE605E" w:rsidP="644C647B">
      <w:pPr>
        <w:pBdr>
          <w:top w:val="nil"/>
          <w:left w:val="nil"/>
          <w:bottom w:val="nil"/>
          <w:right w:val="nil"/>
          <w:between w:val="nil"/>
        </w:pBdr>
        <w:jc w:val="center"/>
        <w:rPr>
          <w:b/>
          <w:bCs/>
          <w:smallCaps/>
          <w:color w:val="000000"/>
        </w:rPr>
      </w:pPr>
    </w:p>
    <w:p w14:paraId="00000016" w14:textId="77777777" w:rsidR="00FE605E" w:rsidRDefault="00FE605E" w:rsidP="644C647B">
      <w:pPr>
        <w:pBdr>
          <w:top w:val="nil"/>
          <w:left w:val="nil"/>
          <w:bottom w:val="nil"/>
          <w:right w:val="nil"/>
          <w:between w:val="nil"/>
        </w:pBdr>
        <w:jc w:val="center"/>
        <w:rPr>
          <w:b/>
          <w:bCs/>
          <w:smallCaps/>
          <w:color w:val="000000"/>
        </w:rPr>
      </w:pPr>
    </w:p>
    <w:p w14:paraId="00000017" w14:textId="77777777" w:rsidR="00FE605E" w:rsidRDefault="00FE605E" w:rsidP="644C647B">
      <w:pPr>
        <w:pBdr>
          <w:top w:val="nil"/>
          <w:left w:val="nil"/>
          <w:bottom w:val="nil"/>
          <w:right w:val="nil"/>
          <w:between w:val="nil"/>
        </w:pBdr>
        <w:rPr>
          <w:b/>
          <w:bCs/>
          <w:smallCaps/>
          <w:color w:val="000000"/>
        </w:rPr>
      </w:pPr>
    </w:p>
    <w:p w14:paraId="00000018" w14:textId="77777777" w:rsidR="00FE605E" w:rsidRDefault="644C647B" w:rsidP="644C647B">
      <w:pPr>
        <w:pBdr>
          <w:top w:val="nil"/>
          <w:left w:val="nil"/>
          <w:bottom w:val="nil"/>
          <w:right w:val="nil"/>
          <w:between w:val="nil"/>
        </w:pBdr>
        <w:spacing w:before="240" w:after="240"/>
        <w:jc w:val="center"/>
        <w:rPr>
          <w:b/>
          <w:bCs/>
          <w:color w:val="000000"/>
          <w:lang w:val="en-US"/>
        </w:rPr>
      </w:pPr>
      <w:r w:rsidRPr="644C647B">
        <w:rPr>
          <w:b/>
          <w:bCs/>
          <w:color w:val="000000"/>
          <w:lang w:val="en-US"/>
        </w:rPr>
        <w:t xml:space="preserve">The United Republic of Tanzania fails to uphold its obligations under the Convention of the Rights of the Child </w:t>
      </w:r>
    </w:p>
    <w:p w14:paraId="00000019" w14:textId="602A1714" w:rsidR="00FE605E" w:rsidRDefault="644C647B" w:rsidP="00B9724E">
      <w:pPr>
        <w:numPr>
          <w:ilvl w:val="0"/>
          <w:numId w:val="1"/>
        </w:numPr>
        <w:pBdr>
          <w:top w:val="nil"/>
          <w:left w:val="nil"/>
          <w:bottom w:val="nil"/>
          <w:right w:val="nil"/>
          <w:between w:val="nil"/>
        </w:pBdr>
        <w:spacing w:before="240" w:after="240"/>
        <w:ind w:left="900"/>
        <w:rPr>
          <w:b/>
          <w:bCs/>
          <w:color w:val="000000" w:themeColor="text1"/>
        </w:rPr>
      </w:pPr>
      <w:r w:rsidRPr="644C647B">
        <w:rPr>
          <w:b/>
          <w:bCs/>
          <w:color w:val="000000"/>
        </w:rPr>
        <w:t xml:space="preserve">Harmful Practices: </w:t>
      </w:r>
      <w:r w:rsidR="00431FD6" w:rsidRPr="644C647B">
        <w:rPr>
          <w:b/>
          <w:bCs/>
          <w:color w:val="000000"/>
        </w:rPr>
        <w:t xml:space="preserve">Early Marriage &amp; </w:t>
      </w:r>
      <w:r w:rsidRPr="644C647B">
        <w:rPr>
          <w:b/>
          <w:bCs/>
          <w:color w:val="000000"/>
        </w:rPr>
        <w:t>Female Genital Mutilation (FGM) (</w:t>
      </w:r>
      <w:r w:rsidR="00855200">
        <w:rPr>
          <w:b/>
          <w:bCs/>
          <w:color w:val="000000"/>
        </w:rPr>
        <w:t xml:space="preserve">List of Issues, </w:t>
      </w:r>
      <w:r w:rsidR="0050747F">
        <w:rPr>
          <w:b/>
          <w:bCs/>
          <w:color w:val="000000"/>
        </w:rPr>
        <w:t>paras 2(a)</w:t>
      </w:r>
      <w:r w:rsidR="0067177B">
        <w:rPr>
          <w:b/>
          <w:bCs/>
          <w:color w:val="000000"/>
        </w:rPr>
        <w:t>, 8(a)</w:t>
      </w:r>
      <w:r w:rsidR="00055C4E">
        <w:rPr>
          <w:b/>
          <w:bCs/>
          <w:color w:val="000000"/>
        </w:rPr>
        <w:t>, (c)</w:t>
      </w:r>
      <w:r w:rsidR="00224C0C">
        <w:rPr>
          <w:b/>
          <w:bCs/>
          <w:color w:val="000000"/>
        </w:rPr>
        <w:t xml:space="preserve">, 18(a); </w:t>
      </w:r>
      <w:r w:rsidR="00890CB8">
        <w:rPr>
          <w:b/>
          <w:bCs/>
          <w:color w:val="000000"/>
        </w:rPr>
        <w:t xml:space="preserve">CRC, </w:t>
      </w:r>
      <w:r w:rsidRPr="644C647B">
        <w:rPr>
          <w:b/>
          <w:bCs/>
          <w:color w:val="000000"/>
        </w:rPr>
        <w:t>arts. 3, 12, 19, and 24(3))</w:t>
      </w:r>
    </w:p>
    <w:p w14:paraId="0000001A" w14:textId="68AE6B95"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 xml:space="preserve">In its Concluding </w:t>
      </w:r>
      <w:r w:rsidR="0077178C">
        <w:rPr>
          <w:color w:val="000000"/>
          <w:lang w:val="en-US"/>
        </w:rPr>
        <w:t>O</w:t>
      </w:r>
      <w:r w:rsidRPr="644C647B">
        <w:rPr>
          <w:color w:val="000000"/>
          <w:lang w:val="en-US"/>
        </w:rPr>
        <w:t>bservations, the Committee called on Tanzania to revise its legislation to ensure that children cannot marry under the age of 18.</w:t>
      </w:r>
      <w:r w:rsidRPr="644C647B">
        <w:rPr>
          <w:color w:val="000000" w:themeColor="text1"/>
          <w:vertAlign w:val="superscript"/>
          <w:lang w:val="en-US"/>
        </w:rPr>
        <w:footnoteReference w:id="1"/>
      </w:r>
      <w:r w:rsidRPr="644C647B">
        <w:rPr>
          <w:color w:val="000000"/>
          <w:lang w:val="en-US"/>
        </w:rPr>
        <w:t xml:space="preserve"> Additionally, the Committee urged the State Party to criminalize female genital mutilation (FGM)</w:t>
      </w:r>
      <w:r w:rsidRPr="644C647B">
        <w:rPr>
          <w:color w:val="000000" w:themeColor="text1"/>
          <w:vertAlign w:val="superscript"/>
          <w:lang w:val="en-US"/>
        </w:rPr>
        <w:footnoteReference w:id="2"/>
      </w:r>
      <w:r w:rsidRPr="644C647B">
        <w:rPr>
          <w:color w:val="000000"/>
          <w:lang w:val="en-US"/>
        </w:rPr>
        <w:t xml:space="preserve"> and strengthen its implementation of the National Plan of Action for the Elimination of FGM.</w:t>
      </w:r>
      <w:r w:rsidRPr="644C647B">
        <w:rPr>
          <w:color w:val="000000" w:themeColor="text1"/>
          <w:vertAlign w:val="superscript"/>
          <w:lang w:val="en-US"/>
        </w:rPr>
        <w:footnoteReference w:id="3"/>
      </w:r>
      <w:r w:rsidRPr="644C647B">
        <w:rPr>
          <w:color w:val="000000"/>
          <w:lang w:val="en-US"/>
        </w:rPr>
        <w:t xml:space="preserve"> </w:t>
      </w:r>
      <w:r w:rsidR="00A67FD2">
        <w:rPr>
          <w:color w:val="000000"/>
          <w:lang w:val="en-US"/>
        </w:rPr>
        <w:t xml:space="preserve">In </w:t>
      </w:r>
      <w:r w:rsidR="0077178C">
        <w:rPr>
          <w:color w:val="000000"/>
          <w:lang w:val="en-US"/>
        </w:rPr>
        <w:t>its</w:t>
      </w:r>
      <w:r w:rsidR="00A67FD2">
        <w:rPr>
          <w:color w:val="000000"/>
          <w:lang w:val="en-US"/>
        </w:rPr>
        <w:t xml:space="preserve"> List of Issues</w:t>
      </w:r>
      <w:r w:rsidR="000016AF">
        <w:rPr>
          <w:color w:val="000000"/>
          <w:lang w:val="en-US"/>
        </w:rPr>
        <w:t xml:space="preserve">, the Committee requested </w:t>
      </w:r>
      <w:r w:rsidR="0077178C">
        <w:rPr>
          <w:color w:val="000000"/>
          <w:lang w:val="en-US"/>
        </w:rPr>
        <w:t>Tanzania</w:t>
      </w:r>
      <w:r w:rsidR="00017262">
        <w:rPr>
          <w:color w:val="000000"/>
          <w:lang w:val="en-US"/>
        </w:rPr>
        <w:t xml:space="preserve"> provide additional information </w:t>
      </w:r>
      <w:r w:rsidR="003F75E2">
        <w:rPr>
          <w:color w:val="000000"/>
          <w:lang w:val="en-US"/>
        </w:rPr>
        <w:t>on actions taken to reduce violence against children, ending child marriage, and to strengthen</w:t>
      </w:r>
      <w:r w:rsidR="00801601">
        <w:rPr>
          <w:color w:val="000000"/>
          <w:lang w:val="en-US"/>
        </w:rPr>
        <w:t xml:space="preserve"> implementation of</w:t>
      </w:r>
      <w:r w:rsidR="003F75E2">
        <w:rPr>
          <w:color w:val="000000"/>
          <w:lang w:val="en-US"/>
        </w:rPr>
        <w:t xml:space="preserve"> the national plan of action to end female genital </w:t>
      </w:r>
      <w:r w:rsidR="00801601">
        <w:rPr>
          <w:color w:val="000000"/>
          <w:lang w:val="en-US"/>
        </w:rPr>
        <w:t>mutilation and enforce related laws.</w:t>
      </w:r>
      <w:r w:rsidR="00801601">
        <w:rPr>
          <w:rStyle w:val="FootnoteReference"/>
          <w:color w:val="000000"/>
          <w:lang w:val="en-US"/>
        </w:rPr>
        <w:footnoteReference w:id="4"/>
      </w:r>
      <w:r w:rsidR="00801601">
        <w:rPr>
          <w:color w:val="000000"/>
          <w:lang w:val="en-US"/>
        </w:rPr>
        <w:t xml:space="preserve"> </w:t>
      </w:r>
      <w:r w:rsidR="00B339A5">
        <w:rPr>
          <w:color w:val="000000"/>
          <w:lang w:val="en-US"/>
        </w:rPr>
        <w:t xml:space="preserve">The Committee requested data on child marriage, </w:t>
      </w:r>
      <w:r w:rsidR="008561E9">
        <w:rPr>
          <w:color w:val="000000"/>
          <w:lang w:val="en-US"/>
        </w:rPr>
        <w:t>child FGM, and violence against children in the last three years, disaggregated by age, sex, ethnicity, national origin, geography, and socio-economic status.</w:t>
      </w:r>
      <w:r w:rsidR="008561E9">
        <w:rPr>
          <w:rStyle w:val="FootnoteReference"/>
          <w:color w:val="000000"/>
          <w:lang w:val="en-US"/>
        </w:rPr>
        <w:footnoteReference w:id="5"/>
      </w:r>
    </w:p>
    <w:p w14:paraId="0000001B"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In its State Party Report, the government responded to the concerns of early marriage by amending the Education Act, 1978 [R.E 2023]to prohibit the marriage or impregnation of any girl in primary or secondary school, mandating free education to prevent child marriage, and conducting education campaigns on the negative impacts of child marriage.</w:t>
      </w:r>
      <w:r w:rsidRPr="644C647B">
        <w:rPr>
          <w:color w:val="000000" w:themeColor="text1"/>
          <w:vertAlign w:val="superscript"/>
          <w:lang w:val="en-US"/>
        </w:rPr>
        <w:footnoteReference w:id="6"/>
      </w:r>
      <w:r w:rsidRPr="644C647B">
        <w:rPr>
          <w:color w:val="000000"/>
          <w:lang w:val="en-US"/>
        </w:rPr>
        <w:t xml:space="preserve"> The government also highlighted its efforts on spreading education campaigns to frontline officials to deter the practice of FGM;</w:t>
      </w:r>
      <w:r w:rsidRPr="644C647B">
        <w:rPr>
          <w:color w:val="000000" w:themeColor="text1"/>
          <w:vertAlign w:val="superscript"/>
          <w:lang w:val="en-US"/>
        </w:rPr>
        <w:footnoteReference w:id="7"/>
      </w:r>
      <w:r w:rsidRPr="644C647B">
        <w:rPr>
          <w:color w:val="000000"/>
          <w:lang w:val="en-US"/>
        </w:rPr>
        <w:t xml:space="preserve"> nonetheless, despite these initiatives, FGM and early marriage still persist.</w:t>
      </w:r>
    </w:p>
    <w:p w14:paraId="0000001C" w14:textId="77777777" w:rsidR="00FE605E" w:rsidRPr="00C15C0E" w:rsidRDefault="644C647B" w:rsidP="002C092B">
      <w:pPr>
        <w:spacing w:before="240" w:after="240"/>
        <w:ind w:left="720" w:hanging="360"/>
        <w:jc w:val="both"/>
        <w:rPr>
          <w:i/>
          <w:iCs/>
          <w:highlight w:val="yellow"/>
        </w:rPr>
      </w:pPr>
      <w:r w:rsidRPr="00C15C0E">
        <w:rPr>
          <w:i/>
          <w:iCs/>
        </w:rPr>
        <w:t xml:space="preserve">Early and Forced Marriage </w:t>
      </w:r>
    </w:p>
    <w:p w14:paraId="0000001D"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Existing laws remain insufficient to effectively prevent early marriage, a prevalent form of gender-based violence against women and girls (GBVAW). As of 2022, 11.9% of girls and 0.7% of boys aged 15–19 were married.</w:t>
      </w:r>
      <w:r w:rsidRPr="644C647B">
        <w:rPr>
          <w:color w:val="000000" w:themeColor="text1"/>
          <w:vertAlign w:val="superscript"/>
          <w:lang w:val="en-US"/>
        </w:rPr>
        <w:footnoteReference w:id="8"/>
      </w:r>
      <w:r w:rsidRPr="644C647B">
        <w:rPr>
          <w:color w:val="000000"/>
          <w:lang w:val="en-US"/>
        </w:rPr>
        <w:t xml:space="preserve"> The Tanzania Controller and Auditor General Performance Report identified the Law of Marriage Act and the National Plan of Action to End Violence against Women and Children as failing to address the legal and structural conditions enabling early marriage, citing the absence of strategies rooted in the lived experience of girls, weak regional implementation, and a wider culture of silence that discourages reporting.</w:t>
      </w:r>
      <w:r w:rsidRPr="644C647B">
        <w:rPr>
          <w:color w:val="000000" w:themeColor="text1"/>
          <w:vertAlign w:val="superscript"/>
          <w:lang w:val="en-US"/>
        </w:rPr>
        <w:footnoteReference w:id="9"/>
      </w:r>
      <w:r w:rsidRPr="644C647B">
        <w:rPr>
          <w:color w:val="000000"/>
          <w:lang w:val="en-US"/>
        </w:rPr>
        <w:t xml:space="preserve"> Gaps in the law further exclude legislative protection for the girls who are not enrolled in school, notably those from poor households or families that do not prioritize education.</w:t>
      </w:r>
      <w:r w:rsidRPr="644C647B">
        <w:rPr>
          <w:color w:val="000000" w:themeColor="text1"/>
          <w:vertAlign w:val="superscript"/>
          <w:lang w:val="en-US"/>
        </w:rPr>
        <w:footnoteReference w:id="10"/>
      </w:r>
      <w:r w:rsidRPr="644C647B">
        <w:rPr>
          <w:color w:val="000000"/>
          <w:lang w:val="en-US"/>
        </w:rPr>
        <w:t xml:space="preserve"> In some cases, the threat of prosecution has produced unintended consequences, such as parents withdrawing their daughters from school early to preserve their marriageability, sometimes even before a partner has been identified.</w:t>
      </w:r>
      <w:r w:rsidRPr="644C647B">
        <w:rPr>
          <w:color w:val="000000" w:themeColor="text1"/>
          <w:vertAlign w:val="superscript"/>
          <w:lang w:val="en-US"/>
        </w:rPr>
        <w:footnoteReference w:id="11"/>
      </w:r>
      <w:r w:rsidRPr="644C647B">
        <w:rPr>
          <w:color w:val="000000"/>
          <w:lang w:val="en-US"/>
        </w:rPr>
        <w:t xml:space="preserve"> </w:t>
      </w:r>
    </w:p>
    <w:p w14:paraId="0000001E"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Corruption and weak enforcement further undermine accountability. Child advocates report that police accept bribes to ignore cases, lose evidence, or falsify birth certificates to present underage girls as adults.</w:t>
      </w:r>
      <w:r w:rsidRPr="644C647B">
        <w:rPr>
          <w:color w:val="000000" w:themeColor="text1"/>
          <w:vertAlign w:val="superscript"/>
          <w:lang w:val="en-US"/>
        </w:rPr>
        <w:footnoteReference w:id="12"/>
      </w:r>
      <w:r w:rsidRPr="644C647B">
        <w:rPr>
          <w:color w:val="000000"/>
          <w:lang w:val="en-US"/>
        </w:rPr>
        <w:t xml:space="preserve"> Despite legislation permitting a 30-year sentence for those who marry or impregnate a schoolgirl, successful prosecutions remain rare.</w:t>
      </w:r>
      <w:r w:rsidRPr="644C647B">
        <w:rPr>
          <w:color w:val="000000" w:themeColor="text1"/>
          <w:vertAlign w:val="superscript"/>
          <w:lang w:val="en-US"/>
        </w:rPr>
        <w:footnoteReference w:id="13"/>
      </w:r>
      <w:r w:rsidRPr="644C647B">
        <w:rPr>
          <w:color w:val="000000"/>
          <w:lang w:val="en-US"/>
        </w:rPr>
        <w:t xml:space="preserve"> Historically, cases of adolescent pregnancy are resolved through marriage or informal financial agreements between families.</w:t>
      </w:r>
      <w:r w:rsidRPr="644C647B">
        <w:rPr>
          <w:color w:val="000000" w:themeColor="text1"/>
          <w:vertAlign w:val="superscript"/>
          <w:lang w:val="en-US"/>
        </w:rPr>
        <w:footnoteReference w:id="14"/>
      </w:r>
      <w:r w:rsidRPr="644C647B">
        <w:rPr>
          <w:color w:val="000000"/>
          <w:lang w:val="en-US"/>
        </w:rPr>
        <w:t xml:space="preserve"> Severe penalties, while intended as a deterrent, are often seen as impractical because imprisonment removes a potential source of financial support for the girl and the child.</w:t>
      </w:r>
      <w:r w:rsidRPr="644C647B">
        <w:rPr>
          <w:color w:val="000000" w:themeColor="text1"/>
          <w:vertAlign w:val="superscript"/>
          <w:lang w:val="en-US"/>
        </w:rPr>
        <w:footnoteReference w:id="15"/>
      </w:r>
      <w:r w:rsidRPr="644C647B">
        <w:rPr>
          <w:color w:val="000000"/>
          <w:lang w:val="en-US"/>
        </w:rPr>
        <w:t xml:space="preserve"> Consequently, families opt for private settlements over formal reporting, which often creates additional pressure on girls to withhold information from authorities.</w:t>
      </w:r>
      <w:r w:rsidRPr="644C647B">
        <w:rPr>
          <w:color w:val="000000" w:themeColor="text1"/>
          <w:vertAlign w:val="superscript"/>
          <w:lang w:val="en-US"/>
        </w:rPr>
        <w:footnoteReference w:id="16"/>
      </w:r>
      <w:r w:rsidRPr="644C647B">
        <w:rPr>
          <w:color w:val="000000"/>
          <w:lang w:val="en-US"/>
        </w:rPr>
        <w:t xml:space="preserve">  The prevalence of early marriage in Tanzania demonstrates that criminalization, in the absence of effective enforcement, cannot deliver measurable change.</w:t>
      </w:r>
    </w:p>
    <w:p w14:paraId="0000001F" w14:textId="77777777" w:rsidR="00FE605E" w:rsidRDefault="644C647B" w:rsidP="000D0022">
      <w:pPr>
        <w:numPr>
          <w:ilvl w:val="0"/>
          <w:numId w:val="4"/>
        </w:numPr>
        <w:spacing w:after="120" w:line="259" w:lineRule="auto"/>
        <w:ind w:left="360"/>
        <w:rPr>
          <w:lang w:val="en-US"/>
        </w:rPr>
      </w:pPr>
      <w:r w:rsidRPr="644C647B">
        <w:rPr>
          <w:lang w:val="en-US"/>
        </w:rPr>
        <w:t>The Court of Appeal of Tanzania also found Sections 13 and 17 of the Law of Marriage Act discriminate against girls by establishing a lower minimum age of marriage for girls than for boys. These clauses are inconsistent with constitutional guarantees of equality, dignity and non-discrimination. The court did not agree with the government’s argument that the clauses should be preserved because they reflect customary, religious or traditional values. The court dismissed the appeal and held the High Court was correct in stating that section 13 and 17 of the Law of Marriage Act are unconstitutional.</w:t>
      </w:r>
      <w:r w:rsidRPr="644C647B">
        <w:rPr>
          <w:vertAlign w:val="superscript"/>
          <w:lang w:val="en-US"/>
        </w:rPr>
        <w:footnoteReference w:id="17"/>
      </w:r>
    </w:p>
    <w:p w14:paraId="00000020" w14:textId="77777777" w:rsidR="00FE605E" w:rsidRPr="00C15C0E" w:rsidRDefault="644C647B" w:rsidP="644C647B">
      <w:pPr>
        <w:pBdr>
          <w:top w:val="nil"/>
          <w:left w:val="nil"/>
          <w:bottom w:val="nil"/>
          <w:right w:val="nil"/>
          <w:between w:val="nil"/>
        </w:pBdr>
        <w:spacing w:before="240" w:after="240"/>
        <w:ind w:left="720" w:hanging="360"/>
        <w:rPr>
          <w:i/>
          <w:iCs/>
          <w:color w:val="000000"/>
        </w:rPr>
      </w:pPr>
      <w:r w:rsidRPr="00C15C0E">
        <w:rPr>
          <w:i/>
          <w:iCs/>
          <w:color w:val="000000"/>
        </w:rPr>
        <w:t xml:space="preserve">Female Genital Mutilation </w:t>
      </w:r>
    </w:p>
    <w:p w14:paraId="00000021"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highlight w:val="white"/>
          <w:lang w:val="en-US"/>
        </w:rPr>
      </w:pPr>
      <w:r w:rsidRPr="644C647B">
        <w:rPr>
          <w:color w:val="000000"/>
          <w:lang w:val="en-US"/>
        </w:rPr>
        <w:t>Although FGM has declined by 10% nationally,</w:t>
      </w:r>
      <w:r w:rsidRPr="644C647B">
        <w:rPr>
          <w:color w:val="000000" w:themeColor="text1"/>
          <w:vertAlign w:val="superscript"/>
          <w:lang w:val="en-US"/>
        </w:rPr>
        <w:footnoteReference w:id="18"/>
      </w:r>
      <w:r w:rsidRPr="644C647B">
        <w:rPr>
          <w:color w:val="000000"/>
          <w:lang w:val="en-US"/>
        </w:rPr>
        <w:t> regional rates remain alarmingly high. For example, the regional rates across Tanzania are approximately: Manyara (43%), Arusha (43%), Mara (28%), Singida (20%), Tanga (19%), Dodoma (18%), and Iringa (12%).</w:t>
      </w:r>
      <w:r w:rsidRPr="644C647B">
        <w:rPr>
          <w:color w:val="000000" w:themeColor="text1"/>
          <w:vertAlign w:val="superscript"/>
          <w:lang w:val="en-US"/>
        </w:rPr>
        <w:footnoteReference w:id="19"/>
      </w:r>
      <w:r w:rsidRPr="644C647B">
        <w:rPr>
          <w:color w:val="000000"/>
          <w:lang w:val="en-US"/>
        </w:rPr>
        <w:t xml:space="preserve"> In 2023 alone, LHRC documented 76 FGM incidents in the Mara, Dodoma, and Singida regions. In December 2024, the Tanzania Police Force (TPF) rescued 180 girls in the Mara Region and sheltered them at the Association for Termination of Female Genital Mutilation (ATFGM) Safe House in Tarime District.</w:t>
      </w:r>
      <w:r w:rsidRPr="644C647B">
        <w:rPr>
          <w:color w:val="000000" w:themeColor="text1"/>
          <w:vertAlign w:val="superscript"/>
          <w:lang w:val="en-US"/>
        </w:rPr>
        <w:footnoteReference w:id="20"/>
      </w:r>
      <w:r w:rsidRPr="644C647B">
        <w:rPr>
          <w:color w:val="000000"/>
          <w:lang w:val="en-US"/>
        </w:rPr>
        <w:t> </w:t>
      </w:r>
    </w:p>
    <w:p w14:paraId="00000022"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Despite the Penal Code, Cap. 16 [R.E 2023] criminalizing FGM,</w:t>
      </w:r>
      <w:r w:rsidRPr="644C647B">
        <w:rPr>
          <w:color w:val="000000" w:themeColor="text1"/>
          <w:vertAlign w:val="superscript"/>
          <w:lang w:val="en-US"/>
        </w:rPr>
        <w:footnoteReference w:id="21"/>
      </w:r>
      <w:r w:rsidRPr="644C647B">
        <w:rPr>
          <w:color w:val="000000"/>
          <w:lang w:val="en-US"/>
        </w:rPr>
        <w:t xml:space="preserve"> current legislation creates structural barriers to enforcement. Criminal liability is limited to parents, guardians, or other custodial figures, meaning those closest to the victim are the ones prosecuted. This design discourages reporting within families,</w:t>
      </w:r>
      <w:r w:rsidRPr="644C647B">
        <w:rPr>
          <w:color w:val="000000" w:themeColor="text1"/>
          <w:vertAlign w:val="superscript"/>
          <w:lang w:val="en-US"/>
        </w:rPr>
        <w:footnoteReference w:id="22"/>
      </w:r>
      <w:r w:rsidRPr="644C647B">
        <w:rPr>
          <w:color w:val="000000"/>
          <w:lang w:val="en-US"/>
        </w:rPr>
        <w:t xml:space="preserve"> as victims are often unwilling to testify against relatives.</w:t>
      </w:r>
      <w:r w:rsidRPr="644C647B">
        <w:rPr>
          <w:color w:val="000000" w:themeColor="text1"/>
          <w:vertAlign w:val="superscript"/>
          <w:lang w:val="en-US"/>
        </w:rPr>
        <w:footnoteReference w:id="23"/>
      </w:r>
      <w:r w:rsidRPr="644C647B">
        <w:rPr>
          <w:color w:val="000000"/>
          <w:lang w:val="en-US"/>
        </w:rPr>
        <w:t xml:space="preserve">  In the past, bribery has been used to drop cases, and prosecutions are further undermined by inadequate evidence and by witnesses failing to appear in court, highlighting the broader in securing convictions.</w:t>
      </w:r>
      <w:r w:rsidRPr="644C647B">
        <w:rPr>
          <w:color w:val="000000" w:themeColor="text1"/>
          <w:vertAlign w:val="superscript"/>
          <w:lang w:val="en-US"/>
        </w:rPr>
        <w:footnoteReference w:id="24"/>
      </w:r>
      <w:r w:rsidRPr="644C647B">
        <w:rPr>
          <w:color w:val="000000"/>
          <w:lang w:val="en-US"/>
        </w:rPr>
        <w:t xml:space="preserve"> </w:t>
      </w:r>
    </w:p>
    <w:p w14:paraId="00000023"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Sociocultural norms deeply entrench the practice of FGM in Tanzania, sustained by the expectations of marriageability, community belonging, and gendered social status.</w:t>
      </w:r>
      <w:r w:rsidRPr="644C647B">
        <w:rPr>
          <w:color w:val="000000" w:themeColor="text1"/>
          <w:vertAlign w:val="superscript"/>
          <w:lang w:val="en-US"/>
        </w:rPr>
        <w:footnoteReference w:id="25"/>
      </w:r>
      <w:r w:rsidRPr="644C647B">
        <w:rPr>
          <w:color w:val="000000"/>
          <w:lang w:val="en-US"/>
        </w:rPr>
        <w:t xml:space="preserve">  Although opposition to FGM is high in Zanzibar,</w:t>
      </w:r>
      <w:r w:rsidRPr="644C647B">
        <w:rPr>
          <w:color w:val="000000" w:themeColor="text1"/>
          <w:vertAlign w:val="superscript"/>
          <w:lang w:val="en-US"/>
        </w:rPr>
        <w:footnoteReference w:id="26"/>
      </w:r>
      <w:r w:rsidRPr="644C647B">
        <w:rPr>
          <w:color w:val="000000"/>
          <w:lang w:val="en-US"/>
        </w:rPr>
        <w:t xml:space="preserve"> community pressure remains powerful throughout the rest of the country. Women who have survived FGM are significantly more likely to support its continuation, reflecting the perception of cutting as a (harmful) marker of social acceptance, prestige, and the transition into womanhood.</w:t>
      </w:r>
      <w:r w:rsidRPr="644C647B">
        <w:rPr>
          <w:color w:val="000000" w:themeColor="text1"/>
          <w:vertAlign w:val="superscript"/>
          <w:lang w:val="en-US"/>
        </w:rPr>
        <w:footnoteReference w:id="27"/>
      </w:r>
      <w:r w:rsidRPr="644C647B">
        <w:rPr>
          <w:color w:val="000000"/>
          <w:lang w:val="en-US"/>
        </w:rPr>
        <w:t xml:space="preserve"> Uncut girls often face intense stigma and are considered unsuitable for marriage, with many wrongfully described as promiscuous, unclean, or lacking fertility.</w:t>
      </w:r>
      <w:r w:rsidRPr="644C647B">
        <w:rPr>
          <w:color w:val="000000" w:themeColor="text1"/>
          <w:vertAlign w:val="superscript"/>
          <w:lang w:val="en-US"/>
        </w:rPr>
        <w:footnoteReference w:id="28"/>
      </w:r>
      <w:r w:rsidRPr="644C647B">
        <w:rPr>
          <w:color w:val="000000"/>
          <w:lang w:val="en-US"/>
        </w:rPr>
        <w:t xml:space="preserve"> Men are also socialized to believe that cut women are “better,” and may face ridicule for marrying women who are uncut.</w:t>
      </w:r>
      <w:r w:rsidRPr="644C647B">
        <w:rPr>
          <w:color w:val="000000" w:themeColor="text1"/>
          <w:vertAlign w:val="superscript"/>
          <w:lang w:val="en-US"/>
        </w:rPr>
        <w:footnoteReference w:id="29"/>
      </w:r>
      <w:r w:rsidRPr="644C647B">
        <w:rPr>
          <w:color w:val="000000"/>
          <w:lang w:val="en-US"/>
        </w:rPr>
        <w:t xml:space="preserve"> </w:t>
      </w:r>
    </w:p>
    <w:p w14:paraId="09DD09E8" w14:textId="77777777" w:rsidR="00D90ADC" w:rsidRDefault="644C647B" w:rsidP="005D0361">
      <w:pPr>
        <w:numPr>
          <w:ilvl w:val="0"/>
          <w:numId w:val="4"/>
        </w:numPr>
        <w:pBdr>
          <w:top w:val="nil"/>
          <w:left w:val="nil"/>
          <w:bottom w:val="nil"/>
          <w:right w:val="nil"/>
          <w:between w:val="nil"/>
        </w:pBdr>
        <w:spacing w:after="120" w:line="259" w:lineRule="auto"/>
        <w:ind w:left="360"/>
        <w:jc w:val="both"/>
        <w:rPr>
          <w:color w:val="000000"/>
        </w:rPr>
      </w:pPr>
      <w:r w:rsidRPr="644C647B">
        <w:rPr>
          <w:color w:val="000000"/>
        </w:rPr>
        <w:t>Refusing FGM can lead to severe social consequences, including rejection in marriage, being labeled as a coward, or bringing perceived disgrace upon the family.</w:t>
      </w:r>
      <w:r w:rsidRPr="644C647B">
        <w:rPr>
          <w:color w:val="000000" w:themeColor="text1"/>
          <w:vertAlign w:val="superscript"/>
        </w:rPr>
        <w:footnoteReference w:id="30"/>
      </w:r>
      <w:r w:rsidRPr="644C647B">
        <w:rPr>
          <w:color w:val="000000"/>
        </w:rPr>
        <w:t xml:space="preserve"> In impoverished areas, economic pressures intensify these dynamics, as parents unable to afford school fees may marry girls off early, which makes FGM a social prerequisite for marriage and financial security.</w:t>
      </w:r>
      <w:r w:rsidRPr="644C647B">
        <w:rPr>
          <w:color w:val="000000" w:themeColor="text1"/>
          <w:vertAlign w:val="superscript"/>
        </w:rPr>
        <w:footnoteReference w:id="31"/>
      </w:r>
      <w:r w:rsidRPr="644C647B">
        <w:rPr>
          <w:color w:val="000000"/>
        </w:rPr>
        <w:t xml:space="preserve"> Girls who resist the practice may be forced to flee their homes and seek refuge in shelters, underscoring how deeply these sociocultural and economic forces encourage this practice.</w:t>
      </w:r>
      <w:r w:rsidRPr="644C647B">
        <w:rPr>
          <w:color w:val="000000" w:themeColor="text1"/>
          <w:vertAlign w:val="superscript"/>
        </w:rPr>
        <w:footnoteReference w:id="32"/>
      </w:r>
      <w:r w:rsidRPr="644C647B">
        <w:rPr>
          <w:color w:val="000000"/>
        </w:rPr>
        <w:t xml:space="preserve"> </w:t>
      </w:r>
    </w:p>
    <w:p w14:paraId="00000025" w14:textId="34CBCF50" w:rsidR="00FE605E" w:rsidRPr="00D90ADC" w:rsidRDefault="644C647B" w:rsidP="002C092B">
      <w:pPr>
        <w:numPr>
          <w:ilvl w:val="0"/>
          <w:numId w:val="4"/>
        </w:numPr>
        <w:pBdr>
          <w:top w:val="nil"/>
          <w:left w:val="nil"/>
          <w:bottom w:val="nil"/>
          <w:right w:val="nil"/>
          <w:between w:val="nil"/>
        </w:pBdr>
        <w:spacing w:after="120" w:line="259" w:lineRule="auto"/>
        <w:ind w:left="360"/>
        <w:jc w:val="both"/>
        <w:rPr>
          <w:color w:val="000000"/>
        </w:rPr>
      </w:pPr>
      <w:r w:rsidRPr="00D90ADC">
        <w:rPr>
          <w:b/>
          <w:bCs/>
          <w:color w:val="000000"/>
        </w:rPr>
        <w:t>Suggested recommendations</w:t>
      </w:r>
      <w:r w:rsidR="00D90ADC" w:rsidRPr="00D90ADC">
        <w:rPr>
          <w:color w:val="000000"/>
        </w:rPr>
        <w:t xml:space="preserve"> related to harmful practices:</w:t>
      </w:r>
      <w:r w:rsidRPr="00D90ADC">
        <w:rPr>
          <w:b/>
          <w:bCs/>
          <w:color w:val="000000"/>
        </w:rPr>
        <w:t xml:space="preserve"> </w:t>
      </w:r>
    </w:p>
    <w:p w14:paraId="00000026" w14:textId="77777777" w:rsidR="00FE605E" w:rsidRDefault="644C647B" w:rsidP="005D0361">
      <w:pPr>
        <w:numPr>
          <w:ilvl w:val="0"/>
          <w:numId w:val="3"/>
        </w:numPr>
        <w:pBdr>
          <w:top w:val="nil"/>
          <w:left w:val="nil"/>
          <w:bottom w:val="nil"/>
          <w:right w:val="nil"/>
          <w:between w:val="nil"/>
        </w:pBdr>
        <w:spacing w:after="120" w:line="259" w:lineRule="auto"/>
        <w:ind w:left="720"/>
        <w:jc w:val="both"/>
        <w:rPr>
          <w:lang w:val="en-US"/>
        </w:rPr>
      </w:pPr>
      <w:r w:rsidRPr="644C647B">
        <w:rPr>
          <w:color w:val="000000"/>
          <w:lang w:val="en-US"/>
        </w:rPr>
        <w:t>Repeal the Law of Marriage Act, 1971 [R.E 2023] to abolish early and forced marriage</w:t>
      </w:r>
      <w:r w:rsidRPr="644C647B">
        <w:rPr>
          <w:lang w:val="en-US"/>
        </w:rPr>
        <w:t xml:space="preserve">. Sections 13 and 17 should be amended to ensure the law conforms with constitutional and child rights standards. This includes establishing 18 years as the minimum age of marriage for both girls and boys without exceptions to ensure that only parties 18 years and older, with full and informed consent, can marry. </w:t>
      </w:r>
    </w:p>
    <w:p w14:paraId="00000027" w14:textId="77777777" w:rsidR="00FE605E" w:rsidRDefault="644C647B" w:rsidP="005D0361">
      <w:pPr>
        <w:numPr>
          <w:ilvl w:val="0"/>
          <w:numId w:val="3"/>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Strengthen enforcement and implementation of national frameworks on ending early marriage by adopting context-specific, community-informed prevention strategies and ensuring that protections extend to out-of-school girls and those from marginalized households. </w:t>
      </w:r>
    </w:p>
    <w:p w14:paraId="00000028" w14:textId="77777777" w:rsidR="00FE605E" w:rsidRDefault="644C647B" w:rsidP="005D0361">
      <w:pPr>
        <w:numPr>
          <w:ilvl w:val="0"/>
          <w:numId w:val="3"/>
        </w:numPr>
        <w:pBdr>
          <w:top w:val="nil"/>
          <w:left w:val="nil"/>
          <w:bottom w:val="nil"/>
          <w:right w:val="nil"/>
          <w:between w:val="nil"/>
        </w:pBdr>
        <w:spacing w:after="120" w:line="259" w:lineRule="auto"/>
        <w:ind w:left="720"/>
        <w:jc w:val="both"/>
        <w:rPr>
          <w:color w:val="000000" w:themeColor="text1"/>
          <w:lang w:val="en-US"/>
        </w:rPr>
      </w:pPr>
      <w:r w:rsidRPr="644C647B">
        <w:rPr>
          <w:color w:val="000000"/>
          <w:lang w:val="en-US"/>
        </w:rPr>
        <w:t xml:space="preserve">Strengthen institutional liability within law enforcement and judicial bodies by creating independent oversight mechanisms, enhancing anti-corruption safeguards, and providing child-sensitive training and reporting protocols aimed at ensuring that early marriage cases are consistently identified, investigated, and prosecuted. </w:t>
      </w:r>
    </w:p>
    <w:p w14:paraId="00000029" w14:textId="77777777" w:rsidR="00FE605E" w:rsidRDefault="644C647B" w:rsidP="005D0361">
      <w:pPr>
        <w:numPr>
          <w:ilvl w:val="0"/>
          <w:numId w:val="3"/>
        </w:numPr>
        <w:pBdr>
          <w:top w:val="nil"/>
          <w:left w:val="nil"/>
          <w:bottom w:val="nil"/>
          <w:right w:val="nil"/>
          <w:between w:val="nil"/>
        </w:pBdr>
        <w:spacing w:after="120" w:line="259" w:lineRule="auto"/>
        <w:ind w:left="720"/>
        <w:jc w:val="both"/>
        <w:rPr>
          <w:color w:val="000000" w:themeColor="text1"/>
        </w:rPr>
      </w:pPr>
      <w:r w:rsidRPr="644C647B">
        <w:rPr>
          <w:color w:val="000000"/>
        </w:rPr>
        <w:t>Amend Section 169A of the Penal Code to comprehensively criminalize all forms of FGM and enact a comprehensive anti-GBV law to strengthen legal protection and response mechanisms that holds anyone who helps, assists, or requests the services of FGM, irrespective of whether the woman or girl has given any form of consent.</w:t>
      </w:r>
    </w:p>
    <w:p w14:paraId="0000002A" w14:textId="77777777" w:rsidR="00FE605E" w:rsidRDefault="644C647B" w:rsidP="005D0361">
      <w:pPr>
        <w:numPr>
          <w:ilvl w:val="0"/>
          <w:numId w:val="3"/>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Adopt legislative measures to allow judges, public prosecutors, social workers, or other relevant system actors to take preventative or precautionary measures in cases where women or girls are at risk of FGM. </w:t>
      </w:r>
    </w:p>
    <w:p w14:paraId="0000002B" w14:textId="77777777" w:rsidR="00FE605E" w:rsidRDefault="644C647B" w:rsidP="005D0361">
      <w:pPr>
        <w:numPr>
          <w:ilvl w:val="0"/>
          <w:numId w:val="3"/>
        </w:numPr>
        <w:pBdr>
          <w:top w:val="nil"/>
          <w:left w:val="nil"/>
          <w:bottom w:val="nil"/>
          <w:right w:val="nil"/>
          <w:between w:val="nil"/>
        </w:pBdr>
        <w:spacing w:after="120" w:line="259" w:lineRule="auto"/>
        <w:ind w:left="720"/>
        <w:jc w:val="both"/>
        <w:rPr>
          <w:color w:val="000000" w:themeColor="text1"/>
          <w:lang w:val="en-US"/>
        </w:rPr>
      </w:pPr>
      <w:r w:rsidRPr="644C647B">
        <w:rPr>
          <w:color w:val="000000"/>
          <w:lang w:val="en-US"/>
        </w:rPr>
        <w:t xml:space="preserve">Consult with communities and impacted people to identify ways to lower barriers to reporting cases of FGM, including the possibility of suspended sentences for parents or family members who consent to FGM. </w:t>
      </w:r>
    </w:p>
    <w:p w14:paraId="0000002C" w14:textId="77777777" w:rsidR="00FE605E" w:rsidRDefault="644C647B" w:rsidP="002C092B">
      <w:pPr>
        <w:numPr>
          <w:ilvl w:val="0"/>
          <w:numId w:val="2"/>
        </w:numPr>
        <w:pBdr>
          <w:top w:val="nil"/>
          <w:left w:val="nil"/>
          <w:bottom w:val="nil"/>
          <w:right w:val="nil"/>
          <w:between w:val="nil"/>
        </w:pBdr>
        <w:spacing w:after="120" w:line="259" w:lineRule="auto"/>
        <w:rPr>
          <w:color w:val="000000"/>
          <w:lang w:val="en-US"/>
        </w:rPr>
      </w:pPr>
      <w:r w:rsidRPr="644C647B">
        <w:rPr>
          <w:color w:val="000000"/>
          <w:lang w:val="en-US"/>
        </w:rPr>
        <w:t xml:space="preserve">Carry out comprehensive, community-driven awareness campaigns on the health, psychological, and human rights harms of FGM, alongside focused interventions to lessen stigma and discrimination against uncut girls.  </w:t>
      </w:r>
    </w:p>
    <w:p w14:paraId="0000002D" w14:textId="77777777" w:rsidR="00FE605E" w:rsidRDefault="644C647B" w:rsidP="002C092B">
      <w:pPr>
        <w:numPr>
          <w:ilvl w:val="0"/>
          <w:numId w:val="2"/>
        </w:numPr>
        <w:pBdr>
          <w:top w:val="nil"/>
          <w:left w:val="nil"/>
          <w:bottom w:val="nil"/>
          <w:right w:val="nil"/>
          <w:between w:val="nil"/>
        </w:pBdr>
        <w:spacing w:after="120" w:line="259" w:lineRule="auto"/>
        <w:rPr>
          <w:color w:val="000000"/>
          <w:lang w:val="en-US"/>
        </w:rPr>
      </w:pPr>
      <w:r w:rsidRPr="644C647B">
        <w:rPr>
          <w:color w:val="000000"/>
          <w:lang w:val="en-US"/>
        </w:rPr>
        <w:t xml:space="preserve">Expand social protection and financial support for families in high-prevalence areas to reduce the economic pressures driving FGM, and strengthen the community-based protection mechanisms for girls who resist the practice. </w:t>
      </w:r>
    </w:p>
    <w:p w14:paraId="0000002E" w14:textId="6A21CED7" w:rsidR="00FE605E" w:rsidRDefault="644C647B" w:rsidP="002C092B">
      <w:pPr>
        <w:numPr>
          <w:ilvl w:val="0"/>
          <w:numId w:val="1"/>
        </w:numPr>
        <w:pBdr>
          <w:top w:val="nil"/>
          <w:left w:val="nil"/>
          <w:bottom w:val="nil"/>
          <w:right w:val="nil"/>
          <w:between w:val="nil"/>
        </w:pBdr>
        <w:spacing w:before="240" w:after="240"/>
        <w:ind w:left="900"/>
        <w:rPr>
          <w:b/>
          <w:bCs/>
          <w:color w:val="000000" w:themeColor="text1"/>
        </w:rPr>
      </w:pPr>
      <w:r w:rsidRPr="644C647B">
        <w:rPr>
          <w:b/>
          <w:bCs/>
          <w:color w:val="000000"/>
        </w:rPr>
        <w:t>Access to Health Services: Menstrual Hygiene &amp; Sanitation (</w:t>
      </w:r>
      <w:r w:rsidR="0068117E">
        <w:rPr>
          <w:b/>
          <w:bCs/>
          <w:color w:val="000000"/>
        </w:rPr>
        <w:t xml:space="preserve">List of Issues, paras. </w:t>
      </w:r>
      <w:r w:rsidR="00B8638F">
        <w:rPr>
          <w:b/>
          <w:bCs/>
          <w:color w:val="000000"/>
        </w:rPr>
        <w:t xml:space="preserve">12, </w:t>
      </w:r>
      <w:r w:rsidR="0068117E">
        <w:rPr>
          <w:b/>
          <w:bCs/>
          <w:color w:val="000000"/>
        </w:rPr>
        <w:t xml:space="preserve">13(d); CRC, </w:t>
      </w:r>
      <w:r w:rsidRPr="644C647B">
        <w:rPr>
          <w:b/>
          <w:bCs/>
          <w:color w:val="000000"/>
        </w:rPr>
        <w:t>arts. 2, 24, and 2</w:t>
      </w:r>
      <w:r w:rsidR="0068117E">
        <w:rPr>
          <w:b/>
          <w:bCs/>
          <w:color w:val="000000"/>
        </w:rPr>
        <w:t>7</w:t>
      </w:r>
      <w:r w:rsidRPr="644C647B">
        <w:rPr>
          <w:b/>
          <w:bCs/>
          <w:color w:val="000000"/>
        </w:rPr>
        <w:t>)</w:t>
      </w:r>
    </w:p>
    <w:p w14:paraId="0000002F" w14:textId="5A78A517" w:rsidR="00FE605E" w:rsidRDefault="00F74DD1" w:rsidP="005D0361">
      <w:pPr>
        <w:numPr>
          <w:ilvl w:val="0"/>
          <w:numId w:val="4"/>
        </w:numPr>
        <w:pBdr>
          <w:top w:val="nil"/>
          <w:left w:val="nil"/>
          <w:bottom w:val="nil"/>
          <w:right w:val="nil"/>
          <w:between w:val="nil"/>
        </w:pBdr>
        <w:spacing w:after="120" w:line="259" w:lineRule="auto"/>
        <w:ind w:left="360"/>
        <w:jc w:val="both"/>
        <w:rPr>
          <w:color w:val="000000"/>
          <w:lang w:val="en-US"/>
        </w:rPr>
      </w:pPr>
      <w:r>
        <w:rPr>
          <w:color w:val="000000"/>
          <w:lang w:val="en-US"/>
        </w:rPr>
        <w:t>In its List of Issues, the Committee also requested additional information on ensuring access to sexual and reproductive health services and menstruation hygiene facilities in schools.</w:t>
      </w:r>
      <w:r>
        <w:rPr>
          <w:rStyle w:val="FootnoteReference"/>
          <w:color w:val="000000"/>
          <w:lang w:val="en-US"/>
        </w:rPr>
        <w:footnoteReference w:id="33"/>
      </w:r>
      <w:r>
        <w:rPr>
          <w:color w:val="000000"/>
          <w:lang w:val="en-US"/>
        </w:rPr>
        <w:t xml:space="preserve"> </w:t>
      </w:r>
      <w:r w:rsidR="644C647B" w:rsidRPr="644C647B">
        <w:rPr>
          <w:color w:val="000000"/>
          <w:lang w:val="en-US"/>
        </w:rPr>
        <w:t>Although there was no reference to menstrual hygiene or period poverty in the Concluding observations, the Committee broadly called on Tanzania to improve sanitation facilities and make them more accessible for children.</w:t>
      </w:r>
      <w:r w:rsidR="644C647B" w:rsidRPr="644C647B">
        <w:rPr>
          <w:color w:val="000000" w:themeColor="text1"/>
          <w:vertAlign w:val="superscript"/>
          <w:lang w:val="en-US"/>
        </w:rPr>
        <w:footnoteReference w:id="34"/>
      </w:r>
      <w:r w:rsidR="644C647B" w:rsidRPr="644C647B">
        <w:rPr>
          <w:color w:val="000000"/>
          <w:lang w:val="en-US"/>
        </w:rPr>
        <w:t xml:space="preserve"> </w:t>
      </w:r>
    </w:p>
    <w:p w14:paraId="00000030"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In its State Party Report, the government responded to the sanitation concerns by describing its projects to improve access to safe drinking water, as well as an increase in toilet and washing facilities within households.</w:t>
      </w:r>
      <w:r w:rsidRPr="644C647B">
        <w:rPr>
          <w:color w:val="000000" w:themeColor="text1"/>
          <w:vertAlign w:val="superscript"/>
          <w:lang w:val="en-US"/>
        </w:rPr>
        <w:footnoteReference w:id="35"/>
      </w:r>
      <w:r w:rsidRPr="644C647B">
        <w:rPr>
          <w:color w:val="000000"/>
          <w:lang w:val="en-US"/>
        </w:rPr>
        <w:t xml:space="preserve"> Nonetheless, the State did not implement any measures to improve menstrual hygiene, especially in schools. </w:t>
      </w:r>
    </w:p>
    <w:p w14:paraId="00000031"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Tanzania continues to face substantial gaps in the guarantee of affordable menstrual hygiene products, compromising the health and dignity of girls across the country. The cost of menstrual products remains prohibitive for many, as annual menstrual hygiene expenses average 36,000 TZS (approx. $13 USD)</w:t>
      </w:r>
      <w:r w:rsidRPr="644C647B">
        <w:rPr>
          <w:color w:val="000000" w:themeColor="text1"/>
          <w:vertAlign w:val="superscript"/>
          <w:lang w:val="en-US"/>
        </w:rPr>
        <w:footnoteReference w:id="36"/>
      </w:r>
      <w:r w:rsidRPr="644C647B">
        <w:rPr>
          <w:color w:val="000000"/>
          <w:lang w:val="en-US"/>
        </w:rPr>
        <w:t xml:space="preserve"> while a single pack of sanitary pads ranges from 2,000 (approx. $0.76 USD) to 4,000 TZS (approx. $1.52 USD).</w:t>
      </w:r>
      <w:r w:rsidRPr="644C647B">
        <w:rPr>
          <w:color w:val="000000" w:themeColor="text1"/>
          <w:vertAlign w:val="superscript"/>
          <w:lang w:val="en-US"/>
        </w:rPr>
        <w:footnoteReference w:id="37"/>
      </w:r>
      <w:r w:rsidRPr="644C647B">
        <w:rPr>
          <w:color w:val="000000"/>
          <w:lang w:val="en-US"/>
        </w:rPr>
        <w:t xml:space="preserve"> Although the government briefly removed VAT on menstrual products in 2018, costs did not decrease as expected.</w:t>
      </w:r>
      <w:r w:rsidRPr="644C647B">
        <w:rPr>
          <w:color w:val="000000" w:themeColor="text1"/>
          <w:vertAlign w:val="superscript"/>
          <w:lang w:val="en-US"/>
        </w:rPr>
        <w:footnoteReference w:id="38"/>
      </w:r>
      <w:r w:rsidRPr="644C647B">
        <w:rPr>
          <w:color w:val="000000"/>
          <w:lang w:val="en-US"/>
        </w:rPr>
        <w:t xml:space="preserve"> In the following national budget, the tax was reinstated, further constraining access.</w:t>
      </w:r>
      <w:r w:rsidRPr="644C647B">
        <w:rPr>
          <w:color w:val="000000" w:themeColor="text1"/>
          <w:vertAlign w:val="superscript"/>
          <w:lang w:val="en-US"/>
        </w:rPr>
        <w:footnoteReference w:id="39"/>
      </w:r>
      <w:r w:rsidRPr="644C647B">
        <w:rPr>
          <w:color w:val="000000"/>
          <w:lang w:val="en-US"/>
        </w:rPr>
        <w:t xml:space="preserve"> </w:t>
      </w:r>
    </w:p>
    <w:p w14:paraId="00000032"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Aside from economic barriers, menstruation remains highly stigmatized and insufficiently discussed in many communities, contributing to widespread misinformation and low levels of menstrual health literacy.</w:t>
      </w:r>
      <w:r w:rsidRPr="644C647B">
        <w:rPr>
          <w:color w:val="000000" w:themeColor="text1"/>
          <w:vertAlign w:val="superscript"/>
          <w:lang w:val="en-US"/>
        </w:rPr>
        <w:footnoteReference w:id="40"/>
      </w:r>
      <w:r w:rsidRPr="644C647B">
        <w:rPr>
          <w:color w:val="000000"/>
          <w:lang w:val="en-US"/>
        </w:rPr>
        <w:t xml:space="preserve"> Research indicates that less than half of schoolgirls demonstrate adequate knowledge of menstruation and its management, and only a small minority (16.3%) correctly identify menstruation as a physiological process.</w:t>
      </w:r>
      <w:r w:rsidRPr="644C647B">
        <w:rPr>
          <w:color w:val="000000" w:themeColor="text1"/>
          <w:vertAlign w:val="superscript"/>
          <w:lang w:val="en-US"/>
        </w:rPr>
        <w:footnoteReference w:id="41"/>
      </w:r>
      <w:r w:rsidRPr="644C647B">
        <w:rPr>
          <w:color w:val="000000"/>
          <w:lang w:val="en-US"/>
        </w:rPr>
        <w:t xml:space="preserve"> In addition, only around 30% of schoolgirls report feeling able to freely discuss menstruation,</w:t>
      </w:r>
      <w:r w:rsidRPr="644C647B">
        <w:rPr>
          <w:color w:val="000000" w:themeColor="text1"/>
          <w:vertAlign w:val="superscript"/>
          <w:lang w:val="en-US"/>
        </w:rPr>
        <w:footnoteReference w:id="42"/>
      </w:r>
      <w:r w:rsidRPr="644C647B">
        <w:rPr>
          <w:color w:val="000000"/>
          <w:lang w:val="en-US"/>
        </w:rPr>
        <w:t xml:space="preserve"> reflecting the persistence of silence and stigma surrounding the issue. Some girls report hiding their menstruation due to embarrassment or fear of being perceived as engaged in sexual activity, while others avoid religious or social spaces due to restrictive cultural interpretations of menstruation as “unclean.”</w:t>
      </w:r>
      <w:r w:rsidRPr="644C647B">
        <w:rPr>
          <w:color w:val="000000" w:themeColor="text1"/>
          <w:vertAlign w:val="superscript"/>
          <w:lang w:val="en-US"/>
        </w:rPr>
        <w:footnoteReference w:id="43"/>
      </w:r>
      <w:r w:rsidRPr="644C647B">
        <w:rPr>
          <w:color w:val="000000"/>
          <w:lang w:val="en-US"/>
        </w:rPr>
        <w:t xml:space="preserve"> </w:t>
      </w:r>
    </w:p>
    <w:p w14:paraId="00000033"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These monetary barriers compound current inequalities in rural areas, where sanitation facilities and clean water are scarce. In November 2024, LHRC documented cases in Oltepese Village in Arusha's Longido District where girls, unable to access sanitary pads or clean water, were forced to rely on unsafe materials during their menstrual periods.</w:t>
      </w:r>
      <w:r w:rsidRPr="644C647B">
        <w:rPr>
          <w:color w:val="000000" w:themeColor="text1"/>
          <w:vertAlign w:val="superscript"/>
          <w:lang w:val="en-US"/>
        </w:rPr>
        <w:footnoteReference w:id="44"/>
      </w:r>
      <w:r w:rsidRPr="644C647B">
        <w:rPr>
          <w:color w:val="000000"/>
          <w:lang w:val="en-US"/>
        </w:rPr>
        <w:t xml:space="preserve"> The absence of clean water and adequate sanitation facilities worsen these conditions, often compelling girls to use cattle butter and cattle urine for personal hygiene.</w:t>
      </w:r>
      <w:r w:rsidRPr="644C647B">
        <w:rPr>
          <w:color w:val="000000" w:themeColor="text1"/>
          <w:vertAlign w:val="superscript"/>
          <w:lang w:val="en-US"/>
        </w:rPr>
        <w:footnoteReference w:id="45"/>
      </w:r>
      <w:r w:rsidRPr="644C647B">
        <w:rPr>
          <w:color w:val="000000"/>
          <w:lang w:val="en-US"/>
        </w:rPr>
        <w:t xml:space="preserve"> Girls must also travel long distances to collect water to meet their hygienic needs, reducing time for education and employment while increasing their risk of sexual harassment.</w:t>
      </w:r>
      <w:r w:rsidRPr="644C647B">
        <w:rPr>
          <w:color w:val="000000" w:themeColor="text1"/>
          <w:vertAlign w:val="superscript"/>
          <w:lang w:val="en-US"/>
        </w:rPr>
        <w:footnoteReference w:id="46"/>
      </w:r>
      <w:r w:rsidRPr="644C647B">
        <w:rPr>
          <w:color w:val="000000"/>
          <w:lang w:val="en-US"/>
        </w:rPr>
        <w:t xml:space="preserve">  </w:t>
      </w:r>
    </w:p>
    <w:p w14:paraId="0CB9A9DE" w14:textId="77777777" w:rsidR="00D90ADC"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These problems are additionally worsened in schools, where menstrual hygiene management infrastructure continues to be inadequate. National assessments indicate that only 38% of schools have sufficient latrines, approximately 20% have access to water on school premises, and fewer than 10% have functioning handwashing facilities with reliable clean water.</w:t>
      </w:r>
      <w:r w:rsidRPr="644C647B">
        <w:rPr>
          <w:color w:val="000000" w:themeColor="text1"/>
          <w:vertAlign w:val="superscript"/>
          <w:lang w:val="en-US"/>
        </w:rPr>
        <w:footnoteReference w:id="47"/>
      </w:r>
      <w:r w:rsidRPr="644C647B">
        <w:rPr>
          <w:color w:val="000000"/>
          <w:lang w:val="en-US"/>
        </w:rPr>
        <w:t xml:space="preserve"> In many cases, the absence of gender-segregated toilets and adequate WASH facilities leads girls to leave school during menstruation, resulting in lost instructional time and disrupted participation in education.</w:t>
      </w:r>
      <w:r w:rsidRPr="644C647B">
        <w:rPr>
          <w:color w:val="000000" w:themeColor="text1"/>
          <w:vertAlign w:val="superscript"/>
          <w:lang w:val="en-US"/>
        </w:rPr>
        <w:footnoteReference w:id="48"/>
      </w:r>
      <w:r w:rsidRPr="644C647B">
        <w:rPr>
          <w:color w:val="000000"/>
          <w:lang w:val="en-US"/>
        </w:rPr>
        <w:t xml:space="preserve"> </w:t>
      </w:r>
    </w:p>
    <w:p w14:paraId="00000035" w14:textId="35F17F9E" w:rsidR="00FE605E" w:rsidRPr="00D90ADC" w:rsidRDefault="644C647B" w:rsidP="00BE680E">
      <w:pPr>
        <w:numPr>
          <w:ilvl w:val="0"/>
          <w:numId w:val="4"/>
        </w:numPr>
        <w:pBdr>
          <w:top w:val="nil"/>
          <w:left w:val="nil"/>
          <w:bottom w:val="nil"/>
          <w:right w:val="nil"/>
          <w:between w:val="nil"/>
        </w:pBdr>
        <w:spacing w:after="120" w:line="259" w:lineRule="auto"/>
        <w:ind w:left="360"/>
        <w:jc w:val="both"/>
        <w:rPr>
          <w:color w:val="000000" w:themeColor="text1"/>
          <w:lang w:val="en-US"/>
        </w:rPr>
      </w:pPr>
      <w:r w:rsidRPr="00D90ADC">
        <w:rPr>
          <w:b/>
          <w:bCs/>
          <w:color w:val="000000"/>
        </w:rPr>
        <w:t>Suggested recommendations</w:t>
      </w:r>
      <w:r w:rsidR="00D90ADC" w:rsidRPr="00D90ADC">
        <w:rPr>
          <w:b/>
          <w:bCs/>
          <w:color w:val="000000"/>
        </w:rPr>
        <w:t xml:space="preserve"> </w:t>
      </w:r>
      <w:r w:rsidR="00D90ADC" w:rsidRPr="00D90ADC">
        <w:rPr>
          <w:color w:val="000000"/>
        </w:rPr>
        <w:t>related to access to health services:</w:t>
      </w:r>
      <w:r w:rsidRPr="00D90ADC">
        <w:rPr>
          <w:b/>
          <w:bCs/>
          <w:color w:val="000000"/>
        </w:rPr>
        <w:t xml:space="preserve"> </w:t>
      </w:r>
    </w:p>
    <w:p w14:paraId="00000036"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lang w:val="en-US"/>
        </w:rPr>
      </w:pPr>
      <w:r w:rsidRPr="644C647B">
        <w:rPr>
          <w:color w:val="000000"/>
          <w:lang w:val="en-US"/>
        </w:rPr>
        <w:t>Remove VAT and other taxes on menstrual hygiene products and ensure measures are implemented to achieve real cost reductions, improving affordability and access for girls.</w:t>
      </w:r>
    </w:p>
    <w:p w14:paraId="00000037"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Increase investment in safe water, sanitation, and hygiene services in rural areas, ensuring reliable access to clean water and gender-responsive sanitation facilities. </w:t>
      </w:r>
    </w:p>
    <w:p w14:paraId="00000038"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Strengthen community-based protections and safe access routes for girls who travel long distances to collect water. </w:t>
      </w:r>
    </w:p>
    <w:p w14:paraId="00000039"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lang w:val="en-US"/>
        </w:rPr>
      </w:pPr>
      <w:r w:rsidRPr="644C647B">
        <w:rPr>
          <w:color w:val="000000"/>
          <w:lang w:val="en-US"/>
        </w:rPr>
        <w:t xml:space="preserve">Integrate comprehensive menstrual health instruction into national school curricula at all levels, ensuring that girls and boys obtain accurate, age-appropriate information on menstruation, sanitation practices, and bodily autonomy. Teachers should also provide trainings to ensure a culturally sensitive and scientifically accurate delivery. </w:t>
      </w:r>
    </w:p>
    <w:p w14:paraId="0000003A"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Ensure that all schools provide minimum menstrual hygiene management services, including access to private and gender-segregated sanitation facilities, clean water, soap, and safe disposal systems, as well as emergency menstrual supplies and support for girls experiencing pain and discomfort.</w:t>
      </w:r>
    </w:p>
    <w:p w14:paraId="0000003B"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Carry out targeted measures to address stigma and discrimination surrounding menstruation, including community engagement and awareness-raising programs that challenge harmful cultural beliefs, reduce secrecy, and promote positive and rights-based narratives concerning menstruation. </w:t>
      </w:r>
    </w:p>
    <w:p w14:paraId="0000003C" w14:textId="44024505" w:rsidR="00FE605E" w:rsidRDefault="644C647B" w:rsidP="00BE680E">
      <w:pPr>
        <w:numPr>
          <w:ilvl w:val="0"/>
          <w:numId w:val="1"/>
        </w:numPr>
        <w:pBdr>
          <w:top w:val="nil"/>
          <w:left w:val="nil"/>
          <w:bottom w:val="nil"/>
          <w:right w:val="nil"/>
          <w:between w:val="nil"/>
        </w:pBdr>
        <w:spacing w:before="240" w:after="240"/>
        <w:ind w:left="907"/>
        <w:rPr>
          <w:b/>
          <w:bCs/>
          <w:color w:val="000000" w:themeColor="text1"/>
          <w:lang w:val="en-US"/>
        </w:rPr>
      </w:pPr>
      <w:r w:rsidRPr="644C647B">
        <w:rPr>
          <w:b/>
          <w:bCs/>
          <w:color w:val="000000"/>
          <w:lang w:val="en-US"/>
        </w:rPr>
        <w:t>Access to Education: Corporal Punishment &amp; Re-Entry of Pregnant Girls into Schools (</w:t>
      </w:r>
      <w:r w:rsidR="00CC0695">
        <w:rPr>
          <w:b/>
          <w:bCs/>
          <w:color w:val="000000"/>
          <w:lang w:val="en-US"/>
        </w:rPr>
        <w:t>List of Issues, paras</w:t>
      </w:r>
      <w:r w:rsidR="00591D9B">
        <w:rPr>
          <w:b/>
          <w:bCs/>
          <w:color w:val="000000"/>
          <w:lang w:val="en-US"/>
        </w:rPr>
        <w:t>.</w:t>
      </w:r>
      <w:r w:rsidR="00CC0695">
        <w:rPr>
          <w:b/>
          <w:bCs/>
          <w:color w:val="000000"/>
          <w:lang w:val="en-US"/>
        </w:rPr>
        <w:t xml:space="preserve"> 2(a)</w:t>
      </w:r>
      <w:r w:rsidR="00591D9B">
        <w:rPr>
          <w:b/>
          <w:bCs/>
          <w:color w:val="000000"/>
          <w:lang w:val="en-US"/>
        </w:rPr>
        <w:t xml:space="preserve">, </w:t>
      </w:r>
      <w:r w:rsidR="00DD0D43">
        <w:rPr>
          <w:b/>
          <w:bCs/>
          <w:color w:val="000000"/>
          <w:lang w:val="en-US"/>
        </w:rPr>
        <w:t xml:space="preserve">7, </w:t>
      </w:r>
      <w:r w:rsidR="00591D9B">
        <w:rPr>
          <w:b/>
          <w:bCs/>
          <w:color w:val="000000"/>
          <w:lang w:val="en-US"/>
        </w:rPr>
        <w:t xml:space="preserve">8(b), </w:t>
      </w:r>
      <w:r w:rsidR="00EF111D">
        <w:rPr>
          <w:b/>
          <w:bCs/>
          <w:color w:val="000000"/>
          <w:lang w:val="en-US"/>
        </w:rPr>
        <w:t>13(d</w:t>
      </w:r>
      <w:r w:rsidR="00415909">
        <w:rPr>
          <w:b/>
          <w:bCs/>
          <w:color w:val="000000"/>
          <w:lang w:val="en-US"/>
        </w:rPr>
        <w:t>-e</w:t>
      </w:r>
      <w:r w:rsidR="00EF111D">
        <w:rPr>
          <w:b/>
          <w:bCs/>
          <w:color w:val="000000"/>
          <w:lang w:val="en-US"/>
        </w:rPr>
        <w:t xml:space="preserve">), </w:t>
      </w:r>
      <w:r w:rsidR="00931DB9">
        <w:rPr>
          <w:b/>
          <w:bCs/>
          <w:color w:val="000000"/>
          <w:lang w:val="en-US"/>
        </w:rPr>
        <w:t>18(a)</w:t>
      </w:r>
      <w:r w:rsidR="00B8638F">
        <w:rPr>
          <w:b/>
          <w:bCs/>
          <w:color w:val="000000"/>
          <w:lang w:val="en-US"/>
        </w:rPr>
        <w:t xml:space="preserve">; CRC, </w:t>
      </w:r>
      <w:r w:rsidRPr="644C647B">
        <w:rPr>
          <w:b/>
          <w:bCs/>
          <w:color w:val="000000"/>
          <w:lang w:val="en-US"/>
        </w:rPr>
        <w:t>arts. 2, 28, 29)</w:t>
      </w:r>
    </w:p>
    <w:p w14:paraId="0000003D" w14:textId="0040E1EF" w:rsidR="00FE605E" w:rsidRDefault="644C647B" w:rsidP="005D0361">
      <w:pPr>
        <w:numPr>
          <w:ilvl w:val="0"/>
          <w:numId w:val="4"/>
        </w:numPr>
        <w:pBdr>
          <w:top w:val="nil"/>
          <w:left w:val="nil"/>
          <w:bottom w:val="nil"/>
          <w:right w:val="nil"/>
          <w:between w:val="nil"/>
        </w:pBdr>
        <w:spacing w:after="120" w:line="259" w:lineRule="auto"/>
        <w:ind w:left="360"/>
        <w:jc w:val="both"/>
        <w:rPr>
          <w:color w:val="000000"/>
        </w:rPr>
      </w:pPr>
      <w:r w:rsidRPr="644C647B">
        <w:rPr>
          <w:color w:val="000000"/>
        </w:rPr>
        <w:t>In its Concluding Observations, the Committee called on Tanzania to review legislation that encourages corporal punishment in school settings, especially repealing and amending the “justifiable” conditions that encourage physical correction or discipline.</w:t>
      </w:r>
      <w:r w:rsidRPr="644C647B">
        <w:rPr>
          <w:color w:val="000000" w:themeColor="text1"/>
          <w:vertAlign w:val="superscript"/>
        </w:rPr>
        <w:footnoteReference w:id="49"/>
      </w:r>
      <w:r w:rsidRPr="644C647B">
        <w:rPr>
          <w:color w:val="000000"/>
        </w:rPr>
        <w:t xml:space="preserve"> </w:t>
      </w:r>
      <w:r w:rsidR="00CC0695">
        <w:rPr>
          <w:color w:val="000000"/>
        </w:rPr>
        <w:t xml:space="preserve">In its List of Issues, </w:t>
      </w:r>
      <w:r w:rsidR="00A26273">
        <w:rPr>
          <w:color w:val="000000"/>
          <w:lang w:val="en-US"/>
        </w:rPr>
        <w:t>Committee requested information on actions to decrease the rates of adolescent pregnancy and support for adolescents who are pregnant or mothers to continue schooling.</w:t>
      </w:r>
      <w:r w:rsidR="00CC0695">
        <w:rPr>
          <w:rStyle w:val="FootnoteReference"/>
          <w:color w:val="000000"/>
        </w:rPr>
        <w:footnoteReference w:id="50"/>
      </w:r>
      <w:r w:rsidR="00A26273">
        <w:rPr>
          <w:color w:val="000000"/>
          <w:lang w:val="en-US"/>
        </w:rPr>
        <w:t xml:space="preserve"> </w:t>
      </w:r>
      <w:r w:rsidRPr="644C647B">
        <w:rPr>
          <w:color w:val="000000"/>
        </w:rPr>
        <w:t>The Committee also urged the State to comply with anti-discriminatory provisions within the Tanzanian legislation regarding pregnant teenage girls and teenage mothers, as well as providing support for these girls to continue their education.</w:t>
      </w:r>
      <w:r w:rsidRPr="644C647B">
        <w:rPr>
          <w:color w:val="000000"/>
          <w:vertAlign w:val="superscript"/>
        </w:rPr>
        <w:t xml:space="preserve"> </w:t>
      </w:r>
      <w:r w:rsidRPr="644C647B">
        <w:rPr>
          <w:color w:val="000000" w:themeColor="text1"/>
          <w:vertAlign w:val="superscript"/>
        </w:rPr>
        <w:footnoteReference w:id="51"/>
      </w:r>
      <w:r w:rsidRPr="644C647B">
        <w:rPr>
          <w:color w:val="000000"/>
        </w:rPr>
        <w:t xml:space="preserve">  </w:t>
      </w:r>
    </w:p>
    <w:p w14:paraId="0000003E"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In its State Party Report, the government addressed the concerns related to corporal punishment and stated it will continue as judicial punishment and will continue allowing caning as a punishment administered in schools.</w:t>
      </w:r>
      <w:r w:rsidRPr="644C647B">
        <w:rPr>
          <w:color w:val="000000" w:themeColor="text1"/>
          <w:vertAlign w:val="superscript"/>
          <w:lang w:val="en-US"/>
        </w:rPr>
        <w:footnoteReference w:id="52"/>
      </w:r>
      <w:r w:rsidRPr="644C647B">
        <w:rPr>
          <w:color w:val="000000"/>
          <w:lang w:val="en-US"/>
        </w:rPr>
        <w:t xml:space="preserve"> Additionally, the State Party provided details on a pilot intervention program to provide learning opportunities for young women and young mothers to continue their education.</w:t>
      </w:r>
      <w:r w:rsidRPr="644C647B">
        <w:rPr>
          <w:color w:val="000000" w:themeColor="text1"/>
          <w:vertAlign w:val="superscript"/>
          <w:lang w:val="en-US"/>
        </w:rPr>
        <w:footnoteReference w:id="53"/>
      </w:r>
    </w:p>
    <w:p w14:paraId="0000003F" w14:textId="77777777" w:rsidR="00FE605E" w:rsidRPr="00531536" w:rsidRDefault="644C647B" w:rsidP="00BE680E">
      <w:pPr>
        <w:pBdr>
          <w:top w:val="nil"/>
          <w:left w:val="nil"/>
          <w:bottom w:val="nil"/>
          <w:right w:val="nil"/>
          <w:between w:val="nil"/>
        </w:pBdr>
        <w:spacing w:before="240" w:after="240"/>
        <w:ind w:left="720" w:hanging="360"/>
        <w:jc w:val="both"/>
        <w:rPr>
          <w:i/>
          <w:iCs/>
          <w:color w:val="000000"/>
        </w:rPr>
      </w:pPr>
      <w:r w:rsidRPr="00531536">
        <w:rPr>
          <w:i/>
          <w:iCs/>
          <w:color w:val="000000"/>
        </w:rPr>
        <w:t xml:space="preserve">Corporal Punishment </w:t>
      </w:r>
    </w:p>
    <w:p w14:paraId="00000040" w14:textId="77777777" w:rsidR="00FE605E" w:rsidRDefault="644C647B" w:rsidP="00BE680E">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Corporal punishment remains legal and widely practiced against children in Tanzania despite the State’s obligations under the Convention. In mainland Tanzania, the Education Act, No. 25 of 1978</w:t>
      </w:r>
      <w:r w:rsidRPr="644C647B">
        <w:rPr>
          <w:color w:val="000000" w:themeColor="text1"/>
          <w:vertAlign w:val="superscript"/>
          <w:lang w:val="en-US"/>
        </w:rPr>
        <w:footnoteReference w:id="54"/>
      </w:r>
      <w:r w:rsidRPr="644C647B">
        <w:rPr>
          <w:color w:val="000000"/>
          <w:lang w:val="en-US"/>
        </w:rPr>
        <w:t xml:space="preserve"> and the Education (Corporal Punishment) Regulations</w:t>
      </w:r>
      <w:r w:rsidRPr="644C647B">
        <w:rPr>
          <w:color w:val="000000" w:themeColor="text1"/>
          <w:vertAlign w:val="superscript"/>
          <w:lang w:val="en-US"/>
        </w:rPr>
        <w:footnoteReference w:id="55"/>
      </w:r>
      <w:r w:rsidRPr="644C647B">
        <w:rPr>
          <w:color w:val="000000"/>
          <w:lang w:val="en-US"/>
        </w:rPr>
        <w:t xml:space="preserve"> continue to authorize corporal punishment in schools for disciplinary purposes. In Zanzibar, corporal punishment is regulated, but not prohibited, as the Education Act of 1988</w:t>
      </w:r>
      <w:r w:rsidRPr="644C647B">
        <w:rPr>
          <w:color w:val="000000" w:themeColor="text1"/>
          <w:vertAlign w:val="superscript"/>
          <w:lang w:val="en-US"/>
        </w:rPr>
        <w:footnoteReference w:id="56"/>
      </w:r>
      <w:r w:rsidRPr="644C647B">
        <w:rPr>
          <w:color w:val="000000"/>
          <w:lang w:val="en-US"/>
        </w:rPr>
        <w:t xml:space="preserve"> allows caning under specific conditions.</w:t>
      </w:r>
      <w:r w:rsidRPr="644C647B">
        <w:rPr>
          <w:color w:val="000000" w:themeColor="text1"/>
          <w:vertAlign w:val="superscript"/>
          <w:lang w:val="en-US"/>
        </w:rPr>
        <w:footnoteReference w:id="57"/>
      </w:r>
      <w:r w:rsidRPr="644C647B">
        <w:rPr>
          <w:color w:val="000000"/>
          <w:lang w:val="en-US"/>
        </w:rPr>
        <w:t xml:space="preserve"> Furthermore, section 13 of the Law of the Child Act 2009</w:t>
      </w:r>
      <w:r w:rsidRPr="644C647B">
        <w:rPr>
          <w:color w:val="000000" w:themeColor="text1"/>
          <w:vertAlign w:val="superscript"/>
          <w:lang w:val="en-US"/>
        </w:rPr>
        <w:footnoteReference w:id="58"/>
      </w:r>
      <w:r w:rsidRPr="644C647B">
        <w:rPr>
          <w:color w:val="000000"/>
          <w:lang w:val="en-US"/>
        </w:rPr>
        <w:t xml:space="preserve"> prohibits torture and other cruel, inhuman, or degrading treatment</w:t>
      </w:r>
      <w:r w:rsidRPr="644C647B">
        <w:rPr>
          <w:color w:val="000000" w:themeColor="text1"/>
          <w:vertAlign w:val="superscript"/>
          <w:lang w:val="en-US"/>
        </w:rPr>
        <w:footnoteReference w:id="59"/>
      </w:r>
      <w:r w:rsidRPr="644C647B">
        <w:rPr>
          <w:color w:val="000000"/>
          <w:lang w:val="en-US"/>
        </w:rPr>
        <w:t xml:space="preserve"> while simultaneously permitting “justifiable” correction, which creates legal inconsistencies that undermine the protection of children from violence. </w:t>
      </w:r>
    </w:p>
    <w:p w14:paraId="00000041" w14:textId="77777777" w:rsidR="00FE605E" w:rsidRDefault="644C647B" w:rsidP="00BE680E">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Despite existing regulations limiting corporal punishment to serious disciplinary breaches to the school code of discipline with a maximum of four strokes to the student,</w:t>
      </w:r>
      <w:r w:rsidRPr="644C647B">
        <w:rPr>
          <w:color w:val="000000" w:themeColor="text1"/>
          <w:vertAlign w:val="superscript"/>
          <w:lang w:val="en-US"/>
        </w:rPr>
        <w:footnoteReference w:id="60"/>
      </w:r>
      <w:r w:rsidRPr="644C647B">
        <w:rPr>
          <w:color w:val="000000"/>
          <w:lang w:val="en-US"/>
        </w:rPr>
        <w:t xml:space="preserve"> it is reported that teachers and school administrators disregard guidelines on the use of corporal punishment. Tanzania is one of the nine countries in the world where more than 90% of students reportedly experience corporal punishment in schools.</w:t>
      </w:r>
      <w:r w:rsidRPr="644C647B">
        <w:rPr>
          <w:color w:val="000000" w:themeColor="text1"/>
          <w:vertAlign w:val="superscript"/>
          <w:lang w:val="en-US"/>
        </w:rPr>
        <w:footnoteReference w:id="61"/>
      </w:r>
      <w:r w:rsidRPr="644C647B">
        <w:rPr>
          <w:color w:val="000000"/>
          <w:lang w:val="en-US"/>
        </w:rPr>
        <w:t xml:space="preserve"> In 2024, physical and psychological violence constituted 30% of violence against children, with 33% involving beatings, whippings, and corporal punishment. Since 2018, LHRC has documented 10 deaths linked to school corporal punishment,</w:t>
      </w:r>
      <w:r w:rsidRPr="644C647B">
        <w:rPr>
          <w:color w:val="000000" w:themeColor="text1"/>
          <w:vertAlign w:val="superscript"/>
          <w:lang w:val="en-US"/>
        </w:rPr>
        <w:footnoteReference w:id="62"/>
      </w:r>
      <w:r w:rsidRPr="644C647B">
        <w:rPr>
          <w:color w:val="000000"/>
          <w:lang w:val="en-US"/>
        </w:rPr>
        <w:t xml:space="preserve"> with many of these deaths reported in the last two years in the Kagera, Kilimanjaro, and Mwanza regions.</w:t>
      </w:r>
      <w:r w:rsidRPr="644C647B">
        <w:rPr>
          <w:color w:val="000000" w:themeColor="text1"/>
          <w:vertAlign w:val="superscript"/>
          <w:lang w:val="en-US"/>
        </w:rPr>
        <w:footnoteReference w:id="63"/>
      </w:r>
      <w:r w:rsidRPr="644C647B">
        <w:rPr>
          <w:color w:val="000000"/>
          <w:lang w:val="en-US"/>
        </w:rPr>
        <w:t xml:space="preserve"> </w:t>
      </w:r>
    </w:p>
    <w:p w14:paraId="00000042" w14:textId="77777777" w:rsidR="00FE605E" w:rsidRDefault="644C647B" w:rsidP="00BE680E">
      <w:pPr>
        <w:numPr>
          <w:ilvl w:val="0"/>
          <w:numId w:val="4"/>
        </w:numPr>
        <w:pBdr>
          <w:top w:val="nil"/>
          <w:left w:val="nil"/>
          <w:bottom w:val="nil"/>
          <w:right w:val="nil"/>
          <w:between w:val="nil"/>
        </w:pBdr>
        <w:spacing w:after="120" w:line="259" w:lineRule="auto"/>
        <w:ind w:left="360"/>
        <w:jc w:val="both"/>
        <w:rPr>
          <w:color w:val="000000" w:themeColor="text1"/>
        </w:rPr>
      </w:pPr>
      <w:r w:rsidRPr="644C647B">
        <w:rPr>
          <w:color w:val="000000"/>
        </w:rPr>
        <w:t>The continued use of corporal punishment is reinforced by deeply rooted social norms and structural challenges. Traditional, authoritarian, and paternalistic attitudes toward discipline, including some religious beliefs, continue to normalize physical punishment as an acceptable method of child-rearing and school discipline.</w:t>
      </w:r>
      <w:r w:rsidRPr="644C647B">
        <w:rPr>
          <w:color w:val="000000" w:themeColor="text1"/>
          <w:vertAlign w:val="superscript"/>
        </w:rPr>
        <w:footnoteReference w:id="64"/>
      </w:r>
      <w:r w:rsidRPr="644C647B">
        <w:rPr>
          <w:color w:val="000000"/>
        </w:rPr>
        <w:t xml:space="preserve"> Teachers often justify corporal punishment as essential to guarantee obedience and academic performance, particularly in overcrowded and under-resourced classrooms where alternative disciplinary approaches are perceived as less effective.</w:t>
      </w:r>
      <w:r w:rsidRPr="644C647B">
        <w:rPr>
          <w:color w:val="000000" w:themeColor="text1"/>
          <w:vertAlign w:val="superscript"/>
        </w:rPr>
        <w:footnoteReference w:id="65"/>
      </w:r>
      <w:r w:rsidRPr="644C647B">
        <w:rPr>
          <w:color w:val="000000"/>
        </w:rPr>
        <w:t xml:space="preserve"> For example, an 18-year-old student was caned for not enrolling in an optional physics course, while a 6-year-old student was caned to death for arriving late to school.</w:t>
      </w:r>
      <w:r w:rsidRPr="644C647B">
        <w:rPr>
          <w:color w:val="000000" w:themeColor="text1"/>
          <w:vertAlign w:val="superscript"/>
        </w:rPr>
        <w:footnoteReference w:id="66"/>
      </w:r>
      <w:r w:rsidRPr="644C647B">
        <w:rPr>
          <w:color w:val="000000"/>
        </w:rPr>
        <w:t xml:space="preserve"> </w:t>
      </w:r>
    </w:p>
    <w:p w14:paraId="00000043"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The continued use of corporal punishment has serious consequences for the physical, psychological, and educational well-being of children. Past the immediate risk of injury, in some cases, death, evidence shows that corporal punishment contributes to humiliation, fear, anxiety, trauma, and low self-esteem, which weakens trust between children and educators.</w:t>
      </w:r>
      <w:r w:rsidRPr="644C647B">
        <w:rPr>
          <w:color w:val="000000" w:themeColor="text1"/>
          <w:vertAlign w:val="superscript"/>
          <w:lang w:val="en-US"/>
        </w:rPr>
        <w:footnoteReference w:id="67"/>
      </w:r>
      <w:r w:rsidRPr="644C647B">
        <w:rPr>
          <w:color w:val="000000"/>
          <w:lang w:val="en-US"/>
        </w:rPr>
        <w:t xml:space="preserve"> It is further associated with increased aggression, disengagement from learning, absenteeism, and school dropout,</w:t>
      </w:r>
      <w:r w:rsidRPr="644C647B">
        <w:rPr>
          <w:color w:val="000000" w:themeColor="text1"/>
          <w:vertAlign w:val="superscript"/>
          <w:lang w:val="en-US"/>
        </w:rPr>
        <w:footnoteReference w:id="68"/>
      </w:r>
      <w:r w:rsidRPr="644C647B">
        <w:rPr>
          <w:color w:val="000000"/>
          <w:lang w:val="en-US"/>
        </w:rPr>
        <w:t xml:space="preserve"> ultimately compromising children’s rights to education and healthy development. The persistence of corporal punishment in schools not only exposes children to violence but also intensifies harmful environments which undermine their safety, dignity, and psychosocial well-being. </w:t>
      </w:r>
    </w:p>
    <w:p w14:paraId="00000044" w14:textId="77777777" w:rsidR="00FE605E" w:rsidRPr="002F4590" w:rsidRDefault="644C647B" w:rsidP="00BE680E">
      <w:pPr>
        <w:pBdr>
          <w:top w:val="nil"/>
          <w:left w:val="nil"/>
          <w:bottom w:val="nil"/>
          <w:right w:val="nil"/>
          <w:between w:val="nil"/>
        </w:pBdr>
        <w:spacing w:before="240" w:after="240"/>
        <w:ind w:left="720" w:hanging="360"/>
        <w:jc w:val="both"/>
        <w:rPr>
          <w:i/>
          <w:iCs/>
          <w:color w:val="000000"/>
        </w:rPr>
      </w:pPr>
      <w:r w:rsidRPr="002F4590">
        <w:rPr>
          <w:i/>
          <w:iCs/>
          <w:color w:val="000000"/>
        </w:rPr>
        <w:t>Re-Entry of Pregnant Girls into Schools</w:t>
      </w:r>
    </w:p>
    <w:p w14:paraId="43F1E048" w14:textId="77777777" w:rsidR="005D0361" w:rsidRDefault="644C647B" w:rsidP="005D0361">
      <w:pPr>
        <w:numPr>
          <w:ilvl w:val="0"/>
          <w:numId w:val="4"/>
        </w:numPr>
        <w:spacing w:after="120" w:line="259" w:lineRule="auto"/>
        <w:ind w:left="360"/>
        <w:jc w:val="both"/>
        <w:rPr>
          <w:lang w:val="en-US"/>
        </w:rPr>
      </w:pPr>
      <w:r w:rsidRPr="644C647B">
        <w:rPr>
          <w:lang w:val="en-US"/>
        </w:rPr>
        <w:t xml:space="preserve">In a decision from the African Committee of Experts on the Rights and Welfare of the Child found </w:t>
      </w:r>
      <w:r w:rsidRPr="644C647B">
        <w:rPr>
          <w:sz w:val="26"/>
          <w:szCs w:val="26"/>
          <w:lang w:val="en-US"/>
        </w:rPr>
        <w:t xml:space="preserve">that </w:t>
      </w:r>
      <w:r w:rsidRPr="644C647B">
        <w:rPr>
          <w:lang w:val="en-US"/>
        </w:rPr>
        <w:t>Tanzania’s 2013 Basic Education Statistics, it noted 2,433 primary schoolgirls and 4,705 secondary schoolgirls dropped out of school due to pregnancy in 2012. Reports indicate more than 15,000 girls drop out of school every year due to pregnancy. The Complainants alleged that lack of information and services on sexual reproductive health issues has resulted in a high rate of teenage pregnancy and unsafe abortion, as well as a disproportionate risk of teenage pregnant girls’ death in the Respondent State. The committee determined that Tanzania’s prohibition on pregnant girls and young mothers’ school attendance violates the African Charter on the Rights and Welfare of the Child.</w:t>
      </w:r>
      <w:r w:rsidRPr="644C647B">
        <w:rPr>
          <w:vertAlign w:val="superscript"/>
          <w:lang w:val="en-US"/>
        </w:rPr>
        <w:footnoteReference w:id="69"/>
      </w:r>
    </w:p>
    <w:p w14:paraId="00000046" w14:textId="4C1E5D66" w:rsidR="00FE605E" w:rsidRPr="005D0361" w:rsidRDefault="644C647B" w:rsidP="005D0361">
      <w:pPr>
        <w:numPr>
          <w:ilvl w:val="0"/>
          <w:numId w:val="4"/>
        </w:numPr>
        <w:spacing w:after="120" w:line="259" w:lineRule="auto"/>
        <w:ind w:left="360"/>
        <w:jc w:val="both"/>
        <w:rPr>
          <w:lang w:val="en-US"/>
        </w:rPr>
      </w:pPr>
      <w:r w:rsidRPr="005D0361">
        <w:rPr>
          <w:color w:val="000000"/>
          <w:lang w:val="en-US"/>
        </w:rPr>
        <w:t>Existing laws and policies neither adequately address nor facilitate the re-entry of pregnant schoolgirls or adolescent mothers into the education system. Tanzania’s adolescent pregnancy rate reached 21.2% in 2022,</w:t>
      </w:r>
      <w:r w:rsidRPr="644C647B">
        <w:rPr>
          <w:color w:val="000000" w:themeColor="text1"/>
          <w:vertAlign w:val="superscript"/>
          <w:lang w:val="en-US"/>
        </w:rPr>
        <w:footnoteReference w:id="70"/>
      </w:r>
      <w:r w:rsidRPr="005D0361">
        <w:rPr>
          <w:color w:val="000000"/>
          <w:lang w:val="en-US"/>
        </w:rPr>
        <w:t xml:space="preserve"> with approximately one in four girls aged 15-19 dropping out of school due to pregnancy.</w:t>
      </w:r>
      <w:r w:rsidRPr="644C647B">
        <w:rPr>
          <w:color w:val="000000" w:themeColor="text1"/>
          <w:vertAlign w:val="superscript"/>
          <w:lang w:val="en-US"/>
        </w:rPr>
        <w:footnoteReference w:id="71"/>
      </w:r>
      <w:r w:rsidRPr="005D0361">
        <w:rPr>
          <w:color w:val="000000"/>
          <w:lang w:val="en-US"/>
        </w:rPr>
        <w:t xml:space="preserve"> Although re-entry guidelines  allow girls to return within two years, several provisions remain restrictive, such as requiring re-enrollment only at the start of a new academic year.</w:t>
      </w:r>
      <w:r w:rsidRPr="644C647B">
        <w:rPr>
          <w:color w:val="000000" w:themeColor="text1"/>
          <w:vertAlign w:val="superscript"/>
          <w:lang w:val="en-US"/>
        </w:rPr>
        <w:footnoteReference w:id="72"/>
      </w:r>
      <w:r w:rsidRPr="005D0361">
        <w:rPr>
          <w:color w:val="000000"/>
          <w:lang w:val="en-US"/>
        </w:rPr>
        <w:t xml:space="preserve"> Other measures rely heavily on the discretion, capacity, and willingness of individual schools and educators, including responsibilities to provide counseling, ensure a supportive learning environment, and monitor the implementation of guidelines.</w:t>
      </w:r>
      <w:r w:rsidRPr="644C647B">
        <w:rPr>
          <w:color w:val="000000" w:themeColor="text1"/>
          <w:vertAlign w:val="superscript"/>
          <w:lang w:val="en-US"/>
        </w:rPr>
        <w:footnoteReference w:id="73"/>
      </w:r>
      <w:r w:rsidRPr="005D0361">
        <w:rPr>
          <w:color w:val="000000"/>
          <w:lang w:val="en-US"/>
        </w:rPr>
        <w:t xml:space="preserve"> In practice, these policy measures lack clear enforcement mechanisms, leading to significant inconsistencies.</w:t>
      </w:r>
      <w:r w:rsidRPr="644C647B">
        <w:rPr>
          <w:color w:val="000000" w:themeColor="text1"/>
          <w:vertAlign w:val="superscript"/>
          <w:lang w:val="en-US"/>
        </w:rPr>
        <w:footnoteReference w:id="74"/>
      </w:r>
      <w:r w:rsidRPr="005D0361">
        <w:rPr>
          <w:color w:val="000000"/>
          <w:lang w:val="en-US"/>
        </w:rPr>
        <w:t xml:space="preserve"> For example, many educators and school leaders are unaware of these guidelines, interpret them inconsistently, or hesitate to apply them due to fear that they could be perceived as encouraging early sexual activity.</w:t>
      </w:r>
      <w:r w:rsidRPr="644C647B">
        <w:rPr>
          <w:color w:val="000000" w:themeColor="text1"/>
          <w:vertAlign w:val="superscript"/>
          <w:lang w:val="en-US"/>
        </w:rPr>
        <w:footnoteReference w:id="75"/>
      </w:r>
      <w:r w:rsidRPr="005D0361">
        <w:rPr>
          <w:color w:val="000000"/>
          <w:lang w:val="en-US"/>
        </w:rPr>
        <w:t xml:space="preserve"> While NGO interventions have supported the reintegration of over 22,844 adolescent mothers into schools by 2024,</w:t>
      </w:r>
      <w:r w:rsidRPr="644C647B">
        <w:rPr>
          <w:color w:val="000000" w:themeColor="text1"/>
          <w:vertAlign w:val="superscript"/>
          <w:lang w:val="en-US"/>
        </w:rPr>
        <w:footnoteReference w:id="76"/>
      </w:r>
      <w:r w:rsidRPr="005D0361">
        <w:rPr>
          <w:color w:val="000000"/>
          <w:lang w:val="en-US"/>
        </w:rPr>
        <w:t xml:space="preserve"> a large number of girls remain out of school, reflecting weak monitoring systems, insufficient financial and human resources, and the absence of trained counselors to support returning students.</w:t>
      </w:r>
      <w:r w:rsidRPr="644C647B">
        <w:rPr>
          <w:color w:val="000000" w:themeColor="text1"/>
          <w:vertAlign w:val="superscript"/>
          <w:lang w:val="en-US"/>
        </w:rPr>
        <w:footnoteReference w:id="77"/>
      </w:r>
      <w:r w:rsidRPr="005D0361">
        <w:rPr>
          <w:color w:val="000000"/>
          <w:lang w:val="en-US"/>
        </w:rPr>
        <w:t xml:space="preserve"> </w:t>
      </w:r>
    </w:p>
    <w:p w14:paraId="00000047" w14:textId="77777777" w:rsidR="00FE605E" w:rsidRDefault="644C647B" w:rsidP="005D0361">
      <w:pPr>
        <w:numPr>
          <w:ilvl w:val="0"/>
          <w:numId w:val="4"/>
        </w:numPr>
        <w:pBdr>
          <w:top w:val="nil"/>
          <w:left w:val="nil"/>
          <w:bottom w:val="nil"/>
          <w:right w:val="nil"/>
          <w:between w:val="nil"/>
        </w:pBdr>
        <w:spacing w:after="120" w:line="259" w:lineRule="auto"/>
        <w:ind w:left="360"/>
        <w:jc w:val="both"/>
      </w:pPr>
      <w:r w:rsidRPr="644C647B">
        <w:rPr>
          <w:color w:val="000000"/>
        </w:rPr>
        <w:t>Social and structural barriers further undermine the effective re-entry and retention of adolescent mothers. Many of these girls face ridicule, discrimination, and judgment from peers, community members, and even teachers, leading to lower self -esteem, increased anxiety, and social isolation.</w:t>
      </w:r>
      <w:r w:rsidRPr="644C647B">
        <w:rPr>
          <w:color w:val="000000" w:themeColor="text1"/>
          <w:vertAlign w:val="superscript"/>
        </w:rPr>
        <w:footnoteReference w:id="78"/>
      </w:r>
      <w:r w:rsidRPr="644C647B">
        <w:rPr>
          <w:color w:val="000000"/>
        </w:rPr>
        <w:t xml:space="preserve"> Negative attitudes and hostile comments from school staff create an unwelcoming environment that discourages continued attendance.</w:t>
      </w:r>
      <w:r w:rsidRPr="644C647B">
        <w:rPr>
          <w:color w:val="000000" w:themeColor="text1"/>
          <w:vertAlign w:val="superscript"/>
        </w:rPr>
        <w:footnoteReference w:id="79"/>
      </w:r>
      <w:r w:rsidRPr="644C647B">
        <w:rPr>
          <w:color w:val="000000"/>
        </w:rPr>
        <w:t xml:space="preserve"> Families may also pressure girls not to return to school due to shame or fear of community backlash.</w:t>
      </w:r>
      <w:r w:rsidRPr="644C647B">
        <w:rPr>
          <w:color w:val="000000" w:themeColor="text1"/>
          <w:vertAlign w:val="superscript"/>
        </w:rPr>
        <w:footnoteReference w:id="80"/>
      </w:r>
      <w:r w:rsidRPr="644C647B">
        <w:rPr>
          <w:color w:val="000000"/>
        </w:rPr>
        <w:t xml:space="preserve"> For low-income girls who attempt to re-enter schooling, financial constraints related to uniforms, textbooks, and transportation significantly increase the likelihood of permanent dropout.</w:t>
      </w:r>
      <w:r w:rsidRPr="644C647B">
        <w:rPr>
          <w:color w:val="000000" w:themeColor="text1"/>
          <w:vertAlign w:val="superscript"/>
        </w:rPr>
        <w:footnoteReference w:id="81"/>
      </w:r>
    </w:p>
    <w:p w14:paraId="1C1DE385" w14:textId="77777777" w:rsidR="00D90ADC" w:rsidRDefault="644C647B" w:rsidP="005D0361">
      <w:pPr>
        <w:numPr>
          <w:ilvl w:val="0"/>
          <w:numId w:val="4"/>
        </w:numPr>
        <w:pBdr>
          <w:top w:val="nil"/>
          <w:left w:val="nil"/>
          <w:bottom w:val="nil"/>
          <w:right w:val="nil"/>
          <w:between w:val="nil"/>
        </w:pBdr>
        <w:spacing w:after="120" w:line="259" w:lineRule="auto"/>
        <w:ind w:left="360"/>
        <w:jc w:val="both"/>
        <w:rPr>
          <w:lang w:val="en-US"/>
        </w:rPr>
      </w:pPr>
      <w:r w:rsidRPr="644C647B">
        <w:rPr>
          <w:color w:val="000000"/>
          <w:lang w:val="en-US"/>
        </w:rPr>
        <w:t>Childcare responsibilities constitute one of the most significant obstacles. Adolescent mothers frequently lack access to reliable and affordable childcare, often relying on informal arrangements that are unstable and incompatible with school schedules.</w:t>
      </w:r>
      <w:r w:rsidRPr="644C647B">
        <w:rPr>
          <w:color w:val="000000" w:themeColor="text1"/>
          <w:vertAlign w:val="superscript"/>
          <w:lang w:val="en-US"/>
        </w:rPr>
        <w:footnoteReference w:id="82"/>
      </w:r>
      <w:r w:rsidRPr="644C647B">
        <w:rPr>
          <w:color w:val="000000"/>
          <w:lang w:val="en-US"/>
        </w:rPr>
        <w:t xml:space="preserve"> Even when they return, many struggle to keep up academically due to competing caregiving demands, fatigue, and limited study time, which increases stress and undermines educational outcomes.</w:t>
      </w:r>
      <w:r w:rsidRPr="644C647B">
        <w:rPr>
          <w:color w:val="000000" w:themeColor="text1"/>
          <w:vertAlign w:val="superscript"/>
          <w:lang w:val="en-US"/>
        </w:rPr>
        <w:footnoteReference w:id="83"/>
      </w:r>
      <w:r w:rsidRPr="644C647B">
        <w:rPr>
          <w:color w:val="000000"/>
          <w:lang w:val="en-US"/>
        </w:rPr>
        <w:t xml:space="preserve"> For girls living far from the few schools that admit adolescent mothers, these cumulative challenges further erode the likelihood of long-term retention.</w:t>
      </w:r>
      <w:r w:rsidRPr="644C647B">
        <w:rPr>
          <w:color w:val="000000" w:themeColor="text1"/>
          <w:vertAlign w:val="superscript"/>
          <w:lang w:val="en-US"/>
        </w:rPr>
        <w:footnoteReference w:id="84"/>
      </w:r>
    </w:p>
    <w:p w14:paraId="00000049" w14:textId="23F8D55C" w:rsidR="00FE605E" w:rsidRPr="00D90ADC" w:rsidRDefault="644C647B" w:rsidP="00BE680E">
      <w:pPr>
        <w:numPr>
          <w:ilvl w:val="0"/>
          <w:numId w:val="4"/>
        </w:numPr>
        <w:pBdr>
          <w:top w:val="nil"/>
          <w:left w:val="nil"/>
          <w:bottom w:val="nil"/>
          <w:right w:val="nil"/>
          <w:between w:val="nil"/>
        </w:pBdr>
        <w:spacing w:after="120" w:line="259" w:lineRule="auto"/>
        <w:ind w:left="360"/>
        <w:jc w:val="both"/>
        <w:rPr>
          <w:lang w:val="en-US"/>
        </w:rPr>
      </w:pPr>
      <w:r w:rsidRPr="00D90ADC">
        <w:rPr>
          <w:b/>
          <w:bCs/>
          <w:color w:val="000000"/>
        </w:rPr>
        <w:t>Suggested recommendations</w:t>
      </w:r>
      <w:r w:rsidR="00D90ADC" w:rsidRPr="00D90ADC">
        <w:rPr>
          <w:b/>
          <w:bCs/>
          <w:color w:val="000000"/>
        </w:rPr>
        <w:t xml:space="preserve"> </w:t>
      </w:r>
      <w:r w:rsidR="00D90ADC" w:rsidRPr="00D90ADC">
        <w:rPr>
          <w:color w:val="000000"/>
        </w:rPr>
        <w:t>related to access to education</w:t>
      </w:r>
      <w:r w:rsidRPr="00D90ADC">
        <w:rPr>
          <w:color w:val="000000"/>
        </w:rPr>
        <w:t xml:space="preserve">: </w:t>
      </w:r>
    </w:p>
    <w:p w14:paraId="0000004A"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Repeal the Education (Corporal Punishment) Regulations and amend the Law of the Child Act 2009, the Education Act, No. 25 of 1978, and all related regulations to explicitly prohibit and criminalize corporal punishment in school settings. </w:t>
      </w:r>
    </w:p>
    <w:p w14:paraId="0000004B"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Adopt and implement positive discipline policies and guidelines in school settings, including mandatory non-violent and child-sensitive disciplinary training for teachers and school administrators. </w:t>
      </w:r>
    </w:p>
    <w:p w14:paraId="0000004C"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lang w:val="en-US"/>
        </w:rPr>
      </w:pPr>
      <w:r w:rsidRPr="644C647B">
        <w:rPr>
          <w:color w:val="000000"/>
          <w:lang w:val="en-US"/>
        </w:rPr>
        <w:t xml:space="preserve">Expand nationwide awareness campaigns targeting teachers and communities to challenge social acceptance of corporal punishment, and undertake measures to promote non-violent discipline. </w:t>
      </w:r>
    </w:p>
    <w:p w14:paraId="0000004D"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lang w:val="en-US"/>
        </w:rPr>
      </w:pPr>
      <w:r w:rsidRPr="644C647B">
        <w:rPr>
          <w:color w:val="000000"/>
          <w:lang w:val="en-US"/>
        </w:rPr>
        <w:t xml:space="preserve">Strengthen oversight, accountability, and complaint mechanisms in schools, including confidential child-friendly reporting systems and prompt investigation of allegations involving corporal punishment and violence by teachers.  </w:t>
      </w:r>
    </w:p>
    <w:p w14:paraId="0000004E"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lang w:val="en-US"/>
        </w:rPr>
      </w:pPr>
      <w:r w:rsidRPr="644C647B">
        <w:rPr>
          <w:color w:val="000000"/>
          <w:lang w:val="en-US"/>
        </w:rPr>
        <w:t xml:space="preserve">Amend the Education Act and its regulations to guarantee the right of pregnant learners and adolescent mothers to remain in or return to school and eliminate restrictive re-entry conditions, including start windows, and establish clear implementation and accountability mechanisms to ensure consistent application across all schools. </w:t>
      </w:r>
    </w:p>
    <w:p w14:paraId="0000004F" w14:textId="5EA179B5" w:rsidR="00FE605E" w:rsidRDefault="027DA094" w:rsidP="00BE680E">
      <w:pPr>
        <w:numPr>
          <w:ilvl w:val="1"/>
          <w:numId w:val="4"/>
        </w:numPr>
        <w:spacing w:after="120" w:line="259" w:lineRule="auto"/>
        <w:ind w:left="720"/>
        <w:rPr>
          <w:lang w:val="en-US"/>
        </w:rPr>
      </w:pPr>
      <w:r w:rsidRPr="644C647B">
        <w:rPr>
          <w:lang w:val="en-US"/>
        </w:rPr>
        <w:t>Prohibit</w:t>
      </w:r>
      <w:r w:rsidR="009508CA">
        <w:rPr>
          <w:lang w:val="en-US"/>
        </w:rPr>
        <w:t xml:space="preserve"> mandatory</w:t>
      </w:r>
      <w:r w:rsidRPr="644C647B">
        <w:rPr>
          <w:lang w:val="en-US"/>
        </w:rPr>
        <w:t xml:space="preserve"> pregnancy testing in schools and health facilities and publicly announce the prohibition. </w:t>
      </w:r>
    </w:p>
    <w:p w14:paraId="00000050" w14:textId="77777777" w:rsidR="00FE605E" w:rsidRDefault="644C647B" w:rsidP="00BE680E">
      <w:pPr>
        <w:numPr>
          <w:ilvl w:val="1"/>
          <w:numId w:val="4"/>
        </w:numPr>
        <w:spacing w:after="120" w:line="259" w:lineRule="auto"/>
        <w:ind w:left="720"/>
        <w:rPr>
          <w:lang w:val="en-US"/>
        </w:rPr>
      </w:pPr>
      <w:r w:rsidRPr="644C647B">
        <w:rPr>
          <w:lang w:val="en-US"/>
        </w:rPr>
        <w:t xml:space="preserve">Review the Education (Expulsion and Exclusion of Pupils from School) Regulations, 2002 and clarify that “morality” cannot be used to justify expelling pregnant girls. Take effective measures to halt and prevent the expulsion of pregnant and married girls from schools with appropriate policies and training. Provide clear guidance to school administrators that girls who leave school due to pregnancy or marriage should be able to return without preconditions. </w:t>
      </w:r>
    </w:p>
    <w:p w14:paraId="00000051" w14:textId="77777777" w:rsidR="00FE605E" w:rsidRDefault="644C647B" w:rsidP="00BE680E">
      <w:pPr>
        <w:numPr>
          <w:ilvl w:val="1"/>
          <w:numId w:val="4"/>
        </w:numPr>
        <w:spacing w:after="120" w:line="259" w:lineRule="auto"/>
        <w:ind w:left="720"/>
      </w:pPr>
      <w:r w:rsidRPr="644C647B">
        <w:t>In line with the above recommendation, take immediate steps to fully and effectively implement the African Committee of Experts on the Rights and Welfare of the Child’s decision finding the state’s ban on school attendance by pregnant girls and young mothers violates the African Charter on the Rights and Welfare of the Child.</w:t>
      </w:r>
    </w:p>
    <w:p w14:paraId="00000052"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Implement mandatory stigma-reduction and gender-responsive training for teachers, school administrators, and community leaders to ensure pregnant students and adolescent mothers experience a safe and supportive learning environment. </w:t>
      </w:r>
    </w:p>
    <w:p w14:paraId="00000053"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lang w:val="en-US"/>
        </w:rPr>
      </w:pPr>
      <w:r w:rsidRPr="644C647B">
        <w:rPr>
          <w:color w:val="000000"/>
          <w:lang w:val="en-US"/>
        </w:rPr>
        <w:t>Establish adequate financial support programs, such as fee waivers, provision of uniforms, textbooks, and transport subsidies to address economic barriers faced by adolescent mothers seeking to continue their education.</w:t>
      </w:r>
    </w:p>
    <w:p w14:paraId="00000054" w14:textId="77777777" w:rsidR="00FE605E" w:rsidRPr="00654C49"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Expand access to affordable and reliable childcare services to enable adolescent mothers to attend class consistently and balance caregiving responsibilities with their education and undertake measures to provide financial support for childcare to support mothers re-entering school. </w:t>
      </w:r>
    </w:p>
    <w:p w14:paraId="00000055" w14:textId="57A0BC19" w:rsidR="00FE605E" w:rsidRPr="00654C49" w:rsidRDefault="00654C49" w:rsidP="005D0361">
      <w:pPr>
        <w:numPr>
          <w:ilvl w:val="1"/>
          <w:numId w:val="4"/>
        </w:numPr>
        <w:pBdr>
          <w:top w:val="nil"/>
          <w:left w:val="nil"/>
          <w:bottom w:val="nil"/>
          <w:right w:val="nil"/>
          <w:between w:val="nil"/>
        </w:pBdr>
        <w:spacing w:after="120" w:line="259" w:lineRule="auto"/>
        <w:ind w:left="720"/>
        <w:jc w:val="both"/>
        <w:rPr>
          <w:color w:val="000000" w:themeColor="text1"/>
          <w:lang w:val="en-US"/>
        </w:rPr>
      </w:pPr>
      <w:r w:rsidRPr="4384C3B5">
        <w:rPr>
          <w:color w:val="000000" w:themeColor="text1"/>
          <w:lang w:val="en-US"/>
        </w:rPr>
        <w:t>Provide sexuality education to adolescent girls and boys.</w:t>
      </w:r>
    </w:p>
    <w:p w14:paraId="00000056" w14:textId="00D87ADC" w:rsidR="00FE605E" w:rsidRPr="00986AC4" w:rsidRDefault="644C647B" w:rsidP="0093467F">
      <w:pPr>
        <w:pStyle w:val="ListParagraph"/>
        <w:numPr>
          <w:ilvl w:val="0"/>
          <w:numId w:val="1"/>
        </w:numPr>
        <w:pBdr>
          <w:top w:val="nil"/>
          <w:left w:val="nil"/>
          <w:bottom w:val="nil"/>
          <w:right w:val="nil"/>
          <w:between w:val="nil"/>
        </w:pBdr>
        <w:spacing w:before="240" w:after="240"/>
        <w:ind w:left="907"/>
        <w:rPr>
          <w:b/>
          <w:bCs/>
          <w:color w:val="000000"/>
        </w:rPr>
      </w:pPr>
      <w:r w:rsidRPr="00986AC4">
        <w:rPr>
          <w:b/>
          <w:bCs/>
          <w:color w:val="000000"/>
        </w:rPr>
        <w:t>Violence against Children: Sexual Abuse Across Home, School, Online, and Community Settings (</w:t>
      </w:r>
      <w:r w:rsidR="003463DD">
        <w:rPr>
          <w:b/>
          <w:bCs/>
          <w:color w:val="000000"/>
        </w:rPr>
        <w:t>List of Issues, paras.</w:t>
      </w:r>
      <w:r w:rsidR="00AA25C6">
        <w:rPr>
          <w:b/>
          <w:bCs/>
          <w:color w:val="000000"/>
        </w:rPr>
        <w:t xml:space="preserve"> 7</w:t>
      </w:r>
      <w:r w:rsidR="00D05C18">
        <w:rPr>
          <w:b/>
          <w:bCs/>
          <w:color w:val="000000"/>
        </w:rPr>
        <w:t>, 13(e),</w:t>
      </w:r>
      <w:r w:rsidR="00415909">
        <w:rPr>
          <w:b/>
          <w:bCs/>
          <w:color w:val="000000"/>
        </w:rPr>
        <w:t xml:space="preserve"> 18(a);</w:t>
      </w:r>
      <w:r w:rsidR="003463DD">
        <w:rPr>
          <w:b/>
          <w:bCs/>
          <w:color w:val="000000"/>
        </w:rPr>
        <w:t xml:space="preserve"> CRC, </w:t>
      </w:r>
      <w:r w:rsidRPr="00986AC4">
        <w:rPr>
          <w:b/>
          <w:bCs/>
          <w:color w:val="000000"/>
        </w:rPr>
        <w:t>arts. 16, 19, 34, and 35)</w:t>
      </w:r>
    </w:p>
    <w:p w14:paraId="00000057" w14:textId="62B627F8"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In its Concluding Observations, the Committee urged Tanzania to take the necessary measures to address the root causes of abuse as well as to enforce relevant legislation, policies, and programs to combat the trafficking of children.</w:t>
      </w:r>
      <w:r w:rsidRPr="644C647B">
        <w:rPr>
          <w:color w:val="000000" w:themeColor="text1"/>
          <w:vertAlign w:val="superscript"/>
          <w:lang w:val="en-US"/>
        </w:rPr>
        <w:footnoteReference w:id="85"/>
      </w:r>
      <w:r w:rsidR="000A53BD">
        <w:rPr>
          <w:color w:val="000000"/>
          <w:lang w:val="en-US"/>
        </w:rPr>
        <w:t xml:space="preserve"> In its List of Issues, the Committee</w:t>
      </w:r>
      <w:r w:rsidR="00833C26">
        <w:rPr>
          <w:color w:val="000000"/>
          <w:lang w:val="en-US"/>
        </w:rPr>
        <w:t xml:space="preserve"> requested information on </w:t>
      </w:r>
      <w:r w:rsidR="009B741A">
        <w:rPr>
          <w:color w:val="000000"/>
          <w:lang w:val="en-US"/>
        </w:rPr>
        <w:t>actions</w:t>
      </w:r>
      <w:r w:rsidR="00833C26">
        <w:rPr>
          <w:color w:val="000000"/>
          <w:lang w:val="en-US"/>
        </w:rPr>
        <w:t xml:space="preserve"> to end violence against children in schools and</w:t>
      </w:r>
      <w:r w:rsidR="000A53BD">
        <w:rPr>
          <w:color w:val="000000"/>
          <w:lang w:val="en-US"/>
        </w:rPr>
        <w:t xml:space="preserve"> called for information on measures undertaken to decrease violence against children, including sexual violence, within families, in school, and online.</w:t>
      </w:r>
      <w:r w:rsidR="000A53BD">
        <w:rPr>
          <w:rStyle w:val="FootnoteReference"/>
          <w:color w:val="000000"/>
          <w:lang w:val="en-US"/>
        </w:rPr>
        <w:footnoteReference w:id="86"/>
      </w:r>
      <w:r w:rsidRPr="644C647B">
        <w:rPr>
          <w:color w:val="000000"/>
          <w:lang w:val="en-US"/>
        </w:rPr>
        <w:t xml:space="preserve"> Beyond these general calls to address gender-based violence, there is no mention of combating technology-based gender-based violence (TFGBV). </w:t>
      </w:r>
    </w:p>
    <w:p w14:paraId="00000058"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In its State Party Report, the government outlined the steps taken to address child trafficking, including developing regulations for the Anti-Trafficking in Persons Act and training on how to provide assistance to child victims of trafficking.</w:t>
      </w:r>
      <w:r w:rsidRPr="644C647B">
        <w:rPr>
          <w:color w:val="000000" w:themeColor="text1"/>
          <w:vertAlign w:val="superscript"/>
          <w:lang w:val="en-US"/>
        </w:rPr>
        <w:footnoteReference w:id="87"/>
      </w:r>
      <w:r w:rsidRPr="644C647B">
        <w:rPr>
          <w:color w:val="000000"/>
          <w:lang w:val="en-US"/>
        </w:rPr>
        <w:t xml:space="preserve"> Regarding child abuse, the State Party provided details of awareness campaigns focused on ending the stigmatization of child survivors of sexual violence.</w:t>
      </w:r>
      <w:r w:rsidRPr="644C647B">
        <w:rPr>
          <w:color w:val="000000" w:themeColor="text1"/>
          <w:vertAlign w:val="superscript"/>
          <w:lang w:val="en-US"/>
        </w:rPr>
        <w:footnoteReference w:id="88"/>
      </w:r>
    </w:p>
    <w:p w14:paraId="00000059" w14:textId="77777777" w:rsidR="00FE605E" w:rsidRPr="008A3A01" w:rsidRDefault="644C647B" w:rsidP="0093467F">
      <w:pPr>
        <w:keepNext/>
        <w:pBdr>
          <w:top w:val="nil"/>
          <w:left w:val="nil"/>
          <w:bottom w:val="nil"/>
          <w:right w:val="nil"/>
          <w:between w:val="nil"/>
        </w:pBdr>
        <w:spacing w:before="240" w:after="240"/>
        <w:ind w:left="720" w:hanging="360"/>
        <w:rPr>
          <w:i/>
          <w:iCs/>
          <w:color w:val="000000"/>
        </w:rPr>
      </w:pPr>
      <w:r w:rsidRPr="008A3A01">
        <w:rPr>
          <w:i/>
          <w:iCs/>
          <w:color w:val="000000"/>
        </w:rPr>
        <w:t>Sexual Abuse, Exploitation, and Trafficking of Children</w:t>
      </w:r>
    </w:p>
    <w:p w14:paraId="0000005A"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Sexual violence remains one of the most prevalent forms of violence against children in Tanzania and disproportionately affects girls. In 2024, LHRC documented 602 incidents of violence against children (VAC), of which 69% involved sexual violence, including rape and sodomy.</w:t>
      </w:r>
      <w:r w:rsidRPr="644C647B">
        <w:rPr>
          <w:color w:val="000000" w:themeColor="text1"/>
          <w:vertAlign w:val="superscript"/>
          <w:lang w:val="en-US"/>
        </w:rPr>
        <w:footnoteReference w:id="89"/>
      </w:r>
      <w:r w:rsidRPr="644C647B">
        <w:rPr>
          <w:color w:val="000000"/>
          <w:lang w:val="en-US"/>
        </w:rPr>
        <w:t xml:space="preserve"> On average, 13,708 incidents of VAC are reported annually, with girls accounting for 80% of victims and survivors, with rape constituting approximately half of all reported cases. Although girls are disproportionately affected by rape and sexual exploitation, boys face heightened vulnerability to sodomy, accounting for 80% of reported victims.</w:t>
      </w:r>
      <w:r w:rsidRPr="644C647B">
        <w:rPr>
          <w:color w:val="000000" w:themeColor="text1"/>
          <w:vertAlign w:val="superscript"/>
          <w:lang w:val="en-US"/>
        </w:rPr>
        <w:footnoteReference w:id="90"/>
      </w:r>
      <w:r w:rsidRPr="644C647B">
        <w:rPr>
          <w:color w:val="000000"/>
          <w:lang w:val="en-US"/>
        </w:rPr>
        <w:t xml:space="preserve"> The prevalence of sexual violence continues to undermine children’s rights to safety, bodily integrity, education, and health development. </w:t>
      </w:r>
    </w:p>
    <w:p w14:paraId="0000005B" w14:textId="77777777" w:rsidR="00FE605E" w:rsidRDefault="644C647B" w:rsidP="0093467F">
      <w:pPr>
        <w:numPr>
          <w:ilvl w:val="0"/>
          <w:numId w:val="4"/>
        </w:numPr>
        <w:pBdr>
          <w:top w:val="nil"/>
          <w:left w:val="nil"/>
          <w:bottom w:val="nil"/>
          <w:right w:val="nil"/>
          <w:between w:val="nil"/>
        </w:pBdr>
        <w:spacing w:after="120" w:line="259" w:lineRule="auto"/>
        <w:ind w:left="360"/>
        <w:jc w:val="both"/>
        <w:rPr>
          <w:color w:val="000000" w:themeColor="text1"/>
        </w:rPr>
      </w:pPr>
      <w:r w:rsidRPr="644C647B">
        <w:rPr>
          <w:color w:val="000000"/>
        </w:rPr>
        <w:t>Children living in vulnerable circumstances, including the streets, encounter heightened risks of sexual exploitation and trafficking.</w:t>
      </w:r>
      <w:r w:rsidRPr="644C647B">
        <w:rPr>
          <w:color w:val="000000" w:themeColor="text1"/>
          <w:vertAlign w:val="superscript"/>
        </w:rPr>
        <w:footnoteReference w:id="91"/>
      </w:r>
      <w:r w:rsidRPr="644C647B">
        <w:rPr>
          <w:color w:val="000000"/>
        </w:rPr>
        <w:t xml:space="preserve"> In 2024, LHRC documented 14 trafficking incidents, of which 10 involved children.</w:t>
      </w:r>
      <w:r w:rsidRPr="644C647B">
        <w:rPr>
          <w:color w:val="000000" w:themeColor="text1"/>
          <w:vertAlign w:val="superscript"/>
        </w:rPr>
        <w:footnoteReference w:id="92"/>
      </w:r>
      <w:r w:rsidRPr="644C647B">
        <w:rPr>
          <w:color w:val="000000"/>
        </w:rPr>
        <w:t xml:space="preserve"> Research from Tanzania and Kenya shows that rape is common among children living on the streets,</w:t>
      </w:r>
      <w:r w:rsidRPr="644C647B">
        <w:rPr>
          <w:color w:val="000000" w:themeColor="text1"/>
          <w:vertAlign w:val="superscript"/>
        </w:rPr>
        <w:footnoteReference w:id="93"/>
      </w:r>
      <w:r w:rsidRPr="644C647B">
        <w:rPr>
          <w:color w:val="000000"/>
        </w:rPr>
        <w:t xml:space="preserve"> especially affecting girls, who often engage in transactional sex to secure food, shelter, protection, or income.</w:t>
      </w:r>
      <w:r w:rsidRPr="644C647B">
        <w:rPr>
          <w:color w:val="000000" w:themeColor="text1"/>
          <w:vertAlign w:val="superscript"/>
        </w:rPr>
        <w:footnoteReference w:id="94"/>
      </w:r>
      <w:r w:rsidRPr="644C647B">
        <w:rPr>
          <w:color w:val="000000"/>
        </w:rPr>
        <w:t xml:space="preserve"> Traffickers target impoverished children, orphans, children with disabilities, and girls fleeing abuse or forced marriage, often luring them with false promises of education, employment, or improved living conditions before forcing them into domestic servitude, forced labor, or sex trafficking in urban centers and border areas.</w:t>
      </w:r>
      <w:r w:rsidRPr="644C647B">
        <w:rPr>
          <w:color w:val="000000" w:themeColor="text1"/>
          <w:vertAlign w:val="superscript"/>
        </w:rPr>
        <w:footnoteReference w:id="95"/>
      </w:r>
      <w:r w:rsidRPr="644C647B">
        <w:rPr>
          <w:color w:val="000000"/>
        </w:rPr>
        <w:t xml:space="preserve"> </w:t>
      </w:r>
    </w:p>
    <w:p w14:paraId="0000005C" w14:textId="77777777" w:rsidR="00FE605E" w:rsidRDefault="644C647B" w:rsidP="0093467F">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Despite the scale of abuse, accountability and protection gaps persist. Although children accounted for 85% of reported cases of gender-based violence in 2025, only 7.7% of cases resulted in convictions.</w:t>
      </w:r>
      <w:r w:rsidRPr="644C647B">
        <w:rPr>
          <w:color w:val="000000" w:themeColor="text1"/>
          <w:vertAlign w:val="superscript"/>
          <w:lang w:val="en-US"/>
        </w:rPr>
        <w:footnoteReference w:id="96"/>
      </w:r>
      <w:r w:rsidRPr="644C647B">
        <w:rPr>
          <w:color w:val="000000"/>
          <w:lang w:val="en-US"/>
        </w:rPr>
        <w:t xml:space="preserve"> These accountability gaps can be attributed to structural barriers that continue undermining children’s protection from sexual abuse and trafficking. Limited access to child protection services, inadequate psychosocial and mental health support, low public awareness of trafficking risks, and underfunded implementation of the National Plan of Action to End Violence Against Women and Children weaken prevention and response efforts.</w:t>
      </w:r>
      <w:r w:rsidRPr="644C647B">
        <w:rPr>
          <w:color w:val="000000" w:themeColor="text1"/>
          <w:vertAlign w:val="superscript"/>
          <w:lang w:val="en-US"/>
        </w:rPr>
        <w:footnoteReference w:id="97"/>
      </w:r>
      <w:r w:rsidRPr="644C647B">
        <w:rPr>
          <w:color w:val="000000"/>
          <w:lang w:val="en-US"/>
        </w:rPr>
        <w:t xml:space="preserve"> These vulnerabilities are aggravated by low birth registration rates, with only 19% of births nationally registered, leaving many children without legal identity or effective access to healthcare, education, and justice.</w:t>
      </w:r>
      <w:r w:rsidRPr="644C647B">
        <w:rPr>
          <w:color w:val="000000" w:themeColor="text1"/>
          <w:vertAlign w:val="superscript"/>
          <w:lang w:val="en-US"/>
        </w:rPr>
        <w:footnoteReference w:id="98"/>
      </w:r>
      <w:r w:rsidRPr="644C647B">
        <w:rPr>
          <w:color w:val="000000"/>
          <w:lang w:val="en-US"/>
        </w:rPr>
        <w:t xml:space="preserve"> As a result, many children, particularly street children, remain invisible to protection systems and highly vulnerable to continued exploitation and abuse.</w:t>
      </w:r>
    </w:p>
    <w:p w14:paraId="0000005D" w14:textId="77777777" w:rsidR="00FE605E" w:rsidRPr="008A3A01" w:rsidRDefault="644C647B" w:rsidP="0093467F">
      <w:pPr>
        <w:pBdr>
          <w:top w:val="nil"/>
          <w:left w:val="nil"/>
          <w:bottom w:val="nil"/>
          <w:right w:val="nil"/>
          <w:between w:val="nil"/>
        </w:pBdr>
        <w:spacing w:before="240" w:after="240"/>
        <w:ind w:left="720" w:hanging="360"/>
        <w:jc w:val="both"/>
        <w:rPr>
          <w:i/>
          <w:iCs/>
          <w:color w:val="000000"/>
        </w:rPr>
      </w:pPr>
      <w:r w:rsidRPr="008A3A01">
        <w:rPr>
          <w:i/>
          <w:iCs/>
          <w:color w:val="000000"/>
        </w:rPr>
        <w:t xml:space="preserve">Technology-Facilitated Gender-Based Violence (TFGBV) </w:t>
      </w:r>
    </w:p>
    <w:p w14:paraId="0000005E"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The rapid expansion of internet access in Tanzania has significantly increased children’s exposure to online harms, including technology-facilitated sexual violence and online child sexual exploitation and abuse (OCSEA). Cyberviolence is on the rise, with 261 incidents recorded in 2024, an increase from 2022 rates of 174 offenses.</w:t>
      </w:r>
      <w:r w:rsidRPr="644C647B">
        <w:rPr>
          <w:color w:val="000000" w:themeColor="text1"/>
          <w:vertAlign w:val="superscript"/>
          <w:lang w:val="en-US"/>
        </w:rPr>
        <w:footnoteReference w:id="99"/>
      </w:r>
      <w:r w:rsidRPr="644C647B">
        <w:rPr>
          <w:color w:val="000000"/>
          <w:lang w:val="en-US"/>
        </w:rPr>
        <w:t xml:space="preserve"> Evidence from the National Center for Missing and Exploited Children further underscores the scale of the issues, with 20,625 CyberTips related to Tanzania between 2017 and 2019. Most of these cases involved suspected child sexual abuse material being circulated on social media platforms like Facebook.</w:t>
      </w:r>
      <w:r w:rsidRPr="644C647B">
        <w:rPr>
          <w:color w:val="000000" w:themeColor="text1"/>
          <w:vertAlign w:val="superscript"/>
          <w:lang w:val="en-US"/>
        </w:rPr>
        <w:footnoteReference w:id="100"/>
      </w:r>
      <w:r w:rsidRPr="644C647B">
        <w:rPr>
          <w:color w:val="000000"/>
          <w:lang w:val="en-US"/>
        </w:rPr>
        <w:t xml:space="preserve"> </w:t>
      </w:r>
    </w:p>
    <w:p w14:paraId="0000005F"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rPr>
      </w:pPr>
      <w:r w:rsidRPr="644C647B">
        <w:rPr>
          <w:color w:val="000000"/>
        </w:rPr>
        <w:t>Many children in Tanzania are exposed to online grooming, sextortion, exposure to child sexual abuse material, unsolicited sexual requests, and demands for sexual images. National research indicates that 6% of children have received unwanted sexual requests online, 3% have been asked to share sexual images, and 2-3% have been offered money or gifts in exchange for sexual content or acts.</w:t>
      </w:r>
      <w:r w:rsidRPr="644C647B">
        <w:rPr>
          <w:color w:val="000000" w:themeColor="text1"/>
          <w:vertAlign w:val="superscript"/>
        </w:rPr>
        <w:footnoteReference w:id="101"/>
      </w:r>
      <w:r w:rsidRPr="644C647B">
        <w:rPr>
          <w:color w:val="000000"/>
        </w:rPr>
        <w:t xml:space="preserve"> The 2024 Tanzania Violence Against Children and Youth Survey further shows that among internet-using children, only 1.0% of girls and 4.7% of boys reported experiencing unwanted technology-facilitated sexual experiences in the past year.</w:t>
      </w:r>
      <w:r w:rsidRPr="644C647B">
        <w:rPr>
          <w:color w:val="000000" w:themeColor="text1"/>
          <w:vertAlign w:val="superscript"/>
        </w:rPr>
        <w:footnoteReference w:id="102"/>
      </w:r>
      <w:r w:rsidRPr="644C647B">
        <w:rPr>
          <w:color w:val="000000"/>
        </w:rPr>
        <w:t xml:space="preserve"> In addition, approximately 58% of secondary school teenagers have reported experiencing some form of online victimization at some point,</w:t>
      </w:r>
      <w:r w:rsidRPr="644C647B">
        <w:rPr>
          <w:color w:val="000000" w:themeColor="text1"/>
          <w:vertAlign w:val="superscript"/>
        </w:rPr>
        <w:footnoteReference w:id="103"/>
      </w:r>
      <w:r w:rsidRPr="644C647B">
        <w:rPr>
          <w:color w:val="000000"/>
        </w:rPr>
        <w:t xml:space="preserve"> indicating the digital harm extends beyond formally reported TFGBV cases.  </w:t>
      </w:r>
    </w:p>
    <w:p w14:paraId="00000060"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Despite the prevalence of online harm, most cases remain unreported.</w:t>
      </w:r>
      <w:r w:rsidRPr="644C647B">
        <w:rPr>
          <w:color w:val="000000" w:themeColor="text1"/>
          <w:vertAlign w:val="superscript"/>
          <w:lang w:val="en-US"/>
        </w:rPr>
        <w:footnoteReference w:id="104"/>
      </w:r>
      <w:r w:rsidRPr="644C647B">
        <w:rPr>
          <w:color w:val="000000"/>
          <w:lang w:val="en-US"/>
        </w:rPr>
        <w:t xml:space="preserve"> Children seldom disclose incidents to authorities, instead relying on peers or remaining silent.</w:t>
      </w:r>
      <w:r w:rsidRPr="644C647B">
        <w:rPr>
          <w:color w:val="000000" w:themeColor="text1"/>
          <w:vertAlign w:val="superscript"/>
          <w:lang w:val="en-US"/>
        </w:rPr>
        <w:footnoteReference w:id="105"/>
      </w:r>
      <w:r w:rsidRPr="644C647B">
        <w:rPr>
          <w:color w:val="000000"/>
          <w:lang w:val="en-US"/>
        </w:rPr>
        <w:t xml:space="preserve"> Barriers to reporting include shame, fear of stigma, lack of awareness of reporting systems, mistrust of authorities, or fear of self-incrimination. These barriers are intensified by low awareness of support systems, with 82% of internet-using children that reporting they do not know how to report harmful online content, and 67% do not know where to seek help if they or someone they know is abused.</w:t>
      </w:r>
      <w:r w:rsidRPr="644C647B">
        <w:rPr>
          <w:color w:val="000000" w:themeColor="text1"/>
          <w:vertAlign w:val="superscript"/>
          <w:lang w:val="en-US"/>
        </w:rPr>
        <w:footnoteReference w:id="106"/>
      </w:r>
      <w:r w:rsidRPr="644C647B">
        <w:rPr>
          <w:color w:val="000000"/>
          <w:lang w:val="en-US"/>
        </w:rPr>
        <w:t xml:space="preserve"> This indicates a wider environment in which children often do not recognize online harm as abuse, restricting both reporting and access to protection.</w:t>
      </w:r>
    </w:p>
    <w:p w14:paraId="00000061"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Even when children do access protection mechanisms, such as the National Child Helpline (116)</w:t>
      </w:r>
      <w:r w:rsidRPr="644C647B">
        <w:rPr>
          <w:color w:val="000000" w:themeColor="text1"/>
          <w:vertAlign w:val="superscript"/>
          <w:lang w:val="en-US"/>
        </w:rPr>
        <w:footnoteReference w:id="107"/>
      </w:r>
      <w:r w:rsidRPr="644C647B">
        <w:rPr>
          <w:color w:val="000000"/>
          <w:lang w:val="en-US"/>
        </w:rPr>
        <w:t xml:space="preserve"> and police and Gender and Children Desks exist,</w:t>
      </w:r>
      <w:r w:rsidRPr="644C647B">
        <w:rPr>
          <w:color w:val="000000" w:themeColor="text1"/>
          <w:vertAlign w:val="superscript"/>
          <w:lang w:val="en-US"/>
        </w:rPr>
        <w:footnoteReference w:id="108"/>
      </w:r>
      <w:r w:rsidRPr="644C647B">
        <w:rPr>
          <w:color w:val="000000"/>
          <w:lang w:val="en-US"/>
        </w:rPr>
        <w:t xml:space="preserve"> these services do not specifically address TFGBV. These systems are designed for general child protection and are not fully equipped to handle electronic evidence, online reporting, or technology-facilitated forms of abuse. Children also experience limited access to justice due to their legal standing and dependence on adults as intermediaries, especially in cases where abuse occurs within families or close social networks. As a result, many cases do not progress beyond the initial reporting, which limits opportunities for prompt intervention.  </w:t>
      </w:r>
    </w:p>
    <w:p w14:paraId="00000062"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Tanzania has taken important legislative steps, including the Cybercrimes Act 2015 (Act. No 14 of 2015)</w:t>
      </w:r>
      <w:r w:rsidRPr="644C647B">
        <w:rPr>
          <w:color w:val="000000" w:themeColor="text1"/>
          <w:vertAlign w:val="superscript"/>
          <w:lang w:val="en-US"/>
        </w:rPr>
        <w:footnoteReference w:id="109"/>
      </w:r>
      <w:r w:rsidRPr="644C647B">
        <w:rPr>
          <w:color w:val="000000"/>
          <w:lang w:val="en-US"/>
        </w:rPr>
        <w:t xml:space="preserve"> and the Child Protection Laws (Miscellaneous Amendments) Act 2024;</w:t>
      </w:r>
      <w:r w:rsidRPr="644C647B">
        <w:rPr>
          <w:color w:val="000000" w:themeColor="text1"/>
          <w:vertAlign w:val="superscript"/>
          <w:lang w:val="en-US"/>
        </w:rPr>
        <w:footnoteReference w:id="110"/>
      </w:r>
      <w:r w:rsidRPr="644C647B">
        <w:rPr>
          <w:color w:val="000000"/>
          <w:lang w:val="en-US"/>
        </w:rPr>
        <w:t xml:space="preserve"> however, key gaps remain in dealing with TFGBV against children. Present frameworks criminalize child sexual abuse material, online grooming, and sextortion;</w:t>
      </w:r>
      <w:r w:rsidRPr="644C647B">
        <w:rPr>
          <w:color w:val="000000" w:themeColor="text1"/>
          <w:vertAlign w:val="superscript"/>
          <w:lang w:val="en-US"/>
        </w:rPr>
        <w:footnoteReference w:id="111"/>
      </w:r>
      <w:r w:rsidRPr="644C647B">
        <w:rPr>
          <w:color w:val="000000"/>
          <w:lang w:val="en-US"/>
        </w:rPr>
        <w:t xml:space="preserve"> however, other forms of digital harm, including image-based abuse, online harassment, and emerging AI-generated sexual exploitation are not completely addressed in practice. Additionally, law enforcement agencies remain inadequately equipped to respond to TFGBV cases due to limited specialized training, leading to the misclassification of complaints and weak handling of electronic evidence. </w:t>
      </w:r>
    </w:p>
    <w:p w14:paraId="4BB94FA2" w14:textId="77777777" w:rsidR="00D90ADC"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Prevention and awareness efforts remain insufficiently developed to protect children from TFGBV. Only 30% of children have received any form of sexual education, and digital safety education is not systematically integrated into the national curriculum.</w:t>
      </w:r>
      <w:r w:rsidRPr="644C647B">
        <w:rPr>
          <w:color w:val="000000" w:themeColor="text1"/>
          <w:vertAlign w:val="superscript"/>
          <w:lang w:val="en-US"/>
        </w:rPr>
        <w:footnoteReference w:id="112"/>
      </w:r>
      <w:r w:rsidRPr="644C647B">
        <w:rPr>
          <w:color w:val="000000"/>
          <w:lang w:val="en-US"/>
        </w:rPr>
        <w:t xml:space="preserve"> As a result, many children are unable to recognize online exploitation or understand their rights and available protections. Awareness of online safety and reporting systems remains limited, particularly among rural and low-income children who face additional barriers related to language accessibility, digital exclusion, and uneven access to safe digital environments. </w:t>
      </w:r>
    </w:p>
    <w:p w14:paraId="00000064" w14:textId="1E8BA7D9" w:rsidR="00FE605E" w:rsidRPr="00D90ADC" w:rsidRDefault="644C647B" w:rsidP="0093467F">
      <w:pPr>
        <w:numPr>
          <w:ilvl w:val="0"/>
          <w:numId w:val="4"/>
        </w:numPr>
        <w:pBdr>
          <w:top w:val="nil"/>
          <w:left w:val="nil"/>
          <w:bottom w:val="nil"/>
          <w:right w:val="nil"/>
          <w:between w:val="nil"/>
        </w:pBdr>
        <w:spacing w:after="120" w:line="259" w:lineRule="auto"/>
        <w:ind w:left="360"/>
        <w:jc w:val="both"/>
        <w:rPr>
          <w:color w:val="000000" w:themeColor="text1"/>
          <w:lang w:val="en-US"/>
        </w:rPr>
      </w:pPr>
      <w:r w:rsidRPr="00D90ADC">
        <w:rPr>
          <w:b/>
          <w:bCs/>
          <w:color w:val="000000"/>
        </w:rPr>
        <w:t>Suggested recommendations</w:t>
      </w:r>
      <w:r w:rsidR="00D90ADC">
        <w:rPr>
          <w:b/>
          <w:bCs/>
          <w:color w:val="000000"/>
        </w:rPr>
        <w:t xml:space="preserve"> </w:t>
      </w:r>
      <w:r w:rsidR="00D90ADC">
        <w:rPr>
          <w:color w:val="000000"/>
        </w:rPr>
        <w:t>related to violence against children</w:t>
      </w:r>
      <w:r w:rsidRPr="00D90ADC">
        <w:rPr>
          <w:b/>
          <w:bCs/>
          <w:color w:val="000000"/>
        </w:rPr>
        <w:t xml:space="preserve">: </w:t>
      </w:r>
    </w:p>
    <w:p w14:paraId="00000065"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Strengthen measures to prevent, investigate, and prosecute sexual violence against children, including rape, sodomy, and child sexual exploitation, and ensure child-sensitive procedures throughout the justice process, particularly in cases involving family members, teachers, religious leaders, or other persons in positions of trust.</w:t>
      </w:r>
    </w:p>
    <w:p w14:paraId="33C8DCFA" w14:textId="77777777" w:rsidR="00426E03" w:rsidRPr="00426E03" w:rsidRDefault="00426E03" w:rsidP="005D0361">
      <w:pPr>
        <w:numPr>
          <w:ilvl w:val="1"/>
          <w:numId w:val="4"/>
        </w:numPr>
        <w:pBdr>
          <w:top w:val="nil"/>
          <w:left w:val="nil"/>
          <w:bottom w:val="nil"/>
          <w:right w:val="nil"/>
          <w:between w:val="nil"/>
        </w:pBdr>
        <w:spacing w:after="120" w:line="259" w:lineRule="auto"/>
        <w:ind w:left="720"/>
        <w:jc w:val="both"/>
        <w:rPr>
          <w:color w:val="000000"/>
          <w:lang w:val="en-US"/>
        </w:rPr>
      </w:pPr>
      <w:r w:rsidRPr="00426E03">
        <w:rPr>
          <w:color w:val="000000"/>
          <w:lang w:val="en-US"/>
        </w:rPr>
        <w:t>Provide effective reporting and referral mechanisms for survivors of sexual violence and child marriage, with the provision of psychosocial support, rehabilitation, and reintegration services.</w:t>
      </w:r>
    </w:p>
    <w:p w14:paraId="00000067"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lang w:val="en-US"/>
        </w:rPr>
      </w:pPr>
      <w:r w:rsidRPr="644C647B">
        <w:rPr>
          <w:color w:val="000000"/>
          <w:lang w:val="en-US"/>
        </w:rPr>
        <w:t>Develop targeted protection programs for street-connected and highly vulnerable children, including access to safe shelter, education, mental health services, family reintegration where appropriate, and protection from sexual exploitation and abuse.</w:t>
      </w:r>
    </w:p>
    <w:p w14:paraId="00000068"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Strengthen efforts to prevent and combat child trafficking, including identifying trafficking hotspots, increasing community awareness in high-risk areas, investigating trafficking networks, and addressing the use of false promises of education or employment to exploit children.</w:t>
      </w:r>
    </w:p>
    <w:p w14:paraId="00000069"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Accelerate universal birth registration and access to legal identity documentation, particularly for street-connected, orphaned, and marginalized children, to ensure access to healthcare, education, child protection, and justice mechanisms.</w:t>
      </w:r>
    </w:p>
    <w:p w14:paraId="0000006A"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Integrate digital GBV into the National Plan of Action for the Prevention of Violence Against Women and Children (2025–2029), including the publication of annual, publicly accessible progress reports and consulting with appropriate stakeholders, civil society, and communities to ensure any digital GBV policies reflect the gender-sensitive, child-specific dimensions of online violence. </w:t>
      </w:r>
    </w:p>
    <w:p w14:paraId="0000006B"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Implement mandatory certified training on child-sensitive TFGBV and digital evidence handling for the Office of the Director of Public Prosecutions, the Tanzania Police Force, and the Judiciary Training Institute.</w:t>
      </w:r>
      <w:r w:rsidRPr="644C647B">
        <w:rPr>
          <w:color w:val="000000"/>
          <w:vertAlign w:val="superscript"/>
        </w:rPr>
        <w:t xml:space="preserve"> </w:t>
      </w:r>
      <w:r w:rsidRPr="644C647B">
        <w:rPr>
          <w:color w:val="000000" w:themeColor="text1"/>
          <w:vertAlign w:val="superscript"/>
        </w:rPr>
        <w:footnoteReference w:id="113"/>
      </w:r>
      <w:r w:rsidRPr="644C647B">
        <w:rPr>
          <w:color w:val="000000"/>
        </w:rPr>
        <w:t xml:space="preserve">  </w:t>
      </w:r>
    </w:p>
    <w:p w14:paraId="0000006C"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Strengthen child-accessible, confidential, and technology-enabled reporting mechanisms for online abuse, including an adaptation of the National Child Helpline and Gender and Children Desks to respond specifically to TFGBV, digital evidence, and online child safeguarding needs. </w:t>
      </w:r>
    </w:p>
    <w:p w14:paraId="0000006D" w14:textId="77777777" w:rsidR="00FE605E" w:rsidRDefault="644C647B" w:rsidP="005D0361">
      <w:pPr>
        <w:numPr>
          <w:ilvl w:val="1"/>
          <w:numId w:val="4"/>
        </w:numPr>
        <w:pBdr>
          <w:top w:val="nil"/>
          <w:left w:val="nil"/>
          <w:bottom w:val="nil"/>
          <w:right w:val="nil"/>
          <w:between w:val="nil"/>
        </w:pBdr>
        <w:spacing w:after="120" w:line="259" w:lineRule="auto"/>
        <w:ind w:left="720"/>
        <w:rPr>
          <w:color w:val="000000" w:themeColor="text1"/>
        </w:rPr>
      </w:pPr>
      <w:r w:rsidRPr="644C647B">
        <w:rPr>
          <w:color w:val="000000"/>
        </w:rPr>
        <w:t xml:space="preserve">Implement mandatory and recurring specialized training on TFGBV, online child sexual exploitation and abuse (OCSEA), and digital evidence handling for all frontline actors. </w:t>
      </w:r>
    </w:p>
    <w:p w14:paraId="0000006E" w14:textId="77777777" w:rsidR="00FE605E" w:rsidRDefault="644C647B" w:rsidP="005D0361">
      <w:pPr>
        <w:numPr>
          <w:ilvl w:val="1"/>
          <w:numId w:val="4"/>
        </w:numPr>
        <w:pBdr>
          <w:top w:val="nil"/>
          <w:left w:val="nil"/>
          <w:bottom w:val="nil"/>
          <w:right w:val="nil"/>
          <w:between w:val="nil"/>
        </w:pBdr>
        <w:spacing w:after="120" w:line="259" w:lineRule="auto"/>
        <w:ind w:left="720"/>
        <w:rPr>
          <w:color w:val="000000" w:themeColor="text1"/>
          <w:lang w:val="en-US"/>
        </w:rPr>
      </w:pPr>
      <w:r w:rsidRPr="644C647B">
        <w:rPr>
          <w:color w:val="000000"/>
          <w:lang w:val="en-US"/>
        </w:rPr>
        <w:t>Strengthen the implementation of the Cybercrimes Act 2015 (Act No. 14 of 22015) and related child protection legislation and explicitly define and criminalize:</w:t>
      </w:r>
      <w:r>
        <w:rPr>
          <w:color w:val="000000"/>
        </w:rPr>
        <w:br/>
      </w:r>
      <w:r w:rsidRPr="644C647B">
        <w:rPr>
          <w:color w:val="000000"/>
          <w:lang w:val="en-US"/>
        </w:rPr>
        <w:t xml:space="preserve">   (a) image-based abuse involving children (including non-consensual intimate image sharing); </w:t>
      </w:r>
      <w:r>
        <w:rPr>
          <w:color w:val="000000"/>
        </w:rPr>
        <w:br/>
      </w:r>
      <w:r w:rsidRPr="644C647B">
        <w:rPr>
          <w:color w:val="000000"/>
          <w:lang w:val="en-US"/>
        </w:rPr>
        <w:t xml:space="preserve">   (b) online stalking and harassment of children;</w:t>
      </w:r>
      <w:r>
        <w:rPr>
          <w:color w:val="000000"/>
        </w:rPr>
        <w:br/>
      </w:r>
      <w:r w:rsidRPr="644C647B">
        <w:rPr>
          <w:color w:val="000000"/>
          <w:lang w:val="en-US"/>
        </w:rPr>
        <w:t xml:space="preserve">   (c) digital impersonation of children;</w:t>
      </w:r>
      <w:r>
        <w:rPr>
          <w:color w:val="000000"/>
        </w:rPr>
        <w:br/>
      </w:r>
      <w:r w:rsidRPr="644C647B">
        <w:rPr>
          <w:color w:val="000000"/>
          <w:lang w:val="en-US"/>
        </w:rPr>
        <w:t xml:space="preserve">   (d) sextortion of children; and,</w:t>
      </w:r>
      <w:r>
        <w:rPr>
          <w:color w:val="000000"/>
        </w:rPr>
        <w:br/>
      </w:r>
      <w:r w:rsidRPr="644C647B">
        <w:rPr>
          <w:color w:val="000000"/>
          <w:lang w:val="en-US"/>
        </w:rPr>
        <w:t xml:space="preserve">   (e) AI-generated sexual exploitation of children.</w:t>
      </w:r>
    </w:p>
    <w:p w14:paraId="0000006F"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Establish child-sensitive cyber-specific protection orders, including expedited procedures for removal of harmful online content and emergency protective responses for children affected by non-consensual image-sharing, digital threats, sextortion, or other forms of TFGBV. </w:t>
      </w:r>
    </w:p>
    <w:p w14:paraId="00000070"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Integrate age-appropriate digital literacy, online safety, and TFGBV prevention into the national curriculum, ensuring children receive education on online grooming, sextortion, consent, privacy, digital rights, and child-friendly reporting mechanisms. </w:t>
      </w:r>
    </w:p>
    <w:p w14:paraId="00000071"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themeColor="text1"/>
        </w:rPr>
      </w:pPr>
      <w:r w:rsidRPr="644C647B">
        <w:rPr>
          <w:color w:val="000000"/>
        </w:rPr>
        <w:t xml:space="preserve">Expand nationwide child-focused digital safety and awareness campaigns, ensuring that materials are available in Kiswahili, culturally relevant, and accessible to children with varying literacy levels, particularly those in rural and low-income communities. </w:t>
      </w:r>
    </w:p>
    <w:p w14:paraId="00000072" w14:textId="77777777" w:rsidR="00FE605E" w:rsidRDefault="644C647B" w:rsidP="005D0361">
      <w:pPr>
        <w:numPr>
          <w:ilvl w:val="1"/>
          <w:numId w:val="4"/>
        </w:numPr>
        <w:pBdr>
          <w:top w:val="nil"/>
          <w:left w:val="nil"/>
          <w:bottom w:val="nil"/>
          <w:right w:val="nil"/>
          <w:between w:val="nil"/>
        </w:pBdr>
        <w:spacing w:after="120" w:line="259" w:lineRule="auto"/>
        <w:ind w:left="720"/>
        <w:jc w:val="both"/>
        <w:rPr>
          <w:color w:val="000000"/>
        </w:rPr>
      </w:pPr>
      <w:r w:rsidRPr="644C647B">
        <w:rPr>
          <w:color w:val="000000"/>
        </w:rPr>
        <w:t xml:space="preserve">Establish a centralized national monitoring and reporting framework on TFGBV that mandates public disclosure of awareness-raising activities specifically educating children, as well as standardized data collection on investigations, prosecutions, conviction rates, and case outcomes to strengthen accountability and evidence-based policymaking. </w:t>
      </w:r>
    </w:p>
    <w:p w14:paraId="00000073" w14:textId="05C4BB0B" w:rsidR="00FE605E" w:rsidRDefault="644C647B" w:rsidP="0093467F">
      <w:pPr>
        <w:keepNext/>
        <w:numPr>
          <w:ilvl w:val="0"/>
          <w:numId w:val="1"/>
        </w:numPr>
        <w:pBdr>
          <w:top w:val="nil"/>
          <w:left w:val="nil"/>
          <w:bottom w:val="nil"/>
          <w:right w:val="nil"/>
          <w:between w:val="nil"/>
        </w:pBdr>
        <w:spacing w:before="240" w:after="240"/>
        <w:ind w:left="907"/>
        <w:rPr>
          <w:b/>
          <w:bCs/>
          <w:color w:val="000000" w:themeColor="text1"/>
        </w:rPr>
      </w:pPr>
      <w:r w:rsidRPr="644C647B">
        <w:rPr>
          <w:b/>
          <w:bCs/>
          <w:color w:val="000000"/>
        </w:rPr>
        <w:t>Child Survival &amp; Well-Being: Child Suicide &amp; Mental Health (</w:t>
      </w:r>
      <w:r w:rsidR="00CD2B60">
        <w:rPr>
          <w:b/>
          <w:bCs/>
          <w:color w:val="000000"/>
        </w:rPr>
        <w:t xml:space="preserve">CRC, </w:t>
      </w:r>
      <w:r w:rsidRPr="644C647B">
        <w:rPr>
          <w:b/>
          <w:bCs/>
          <w:color w:val="000000"/>
        </w:rPr>
        <w:t>arts. 6, 19, and 24)</w:t>
      </w:r>
    </w:p>
    <w:p w14:paraId="00000074" w14:textId="77777777" w:rsidR="00FE605E" w:rsidRDefault="644C647B" w:rsidP="005D0361">
      <w:pPr>
        <w:numPr>
          <w:ilvl w:val="0"/>
          <w:numId w:val="4"/>
        </w:numPr>
        <w:pBdr>
          <w:top w:val="nil"/>
          <w:left w:val="nil"/>
          <w:bottom w:val="nil"/>
          <w:right w:val="nil"/>
          <w:between w:val="nil"/>
        </w:pBdr>
        <w:spacing w:after="120" w:line="259" w:lineRule="auto"/>
        <w:ind w:left="360"/>
        <w:jc w:val="both"/>
        <w:rPr>
          <w:color w:val="000000"/>
          <w:lang w:val="en-US"/>
        </w:rPr>
      </w:pPr>
      <w:r w:rsidRPr="644C647B">
        <w:rPr>
          <w:color w:val="000000"/>
          <w:lang w:val="en-US"/>
        </w:rPr>
        <w:t>In its Concluding observations, the Committee noted that there was limited access to psychological services for child victims of sexual abuse.</w:t>
      </w:r>
      <w:r w:rsidRPr="644C647B">
        <w:rPr>
          <w:color w:val="000000" w:themeColor="text1"/>
          <w:vertAlign w:val="superscript"/>
          <w:lang w:val="en-US"/>
        </w:rPr>
        <w:footnoteReference w:id="114"/>
      </w:r>
      <w:r w:rsidRPr="644C647B">
        <w:rPr>
          <w:color w:val="000000"/>
          <w:lang w:val="en-US"/>
        </w:rPr>
        <w:t xml:space="preserve"> However, the Committee did not urge any action to improve access and availability of mental health services for children. There was also no mention of the rising suicide rate of children in the Concluding observations or State Party Report.  </w:t>
      </w:r>
    </w:p>
    <w:p w14:paraId="00000075" w14:textId="0FF4F9EA" w:rsidR="00FE605E" w:rsidRDefault="644C647B" w:rsidP="005D0361">
      <w:pPr>
        <w:numPr>
          <w:ilvl w:val="0"/>
          <w:numId w:val="4"/>
        </w:numPr>
        <w:pBdr>
          <w:top w:val="nil"/>
          <w:left w:val="nil"/>
          <w:bottom w:val="nil"/>
          <w:right w:val="nil"/>
          <w:between w:val="nil"/>
        </w:pBdr>
        <w:spacing w:after="120" w:line="259" w:lineRule="auto"/>
        <w:ind w:left="360"/>
        <w:jc w:val="both"/>
        <w:rPr>
          <w:lang w:val="en-US"/>
        </w:rPr>
      </w:pPr>
      <w:r w:rsidRPr="644C647B">
        <w:rPr>
          <w:color w:val="000000"/>
          <w:lang w:val="en-US"/>
        </w:rPr>
        <w:t>Mental health challenges among children and adolescents in Tanzania are increasingly affecting children’s survival, development, and well-being. Suicide remains an under-addressed but growing concern among young people. In 2024, LHRC documented 54 suicide incidents nationwide,</w:t>
      </w:r>
      <w:r w:rsidRPr="644C647B">
        <w:rPr>
          <w:color w:val="000000" w:themeColor="text1"/>
          <w:vertAlign w:val="superscript"/>
          <w:lang w:val="en-US"/>
        </w:rPr>
        <w:footnoteReference w:id="115"/>
      </w:r>
      <w:r w:rsidRPr="644C647B">
        <w:rPr>
          <w:color w:val="000000"/>
          <w:lang w:val="en-US"/>
        </w:rPr>
        <w:t xml:space="preserve"> with youth accounting for 58% of victims, while children, including school-aged pupils, were among those affected.</w:t>
      </w:r>
      <w:r w:rsidRPr="644C647B">
        <w:rPr>
          <w:color w:val="000000" w:themeColor="text1"/>
          <w:vertAlign w:val="superscript"/>
          <w:lang w:val="en-US"/>
        </w:rPr>
        <w:footnoteReference w:id="116"/>
      </w:r>
      <w:r w:rsidRPr="644C647B">
        <w:rPr>
          <w:color w:val="000000"/>
          <w:lang w:val="en-US"/>
        </w:rPr>
        <w:t xml:space="preserve"> In 2025, LHRC documented 28 additional suicide incidents, several involving students in secondary schools and higher learning institutions.</w:t>
      </w:r>
      <w:r w:rsidRPr="644C647B">
        <w:rPr>
          <w:color w:val="000000" w:themeColor="text1"/>
          <w:vertAlign w:val="superscript"/>
          <w:lang w:val="en-US"/>
        </w:rPr>
        <w:footnoteReference w:id="117"/>
      </w:r>
      <w:r w:rsidRPr="644C647B">
        <w:rPr>
          <w:color w:val="000000"/>
          <w:lang w:val="en-US"/>
        </w:rPr>
        <w:t xml:space="preserve"> Reported cases reveal that children and adolescents experience significant psychological distress related to poverty, family conflict, neglect, social exclusion, academic pressure, and emotional instability.</w:t>
      </w:r>
      <w:r w:rsidRPr="644C647B">
        <w:rPr>
          <w:color w:val="000000" w:themeColor="text1"/>
          <w:vertAlign w:val="superscript"/>
          <w:lang w:val="en-US"/>
        </w:rPr>
        <w:footnoteReference w:id="118"/>
      </w:r>
      <w:r w:rsidR="005C1894">
        <w:rPr>
          <w:color w:val="000000"/>
          <w:lang w:val="en-US"/>
        </w:rPr>
        <w:t xml:space="preserve"> </w:t>
      </w:r>
      <w:r w:rsidRPr="644C647B">
        <w:rPr>
          <w:color w:val="000000"/>
          <w:lang w:val="en-US"/>
        </w:rPr>
        <w:t>Additional risk factors for girls include sexual abuse, teenage pregnancy, bullying, loneliness, and stigma, all of which may increase vulnerability to self-harm and suicide.</w:t>
      </w:r>
      <w:r w:rsidRPr="644C647B">
        <w:rPr>
          <w:color w:val="000000" w:themeColor="text1"/>
          <w:vertAlign w:val="superscript"/>
          <w:lang w:val="en-US"/>
        </w:rPr>
        <w:footnoteReference w:id="119"/>
      </w:r>
    </w:p>
    <w:p w14:paraId="00000076" w14:textId="77777777" w:rsidR="00FE605E" w:rsidRDefault="644C647B" w:rsidP="005D0361">
      <w:pPr>
        <w:numPr>
          <w:ilvl w:val="0"/>
          <w:numId w:val="4"/>
        </w:numPr>
        <w:pBdr>
          <w:top w:val="nil"/>
          <w:left w:val="nil"/>
          <w:bottom w:val="nil"/>
          <w:right w:val="nil"/>
          <w:between w:val="nil"/>
        </w:pBdr>
        <w:spacing w:after="120" w:line="259" w:lineRule="auto"/>
        <w:ind w:left="360"/>
        <w:jc w:val="both"/>
      </w:pPr>
      <w:r w:rsidRPr="644C647B">
        <w:rPr>
          <w:color w:val="000000"/>
        </w:rPr>
        <w:t>Despite growing mental health needs, access to child and adolescent-sensitive mental health services is severely limited.</w:t>
      </w:r>
      <w:r w:rsidRPr="644C647B">
        <w:rPr>
          <w:color w:val="000000" w:themeColor="text1"/>
          <w:vertAlign w:val="superscript"/>
        </w:rPr>
        <w:footnoteReference w:id="120"/>
      </w:r>
      <w:r w:rsidRPr="644C647B">
        <w:rPr>
          <w:color w:val="000000"/>
        </w:rPr>
        <w:t xml:space="preserve"> Tanzania has yet to establish specialized mental health services for children, while counselling and psychosocial support systems in schools remain inadequate or absent.</w:t>
      </w:r>
      <w:r w:rsidRPr="644C647B">
        <w:rPr>
          <w:color w:val="000000" w:themeColor="text1"/>
          <w:vertAlign w:val="superscript"/>
        </w:rPr>
        <w:footnoteReference w:id="121"/>
      </w:r>
      <w:r w:rsidRPr="644C647B">
        <w:rPr>
          <w:color w:val="000000"/>
        </w:rPr>
        <w:t xml:space="preserve"> Rural communities face additional barriers due to shortages of mental health professionals, limited health infrastructure, and persistent stigma around mental illness, which discourages children and caregivers from seeking support.</w:t>
      </w:r>
      <w:r w:rsidRPr="644C647B">
        <w:rPr>
          <w:color w:val="000000" w:themeColor="text1"/>
          <w:vertAlign w:val="superscript"/>
        </w:rPr>
        <w:footnoteReference w:id="122"/>
      </w:r>
      <w:r w:rsidRPr="644C647B">
        <w:rPr>
          <w:color w:val="000000"/>
        </w:rPr>
        <w:t xml:space="preserve"> Existing evidence further suggests that many children experiencing emotional distress remain unidentified, as mental health services are insufficiently integrated into schools, primary health care, and child protection systems.</w:t>
      </w:r>
      <w:r w:rsidRPr="644C647B">
        <w:rPr>
          <w:color w:val="000000" w:themeColor="text1"/>
          <w:vertAlign w:val="superscript"/>
        </w:rPr>
        <w:footnoteReference w:id="123"/>
      </w:r>
    </w:p>
    <w:p w14:paraId="536A0506" w14:textId="77777777" w:rsidR="0023122C" w:rsidRDefault="644C647B" w:rsidP="005D0361">
      <w:pPr>
        <w:numPr>
          <w:ilvl w:val="0"/>
          <w:numId w:val="4"/>
        </w:numPr>
        <w:pBdr>
          <w:top w:val="nil"/>
          <w:left w:val="nil"/>
          <w:bottom w:val="nil"/>
          <w:right w:val="nil"/>
          <w:between w:val="nil"/>
        </w:pBdr>
        <w:spacing w:after="120" w:line="259" w:lineRule="auto"/>
        <w:ind w:left="360"/>
        <w:jc w:val="both"/>
        <w:rPr>
          <w:color w:val="000000" w:themeColor="text1"/>
          <w:lang w:val="en-US"/>
        </w:rPr>
      </w:pPr>
      <w:r w:rsidRPr="644C647B">
        <w:rPr>
          <w:color w:val="000000"/>
          <w:lang w:val="en-US"/>
        </w:rPr>
        <w:t>Structural and family-level vulnerabilities further increase risks to children’s psychological well-being. Child neglect, abandonment, domestic violence, and family instability continue to expose children to emotional distress and insecurity.</w:t>
      </w:r>
      <w:r w:rsidRPr="644C647B">
        <w:rPr>
          <w:color w:val="000000" w:themeColor="text1"/>
          <w:vertAlign w:val="superscript"/>
          <w:lang w:val="en-US"/>
        </w:rPr>
        <w:footnoteReference w:id="124"/>
      </w:r>
      <w:r w:rsidRPr="644C647B">
        <w:rPr>
          <w:color w:val="000000"/>
          <w:lang w:val="en-US"/>
        </w:rPr>
        <w:t xml:space="preserve"> In 2024, authorities documented incidents of child abandonment and family desertion,</w:t>
      </w:r>
      <w:r w:rsidRPr="644C647B">
        <w:rPr>
          <w:color w:val="000000" w:themeColor="text1"/>
          <w:vertAlign w:val="superscript"/>
          <w:lang w:val="en-US"/>
        </w:rPr>
        <w:footnoteReference w:id="125"/>
      </w:r>
      <w:r w:rsidRPr="644C647B">
        <w:rPr>
          <w:color w:val="000000"/>
          <w:lang w:val="en-US"/>
        </w:rPr>
        <w:t xml:space="preserve"> while reports from communities highlighted parental neglect and prolonged absence of caregivers as contributing factors to children’s psychosocial vulnerability. Limited mental health data collection, weak early identification systems, and inadequate budgetary investment continue to hinder the implementation of effective prevention and response measures.</w:t>
      </w:r>
      <w:r w:rsidRPr="644C647B">
        <w:rPr>
          <w:color w:val="000000" w:themeColor="text1"/>
          <w:vertAlign w:val="superscript"/>
          <w:lang w:val="en-US"/>
        </w:rPr>
        <w:footnoteReference w:id="126"/>
      </w:r>
      <w:r w:rsidRPr="644C647B">
        <w:rPr>
          <w:color w:val="000000"/>
          <w:lang w:val="en-US"/>
        </w:rPr>
        <w:t xml:space="preserve"> As a result, many children experiencing mental health challenges remain unsupported until crises emerge, including suicide and self-harm.</w:t>
      </w:r>
    </w:p>
    <w:p w14:paraId="00000078" w14:textId="238A3CB1" w:rsidR="00FE605E" w:rsidRPr="0023122C" w:rsidRDefault="644C647B" w:rsidP="0093467F">
      <w:pPr>
        <w:numPr>
          <w:ilvl w:val="0"/>
          <w:numId w:val="4"/>
        </w:numPr>
        <w:pBdr>
          <w:top w:val="nil"/>
          <w:left w:val="nil"/>
          <w:bottom w:val="nil"/>
          <w:right w:val="nil"/>
          <w:between w:val="nil"/>
        </w:pBdr>
        <w:spacing w:after="120" w:line="259" w:lineRule="auto"/>
        <w:ind w:left="360"/>
        <w:jc w:val="both"/>
        <w:rPr>
          <w:color w:val="000000" w:themeColor="text1"/>
          <w:lang w:val="en-US"/>
        </w:rPr>
      </w:pPr>
      <w:r w:rsidRPr="0023122C">
        <w:rPr>
          <w:b/>
          <w:bCs/>
          <w:color w:val="000000"/>
        </w:rPr>
        <w:t>Suggested recommendations</w:t>
      </w:r>
      <w:r w:rsidR="0023122C">
        <w:rPr>
          <w:b/>
          <w:bCs/>
          <w:color w:val="000000"/>
        </w:rPr>
        <w:t xml:space="preserve"> </w:t>
      </w:r>
      <w:r w:rsidR="0023122C">
        <w:rPr>
          <w:color w:val="000000"/>
        </w:rPr>
        <w:t xml:space="preserve">related to </w:t>
      </w:r>
      <w:r w:rsidR="00D90ADC">
        <w:rPr>
          <w:color w:val="000000"/>
        </w:rPr>
        <w:t>child survival and well-being</w:t>
      </w:r>
      <w:r w:rsidRPr="0023122C">
        <w:rPr>
          <w:b/>
          <w:bCs/>
          <w:color w:val="000000"/>
        </w:rPr>
        <w:t xml:space="preserve">: </w:t>
      </w:r>
    </w:p>
    <w:p w14:paraId="00000079" w14:textId="77777777" w:rsidR="00FE605E" w:rsidRDefault="644C647B" w:rsidP="005D0361">
      <w:pPr>
        <w:numPr>
          <w:ilvl w:val="1"/>
          <w:numId w:val="4"/>
        </w:numPr>
        <w:pBdr>
          <w:top w:val="nil"/>
          <w:left w:val="nil"/>
          <w:bottom w:val="nil"/>
          <w:right w:val="nil"/>
          <w:between w:val="nil"/>
        </w:pBdr>
        <w:spacing w:after="120" w:line="259" w:lineRule="auto"/>
        <w:ind w:left="720" w:right="274"/>
        <w:jc w:val="both"/>
        <w:rPr>
          <w:color w:val="000000" w:themeColor="text1"/>
        </w:rPr>
      </w:pPr>
      <w:r w:rsidRPr="644C647B">
        <w:rPr>
          <w:color w:val="000000"/>
        </w:rPr>
        <w:t xml:space="preserve">Strengthen measures to prevent, investigate, and prosecute sexual violence against children, including rape, sodomy, and child sexual exploitation, and ensure child-sensitive procedures throughout the justice process, particularly in cases involving family members, teachers, religious leaders, or other persons in positions of trust. </w:t>
      </w:r>
    </w:p>
    <w:p w14:paraId="0000007A" w14:textId="77777777" w:rsidR="00FE605E" w:rsidRDefault="644C647B" w:rsidP="005D0361">
      <w:pPr>
        <w:numPr>
          <w:ilvl w:val="1"/>
          <w:numId w:val="4"/>
        </w:numPr>
        <w:pBdr>
          <w:top w:val="nil"/>
          <w:left w:val="nil"/>
          <w:bottom w:val="nil"/>
          <w:right w:val="nil"/>
          <w:between w:val="nil"/>
        </w:pBdr>
        <w:spacing w:after="120" w:line="259" w:lineRule="auto"/>
        <w:ind w:left="720" w:right="274"/>
        <w:jc w:val="both"/>
        <w:rPr>
          <w:color w:val="000000" w:themeColor="text1"/>
        </w:rPr>
      </w:pPr>
      <w:r w:rsidRPr="644C647B">
        <w:rPr>
          <w:color w:val="000000"/>
        </w:rPr>
        <w:t>Develop and implement a national child and adolescent mental health strategy, including suicide prevention measures aligned with international standards, and integrate mental health services into schools, primary healthcare, and child protection systems.</w:t>
      </w:r>
    </w:p>
    <w:p w14:paraId="0000007B" w14:textId="77777777" w:rsidR="00FE605E" w:rsidRDefault="644C647B" w:rsidP="005D0361">
      <w:pPr>
        <w:numPr>
          <w:ilvl w:val="1"/>
          <w:numId w:val="4"/>
        </w:numPr>
        <w:pBdr>
          <w:top w:val="nil"/>
          <w:left w:val="nil"/>
          <w:bottom w:val="nil"/>
          <w:right w:val="nil"/>
          <w:between w:val="nil"/>
        </w:pBdr>
        <w:spacing w:after="120" w:line="259" w:lineRule="auto"/>
        <w:ind w:left="720" w:right="274"/>
        <w:jc w:val="both"/>
        <w:rPr>
          <w:color w:val="000000" w:themeColor="text1"/>
        </w:rPr>
      </w:pPr>
      <w:r w:rsidRPr="644C647B">
        <w:rPr>
          <w:color w:val="000000"/>
        </w:rPr>
        <w:t>Expand access to child-sensitive mental health and psychosocial support services, particularly in rural and underserved areas, including trained counselors in schools, confidential referral systems, and accessible crisis support for children experiencing emotional distress, violence, or trauma.</w:t>
      </w:r>
    </w:p>
    <w:p w14:paraId="0000007C" w14:textId="77777777" w:rsidR="00FE605E" w:rsidRDefault="644C647B" w:rsidP="005D0361">
      <w:pPr>
        <w:numPr>
          <w:ilvl w:val="1"/>
          <w:numId w:val="4"/>
        </w:numPr>
        <w:pBdr>
          <w:top w:val="nil"/>
          <w:left w:val="nil"/>
          <w:bottom w:val="nil"/>
          <w:right w:val="nil"/>
          <w:between w:val="nil"/>
        </w:pBdr>
        <w:spacing w:after="120" w:line="259" w:lineRule="auto"/>
        <w:ind w:left="720" w:right="274"/>
        <w:jc w:val="both"/>
        <w:rPr>
          <w:color w:val="000000" w:themeColor="text1"/>
        </w:rPr>
      </w:pPr>
      <w:r w:rsidRPr="644C647B">
        <w:rPr>
          <w:color w:val="000000"/>
        </w:rPr>
        <w:t>Strengthen early identification and prevention efforts for child suicide and mental health risks, including teacher and caregiver training, anti-stigma campaigns, and age-appropriate mental health education for children and adolescents.</w:t>
      </w:r>
    </w:p>
    <w:p w14:paraId="0000007D" w14:textId="77777777" w:rsidR="00FE605E" w:rsidRDefault="644C647B" w:rsidP="005D0361">
      <w:pPr>
        <w:numPr>
          <w:ilvl w:val="1"/>
          <w:numId w:val="4"/>
        </w:numPr>
        <w:pBdr>
          <w:top w:val="nil"/>
          <w:left w:val="nil"/>
          <w:bottom w:val="nil"/>
          <w:right w:val="nil"/>
          <w:between w:val="nil"/>
        </w:pBdr>
        <w:spacing w:after="120" w:line="259" w:lineRule="auto"/>
        <w:ind w:left="720" w:right="274"/>
        <w:jc w:val="both"/>
        <w:rPr>
          <w:color w:val="000000" w:themeColor="text1"/>
        </w:rPr>
      </w:pPr>
      <w:r w:rsidRPr="644C647B">
        <w:rPr>
          <w:color w:val="000000"/>
        </w:rPr>
        <w:t>Address underlying drivers of poor child mental health, including violence, neglect, poverty, family instability, bullying, teenage pregnancy, and sexual abuse, through coordinated child protection and social support interventions.</w:t>
      </w:r>
    </w:p>
    <w:sectPr w:rsidR="00FE605E">
      <w:headerReference w:type="default" r:id="rId10"/>
      <w:footerReference w:type="default" r:id="rId11"/>
      <w:headerReference w:type="first" r:id="rId12"/>
      <w:footerReference w:type="first" r:id="rId13"/>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4EE42" w14:textId="77777777" w:rsidR="00807235" w:rsidRDefault="00807235">
      <w:r>
        <w:separator/>
      </w:r>
    </w:p>
  </w:endnote>
  <w:endnote w:type="continuationSeparator" w:id="0">
    <w:p w14:paraId="7687A493" w14:textId="77777777" w:rsidR="00807235" w:rsidRDefault="00807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elvetica Neue">
    <w:charset w:val="00"/>
    <w:family w:val="auto"/>
    <w:pitch w:val="default"/>
    <w:embedRegular r:id="rId1" w:fontKey="{17E4B83B-8A6C-4015-978E-D9499F0CDD61}"/>
  </w:font>
  <w:font w:name="-webkit-standard">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ill Sans">
    <w:charset w:val="00"/>
    <w:family w:val="auto"/>
    <w:pitch w:val="default"/>
    <w:embedRegular r:id="rId2" w:fontKey="{274917C7-E54C-45FD-8E75-3A23A63E2AAD}"/>
  </w:font>
  <w:font w:name="Adobe Jenson Pro">
    <w:altName w:val="Calibri"/>
    <w:charset w:val="00"/>
    <w:family w:val="auto"/>
    <w:pitch w:val="default"/>
  </w:font>
  <w:font w:name="Verdana">
    <w:panose1 w:val="020B0604030504040204"/>
    <w:charset w:val="00"/>
    <w:family w:val="swiss"/>
    <w:pitch w:val="variable"/>
    <w:sig w:usb0="A00006FF" w:usb1="4000205B" w:usb2="00000010" w:usb3="00000000" w:csb0="0000019F" w:csb1="00000000"/>
    <w:embedRegular r:id="rId3" w:fontKey="{EE19CB94-F62F-4AD7-A5E6-85A09C1E29ED}"/>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4" w:fontKey="{99E3A2F2-E92D-480E-9C52-033B92BE2D01}"/>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embedRegular r:id="rId5" w:fontKey="{4E55BEDB-2597-4881-8FA8-805A49F00F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B" w14:textId="60970DB9" w:rsidR="00FE605E" w:rsidRDefault="00DD508B">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9508CA">
      <w:rPr>
        <w:noProof/>
        <w:color w:val="000000"/>
      </w:rPr>
      <w:t>2</w:t>
    </w:r>
    <w:r>
      <w:rPr>
        <w:color w:val="000000"/>
      </w:rPr>
      <w:fldChar w:fldCharType="end"/>
    </w:r>
  </w:p>
  <w:p w14:paraId="000000FC" w14:textId="77777777" w:rsidR="00FE605E" w:rsidRDefault="00FE605E">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D" w14:textId="77777777" w:rsidR="00FE605E" w:rsidRDefault="00DD508B">
    <w:pPr>
      <w:widowControl w:val="0"/>
      <w:jc w:val="center"/>
      <w:rPr>
        <w:rFonts w:ascii="Gill Sans" w:eastAsia="Gill Sans" w:hAnsi="Gill Sans" w:cs="Gill Sans"/>
        <w:color w:val="333333"/>
      </w:rPr>
    </w:pPr>
    <w:r>
      <w:rPr>
        <w:noProof/>
      </w:rPr>
      <mc:AlternateContent>
        <mc:Choice Requires="wps">
          <w:drawing>
            <wp:anchor distT="0" distB="0" distL="114300" distR="114300" simplePos="0" relativeHeight="251658241" behindDoc="0" locked="0" layoutInCell="1" hidden="0" allowOverlap="1" wp14:anchorId="009254F4" wp14:editId="07777777">
              <wp:simplePos x="0" y="0"/>
              <wp:positionH relativeFrom="column">
                <wp:posOffset>-356233</wp:posOffset>
              </wp:positionH>
              <wp:positionV relativeFrom="paragraph">
                <wp:posOffset>126365</wp:posOffset>
              </wp:positionV>
              <wp:extent cx="664972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med" len="med"/>
                        <a:tailEnd type="none" w="med" len="med"/>
                      </a:ln>
                    </wps:spPr>
                    <wps:bodyPr/>
                  </wps:wsp>
                </a:graphicData>
              </a:graphic>
            </wp:anchor>
          </w:drawing>
        </mc:Choice>
        <mc:Fallback xmlns:w16cei="http://schemas.microsoft.com/office/word/2026/wordml/cei"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p14="http://schemas.microsoft.com/office/word/2010/wordml" xmlns:arto="http://schemas.microsoft.com/office/word/2006/arto">
          <w:drawing>
            <wp:anchor xmlns:wp14="http://schemas.microsoft.com/office/word/2010/wordprocessingDrawing" distT="0" distB="0" distL="114300" distR="114300" simplePos="0" relativeHeight="0" behindDoc="0" locked="0" layoutInCell="1" hidden="0" allowOverlap="1" wp14:anchorId="6C2023D8" wp14:editId="7777777">
              <wp:simplePos x="0" y="0"/>
              <wp:positionH relativeFrom="column">
                <wp:posOffset>-356233</wp:posOffset>
              </wp:positionH>
              <wp:positionV relativeFrom="paragraph">
                <wp:posOffset>126365</wp:posOffset>
              </wp:positionV>
              <wp:extent cx="6649720" cy="12700"/>
              <wp:effectExtent l="0" t="0" r="0" b="0"/>
              <wp:wrapNone/>
              <wp:docPr id="615599096"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6649720" cy="12700"/>
                      </a:xfrm>
                      <a:prstGeom prst="rect"/>
                      <a:ln/>
                    </pic:spPr>
                  </pic:pic>
                </a:graphicData>
              </a:graphic>
            </wp:anchor>
          </w:drawing>
        </mc:Fallback>
      </mc:AlternateContent>
    </w:r>
  </w:p>
  <w:p w14:paraId="000000FE" w14:textId="77777777" w:rsidR="00FE605E" w:rsidRDefault="00DD508B">
    <w:pPr>
      <w:widowControl w:val="0"/>
      <w:jc w:val="center"/>
      <w:rPr>
        <w:rFonts w:ascii="Adobe Jenson Pro" w:eastAsia="Adobe Jenson Pro" w:hAnsi="Adobe Jenson Pro" w:cs="Adobe Jenson Pro"/>
        <w:i/>
        <w:iCs/>
        <w:color w:val="542344"/>
        <w:sz w:val="23"/>
        <w:szCs w:val="23"/>
      </w:rPr>
    </w:pPr>
    <w:r>
      <w:rPr>
        <w:rFonts w:ascii="Gill Sans" w:eastAsia="Gill Sans" w:hAnsi="Gill Sans" w:cs="Gill Sans"/>
        <w:color w:val="333333"/>
        <w:sz w:val="18"/>
        <w:szCs w:val="18"/>
      </w:rPr>
      <w:t xml:space="preserve">The Advocates for Human Rights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330 Second Avenue South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Suite 800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Minneapolis, MN  55401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USA </w:t>
    </w:r>
  </w:p>
  <w:p w14:paraId="000000FF" w14:textId="77777777" w:rsidR="00FE605E" w:rsidRDefault="00DD508B">
    <w:pPr>
      <w:widowControl w:val="0"/>
      <w:jc w:val="center"/>
      <w:rPr>
        <w:rFonts w:ascii="Gill Sans" w:eastAsia="Gill Sans" w:hAnsi="Gill Sans" w:cs="Gill Sans"/>
        <w:color w:val="333333"/>
        <w:sz w:val="18"/>
        <w:szCs w:val="18"/>
      </w:rPr>
    </w:pPr>
    <w:r>
      <w:rPr>
        <w:rFonts w:ascii="Gill Sans" w:eastAsia="Gill Sans" w:hAnsi="Gill Sans" w:cs="Gill Sans"/>
        <w:color w:val="333333"/>
        <w:sz w:val="18"/>
        <w:szCs w:val="18"/>
      </w:rPr>
      <w:t xml:space="preserve">Tel:  612-341-3302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Fax:  612-341-2971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Email: hrights@advrights.org </w:t>
    </w:r>
    <w:r>
      <w:rPr>
        <w:rFonts w:ascii="Verdana" w:eastAsia="Verdana" w:hAnsi="Verdana" w:cs="Verdana"/>
        <w:color w:val="333333"/>
        <w:sz w:val="18"/>
        <w:szCs w:val="18"/>
      </w:rPr>
      <w:t>•</w:t>
    </w:r>
    <w:r>
      <w:rPr>
        <w:rFonts w:ascii="Gill Sans" w:eastAsia="Gill Sans" w:hAnsi="Gill Sans" w:cs="Gill Sans"/>
        <w:color w:val="333333"/>
        <w:sz w:val="18"/>
        <w:szCs w:val="18"/>
      </w:rPr>
      <w:t xml:space="preserve"> www.TheAdvocatesForHumanRights.org </w:t>
    </w:r>
  </w:p>
  <w:p w14:paraId="00000100" w14:textId="77777777" w:rsidR="00FE605E" w:rsidRDefault="00FE605E">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0E43C" w14:textId="77777777" w:rsidR="00807235" w:rsidRDefault="00807235">
      <w:r>
        <w:separator/>
      </w:r>
    </w:p>
  </w:footnote>
  <w:footnote w:type="continuationSeparator" w:id="0">
    <w:p w14:paraId="1A04863D" w14:textId="77777777" w:rsidR="00807235" w:rsidRDefault="00807235">
      <w:r>
        <w:continuationSeparator/>
      </w:r>
    </w:p>
  </w:footnote>
  <w:footnote w:id="1">
    <w:p w14:paraId="0000007E" w14:textId="43D96B70"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Concluding observations on the combined third to fifth periodic reports of the United Republic of Tanzania,</w:t>
      </w:r>
      <w:r w:rsidRPr="00C76AB8">
        <w:rPr>
          <w:sz w:val="22"/>
          <w:szCs w:val="22"/>
        </w:rPr>
        <w:t xml:space="preserve"> (Mar. 3, 2015), U.N. Doc. CRC/C/TZA/CO/3-5, ¶24</w:t>
      </w:r>
      <w:r w:rsidR="00065D60" w:rsidRPr="00C76AB8">
        <w:rPr>
          <w:sz w:val="22"/>
          <w:szCs w:val="22"/>
        </w:rPr>
        <w:t>.</w:t>
      </w:r>
    </w:p>
  </w:footnote>
  <w:footnote w:id="2">
    <w:p w14:paraId="0000007F" w14:textId="06FB758B"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 xml:space="preserve">Concluding observations on the combined third to fifth periodic reports of the United Republic of Tanzania, </w:t>
      </w:r>
      <w:r w:rsidRPr="00C76AB8">
        <w:rPr>
          <w:sz w:val="22"/>
          <w:szCs w:val="22"/>
        </w:rPr>
        <w:t>(Mar. 3, 2015), U.N. Doc. CRC/C/TZA/CO/3-5, ¶44</w:t>
      </w:r>
      <w:r w:rsidR="00065D60" w:rsidRPr="00C76AB8">
        <w:rPr>
          <w:sz w:val="22"/>
          <w:szCs w:val="22"/>
        </w:rPr>
        <w:t>.</w:t>
      </w:r>
      <w:r w:rsidRPr="00C76AB8">
        <w:rPr>
          <w:sz w:val="22"/>
          <w:szCs w:val="22"/>
        </w:rPr>
        <w:t xml:space="preserve"> </w:t>
      </w:r>
    </w:p>
  </w:footnote>
  <w:footnote w:id="3">
    <w:p w14:paraId="00000080" w14:textId="77D8FE6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Concluding observations on the combined third to fifth periodic reports of the United Republic of Tanzania</w:t>
      </w:r>
      <w:r w:rsidRPr="00C76AB8">
        <w:rPr>
          <w:sz w:val="22"/>
          <w:szCs w:val="22"/>
        </w:rPr>
        <w:t>, (Mar. 3, 2015), U.N. Doc. CRC/C/TZA/CO/3-5, ¶45</w:t>
      </w:r>
      <w:r w:rsidR="00065D60" w:rsidRPr="00C76AB8">
        <w:rPr>
          <w:sz w:val="22"/>
          <w:szCs w:val="22"/>
        </w:rPr>
        <w:t>.</w:t>
      </w:r>
    </w:p>
  </w:footnote>
  <w:footnote w:id="4">
    <w:p w14:paraId="10474AFF" w14:textId="500D2E7E" w:rsidR="00801601" w:rsidRPr="00C76AB8" w:rsidRDefault="00801601">
      <w:pPr>
        <w:pStyle w:val="FootnoteText"/>
        <w:rPr>
          <w:sz w:val="22"/>
          <w:szCs w:val="22"/>
          <w:lang w:val="en-US"/>
        </w:rPr>
      </w:pPr>
      <w:r w:rsidRPr="00C76AB8">
        <w:rPr>
          <w:rStyle w:val="FootnoteReference"/>
          <w:sz w:val="22"/>
          <w:szCs w:val="22"/>
        </w:rPr>
        <w:footnoteRef/>
      </w:r>
      <w:r w:rsidRPr="00C76AB8">
        <w:rPr>
          <w:sz w:val="22"/>
          <w:szCs w:val="22"/>
        </w:rPr>
        <w:t xml:space="preserve"> </w:t>
      </w:r>
      <w:r w:rsidRPr="00C76AB8">
        <w:rPr>
          <w:sz w:val="22"/>
          <w:szCs w:val="22"/>
          <w:lang w:val="en-US"/>
        </w:rPr>
        <w:t>Committee on the Rights of the Child,</w:t>
      </w:r>
      <w:r w:rsidRPr="00C76AB8">
        <w:rPr>
          <w:i/>
          <w:iCs/>
          <w:sz w:val="22"/>
          <w:szCs w:val="22"/>
          <w:lang w:val="en-US"/>
        </w:rPr>
        <w:t xml:space="preserve"> </w:t>
      </w:r>
      <w:r w:rsidR="007B3E10" w:rsidRPr="00C76AB8">
        <w:rPr>
          <w:i/>
          <w:iCs/>
          <w:sz w:val="22"/>
          <w:szCs w:val="22"/>
          <w:lang w:val="en-US"/>
        </w:rPr>
        <w:t xml:space="preserve">List of issues in relation to the sixth periodic report of the United Republic of Tanzania </w:t>
      </w:r>
      <w:r w:rsidR="007B3E10" w:rsidRPr="00C76AB8">
        <w:rPr>
          <w:sz w:val="22"/>
          <w:szCs w:val="22"/>
          <w:lang w:val="en-US"/>
        </w:rPr>
        <w:t xml:space="preserve">(Dec. 10, 2025), U.N. Doc. CRC/C/TZA/Q/6, </w:t>
      </w:r>
      <w:r w:rsidR="00C64F64" w:rsidRPr="00C76AB8">
        <w:rPr>
          <w:sz w:val="22"/>
          <w:szCs w:val="22"/>
        </w:rPr>
        <w:t>¶¶</w:t>
      </w:r>
      <w:r w:rsidR="00890CB8" w:rsidRPr="00C76AB8">
        <w:rPr>
          <w:sz w:val="22"/>
          <w:szCs w:val="22"/>
        </w:rPr>
        <w:t>2(a), 8(a), (c)</w:t>
      </w:r>
      <w:r w:rsidR="00C64F64" w:rsidRPr="00C76AB8">
        <w:rPr>
          <w:sz w:val="22"/>
          <w:szCs w:val="22"/>
        </w:rPr>
        <w:t>.</w:t>
      </w:r>
    </w:p>
  </w:footnote>
  <w:footnote w:id="5">
    <w:p w14:paraId="4446DD8B" w14:textId="2D7CC7CD" w:rsidR="008561E9" w:rsidRPr="00C76AB8" w:rsidRDefault="008561E9">
      <w:pPr>
        <w:pStyle w:val="FootnoteText"/>
        <w:rPr>
          <w:sz w:val="22"/>
          <w:szCs w:val="22"/>
          <w:lang w:val="en-US"/>
        </w:rPr>
      </w:pPr>
      <w:r w:rsidRPr="00C76AB8">
        <w:rPr>
          <w:rStyle w:val="FootnoteReference"/>
          <w:sz w:val="22"/>
          <w:szCs w:val="22"/>
        </w:rPr>
        <w:footnoteRef/>
      </w:r>
      <w:r w:rsidRPr="00C76AB8">
        <w:rPr>
          <w:sz w:val="22"/>
          <w:szCs w:val="22"/>
        </w:rPr>
        <w:t xml:space="preserve"> </w:t>
      </w:r>
      <w:r w:rsidRPr="00C76AB8">
        <w:rPr>
          <w:sz w:val="22"/>
          <w:szCs w:val="22"/>
          <w:lang w:val="en-US"/>
        </w:rPr>
        <w:t>Committee on the Rights of the Child,</w:t>
      </w:r>
      <w:r w:rsidRPr="00C76AB8">
        <w:rPr>
          <w:i/>
          <w:iCs/>
          <w:sz w:val="22"/>
          <w:szCs w:val="22"/>
          <w:lang w:val="en-US"/>
        </w:rPr>
        <w:t xml:space="preserve"> List of issues in relation to the sixth periodic report of the United Republic of Tanzania </w:t>
      </w:r>
      <w:r w:rsidRPr="00C76AB8">
        <w:rPr>
          <w:sz w:val="22"/>
          <w:szCs w:val="22"/>
          <w:lang w:val="en-US"/>
        </w:rPr>
        <w:t xml:space="preserve">(Dec. 10, 2025), U.N. Doc. CRC/C/TZA/Q/6, </w:t>
      </w:r>
      <w:r w:rsidRPr="00C76AB8">
        <w:rPr>
          <w:sz w:val="22"/>
          <w:szCs w:val="22"/>
        </w:rPr>
        <w:t>¶1</w:t>
      </w:r>
      <w:r w:rsidR="00D95899" w:rsidRPr="00C76AB8">
        <w:rPr>
          <w:sz w:val="22"/>
          <w:szCs w:val="22"/>
        </w:rPr>
        <w:t>8</w:t>
      </w:r>
      <w:r w:rsidRPr="00C76AB8">
        <w:rPr>
          <w:sz w:val="22"/>
          <w:szCs w:val="22"/>
        </w:rPr>
        <w:t>(a).</w:t>
      </w:r>
    </w:p>
  </w:footnote>
  <w:footnote w:id="6">
    <w:p w14:paraId="00000081" w14:textId="70428AF2"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Sixth periodic report submitted by the United Republic of Tanzania under article 44 of the Convention, due in 2020,</w:t>
      </w:r>
      <w:r w:rsidRPr="00C76AB8">
        <w:rPr>
          <w:sz w:val="22"/>
          <w:szCs w:val="22"/>
        </w:rPr>
        <w:t xml:space="preserve"> (Mar. 3, 2015), U.N. Doc. CRC/C/TZA/CO/6, ¶¶53</w:t>
      </w:r>
      <w:r w:rsidR="00065D60" w:rsidRPr="00C76AB8">
        <w:rPr>
          <w:sz w:val="22"/>
          <w:szCs w:val="22"/>
        </w:rPr>
        <w:t>.</w:t>
      </w:r>
    </w:p>
  </w:footnote>
  <w:footnote w:id="7">
    <w:p w14:paraId="00000082"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Sixth periodic report submitted by the United Republic of Tanzania under article 44 of the Convention, due in 2020,</w:t>
      </w:r>
      <w:r w:rsidRPr="00C76AB8">
        <w:rPr>
          <w:sz w:val="22"/>
          <w:szCs w:val="22"/>
        </w:rPr>
        <w:t xml:space="preserve"> (Mar. 3, 2015), U.N. Doc. CRC/C/TZA/CO/6, ¶¶97-103</w:t>
      </w:r>
    </w:p>
  </w:footnote>
  <w:footnote w:id="8">
    <w:p w14:paraId="00000083" w14:textId="7CA2A3BE"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United Republic of Tanzania, </w:t>
      </w:r>
      <w:r w:rsidRPr="00C76AB8">
        <w:rPr>
          <w:i/>
          <w:iCs/>
          <w:sz w:val="22"/>
          <w:szCs w:val="22"/>
        </w:rPr>
        <w:t>National Plan of Action to End Violence Against Women and Children (NPA-VAWC II 2024/25–2028/29)</w:t>
      </w:r>
      <w:r w:rsidRPr="00C76AB8">
        <w:rPr>
          <w:sz w:val="22"/>
          <w:szCs w:val="22"/>
        </w:rPr>
        <w:t xml:space="preserve"> (2024), 5, </w:t>
      </w:r>
      <w:hyperlink r:id="rId1">
        <w:r w:rsidR="00FE605E" w:rsidRPr="00C76AB8">
          <w:rPr>
            <w:sz w:val="22"/>
            <w:szCs w:val="22"/>
          </w:rPr>
          <w:t>https://www.jamii.go.tz/uploads/documents/sw-1739175592-NPA-VAWC-II.24.25.pdf</w:t>
        </w:r>
      </w:hyperlink>
      <w:r w:rsidR="00065D60" w:rsidRPr="00C76AB8">
        <w:rPr>
          <w:sz w:val="22"/>
          <w:szCs w:val="22"/>
        </w:rPr>
        <w:t>.</w:t>
      </w:r>
      <w:r w:rsidRPr="00C76AB8">
        <w:rPr>
          <w:sz w:val="22"/>
          <w:szCs w:val="22"/>
        </w:rPr>
        <w:t xml:space="preserve"> </w:t>
      </w:r>
    </w:p>
  </w:footnote>
  <w:footnote w:id="9">
    <w:p w14:paraId="00000084" w14:textId="7CDB1ADE"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The United Republic of Tanzania National Audit Office, </w:t>
      </w:r>
      <w:r w:rsidRPr="00C76AB8">
        <w:rPr>
          <w:i/>
          <w:iCs/>
          <w:sz w:val="22"/>
          <w:szCs w:val="22"/>
        </w:rPr>
        <w:t>Performance Audit Report on the Management of Measures for Eliminating Violence Against Women and Children in Tanzania</w:t>
      </w:r>
      <w:r w:rsidRPr="00C76AB8">
        <w:rPr>
          <w:sz w:val="22"/>
          <w:szCs w:val="22"/>
        </w:rPr>
        <w:t xml:space="preserve"> (2023), 55, 75, </w:t>
      </w:r>
      <w:hyperlink r:id="rId2">
        <w:r w:rsidR="00FE605E" w:rsidRPr="00C76AB8">
          <w:rPr>
            <w:sz w:val="22"/>
            <w:szCs w:val="22"/>
          </w:rPr>
          <w:t>https://www.nao.go.tz/reports/view/performance-audit-report-on-the-management-of-measures-for-eliminating-violence-against-women-and-girls-in-tanzania</w:t>
        </w:r>
      </w:hyperlink>
      <w:r w:rsidR="00065D60" w:rsidRPr="00C76AB8">
        <w:rPr>
          <w:sz w:val="22"/>
          <w:szCs w:val="22"/>
        </w:rPr>
        <w:t>.</w:t>
      </w:r>
      <w:r w:rsidRPr="00C76AB8">
        <w:rPr>
          <w:sz w:val="22"/>
          <w:szCs w:val="22"/>
        </w:rPr>
        <w:t xml:space="preserve"> </w:t>
      </w:r>
    </w:p>
  </w:footnote>
  <w:footnote w:id="10">
    <w:p w14:paraId="00000085" w14:textId="5AA4BC5D"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Sheryl L. Buske, </w:t>
      </w:r>
      <w:r w:rsidRPr="00C76AB8">
        <w:rPr>
          <w:i/>
          <w:iCs/>
          <w:sz w:val="22"/>
          <w:szCs w:val="22"/>
        </w:rPr>
        <w:t>Child Marriage in Tanzania: Loopholes, Duct Tape, and Lesser Evils</w:t>
      </w:r>
      <w:r w:rsidRPr="00C76AB8">
        <w:rPr>
          <w:sz w:val="22"/>
          <w:szCs w:val="22"/>
        </w:rPr>
        <w:t xml:space="preserve">, 60 Tulsa Law Review 109, 140 (2025), </w:t>
      </w:r>
      <w:hyperlink r:id="rId3">
        <w:r w:rsidR="00FE605E" w:rsidRPr="00C76AB8">
          <w:rPr>
            <w:sz w:val="22"/>
            <w:szCs w:val="22"/>
          </w:rPr>
          <w:t>https://digitalcommons.law.utulsa.edu/cgi/viewcontent.cgi?article=3342&amp;context=tlr</w:t>
        </w:r>
      </w:hyperlink>
      <w:r w:rsidR="00065D60" w:rsidRPr="00C76AB8">
        <w:rPr>
          <w:sz w:val="22"/>
          <w:szCs w:val="22"/>
        </w:rPr>
        <w:t>.</w:t>
      </w:r>
      <w:r w:rsidRPr="00C76AB8">
        <w:rPr>
          <w:sz w:val="22"/>
          <w:szCs w:val="22"/>
        </w:rPr>
        <w:t xml:space="preserve"> </w:t>
      </w:r>
    </w:p>
  </w:footnote>
  <w:footnote w:id="11">
    <w:p w14:paraId="00000086"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w:t>
      </w:r>
    </w:p>
  </w:footnote>
  <w:footnote w:id="12">
    <w:p w14:paraId="00000087"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p. 113. </w:t>
      </w:r>
    </w:p>
  </w:footnote>
  <w:footnote w:id="13">
    <w:p w14:paraId="00000088"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p. 140.</w:t>
      </w:r>
    </w:p>
  </w:footnote>
  <w:footnote w:id="14">
    <w:p w14:paraId="00000089"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w:t>
      </w:r>
    </w:p>
  </w:footnote>
  <w:footnote w:id="15">
    <w:p w14:paraId="0000008A"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w:t>
      </w:r>
    </w:p>
  </w:footnote>
  <w:footnote w:id="16">
    <w:p w14:paraId="0000008B"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w:t>
      </w:r>
    </w:p>
  </w:footnote>
  <w:footnote w:id="17">
    <w:p w14:paraId="00000102" w14:textId="06709BD9" w:rsidR="00FE605E" w:rsidRPr="00C76AB8" w:rsidRDefault="00DD508B">
      <w:pPr>
        <w:rPr>
          <w:sz w:val="22"/>
          <w:szCs w:val="22"/>
        </w:rPr>
      </w:pPr>
      <w:r w:rsidRPr="00C76AB8">
        <w:rPr>
          <w:sz w:val="22"/>
          <w:szCs w:val="22"/>
          <w:vertAlign w:val="superscript"/>
        </w:rPr>
        <w:footnoteRef/>
      </w:r>
      <w:r w:rsidRPr="00C76AB8">
        <w:rPr>
          <w:sz w:val="22"/>
          <w:szCs w:val="22"/>
        </w:rPr>
        <w:t xml:space="preserve"> Court of Appeal of Tanzania, </w:t>
      </w:r>
      <w:r w:rsidRPr="00C76AB8">
        <w:rPr>
          <w:i/>
          <w:iCs/>
          <w:sz w:val="22"/>
          <w:szCs w:val="22"/>
        </w:rPr>
        <w:t>Attorney General v Lohay Akonaay and Another,</w:t>
      </w:r>
      <w:r w:rsidRPr="00C76AB8">
        <w:rPr>
          <w:sz w:val="22"/>
          <w:szCs w:val="22"/>
        </w:rPr>
        <w:t xml:space="preserve"> (CA), TLR 80, (1995), </w:t>
      </w:r>
      <w:hyperlink r:id="rId4">
        <w:r w:rsidR="00FE605E" w:rsidRPr="00C76AB8">
          <w:rPr>
            <w:sz w:val="22"/>
            <w:szCs w:val="22"/>
          </w:rPr>
          <w:t xml:space="preserve"> </w:t>
        </w:r>
      </w:hyperlink>
      <w:hyperlink r:id="rId5">
        <w:r w:rsidR="00FE605E" w:rsidRPr="00C76AB8">
          <w:rPr>
            <w:sz w:val="22"/>
            <w:szCs w:val="22"/>
          </w:rPr>
          <w:t>https://fbattorneys.co.tz/wp-content/uploads/2019/10/CoA-Judgment-204.pdf</w:t>
        </w:r>
      </w:hyperlink>
      <w:r w:rsidR="00065D60" w:rsidRPr="00C76AB8">
        <w:rPr>
          <w:sz w:val="22"/>
          <w:szCs w:val="22"/>
        </w:rPr>
        <w:t>.</w:t>
      </w:r>
      <w:r w:rsidRPr="00C76AB8">
        <w:rPr>
          <w:sz w:val="22"/>
          <w:szCs w:val="22"/>
        </w:rPr>
        <w:t xml:space="preserve"> </w:t>
      </w:r>
    </w:p>
  </w:footnote>
  <w:footnote w:id="18">
    <w:p w14:paraId="0000008C" w14:textId="291795FF"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LHRC and ZAFAYCO, </w:t>
      </w:r>
      <w:r w:rsidRPr="00C76AB8">
        <w:rPr>
          <w:i/>
          <w:iCs/>
          <w:sz w:val="22"/>
          <w:szCs w:val="22"/>
        </w:rPr>
        <w:t>Tanzania Human Rights Report 2024: The Resurgence of Unknown Assailants</w:t>
      </w:r>
      <w:r w:rsidRPr="00C76AB8">
        <w:rPr>
          <w:sz w:val="22"/>
          <w:szCs w:val="22"/>
        </w:rPr>
        <w:t xml:space="preserve">, by Fundikila Wazambi and Robert Majige (2025), 200, </w:t>
      </w:r>
      <w:hyperlink r:id="rId6">
        <w:r w:rsidR="00FE605E" w:rsidRPr="00C76AB8">
          <w:rPr>
            <w:sz w:val="22"/>
            <w:szCs w:val="22"/>
          </w:rPr>
          <w:t>https://humanrights.or.tz/storage/user_storage/681870a52bc97.pdf</w:t>
        </w:r>
      </w:hyperlink>
      <w:r w:rsidR="00065D60" w:rsidRPr="00C76AB8">
        <w:rPr>
          <w:sz w:val="22"/>
          <w:szCs w:val="22"/>
        </w:rPr>
        <w:t>.</w:t>
      </w:r>
      <w:r w:rsidRPr="00C76AB8">
        <w:rPr>
          <w:sz w:val="22"/>
          <w:szCs w:val="22"/>
        </w:rPr>
        <w:t xml:space="preserve"> </w:t>
      </w:r>
    </w:p>
  </w:footnote>
  <w:footnote w:id="19">
    <w:p w14:paraId="0000008D"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w:t>
      </w:r>
    </w:p>
  </w:footnote>
  <w:footnote w:id="20">
    <w:p w14:paraId="0000008E"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w:t>
      </w:r>
    </w:p>
  </w:footnote>
  <w:footnote w:id="21">
    <w:p w14:paraId="0000008F" w14:textId="242398CB"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vertAlign w:val="superscript"/>
        </w:rPr>
        <w:t xml:space="preserve"> </w:t>
      </w:r>
      <w:r w:rsidRPr="00C76AB8">
        <w:rPr>
          <w:sz w:val="22"/>
          <w:szCs w:val="22"/>
        </w:rPr>
        <w:t xml:space="preserve">Sexual Offences (Special Provisions) Act, 1998 (Tanzania), </w:t>
      </w:r>
      <w:r w:rsidR="00065D60" w:rsidRPr="001A2B21">
        <w:rPr>
          <w:sz w:val="22"/>
          <w:szCs w:val="22"/>
        </w:rPr>
        <w:t xml:space="preserve">https://clr.africanchildforum.org/Legislation%20Per%20Country/Tanzania/tanzania_sexualoffences_1998_en.pdf. </w:t>
      </w:r>
      <w:r w:rsidRPr="00C76AB8">
        <w:rPr>
          <w:sz w:val="22"/>
          <w:szCs w:val="22"/>
        </w:rPr>
        <w:t xml:space="preserve"> </w:t>
      </w:r>
    </w:p>
  </w:footnote>
  <w:footnote w:id="22">
    <w:p w14:paraId="00000090"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28 Too Many and Thomson Reuters, </w:t>
      </w:r>
      <w:r w:rsidRPr="00C76AB8">
        <w:rPr>
          <w:i/>
          <w:iCs/>
          <w:sz w:val="22"/>
          <w:szCs w:val="22"/>
        </w:rPr>
        <w:t>Tanzania: The Law and FGM</w:t>
      </w:r>
      <w:r w:rsidRPr="00C76AB8">
        <w:rPr>
          <w:sz w:val="22"/>
          <w:szCs w:val="22"/>
        </w:rPr>
        <w:t xml:space="preserve"> (2018), 7, </w:t>
      </w:r>
      <w:hyperlink r:id="rId7">
        <w:r w:rsidR="00FE605E" w:rsidRPr="00C76AB8">
          <w:rPr>
            <w:sz w:val="22"/>
            <w:szCs w:val="22"/>
          </w:rPr>
          <w:t>https://www.fgmcri.org/media/uploads/Law%20Reports/tanzania_law_report_v1_(may_2018).pdf</w:t>
        </w:r>
      </w:hyperlink>
      <w:r w:rsidRPr="00C76AB8">
        <w:rPr>
          <w:sz w:val="22"/>
          <w:szCs w:val="22"/>
        </w:rPr>
        <w:t xml:space="preserve">; See also, information of file with authors (2026). </w:t>
      </w:r>
    </w:p>
  </w:footnote>
  <w:footnote w:id="23">
    <w:p w14:paraId="00000091"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pg. 5. </w:t>
      </w:r>
    </w:p>
  </w:footnote>
  <w:footnote w:id="24">
    <w:p w14:paraId="00000092"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w:t>
      </w:r>
    </w:p>
  </w:footnote>
  <w:footnote w:id="25">
    <w:p w14:paraId="00000093" w14:textId="46F1B117" w:rsidR="00FE605E" w:rsidRPr="00C76AB8" w:rsidRDefault="00DD508B">
      <w:pPr>
        <w:rPr>
          <w:sz w:val="22"/>
          <w:szCs w:val="22"/>
        </w:rPr>
      </w:pPr>
      <w:r w:rsidRPr="00C76AB8">
        <w:rPr>
          <w:sz w:val="22"/>
          <w:szCs w:val="22"/>
          <w:vertAlign w:val="superscript"/>
        </w:rPr>
        <w:footnoteRef/>
      </w:r>
      <w:r w:rsidRPr="00C76AB8">
        <w:rPr>
          <w:sz w:val="22"/>
          <w:szCs w:val="22"/>
        </w:rPr>
        <w:t xml:space="preserve"> World Health Organization, “Female Genital Mutilation,” accessed Jan. 31, 2026, </w:t>
      </w:r>
      <w:hyperlink r:id="rId8">
        <w:r w:rsidR="00FE605E" w:rsidRPr="00C76AB8">
          <w:rPr>
            <w:sz w:val="22"/>
            <w:szCs w:val="22"/>
          </w:rPr>
          <w:t>https://www.who.int/news-room/fact-sheets/detail/female-genital-mutilation</w:t>
        </w:r>
      </w:hyperlink>
      <w:r w:rsidR="00065D60" w:rsidRPr="00C76AB8">
        <w:rPr>
          <w:sz w:val="22"/>
          <w:szCs w:val="22"/>
        </w:rPr>
        <w:t>.</w:t>
      </w:r>
    </w:p>
  </w:footnote>
  <w:footnote w:id="26">
    <w:p w14:paraId="00000094" w14:textId="4123A02A"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28 Too Many, </w:t>
      </w:r>
      <w:r w:rsidRPr="00C76AB8">
        <w:rPr>
          <w:i/>
          <w:iCs/>
          <w:sz w:val="22"/>
          <w:szCs w:val="22"/>
        </w:rPr>
        <w:t>Tanzania: Country Profile</w:t>
      </w:r>
      <w:r w:rsidRPr="00C76AB8">
        <w:rPr>
          <w:sz w:val="22"/>
          <w:szCs w:val="22"/>
        </w:rPr>
        <w:t xml:space="preserve"> (2020), 71, </w:t>
      </w:r>
      <w:hyperlink r:id="rId9">
        <w:r w:rsidR="00FE605E" w:rsidRPr="00C76AB8">
          <w:rPr>
            <w:sz w:val="22"/>
            <w:szCs w:val="22"/>
          </w:rPr>
          <w:t>https://www.fgmcri.org/media/uploads/Country%20Research%20and%20Resources/Tanzania/tanzania_country_profile_v3_(july_2020).pdf</w:t>
        </w:r>
      </w:hyperlink>
      <w:r w:rsidR="00065D60" w:rsidRPr="00C76AB8">
        <w:rPr>
          <w:sz w:val="22"/>
          <w:szCs w:val="22"/>
        </w:rPr>
        <w:t>.</w:t>
      </w:r>
    </w:p>
  </w:footnote>
  <w:footnote w:id="27">
    <w:p w14:paraId="00000095" w14:textId="77777777" w:rsidR="00FE605E" w:rsidRPr="00C76AB8" w:rsidRDefault="00DD508B">
      <w:pPr>
        <w:rPr>
          <w:sz w:val="22"/>
          <w:szCs w:val="22"/>
        </w:rPr>
      </w:pPr>
      <w:r w:rsidRPr="00C76AB8">
        <w:rPr>
          <w:sz w:val="22"/>
          <w:szCs w:val="22"/>
          <w:vertAlign w:val="superscript"/>
        </w:rPr>
        <w:footnoteRef/>
      </w:r>
      <w:r w:rsidRPr="00C76AB8">
        <w:rPr>
          <w:sz w:val="22"/>
          <w:szCs w:val="22"/>
        </w:rPr>
        <w:t xml:space="preserve"> Ibid. </w:t>
      </w:r>
    </w:p>
  </w:footnote>
  <w:footnote w:id="28">
    <w:p w14:paraId="00000096" w14:textId="0DE21E5D"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Orchid Project, “Why Does FGC Happen?” accessed March 14, 2026, </w:t>
      </w:r>
      <w:hyperlink r:id="rId10">
        <w:r w:rsidR="00FE605E" w:rsidRPr="00C76AB8">
          <w:rPr>
            <w:sz w:val="22"/>
            <w:szCs w:val="22"/>
          </w:rPr>
          <w:t>https://www.orchidproject.org/about-fgc/why-does-fgc-happen/</w:t>
        </w:r>
      </w:hyperlink>
      <w:r w:rsidR="00065D60" w:rsidRPr="00C76AB8">
        <w:rPr>
          <w:sz w:val="22"/>
          <w:szCs w:val="22"/>
        </w:rPr>
        <w:t>.</w:t>
      </w:r>
    </w:p>
  </w:footnote>
  <w:footnote w:id="29">
    <w:p w14:paraId="00000098" w14:textId="0DD6DE4E"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28 Too Many, </w:t>
      </w:r>
      <w:r w:rsidRPr="00C76AB8">
        <w:rPr>
          <w:i/>
          <w:iCs/>
          <w:sz w:val="22"/>
          <w:szCs w:val="22"/>
        </w:rPr>
        <w:t>Tanzania: Country Profile</w:t>
      </w:r>
      <w:r w:rsidRPr="00C76AB8">
        <w:rPr>
          <w:sz w:val="22"/>
          <w:szCs w:val="22"/>
        </w:rPr>
        <w:t xml:space="preserve"> (2020), 72, </w:t>
      </w:r>
      <w:hyperlink r:id="rId11">
        <w:r w:rsidR="00FE605E" w:rsidRPr="00C76AB8">
          <w:rPr>
            <w:sz w:val="22"/>
            <w:szCs w:val="22"/>
          </w:rPr>
          <w:t>https://www.fgmcri.org/media/uploads/Country%20Research%20and%20Resources/Tanzania/tanzania_country_profile_v3_(july_2020).pdf</w:t>
        </w:r>
      </w:hyperlink>
      <w:r w:rsidR="00065D60" w:rsidRPr="00C76AB8">
        <w:rPr>
          <w:sz w:val="22"/>
          <w:szCs w:val="22"/>
        </w:rPr>
        <w:t xml:space="preserve">. </w:t>
      </w:r>
      <w:r w:rsidRPr="00C76AB8">
        <w:rPr>
          <w:sz w:val="22"/>
          <w:szCs w:val="22"/>
        </w:rPr>
        <w:t xml:space="preserve">Ibid.  </w:t>
      </w:r>
    </w:p>
  </w:footnote>
  <w:footnote w:id="30">
    <w:p w14:paraId="00000099" w14:textId="071B11D5"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United Nations Tanzania, “Winda’s Story: Saying No to FGM,” accessed Jan. 19, 2026, </w:t>
      </w:r>
      <w:hyperlink r:id="rId12">
        <w:r w:rsidR="00FE605E" w:rsidRPr="00C76AB8">
          <w:rPr>
            <w:sz w:val="22"/>
            <w:szCs w:val="22"/>
          </w:rPr>
          <w:t>https://tanzania.un.org/en/108315-winda%E2%80%99s-story-saying-no-fgm</w:t>
        </w:r>
      </w:hyperlink>
      <w:r w:rsidR="00065D60" w:rsidRPr="00C76AB8">
        <w:rPr>
          <w:sz w:val="22"/>
          <w:szCs w:val="22"/>
        </w:rPr>
        <w:t>.</w:t>
      </w:r>
    </w:p>
  </w:footnote>
  <w:footnote w:id="31">
    <w:p w14:paraId="0000009A" w14:textId="3487D466"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The African Women’s Development and Communication Network and SIDA, </w:t>
      </w:r>
      <w:r w:rsidRPr="00C76AB8">
        <w:rPr>
          <w:i/>
          <w:iCs/>
          <w:sz w:val="22"/>
          <w:szCs w:val="22"/>
        </w:rPr>
        <w:t xml:space="preserve">Economic Empowerment is Key to Ending Harmful Practices and Protecting Women &amp; Girls: Female genital mutilation | Early &amp; child marriage | Access to safe abortion: Tanzania </w:t>
      </w:r>
      <w:r w:rsidRPr="00C76AB8">
        <w:rPr>
          <w:sz w:val="22"/>
          <w:szCs w:val="22"/>
        </w:rPr>
        <w:t xml:space="preserve">(2021), 5,12, </w:t>
      </w:r>
      <w:hyperlink r:id="rId13">
        <w:r w:rsidR="00FE605E" w:rsidRPr="00C76AB8">
          <w:rPr>
            <w:sz w:val="22"/>
            <w:szCs w:val="22"/>
          </w:rPr>
          <w:t>https://femnet.org/wp-content/uploads/2022/09/TANZANIA-final.pdf</w:t>
        </w:r>
      </w:hyperlink>
      <w:r w:rsidR="00065D60" w:rsidRPr="00C76AB8">
        <w:rPr>
          <w:sz w:val="22"/>
          <w:szCs w:val="22"/>
        </w:rPr>
        <w:t>.</w:t>
      </w:r>
      <w:r w:rsidRPr="00C76AB8">
        <w:rPr>
          <w:sz w:val="22"/>
          <w:szCs w:val="22"/>
        </w:rPr>
        <w:t xml:space="preserve"> </w:t>
      </w:r>
    </w:p>
  </w:footnote>
  <w:footnote w:id="32">
    <w:p w14:paraId="0000009B" w14:textId="59EC137C"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Right To Play, “How Judith Stood Up Against Female Genital Mutilation,” accessed Mar. 27, 2026, </w:t>
      </w:r>
      <w:hyperlink r:id="rId14">
        <w:r w:rsidR="00FE605E" w:rsidRPr="00C76AB8">
          <w:rPr>
            <w:sz w:val="22"/>
            <w:szCs w:val="22"/>
          </w:rPr>
          <w:t>https://righttoplay.com/en/stories/wont-stop-me-judiths-story/</w:t>
        </w:r>
      </w:hyperlink>
      <w:r w:rsidR="00065D60" w:rsidRPr="00C76AB8">
        <w:rPr>
          <w:sz w:val="22"/>
          <w:szCs w:val="22"/>
        </w:rPr>
        <w:t>.</w:t>
      </w:r>
    </w:p>
  </w:footnote>
  <w:footnote w:id="33">
    <w:p w14:paraId="1E391FBA" w14:textId="2430CA4A" w:rsidR="00F74DD1" w:rsidRPr="00C76AB8" w:rsidRDefault="00F74DD1">
      <w:pPr>
        <w:pStyle w:val="FootnoteText"/>
        <w:rPr>
          <w:sz w:val="22"/>
          <w:szCs w:val="22"/>
          <w:lang w:val="en-US"/>
        </w:rPr>
      </w:pPr>
      <w:r w:rsidRPr="00C76AB8">
        <w:rPr>
          <w:rStyle w:val="FootnoteReference"/>
          <w:sz w:val="22"/>
          <w:szCs w:val="22"/>
        </w:rPr>
        <w:footnoteRef/>
      </w:r>
      <w:r w:rsidRPr="00C76AB8">
        <w:rPr>
          <w:sz w:val="22"/>
          <w:szCs w:val="22"/>
        </w:rPr>
        <w:t xml:space="preserve"> </w:t>
      </w:r>
      <w:r w:rsidRPr="00C76AB8">
        <w:rPr>
          <w:sz w:val="22"/>
          <w:szCs w:val="22"/>
          <w:lang w:val="en-US"/>
        </w:rPr>
        <w:t>Committee on the Rights of the Child,</w:t>
      </w:r>
      <w:r w:rsidRPr="00C76AB8">
        <w:rPr>
          <w:i/>
          <w:iCs/>
          <w:sz w:val="22"/>
          <w:szCs w:val="22"/>
          <w:lang w:val="en-US"/>
        </w:rPr>
        <w:t xml:space="preserve"> List of issues in relation to the sixth periodic report of the United Republic of Tanzania </w:t>
      </w:r>
      <w:r w:rsidRPr="00C76AB8">
        <w:rPr>
          <w:sz w:val="22"/>
          <w:szCs w:val="22"/>
          <w:lang w:val="en-US"/>
        </w:rPr>
        <w:t xml:space="preserve">(Dec. 10, 2025), U.N. Doc. CRC/C/TZA/Q/6, </w:t>
      </w:r>
      <w:r w:rsidRPr="00C76AB8">
        <w:rPr>
          <w:sz w:val="22"/>
          <w:szCs w:val="22"/>
        </w:rPr>
        <w:t>¶¶</w:t>
      </w:r>
      <w:r w:rsidR="00B064DE" w:rsidRPr="00C76AB8">
        <w:rPr>
          <w:sz w:val="22"/>
          <w:szCs w:val="22"/>
        </w:rPr>
        <w:t xml:space="preserve">12, </w:t>
      </w:r>
      <w:r w:rsidRPr="00C76AB8">
        <w:rPr>
          <w:sz w:val="22"/>
          <w:szCs w:val="22"/>
        </w:rPr>
        <w:t>13(d)</w:t>
      </w:r>
      <w:r w:rsidR="00781068" w:rsidRPr="00C76AB8">
        <w:rPr>
          <w:sz w:val="22"/>
          <w:szCs w:val="22"/>
        </w:rPr>
        <w:t>.</w:t>
      </w:r>
    </w:p>
  </w:footnote>
  <w:footnote w:id="34">
    <w:p w14:paraId="0000009C" w14:textId="50B4725C"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Concluding observations on the combined third to fifth periodic reports of the United Republic of Tanzania,</w:t>
      </w:r>
      <w:r w:rsidRPr="00C76AB8">
        <w:rPr>
          <w:sz w:val="22"/>
          <w:szCs w:val="22"/>
        </w:rPr>
        <w:t xml:space="preserve"> (Mar. 3, 2015), U.N. Doc. CRC/C/TZA/CO/3-5, ¶24</w:t>
      </w:r>
      <w:r w:rsidR="00065D60" w:rsidRPr="00C76AB8">
        <w:rPr>
          <w:sz w:val="22"/>
          <w:szCs w:val="22"/>
        </w:rPr>
        <w:t>.</w:t>
      </w:r>
    </w:p>
  </w:footnote>
  <w:footnote w:id="35">
    <w:p w14:paraId="0000009D" w14:textId="359405FE"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Sixth periodic report submitted by the United Republic of Tanzania under article 44 of the Convention, due in 2020,</w:t>
      </w:r>
      <w:r w:rsidRPr="00C76AB8">
        <w:rPr>
          <w:sz w:val="22"/>
          <w:szCs w:val="22"/>
        </w:rPr>
        <w:t xml:space="preserve"> (Mar. 3, 2015), U.N. Doc. CRC/C/TZA/CO/6, ¶¶137-142</w:t>
      </w:r>
      <w:r w:rsidR="00065D60" w:rsidRPr="00C76AB8">
        <w:rPr>
          <w:sz w:val="22"/>
          <w:szCs w:val="22"/>
        </w:rPr>
        <w:t>.</w:t>
      </w:r>
    </w:p>
  </w:footnote>
  <w:footnote w:id="36">
    <w:p w14:paraId="0000009E" w14:textId="0AB6C18F"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Susie Berya, </w:t>
      </w:r>
      <w:r w:rsidRPr="00C76AB8">
        <w:rPr>
          <w:i/>
          <w:iCs/>
          <w:sz w:val="22"/>
          <w:szCs w:val="22"/>
        </w:rPr>
        <w:t>Tanzania Reinstates Controversial Sanitary Pad Tax,</w:t>
      </w:r>
      <w:r w:rsidRPr="00C76AB8">
        <w:rPr>
          <w:sz w:val="22"/>
          <w:szCs w:val="22"/>
        </w:rPr>
        <w:t xml:space="preserve"> Global Voices, June 29, 2019. </w:t>
      </w:r>
      <w:hyperlink r:id="rId15">
        <w:r w:rsidR="00FE605E" w:rsidRPr="00C76AB8">
          <w:rPr>
            <w:sz w:val="22"/>
            <w:szCs w:val="22"/>
          </w:rPr>
          <w:t>https://globalvoices.org/2019/06/29/tanzania-reinstates-controversial-sanitary-pad-tax/</w:t>
        </w:r>
      </w:hyperlink>
      <w:r w:rsidR="00065D60" w:rsidRPr="00C76AB8">
        <w:rPr>
          <w:sz w:val="22"/>
          <w:szCs w:val="22"/>
        </w:rPr>
        <w:t>.</w:t>
      </w:r>
    </w:p>
  </w:footnote>
  <w:footnote w:id="37">
    <w:p w14:paraId="0000009F"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Lerato Mogoatlhe, </w:t>
      </w:r>
      <w:r w:rsidRPr="00C76AB8">
        <w:rPr>
          <w:i/>
          <w:iCs/>
          <w:sz w:val="22"/>
          <w:szCs w:val="22"/>
        </w:rPr>
        <w:t>Tanzania Is Bringing Back Tax on Menstrual Products, and Activists Are Not Having It</w:t>
      </w:r>
      <w:r w:rsidRPr="00C76AB8">
        <w:rPr>
          <w:sz w:val="22"/>
          <w:szCs w:val="22"/>
        </w:rPr>
        <w:t xml:space="preserve">, Global Citizen, June 24, 2019. </w:t>
      </w:r>
      <w:hyperlink r:id="rId16">
        <w:r w:rsidR="00FE605E" w:rsidRPr="00C76AB8">
          <w:rPr>
            <w:sz w:val="22"/>
            <w:szCs w:val="22"/>
          </w:rPr>
          <w:t>https://www.globalcitizen.org/en/content/tanzania-bringing-back-tax-period-products/</w:t>
        </w:r>
      </w:hyperlink>
      <w:r w:rsidRPr="00C76AB8">
        <w:rPr>
          <w:sz w:val="22"/>
          <w:szCs w:val="22"/>
        </w:rPr>
        <w:t xml:space="preserve">.; See also, information on file with authors (2026). </w:t>
      </w:r>
    </w:p>
  </w:footnote>
  <w:footnote w:id="38">
    <w:p w14:paraId="000000A0"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w:t>
      </w:r>
    </w:p>
  </w:footnote>
  <w:footnote w:id="39">
    <w:p w14:paraId="000000A1"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w:t>
      </w:r>
    </w:p>
  </w:footnote>
  <w:footnote w:id="40">
    <w:p w14:paraId="000000A2" w14:textId="202C4E16" w:rsidR="00FE605E" w:rsidRPr="00C76AB8" w:rsidRDefault="00DD508B">
      <w:pPr>
        <w:pBdr>
          <w:top w:val="nil"/>
          <w:left w:val="nil"/>
          <w:bottom w:val="nil"/>
          <w:right w:val="nil"/>
          <w:between w:val="nil"/>
        </w:pBdr>
        <w:rPr>
          <w:i/>
          <w:iCs/>
          <w:sz w:val="22"/>
          <w:szCs w:val="22"/>
        </w:rPr>
      </w:pPr>
      <w:r w:rsidRPr="00C76AB8">
        <w:rPr>
          <w:sz w:val="22"/>
          <w:szCs w:val="22"/>
          <w:vertAlign w:val="superscript"/>
        </w:rPr>
        <w:footnoteRef/>
      </w:r>
      <w:r w:rsidRPr="00C76AB8">
        <w:rPr>
          <w:sz w:val="22"/>
          <w:szCs w:val="22"/>
        </w:rPr>
        <w:t xml:space="preserve"> David P. Ngilangwa, Frida Ngalesoni, Florence Temu, Afred J. Meremo, Diane Cooper &amp; Martina Lembani, M</w:t>
      </w:r>
      <w:r w:rsidRPr="00C76AB8">
        <w:rPr>
          <w:i/>
          <w:iCs/>
          <w:sz w:val="22"/>
          <w:szCs w:val="22"/>
        </w:rPr>
        <w:t>enstrual Hygiene Management Practices and Associated Factors Among Adolescent Schoolgirls in Rural Tanzania: A School-Based Cross-Sectional Study</w:t>
      </w:r>
      <w:r w:rsidRPr="00C76AB8">
        <w:rPr>
          <w:sz w:val="22"/>
          <w:szCs w:val="22"/>
        </w:rPr>
        <w:t xml:space="preserve">, 12 Women’s Reproductive Health 928, 929 (2025), </w:t>
      </w:r>
      <w:hyperlink r:id="rId17">
        <w:r w:rsidR="00FE605E" w:rsidRPr="00C76AB8">
          <w:rPr>
            <w:sz w:val="22"/>
            <w:szCs w:val="22"/>
          </w:rPr>
          <w:t>https://www.tandfonline.com/doi/pdf/10.1080/23293691.2025.2491028</w:t>
        </w:r>
      </w:hyperlink>
      <w:r w:rsidR="00065D60" w:rsidRPr="00C76AB8">
        <w:rPr>
          <w:sz w:val="22"/>
          <w:szCs w:val="22"/>
        </w:rPr>
        <w:t>.</w:t>
      </w:r>
      <w:r w:rsidRPr="00C76AB8">
        <w:rPr>
          <w:sz w:val="22"/>
          <w:szCs w:val="22"/>
        </w:rPr>
        <w:t xml:space="preserve"> </w:t>
      </w:r>
    </w:p>
  </w:footnote>
  <w:footnote w:id="41">
    <w:p w14:paraId="000000A3" w14:textId="5EBC723D"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David P. Ngilangwa, Frida Ngalesoni, Florence Temu, Afred J. Meremo, Diane Cooper &amp; Martina Lembani, M</w:t>
      </w:r>
      <w:r w:rsidRPr="00C76AB8">
        <w:rPr>
          <w:i/>
          <w:iCs/>
          <w:sz w:val="22"/>
          <w:szCs w:val="22"/>
        </w:rPr>
        <w:t>enstrual Hygiene Management Practices and Associated Factors Among Adolescent Schoolgirls in Rural Tanzania: A School-Based Cross-Sectional Study</w:t>
      </w:r>
      <w:r w:rsidRPr="00C76AB8">
        <w:rPr>
          <w:sz w:val="22"/>
          <w:szCs w:val="22"/>
        </w:rPr>
        <w:t xml:space="preserve">, 12 Women’s Reproductive Health 928, 936 (2025), </w:t>
      </w:r>
      <w:hyperlink r:id="rId18">
        <w:r w:rsidR="00FE605E" w:rsidRPr="00C76AB8">
          <w:rPr>
            <w:sz w:val="22"/>
            <w:szCs w:val="22"/>
          </w:rPr>
          <w:t>https://www.tandfonline.com/doi/pdf/10.1080/23293691.2025.2491028</w:t>
        </w:r>
      </w:hyperlink>
      <w:r w:rsidR="00065D60" w:rsidRPr="00C76AB8">
        <w:rPr>
          <w:sz w:val="22"/>
          <w:szCs w:val="22"/>
        </w:rPr>
        <w:t>.</w:t>
      </w:r>
      <w:r w:rsidRPr="00C76AB8">
        <w:rPr>
          <w:sz w:val="22"/>
          <w:szCs w:val="22"/>
        </w:rPr>
        <w:t xml:space="preserve"> </w:t>
      </w:r>
    </w:p>
  </w:footnote>
  <w:footnote w:id="42">
    <w:p w14:paraId="000000A4" w14:textId="7E777C9A"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David P. Ngilangwa, Frida Ngalesoni, Florence Temu, Afred J. Meremo, Diane Cooper &amp; Martina Lembani, M</w:t>
      </w:r>
      <w:r w:rsidRPr="00C76AB8">
        <w:rPr>
          <w:i/>
          <w:iCs/>
          <w:sz w:val="22"/>
          <w:szCs w:val="22"/>
        </w:rPr>
        <w:t>enstrual Hygiene Management Practices and Associated Factors Among Adolescent Schoolgirls in Rural Tanzania: A School-Based Cross-Sectional Study</w:t>
      </w:r>
      <w:r w:rsidRPr="00C76AB8">
        <w:rPr>
          <w:sz w:val="22"/>
          <w:szCs w:val="22"/>
        </w:rPr>
        <w:t xml:space="preserve">, 12 Women’s Reproductive Health 928, 934 (2025), </w:t>
      </w:r>
      <w:hyperlink r:id="rId19">
        <w:r w:rsidR="00FE605E" w:rsidRPr="00C76AB8">
          <w:rPr>
            <w:sz w:val="22"/>
            <w:szCs w:val="22"/>
          </w:rPr>
          <w:t>https://www.tandfonline.com/doi/pdf/10.1080/23293691.2025.2491028</w:t>
        </w:r>
      </w:hyperlink>
      <w:r w:rsidR="00065D60" w:rsidRPr="00C76AB8">
        <w:rPr>
          <w:sz w:val="22"/>
          <w:szCs w:val="22"/>
        </w:rPr>
        <w:t>.</w:t>
      </w:r>
    </w:p>
  </w:footnote>
  <w:footnote w:id="43">
    <w:p w14:paraId="000000A5" w14:textId="48F4161B"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Aisha S. King, Kathleen J. Sikkema, Jennifer Rubli, Britt De Vries, &amp; Emily M. Cherenack, </w:t>
      </w:r>
      <w:r w:rsidRPr="00C76AB8">
        <w:rPr>
          <w:i/>
          <w:iCs/>
          <w:sz w:val="22"/>
          <w:szCs w:val="22"/>
        </w:rPr>
        <w:t>Due to These Restrictions, Girls Think of Themselves as Nothing: A Qualitative and Quantitative Description of Menstrual Restrictions and Stigma Among Adolescent Girls Across Religious and Other Sociocultural Contexts</w:t>
      </w:r>
      <w:r w:rsidRPr="00C76AB8">
        <w:rPr>
          <w:sz w:val="22"/>
          <w:szCs w:val="22"/>
        </w:rPr>
        <w:t xml:space="preserve">, 97 Journal of Adolescence 901, 910 (2025), </w:t>
      </w:r>
      <w:hyperlink r:id="rId20">
        <w:r w:rsidR="00FE605E" w:rsidRPr="00C76AB8">
          <w:rPr>
            <w:sz w:val="22"/>
            <w:szCs w:val="22"/>
          </w:rPr>
          <w:t>https://pmc.ncbi.nlm.nih.gov/articles/PMC12128905/pdf/JAD-97-901.pdf</w:t>
        </w:r>
      </w:hyperlink>
      <w:r w:rsidR="00065D60" w:rsidRPr="00C76AB8">
        <w:rPr>
          <w:sz w:val="22"/>
          <w:szCs w:val="22"/>
        </w:rPr>
        <w:t>.</w:t>
      </w:r>
      <w:r w:rsidRPr="00C76AB8">
        <w:rPr>
          <w:sz w:val="22"/>
          <w:szCs w:val="22"/>
        </w:rPr>
        <w:t xml:space="preserve"> </w:t>
      </w:r>
    </w:p>
  </w:footnote>
  <w:footnote w:id="44">
    <w:p w14:paraId="000000A6" w14:textId="5700F4E1"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LHRC and ZAFAYCO, </w:t>
      </w:r>
      <w:r w:rsidRPr="00C76AB8">
        <w:rPr>
          <w:i/>
          <w:iCs/>
          <w:sz w:val="22"/>
          <w:szCs w:val="22"/>
        </w:rPr>
        <w:t>Tanzania Human Rights Report 2024: The Resurgence of Unknown Assailants</w:t>
      </w:r>
      <w:r w:rsidRPr="00C76AB8">
        <w:rPr>
          <w:sz w:val="22"/>
          <w:szCs w:val="22"/>
        </w:rPr>
        <w:t xml:space="preserve">, by Fundikila Wazambi and Robert Majige (2025), 128, </w:t>
      </w:r>
      <w:hyperlink r:id="rId21">
        <w:r w:rsidR="00FE605E" w:rsidRPr="00C76AB8">
          <w:rPr>
            <w:sz w:val="22"/>
            <w:szCs w:val="22"/>
          </w:rPr>
          <w:t>https://humanrights.or.tz/storage/user_storage/681870a52bc97.pdf</w:t>
        </w:r>
      </w:hyperlink>
      <w:r w:rsidR="00065D60" w:rsidRPr="00C76AB8">
        <w:rPr>
          <w:sz w:val="22"/>
          <w:szCs w:val="22"/>
        </w:rPr>
        <w:t>.</w:t>
      </w:r>
    </w:p>
  </w:footnote>
  <w:footnote w:id="45">
    <w:p w14:paraId="000000A7"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w:t>
      </w:r>
    </w:p>
  </w:footnote>
  <w:footnote w:id="46">
    <w:p w14:paraId="000000A8" w14:textId="5ABF4B3B"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World Health Organization, “Women and girls bear brunt of water and sanitation crisis – new UNICEF-WHO report,” 6 July 2023, accessed Mar. 12, 2026, </w:t>
      </w:r>
      <w:hyperlink r:id="rId22">
        <w:r w:rsidR="00FE605E" w:rsidRPr="00C76AB8">
          <w:rPr>
            <w:sz w:val="22"/>
            <w:szCs w:val="22"/>
          </w:rPr>
          <w:t>https://www.who.int/news/item/06-07-2023-women-and-girls-bear-brunt-of-water-and-sanitation-crisis---new-unicef-who-report</w:t>
        </w:r>
      </w:hyperlink>
      <w:r w:rsidR="00065D60" w:rsidRPr="00C76AB8">
        <w:rPr>
          <w:sz w:val="22"/>
          <w:szCs w:val="22"/>
        </w:rPr>
        <w:t>.</w:t>
      </w:r>
      <w:r w:rsidRPr="00C76AB8">
        <w:rPr>
          <w:sz w:val="22"/>
          <w:szCs w:val="22"/>
        </w:rPr>
        <w:t xml:space="preserve"> </w:t>
      </w:r>
    </w:p>
  </w:footnote>
  <w:footnote w:id="47">
    <w:p w14:paraId="000000A9" w14:textId="77B5FB0F"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Action Against Hunger, “Improving School Sanitation &amp; Empowering Students in Tanzania, accessed April 14, 2026, </w:t>
      </w:r>
      <w:hyperlink r:id="rId23">
        <w:r w:rsidR="00FE605E" w:rsidRPr="00C76AB8">
          <w:rPr>
            <w:sz w:val="22"/>
            <w:szCs w:val="22"/>
          </w:rPr>
          <w:t>https://www.actionagainsthunger.org/story/improving-school-sanitation-empowering-students-in-tanzania/</w:t>
        </w:r>
      </w:hyperlink>
      <w:r w:rsidR="00065D60" w:rsidRPr="00C76AB8">
        <w:rPr>
          <w:sz w:val="22"/>
          <w:szCs w:val="22"/>
        </w:rPr>
        <w:t>.</w:t>
      </w:r>
      <w:r w:rsidRPr="00C76AB8">
        <w:rPr>
          <w:sz w:val="22"/>
          <w:szCs w:val="22"/>
        </w:rPr>
        <w:t xml:space="preserve"> </w:t>
      </w:r>
    </w:p>
  </w:footnote>
  <w:footnote w:id="48">
    <w:p w14:paraId="000000AA" w14:textId="1B6D6C7B"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Sebastian Silva-Leander, </w:t>
      </w:r>
      <w:r w:rsidRPr="00C76AB8">
        <w:rPr>
          <w:i/>
          <w:iCs/>
          <w:sz w:val="22"/>
          <w:szCs w:val="22"/>
        </w:rPr>
        <w:t>Does school water, sanitation, and hygiene (SWASH) infrastructure affect school attendance and completion? Reviewing data evidence from mainland Tanzania</w:t>
      </w:r>
      <w:r w:rsidRPr="00C76AB8">
        <w:rPr>
          <w:sz w:val="22"/>
          <w:szCs w:val="22"/>
        </w:rPr>
        <w:t xml:space="preserve">, 15 Journal of Water, Sanitation, and Hygiene for Development 479, 480 (2025), </w:t>
      </w:r>
      <w:hyperlink r:id="rId24">
        <w:r w:rsidR="00FE605E" w:rsidRPr="00C76AB8">
          <w:rPr>
            <w:sz w:val="22"/>
            <w:szCs w:val="22"/>
          </w:rPr>
          <w:t>https://iwaponline.com/washdev/article/15/6/479/108149/Does-school-water-sanitation-and-hygiene-SWASH</w:t>
        </w:r>
      </w:hyperlink>
      <w:r w:rsidR="00065D60" w:rsidRPr="00C76AB8">
        <w:rPr>
          <w:sz w:val="22"/>
          <w:szCs w:val="22"/>
        </w:rPr>
        <w:t>.</w:t>
      </w:r>
      <w:r w:rsidRPr="00C76AB8">
        <w:rPr>
          <w:sz w:val="22"/>
          <w:szCs w:val="22"/>
        </w:rPr>
        <w:t xml:space="preserve"> </w:t>
      </w:r>
    </w:p>
  </w:footnote>
  <w:footnote w:id="49">
    <w:p w14:paraId="000000AB" w14:textId="7D1679E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Concluding observations on the combined third to fifth periodic reports of the United Republic of Tanzania,</w:t>
      </w:r>
      <w:r w:rsidRPr="00C76AB8">
        <w:rPr>
          <w:sz w:val="22"/>
          <w:szCs w:val="22"/>
        </w:rPr>
        <w:t xml:space="preserve"> (Mar. 3, 2015), U.N. Doc. CRC/C/TZA/CO/3-5, ¶</w:t>
      </w:r>
      <w:r w:rsidR="00065D60" w:rsidRPr="00C76AB8">
        <w:rPr>
          <w:sz w:val="22"/>
          <w:szCs w:val="22"/>
        </w:rPr>
        <w:t>¶</w:t>
      </w:r>
      <w:r w:rsidRPr="00C76AB8">
        <w:rPr>
          <w:sz w:val="22"/>
          <w:szCs w:val="22"/>
        </w:rPr>
        <w:t xml:space="preserve">36-37. </w:t>
      </w:r>
    </w:p>
  </w:footnote>
  <w:footnote w:id="50">
    <w:p w14:paraId="53FA3AEB" w14:textId="4B806A85" w:rsidR="00CC0695" w:rsidRPr="00C76AB8" w:rsidRDefault="00CC0695">
      <w:pPr>
        <w:pStyle w:val="FootnoteText"/>
        <w:rPr>
          <w:sz w:val="22"/>
          <w:szCs w:val="22"/>
          <w:lang w:val="en-US"/>
        </w:rPr>
      </w:pPr>
      <w:r w:rsidRPr="00C76AB8">
        <w:rPr>
          <w:rStyle w:val="FootnoteReference"/>
          <w:sz w:val="22"/>
          <w:szCs w:val="22"/>
        </w:rPr>
        <w:footnoteRef/>
      </w:r>
      <w:r w:rsidRPr="00C76AB8">
        <w:rPr>
          <w:sz w:val="22"/>
          <w:szCs w:val="22"/>
        </w:rPr>
        <w:t xml:space="preserve"> </w:t>
      </w:r>
      <w:r w:rsidRPr="00C76AB8">
        <w:rPr>
          <w:sz w:val="22"/>
          <w:szCs w:val="22"/>
          <w:lang w:val="en-US"/>
        </w:rPr>
        <w:t>Committee on the Rights of the Child,</w:t>
      </w:r>
      <w:r w:rsidRPr="00C76AB8">
        <w:rPr>
          <w:i/>
          <w:iCs/>
          <w:sz w:val="22"/>
          <w:szCs w:val="22"/>
          <w:lang w:val="en-US"/>
        </w:rPr>
        <w:t xml:space="preserve"> List of issues in relation to the sixth periodic report of the United Republic of Tanzania </w:t>
      </w:r>
      <w:r w:rsidRPr="00C76AB8">
        <w:rPr>
          <w:sz w:val="22"/>
          <w:szCs w:val="22"/>
          <w:lang w:val="en-US"/>
        </w:rPr>
        <w:t xml:space="preserve">(Dec. 10, 2025), U.N. Doc. CRC/C/TZA/Q/6, </w:t>
      </w:r>
      <w:r w:rsidRPr="00C76AB8">
        <w:rPr>
          <w:sz w:val="22"/>
          <w:szCs w:val="22"/>
        </w:rPr>
        <w:t>¶¶</w:t>
      </w:r>
      <w:r w:rsidR="00D95DB5" w:rsidRPr="00C76AB8">
        <w:rPr>
          <w:sz w:val="22"/>
          <w:szCs w:val="22"/>
        </w:rPr>
        <w:t>2(a), 7, 8(b), 13(d</w:t>
      </w:r>
      <w:r w:rsidR="00415909" w:rsidRPr="00C76AB8">
        <w:rPr>
          <w:sz w:val="22"/>
          <w:szCs w:val="22"/>
        </w:rPr>
        <w:t>-e</w:t>
      </w:r>
      <w:r w:rsidR="00D95DB5" w:rsidRPr="00C76AB8">
        <w:rPr>
          <w:sz w:val="22"/>
          <w:szCs w:val="22"/>
        </w:rPr>
        <w:t>), 18(a).</w:t>
      </w:r>
    </w:p>
  </w:footnote>
  <w:footnote w:id="51">
    <w:p w14:paraId="000000AC" w14:textId="61E6B1C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Concluding observations on the combined third to fifth periodic reports of the United Republic of Tanzania,</w:t>
      </w:r>
      <w:r w:rsidRPr="00C76AB8">
        <w:rPr>
          <w:sz w:val="22"/>
          <w:szCs w:val="22"/>
        </w:rPr>
        <w:t xml:space="preserve"> (Mar. 3, 2015), U.N. Doc. CRC/C/TZA/CO/3-5, ¶¶25,</w:t>
      </w:r>
      <w:r w:rsidR="00065D60" w:rsidRPr="00C76AB8">
        <w:rPr>
          <w:sz w:val="22"/>
          <w:szCs w:val="22"/>
        </w:rPr>
        <w:t xml:space="preserve"> </w:t>
      </w:r>
      <w:r w:rsidRPr="00C76AB8">
        <w:rPr>
          <w:sz w:val="22"/>
          <w:szCs w:val="22"/>
        </w:rPr>
        <w:t>63</w:t>
      </w:r>
      <w:r w:rsidR="00065D60" w:rsidRPr="00C76AB8">
        <w:rPr>
          <w:sz w:val="22"/>
          <w:szCs w:val="22"/>
        </w:rPr>
        <w:t xml:space="preserve"> </w:t>
      </w:r>
    </w:p>
  </w:footnote>
  <w:footnote w:id="52">
    <w:p w14:paraId="000000AD" w14:textId="22F110D2"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Sixth periodic report submitted by the United Republic of Tanzania under article 44 of the Convention, due in 2020,</w:t>
      </w:r>
      <w:r w:rsidRPr="00C76AB8">
        <w:rPr>
          <w:sz w:val="22"/>
          <w:szCs w:val="22"/>
        </w:rPr>
        <w:t xml:space="preserve"> (Mar. 3, 2015), U.N. Doc. CRC/C/TZA/CO/6, ¶76</w:t>
      </w:r>
      <w:r w:rsidR="00065D60" w:rsidRPr="00C76AB8">
        <w:rPr>
          <w:sz w:val="22"/>
          <w:szCs w:val="22"/>
        </w:rPr>
        <w:t>.</w:t>
      </w:r>
    </w:p>
  </w:footnote>
  <w:footnote w:id="53">
    <w:p w14:paraId="000000AE"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Sixth periodic report submitted by the United Republic of Tanzania under article 44 of the Convention, due in 2020,</w:t>
      </w:r>
      <w:r w:rsidRPr="00C76AB8">
        <w:rPr>
          <w:sz w:val="22"/>
          <w:szCs w:val="22"/>
        </w:rPr>
        <w:t xml:space="preserve"> (Mar. 3, 2015), U.N. Doc. CRC/C/TZA/CO/6, ¶158. </w:t>
      </w:r>
    </w:p>
  </w:footnote>
  <w:footnote w:id="54">
    <w:p w14:paraId="000000AF"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National Education Act, Act No. 25 of 1978 (Tanz.)</w:t>
      </w:r>
    </w:p>
  </w:footnote>
  <w:footnote w:id="55">
    <w:p w14:paraId="000000B0"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Education (Corporal Punishment) Regulations, G.N. No. 294 of 2002 (Tanz.).</w:t>
      </w:r>
    </w:p>
  </w:footnote>
  <w:footnote w:id="56">
    <w:p w14:paraId="000000B1"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Education Act, No. 6 of 1982, as amended by the Education (Corporal Punishment) Regulations of 1988 (Zanz.).</w:t>
      </w:r>
    </w:p>
  </w:footnote>
  <w:footnote w:id="57">
    <w:p w14:paraId="000000B2" w14:textId="6A3F03D8"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John Fungulupember Kalolo &amp; Orestes Silverius Kapinga, </w:t>
      </w:r>
      <w:r w:rsidRPr="00C76AB8">
        <w:rPr>
          <w:i/>
          <w:iCs/>
          <w:sz w:val="22"/>
          <w:szCs w:val="22"/>
        </w:rPr>
        <w:t>Towards ending corporal punishment in African countries: Experiences from Tanzania</w:t>
      </w:r>
      <w:r w:rsidRPr="00C76AB8">
        <w:rPr>
          <w:sz w:val="22"/>
          <w:szCs w:val="22"/>
        </w:rPr>
        <w:t xml:space="preserve">, 102 International Journal of Educational Development 1, 1(2023), </w:t>
      </w:r>
      <w:hyperlink r:id="rId25">
        <w:r w:rsidR="00FE605E" w:rsidRPr="00C76AB8">
          <w:rPr>
            <w:sz w:val="22"/>
            <w:szCs w:val="22"/>
          </w:rPr>
          <w:t>https://www.sciencedirect.com/science/article/abs/pii/S0738059323001153</w:t>
        </w:r>
      </w:hyperlink>
      <w:r w:rsidR="00065D60" w:rsidRPr="00C76AB8">
        <w:rPr>
          <w:sz w:val="22"/>
          <w:szCs w:val="22"/>
        </w:rPr>
        <w:t>.</w:t>
      </w:r>
      <w:r w:rsidRPr="00C76AB8">
        <w:rPr>
          <w:sz w:val="22"/>
          <w:szCs w:val="22"/>
        </w:rPr>
        <w:t xml:space="preserve"> </w:t>
      </w:r>
    </w:p>
  </w:footnote>
  <w:footnote w:id="58">
    <w:p w14:paraId="000000B3"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Law of the Child Act, Act No. 21 of 2009, § 13 (Tanz.).</w:t>
      </w:r>
    </w:p>
  </w:footnote>
  <w:footnote w:id="59">
    <w:p w14:paraId="000000B4" w14:textId="0E836C88"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End Violence Against Children &amp; End Corporal Punishment, </w:t>
      </w:r>
      <w:r w:rsidRPr="00C76AB8">
        <w:rPr>
          <w:i/>
          <w:iCs/>
          <w:sz w:val="22"/>
          <w:szCs w:val="22"/>
        </w:rPr>
        <w:t>Corporal punishment of children in the United Republic of Tanzania: briefing for the Universal Periodic Review, 39</w:t>
      </w:r>
      <w:r w:rsidRPr="00C76AB8">
        <w:rPr>
          <w:i/>
          <w:iCs/>
          <w:sz w:val="22"/>
          <w:szCs w:val="22"/>
          <w:vertAlign w:val="superscript"/>
        </w:rPr>
        <w:t>th</w:t>
      </w:r>
      <w:r w:rsidRPr="00C76AB8">
        <w:rPr>
          <w:i/>
          <w:iCs/>
          <w:sz w:val="22"/>
          <w:szCs w:val="22"/>
        </w:rPr>
        <w:t xml:space="preserve"> session, 2021 </w:t>
      </w:r>
      <w:r w:rsidRPr="00C76AB8">
        <w:rPr>
          <w:sz w:val="22"/>
          <w:szCs w:val="22"/>
        </w:rPr>
        <w:t xml:space="preserve">(March 2021), 1, accessed May 3, 2026, </w:t>
      </w:r>
      <w:hyperlink r:id="rId26">
        <w:r w:rsidR="00FE605E" w:rsidRPr="00C76AB8">
          <w:rPr>
            <w:sz w:val="22"/>
            <w:szCs w:val="22"/>
          </w:rPr>
          <w:t>https://uprdoc.ohchr.org/uprweb/downloadfile.aspx?filename=8794&amp;file=EnglishTranslation</w:t>
        </w:r>
      </w:hyperlink>
      <w:r w:rsidR="00065D60" w:rsidRPr="00C76AB8">
        <w:rPr>
          <w:sz w:val="22"/>
          <w:szCs w:val="22"/>
        </w:rPr>
        <w:t>.</w:t>
      </w:r>
      <w:r w:rsidRPr="00C76AB8">
        <w:rPr>
          <w:sz w:val="22"/>
          <w:szCs w:val="22"/>
        </w:rPr>
        <w:t xml:space="preserve"> </w:t>
      </w:r>
    </w:p>
  </w:footnote>
  <w:footnote w:id="60">
    <w:p w14:paraId="000000B5"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Tanzania Human Rights Report 2024: The Resurgence of Unknown Assailants, by Fundikila &amp; Robert Majige (2025), 118.</w:t>
      </w:r>
    </w:p>
  </w:footnote>
  <w:footnote w:id="61">
    <w:p w14:paraId="000000B6" w14:textId="354FB1C3"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w:t>
      </w:r>
      <w:hyperlink r:id="rId27">
        <w:r w:rsidR="00FE605E" w:rsidRPr="00C76AB8">
          <w:rPr>
            <w:sz w:val="22"/>
            <w:szCs w:val="22"/>
          </w:rPr>
          <w:t>https://pmc.ncbi.nlm.nih.gov/articles/PMC5560991/pdf/nihms886822.pdf</w:t>
        </w:r>
      </w:hyperlink>
      <w:r w:rsidR="001A2B21">
        <w:rPr>
          <w:sz w:val="22"/>
          <w:szCs w:val="22"/>
        </w:rPr>
        <w:t xml:space="preserve">, </w:t>
      </w:r>
      <w:r w:rsidRPr="00C76AB8">
        <w:rPr>
          <w:sz w:val="22"/>
          <w:szCs w:val="22"/>
        </w:rPr>
        <w:t>3</w:t>
      </w:r>
      <w:r w:rsidR="001A2B21">
        <w:rPr>
          <w:sz w:val="22"/>
          <w:szCs w:val="22"/>
        </w:rPr>
        <w:t>.</w:t>
      </w:r>
    </w:p>
  </w:footnote>
  <w:footnote w:id="62">
    <w:p w14:paraId="000000B7"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Tanzania Human Rights Report 2024: The Resurgence of Unknown Assailants, by Fundikila &amp; Robert Majige (2025), xxxi. </w:t>
      </w:r>
    </w:p>
  </w:footnote>
  <w:footnote w:id="63">
    <w:p w14:paraId="000000B8"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Tanzania Human Rights Report 2024: The Resurgence of Unknown Assailants, by Fundikila &amp; Robert Majige (2025), 117.</w:t>
      </w:r>
    </w:p>
  </w:footnote>
  <w:footnote w:id="64">
    <w:p w14:paraId="000000B9" w14:textId="62E768EF"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John Fungulupember Kalolo &amp; Orestes Silverius Kapinga, </w:t>
      </w:r>
      <w:r w:rsidRPr="00C76AB8">
        <w:rPr>
          <w:i/>
          <w:iCs/>
          <w:sz w:val="22"/>
          <w:szCs w:val="22"/>
        </w:rPr>
        <w:t>Towards ending corporal punishment in African countries: Experiences from Tanzania</w:t>
      </w:r>
      <w:r w:rsidRPr="00C76AB8">
        <w:rPr>
          <w:sz w:val="22"/>
          <w:szCs w:val="22"/>
        </w:rPr>
        <w:t xml:space="preserve">, 102 International Journal of Educational Development 1, 1(2023), </w:t>
      </w:r>
      <w:hyperlink r:id="rId28">
        <w:r w:rsidR="00FE605E" w:rsidRPr="00C76AB8">
          <w:rPr>
            <w:sz w:val="22"/>
            <w:szCs w:val="22"/>
          </w:rPr>
          <w:t>https://www.sciencedirect.com/science/article/abs/pii/S0738059323001153</w:t>
        </w:r>
      </w:hyperlink>
      <w:r w:rsidR="00065D60" w:rsidRPr="00C76AB8">
        <w:rPr>
          <w:sz w:val="22"/>
          <w:szCs w:val="22"/>
        </w:rPr>
        <w:t>.</w:t>
      </w:r>
    </w:p>
  </w:footnote>
  <w:footnote w:id="65">
    <w:p w14:paraId="000000BA" w14:textId="62B17642"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John Fungulupember Kalolo &amp; Orestes Silverius Kapinga, </w:t>
      </w:r>
      <w:r w:rsidRPr="00C76AB8">
        <w:rPr>
          <w:i/>
          <w:iCs/>
          <w:sz w:val="22"/>
          <w:szCs w:val="22"/>
        </w:rPr>
        <w:t>Towards ending corporal punishment in African countries: Experiences from Tanzania</w:t>
      </w:r>
      <w:r w:rsidRPr="00C76AB8">
        <w:rPr>
          <w:sz w:val="22"/>
          <w:szCs w:val="22"/>
        </w:rPr>
        <w:t xml:space="preserve">, 102 International Journal of Educational Development 1, 1(2023), </w:t>
      </w:r>
      <w:hyperlink r:id="rId29">
        <w:r w:rsidR="00FE605E" w:rsidRPr="00C76AB8">
          <w:rPr>
            <w:sz w:val="22"/>
            <w:szCs w:val="22"/>
          </w:rPr>
          <w:t>https://www.sciencedirect.com/science/article/abs/pii/S0738059323001153</w:t>
        </w:r>
      </w:hyperlink>
      <w:r w:rsidR="00065D60" w:rsidRPr="00C76AB8">
        <w:rPr>
          <w:sz w:val="22"/>
          <w:szCs w:val="22"/>
        </w:rPr>
        <w:t>.</w:t>
      </w:r>
      <w:r w:rsidRPr="00C76AB8">
        <w:rPr>
          <w:sz w:val="22"/>
          <w:szCs w:val="22"/>
        </w:rPr>
        <w:t xml:space="preserve"> </w:t>
      </w:r>
    </w:p>
  </w:footnote>
  <w:footnote w:id="66">
    <w:p w14:paraId="000000BB"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Tanzania Human Rights Report 2024: The Resurgence of Unknown Assailants, by Fundikila &amp; Robert Majige (2025), 117.</w:t>
      </w:r>
    </w:p>
  </w:footnote>
  <w:footnote w:id="67">
    <w:p w14:paraId="000000BC" w14:textId="4D12AF39"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John Fungulupember Kalolo &amp; Orestes Silverius Kapinga, </w:t>
      </w:r>
      <w:r w:rsidRPr="00C76AB8">
        <w:rPr>
          <w:i/>
          <w:iCs/>
          <w:sz w:val="22"/>
          <w:szCs w:val="22"/>
        </w:rPr>
        <w:t>Towards ending corporal punishment in African countries: Experiences from Tanzania</w:t>
      </w:r>
      <w:r w:rsidRPr="00C76AB8">
        <w:rPr>
          <w:sz w:val="22"/>
          <w:szCs w:val="22"/>
        </w:rPr>
        <w:t xml:space="preserve">, 102 International Journal of Educational Development 1, 2 (2023), </w:t>
      </w:r>
      <w:hyperlink r:id="rId30">
        <w:r w:rsidR="00FE605E" w:rsidRPr="00C76AB8">
          <w:rPr>
            <w:sz w:val="22"/>
            <w:szCs w:val="22"/>
          </w:rPr>
          <w:t>https://www.sciencedirect.com/science/article/abs/pii/S0738059323001153</w:t>
        </w:r>
      </w:hyperlink>
      <w:r w:rsidR="00065D60" w:rsidRPr="00C76AB8">
        <w:rPr>
          <w:sz w:val="22"/>
          <w:szCs w:val="22"/>
        </w:rPr>
        <w:t>.</w:t>
      </w:r>
    </w:p>
  </w:footnote>
  <w:footnote w:id="68">
    <w:p w14:paraId="000000BD" w14:textId="60D8F11A"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UNICEF, </w:t>
      </w:r>
      <w:r w:rsidRPr="00C76AB8">
        <w:rPr>
          <w:i/>
          <w:iCs/>
          <w:sz w:val="22"/>
          <w:szCs w:val="22"/>
        </w:rPr>
        <w:t>Implementing positive disciple in Tanzanian schools: Law reform to prohibit corporal punishment of children</w:t>
      </w:r>
      <w:r w:rsidRPr="00C76AB8">
        <w:rPr>
          <w:sz w:val="22"/>
          <w:szCs w:val="22"/>
        </w:rPr>
        <w:t xml:space="preserve">, by End Violence Against Children &amp; End Corporal Punishment (2022), 2. </w:t>
      </w:r>
      <w:hyperlink r:id="rId31">
        <w:r w:rsidR="00FE605E" w:rsidRPr="00C76AB8">
          <w:rPr>
            <w:sz w:val="22"/>
            <w:szCs w:val="22"/>
          </w:rPr>
          <w:t>https://www.unicef.org/tanzania/reports/banning-corporal-punishment-schools</w:t>
        </w:r>
      </w:hyperlink>
      <w:r w:rsidR="00065D60" w:rsidRPr="00C76AB8">
        <w:rPr>
          <w:sz w:val="22"/>
          <w:szCs w:val="22"/>
        </w:rPr>
        <w:t>.</w:t>
      </w:r>
      <w:r w:rsidRPr="00C76AB8">
        <w:rPr>
          <w:sz w:val="22"/>
          <w:szCs w:val="22"/>
        </w:rPr>
        <w:t xml:space="preserve"> </w:t>
      </w:r>
    </w:p>
  </w:footnote>
  <w:footnote w:id="69">
    <w:p w14:paraId="00000101" w14:textId="7DA652A6" w:rsidR="00FE605E" w:rsidRPr="00C76AB8" w:rsidRDefault="00DD508B">
      <w:pPr>
        <w:rPr>
          <w:sz w:val="22"/>
          <w:szCs w:val="22"/>
        </w:rPr>
      </w:pPr>
      <w:r w:rsidRPr="00C76AB8">
        <w:rPr>
          <w:sz w:val="22"/>
          <w:szCs w:val="22"/>
          <w:vertAlign w:val="superscript"/>
        </w:rPr>
        <w:footnoteRef/>
      </w:r>
      <w:r w:rsidRPr="00C76AB8">
        <w:rPr>
          <w:sz w:val="22"/>
          <w:szCs w:val="22"/>
        </w:rPr>
        <w:t xml:space="preserve"> African Committee of Experts on the Rights and Welfare of the Child, </w:t>
      </w:r>
      <w:r w:rsidRPr="00C76AB8">
        <w:rPr>
          <w:i/>
          <w:iCs/>
          <w:sz w:val="22"/>
          <w:szCs w:val="22"/>
        </w:rPr>
        <w:t>Decision on Communication No 0012/Com/001/2019, Legal and Human Rights Centre and Centre for Reproductive Rights (on behalf of Tanzanian girls) v United Republic of Tanzania</w:t>
      </w:r>
      <w:r w:rsidRPr="00C76AB8">
        <w:rPr>
          <w:sz w:val="22"/>
          <w:szCs w:val="22"/>
        </w:rPr>
        <w:t>, Decision No 002/2022, (adopted 1 April 2022),</w:t>
      </w:r>
      <w:hyperlink r:id="rId32">
        <w:r w:rsidR="00FE605E" w:rsidRPr="00C76AB8">
          <w:rPr>
            <w:sz w:val="22"/>
            <w:szCs w:val="22"/>
          </w:rPr>
          <w:t xml:space="preserve"> </w:t>
        </w:r>
      </w:hyperlink>
      <w:hyperlink r:id="rId33">
        <w:r w:rsidR="00FE605E" w:rsidRPr="00C76AB8">
          <w:rPr>
            <w:sz w:val="22"/>
            <w:szCs w:val="22"/>
          </w:rPr>
          <w:t>https://www.acerwc.africa/sites/default/files/2022-10/ACERWC%20Decision%20final%20Communication%20No-%200012Com0012019.Tanzania.pdf</w:t>
        </w:r>
      </w:hyperlink>
      <w:r w:rsidR="00065D60" w:rsidRPr="00C76AB8">
        <w:rPr>
          <w:sz w:val="22"/>
          <w:szCs w:val="22"/>
        </w:rPr>
        <w:t>.</w:t>
      </w:r>
    </w:p>
  </w:footnote>
  <w:footnote w:id="70">
    <w:p w14:paraId="000000BE"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Elihuruma Eliufoo Stephano, Tian Yusheng, Li Yamin, and Mtoro J. Mtoro, A Multilevel Analysis of Trends and Predictors Associated with Teenage Pregnancy in Tanzania (2004–2022): Evidence from Demographic and Health Surveys, 25 BMC Public Health 2559 (2025).</w:t>
      </w:r>
    </w:p>
  </w:footnote>
  <w:footnote w:id="71">
    <w:p w14:paraId="000000BF" w14:textId="70BDB332"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Juhudi Mmari, </w:t>
      </w:r>
      <w:r w:rsidRPr="00C76AB8">
        <w:rPr>
          <w:i/>
          <w:iCs/>
          <w:sz w:val="22"/>
          <w:szCs w:val="22"/>
        </w:rPr>
        <w:t>UN Study Shows One in Four Tanzania Teenage Girls Get Pregnant and Drop Out of School</w:t>
      </w:r>
      <w:r w:rsidRPr="00C76AB8">
        <w:rPr>
          <w:sz w:val="22"/>
          <w:szCs w:val="22"/>
        </w:rPr>
        <w:t xml:space="preserve">, VOA Africa, Sept. 18, 2024, </w:t>
      </w:r>
      <w:hyperlink r:id="rId34">
        <w:r w:rsidR="00FE605E" w:rsidRPr="00C76AB8">
          <w:rPr>
            <w:sz w:val="22"/>
            <w:szCs w:val="22"/>
          </w:rPr>
          <w:t>https://www.voaafrica.com/a/un-study-shows-one-in-four-tanzania-teenage-girls-get-pregnant-and-drop-out-of-school-/7789397.html</w:t>
        </w:r>
      </w:hyperlink>
      <w:r w:rsidR="00065D60" w:rsidRPr="00C76AB8">
        <w:rPr>
          <w:sz w:val="22"/>
          <w:szCs w:val="22"/>
        </w:rPr>
        <w:t>.</w:t>
      </w:r>
    </w:p>
  </w:footnote>
  <w:footnote w:id="72">
    <w:p w14:paraId="000000C0" w14:textId="1A8A4236" w:rsidR="00FE605E" w:rsidRPr="00C76AB8" w:rsidRDefault="00DD508B">
      <w:pPr>
        <w:rPr>
          <w:sz w:val="22"/>
          <w:szCs w:val="22"/>
        </w:rPr>
      </w:pPr>
      <w:r w:rsidRPr="00C76AB8">
        <w:rPr>
          <w:sz w:val="22"/>
          <w:szCs w:val="22"/>
          <w:vertAlign w:val="superscript"/>
        </w:rPr>
        <w:footnoteRef/>
      </w:r>
      <w:r w:rsidRPr="00C76AB8">
        <w:rPr>
          <w:sz w:val="22"/>
          <w:szCs w:val="22"/>
        </w:rPr>
        <w:t xml:space="preserve"> Ministry of Education, Science and Technology, </w:t>
      </w:r>
      <w:r w:rsidRPr="00C76AB8">
        <w:rPr>
          <w:i/>
          <w:iCs/>
          <w:sz w:val="22"/>
          <w:szCs w:val="22"/>
        </w:rPr>
        <w:t>Education Circular No. 2 of 2021 on School Re-entry for Primary and Secondary School Students Who Dropped Out for Various Reasons</w:t>
      </w:r>
      <w:r w:rsidRPr="00C76AB8">
        <w:rPr>
          <w:sz w:val="22"/>
          <w:szCs w:val="22"/>
        </w:rPr>
        <w:t xml:space="preserve"> (2021), </w:t>
      </w:r>
      <w:hyperlink r:id="rId35">
        <w:r w:rsidR="00FE605E" w:rsidRPr="00C76AB8">
          <w:rPr>
            <w:sz w:val="22"/>
            <w:szCs w:val="22"/>
          </w:rPr>
          <w:t>https://www.moe.go.tz/sw/nyaraka/waraka-wa-elimu-na-2-wa-mwaka-2021-kuhusu-kuingia-tena-shule-kwa-wanafunzi-wa-shule-za</w:t>
        </w:r>
      </w:hyperlink>
      <w:r w:rsidR="00065D60" w:rsidRPr="00C76AB8">
        <w:rPr>
          <w:sz w:val="22"/>
          <w:szCs w:val="22"/>
        </w:rPr>
        <w:t>.</w:t>
      </w:r>
    </w:p>
  </w:footnote>
  <w:footnote w:id="73">
    <w:p w14:paraId="000000C1"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w:t>
      </w:r>
    </w:p>
  </w:footnote>
  <w:footnote w:id="74">
    <w:p w14:paraId="000000C2" w14:textId="44C9C013"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Human Rights Watch, “Tanzania: Protect Right to Education in Pregnancy, Parenthood,” Jan. 23, 2025, </w:t>
      </w:r>
      <w:hyperlink r:id="rId36">
        <w:r w:rsidR="00FE605E" w:rsidRPr="00C76AB8">
          <w:rPr>
            <w:sz w:val="22"/>
            <w:szCs w:val="22"/>
          </w:rPr>
          <w:t>https://www.hrw.org/news/2025/01/23/tanzania-protect-right-education-pregnancy-parenthood</w:t>
        </w:r>
      </w:hyperlink>
      <w:r w:rsidR="00065D60" w:rsidRPr="00C76AB8">
        <w:rPr>
          <w:sz w:val="22"/>
          <w:szCs w:val="22"/>
        </w:rPr>
        <w:t>.</w:t>
      </w:r>
      <w:r w:rsidRPr="00C76AB8">
        <w:rPr>
          <w:sz w:val="22"/>
          <w:szCs w:val="22"/>
        </w:rPr>
        <w:t xml:space="preserve"> </w:t>
      </w:r>
    </w:p>
  </w:footnote>
  <w:footnote w:id="75">
    <w:p w14:paraId="000000C3" w14:textId="38907FF9"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Minority Watch, “Tanzania Must Protect the Right to Education for Pregnant and Parenting Girls,” Feb. 24, 2026, </w:t>
      </w:r>
      <w:hyperlink r:id="rId37">
        <w:r w:rsidR="00FE605E" w:rsidRPr="00C76AB8">
          <w:rPr>
            <w:sz w:val="22"/>
            <w:szCs w:val="22"/>
          </w:rPr>
          <w:t>https://minoritywatch.org/education-for-pregnant/</w:t>
        </w:r>
      </w:hyperlink>
      <w:r w:rsidR="00065D60" w:rsidRPr="00C76AB8">
        <w:rPr>
          <w:sz w:val="22"/>
          <w:szCs w:val="22"/>
        </w:rPr>
        <w:t>.</w:t>
      </w:r>
    </w:p>
  </w:footnote>
  <w:footnote w:id="76">
    <w:p w14:paraId="000000C4" w14:textId="0ADA7B23"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Daily News Reporter, </w:t>
      </w:r>
      <w:r w:rsidRPr="00C76AB8">
        <w:rPr>
          <w:i/>
          <w:iCs/>
          <w:sz w:val="22"/>
          <w:szCs w:val="22"/>
        </w:rPr>
        <w:t>22,800 Girls Return to School After Giving Birth</w:t>
      </w:r>
      <w:r w:rsidRPr="00C76AB8">
        <w:rPr>
          <w:sz w:val="22"/>
          <w:szCs w:val="22"/>
        </w:rPr>
        <w:t xml:space="preserve">, Daily News, Nov. 5, 2024, </w:t>
      </w:r>
      <w:hyperlink r:id="rId38">
        <w:r w:rsidR="00FE605E" w:rsidRPr="00C76AB8">
          <w:rPr>
            <w:sz w:val="22"/>
            <w:szCs w:val="22"/>
          </w:rPr>
          <w:t>https://dailynews.co.tz/22800-girls-return-to-school-after-giving-birth/</w:t>
        </w:r>
      </w:hyperlink>
      <w:r w:rsidR="00065D60" w:rsidRPr="00C76AB8">
        <w:rPr>
          <w:sz w:val="22"/>
          <w:szCs w:val="22"/>
        </w:rPr>
        <w:t>.</w:t>
      </w:r>
    </w:p>
  </w:footnote>
  <w:footnote w:id="77">
    <w:p w14:paraId="000000C5" w14:textId="7AB2A635"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Patrick Renatus Manyengo, </w:t>
      </w:r>
      <w:r w:rsidRPr="00C76AB8">
        <w:rPr>
          <w:i/>
          <w:iCs/>
          <w:sz w:val="22"/>
          <w:szCs w:val="22"/>
        </w:rPr>
        <w:t>The Role of School Leadership on Implementing School Re-entry Policy for Adolescent Mothers in Tanzania: A Systematic Review</w:t>
      </w:r>
      <w:r w:rsidRPr="00C76AB8">
        <w:rPr>
          <w:sz w:val="22"/>
          <w:szCs w:val="22"/>
        </w:rPr>
        <w:t xml:space="preserve">, 23 Asian Research Journal of Arts &amp; Social Sciences 98, 102 (2025), </w:t>
      </w:r>
      <w:hyperlink r:id="rId39">
        <w:r w:rsidR="00FE605E" w:rsidRPr="00C76AB8">
          <w:rPr>
            <w:sz w:val="22"/>
            <w:szCs w:val="22"/>
          </w:rPr>
          <w:t>https://journalarjass.com/index.php/ARJASS/article/view/643</w:t>
        </w:r>
      </w:hyperlink>
      <w:r w:rsidR="00065D60" w:rsidRPr="00C76AB8">
        <w:rPr>
          <w:sz w:val="22"/>
          <w:szCs w:val="22"/>
        </w:rPr>
        <w:t>.</w:t>
      </w:r>
      <w:r w:rsidRPr="00C76AB8">
        <w:rPr>
          <w:sz w:val="22"/>
          <w:szCs w:val="22"/>
        </w:rPr>
        <w:t xml:space="preserve"> </w:t>
      </w:r>
    </w:p>
  </w:footnote>
  <w:footnote w:id="78">
    <w:p w14:paraId="000000C6" w14:textId="329F3DCF"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Pendo Samson Mwakililo, </w:t>
      </w:r>
      <w:r w:rsidRPr="00C76AB8">
        <w:rPr>
          <w:i/>
          <w:iCs/>
          <w:sz w:val="22"/>
          <w:szCs w:val="22"/>
        </w:rPr>
        <w:t>Reintegration of Adolescent Mothers into Secondary Education: Investigating the Availability and Effectiveness of Support Systems in Mbeya Region, Tanzania</w:t>
      </w:r>
      <w:r w:rsidRPr="00C76AB8">
        <w:rPr>
          <w:sz w:val="22"/>
          <w:szCs w:val="22"/>
        </w:rPr>
        <w:t>, 30 International Journal of Adolescence and Youth 1,</w:t>
      </w:r>
      <w:r w:rsidRPr="00C76AB8">
        <w:rPr>
          <w:i/>
          <w:iCs/>
          <w:sz w:val="22"/>
          <w:szCs w:val="22"/>
        </w:rPr>
        <w:t xml:space="preserve"> </w:t>
      </w:r>
      <w:r w:rsidRPr="00C76AB8">
        <w:rPr>
          <w:sz w:val="22"/>
          <w:szCs w:val="22"/>
        </w:rPr>
        <w:t xml:space="preserve">3-4 (2025), </w:t>
      </w:r>
      <w:hyperlink r:id="rId40">
        <w:r w:rsidR="00FE605E" w:rsidRPr="00C76AB8">
          <w:rPr>
            <w:sz w:val="22"/>
            <w:szCs w:val="22"/>
          </w:rPr>
          <w:t>https://www.tandfonline.com/doi/epdf/10.1080/02673843.2025.2552335?needAccess=true</w:t>
        </w:r>
      </w:hyperlink>
      <w:r w:rsidR="00065D60" w:rsidRPr="00C76AB8">
        <w:rPr>
          <w:sz w:val="22"/>
          <w:szCs w:val="22"/>
        </w:rPr>
        <w:t>.</w:t>
      </w:r>
      <w:r w:rsidRPr="00C76AB8">
        <w:rPr>
          <w:sz w:val="22"/>
          <w:szCs w:val="22"/>
        </w:rPr>
        <w:t xml:space="preserve"> </w:t>
      </w:r>
    </w:p>
  </w:footnote>
  <w:footnote w:id="79">
    <w:p w14:paraId="000000C7" w14:textId="22130019"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Patrick Renatus Manyengo, </w:t>
      </w:r>
      <w:r w:rsidRPr="00C76AB8">
        <w:rPr>
          <w:i/>
          <w:iCs/>
          <w:sz w:val="22"/>
          <w:szCs w:val="22"/>
        </w:rPr>
        <w:t>The Role of School Leadership on Implementing School Re-entry Policy for Adolescent Mothers in Tanzania: A Systematic Review</w:t>
      </w:r>
      <w:r w:rsidRPr="00C76AB8">
        <w:rPr>
          <w:sz w:val="22"/>
          <w:szCs w:val="22"/>
        </w:rPr>
        <w:t xml:space="preserve">, 23 Asian Research Journal of Arts &amp; Social Sciences 98, 108 (2025), </w:t>
      </w:r>
      <w:hyperlink r:id="rId41">
        <w:r w:rsidR="00FE605E" w:rsidRPr="00C76AB8">
          <w:rPr>
            <w:sz w:val="22"/>
            <w:szCs w:val="22"/>
          </w:rPr>
          <w:t>https://journalarjass.com/index.php/ARJASS/article/view/643</w:t>
        </w:r>
      </w:hyperlink>
      <w:r w:rsidR="00065D60" w:rsidRPr="00C76AB8">
        <w:rPr>
          <w:sz w:val="22"/>
          <w:szCs w:val="22"/>
        </w:rPr>
        <w:t>.</w:t>
      </w:r>
    </w:p>
  </w:footnote>
  <w:footnote w:id="80">
    <w:p w14:paraId="000000C8" w14:textId="4DF78703"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Stephano Nalaila and Hanifa Massawe, </w:t>
      </w:r>
      <w:r w:rsidRPr="00C76AB8">
        <w:rPr>
          <w:i/>
          <w:iCs/>
          <w:sz w:val="22"/>
          <w:szCs w:val="22"/>
        </w:rPr>
        <w:t>From Policy to Practice: Inclusion, Exclusion, and the Gendered Realities of School Re-entry Programme for Teenage Mothers in Tanzania</w:t>
      </w:r>
      <w:r w:rsidRPr="00C76AB8">
        <w:rPr>
          <w:sz w:val="22"/>
          <w:szCs w:val="22"/>
        </w:rPr>
        <w:t xml:space="preserve">, 31 International Journal of Adolescence and Youth 1, 10 (2026), </w:t>
      </w:r>
      <w:hyperlink r:id="rId42">
        <w:r w:rsidR="00FE605E" w:rsidRPr="00C76AB8">
          <w:rPr>
            <w:sz w:val="22"/>
            <w:szCs w:val="22"/>
          </w:rPr>
          <w:t>https://www.tandfonline.com/doi/epdf/10.1080/02673843.2026.2614426?needAccess=true</w:t>
        </w:r>
      </w:hyperlink>
      <w:r w:rsidR="00065D60" w:rsidRPr="00C76AB8">
        <w:rPr>
          <w:sz w:val="22"/>
          <w:szCs w:val="22"/>
        </w:rPr>
        <w:t>.</w:t>
      </w:r>
      <w:r w:rsidRPr="00C76AB8">
        <w:rPr>
          <w:sz w:val="22"/>
          <w:szCs w:val="22"/>
        </w:rPr>
        <w:t xml:space="preserve"> </w:t>
      </w:r>
    </w:p>
  </w:footnote>
  <w:footnote w:id="81">
    <w:p w14:paraId="000000C9" w14:textId="1978FE4E"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Patrick Renatus Manyengo, </w:t>
      </w:r>
      <w:r w:rsidRPr="00C76AB8">
        <w:rPr>
          <w:i/>
          <w:iCs/>
          <w:sz w:val="22"/>
          <w:szCs w:val="22"/>
        </w:rPr>
        <w:t>The Role of School Leadership on Implementing School Re-entry Policy for Adolescent Mothers in Tanzania: A Systematic Review</w:t>
      </w:r>
      <w:r w:rsidRPr="00C76AB8">
        <w:rPr>
          <w:sz w:val="22"/>
          <w:szCs w:val="22"/>
        </w:rPr>
        <w:t xml:space="preserve">, 23 Asian Research Journal of Arts &amp; Social Sciences 98, 109 (2025), </w:t>
      </w:r>
      <w:hyperlink r:id="rId43">
        <w:r w:rsidR="00FE605E" w:rsidRPr="00C76AB8">
          <w:rPr>
            <w:sz w:val="22"/>
            <w:szCs w:val="22"/>
          </w:rPr>
          <w:t>https://journalarjass.com/index.php/ARJASS/article/view/643</w:t>
        </w:r>
      </w:hyperlink>
      <w:r w:rsidR="00065D60" w:rsidRPr="00C76AB8">
        <w:rPr>
          <w:sz w:val="22"/>
          <w:szCs w:val="22"/>
        </w:rPr>
        <w:t>.</w:t>
      </w:r>
    </w:p>
  </w:footnote>
  <w:footnote w:id="82">
    <w:p w14:paraId="000000CA" w14:textId="2C036651"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Tumaini Paulo Mgunda, Erasto Kano, and Reuben Sungwa, Challenges Facing Teenage Mothers Re-Entry into Secondary Schools in Tanzania: A Qualitative Phenomenological Study, 15 Journal of Issues and Practice in Education, 185, (2023)</w:t>
      </w:r>
      <w:r w:rsidR="00065D60" w:rsidRPr="00C76AB8">
        <w:rPr>
          <w:sz w:val="22"/>
          <w:szCs w:val="22"/>
        </w:rPr>
        <w:t>.</w:t>
      </w:r>
    </w:p>
  </w:footnote>
  <w:footnote w:id="83">
    <w:p w14:paraId="000000CB"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Ibid., p. 188. </w:t>
      </w:r>
    </w:p>
  </w:footnote>
  <w:footnote w:id="84">
    <w:p w14:paraId="000000CC" w14:textId="51C0B7BF"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Pendo Samson Mwakililo, </w:t>
      </w:r>
      <w:r w:rsidRPr="00C76AB8">
        <w:rPr>
          <w:i/>
          <w:iCs/>
          <w:sz w:val="22"/>
          <w:szCs w:val="22"/>
        </w:rPr>
        <w:t>Reintegration of Adolescent Mothers into Secondary Education: Investigating the Availability and Effectiveness of Support Systems in Mbeya Region, Tanzania</w:t>
      </w:r>
      <w:r w:rsidRPr="00C76AB8">
        <w:rPr>
          <w:sz w:val="22"/>
          <w:szCs w:val="22"/>
        </w:rPr>
        <w:t>, 30 International Journal of Adolescence and Youth 1,</w:t>
      </w:r>
      <w:r w:rsidRPr="00C76AB8">
        <w:rPr>
          <w:i/>
          <w:iCs/>
          <w:sz w:val="22"/>
          <w:szCs w:val="22"/>
        </w:rPr>
        <w:t xml:space="preserve"> </w:t>
      </w:r>
      <w:r w:rsidRPr="00C76AB8">
        <w:rPr>
          <w:sz w:val="22"/>
          <w:szCs w:val="22"/>
        </w:rPr>
        <w:t xml:space="preserve">12 (2025) </w:t>
      </w:r>
      <w:hyperlink r:id="rId44">
        <w:r w:rsidR="00FE605E" w:rsidRPr="00C76AB8">
          <w:rPr>
            <w:sz w:val="22"/>
            <w:szCs w:val="22"/>
          </w:rPr>
          <w:t>https://www.tandfonline.com/doi/ epdf/10.1080/02673843.2025.2552335?needAccess=true</w:t>
        </w:r>
      </w:hyperlink>
      <w:r w:rsidR="00065D60" w:rsidRPr="00C76AB8">
        <w:rPr>
          <w:sz w:val="22"/>
          <w:szCs w:val="22"/>
        </w:rPr>
        <w:t>.</w:t>
      </w:r>
    </w:p>
  </w:footnote>
  <w:footnote w:id="85">
    <w:p w14:paraId="000000CD"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Concluding observations on the combined third to fifth periodic reports of the United Republic of Tanzania,</w:t>
      </w:r>
      <w:r w:rsidRPr="00C76AB8">
        <w:rPr>
          <w:sz w:val="22"/>
          <w:szCs w:val="22"/>
        </w:rPr>
        <w:t xml:space="preserve"> (Mar. 3, 2015), U.N. Doc. CRC/C/TZA/CO/3-5, ¶¶39,71. </w:t>
      </w:r>
    </w:p>
  </w:footnote>
  <w:footnote w:id="86">
    <w:p w14:paraId="67BE5B51" w14:textId="79114431" w:rsidR="000A53BD" w:rsidRPr="00C76AB8" w:rsidRDefault="000A53BD">
      <w:pPr>
        <w:pStyle w:val="FootnoteText"/>
        <w:rPr>
          <w:sz w:val="22"/>
          <w:szCs w:val="22"/>
          <w:lang w:val="en-US"/>
        </w:rPr>
      </w:pPr>
      <w:r w:rsidRPr="00C76AB8">
        <w:rPr>
          <w:rStyle w:val="FootnoteReference"/>
          <w:sz w:val="22"/>
          <w:szCs w:val="22"/>
        </w:rPr>
        <w:footnoteRef/>
      </w:r>
      <w:r w:rsidRPr="00C76AB8">
        <w:rPr>
          <w:sz w:val="22"/>
          <w:szCs w:val="22"/>
        </w:rPr>
        <w:t xml:space="preserve"> </w:t>
      </w:r>
      <w:r w:rsidRPr="00C76AB8">
        <w:rPr>
          <w:sz w:val="22"/>
          <w:szCs w:val="22"/>
          <w:lang w:val="en-US"/>
        </w:rPr>
        <w:t>Committee on the Rights of the Child,</w:t>
      </w:r>
      <w:r w:rsidRPr="00C76AB8">
        <w:rPr>
          <w:i/>
          <w:iCs/>
          <w:sz w:val="22"/>
          <w:szCs w:val="22"/>
          <w:lang w:val="en-US"/>
        </w:rPr>
        <w:t xml:space="preserve"> List of issues in relation to the sixth periodic report of the United Republic of Tanzania </w:t>
      </w:r>
      <w:r w:rsidRPr="00C76AB8">
        <w:rPr>
          <w:sz w:val="22"/>
          <w:szCs w:val="22"/>
          <w:lang w:val="en-US"/>
        </w:rPr>
        <w:t xml:space="preserve">(Dec. 10, 2025), U.N. Doc. CRC/C/TZA/Q/6, </w:t>
      </w:r>
      <w:r w:rsidRPr="00C76AB8">
        <w:rPr>
          <w:sz w:val="22"/>
          <w:szCs w:val="22"/>
        </w:rPr>
        <w:t>¶¶7, 13(e), 18(a).</w:t>
      </w:r>
    </w:p>
  </w:footnote>
  <w:footnote w:id="87">
    <w:p w14:paraId="000000CE"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Sixth periodic report submitted by the United Republic of Tanzania under article 44 of the Convention, due in 2020,</w:t>
      </w:r>
      <w:r w:rsidRPr="00C76AB8">
        <w:rPr>
          <w:sz w:val="22"/>
          <w:szCs w:val="22"/>
        </w:rPr>
        <w:t xml:space="preserve"> (Mar. 3, 2015), U.N. Doc. CRC/C/TZA/CO/6, ¶¶169-172. </w:t>
      </w:r>
    </w:p>
  </w:footnote>
  <w:footnote w:id="88">
    <w:p w14:paraId="000000CF"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Sixth periodic report submitted by the United Republic of Tanzania under article 44 of the Convention, due in 2020,</w:t>
      </w:r>
      <w:r w:rsidRPr="00C76AB8">
        <w:rPr>
          <w:sz w:val="22"/>
          <w:szCs w:val="22"/>
        </w:rPr>
        <w:t xml:space="preserve"> (Mar. 3, 2015), U.N. Doc. CRC/C/TZA/CO/6, ¶91.  </w:t>
      </w:r>
    </w:p>
  </w:footnote>
  <w:footnote w:id="89">
    <w:p w14:paraId="000000D0"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Tanzania Human Rights Report 2024: The Resurgence of Unknown Assailants, by Fundikila &amp; Robert Majige (2025), XXVIII.</w:t>
      </w:r>
    </w:p>
  </w:footnote>
  <w:footnote w:id="90">
    <w:p w14:paraId="000000D1"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Tanzania Human Rights Report 2024: The Resurgence of Unknown Assailants, by Fundikila &amp; Robert Majige (2025), XXXVI. </w:t>
      </w:r>
    </w:p>
  </w:footnote>
  <w:footnote w:id="91">
    <w:p w14:paraId="000000D2" w14:textId="0F7D5261"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Counter Human Trafficking Trust East Africa, “Human Trafficking in Tanzania,” May 2, 2026, </w:t>
      </w:r>
      <w:hyperlink r:id="rId45">
        <w:r w:rsidR="00FE605E" w:rsidRPr="00C76AB8">
          <w:rPr>
            <w:sz w:val="22"/>
            <w:szCs w:val="22"/>
          </w:rPr>
          <w:t>https://chttrust-eastafrica.org/2023/05/13/human-trafficking-in-tanzania/</w:t>
        </w:r>
      </w:hyperlink>
      <w:r w:rsidR="00065D60" w:rsidRPr="00C76AB8">
        <w:rPr>
          <w:sz w:val="22"/>
          <w:szCs w:val="22"/>
        </w:rPr>
        <w:t>.</w:t>
      </w:r>
      <w:r w:rsidRPr="00C76AB8">
        <w:rPr>
          <w:sz w:val="22"/>
          <w:szCs w:val="22"/>
        </w:rPr>
        <w:t xml:space="preserve">  </w:t>
      </w:r>
    </w:p>
  </w:footnote>
  <w:footnote w:id="92">
    <w:p w14:paraId="000000D3"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Tanzania Human Rights Report 2024: The Resurgence of Unknown Assailants, by Fundikila &amp; Robert Majige (2025), XXVI. </w:t>
      </w:r>
    </w:p>
  </w:footnote>
  <w:footnote w:id="93">
    <w:p w14:paraId="000000D4" w14:textId="69560A2D"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Abdallah Jacob Seni, </w:t>
      </w:r>
      <w:r w:rsidRPr="00C76AB8">
        <w:rPr>
          <w:i/>
          <w:iCs/>
          <w:sz w:val="22"/>
          <w:szCs w:val="22"/>
        </w:rPr>
        <w:t>Challenges Faced by Out of School Street Children and Teenagers Engaged in Begging in Tanzania</w:t>
      </w:r>
      <w:r w:rsidRPr="00C76AB8">
        <w:rPr>
          <w:sz w:val="22"/>
          <w:szCs w:val="22"/>
        </w:rPr>
        <w:t xml:space="preserve">, 5 Theory and Practice in Child Development 84, 84 (2025), </w:t>
      </w:r>
      <w:hyperlink r:id="rId46">
        <w:r w:rsidR="00FE605E" w:rsidRPr="00C76AB8">
          <w:rPr>
            <w:sz w:val="22"/>
            <w:szCs w:val="22"/>
          </w:rPr>
          <w:t>https://tpicd.org/index.php/tpicd/article/view/138/64</w:t>
        </w:r>
      </w:hyperlink>
      <w:r w:rsidR="00065D60" w:rsidRPr="00C76AB8">
        <w:rPr>
          <w:sz w:val="22"/>
          <w:szCs w:val="22"/>
        </w:rPr>
        <w:t>.</w:t>
      </w:r>
      <w:r w:rsidRPr="00C76AB8">
        <w:rPr>
          <w:sz w:val="22"/>
          <w:szCs w:val="22"/>
        </w:rPr>
        <w:t xml:space="preserve"> </w:t>
      </w:r>
    </w:p>
  </w:footnote>
  <w:footnote w:id="94">
    <w:p w14:paraId="000000D5" w14:textId="24D160DA"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Katherine B. Rucinski et al., </w:t>
      </w:r>
      <w:r w:rsidRPr="00C76AB8">
        <w:rPr>
          <w:i/>
          <w:iCs/>
          <w:sz w:val="22"/>
          <w:szCs w:val="22"/>
        </w:rPr>
        <w:t>Transactional Sex and age-disparate sexual partnerships among adolescent girls and young women in Tanzania</w:t>
      </w:r>
      <w:r w:rsidRPr="00C76AB8">
        <w:rPr>
          <w:sz w:val="22"/>
          <w:szCs w:val="22"/>
        </w:rPr>
        <w:t xml:space="preserve">, 6 Front. Reprod. Health, (2024), </w:t>
      </w:r>
      <w:hyperlink r:id="rId47">
        <w:r w:rsidR="00FE605E" w:rsidRPr="00C76AB8">
          <w:rPr>
            <w:sz w:val="22"/>
            <w:szCs w:val="22"/>
          </w:rPr>
          <w:t>https://www.frontiersin.org/journals/reproductive-health/articles/10.3389/frph.2024.1360339/full?utm_source=chatgpt.com</w:t>
        </w:r>
      </w:hyperlink>
      <w:r w:rsidR="00065D60" w:rsidRPr="00C76AB8">
        <w:rPr>
          <w:sz w:val="22"/>
          <w:szCs w:val="22"/>
        </w:rPr>
        <w:t>.</w:t>
      </w:r>
      <w:r w:rsidRPr="00C76AB8">
        <w:rPr>
          <w:sz w:val="22"/>
          <w:szCs w:val="22"/>
        </w:rPr>
        <w:t xml:space="preserve">  </w:t>
      </w:r>
    </w:p>
  </w:footnote>
  <w:footnote w:id="95">
    <w:p w14:paraId="000000D6" w14:textId="55CE1C24"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Counter Human Trafficking Trust East Africa, “Human Trafficking in Tanzania,” May 2, 2026, </w:t>
      </w:r>
      <w:hyperlink r:id="rId48">
        <w:r w:rsidR="00FE605E" w:rsidRPr="00C76AB8">
          <w:rPr>
            <w:sz w:val="22"/>
            <w:szCs w:val="22"/>
          </w:rPr>
          <w:t>https://chttrust-eastafrica.org/2023/05/13/human-trafficking-in-tanzania/</w:t>
        </w:r>
      </w:hyperlink>
      <w:r w:rsidR="00065D60" w:rsidRPr="00C76AB8">
        <w:rPr>
          <w:sz w:val="22"/>
          <w:szCs w:val="22"/>
        </w:rPr>
        <w:t>.</w:t>
      </w:r>
      <w:r w:rsidRPr="00C76AB8">
        <w:rPr>
          <w:sz w:val="22"/>
          <w:szCs w:val="22"/>
        </w:rPr>
        <w:t xml:space="preserve">  </w:t>
      </w:r>
    </w:p>
  </w:footnote>
  <w:footnote w:id="96">
    <w:p w14:paraId="000000D7" w14:textId="17C03A4A"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The October 2025 Unrest: A Major Setback For Human Rights- Tanzania Human Rights Report 2025, by Fundikila &amp; Robert Majige (2026), XVII</w:t>
      </w:r>
      <w:r w:rsidR="00065D60" w:rsidRPr="00C76AB8">
        <w:rPr>
          <w:sz w:val="22"/>
          <w:szCs w:val="22"/>
        </w:rPr>
        <w:t>.</w:t>
      </w:r>
    </w:p>
  </w:footnote>
  <w:footnote w:id="97">
    <w:p w14:paraId="000000D8" w14:textId="5F1A872A"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Tanzania Human Rights Report 2024: The Resurgence of Unknown Assailants, by Fundikila &amp; Robert Majige (2025), 179</w:t>
      </w:r>
      <w:r w:rsidR="00065D60" w:rsidRPr="00C76AB8">
        <w:rPr>
          <w:sz w:val="22"/>
          <w:szCs w:val="22"/>
        </w:rPr>
        <w:t>.</w:t>
      </w:r>
    </w:p>
  </w:footnote>
  <w:footnote w:id="98">
    <w:p w14:paraId="000000D9" w14:textId="2DD66A26"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Consortium For Street Children, “Street Children in Tanzania,” accessed May 4, 2026, </w:t>
      </w:r>
      <w:hyperlink r:id="rId49">
        <w:r w:rsidR="00FE605E" w:rsidRPr="00C76AB8">
          <w:rPr>
            <w:sz w:val="22"/>
            <w:szCs w:val="22"/>
          </w:rPr>
          <w:t>https://www.streetchildren.org/our-work/projects/street-children-in-tanzania/</w:t>
        </w:r>
      </w:hyperlink>
      <w:r w:rsidR="00065D60" w:rsidRPr="00C76AB8">
        <w:rPr>
          <w:sz w:val="22"/>
          <w:szCs w:val="22"/>
        </w:rPr>
        <w:t>.</w:t>
      </w:r>
      <w:r w:rsidRPr="00C76AB8">
        <w:rPr>
          <w:sz w:val="22"/>
          <w:szCs w:val="22"/>
        </w:rPr>
        <w:t xml:space="preserve"> </w:t>
      </w:r>
    </w:p>
  </w:footnote>
  <w:footnote w:id="99">
    <w:p w14:paraId="000000DA" w14:textId="03A74FAB"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Tanzania Police Force and National Bureau of Statistics for Development, </w:t>
      </w:r>
      <w:r w:rsidRPr="00C76AB8">
        <w:rPr>
          <w:i/>
          <w:iCs/>
          <w:sz w:val="22"/>
          <w:szCs w:val="22"/>
        </w:rPr>
        <w:t>Crime and Traffic Incidents Statistics Report</w:t>
      </w:r>
      <w:r w:rsidRPr="00C76AB8">
        <w:rPr>
          <w:sz w:val="22"/>
          <w:szCs w:val="22"/>
        </w:rPr>
        <w:t xml:space="preserve">, 32 (2024), </w:t>
      </w:r>
      <w:hyperlink r:id="rId50">
        <w:r w:rsidR="00FE605E" w:rsidRPr="00C76AB8">
          <w:rPr>
            <w:sz w:val="22"/>
            <w:szCs w:val="22"/>
          </w:rPr>
          <w:t>https://www.nbs.go.tz/uploads/statistics/documents/en-1755675635-Crime%20and%20Traffic%20Incidents%20Statistics%20January%20-%20June,%202024.pdf</w:t>
        </w:r>
      </w:hyperlink>
      <w:r w:rsidR="00065D60" w:rsidRPr="00C76AB8">
        <w:rPr>
          <w:sz w:val="22"/>
          <w:szCs w:val="22"/>
        </w:rPr>
        <w:t>.</w:t>
      </w:r>
      <w:r w:rsidRPr="00C76AB8">
        <w:rPr>
          <w:sz w:val="22"/>
          <w:szCs w:val="22"/>
        </w:rPr>
        <w:t xml:space="preserve">  </w:t>
      </w:r>
    </w:p>
  </w:footnote>
  <w:footnote w:id="100">
    <w:p w14:paraId="000000DB" w14:textId="77777777" w:rsidR="00FE605E" w:rsidRPr="00C76AB8" w:rsidRDefault="00DD508B">
      <w:pPr>
        <w:rPr>
          <w:sz w:val="22"/>
          <w:szCs w:val="22"/>
        </w:rPr>
      </w:pPr>
      <w:r w:rsidRPr="00C76AB8">
        <w:rPr>
          <w:sz w:val="22"/>
          <w:szCs w:val="22"/>
          <w:vertAlign w:val="superscript"/>
        </w:rPr>
        <w:footnoteRef/>
      </w:r>
      <w:r w:rsidRPr="00C76AB8">
        <w:rPr>
          <w:sz w:val="22"/>
          <w:szCs w:val="22"/>
        </w:rPr>
        <w:t xml:space="preserve"> We Protect, “C-Sema’s multi-faceted approach to addressing online child sexual exploitation and abuse in Tanzania,” accessed April 16, 2026, </w:t>
      </w:r>
    </w:p>
    <w:p w14:paraId="000000DC" w14:textId="544C06A2" w:rsidR="00FE605E" w:rsidRPr="00C76AB8" w:rsidRDefault="00FE605E">
      <w:pPr>
        <w:pBdr>
          <w:top w:val="nil"/>
          <w:left w:val="nil"/>
          <w:bottom w:val="nil"/>
          <w:right w:val="nil"/>
          <w:between w:val="nil"/>
        </w:pBdr>
        <w:rPr>
          <w:sz w:val="22"/>
          <w:szCs w:val="22"/>
        </w:rPr>
      </w:pPr>
      <w:hyperlink r:id="rId51">
        <w:r w:rsidRPr="00C76AB8">
          <w:rPr>
            <w:sz w:val="22"/>
            <w:szCs w:val="22"/>
          </w:rPr>
          <w:t>https://www.weprotect.org/resources/case-study/c-semas-multi-faceted-approach-to-addressing-online-child-sexual-exploitation-and-abuse-in-tanzania/</w:t>
        </w:r>
      </w:hyperlink>
      <w:r w:rsidR="00065D60" w:rsidRPr="00C76AB8">
        <w:rPr>
          <w:sz w:val="22"/>
          <w:szCs w:val="22"/>
        </w:rPr>
        <w:t>.</w:t>
      </w:r>
      <w:r w:rsidR="00DD508B" w:rsidRPr="00C76AB8">
        <w:rPr>
          <w:sz w:val="22"/>
          <w:szCs w:val="22"/>
        </w:rPr>
        <w:t xml:space="preserve">  </w:t>
      </w:r>
    </w:p>
  </w:footnote>
  <w:footnote w:id="101">
    <w:p w14:paraId="000000DD" w14:textId="30536FF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w:t>
      </w:r>
      <w:r w:rsidR="00065D60" w:rsidRPr="00C76AB8">
        <w:rPr>
          <w:sz w:val="22"/>
          <w:szCs w:val="22"/>
        </w:rPr>
        <w:t>ECPAT</w:t>
      </w:r>
      <w:r w:rsidRPr="00C76AB8">
        <w:rPr>
          <w:sz w:val="22"/>
          <w:szCs w:val="22"/>
        </w:rPr>
        <w:t xml:space="preserve">, “Launch of the Disrupting Harm Report for Tanzania on Technology and the Sexual Exploitation of Children,” accessed April 16, 2026, </w:t>
      </w:r>
      <w:hyperlink r:id="rId52">
        <w:r w:rsidR="00FE605E" w:rsidRPr="00C76AB8">
          <w:rPr>
            <w:sz w:val="22"/>
            <w:szCs w:val="22"/>
          </w:rPr>
          <w:t>https://ecpat.org/launch-of-the-disrupting-harm-report-for-tanzania-on-technology-and-the-sexual-exploitation-of-children/</w:t>
        </w:r>
      </w:hyperlink>
      <w:r w:rsidR="00065D60" w:rsidRPr="00C76AB8">
        <w:rPr>
          <w:sz w:val="22"/>
          <w:szCs w:val="22"/>
        </w:rPr>
        <w:t>.</w:t>
      </w:r>
    </w:p>
  </w:footnote>
  <w:footnote w:id="102">
    <w:p w14:paraId="000000DE" w14:textId="7DEC636C"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National Bureau of Statistics, </w:t>
      </w:r>
      <w:r w:rsidRPr="00C76AB8">
        <w:rPr>
          <w:i/>
          <w:iCs/>
          <w:sz w:val="22"/>
          <w:szCs w:val="22"/>
        </w:rPr>
        <w:t>Tanzania Violence Against Children and Youth Survey (VACS) 2024,</w:t>
      </w:r>
      <w:r w:rsidRPr="00C76AB8">
        <w:rPr>
          <w:sz w:val="22"/>
          <w:szCs w:val="22"/>
        </w:rPr>
        <w:t xml:space="preserve"> by the Ministry of Community, Gender, Women and Special Groups &amp; Ministry of Community Development (2025), 9, </w:t>
      </w:r>
      <w:hyperlink r:id="rId53">
        <w:r w:rsidR="00FE605E" w:rsidRPr="00C76AB8">
          <w:rPr>
            <w:sz w:val="22"/>
            <w:szCs w:val="22"/>
          </w:rPr>
          <w:t>https://www.nbs.go.tz/uploads/statistics/documents/en-1766075873-Tanzania%20VACS%202024%20%20Report.pdf</w:t>
        </w:r>
      </w:hyperlink>
      <w:r w:rsidR="00065D60" w:rsidRPr="00C76AB8">
        <w:rPr>
          <w:sz w:val="22"/>
          <w:szCs w:val="22"/>
        </w:rPr>
        <w:t>.</w:t>
      </w:r>
    </w:p>
  </w:footnote>
  <w:footnote w:id="103">
    <w:p w14:paraId="000000DF" w14:textId="70AF1FB1"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Budeba Petro Mlyakado, Jessica Chi-Mei Li, &amp; Cinday Xinshan Jia, </w:t>
      </w:r>
      <w:r w:rsidRPr="00C76AB8">
        <w:rPr>
          <w:i/>
          <w:iCs/>
          <w:sz w:val="22"/>
          <w:szCs w:val="22"/>
        </w:rPr>
        <w:t>Online sexual exploitation of adolescents in Tanzania: Explaining help-seeking intention using the theory of planned behaviour</w:t>
      </w:r>
      <w:r w:rsidRPr="00C76AB8">
        <w:rPr>
          <w:sz w:val="22"/>
          <w:szCs w:val="22"/>
        </w:rPr>
        <w:t xml:space="preserve">, 154 Children and Youth Services Review 1, 2, </w:t>
      </w:r>
      <w:hyperlink r:id="rId54">
        <w:r w:rsidR="00FE605E" w:rsidRPr="00C76AB8">
          <w:rPr>
            <w:sz w:val="22"/>
            <w:szCs w:val="22"/>
          </w:rPr>
          <w:t>https://www.sciencedirect.com/science/article/abs/pii/S0190740923003249</w:t>
        </w:r>
      </w:hyperlink>
      <w:r w:rsidR="00065D60" w:rsidRPr="00C76AB8">
        <w:rPr>
          <w:sz w:val="22"/>
          <w:szCs w:val="22"/>
        </w:rPr>
        <w:t>.</w:t>
      </w:r>
    </w:p>
  </w:footnote>
  <w:footnote w:id="104">
    <w:p w14:paraId="000000E0" w14:textId="095FB414"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Safe Online Tanzania, </w:t>
      </w:r>
      <w:r w:rsidRPr="00C76AB8">
        <w:rPr>
          <w:i/>
          <w:iCs/>
          <w:sz w:val="22"/>
          <w:szCs w:val="22"/>
        </w:rPr>
        <w:t>Disrupting Harm In Tanzania: Evidence on Online Child Sexual Exploitation and Abuse</w:t>
      </w:r>
      <w:r w:rsidRPr="00C76AB8">
        <w:rPr>
          <w:sz w:val="22"/>
          <w:szCs w:val="22"/>
        </w:rPr>
        <w:t xml:space="preserve">, 8 (2022), </w:t>
      </w:r>
      <w:hyperlink r:id="rId55">
        <w:r w:rsidR="00FE605E" w:rsidRPr="00C76AB8">
          <w:rPr>
            <w:sz w:val="22"/>
            <w:szCs w:val="22"/>
          </w:rPr>
          <w:t>https://safeonline.global/wp-content/uploads/2023/12/DH_Tanzania_ONLINE_final_191222.pdf</w:t>
        </w:r>
      </w:hyperlink>
      <w:r w:rsidR="00065D60" w:rsidRPr="00C76AB8">
        <w:rPr>
          <w:sz w:val="22"/>
          <w:szCs w:val="22"/>
        </w:rPr>
        <w:t>.</w:t>
      </w:r>
    </w:p>
  </w:footnote>
  <w:footnote w:id="105">
    <w:p w14:paraId="000000E1" w14:textId="7CED11F2"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w:t>
      </w:r>
      <w:r w:rsidR="002504B2" w:rsidRPr="00C76AB8">
        <w:rPr>
          <w:sz w:val="22"/>
          <w:szCs w:val="22"/>
        </w:rPr>
        <w:t>ECPAT</w:t>
      </w:r>
      <w:r w:rsidRPr="00C76AB8">
        <w:rPr>
          <w:sz w:val="22"/>
          <w:szCs w:val="22"/>
        </w:rPr>
        <w:t>, INTERPOL, and UNICEF, Disrupting Harm in Tanzania: Evidence</w:t>
      </w:r>
      <w:r w:rsidR="00C76AB8">
        <w:rPr>
          <w:sz w:val="22"/>
          <w:szCs w:val="22"/>
        </w:rPr>
        <w:t>,</w:t>
      </w:r>
      <w:r w:rsidRPr="00C76AB8">
        <w:rPr>
          <w:sz w:val="22"/>
          <w:szCs w:val="22"/>
        </w:rPr>
        <w:t xml:space="preserve"> p</w:t>
      </w:r>
      <w:r w:rsidR="00C76AB8">
        <w:rPr>
          <w:sz w:val="22"/>
          <w:szCs w:val="22"/>
        </w:rPr>
        <w:t>.</w:t>
      </w:r>
      <w:r w:rsidRPr="00C76AB8">
        <w:rPr>
          <w:sz w:val="22"/>
          <w:szCs w:val="22"/>
        </w:rPr>
        <w:t xml:space="preserve"> 8 </w:t>
      </w:r>
      <w:hyperlink r:id="rId56">
        <w:r w:rsidR="00FE605E" w:rsidRPr="00C76AB8">
          <w:rPr>
            <w:sz w:val="22"/>
            <w:szCs w:val="22"/>
          </w:rPr>
          <w:t>https://safeonline.global/wp-content/uploads/2023/12/DH_Tanzania_ONLINE_final_191222.pdf</w:t>
        </w:r>
      </w:hyperlink>
      <w:r w:rsidR="00065D60" w:rsidRPr="00C76AB8">
        <w:rPr>
          <w:sz w:val="22"/>
          <w:szCs w:val="22"/>
        </w:rPr>
        <w:t>.</w:t>
      </w:r>
    </w:p>
  </w:footnote>
  <w:footnote w:id="106">
    <w:p w14:paraId="000000E2" w14:textId="39E64AB3" w:rsidR="00FE605E" w:rsidRPr="00C76AB8" w:rsidRDefault="00DD508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Helvetica Neue"/>
          <w:sz w:val="22"/>
          <w:szCs w:val="22"/>
        </w:rPr>
      </w:pPr>
      <w:r w:rsidRPr="00C76AB8">
        <w:rPr>
          <w:sz w:val="22"/>
          <w:szCs w:val="22"/>
          <w:vertAlign w:val="superscript"/>
        </w:rPr>
        <w:footnoteRef/>
      </w:r>
      <w:r w:rsidRPr="00C76AB8">
        <w:rPr>
          <w:sz w:val="22"/>
          <w:szCs w:val="22"/>
        </w:rPr>
        <w:t xml:space="preserve"> </w:t>
      </w:r>
      <w:r w:rsidR="00065D60" w:rsidRPr="00C76AB8">
        <w:rPr>
          <w:sz w:val="22"/>
          <w:szCs w:val="22"/>
        </w:rPr>
        <w:t>ECPAT</w:t>
      </w:r>
      <w:r w:rsidRPr="00C76AB8">
        <w:rPr>
          <w:sz w:val="22"/>
          <w:szCs w:val="22"/>
        </w:rPr>
        <w:t xml:space="preserve">, “Launch of the Disrupting Harm Report for Tanzania on Technology and the Sexual Exploitation of Children,” accessed April 16, 2026, </w:t>
      </w:r>
      <w:hyperlink r:id="rId57">
        <w:r w:rsidR="00FE605E" w:rsidRPr="00C76AB8">
          <w:rPr>
            <w:sz w:val="22"/>
            <w:szCs w:val="22"/>
          </w:rPr>
          <w:t>https://ecpat.org/launch-of-the-disrupting-harm-report-for-tanzania-on-technology-and-the-sexual-exploitation-of-children/</w:t>
        </w:r>
      </w:hyperlink>
      <w:r w:rsidR="00065D60" w:rsidRPr="00C76AB8">
        <w:rPr>
          <w:sz w:val="22"/>
          <w:szCs w:val="22"/>
        </w:rPr>
        <w:t>.</w:t>
      </w:r>
    </w:p>
  </w:footnote>
  <w:footnote w:id="107">
    <w:p w14:paraId="000000E3" w14:textId="3AD0C305"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UNFPA, “‘Justice Must Be Accessible to All’: Tanzania Inaugurates New Police Gender and Children’s Desk in Tarime,” accessed April 16, 2026, </w:t>
      </w:r>
      <w:hyperlink r:id="rId58">
        <w:r w:rsidR="00FE605E" w:rsidRPr="00C76AB8">
          <w:rPr>
            <w:sz w:val="22"/>
            <w:szCs w:val="22"/>
          </w:rPr>
          <w:t>https://tanzania.unfpa.org/en/news/“justice-must-be-accessible-all”-tanzania-inaugurates-new-police-gender-and-childrens-desk</w:t>
        </w:r>
      </w:hyperlink>
      <w:r w:rsidR="00065D60" w:rsidRPr="00C76AB8">
        <w:rPr>
          <w:sz w:val="22"/>
          <w:szCs w:val="22"/>
        </w:rPr>
        <w:t>.</w:t>
      </w:r>
      <w:r w:rsidRPr="00C76AB8">
        <w:rPr>
          <w:sz w:val="22"/>
          <w:szCs w:val="22"/>
        </w:rPr>
        <w:t xml:space="preserve"> </w:t>
      </w:r>
    </w:p>
  </w:footnote>
  <w:footnote w:id="108">
    <w:p w14:paraId="000000E4" w14:textId="75D66CAE"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Together for girls, “Safe Heroes: Police Gender &amp; Children’s Desk, Tanzania,” accessed April 16, 2026, </w:t>
      </w:r>
      <w:hyperlink r:id="rId59">
        <w:r w:rsidR="00FE605E" w:rsidRPr="00C76AB8">
          <w:rPr>
            <w:sz w:val="22"/>
            <w:szCs w:val="22"/>
          </w:rPr>
          <w:t>https://www.togetherforgirls.org/en/stories/mbeya-police-gender-desk-tanzania</w:t>
        </w:r>
      </w:hyperlink>
      <w:r w:rsidR="00065D60" w:rsidRPr="00C76AB8">
        <w:rPr>
          <w:sz w:val="22"/>
          <w:szCs w:val="22"/>
        </w:rPr>
        <w:t>.</w:t>
      </w:r>
      <w:r w:rsidRPr="00C76AB8">
        <w:rPr>
          <w:sz w:val="22"/>
          <w:szCs w:val="22"/>
        </w:rPr>
        <w:t xml:space="preserve"> </w:t>
      </w:r>
    </w:p>
  </w:footnote>
  <w:footnote w:id="109">
    <w:p w14:paraId="000000E5" w14:textId="267D6E6F"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00065D60" w:rsidRPr="00C76AB8">
        <w:rPr>
          <w:sz w:val="22"/>
          <w:szCs w:val="22"/>
        </w:rPr>
        <w:t xml:space="preserve"> </w:t>
      </w:r>
      <w:r w:rsidRPr="00C76AB8">
        <w:rPr>
          <w:sz w:val="22"/>
          <w:szCs w:val="22"/>
        </w:rPr>
        <w:t>Cybercrimes Act, Act No. 14 of 2015</w:t>
      </w:r>
      <w:r w:rsidRPr="00C76AB8">
        <w:rPr>
          <w:i/>
          <w:iCs/>
          <w:sz w:val="22"/>
          <w:szCs w:val="22"/>
        </w:rPr>
        <w:t> (Tanz.).</w:t>
      </w:r>
      <w:r w:rsidRPr="00C76AB8">
        <w:rPr>
          <w:rFonts w:eastAsia="-webkit-standard"/>
          <w:sz w:val="22"/>
          <w:szCs w:val="22"/>
        </w:rPr>
        <w:t xml:space="preserve"> </w:t>
      </w:r>
    </w:p>
  </w:footnote>
  <w:footnote w:id="110">
    <w:p w14:paraId="000000E6" w14:textId="3E14558F"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Fatma Haruna Songoro, </w:t>
      </w:r>
      <w:r w:rsidRPr="00C76AB8">
        <w:rPr>
          <w:i/>
          <w:iCs/>
          <w:sz w:val="22"/>
          <w:szCs w:val="22"/>
          <w:shd w:val="clear" w:color="auto" w:fill="FCFCFC"/>
        </w:rPr>
        <w:t>Tanzania Amends Cybercrime Act to Boost Child Online Safety,</w:t>
      </w:r>
      <w:r w:rsidRPr="00C76AB8">
        <w:rPr>
          <w:sz w:val="22"/>
          <w:szCs w:val="22"/>
          <w:shd w:val="clear" w:color="auto" w:fill="FCFCFC"/>
        </w:rPr>
        <w:t xml:space="preserve"> Victory Attorneys, Dec. 17, 2024, </w:t>
      </w:r>
      <w:hyperlink r:id="rId60">
        <w:r w:rsidR="00FE605E" w:rsidRPr="00C76AB8">
          <w:rPr>
            <w:sz w:val="22"/>
            <w:szCs w:val="22"/>
            <w:shd w:val="clear" w:color="auto" w:fill="FCFCFC"/>
          </w:rPr>
          <w:t>https://victoryattorneys.co.tz/2024/12/23/tanzania-amends-cybercrime-act-to-boost-child-online-safety/</w:t>
        </w:r>
      </w:hyperlink>
      <w:r w:rsidR="00065D60" w:rsidRPr="00C76AB8">
        <w:rPr>
          <w:sz w:val="22"/>
          <w:szCs w:val="22"/>
        </w:rPr>
        <w:t>.</w:t>
      </w:r>
    </w:p>
  </w:footnote>
  <w:footnote w:id="111">
    <w:p w14:paraId="000000E7" w14:textId="2D231CA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Fatma Haruna Songoro, </w:t>
      </w:r>
      <w:r w:rsidRPr="00C76AB8">
        <w:rPr>
          <w:i/>
          <w:iCs/>
          <w:sz w:val="22"/>
          <w:szCs w:val="22"/>
          <w:shd w:val="clear" w:color="auto" w:fill="FCFCFC"/>
        </w:rPr>
        <w:t>Tanzania Amends Cybercrime Act to Boost Child Online Safety,</w:t>
      </w:r>
      <w:r w:rsidRPr="00C76AB8">
        <w:rPr>
          <w:sz w:val="22"/>
          <w:szCs w:val="22"/>
          <w:shd w:val="clear" w:color="auto" w:fill="FCFCFC"/>
        </w:rPr>
        <w:t xml:space="preserve"> Victory Attorneys, Dec. 17, 2024, </w:t>
      </w:r>
      <w:hyperlink r:id="rId61">
        <w:r w:rsidR="00FE605E" w:rsidRPr="00C76AB8">
          <w:rPr>
            <w:sz w:val="22"/>
            <w:szCs w:val="22"/>
            <w:shd w:val="clear" w:color="auto" w:fill="FCFCFC"/>
          </w:rPr>
          <w:t>https://victoryattorneys.co.tz/2024/12/23/tanzania-amends-cybercrime-act-to-boost-child-online-safety/</w:t>
        </w:r>
      </w:hyperlink>
      <w:r w:rsidR="00065D60" w:rsidRPr="00C76AB8">
        <w:rPr>
          <w:sz w:val="22"/>
          <w:szCs w:val="22"/>
        </w:rPr>
        <w:t>.</w:t>
      </w:r>
      <w:r w:rsidRPr="00C76AB8">
        <w:rPr>
          <w:rFonts w:eastAsia="Arial"/>
          <w:sz w:val="22"/>
          <w:szCs w:val="22"/>
          <w:shd w:val="clear" w:color="auto" w:fill="FCFCFC"/>
        </w:rPr>
        <w:t xml:space="preserve"> </w:t>
      </w:r>
    </w:p>
  </w:footnote>
  <w:footnote w:id="112">
    <w:p w14:paraId="000000E8" w14:textId="6B368AF3"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00065D60" w:rsidRPr="00C76AB8">
        <w:rPr>
          <w:sz w:val="22"/>
          <w:szCs w:val="22"/>
        </w:rPr>
        <w:t xml:space="preserve"> </w:t>
      </w:r>
      <w:r w:rsidRPr="00C76AB8">
        <w:rPr>
          <w:sz w:val="22"/>
          <w:szCs w:val="22"/>
        </w:rPr>
        <w:t>EC</w:t>
      </w:r>
      <w:r w:rsidR="00065D60" w:rsidRPr="00C76AB8">
        <w:rPr>
          <w:sz w:val="22"/>
          <w:szCs w:val="22"/>
        </w:rPr>
        <w:t>PA</w:t>
      </w:r>
      <w:r w:rsidRPr="00C76AB8">
        <w:rPr>
          <w:sz w:val="22"/>
          <w:szCs w:val="22"/>
        </w:rPr>
        <w:t xml:space="preserve">T, “Launch of the Disrupting Harm Report for Tanzania on Technology and the Sexual Exploitation of Children,” accessed April 16, 2026, </w:t>
      </w:r>
      <w:hyperlink r:id="rId62">
        <w:r w:rsidR="00FE605E" w:rsidRPr="00C76AB8">
          <w:rPr>
            <w:sz w:val="22"/>
            <w:szCs w:val="22"/>
          </w:rPr>
          <w:t>https://ecpat.org/launch-of-the-disrupting-harm-report-for-tanzania-on-technology-and-the-sexual-exploitation-of-children/</w:t>
        </w:r>
      </w:hyperlink>
      <w:r w:rsidR="00065D60" w:rsidRPr="00C76AB8">
        <w:rPr>
          <w:sz w:val="22"/>
          <w:szCs w:val="22"/>
        </w:rPr>
        <w:t>.</w:t>
      </w:r>
    </w:p>
  </w:footnote>
  <w:footnote w:id="113">
    <w:p w14:paraId="000000E9" w14:textId="254DA992"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Simon Nashon, </w:t>
      </w:r>
      <w:r w:rsidRPr="00C76AB8">
        <w:rPr>
          <w:i/>
          <w:iCs/>
          <w:sz w:val="22"/>
          <w:szCs w:val="22"/>
        </w:rPr>
        <w:t>Assessing the Implementation of the Cybercrimes Act in Combating Cybercrimes in Tanzania</w:t>
      </w:r>
      <w:r w:rsidRPr="00C76AB8">
        <w:rPr>
          <w:sz w:val="22"/>
          <w:szCs w:val="22"/>
        </w:rPr>
        <w:t xml:space="preserve">, 15 International Journal of Current Science 439, 445 (2025), </w:t>
      </w:r>
      <w:hyperlink r:id="rId63">
        <w:r w:rsidR="00FE605E" w:rsidRPr="00C76AB8">
          <w:rPr>
            <w:sz w:val="22"/>
            <w:szCs w:val="22"/>
          </w:rPr>
          <w:t>https://rjpn.org/ijcspub/papers/IJCSP25D1051.pdf</w:t>
        </w:r>
      </w:hyperlink>
      <w:r w:rsidR="002504B2" w:rsidRPr="00C76AB8">
        <w:rPr>
          <w:sz w:val="22"/>
          <w:szCs w:val="22"/>
        </w:rPr>
        <w:t>.</w:t>
      </w:r>
    </w:p>
  </w:footnote>
  <w:footnote w:id="114">
    <w:p w14:paraId="000000EA" w14:textId="2F6F19F6"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Committee on the Rights of the Child, </w:t>
      </w:r>
      <w:r w:rsidRPr="00C76AB8">
        <w:rPr>
          <w:i/>
          <w:iCs/>
          <w:sz w:val="22"/>
          <w:szCs w:val="22"/>
        </w:rPr>
        <w:t>Concluding observations on the combined third to fifth periodic reports of the United Republic of Tanzania,</w:t>
      </w:r>
      <w:r w:rsidRPr="00C76AB8">
        <w:rPr>
          <w:sz w:val="22"/>
          <w:szCs w:val="22"/>
        </w:rPr>
        <w:t xml:space="preserve"> (Mar. 3, 2015), U.N. Doc. CRC/C/TZA/CO/3-5, ¶40(b)</w:t>
      </w:r>
      <w:r w:rsidR="002504B2" w:rsidRPr="00C76AB8">
        <w:rPr>
          <w:sz w:val="22"/>
          <w:szCs w:val="22"/>
        </w:rPr>
        <w:t>.</w:t>
      </w:r>
      <w:r w:rsidRPr="00C76AB8">
        <w:rPr>
          <w:sz w:val="22"/>
          <w:szCs w:val="22"/>
        </w:rPr>
        <w:t xml:space="preserve">  </w:t>
      </w:r>
    </w:p>
  </w:footnote>
  <w:footnote w:id="115">
    <w:p w14:paraId="000000EB"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The October 2025 Unrest: A Major Setback For Human Rights- Tanzania Human Rights Report 2025, by Fundikila &amp; Robert Majige (2026), 117. </w:t>
      </w:r>
    </w:p>
  </w:footnote>
  <w:footnote w:id="116">
    <w:p w14:paraId="000000EC"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Tanzania Human Rights Report 2024: The Resurgence of Unknown Assailants, by Fundikila &amp; Robert Majige (2025), 220. </w:t>
      </w:r>
    </w:p>
  </w:footnote>
  <w:footnote w:id="117">
    <w:p w14:paraId="000000ED"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The October 2025 Unrest: A Major Setback For Human Rights- Tanzania Human Rights Report 2025, by Fundikila &amp; Robert Majige (2026), 117. </w:t>
      </w:r>
    </w:p>
  </w:footnote>
  <w:footnote w:id="118">
    <w:p w14:paraId="000000EE" w14:textId="08DE663E"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The October 2025 Unrest: A Major Setback For Human Rights- Tanzania Human Rights Report 2025, by Fundikila &amp; Robert Majige (2026),</w:t>
      </w:r>
      <w:r w:rsidR="002504B2" w:rsidRPr="00C76AB8">
        <w:rPr>
          <w:sz w:val="22"/>
          <w:szCs w:val="22"/>
        </w:rPr>
        <w:t xml:space="preserve"> </w:t>
      </w:r>
      <w:r w:rsidRPr="00C76AB8">
        <w:rPr>
          <w:sz w:val="22"/>
          <w:szCs w:val="22"/>
        </w:rPr>
        <w:t xml:space="preserve">118. </w:t>
      </w:r>
    </w:p>
  </w:footnote>
  <w:footnote w:id="119">
    <w:p w14:paraId="000000EF" w14:textId="33B29A51"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Jacline Shirima et al., Suicidal Attempts among Secondary School-Going Adolescents in Kilimanjaro Region, Northern Tanzania, 13 Behav</w:t>
      </w:r>
      <w:r w:rsidR="00C76AB8">
        <w:rPr>
          <w:sz w:val="22"/>
          <w:szCs w:val="22"/>
        </w:rPr>
        <w:t>.</w:t>
      </w:r>
      <w:r w:rsidRPr="00C76AB8">
        <w:rPr>
          <w:sz w:val="22"/>
          <w:szCs w:val="22"/>
        </w:rPr>
        <w:t xml:space="preserve"> Sci</w:t>
      </w:r>
      <w:r w:rsidR="00C76AB8">
        <w:rPr>
          <w:sz w:val="22"/>
          <w:szCs w:val="22"/>
        </w:rPr>
        <w:t>.</w:t>
      </w:r>
      <w:r w:rsidRPr="00C76AB8">
        <w:rPr>
          <w:sz w:val="22"/>
          <w:szCs w:val="22"/>
        </w:rPr>
        <w:t xml:space="preserve"> 288, 293 (2023), </w:t>
      </w:r>
      <w:hyperlink r:id="rId64">
        <w:r w:rsidR="00FE605E" w:rsidRPr="00C76AB8">
          <w:rPr>
            <w:sz w:val="22"/>
            <w:szCs w:val="22"/>
          </w:rPr>
          <w:t>https://pmc.ncbi.nlm.nih.gov/articles/PMC10136214/</w:t>
        </w:r>
      </w:hyperlink>
      <w:r w:rsidR="002504B2" w:rsidRPr="00C76AB8">
        <w:rPr>
          <w:sz w:val="22"/>
          <w:szCs w:val="22"/>
        </w:rPr>
        <w:t>.</w:t>
      </w:r>
      <w:r w:rsidRPr="00C76AB8">
        <w:rPr>
          <w:sz w:val="22"/>
          <w:szCs w:val="22"/>
        </w:rPr>
        <w:t xml:space="preserve"> </w:t>
      </w:r>
    </w:p>
  </w:footnote>
  <w:footnote w:id="120">
    <w:p w14:paraId="000000F0" w14:textId="57050EB2"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Kilimanjaro Region, Northern Tanzania, 13 Behav Sci 288, 289 (2023), </w:t>
      </w:r>
      <w:hyperlink r:id="rId65">
        <w:r w:rsidR="00FE605E" w:rsidRPr="00C76AB8">
          <w:rPr>
            <w:sz w:val="22"/>
            <w:szCs w:val="22"/>
          </w:rPr>
          <w:t>https://pmc.ncbi.nlm.nih.gov/articles/PMC10136214/</w:t>
        </w:r>
      </w:hyperlink>
      <w:r w:rsidR="002504B2" w:rsidRPr="00C76AB8">
        <w:rPr>
          <w:sz w:val="22"/>
          <w:szCs w:val="22"/>
        </w:rPr>
        <w:t>.</w:t>
      </w:r>
    </w:p>
  </w:footnote>
  <w:footnote w:id="121">
    <w:p w14:paraId="000000F1" w14:textId="7811A903"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Kilimanjaro Region, Northern Tanzania, 13 Behav Sci 288, 294 (2023), </w:t>
      </w:r>
      <w:hyperlink r:id="rId66">
        <w:r w:rsidR="00FE605E" w:rsidRPr="00C76AB8">
          <w:rPr>
            <w:sz w:val="22"/>
            <w:szCs w:val="22"/>
          </w:rPr>
          <w:t>https://pmc.ncbi.nlm.nih.gov/articles/PMC10136214/</w:t>
        </w:r>
      </w:hyperlink>
      <w:r w:rsidR="002504B2" w:rsidRPr="00C76AB8">
        <w:rPr>
          <w:sz w:val="22"/>
          <w:szCs w:val="22"/>
        </w:rPr>
        <w:t>.</w:t>
      </w:r>
    </w:p>
  </w:footnote>
  <w:footnote w:id="122">
    <w:p w14:paraId="000000F2" w14:textId="588DDCF0"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Progress.guide, “Tanzania : Suicide Prevention Crisis Lines, » May 4, 2026,  </w:t>
      </w:r>
      <w:hyperlink r:id="rId67">
        <w:r w:rsidR="00FE605E" w:rsidRPr="00C76AB8">
          <w:rPr>
            <w:sz w:val="22"/>
            <w:szCs w:val="22"/>
          </w:rPr>
          <w:t>https://progress.guide/atlas/africa/tanzania/</w:t>
        </w:r>
      </w:hyperlink>
      <w:r w:rsidR="002504B2" w:rsidRPr="00C76AB8">
        <w:rPr>
          <w:sz w:val="22"/>
          <w:szCs w:val="22"/>
        </w:rPr>
        <w:t>.</w:t>
      </w:r>
      <w:r w:rsidRPr="00C76AB8">
        <w:rPr>
          <w:sz w:val="22"/>
          <w:szCs w:val="22"/>
        </w:rPr>
        <w:t xml:space="preserve"> </w:t>
      </w:r>
    </w:p>
  </w:footnote>
  <w:footnote w:id="123">
    <w:p w14:paraId="000000F3" w14:textId="5561BEF9"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Juma Shabani, </w:t>
      </w:r>
      <w:r w:rsidRPr="00C76AB8">
        <w:rPr>
          <w:i/>
          <w:iCs/>
          <w:sz w:val="22"/>
          <w:szCs w:val="22"/>
        </w:rPr>
        <w:t xml:space="preserve">Rising student suicides expose deepening mental health crisis, </w:t>
      </w:r>
      <w:r w:rsidRPr="00C76AB8">
        <w:rPr>
          <w:sz w:val="22"/>
          <w:szCs w:val="22"/>
        </w:rPr>
        <w:t xml:space="preserve">The Citizen Tanzania, Dec. 4, 2025, </w:t>
      </w:r>
      <w:hyperlink r:id="rId68">
        <w:r w:rsidR="00FE605E" w:rsidRPr="00C76AB8">
          <w:rPr>
            <w:sz w:val="22"/>
            <w:szCs w:val="22"/>
          </w:rPr>
          <w:t>https://www.thecitizen.co.tz/tanzania/news/national/rising-student-suicides-expose-deepening-mental-health-crisis--5286454</w:t>
        </w:r>
      </w:hyperlink>
      <w:r w:rsidR="002504B2" w:rsidRPr="00C76AB8">
        <w:rPr>
          <w:sz w:val="22"/>
          <w:szCs w:val="22"/>
        </w:rPr>
        <w:t>.</w:t>
      </w:r>
    </w:p>
  </w:footnote>
  <w:footnote w:id="124">
    <w:p w14:paraId="000000F4" w14:textId="21E843DB"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Juma Shabani, </w:t>
      </w:r>
      <w:r w:rsidRPr="00C76AB8">
        <w:rPr>
          <w:i/>
          <w:iCs/>
          <w:sz w:val="22"/>
          <w:szCs w:val="22"/>
        </w:rPr>
        <w:t xml:space="preserve">Rising student suicides expose deepening mental health crisis, </w:t>
      </w:r>
      <w:r w:rsidRPr="00C76AB8">
        <w:rPr>
          <w:sz w:val="22"/>
          <w:szCs w:val="22"/>
        </w:rPr>
        <w:t xml:space="preserve">The Citizen Tanzania, Dec. 4, 2025, </w:t>
      </w:r>
      <w:hyperlink r:id="rId69">
        <w:r w:rsidR="00FE605E" w:rsidRPr="00C76AB8">
          <w:rPr>
            <w:sz w:val="22"/>
            <w:szCs w:val="22"/>
          </w:rPr>
          <w:t>https://www.thecitizen.co.tz/tanzania/news/national/rising-student-suicides-expose-deepening-mental-health-crisis--5286454</w:t>
        </w:r>
      </w:hyperlink>
      <w:r w:rsidR="002504B2" w:rsidRPr="00C76AB8">
        <w:rPr>
          <w:sz w:val="22"/>
          <w:szCs w:val="22"/>
        </w:rPr>
        <w:t>.</w:t>
      </w:r>
    </w:p>
  </w:footnote>
  <w:footnote w:id="125">
    <w:p w14:paraId="000000F5"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The October 2025 Unrest: A Major Setback For Human Rights- Tanzania Human Rights Report 2025, by Fundikila &amp; Robert Majige (2026), 155. </w:t>
      </w:r>
    </w:p>
  </w:footnote>
  <w:footnote w:id="126">
    <w:p w14:paraId="000000F6" w14:textId="77777777" w:rsidR="00FE605E" w:rsidRPr="00C76AB8" w:rsidRDefault="00DD508B">
      <w:pPr>
        <w:pBdr>
          <w:top w:val="nil"/>
          <w:left w:val="nil"/>
          <w:bottom w:val="nil"/>
          <w:right w:val="nil"/>
          <w:between w:val="nil"/>
        </w:pBdr>
        <w:rPr>
          <w:sz w:val="22"/>
          <w:szCs w:val="22"/>
        </w:rPr>
      </w:pPr>
      <w:r w:rsidRPr="00C76AB8">
        <w:rPr>
          <w:sz w:val="22"/>
          <w:szCs w:val="22"/>
          <w:vertAlign w:val="superscript"/>
        </w:rPr>
        <w:footnoteRef/>
      </w:r>
      <w:r w:rsidRPr="00C76AB8">
        <w:rPr>
          <w:sz w:val="22"/>
          <w:szCs w:val="22"/>
        </w:rPr>
        <w:t xml:space="preserve"> Legal and Human Rights Centre, The October 2025 Unrest: A Major Setback For Human Rights- Tanzania Human Rights Report 2025, by Fundikila &amp; Robert Majige (2026), 118. </w:t>
      </w:r>
    </w:p>
    <w:p w14:paraId="000000F7" w14:textId="77777777" w:rsidR="00FE605E" w:rsidRPr="00C76AB8" w:rsidRDefault="00FE605E">
      <w:pPr>
        <w:pBdr>
          <w:top w:val="nil"/>
          <w:left w:val="nil"/>
          <w:bottom w:val="nil"/>
          <w:right w:val="nil"/>
          <w:between w:val="nil"/>
        </w:pBdr>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8" w14:textId="77777777" w:rsidR="00FE605E" w:rsidRDefault="00DD508B">
    <w:pPr>
      <w:pBdr>
        <w:top w:val="nil"/>
        <w:left w:val="nil"/>
        <w:bottom w:val="nil"/>
        <w:right w:val="nil"/>
        <w:between w:val="nil"/>
      </w:pBdr>
      <w:tabs>
        <w:tab w:val="center" w:pos="4320"/>
        <w:tab w:val="right" w:pos="8640"/>
        <w:tab w:val="left" w:pos="2700"/>
      </w:tabs>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F9" w14:textId="77777777" w:rsidR="00FE605E" w:rsidRDefault="00DD508B">
    <w:pPr>
      <w:pBdr>
        <w:top w:val="nil"/>
        <w:left w:val="nil"/>
        <w:bottom w:val="nil"/>
        <w:right w:val="nil"/>
        <w:between w:val="nil"/>
      </w:pBdr>
      <w:tabs>
        <w:tab w:val="center" w:pos="4320"/>
        <w:tab w:val="right" w:pos="8640"/>
      </w:tabs>
      <w:rPr>
        <w:color w:val="000000"/>
      </w:rPr>
    </w:pPr>
    <w:r>
      <w:rPr>
        <w:noProof/>
        <w:color w:val="000000"/>
      </w:rPr>
      <w:drawing>
        <wp:inline distT="114300" distB="114300" distL="114300" distR="114300" wp14:anchorId="34B5B4D3" wp14:editId="07777777">
          <wp:extent cx="1251460" cy="1149410"/>
          <wp:effectExtent l="0" t="0" r="0" b="0"/>
          <wp:docPr id="3" name="image2.png" descr="A blue and black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blue and black logo&#10;&#10;AI-generated content may be incorrect."/>
                  <pic:cNvPicPr preferRelativeResize="0"/>
                </pic:nvPicPr>
                <pic:blipFill>
                  <a:blip r:embed="rId1"/>
                  <a:srcRect/>
                  <a:stretch>
                    <a:fillRect/>
                  </a:stretch>
                </pic:blipFill>
                <pic:spPr>
                  <a:xfrm>
                    <a:off x="0" y="0"/>
                    <a:ext cx="1251460" cy="1149410"/>
                  </a:xfrm>
                  <a:prstGeom prst="rect">
                    <a:avLst/>
                  </a:prstGeom>
                  <a:ln/>
                </pic:spPr>
              </pic:pic>
            </a:graphicData>
          </a:graphic>
        </wp:inline>
      </w:drawing>
    </w:r>
    <w:r>
      <w:rPr>
        <w:color w:val="000000"/>
      </w:rPr>
      <w:t xml:space="preserve">                                  </w:t>
    </w:r>
    <w:r>
      <w:rPr>
        <w:noProof/>
      </w:rPr>
      <w:drawing>
        <wp:anchor distT="0" distB="0" distL="114300" distR="114300" simplePos="0" relativeHeight="251658240" behindDoc="0" locked="0" layoutInCell="1" hidden="0" allowOverlap="1" wp14:anchorId="36419CAC" wp14:editId="07777777">
          <wp:simplePos x="0" y="0"/>
          <wp:positionH relativeFrom="column">
            <wp:posOffset>4050029</wp:posOffset>
          </wp:positionH>
          <wp:positionV relativeFrom="paragraph">
            <wp:posOffset>189865</wp:posOffset>
          </wp:positionV>
          <wp:extent cx="1860550" cy="701675"/>
          <wp:effectExtent l="0" t="0" r="0" b="0"/>
          <wp:wrapSquare wrapText="bothSides" distT="0" distB="0" distL="114300" distR="114300"/>
          <wp:docPr id="2" name="image1.png" descr="Picture 1"/>
          <wp:cNvGraphicFramePr/>
          <a:graphic xmlns:a="http://schemas.openxmlformats.org/drawingml/2006/main">
            <a:graphicData uri="http://schemas.openxmlformats.org/drawingml/2006/picture">
              <pic:pic xmlns:pic="http://schemas.openxmlformats.org/drawingml/2006/picture">
                <pic:nvPicPr>
                  <pic:cNvPr id="0" name="image1.png" descr="Picture 1"/>
                  <pic:cNvPicPr preferRelativeResize="0"/>
                </pic:nvPicPr>
                <pic:blipFill>
                  <a:blip r:embed="rId2"/>
                  <a:srcRect/>
                  <a:stretch>
                    <a:fillRect/>
                  </a:stretch>
                </pic:blipFill>
                <pic:spPr>
                  <a:xfrm>
                    <a:off x="0" y="0"/>
                    <a:ext cx="1860550" cy="701675"/>
                  </a:xfrm>
                  <a:prstGeom prst="rect">
                    <a:avLst/>
                  </a:prstGeom>
                  <a:ln/>
                </pic:spPr>
              </pic:pic>
            </a:graphicData>
          </a:graphic>
        </wp:anchor>
      </w:drawing>
    </w:r>
  </w:p>
  <w:p w14:paraId="000000FA" w14:textId="77777777" w:rsidR="00FE605E" w:rsidRDefault="00FE605E">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026D"/>
    <w:multiLevelType w:val="multilevel"/>
    <w:tmpl w:val="F294E0C6"/>
    <w:lvl w:ilvl="0">
      <w:start w:val="1"/>
      <w:numFmt w:val="bullet"/>
      <w:lvlText w:val="●"/>
      <w:lvlJc w:val="left"/>
      <w:pPr>
        <w:ind w:left="1080" w:hanging="360"/>
      </w:pPr>
      <w:rPr>
        <w:rFonts w:ascii="Noto Sans Symbols" w:eastAsia="Noto Sans Symbols" w:hAnsi="Noto Sans Symbols" w:cs="Noto Sans Symbols"/>
        <w:b w:val="0"/>
        <w:bCs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62FD8D3"/>
    <w:multiLevelType w:val="multilevel"/>
    <w:tmpl w:val="DF2C483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940D2A"/>
    <w:multiLevelType w:val="multilevel"/>
    <w:tmpl w:val="A7725566"/>
    <w:lvl w:ilvl="0">
      <w:start w:val="1"/>
      <w:numFmt w:val="bullet"/>
      <w:lvlText w:val="●"/>
      <w:lvlJc w:val="left"/>
      <w:pPr>
        <w:ind w:left="720" w:hanging="360"/>
      </w:pPr>
      <w:rPr>
        <w:rFonts w:ascii="Noto Sans Symbols" w:eastAsia="Noto Sans Symbols" w:hAnsi="Noto Sans Symbols" w:cs="Noto Sans Symbols"/>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574E40F"/>
    <w:multiLevelType w:val="multilevel"/>
    <w:tmpl w:val="E4CADEF0"/>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89422369">
    <w:abstractNumId w:val="1"/>
  </w:num>
  <w:num w:numId="2" w16cid:durableId="50539177">
    <w:abstractNumId w:val="2"/>
  </w:num>
  <w:num w:numId="3" w16cid:durableId="414405308">
    <w:abstractNumId w:val="0"/>
  </w:num>
  <w:num w:numId="4" w16cid:durableId="1249271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7DA094"/>
    <w:rsid w:val="000016AF"/>
    <w:rsid w:val="0000392E"/>
    <w:rsid w:val="000058ED"/>
    <w:rsid w:val="00016B54"/>
    <w:rsid w:val="00017262"/>
    <w:rsid w:val="00055C4E"/>
    <w:rsid w:val="00065D60"/>
    <w:rsid w:val="000A1853"/>
    <w:rsid w:val="000A53BD"/>
    <w:rsid w:val="000D0022"/>
    <w:rsid w:val="00127F40"/>
    <w:rsid w:val="001A2B21"/>
    <w:rsid w:val="001D788F"/>
    <w:rsid w:val="001F4C8F"/>
    <w:rsid w:val="00215A88"/>
    <w:rsid w:val="00224C0C"/>
    <w:rsid w:val="0023122C"/>
    <w:rsid w:val="002504B2"/>
    <w:rsid w:val="002626EB"/>
    <w:rsid w:val="002B0B7A"/>
    <w:rsid w:val="002C092B"/>
    <w:rsid w:val="002F4590"/>
    <w:rsid w:val="00315CD0"/>
    <w:rsid w:val="003323B1"/>
    <w:rsid w:val="003463DD"/>
    <w:rsid w:val="003E66D3"/>
    <w:rsid w:val="003F75E2"/>
    <w:rsid w:val="00415909"/>
    <w:rsid w:val="00426E03"/>
    <w:rsid w:val="00431FD6"/>
    <w:rsid w:val="00445099"/>
    <w:rsid w:val="004B5CA9"/>
    <w:rsid w:val="004C6825"/>
    <w:rsid w:val="0050747F"/>
    <w:rsid w:val="00531536"/>
    <w:rsid w:val="00551432"/>
    <w:rsid w:val="005776D7"/>
    <w:rsid w:val="00583B63"/>
    <w:rsid w:val="00591D9B"/>
    <w:rsid w:val="005A7EF0"/>
    <w:rsid w:val="005C1894"/>
    <w:rsid w:val="005D0361"/>
    <w:rsid w:val="005D43D3"/>
    <w:rsid w:val="006038EE"/>
    <w:rsid w:val="00633653"/>
    <w:rsid w:val="00642B81"/>
    <w:rsid w:val="00654C49"/>
    <w:rsid w:val="0067177B"/>
    <w:rsid w:val="0068117E"/>
    <w:rsid w:val="00693E97"/>
    <w:rsid w:val="006C19CC"/>
    <w:rsid w:val="006C7162"/>
    <w:rsid w:val="006D4D08"/>
    <w:rsid w:val="00710A15"/>
    <w:rsid w:val="007126F6"/>
    <w:rsid w:val="0071538C"/>
    <w:rsid w:val="00727452"/>
    <w:rsid w:val="0077178C"/>
    <w:rsid w:val="00781068"/>
    <w:rsid w:val="007B3E10"/>
    <w:rsid w:val="00801601"/>
    <w:rsid w:val="008027F8"/>
    <w:rsid w:val="00807235"/>
    <w:rsid w:val="00825DB8"/>
    <w:rsid w:val="00833C26"/>
    <w:rsid w:val="00855200"/>
    <w:rsid w:val="008561E9"/>
    <w:rsid w:val="00890CB8"/>
    <w:rsid w:val="00896B3D"/>
    <w:rsid w:val="008A3A01"/>
    <w:rsid w:val="008B48BA"/>
    <w:rsid w:val="00931DB9"/>
    <w:rsid w:val="0093467F"/>
    <w:rsid w:val="009508CA"/>
    <w:rsid w:val="009516CF"/>
    <w:rsid w:val="00956A32"/>
    <w:rsid w:val="00970DFC"/>
    <w:rsid w:val="00986AC4"/>
    <w:rsid w:val="009B741A"/>
    <w:rsid w:val="00A0498F"/>
    <w:rsid w:val="00A2415F"/>
    <w:rsid w:val="00A25223"/>
    <w:rsid w:val="00A26273"/>
    <w:rsid w:val="00A67FD2"/>
    <w:rsid w:val="00AA25C6"/>
    <w:rsid w:val="00B064DE"/>
    <w:rsid w:val="00B339A5"/>
    <w:rsid w:val="00B8638F"/>
    <w:rsid w:val="00B90F58"/>
    <w:rsid w:val="00B9724E"/>
    <w:rsid w:val="00BD037C"/>
    <w:rsid w:val="00BD21FD"/>
    <w:rsid w:val="00BD3748"/>
    <w:rsid w:val="00BE34FA"/>
    <w:rsid w:val="00BE680E"/>
    <w:rsid w:val="00C10DFD"/>
    <w:rsid w:val="00C15C0E"/>
    <w:rsid w:val="00C335B3"/>
    <w:rsid w:val="00C64F64"/>
    <w:rsid w:val="00C76AB8"/>
    <w:rsid w:val="00CA299F"/>
    <w:rsid w:val="00CB2682"/>
    <w:rsid w:val="00CC0695"/>
    <w:rsid w:val="00CD2B60"/>
    <w:rsid w:val="00CE65E4"/>
    <w:rsid w:val="00D05C18"/>
    <w:rsid w:val="00D15752"/>
    <w:rsid w:val="00D57CE4"/>
    <w:rsid w:val="00D90ADC"/>
    <w:rsid w:val="00D95899"/>
    <w:rsid w:val="00D95DB5"/>
    <w:rsid w:val="00DD0D43"/>
    <w:rsid w:val="00DD508B"/>
    <w:rsid w:val="00DF2E9C"/>
    <w:rsid w:val="00E41F82"/>
    <w:rsid w:val="00E43DDF"/>
    <w:rsid w:val="00E550F0"/>
    <w:rsid w:val="00E86412"/>
    <w:rsid w:val="00E96E3F"/>
    <w:rsid w:val="00EB5125"/>
    <w:rsid w:val="00EB51E6"/>
    <w:rsid w:val="00ED665F"/>
    <w:rsid w:val="00EE2009"/>
    <w:rsid w:val="00EF111D"/>
    <w:rsid w:val="00F558E6"/>
    <w:rsid w:val="00F70126"/>
    <w:rsid w:val="00F74DD1"/>
    <w:rsid w:val="00FE605E"/>
    <w:rsid w:val="00FF3039"/>
    <w:rsid w:val="027DA094"/>
    <w:rsid w:val="4384C3B5"/>
    <w:rsid w:val="50EDCD7C"/>
    <w:rsid w:val="5BB5B4B4"/>
    <w:rsid w:val="644C647B"/>
    <w:rsid w:val="79C865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40349"/>
  <w15:docId w15:val="{FAEACE4B-3871-43F2-A650-8A77C67B6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jc w:val="center"/>
      <w:outlineLvl w:val="0"/>
    </w:pPr>
    <w:rPr>
      <w:b/>
      <w:bCs/>
      <w:color w:val="000000"/>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spacing w:after="160"/>
      <w:ind w:left="720" w:hanging="360"/>
    </w:pPr>
    <w:rPr>
      <w:b/>
      <w:bCs/>
    </w:rPr>
  </w:style>
  <w:style w:type="character" w:styleId="PlaceholderText">
    <w:name w:val="Placeholder Text"/>
    <w:basedOn w:val="DefaultParagraphFont"/>
    <w:uiPriority w:val="99"/>
    <w:semiHidden/>
    <w:rsid w:val="644C647B"/>
    <w:rPr>
      <w:color w:val="66666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508CA"/>
  </w:style>
  <w:style w:type="paragraph" w:styleId="CommentSubject">
    <w:name w:val="annotation subject"/>
    <w:basedOn w:val="CommentText"/>
    <w:next w:val="CommentText"/>
    <w:link w:val="CommentSubjectChar"/>
    <w:uiPriority w:val="99"/>
    <w:semiHidden/>
    <w:unhideWhenUsed/>
    <w:rsid w:val="009508CA"/>
    <w:rPr>
      <w:b/>
      <w:bCs/>
    </w:rPr>
  </w:style>
  <w:style w:type="character" w:customStyle="1" w:styleId="CommentSubjectChar">
    <w:name w:val="Comment Subject Char"/>
    <w:basedOn w:val="CommentTextChar"/>
    <w:link w:val="CommentSubject"/>
    <w:uiPriority w:val="99"/>
    <w:semiHidden/>
    <w:rsid w:val="009508CA"/>
    <w:rPr>
      <w:b/>
      <w:bCs/>
      <w:sz w:val="20"/>
      <w:szCs w:val="20"/>
    </w:rPr>
  </w:style>
  <w:style w:type="paragraph" w:styleId="Header">
    <w:name w:val="header"/>
    <w:basedOn w:val="Normal"/>
    <w:link w:val="HeaderChar"/>
    <w:uiPriority w:val="99"/>
    <w:semiHidden/>
    <w:unhideWhenUsed/>
    <w:rsid w:val="00315CD0"/>
    <w:pPr>
      <w:tabs>
        <w:tab w:val="center" w:pos="4680"/>
        <w:tab w:val="right" w:pos="9360"/>
      </w:tabs>
    </w:pPr>
  </w:style>
  <w:style w:type="character" w:customStyle="1" w:styleId="HeaderChar">
    <w:name w:val="Header Char"/>
    <w:basedOn w:val="DefaultParagraphFont"/>
    <w:link w:val="Header"/>
    <w:uiPriority w:val="99"/>
    <w:semiHidden/>
    <w:rsid w:val="00315CD0"/>
  </w:style>
  <w:style w:type="paragraph" w:styleId="Footer">
    <w:name w:val="footer"/>
    <w:basedOn w:val="Normal"/>
    <w:link w:val="FooterChar"/>
    <w:uiPriority w:val="99"/>
    <w:semiHidden/>
    <w:unhideWhenUsed/>
    <w:rsid w:val="00315CD0"/>
    <w:pPr>
      <w:tabs>
        <w:tab w:val="center" w:pos="4680"/>
        <w:tab w:val="right" w:pos="9360"/>
      </w:tabs>
    </w:pPr>
  </w:style>
  <w:style w:type="character" w:customStyle="1" w:styleId="FooterChar">
    <w:name w:val="Footer Char"/>
    <w:basedOn w:val="DefaultParagraphFont"/>
    <w:link w:val="Footer"/>
    <w:uiPriority w:val="99"/>
    <w:semiHidden/>
    <w:rsid w:val="00315CD0"/>
  </w:style>
  <w:style w:type="paragraph" w:styleId="ListParagraph">
    <w:name w:val="List Paragraph"/>
    <w:basedOn w:val="Normal"/>
    <w:uiPriority w:val="34"/>
    <w:qFormat/>
    <w:rsid w:val="00986AC4"/>
    <w:pPr>
      <w:ind w:left="720"/>
      <w:contextualSpacing/>
    </w:pPr>
  </w:style>
  <w:style w:type="paragraph" w:styleId="FootnoteText">
    <w:name w:val="footnote text"/>
    <w:basedOn w:val="Normal"/>
    <w:link w:val="FootnoteTextChar"/>
    <w:uiPriority w:val="99"/>
    <w:semiHidden/>
    <w:unhideWhenUsed/>
    <w:rsid w:val="00801601"/>
    <w:rPr>
      <w:sz w:val="20"/>
      <w:szCs w:val="20"/>
    </w:rPr>
  </w:style>
  <w:style w:type="character" w:customStyle="1" w:styleId="FootnoteTextChar">
    <w:name w:val="Footnote Text Char"/>
    <w:basedOn w:val="DefaultParagraphFont"/>
    <w:link w:val="FootnoteText"/>
    <w:uiPriority w:val="99"/>
    <w:semiHidden/>
    <w:rsid w:val="00801601"/>
    <w:rPr>
      <w:sz w:val="20"/>
      <w:szCs w:val="20"/>
    </w:rPr>
  </w:style>
  <w:style w:type="character" w:styleId="FootnoteReference">
    <w:name w:val="footnote reference"/>
    <w:basedOn w:val="DefaultParagraphFont"/>
    <w:uiPriority w:val="99"/>
    <w:semiHidden/>
    <w:unhideWhenUsed/>
    <w:rsid w:val="00801601"/>
    <w:rPr>
      <w:vertAlign w:val="superscript"/>
    </w:rPr>
  </w:style>
  <w:style w:type="character" w:styleId="Hyperlink">
    <w:name w:val="Hyperlink"/>
    <w:basedOn w:val="DefaultParagraphFont"/>
    <w:uiPriority w:val="99"/>
    <w:unhideWhenUsed/>
    <w:rsid w:val="00065D60"/>
    <w:rPr>
      <w:color w:val="0000FF" w:themeColor="hyperlink"/>
      <w:u w:val="single"/>
    </w:rPr>
  </w:style>
  <w:style w:type="character" w:styleId="UnresolvedMention">
    <w:name w:val="Unresolved Mention"/>
    <w:basedOn w:val="DefaultParagraphFont"/>
    <w:uiPriority w:val="99"/>
    <w:semiHidden/>
    <w:unhideWhenUsed/>
    <w:rsid w:val="00065D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s>
</file>

<file path=word/_rels/footnotes.xml.rels><?xml version="1.0" encoding="UTF-8" standalone="yes"?>
<Relationships xmlns="http://schemas.openxmlformats.org/package/2006/relationships"><Relationship Id="rId26" Type="http://schemas.openxmlformats.org/officeDocument/2006/relationships/hyperlink" Target="https://uprdoc.ohchr.org/uprweb/downloadfile.aspx?filename=8794&amp;file=EnglishTranslation" TargetMode="External"/><Relationship Id="rId21" Type="http://schemas.openxmlformats.org/officeDocument/2006/relationships/hyperlink" Target="https://humanrights.or.tz/storage/user_storage/681870a52bc97.pdf" TargetMode="External"/><Relationship Id="rId42" Type="http://schemas.openxmlformats.org/officeDocument/2006/relationships/hyperlink" Target="https://www.tandfonline.com/doi/epdf/10.1080/02673843.2026.2614426?needAccess=true" TargetMode="External"/><Relationship Id="rId47" Type="http://schemas.openxmlformats.org/officeDocument/2006/relationships/hyperlink" Target="https://www.frontiersin.org/journals/reproductive-health/articles/10.3389/frph.2024.1360339/full?utm_source=chatgpt.com" TargetMode="External"/><Relationship Id="rId63" Type="http://schemas.openxmlformats.org/officeDocument/2006/relationships/hyperlink" Target="https://rjpn.org/ijcspub/papers/IJCSP25D1051.pdf" TargetMode="External"/><Relationship Id="rId68" Type="http://schemas.openxmlformats.org/officeDocument/2006/relationships/hyperlink" Target="https://www.thecitizen.co.tz/tanzania/news/national/rising-student-suicides-expose-deepening-mental-health-crisis--5286454" TargetMode="External"/><Relationship Id="rId7" Type="http://schemas.openxmlformats.org/officeDocument/2006/relationships/hyperlink" Target="https://www.fgmcri.org/media/uploads/Law%20Reports/tanzania_law_report_v1_(may_2018).pdf" TargetMode="External"/><Relationship Id="rId2" Type="http://schemas.openxmlformats.org/officeDocument/2006/relationships/hyperlink" Target="https://www.nao.go.tz/reports/view/performance-audit-report-on-the-management-of-measures-for-eliminating-violence-against-women-and-girls-in-tanzania" TargetMode="External"/><Relationship Id="rId16" Type="http://schemas.openxmlformats.org/officeDocument/2006/relationships/hyperlink" Target="https://www.globalcitizen.org/en/content/tanzania-bringing-back-tax-period-products/" TargetMode="External"/><Relationship Id="rId29" Type="http://schemas.openxmlformats.org/officeDocument/2006/relationships/hyperlink" Target="https://www.sciencedirect.com/science/article/abs/pii/S0738059323001153" TargetMode="External"/><Relationship Id="rId11" Type="http://schemas.openxmlformats.org/officeDocument/2006/relationships/hyperlink" Target="https://www.fgmcri.org/media/uploads/Country%20Research%20and%20Resources/Tanzania/tanzania_country_profile_v3_(july_2020).pdf" TargetMode="External"/><Relationship Id="rId24" Type="http://schemas.openxmlformats.org/officeDocument/2006/relationships/hyperlink" Target="https://iwaponline.com/washdev/article/15/6/479/108149/Does-school-water-sanitation-and-hygiene-SWASH" TargetMode="External"/><Relationship Id="rId32" Type="http://schemas.openxmlformats.org/officeDocument/2006/relationships/hyperlink" Target="https://www.acerwc.africa/sites/default/files/2022-10/ACERWC%20Decision%20final%20Communication%20No-%200012Com0012019.Tanzania.pdf" TargetMode="External"/><Relationship Id="rId37" Type="http://schemas.openxmlformats.org/officeDocument/2006/relationships/hyperlink" Target="https://minoritywatch.org/education-for-pregnant/" TargetMode="External"/><Relationship Id="rId40" Type="http://schemas.openxmlformats.org/officeDocument/2006/relationships/hyperlink" Target="https://www.tandfonline.com/doi/epdf/10.1080/02673843.2025.2552335?needAccess=true" TargetMode="External"/><Relationship Id="rId45" Type="http://schemas.openxmlformats.org/officeDocument/2006/relationships/hyperlink" Target="https://chttrust-eastafrica.org/2023/05/13/human-trafficking-in-tanzania/" TargetMode="External"/><Relationship Id="rId53" Type="http://schemas.openxmlformats.org/officeDocument/2006/relationships/hyperlink" Target="https://www.nbs.go.tz/uploads/statistics/documents/en-1766075873-Tanzania%20VACS%202024%20%20Report.pdf" TargetMode="External"/><Relationship Id="rId58" Type="http://schemas.openxmlformats.org/officeDocument/2006/relationships/hyperlink" Target="https://tanzania.unfpa.org/en/news/" TargetMode="External"/><Relationship Id="rId66" Type="http://schemas.openxmlformats.org/officeDocument/2006/relationships/hyperlink" Target="https://pmc.ncbi.nlm.nih.gov/articles/PMC10136214/" TargetMode="External"/><Relationship Id="rId5" Type="http://schemas.openxmlformats.org/officeDocument/2006/relationships/hyperlink" Target="https://fbattorneys.co.tz/wp-content/uploads/2019/10/CoA-Judgment-204.pdf" TargetMode="External"/><Relationship Id="rId61" Type="http://schemas.openxmlformats.org/officeDocument/2006/relationships/hyperlink" Target="https://victoryattorneys.co.tz/2024/12/23/tanzania-amends-cybercrime-act-to-boost-child-online-safety/" TargetMode="External"/><Relationship Id="rId19" Type="http://schemas.openxmlformats.org/officeDocument/2006/relationships/hyperlink" Target="https://www.tandfonline.com/doi/pdf/10.1080/23293691.2025.2491028" TargetMode="External"/><Relationship Id="rId14" Type="http://schemas.openxmlformats.org/officeDocument/2006/relationships/hyperlink" Target="https://righttoplay.com/en/stories/wont-stop-me-judiths-story/" TargetMode="External"/><Relationship Id="rId22" Type="http://schemas.openxmlformats.org/officeDocument/2006/relationships/hyperlink" Target="https://www.who.int/news/item/06-07-2023-women-and-girls-bear-brunt-of-water-and-sanitation-crisis---new-unicef-who-report" TargetMode="External"/><Relationship Id="rId27" Type="http://schemas.openxmlformats.org/officeDocument/2006/relationships/hyperlink" Target="https://pmc.ncbi.nlm.nih.gov/articles/PMC5560991/pdf/nihms886822.pdf" TargetMode="External"/><Relationship Id="rId30" Type="http://schemas.openxmlformats.org/officeDocument/2006/relationships/hyperlink" Target="https://www.sciencedirect.com/science/article/abs/pii/S0738059323001153" TargetMode="External"/><Relationship Id="rId35" Type="http://schemas.openxmlformats.org/officeDocument/2006/relationships/hyperlink" Target="https://www.moe.go.tz/sw/nyaraka/waraka-wa-elimu-na-2-wa-mwaka-2021-kuhusu-kuingia-tena-shule-kwa-wanafunzi-wa-shule-za?utm_source=chatgpt.com" TargetMode="External"/><Relationship Id="rId43" Type="http://schemas.openxmlformats.org/officeDocument/2006/relationships/hyperlink" Target="https://journalarjass.com/index.php/ARJASS/article/view/643" TargetMode="External"/><Relationship Id="rId48" Type="http://schemas.openxmlformats.org/officeDocument/2006/relationships/hyperlink" Target="https://chttrust-eastafrica.org/2023/05/13/human-trafficking-in-tanzania/" TargetMode="External"/><Relationship Id="rId56" Type="http://schemas.openxmlformats.org/officeDocument/2006/relationships/hyperlink" Target="https://safeonline.global/wp-content/uploads/2023/12/DH_Tanzania_ONLINE_final_191222.pdf" TargetMode="External"/><Relationship Id="rId64" Type="http://schemas.openxmlformats.org/officeDocument/2006/relationships/hyperlink" Target="https://pmc.ncbi.nlm.nih.gov/articles/PMC10136214/" TargetMode="External"/><Relationship Id="rId69" Type="http://schemas.openxmlformats.org/officeDocument/2006/relationships/hyperlink" Target="https://www.thecitizen.co.tz/tanzania/news/national/rising-student-suicides-expose-deepening-mental-health-crisis--5286454" TargetMode="External"/><Relationship Id="rId8" Type="http://schemas.openxmlformats.org/officeDocument/2006/relationships/hyperlink" Target="https://www.who.int/news-room/fact-sheets/detail/female-genital-mutilation" TargetMode="External"/><Relationship Id="rId51" Type="http://schemas.openxmlformats.org/officeDocument/2006/relationships/hyperlink" Target="https://www.weprotect.org/resources/case-study/c-semas-multi-faceted-approach-to-addressing-online-child-sexual-exploitation-and-abuse-in-tanzania/" TargetMode="External"/><Relationship Id="rId3" Type="http://schemas.openxmlformats.org/officeDocument/2006/relationships/hyperlink" Target="https://digitalcommons.law.utulsa.edu/cgi/viewcontent.cgi?article=3342&amp;context=tlr" TargetMode="External"/><Relationship Id="rId12" Type="http://schemas.openxmlformats.org/officeDocument/2006/relationships/hyperlink" Target="https://tanzania.un.org/en/108315-winda%E2%80%99s-story-saying-no-fgm" TargetMode="External"/><Relationship Id="rId17" Type="http://schemas.openxmlformats.org/officeDocument/2006/relationships/hyperlink" Target="https://www.tandfonline.com/doi/pdf/10.1080/23293691.2025.2491028" TargetMode="External"/><Relationship Id="rId25" Type="http://schemas.openxmlformats.org/officeDocument/2006/relationships/hyperlink" Target="https://www.sciencedirect.com/science/article/abs/pii/S0738059323001153" TargetMode="External"/><Relationship Id="rId33" Type="http://schemas.openxmlformats.org/officeDocument/2006/relationships/hyperlink" Target="https://www.acerwc.africa/sites/default/files/2022-10/ACERWC%20Decision%20final%20Communication%20No-%200012Com0012019.Tanzania.pdf" TargetMode="External"/><Relationship Id="rId38" Type="http://schemas.openxmlformats.org/officeDocument/2006/relationships/hyperlink" Target="https://dailynews.co.tz/22800-girls-return-to-school-after-giving-birth/" TargetMode="External"/><Relationship Id="rId46" Type="http://schemas.openxmlformats.org/officeDocument/2006/relationships/hyperlink" Target="https://tpicd.org/index.php/tpicd/article/view/138/64" TargetMode="External"/><Relationship Id="rId59" Type="http://schemas.openxmlformats.org/officeDocument/2006/relationships/hyperlink" Target="https://www.togetherforgirls.org/en/stories/mbeya-police-gender-desk-tanzania" TargetMode="External"/><Relationship Id="rId67" Type="http://schemas.openxmlformats.org/officeDocument/2006/relationships/hyperlink" Target="https://progress.guide/atlas/africa/tanzania/" TargetMode="External"/><Relationship Id="rId20" Type="http://schemas.openxmlformats.org/officeDocument/2006/relationships/hyperlink" Target="https://pmc.ncbi.nlm.nih.gov/articles/PMC12128905/pdf/JAD-97-901.pdf" TargetMode="External"/><Relationship Id="rId41" Type="http://schemas.openxmlformats.org/officeDocument/2006/relationships/hyperlink" Target="https://journalarjass.com/index.php/ARJASS/article/view/643" TargetMode="External"/><Relationship Id="rId54" Type="http://schemas.openxmlformats.org/officeDocument/2006/relationships/hyperlink" Target="https://www.sciencedirect.com/science/article/abs/pii/S0190740923003249" TargetMode="External"/><Relationship Id="rId62" Type="http://schemas.openxmlformats.org/officeDocument/2006/relationships/hyperlink" Target="https://ecpat.org/launch-of-the-disrupting-harm-report-for-tanzania-on-technology-and-the-sexual-exploitation-of-children/" TargetMode="External"/><Relationship Id="rId1" Type="http://schemas.openxmlformats.org/officeDocument/2006/relationships/hyperlink" Target="https://www.jamii.go.tz/uploads/documents/sw-1739175592-NPA-VAWC-II.24.25.pdf" TargetMode="External"/><Relationship Id="rId6" Type="http://schemas.openxmlformats.org/officeDocument/2006/relationships/hyperlink" Target="https://humanrights.or.tz/storage/user_storage/681870a52bc97.pdf" TargetMode="External"/><Relationship Id="rId15" Type="http://schemas.openxmlformats.org/officeDocument/2006/relationships/hyperlink" Target="https://globalvoices.org/2019/06/29/tanzania-reinstates-controversial-sanitary-pad-tax/" TargetMode="External"/><Relationship Id="rId23" Type="http://schemas.openxmlformats.org/officeDocument/2006/relationships/hyperlink" Target="https://www.actionagainsthunger.org/story/improving-school-sanitation-empowering-students-in-tanzania/" TargetMode="External"/><Relationship Id="rId28" Type="http://schemas.openxmlformats.org/officeDocument/2006/relationships/hyperlink" Target="https://www.sciencedirect.com/science/article/abs/pii/S0738059323001153" TargetMode="External"/><Relationship Id="rId36" Type="http://schemas.openxmlformats.org/officeDocument/2006/relationships/hyperlink" Target="https://www.hrw.org/news/2025/01/23/tanzania-protect-right-education-pregnancy-parenthood?utm_source=chatgpt.com" TargetMode="External"/><Relationship Id="rId49" Type="http://schemas.openxmlformats.org/officeDocument/2006/relationships/hyperlink" Target="https://www.streetchildren.org/our-work/projects/street-children-in-tanzania/" TargetMode="External"/><Relationship Id="rId57" Type="http://schemas.openxmlformats.org/officeDocument/2006/relationships/hyperlink" Target="https://ecpat.org/launch-of-the-disrupting-harm-report-for-tanzania-on-technology-and-the-sexual-exploitation-of-children/" TargetMode="External"/><Relationship Id="rId10" Type="http://schemas.openxmlformats.org/officeDocument/2006/relationships/hyperlink" Target="https://www.orchidproject.org/about-fgc/why-does-fgc-happen/" TargetMode="External"/><Relationship Id="rId31" Type="http://schemas.openxmlformats.org/officeDocument/2006/relationships/hyperlink" Target="https://www.unicef.org/tanzania/reports/banning-corporal-punishment-schools" TargetMode="External"/><Relationship Id="rId44" Type="http://schemas.openxmlformats.org/officeDocument/2006/relationships/hyperlink" Target="https://www.tandfonline.com/doi/%20epdf/10.1080/02673843.2025.2552335?needAccess=true" TargetMode="External"/><Relationship Id="rId52" Type="http://schemas.openxmlformats.org/officeDocument/2006/relationships/hyperlink" Target="https://ecpat.org/launch-of-the-disrupting-harm-report-for-tanzania-on-technology-and-the-sexual-exploitation-of-children/" TargetMode="External"/><Relationship Id="rId60" Type="http://schemas.openxmlformats.org/officeDocument/2006/relationships/hyperlink" Target="https://victoryattorneys.co.tz/2024/12/23/tanzania-amends-cybercrime-act-to-boost-child-online-safety/" TargetMode="External"/><Relationship Id="rId65" Type="http://schemas.openxmlformats.org/officeDocument/2006/relationships/hyperlink" Target="https://pmc.ncbi.nlm.nih.gov/articles/PMC10136214/" TargetMode="External"/><Relationship Id="rId4" Type="http://schemas.openxmlformats.org/officeDocument/2006/relationships/hyperlink" Target="https://fbattorneys.co.tz/wp-content/uploads/2019/10/CoA-Judgment-204.pdf" TargetMode="External"/><Relationship Id="rId9" Type="http://schemas.openxmlformats.org/officeDocument/2006/relationships/hyperlink" Target="https://www.fgmcri.org/media/uploads/Country%20Research%20and%20Resources/Tanzania/tanzania_country_profile_v3_(july_2020).pdf" TargetMode="External"/><Relationship Id="rId13" Type="http://schemas.openxmlformats.org/officeDocument/2006/relationships/hyperlink" Target="https://femnet.org/wp-content/uploads/2022/09/TANZANIA-final.pdf" TargetMode="External"/><Relationship Id="rId18" Type="http://schemas.openxmlformats.org/officeDocument/2006/relationships/hyperlink" Target="https://www.tandfonline.com/doi/pdf/10.1080/23293691.2025.2491028" TargetMode="External"/><Relationship Id="rId39" Type="http://schemas.openxmlformats.org/officeDocument/2006/relationships/hyperlink" Target="https://journalarjass.com/index.php/ARJASS/article/view/643" TargetMode="External"/><Relationship Id="rId34" Type="http://schemas.openxmlformats.org/officeDocument/2006/relationships/hyperlink" Target="https://www.voaafrica.com/a/un-study-shows-one-in-four-tanzania-teenage-girls-get-pregnant-and-drop-out-of-school-/7789397.html" TargetMode="External"/><Relationship Id="rId50" Type="http://schemas.openxmlformats.org/officeDocument/2006/relationships/hyperlink" Target="https://www.nbs.go.tz/uploads/statistics/documents/en-1755675635-Crime%20and%20Traffic%20Incidents%20Statistics%20January%20-%20June,%202024.pdf" TargetMode="External"/><Relationship Id="rId55" Type="http://schemas.openxmlformats.org/officeDocument/2006/relationships/hyperlink" Target="https://safeonline.global/wp-content/uploads/2023/12/DH_Tanzania_ONLINE_final_191222.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56edODcbN7jc/txEjiXwXNIz9Q==">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</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5ab7b9b5287da18eff7d502e7611def4">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88af4290e270f05463e6a4c986c7167a"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8BF818-123B-4B02-8A8E-A7D4DDBBBB5D}">
  <ds:schemaRefs>
    <ds:schemaRef ds:uri="http://schemas.microsoft.com/sharepoint/v3/contenttype/forms"/>
  </ds:schemaRefs>
</ds:datastoreItem>
</file>

<file path=customXml/itemProps3.xml><?xml version="1.0" encoding="utf-8"?>
<ds:datastoreItem xmlns:ds="http://schemas.openxmlformats.org/officeDocument/2006/customXml" ds:itemID="{0FA9BEBE-7E31-4E08-875A-A718C69E5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6465</Words>
  <Characters>36857</Characters>
  <Application>Microsoft Office Word</Application>
  <DocSecurity>4</DocSecurity>
  <Lines>307</Lines>
  <Paragraphs>86</Paragraphs>
  <ScaleCrop>false</ScaleCrop>
  <Company/>
  <LinksUpToDate>false</LinksUpToDate>
  <CharactersWithSpaces>43236</CharactersWithSpaces>
  <SharedDoc>false</SharedDoc>
  <HLinks>
    <vt:vector size="414" baseType="variant">
      <vt:variant>
        <vt:i4>3801126</vt:i4>
      </vt:variant>
      <vt:variant>
        <vt:i4>204</vt:i4>
      </vt:variant>
      <vt:variant>
        <vt:i4>0</vt:i4>
      </vt:variant>
      <vt:variant>
        <vt:i4>5</vt:i4>
      </vt:variant>
      <vt:variant>
        <vt:lpwstr>https://www.thecitizen.co.tz/tanzania/news/national/rising-student-suicides-expose-deepening-mental-health-crisis--5286454</vt:lpwstr>
      </vt:variant>
      <vt:variant>
        <vt:lpwstr/>
      </vt:variant>
      <vt:variant>
        <vt:i4>3801126</vt:i4>
      </vt:variant>
      <vt:variant>
        <vt:i4>201</vt:i4>
      </vt:variant>
      <vt:variant>
        <vt:i4>0</vt:i4>
      </vt:variant>
      <vt:variant>
        <vt:i4>5</vt:i4>
      </vt:variant>
      <vt:variant>
        <vt:lpwstr>https://www.thecitizen.co.tz/tanzania/news/national/rising-student-suicides-expose-deepening-mental-health-crisis--5286454</vt:lpwstr>
      </vt:variant>
      <vt:variant>
        <vt:lpwstr/>
      </vt:variant>
      <vt:variant>
        <vt:i4>4980744</vt:i4>
      </vt:variant>
      <vt:variant>
        <vt:i4>198</vt:i4>
      </vt:variant>
      <vt:variant>
        <vt:i4>0</vt:i4>
      </vt:variant>
      <vt:variant>
        <vt:i4>5</vt:i4>
      </vt:variant>
      <vt:variant>
        <vt:lpwstr>https://progress.guide/atlas/africa/tanzania/</vt:lpwstr>
      </vt:variant>
      <vt:variant>
        <vt:lpwstr/>
      </vt:variant>
      <vt:variant>
        <vt:i4>3473446</vt:i4>
      </vt:variant>
      <vt:variant>
        <vt:i4>195</vt:i4>
      </vt:variant>
      <vt:variant>
        <vt:i4>0</vt:i4>
      </vt:variant>
      <vt:variant>
        <vt:i4>5</vt:i4>
      </vt:variant>
      <vt:variant>
        <vt:lpwstr>https://pmc.ncbi.nlm.nih.gov/articles/PMC10136214/</vt:lpwstr>
      </vt:variant>
      <vt:variant>
        <vt:lpwstr/>
      </vt:variant>
      <vt:variant>
        <vt:i4>3473446</vt:i4>
      </vt:variant>
      <vt:variant>
        <vt:i4>192</vt:i4>
      </vt:variant>
      <vt:variant>
        <vt:i4>0</vt:i4>
      </vt:variant>
      <vt:variant>
        <vt:i4>5</vt:i4>
      </vt:variant>
      <vt:variant>
        <vt:lpwstr>https://pmc.ncbi.nlm.nih.gov/articles/PMC10136214/</vt:lpwstr>
      </vt:variant>
      <vt:variant>
        <vt:lpwstr/>
      </vt:variant>
      <vt:variant>
        <vt:i4>3473446</vt:i4>
      </vt:variant>
      <vt:variant>
        <vt:i4>189</vt:i4>
      </vt:variant>
      <vt:variant>
        <vt:i4>0</vt:i4>
      </vt:variant>
      <vt:variant>
        <vt:i4>5</vt:i4>
      </vt:variant>
      <vt:variant>
        <vt:lpwstr>https://pmc.ncbi.nlm.nih.gov/articles/PMC10136214/</vt:lpwstr>
      </vt:variant>
      <vt:variant>
        <vt:lpwstr/>
      </vt:variant>
      <vt:variant>
        <vt:i4>4</vt:i4>
      </vt:variant>
      <vt:variant>
        <vt:i4>186</vt:i4>
      </vt:variant>
      <vt:variant>
        <vt:i4>0</vt:i4>
      </vt:variant>
      <vt:variant>
        <vt:i4>5</vt:i4>
      </vt:variant>
      <vt:variant>
        <vt:lpwstr>https://rjpn.org/ijcspub/papers/IJCSP25D1051.pdf</vt:lpwstr>
      </vt:variant>
      <vt:variant>
        <vt:lpwstr/>
      </vt:variant>
      <vt:variant>
        <vt:i4>3539071</vt:i4>
      </vt:variant>
      <vt:variant>
        <vt:i4>183</vt:i4>
      </vt:variant>
      <vt:variant>
        <vt:i4>0</vt:i4>
      </vt:variant>
      <vt:variant>
        <vt:i4>5</vt:i4>
      </vt:variant>
      <vt:variant>
        <vt:lpwstr>https://ecpat.org/launch-of-the-disrupting-harm-report-for-tanzania-on-technology-and-the-sexual-exploitation-of-children/</vt:lpwstr>
      </vt:variant>
      <vt:variant>
        <vt:lpwstr/>
      </vt:variant>
      <vt:variant>
        <vt:i4>6946937</vt:i4>
      </vt:variant>
      <vt:variant>
        <vt:i4>180</vt:i4>
      </vt:variant>
      <vt:variant>
        <vt:i4>0</vt:i4>
      </vt:variant>
      <vt:variant>
        <vt:i4>5</vt:i4>
      </vt:variant>
      <vt:variant>
        <vt:lpwstr>https://victoryattorneys.co.tz/2024/12/23/tanzania-amends-cybercrime-act-to-boost-child-online-safety/</vt:lpwstr>
      </vt:variant>
      <vt:variant>
        <vt:lpwstr/>
      </vt:variant>
      <vt:variant>
        <vt:i4>6946937</vt:i4>
      </vt:variant>
      <vt:variant>
        <vt:i4>177</vt:i4>
      </vt:variant>
      <vt:variant>
        <vt:i4>0</vt:i4>
      </vt:variant>
      <vt:variant>
        <vt:i4>5</vt:i4>
      </vt:variant>
      <vt:variant>
        <vt:lpwstr>https://victoryattorneys.co.tz/2024/12/23/tanzania-amends-cybercrime-act-to-boost-child-online-safety/</vt:lpwstr>
      </vt:variant>
      <vt:variant>
        <vt:lpwstr/>
      </vt:variant>
      <vt:variant>
        <vt:i4>5701711</vt:i4>
      </vt:variant>
      <vt:variant>
        <vt:i4>174</vt:i4>
      </vt:variant>
      <vt:variant>
        <vt:i4>0</vt:i4>
      </vt:variant>
      <vt:variant>
        <vt:i4>5</vt:i4>
      </vt:variant>
      <vt:variant>
        <vt:lpwstr>https://www.togetherforgirls.org/en/stories/mbeya-police-gender-desk-tanzania</vt:lpwstr>
      </vt:variant>
      <vt:variant>
        <vt:lpwstr/>
      </vt:variant>
      <vt:variant>
        <vt:i4>2293862</vt:i4>
      </vt:variant>
      <vt:variant>
        <vt:i4>171</vt:i4>
      </vt:variant>
      <vt:variant>
        <vt:i4>0</vt:i4>
      </vt:variant>
      <vt:variant>
        <vt:i4>5</vt:i4>
      </vt:variant>
      <vt:variant>
        <vt:lpwstr>https://tanzania.unfpa.org/en/news/</vt:lpwstr>
      </vt:variant>
      <vt:variant>
        <vt:lpwstr/>
      </vt:variant>
      <vt:variant>
        <vt:i4>3539071</vt:i4>
      </vt:variant>
      <vt:variant>
        <vt:i4>168</vt:i4>
      </vt:variant>
      <vt:variant>
        <vt:i4>0</vt:i4>
      </vt:variant>
      <vt:variant>
        <vt:i4>5</vt:i4>
      </vt:variant>
      <vt:variant>
        <vt:lpwstr>https://ecpat.org/launch-of-the-disrupting-harm-report-for-tanzania-on-technology-and-the-sexual-exploitation-of-children/</vt:lpwstr>
      </vt:variant>
      <vt:variant>
        <vt:lpwstr/>
      </vt:variant>
      <vt:variant>
        <vt:i4>3014758</vt:i4>
      </vt:variant>
      <vt:variant>
        <vt:i4>165</vt:i4>
      </vt:variant>
      <vt:variant>
        <vt:i4>0</vt:i4>
      </vt:variant>
      <vt:variant>
        <vt:i4>5</vt:i4>
      </vt:variant>
      <vt:variant>
        <vt:lpwstr>https://safeonline.global/wp-content/uploads/2023/12/DH_Tanzania_ONLINE_final_191222.pdf</vt:lpwstr>
      </vt:variant>
      <vt:variant>
        <vt:lpwstr/>
      </vt:variant>
      <vt:variant>
        <vt:i4>3014758</vt:i4>
      </vt:variant>
      <vt:variant>
        <vt:i4>162</vt:i4>
      </vt:variant>
      <vt:variant>
        <vt:i4>0</vt:i4>
      </vt:variant>
      <vt:variant>
        <vt:i4>5</vt:i4>
      </vt:variant>
      <vt:variant>
        <vt:lpwstr>https://safeonline.global/wp-content/uploads/2023/12/DH_Tanzania_ONLINE_final_191222.pdf</vt:lpwstr>
      </vt:variant>
      <vt:variant>
        <vt:lpwstr/>
      </vt:variant>
      <vt:variant>
        <vt:i4>2359392</vt:i4>
      </vt:variant>
      <vt:variant>
        <vt:i4>159</vt:i4>
      </vt:variant>
      <vt:variant>
        <vt:i4>0</vt:i4>
      </vt:variant>
      <vt:variant>
        <vt:i4>5</vt:i4>
      </vt:variant>
      <vt:variant>
        <vt:lpwstr>https://www.sciencedirect.com/science/article/abs/pii/S0190740923003249</vt:lpwstr>
      </vt:variant>
      <vt:variant>
        <vt:lpwstr/>
      </vt:variant>
      <vt:variant>
        <vt:i4>3473535</vt:i4>
      </vt:variant>
      <vt:variant>
        <vt:i4>156</vt:i4>
      </vt:variant>
      <vt:variant>
        <vt:i4>0</vt:i4>
      </vt:variant>
      <vt:variant>
        <vt:i4>5</vt:i4>
      </vt:variant>
      <vt:variant>
        <vt:lpwstr>https://www.nbs.go.tz/uploads/statistics/documents/en-1766075873-Tanzania VACS 2024  Report.pdf</vt:lpwstr>
      </vt:variant>
      <vt:variant>
        <vt:lpwstr/>
      </vt:variant>
      <vt:variant>
        <vt:i4>3539071</vt:i4>
      </vt:variant>
      <vt:variant>
        <vt:i4>153</vt:i4>
      </vt:variant>
      <vt:variant>
        <vt:i4>0</vt:i4>
      </vt:variant>
      <vt:variant>
        <vt:i4>5</vt:i4>
      </vt:variant>
      <vt:variant>
        <vt:lpwstr>https://ecpat.org/launch-of-the-disrupting-harm-report-for-tanzania-on-technology-and-the-sexual-exploitation-of-children/</vt:lpwstr>
      </vt:variant>
      <vt:variant>
        <vt:lpwstr/>
      </vt:variant>
      <vt:variant>
        <vt:i4>7995428</vt:i4>
      </vt:variant>
      <vt:variant>
        <vt:i4>150</vt:i4>
      </vt:variant>
      <vt:variant>
        <vt:i4>0</vt:i4>
      </vt:variant>
      <vt:variant>
        <vt:i4>5</vt:i4>
      </vt:variant>
      <vt:variant>
        <vt:lpwstr>https://www.weprotect.org/resources/case-study/c-semas-multi-faceted-approach-to-addressing-online-child-sexual-exploitation-and-abuse-in-tanzania/</vt:lpwstr>
      </vt:variant>
      <vt:variant>
        <vt:lpwstr/>
      </vt:variant>
      <vt:variant>
        <vt:i4>327765</vt:i4>
      </vt:variant>
      <vt:variant>
        <vt:i4>147</vt:i4>
      </vt:variant>
      <vt:variant>
        <vt:i4>0</vt:i4>
      </vt:variant>
      <vt:variant>
        <vt:i4>5</vt:i4>
      </vt:variant>
      <vt:variant>
        <vt:lpwstr>https://www.nbs.go.tz/uploads/statistics/documents/en-1755675635-Crime and Traffic Incidents Statistics January - June, 2024.pdf</vt:lpwstr>
      </vt:variant>
      <vt:variant>
        <vt:lpwstr/>
      </vt:variant>
      <vt:variant>
        <vt:i4>196638</vt:i4>
      </vt:variant>
      <vt:variant>
        <vt:i4>144</vt:i4>
      </vt:variant>
      <vt:variant>
        <vt:i4>0</vt:i4>
      </vt:variant>
      <vt:variant>
        <vt:i4>5</vt:i4>
      </vt:variant>
      <vt:variant>
        <vt:lpwstr>https://www.streetchildren.org/our-work/projects/street-children-in-tanzania/</vt:lpwstr>
      </vt:variant>
      <vt:variant>
        <vt:lpwstr/>
      </vt:variant>
      <vt:variant>
        <vt:i4>1245212</vt:i4>
      </vt:variant>
      <vt:variant>
        <vt:i4>141</vt:i4>
      </vt:variant>
      <vt:variant>
        <vt:i4>0</vt:i4>
      </vt:variant>
      <vt:variant>
        <vt:i4>5</vt:i4>
      </vt:variant>
      <vt:variant>
        <vt:lpwstr>https://chttrust-eastafrica.org/2023/05/13/human-trafficking-in-tanzania/</vt:lpwstr>
      </vt:variant>
      <vt:variant>
        <vt:lpwstr/>
      </vt:variant>
      <vt:variant>
        <vt:i4>8060933</vt:i4>
      </vt:variant>
      <vt:variant>
        <vt:i4>138</vt:i4>
      </vt:variant>
      <vt:variant>
        <vt:i4>0</vt:i4>
      </vt:variant>
      <vt:variant>
        <vt:i4>5</vt:i4>
      </vt:variant>
      <vt:variant>
        <vt:lpwstr>https://www.frontiersin.org/journals/reproductive-health/articles/10.3389/frph.2024.1360339/full?utm_source=chatgpt.com</vt:lpwstr>
      </vt:variant>
      <vt:variant>
        <vt:lpwstr/>
      </vt:variant>
      <vt:variant>
        <vt:i4>5636110</vt:i4>
      </vt:variant>
      <vt:variant>
        <vt:i4>135</vt:i4>
      </vt:variant>
      <vt:variant>
        <vt:i4>0</vt:i4>
      </vt:variant>
      <vt:variant>
        <vt:i4>5</vt:i4>
      </vt:variant>
      <vt:variant>
        <vt:lpwstr>https://tpicd.org/index.php/tpicd/article/view/138/64</vt:lpwstr>
      </vt:variant>
      <vt:variant>
        <vt:lpwstr/>
      </vt:variant>
      <vt:variant>
        <vt:i4>1245212</vt:i4>
      </vt:variant>
      <vt:variant>
        <vt:i4>132</vt:i4>
      </vt:variant>
      <vt:variant>
        <vt:i4>0</vt:i4>
      </vt:variant>
      <vt:variant>
        <vt:i4>5</vt:i4>
      </vt:variant>
      <vt:variant>
        <vt:lpwstr>https://chttrust-eastafrica.org/2023/05/13/human-trafficking-in-tanzania/</vt:lpwstr>
      </vt:variant>
      <vt:variant>
        <vt:lpwstr/>
      </vt:variant>
      <vt:variant>
        <vt:i4>6815850</vt:i4>
      </vt:variant>
      <vt:variant>
        <vt:i4>129</vt:i4>
      </vt:variant>
      <vt:variant>
        <vt:i4>0</vt:i4>
      </vt:variant>
      <vt:variant>
        <vt:i4>5</vt:i4>
      </vt:variant>
      <vt:variant>
        <vt:lpwstr>https://www.tandfonline.com/doi/ epdf/10.1080/02673843.2025.2552335?needAccess=true</vt:lpwstr>
      </vt:variant>
      <vt:variant>
        <vt:lpwstr/>
      </vt:variant>
      <vt:variant>
        <vt:i4>6422625</vt:i4>
      </vt:variant>
      <vt:variant>
        <vt:i4>126</vt:i4>
      </vt:variant>
      <vt:variant>
        <vt:i4>0</vt:i4>
      </vt:variant>
      <vt:variant>
        <vt:i4>5</vt:i4>
      </vt:variant>
      <vt:variant>
        <vt:lpwstr>https://journalarjass.com/index.php/ARJASS/article/view/643</vt:lpwstr>
      </vt:variant>
      <vt:variant>
        <vt:lpwstr/>
      </vt:variant>
      <vt:variant>
        <vt:i4>8323135</vt:i4>
      </vt:variant>
      <vt:variant>
        <vt:i4>123</vt:i4>
      </vt:variant>
      <vt:variant>
        <vt:i4>0</vt:i4>
      </vt:variant>
      <vt:variant>
        <vt:i4>5</vt:i4>
      </vt:variant>
      <vt:variant>
        <vt:lpwstr>https://www.tandfonline.com/doi/epdf/10.1080/02673843.2026.2614426?needAccess=true</vt:lpwstr>
      </vt:variant>
      <vt:variant>
        <vt:lpwstr/>
      </vt:variant>
      <vt:variant>
        <vt:i4>6422625</vt:i4>
      </vt:variant>
      <vt:variant>
        <vt:i4>120</vt:i4>
      </vt:variant>
      <vt:variant>
        <vt:i4>0</vt:i4>
      </vt:variant>
      <vt:variant>
        <vt:i4>5</vt:i4>
      </vt:variant>
      <vt:variant>
        <vt:lpwstr>https://journalarjass.com/index.php/ARJASS/article/view/643</vt:lpwstr>
      </vt:variant>
      <vt:variant>
        <vt:lpwstr/>
      </vt:variant>
      <vt:variant>
        <vt:i4>8126523</vt:i4>
      </vt:variant>
      <vt:variant>
        <vt:i4>117</vt:i4>
      </vt:variant>
      <vt:variant>
        <vt:i4>0</vt:i4>
      </vt:variant>
      <vt:variant>
        <vt:i4>5</vt:i4>
      </vt:variant>
      <vt:variant>
        <vt:lpwstr>https://www.tandfonline.com/doi/epdf/10.1080/02673843.2025.2552335?needAccess=true</vt:lpwstr>
      </vt:variant>
      <vt:variant>
        <vt:lpwstr/>
      </vt:variant>
      <vt:variant>
        <vt:i4>6422625</vt:i4>
      </vt:variant>
      <vt:variant>
        <vt:i4>114</vt:i4>
      </vt:variant>
      <vt:variant>
        <vt:i4>0</vt:i4>
      </vt:variant>
      <vt:variant>
        <vt:i4>5</vt:i4>
      </vt:variant>
      <vt:variant>
        <vt:lpwstr>https://journalarjass.com/index.php/ARJASS/article/view/643</vt:lpwstr>
      </vt:variant>
      <vt:variant>
        <vt:lpwstr/>
      </vt:variant>
      <vt:variant>
        <vt:i4>5767191</vt:i4>
      </vt:variant>
      <vt:variant>
        <vt:i4>111</vt:i4>
      </vt:variant>
      <vt:variant>
        <vt:i4>0</vt:i4>
      </vt:variant>
      <vt:variant>
        <vt:i4>5</vt:i4>
      </vt:variant>
      <vt:variant>
        <vt:lpwstr>https://dailynews.co.tz/22800-girls-return-to-school-after-giving-birth/</vt:lpwstr>
      </vt:variant>
      <vt:variant>
        <vt:lpwstr/>
      </vt:variant>
      <vt:variant>
        <vt:i4>327761</vt:i4>
      </vt:variant>
      <vt:variant>
        <vt:i4>108</vt:i4>
      </vt:variant>
      <vt:variant>
        <vt:i4>0</vt:i4>
      </vt:variant>
      <vt:variant>
        <vt:i4>5</vt:i4>
      </vt:variant>
      <vt:variant>
        <vt:lpwstr>https://minoritywatch.org/education-for-pregnant/</vt:lpwstr>
      </vt:variant>
      <vt:variant>
        <vt:lpwstr/>
      </vt:variant>
      <vt:variant>
        <vt:i4>2424846</vt:i4>
      </vt:variant>
      <vt:variant>
        <vt:i4>105</vt:i4>
      </vt:variant>
      <vt:variant>
        <vt:i4>0</vt:i4>
      </vt:variant>
      <vt:variant>
        <vt:i4>5</vt:i4>
      </vt:variant>
      <vt:variant>
        <vt:lpwstr>https://www.hrw.org/news/2025/01/23/tanzania-protect-right-education-pregnancy-parenthood?utm_source=chatgpt.com</vt:lpwstr>
      </vt:variant>
      <vt:variant>
        <vt:lpwstr/>
      </vt:variant>
      <vt:variant>
        <vt:i4>5046318</vt:i4>
      </vt:variant>
      <vt:variant>
        <vt:i4>102</vt:i4>
      </vt:variant>
      <vt:variant>
        <vt:i4>0</vt:i4>
      </vt:variant>
      <vt:variant>
        <vt:i4>5</vt:i4>
      </vt:variant>
      <vt:variant>
        <vt:lpwstr>https://www.moe.go.tz/sw/nyaraka/waraka-wa-elimu-na-2-wa-mwaka-2021-kuhusu-kuingia-tena-shule-kwa-wanafunzi-wa-shule-za?utm_source=chatgpt.com</vt:lpwstr>
      </vt:variant>
      <vt:variant>
        <vt:lpwstr/>
      </vt:variant>
      <vt:variant>
        <vt:i4>7274596</vt:i4>
      </vt:variant>
      <vt:variant>
        <vt:i4>99</vt:i4>
      </vt:variant>
      <vt:variant>
        <vt:i4>0</vt:i4>
      </vt:variant>
      <vt:variant>
        <vt:i4>5</vt:i4>
      </vt:variant>
      <vt:variant>
        <vt:lpwstr>https://www.voaafrica.com/a/un-study-shows-one-in-four-tanzania-teenage-girls-get-pregnant-and-drop-out-of-school-/7789397.html</vt:lpwstr>
      </vt:variant>
      <vt:variant>
        <vt:lpwstr/>
      </vt:variant>
      <vt:variant>
        <vt:i4>1638429</vt:i4>
      </vt:variant>
      <vt:variant>
        <vt:i4>96</vt:i4>
      </vt:variant>
      <vt:variant>
        <vt:i4>0</vt:i4>
      </vt:variant>
      <vt:variant>
        <vt:i4>5</vt:i4>
      </vt:variant>
      <vt:variant>
        <vt:lpwstr>https://www.acerwc.africa/sites/default/files/2022-10/ACERWC Decision final Communication No- 0012Com0012019.Tanzania.pdf</vt:lpwstr>
      </vt:variant>
      <vt:variant>
        <vt:lpwstr/>
      </vt:variant>
      <vt:variant>
        <vt:i4>1638429</vt:i4>
      </vt:variant>
      <vt:variant>
        <vt:i4>93</vt:i4>
      </vt:variant>
      <vt:variant>
        <vt:i4>0</vt:i4>
      </vt:variant>
      <vt:variant>
        <vt:i4>5</vt:i4>
      </vt:variant>
      <vt:variant>
        <vt:lpwstr>https://www.acerwc.africa/sites/default/files/2022-10/ACERWC Decision final Communication No- 0012Com0012019.Tanzania.pdf</vt:lpwstr>
      </vt:variant>
      <vt:variant>
        <vt:lpwstr/>
      </vt:variant>
      <vt:variant>
        <vt:i4>2687100</vt:i4>
      </vt:variant>
      <vt:variant>
        <vt:i4>90</vt:i4>
      </vt:variant>
      <vt:variant>
        <vt:i4>0</vt:i4>
      </vt:variant>
      <vt:variant>
        <vt:i4>5</vt:i4>
      </vt:variant>
      <vt:variant>
        <vt:lpwstr>https://www.unicef.org/tanzania/reports/banning-corporal-punishment-schools</vt:lpwstr>
      </vt:variant>
      <vt:variant>
        <vt:lpwstr/>
      </vt:variant>
      <vt:variant>
        <vt:i4>2293862</vt:i4>
      </vt:variant>
      <vt:variant>
        <vt:i4>87</vt:i4>
      </vt:variant>
      <vt:variant>
        <vt:i4>0</vt:i4>
      </vt:variant>
      <vt:variant>
        <vt:i4>5</vt:i4>
      </vt:variant>
      <vt:variant>
        <vt:lpwstr>https://www.sciencedirect.com/science/article/abs/pii/S0738059323001153</vt:lpwstr>
      </vt:variant>
      <vt:variant>
        <vt:lpwstr/>
      </vt:variant>
      <vt:variant>
        <vt:i4>2293862</vt:i4>
      </vt:variant>
      <vt:variant>
        <vt:i4>84</vt:i4>
      </vt:variant>
      <vt:variant>
        <vt:i4>0</vt:i4>
      </vt:variant>
      <vt:variant>
        <vt:i4>5</vt:i4>
      </vt:variant>
      <vt:variant>
        <vt:lpwstr>https://www.sciencedirect.com/science/article/abs/pii/S0738059323001153</vt:lpwstr>
      </vt:variant>
      <vt:variant>
        <vt:lpwstr/>
      </vt:variant>
      <vt:variant>
        <vt:i4>2293862</vt:i4>
      </vt:variant>
      <vt:variant>
        <vt:i4>81</vt:i4>
      </vt:variant>
      <vt:variant>
        <vt:i4>0</vt:i4>
      </vt:variant>
      <vt:variant>
        <vt:i4>5</vt:i4>
      </vt:variant>
      <vt:variant>
        <vt:lpwstr>https://www.sciencedirect.com/science/article/abs/pii/S0738059323001153</vt:lpwstr>
      </vt:variant>
      <vt:variant>
        <vt:lpwstr/>
      </vt:variant>
      <vt:variant>
        <vt:i4>5308425</vt:i4>
      </vt:variant>
      <vt:variant>
        <vt:i4>78</vt:i4>
      </vt:variant>
      <vt:variant>
        <vt:i4>0</vt:i4>
      </vt:variant>
      <vt:variant>
        <vt:i4>5</vt:i4>
      </vt:variant>
      <vt:variant>
        <vt:lpwstr>https://pmc.ncbi.nlm.nih.gov/articles/PMC5560991/pdf/nihms886822.pdf</vt:lpwstr>
      </vt:variant>
      <vt:variant>
        <vt:lpwstr/>
      </vt:variant>
      <vt:variant>
        <vt:i4>4063294</vt:i4>
      </vt:variant>
      <vt:variant>
        <vt:i4>75</vt:i4>
      </vt:variant>
      <vt:variant>
        <vt:i4>0</vt:i4>
      </vt:variant>
      <vt:variant>
        <vt:i4>5</vt:i4>
      </vt:variant>
      <vt:variant>
        <vt:lpwstr>https://uprdoc.ohchr.org/uprweb/downloadfile.aspx?filename=8794&amp;file=EnglishTranslation</vt:lpwstr>
      </vt:variant>
      <vt:variant>
        <vt:lpwstr/>
      </vt:variant>
      <vt:variant>
        <vt:i4>2293862</vt:i4>
      </vt:variant>
      <vt:variant>
        <vt:i4>72</vt:i4>
      </vt:variant>
      <vt:variant>
        <vt:i4>0</vt:i4>
      </vt:variant>
      <vt:variant>
        <vt:i4>5</vt:i4>
      </vt:variant>
      <vt:variant>
        <vt:lpwstr>https://www.sciencedirect.com/science/article/abs/pii/S0738059323001153</vt:lpwstr>
      </vt:variant>
      <vt:variant>
        <vt:lpwstr/>
      </vt:variant>
      <vt:variant>
        <vt:i4>1572950</vt:i4>
      </vt:variant>
      <vt:variant>
        <vt:i4>69</vt:i4>
      </vt:variant>
      <vt:variant>
        <vt:i4>0</vt:i4>
      </vt:variant>
      <vt:variant>
        <vt:i4>5</vt:i4>
      </vt:variant>
      <vt:variant>
        <vt:lpwstr>https://iwaponline.com/washdev/article/15/6/479/108149/Does-school-water-sanitation-and-hygiene-SWASH</vt:lpwstr>
      </vt:variant>
      <vt:variant>
        <vt:lpwstr/>
      </vt:variant>
      <vt:variant>
        <vt:i4>8192108</vt:i4>
      </vt:variant>
      <vt:variant>
        <vt:i4>66</vt:i4>
      </vt:variant>
      <vt:variant>
        <vt:i4>0</vt:i4>
      </vt:variant>
      <vt:variant>
        <vt:i4>5</vt:i4>
      </vt:variant>
      <vt:variant>
        <vt:lpwstr>https://www.actionagainsthunger.org/story/improving-school-sanitation-empowering-students-in-tanzania/</vt:lpwstr>
      </vt:variant>
      <vt:variant>
        <vt:lpwstr/>
      </vt:variant>
      <vt:variant>
        <vt:i4>4063291</vt:i4>
      </vt:variant>
      <vt:variant>
        <vt:i4>63</vt:i4>
      </vt:variant>
      <vt:variant>
        <vt:i4>0</vt:i4>
      </vt:variant>
      <vt:variant>
        <vt:i4>5</vt:i4>
      </vt:variant>
      <vt:variant>
        <vt:lpwstr>https://www.who.int/news/item/06-07-2023-women-and-girls-bear-brunt-of-water-and-sanitation-crisis---new-unicef-who-report</vt:lpwstr>
      </vt:variant>
      <vt:variant>
        <vt:lpwstr/>
      </vt:variant>
      <vt:variant>
        <vt:i4>1376367</vt:i4>
      </vt:variant>
      <vt:variant>
        <vt:i4>60</vt:i4>
      </vt:variant>
      <vt:variant>
        <vt:i4>0</vt:i4>
      </vt:variant>
      <vt:variant>
        <vt:i4>5</vt:i4>
      </vt:variant>
      <vt:variant>
        <vt:lpwstr>https://humanrights.or.tz/storage/user_storage/681870a52bc97.pdf</vt:lpwstr>
      </vt:variant>
      <vt:variant>
        <vt:lpwstr/>
      </vt:variant>
      <vt:variant>
        <vt:i4>1310809</vt:i4>
      </vt:variant>
      <vt:variant>
        <vt:i4>57</vt:i4>
      </vt:variant>
      <vt:variant>
        <vt:i4>0</vt:i4>
      </vt:variant>
      <vt:variant>
        <vt:i4>5</vt:i4>
      </vt:variant>
      <vt:variant>
        <vt:lpwstr>https://pmc.ncbi.nlm.nih.gov/articles/PMC12128905/pdf/JAD-97-901.pdf</vt:lpwstr>
      </vt:variant>
      <vt:variant>
        <vt:lpwstr/>
      </vt:variant>
      <vt:variant>
        <vt:i4>4653134</vt:i4>
      </vt:variant>
      <vt:variant>
        <vt:i4>54</vt:i4>
      </vt:variant>
      <vt:variant>
        <vt:i4>0</vt:i4>
      </vt:variant>
      <vt:variant>
        <vt:i4>5</vt:i4>
      </vt:variant>
      <vt:variant>
        <vt:lpwstr>https://www.tandfonline.com/doi/pdf/10.1080/23293691.2025.2491028</vt:lpwstr>
      </vt:variant>
      <vt:variant>
        <vt:lpwstr/>
      </vt:variant>
      <vt:variant>
        <vt:i4>4653134</vt:i4>
      </vt:variant>
      <vt:variant>
        <vt:i4>51</vt:i4>
      </vt:variant>
      <vt:variant>
        <vt:i4>0</vt:i4>
      </vt:variant>
      <vt:variant>
        <vt:i4>5</vt:i4>
      </vt:variant>
      <vt:variant>
        <vt:lpwstr>https://www.tandfonline.com/doi/pdf/10.1080/23293691.2025.2491028</vt:lpwstr>
      </vt:variant>
      <vt:variant>
        <vt:lpwstr/>
      </vt:variant>
      <vt:variant>
        <vt:i4>4653134</vt:i4>
      </vt:variant>
      <vt:variant>
        <vt:i4>48</vt:i4>
      </vt:variant>
      <vt:variant>
        <vt:i4>0</vt:i4>
      </vt:variant>
      <vt:variant>
        <vt:i4>5</vt:i4>
      </vt:variant>
      <vt:variant>
        <vt:lpwstr>https://www.tandfonline.com/doi/pdf/10.1080/23293691.2025.2491028</vt:lpwstr>
      </vt:variant>
      <vt:variant>
        <vt:lpwstr/>
      </vt:variant>
      <vt:variant>
        <vt:i4>5898313</vt:i4>
      </vt:variant>
      <vt:variant>
        <vt:i4>45</vt:i4>
      </vt:variant>
      <vt:variant>
        <vt:i4>0</vt:i4>
      </vt:variant>
      <vt:variant>
        <vt:i4>5</vt:i4>
      </vt:variant>
      <vt:variant>
        <vt:lpwstr>https://www.globalcitizen.org/en/content/tanzania-bringing-back-tax-period-products/</vt:lpwstr>
      </vt:variant>
      <vt:variant>
        <vt:lpwstr/>
      </vt:variant>
      <vt:variant>
        <vt:i4>7340077</vt:i4>
      </vt:variant>
      <vt:variant>
        <vt:i4>42</vt:i4>
      </vt:variant>
      <vt:variant>
        <vt:i4>0</vt:i4>
      </vt:variant>
      <vt:variant>
        <vt:i4>5</vt:i4>
      </vt:variant>
      <vt:variant>
        <vt:lpwstr>https://globalvoices.org/2019/06/29/tanzania-reinstates-controversial-sanitary-pad-tax/</vt:lpwstr>
      </vt:variant>
      <vt:variant>
        <vt:lpwstr/>
      </vt:variant>
      <vt:variant>
        <vt:i4>7536752</vt:i4>
      </vt:variant>
      <vt:variant>
        <vt:i4>39</vt:i4>
      </vt:variant>
      <vt:variant>
        <vt:i4>0</vt:i4>
      </vt:variant>
      <vt:variant>
        <vt:i4>5</vt:i4>
      </vt:variant>
      <vt:variant>
        <vt:lpwstr>https://righttoplay.com/en/stories/wont-stop-me-judiths-story/</vt:lpwstr>
      </vt:variant>
      <vt:variant>
        <vt:lpwstr/>
      </vt:variant>
      <vt:variant>
        <vt:i4>4784209</vt:i4>
      </vt:variant>
      <vt:variant>
        <vt:i4>36</vt:i4>
      </vt:variant>
      <vt:variant>
        <vt:i4>0</vt:i4>
      </vt:variant>
      <vt:variant>
        <vt:i4>5</vt:i4>
      </vt:variant>
      <vt:variant>
        <vt:lpwstr>https://femnet.org/wp-content/uploads/2022/09/TANZANIA-final.pdf</vt:lpwstr>
      </vt:variant>
      <vt:variant>
        <vt:lpwstr/>
      </vt:variant>
      <vt:variant>
        <vt:i4>720897</vt:i4>
      </vt:variant>
      <vt:variant>
        <vt:i4>33</vt:i4>
      </vt:variant>
      <vt:variant>
        <vt:i4>0</vt:i4>
      </vt:variant>
      <vt:variant>
        <vt:i4>5</vt:i4>
      </vt:variant>
      <vt:variant>
        <vt:lpwstr>https://tanzania.un.org/en/108315-winda%E2%80%99s-story-saying-no-fgm</vt:lpwstr>
      </vt:variant>
      <vt:variant>
        <vt:lpwstr/>
      </vt:variant>
      <vt:variant>
        <vt:i4>7340046</vt:i4>
      </vt:variant>
      <vt:variant>
        <vt:i4>30</vt:i4>
      </vt:variant>
      <vt:variant>
        <vt:i4>0</vt:i4>
      </vt:variant>
      <vt:variant>
        <vt:i4>5</vt:i4>
      </vt:variant>
      <vt:variant>
        <vt:lpwstr>https://www.fgmcri.org/media/uploads/Country Research and Resources/Tanzania/tanzania_country_profile_v3_(july_2020).pdf</vt:lpwstr>
      </vt:variant>
      <vt:variant>
        <vt:lpwstr/>
      </vt:variant>
      <vt:variant>
        <vt:i4>4325451</vt:i4>
      </vt:variant>
      <vt:variant>
        <vt:i4>27</vt:i4>
      </vt:variant>
      <vt:variant>
        <vt:i4>0</vt:i4>
      </vt:variant>
      <vt:variant>
        <vt:i4>5</vt:i4>
      </vt:variant>
      <vt:variant>
        <vt:lpwstr>https://www.orchidproject.org/about-fgc/why-does-fgc-happen/</vt:lpwstr>
      </vt:variant>
      <vt:variant>
        <vt:lpwstr/>
      </vt:variant>
      <vt:variant>
        <vt:i4>7340046</vt:i4>
      </vt:variant>
      <vt:variant>
        <vt:i4>24</vt:i4>
      </vt:variant>
      <vt:variant>
        <vt:i4>0</vt:i4>
      </vt:variant>
      <vt:variant>
        <vt:i4>5</vt:i4>
      </vt:variant>
      <vt:variant>
        <vt:lpwstr>https://www.fgmcri.org/media/uploads/Country Research and Resources/Tanzania/tanzania_country_profile_v3_(july_2020).pdf</vt:lpwstr>
      </vt:variant>
      <vt:variant>
        <vt:lpwstr/>
      </vt:variant>
      <vt:variant>
        <vt:i4>2818157</vt:i4>
      </vt:variant>
      <vt:variant>
        <vt:i4>21</vt:i4>
      </vt:variant>
      <vt:variant>
        <vt:i4>0</vt:i4>
      </vt:variant>
      <vt:variant>
        <vt:i4>5</vt:i4>
      </vt:variant>
      <vt:variant>
        <vt:lpwstr>https://www.who.int/news-room/fact-sheets/detail/female-genital-mutilation</vt:lpwstr>
      </vt:variant>
      <vt:variant>
        <vt:lpwstr/>
      </vt:variant>
      <vt:variant>
        <vt:i4>5898344</vt:i4>
      </vt:variant>
      <vt:variant>
        <vt:i4>18</vt:i4>
      </vt:variant>
      <vt:variant>
        <vt:i4>0</vt:i4>
      </vt:variant>
      <vt:variant>
        <vt:i4>5</vt:i4>
      </vt:variant>
      <vt:variant>
        <vt:lpwstr>https://www.fgmcri.org/media/uploads/Law Reports/tanzania_law_report_v1_(may_2018).pdf</vt:lpwstr>
      </vt:variant>
      <vt:variant>
        <vt:lpwstr/>
      </vt:variant>
      <vt:variant>
        <vt:i4>1376367</vt:i4>
      </vt:variant>
      <vt:variant>
        <vt:i4>15</vt:i4>
      </vt:variant>
      <vt:variant>
        <vt:i4>0</vt:i4>
      </vt:variant>
      <vt:variant>
        <vt:i4>5</vt:i4>
      </vt:variant>
      <vt:variant>
        <vt:lpwstr>https://humanrights.or.tz/storage/user_storage/681870a52bc97.pdf</vt:lpwstr>
      </vt:variant>
      <vt:variant>
        <vt:lpwstr/>
      </vt:variant>
      <vt:variant>
        <vt:i4>4587540</vt:i4>
      </vt:variant>
      <vt:variant>
        <vt:i4>12</vt:i4>
      </vt:variant>
      <vt:variant>
        <vt:i4>0</vt:i4>
      </vt:variant>
      <vt:variant>
        <vt:i4>5</vt:i4>
      </vt:variant>
      <vt:variant>
        <vt:lpwstr>https://fbattorneys.co.tz/wp-content/uploads/2019/10/CoA-Judgment-204.pdf</vt:lpwstr>
      </vt:variant>
      <vt:variant>
        <vt:lpwstr/>
      </vt:variant>
      <vt:variant>
        <vt:i4>4587540</vt:i4>
      </vt:variant>
      <vt:variant>
        <vt:i4>9</vt:i4>
      </vt:variant>
      <vt:variant>
        <vt:i4>0</vt:i4>
      </vt:variant>
      <vt:variant>
        <vt:i4>5</vt:i4>
      </vt:variant>
      <vt:variant>
        <vt:lpwstr>https://fbattorneys.co.tz/wp-content/uploads/2019/10/CoA-Judgment-204.pdf</vt:lpwstr>
      </vt:variant>
      <vt:variant>
        <vt:lpwstr/>
      </vt:variant>
      <vt:variant>
        <vt:i4>7012400</vt:i4>
      </vt:variant>
      <vt:variant>
        <vt:i4>6</vt:i4>
      </vt:variant>
      <vt:variant>
        <vt:i4>0</vt:i4>
      </vt:variant>
      <vt:variant>
        <vt:i4>5</vt:i4>
      </vt:variant>
      <vt:variant>
        <vt:lpwstr>https://digitalcommons.law.utulsa.edu/cgi/viewcontent.cgi?article=3342&amp;context=tlr</vt:lpwstr>
      </vt:variant>
      <vt:variant>
        <vt:lpwstr/>
      </vt:variant>
      <vt:variant>
        <vt:i4>7340086</vt:i4>
      </vt:variant>
      <vt:variant>
        <vt:i4>3</vt:i4>
      </vt:variant>
      <vt:variant>
        <vt:i4>0</vt:i4>
      </vt:variant>
      <vt:variant>
        <vt:i4>5</vt:i4>
      </vt:variant>
      <vt:variant>
        <vt:lpwstr>https://www.nao.go.tz/reports/view/performance-audit-report-on-the-management-of-measures-for-eliminating-violence-against-women-and-girls-in-tanzania</vt:lpwstr>
      </vt:variant>
      <vt:variant>
        <vt:lpwstr/>
      </vt:variant>
      <vt:variant>
        <vt:i4>1769490</vt:i4>
      </vt:variant>
      <vt:variant>
        <vt:i4>0</vt:i4>
      </vt:variant>
      <vt:variant>
        <vt:i4>0</vt:i4>
      </vt:variant>
      <vt:variant>
        <vt:i4>5</vt:i4>
      </vt:variant>
      <vt:variant>
        <vt:lpwstr>https://www.jamii.go.tz/uploads/documents/sw-1739175592-NPA-VAWC-II.24.25.pdf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Rosalyn Park</dc:creator>
  <cp:keywords/>
  <cp:lastModifiedBy>Rosalyn Park</cp:lastModifiedBy>
  <cp:revision>81</cp:revision>
  <dcterms:created xsi:type="dcterms:W3CDTF">2026-07-28T19:33:00Z</dcterms:created>
  <dcterms:modified xsi:type="dcterms:W3CDTF">2026-07-29T15:57:00Z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0x010100452BDADA77824941B327CDF72849C9BE</vt:lpwstr>
  </property>
  <property fmtid="{D5CDD505-2E9C-101B-9397-08002B2CF9AE}" pid="8" name="MediaServiceImageTags">
    <vt:lpwstr>MediaServiceImageTags</vt:lpwstr>
  </property>
  <property fmtid="{D5CDD505-2E9C-101B-9397-08002B2CF9AE}" pid="9" name="lcf76f155ced4ddcb4097134ff3c332f">
    <vt:lpwstr>lcf76f155ced4ddcb4097134ff3c332f</vt:lpwstr>
  </property>
  <property fmtid="{D5CDD505-2E9C-101B-9397-08002B2CF9AE}" pid="10" name="TaxCatchAll">
    <vt:lpwstr>TaxCatchAll</vt:lpwstr>
  </property>
</Properties>
</file>