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21568" w14:textId="77777777" w:rsidR="00115F72" w:rsidRPr="00D95C07" w:rsidRDefault="00115F72" w:rsidP="008D5473">
      <w:pPr>
        <w:spacing w:line="276" w:lineRule="auto"/>
        <w:jc w:val="center"/>
        <w:rPr>
          <w:rFonts w:ascii="Verdana" w:hAnsi="Verdana"/>
          <w:b/>
          <w:bCs/>
          <w:sz w:val="28"/>
          <w:szCs w:val="28"/>
        </w:rPr>
      </w:pPr>
    </w:p>
    <w:p w14:paraId="41C08A04" w14:textId="77777777" w:rsidR="00D95C07" w:rsidRPr="00D95C07" w:rsidRDefault="00D95C07" w:rsidP="00D95C07">
      <w:pPr>
        <w:spacing w:line="276" w:lineRule="auto"/>
        <w:jc w:val="center"/>
        <w:rPr>
          <w:rFonts w:ascii="Verdana" w:hAnsi="Verdana"/>
          <w:b/>
          <w:bCs/>
          <w:sz w:val="28"/>
          <w:szCs w:val="28"/>
        </w:rPr>
      </w:pPr>
    </w:p>
    <w:p w14:paraId="66EE8A03" w14:textId="77777777" w:rsidR="00115F72" w:rsidRPr="00D95C07" w:rsidRDefault="00115F72" w:rsidP="008D5473">
      <w:pPr>
        <w:spacing w:line="276" w:lineRule="auto"/>
        <w:jc w:val="center"/>
        <w:rPr>
          <w:rFonts w:ascii="Verdana" w:hAnsi="Verdana"/>
          <w:b/>
          <w:bCs/>
          <w:sz w:val="28"/>
          <w:szCs w:val="28"/>
        </w:rPr>
      </w:pPr>
    </w:p>
    <w:p w14:paraId="29017C98" w14:textId="77777777" w:rsidR="00D95C07" w:rsidRPr="00D95C07" w:rsidRDefault="00D95C07" w:rsidP="008D5473">
      <w:pPr>
        <w:spacing w:line="276" w:lineRule="auto"/>
        <w:rPr>
          <w:rFonts w:ascii="Verdana" w:hAnsi="Verdana"/>
          <w:b/>
          <w:bCs/>
          <w:sz w:val="28"/>
          <w:szCs w:val="28"/>
        </w:rPr>
      </w:pPr>
    </w:p>
    <w:p w14:paraId="05E2D7BE" w14:textId="77777777" w:rsidR="00115F72" w:rsidRPr="00D95C07" w:rsidRDefault="00115F72" w:rsidP="008D5473">
      <w:pPr>
        <w:spacing w:line="276" w:lineRule="auto"/>
        <w:jc w:val="center"/>
        <w:rPr>
          <w:rFonts w:ascii="Verdana" w:hAnsi="Verdana"/>
          <w:b/>
          <w:bCs/>
          <w:sz w:val="28"/>
          <w:szCs w:val="28"/>
        </w:rPr>
      </w:pPr>
    </w:p>
    <w:p w14:paraId="50A3AE2B" w14:textId="77777777" w:rsidR="00D95C07" w:rsidRPr="00D95C07" w:rsidRDefault="00115F72" w:rsidP="00D95C07">
      <w:pPr>
        <w:spacing w:line="276" w:lineRule="auto"/>
        <w:jc w:val="center"/>
        <w:rPr>
          <w:rFonts w:ascii="Verdana" w:hAnsi="Verdana"/>
          <w:b/>
          <w:bCs/>
          <w:sz w:val="28"/>
          <w:szCs w:val="28"/>
        </w:rPr>
      </w:pPr>
      <w:r w:rsidRPr="00D95C07">
        <w:rPr>
          <w:rFonts w:ascii="Verdana" w:hAnsi="Verdana"/>
          <w:b/>
          <w:bCs/>
          <w:sz w:val="28"/>
          <w:szCs w:val="28"/>
        </w:rPr>
        <w:t xml:space="preserve">INFORME </w:t>
      </w:r>
      <w:r w:rsidR="00D95C07" w:rsidRPr="00D95C07">
        <w:rPr>
          <w:rFonts w:ascii="Verdana" w:hAnsi="Verdana"/>
          <w:b/>
          <w:bCs/>
          <w:sz w:val="28"/>
          <w:szCs w:val="28"/>
        </w:rPr>
        <w:t xml:space="preserve">DE LA </w:t>
      </w:r>
      <w:r w:rsidR="00D95C07" w:rsidRPr="00D95C07">
        <w:rPr>
          <w:rFonts w:ascii="Verdana" w:hAnsi="Verdana"/>
          <w:b/>
          <w:bCs/>
          <w:sz w:val="28"/>
          <w:szCs w:val="28"/>
        </w:rPr>
        <w:t>REPÚBLICA DE COLOMBIA</w:t>
      </w:r>
    </w:p>
    <w:p w14:paraId="3581669B" w14:textId="77777777" w:rsidR="00D95C07" w:rsidRPr="00D95C07" w:rsidRDefault="00D95C07" w:rsidP="00D95C07">
      <w:pPr>
        <w:spacing w:line="276" w:lineRule="auto"/>
        <w:jc w:val="center"/>
        <w:rPr>
          <w:rFonts w:ascii="Verdana" w:hAnsi="Verdana"/>
          <w:b/>
          <w:bCs/>
          <w:sz w:val="28"/>
          <w:szCs w:val="28"/>
        </w:rPr>
      </w:pPr>
    </w:p>
    <w:p w14:paraId="77F5B2FF" w14:textId="77777777" w:rsidR="00D95C07" w:rsidRPr="00D95C07" w:rsidRDefault="00D95C07" w:rsidP="00D95C07">
      <w:pPr>
        <w:spacing w:line="276" w:lineRule="auto"/>
        <w:jc w:val="center"/>
        <w:rPr>
          <w:rFonts w:ascii="Verdana" w:hAnsi="Verdana"/>
          <w:b/>
          <w:bCs/>
          <w:sz w:val="28"/>
          <w:szCs w:val="28"/>
        </w:rPr>
      </w:pPr>
    </w:p>
    <w:p w14:paraId="5F3B4842" w14:textId="404A2838" w:rsidR="00DD282D" w:rsidRPr="00D95C07" w:rsidRDefault="00115F72" w:rsidP="00D95C07">
      <w:pPr>
        <w:spacing w:line="276" w:lineRule="auto"/>
        <w:jc w:val="center"/>
        <w:rPr>
          <w:rFonts w:ascii="Verdana" w:hAnsi="Verdana"/>
          <w:b/>
          <w:bCs/>
          <w:sz w:val="28"/>
          <w:szCs w:val="28"/>
        </w:rPr>
      </w:pPr>
      <w:r w:rsidRPr="00D95C07">
        <w:rPr>
          <w:rFonts w:ascii="Verdana" w:hAnsi="Verdana"/>
          <w:b/>
          <w:bCs/>
          <w:sz w:val="28"/>
          <w:szCs w:val="28"/>
        </w:rPr>
        <w:t>IMPLEMENTACIÓN DE LAS RECOMENDACIONES No. 9, 25</w:t>
      </w:r>
      <w:r w:rsidR="00334FAA" w:rsidRPr="00D95C07">
        <w:rPr>
          <w:rFonts w:ascii="Verdana" w:hAnsi="Verdana"/>
          <w:b/>
          <w:bCs/>
          <w:sz w:val="28"/>
          <w:szCs w:val="28"/>
        </w:rPr>
        <w:t xml:space="preserve"> Y </w:t>
      </w:r>
      <w:r w:rsidRPr="00D95C07">
        <w:rPr>
          <w:rFonts w:ascii="Verdana" w:hAnsi="Verdana"/>
          <w:b/>
          <w:bCs/>
          <w:sz w:val="28"/>
          <w:szCs w:val="28"/>
        </w:rPr>
        <w:t>35 FORMULADAS POR EL COMITÉ DE DERECHOS HUMANOS EN LAS OBSERVACIONES FINALES SOBRE EL OCTAVO INFORME PERIÓDICO DE COLOMBIA</w:t>
      </w:r>
    </w:p>
    <w:p w14:paraId="1E026C2A" w14:textId="77777777" w:rsidR="00115F72" w:rsidRPr="00D95C07" w:rsidRDefault="00115F72" w:rsidP="008D5473">
      <w:pPr>
        <w:spacing w:line="276" w:lineRule="auto"/>
        <w:jc w:val="center"/>
        <w:rPr>
          <w:rFonts w:ascii="Verdana" w:hAnsi="Verdana"/>
          <w:b/>
          <w:bCs/>
          <w:sz w:val="28"/>
          <w:szCs w:val="28"/>
        </w:rPr>
      </w:pPr>
    </w:p>
    <w:p w14:paraId="30CAAB72" w14:textId="77777777" w:rsidR="00115F72" w:rsidRPr="00D95C07" w:rsidRDefault="00115F72" w:rsidP="008D5473">
      <w:pPr>
        <w:spacing w:line="276" w:lineRule="auto"/>
        <w:jc w:val="center"/>
        <w:rPr>
          <w:rFonts w:ascii="Verdana" w:hAnsi="Verdana"/>
          <w:b/>
          <w:bCs/>
          <w:sz w:val="28"/>
          <w:szCs w:val="28"/>
        </w:rPr>
      </w:pPr>
    </w:p>
    <w:p w14:paraId="6660385E" w14:textId="77777777" w:rsidR="00115F72" w:rsidRPr="00D95C07" w:rsidRDefault="00115F72" w:rsidP="008D5473">
      <w:pPr>
        <w:spacing w:line="276" w:lineRule="auto"/>
        <w:jc w:val="center"/>
        <w:rPr>
          <w:rFonts w:ascii="Verdana" w:hAnsi="Verdana"/>
          <w:b/>
          <w:bCs/>
          <w:sz w:val="28"/>
          <w:szCs w:val="28"/>
        </w:rPr>
      </w:pPr>
    </w:p>
    <w:p w14:paraId="27AB49D6" w14:textId="77777777" w:rsidR="00115F72" w:rsidRPr="00D95C07" w:rsidRDefault="00115F72" w:rsidP="008D5473">
      <w:pPr>
        <w:spacing w:line="276" w:lineRule="auto"/>
        <w:jc w:val="center"/>
        <w:rPr>
          <w:rFonts w:ascii="Verdana" w:hAnsi="Verdana"/>
          <w:b/>
          <w:bCs/>
          <w:sz w:val="28"/>
          <w:szCs w:val="28"/>
        </w:rPr>
      </w:pPr>
    </w:p>
    <w:p w14:paraId="22E5A723" w14:textId="77777777" w:rsidR="00115F72" w:rsidRPr="00D95C07" w:rsidRDefault="00115F72" w:rsidP="008D5473">
      <w:pPr>
        <w:spacing w:line="276" w:lineRule="auto"/>
        <w:jc w:val="center"/>
        <w:rPr>
          <w:rFonts w:ascii="Verdana" w:hAnsi="Verdana"/>
          <w:b/>
          <w:bCs/>
          <w:sz w:val="28"/>
          <w:szCs w:val="28"/>
        </w:rPr>
      </w:pPr>
    </w:p>
    <w:p w14:paraId="2DFB18DF" w14:textId="77777777" w:rsidR="00115F72" w:rsidRPr="00D95C07" w:rsidRDefault="00115F72" w:rsidP="008D5473">
      <w:pPr>
        <w:spacing w:line="276" w:lineRule="auto"/>
        <w:jc w:val="center"/>
        <w:rPr>
          <w:rFonts w:ascii="Verdana" w:hAnsi="Verdana"/>
          <w:b/>
          <w:bCs/>
          <w:sz w:val="28"/>
          <w:szCs w:val="28"/>
        </w:rPr>
      </w:pPr>
    </w:p>
    <w:p w14:paraId="7DD9D7EA" w14:textId="77777777" w:rsidR="00115F72" w:rsidRDefault="00115F72" w:rsidP="008D5473">
      <w:pPr>
        <w:spacing w:line="276" w:lineRule="auto"/>
        <w:jc w:val="center"/>
        <w:rPr>
          <w:rFonts w:ascii="Verdana" w:hAnsi="Verdana"/>
          <w:b/>
          <w:bCs/>
          <w:sz w:val="28"/>
          <w:szCs w:val="28"/>
        </w:rPr>
      </w:pPr>
    </w:p>
    <w:p w14:paraId="59F4B7A8" w14:textId="77777777" w:rsidR="00D95C07" w:rsidRPr="00D95C07" w:rsidRDefault="00D95C07" w:rsidP="008D5473">
      <w:pPr>
        <w:spacing w:line="276" w:lineRule="auto"/>
        <w:jc w:val="center"/>
        <w:rPr>
          <w:rFonts w:ascii="Verdana" w:hAnsi="Verdana"/>
          <w:b/>
          <w:bCs/>
          <w:sz w:val="28"/>
          <w:szCs w:val="28"/>
        </w:rPr>
      </w:pPr>
    </w:p>
    <w:p w14:paraId="59B9E290" w14:textId="77777777" w:rsidR="00115F72" w:rsidRPr="00D95C07" w:rsidRDefault="00115F72" w:rsidP="008D5473">
      <w:pPr>
        <w:spacing w:line="276" w:lineRule="auto"/>
        <w:jc w:val="center"/>
        <w:rPr>
          <w:rFonts w:ascii="Verdana" w:hAnsi="Verdana"/>
          <w:b/>
          <w:bCs/>
          <w:sz w:val="28"/>
          <w:szCs w:val="28"/>
        </w:rPr>
      </w:pPr>
    </w:p>
    <w:p w14:paraId="60140493" w14:textId="77777777" w:rsidR="00115F72" w:rsidRPr="00D95C07" w:rsidRDefault="00115F72" w:rsidP="008D5473">
      <w:pPr>
        <w:spacing w:line="276" w:lineRule="auto"/>
        <w:jc w:val="center"/>
        <w:rPr>
          <w:rFonts w:ascii="Verdana" w:hAnsi="Verdana"/>
          <w:b/>
          <w:bCs/>
          <w:sz w:val="28"/>
          <w:szCs w:val="28"/>
        </w:rPr>
      </w:pPr>
    </w:p>
    <w:p w14:paraId="0A968EC8" w14:textId="5C492661" w:rsidR="008D5473" w:rsidRPr="00D95C07" w:rsidRDefault="00D95C07" w:rsidP="00144277">
      <w:pPr>
        <w:spacing w:line="276" w:lineRule="auto"/>
        <w:jc w:val="center"/>
        <w:rPr>
          <w:rFonts w:ascii="Verdana" w:hAnsi="Verdana"/>
          <w:b/>
          <w:bCs/>
          <w:sz w:val="28"/>
          <w:szCs w:val="28"/>
        </w:rPr>
      </w:pPr>
      <w:r w:rsidRPr="00D95C07">
        <w:rPr>
          <w:rFonts w:ascii="Verdana" w:hAnsi="Verdana"/>
          <w:b/>
          <w:bCs/>
          <w:sz w:val="28"/>
          <w:szCs w:val="28"/>
        </w:rPr>
        <w:t xml:space="preserve">27 DE JULIO DE </w:t>
      </w:r>
      <w:r w:rsidR="00115F72" w:rsidRPr="00D95C07">
        <w:rPr>
          <w:rFonts w:ascii="Verdana" w:hAnsi="Verdana"/>
          <w:b/>
          <w:bCs/>
          <w:sz w:val="28"/>
          <w:szCs w:val="28"/>
        </w:rPr>
        <w:t>2026</w:t>
      </w:r>
    </w:p>
    <w:p w14:paraId="5D1D4847" w14:textId="77777777" w:rsidR="00D95C07" w:rsidRDefault="00D95C07" w:rsidP="00144277">
      <w:pPr>
        <w:spacing w:line="276" w:lineRule="auto"/>
        <w:jc w:val="center"/>
        <w:rPr>
          <w:rFonts w:ascii="Verdana" w:hAnsi="Verdana"/>
          <w:b/>
          <w:bCs/>
          <w:sz w:val="24"/>
          <w:szCs w:val="24"/>
        </w:rPr>
      </w:pPr>
    </w:p>
    <w:p w14:paraId="290110C9" w14:textId="77777777" w:rsidR="00C33296" w:rsidRPr="00144277" w:rsidRDefault="00C33296" w:rsidP="00144277">
      <w:pPr>
        <w:spacing w:line="276" w:lineRule="auto"/>
        <w:jc w:val="center"/>
        <w:rPr>
          <w:rFonts w:ascii="Verdana" w:hAnsi="Verdana"/>
          <w:b/>
          <w:bCs/>
          <w:sz w:val="24"/>
          <w:szCs w:val="24"/>
        </w:rPr>
      </w:pPr>
    </w:p>
    <w:p w14:paraId="21A98D8A" w14:textId="164BA95F" w:rsidR="00115F72" w:rsidRPr="00035A6A" w:rsidRDefault="00144277" w:rsidP="00035A6A">
      <w:pPr>
        <w:shd w:val="clear" w:color="auto" w:fill="153D63" w:themeFill="text2" w:themeFillTint="E6"/>
        <w:autoSpaceDE w:val="0"/>
        <w:autoSpaceDN w:val="0"/>
        <w:adjustRightInd w:val="0"/>
        <w:spacing w:after="0" w:line="240" w:lineRule="auto"/>
        <w:jc w:val="center"/>
        <w:rPr>
          <w:rFonts w:ascii="Verdana" w:hAnsi="Verdana" w:cs="TimesNewRomanPSMT"/>
          <w:b/>
          <w:bCs/>
          <w:kern w:val="0"/>
          <w:sz w:val="24"/>
          <w:szCs w:val="24"/>
          <w:lang w:val="es-ES"/>
          <w14:ligatures w14:val="none"/>
        </w:rPr>
      </w:pPr>
      <w:r w:rsidRPr="00035A6A">
        <w:rPr>
          <w:rFonts w:ascii="Verdana" w:hAnsi="Verdana" w:cs="TimesNewRomanPSMT"/>
          <w:b/>
          <w:bCs/>
          <w:kern w:val="0"/>
          <w:sz w:val="24"/>
          <w:szCs w:val="24"/>
          <w:lang w:val="es-ES"/>
          <w14:ligatures w14:val="none"/>
        </w:rPr>
        <w:t>INTRODUCCIÓN</w:t>
      </w:r>
    </w:p>
    <w:p w14:paraId="02458A1E" w14:textId="77777777" w:rsidR="00035A6A" w:rsidRDefault="00035A6A" w:rsidP="008D5473">
      <w:pPr>
        <w:spacing w:line="276" w:lineRule="auto"/>
        <w:jc w:val="both"/>
        <w:rPr>
          <w:rFonts w:ascii="Verdana" w:hAnsi="Verdana"/>
        </w:rPr>
      </w:pPr>
    </w:p>
    <w:p w14:paraId="05D8547E" w14:textId="6C61E2C5" w:rsidR="00115F72" w:rsidRPr="008D5473" w:rsidRDefault="00115F72" w:rsidP="008D5473">
      <w:pPr>
        <w:spacing w:line="276" w:lineRule="auto"/>
        <w:jc w:val="both"/>
        <w:rPr>
          <w:rFonts w:ascii="Verdana" w:hAnsi="Verdana"/>
        </w:rPr>
      </w:pPr>
      <w:r w:rsidRPr="008D5473">
        <w:rPr>
          <w:rFonts w:ascii="Verdana" w:hAnsi="Verdana"/>
        </w:rPr>
        <w:t>En las Observaciones Finales formuladas por el Comité de Derechos Humanos de las Naciones Unidas en relación con el Octavo Informe Periódico de Colombia, aprobadas en la 4031ª sesión del Comité, se solicita, de conformidad con el artículo 75, párrafo 1, del Reglamento del Comité, que se brinde información sobre la implementación de las recomendaciones en materia de: (i) lucha contra la impunidad y violaciones de los derechos humanos en el contexto del conflicto armado interno (par.9), (</w:t>
      </w:r>
      <w:proofErr w:type="spellStart"/>
      <w:r w:rsidRPr="008D5473">
        <w:rPr>
          <w:rFonts w:ascii="Verdana" w:hAnsi="Verdana"/>
        </w:rPr>
        <w:t>ii</w:t>
      </w:r>
      <w:proofErr w:type="spellEnd"/>
      <w:r w:rsidRPr="008D5473">
        <w:rPr>
          <w:rFonts w:ascii="Verdana" w:hAnsi="Verdana"/>
        </w:rPr>
        <w:t xml:space="preserve">) eliminación del trabajo forzoso y la trata de personas (par. 25) y libertad de expresión y protección de personas defensoras de derechos humanos (par. 35). </w:t>
      </w:r>
    </w:p>
    <w:p w14:paraId="02816055" w14:textId="596343A4" w:rsidR="00115F72" w:rsidRDefault="00984469" w:rsidP="008D5473">
      <w:pPr>
        <w:spacing w:line="276" w:lineRule="auto"/>
        <w:jc w:val="both"/>
        <w:rPr>
          <w:rFonts w:ascii="Verdana" w:hAnsi="Verdana"/>
        </w:rPr>
      </w:pPr>
      <w:r w:rsidRPr="00984469">
        <w:rPr>
          <w:rFonts w:ascii="Verdana" w:hAnsi="Verdana"/>
        </w:rPr>
        <w:t xml:space="preserve">En atención a dicha solicitud, el presente documento reúne la información recopilada por el Ministerio de Relaciones Exteriores sobre el estado de implementación de las recomendaciones </w:t>
      </w:r>
      <w:r>
        <w:rPr>
          <w:rFonts w:ascii="Verdana" w:hAnsi="Verdana"/>
        </w:rPr>
        <w:t>previamente señaladas</w:t>
      </w:r>
      <w:r w:rsidRPr="00984469">
        <w:rPr>
          <w:rFonts w:ascii="Verdana" w:hAnsi="Verdana"/>
        </w:rPr>
        <w:t>. Para cada una de ellas se presentan las acciones adelantadas por las entidades nacionales competentes, así como los principales avances alcanzados.</w:t>
      </w:r>
    </w:p>
    <w:p w14:paraId="12A85CE0" w14:textId="77777777" w:rsidR="00984469" w:rsidRPr="008D5473" w:rsidRDefault="00984469" w:rsidP="008D5473">
      <w:pPr>
        <w:spacing w:line="276" w:lineRule="auto"/>
        <w:jc w:val="both"/>
        <w:rPr>
          <w:rFonts w:ascii="Verdana" w:hAnsi="Verdana"/>
        </w:rPr>
      </w:pPr>
    </w:p>
    <w:p w14:paraId="6DD2D341" w14:textId="45D31EEA" w:rsidR="00115F72" w:rsidRPr="00035A6A" w:rsidRDefault="00144277" w:rsidP="00035A6A">
      <w:pPr>
        <w:shd w:val="clear" w:color="auto" w:fill="153D63" w:themeFill="text2" w:themeFillTint="E6"/>
        <w:autoSpaceDE w:val="0"/>
        <w:autoSpaceDN w:val="0"/>
        <w:adjustRightInd w:val="0"/>
        <w:spacing w:after="0" w:line="240" w:lineRule="auto"/>
        <w:jc w:val="center"/>
        <w:rPr>
          <w:rFonts w:ascii="Verdana" w:hAnsi="Verdana" w:cs="TimesNewRomanPSMT"/>
          <w:b/>
          <w:bCs/>
          <w:kern w:val="0"/>
          <w:sz w:val="24"/>
          <w:szCs w:val="24"/>
          <w:lang w:val="es-ES"/>
          <w14:ligatures w14:val="none"/>
        </w:rPr>
      </w:pPr>
      <w:r w:rsidRPr="00035A6A">
        <w:rPr>
          <w:rFonts w:ascii="Verdana" w:hAnsi="Verdana" w:cs="TimesNewRomanPSMT"/>
          <w:b/>
          <w:bCs/>
          <w:kern w:val="0"/>
          <w:sz w:val="24"/>
          <w:szCs w:val="24"/>
          <w:lang w:val="es-ES"/>
          <w14:ligatures w14:val="none"/>
        </w:rPr>
        <w:t>LUCHA CONTRA LA IMPUNIDAD Y VIOLACIONES DE LOS DERECHOS HUMANOS EN EL CONTEXTO DEL CONFLICTO ARMADO INTERNO</w:t>
      </w:r>
    </w:p>
    <w:p w14:paraId="5200E331" w14:textId="77777777" w:rsidR="00035A6A" w:rsidRDefault="00035A6A" w:rsidP="008D5473">
      <w:pPr>
        <w:spacing w:line="276" w:lineRule="auto"/>
        <w:jc w:val="both"/>
        <w:rPr>
          <w:rFonts w:ascii="Verdana" w:hAnsi="Verdana"/>
        </w:rPr>
      </w:pPr>
    </w:p>
    <w:p w14:paraId="376CDE90" w14:textId="49A1748B" w:rsidR="00115F72" w:rsidRPr="008D5473" w:rsidRDefault="00115F72" w:rsidP="008D5473">
      <w:pPr>
        <w:spacing w:line="276" w:lineRule="auto"/>
        <w:jc w:val="both"/>
        <w:rPr>
          <w:rFonts w:ascii="Verdana" w:hAnsi="Verdana"/>
        </w:rPr>
      </w:pPr>
      <w:r w:rsidRPr="008D5473">
        <w:rPr>
          <w:rFonts w:ascii="Verdana" w:hAnsi="Verdana"/>
        </w:rPr>
        <w:t>El párrafo 9 de las Observaciones Finales señala sobre el particular:</w:t>
      </w:r>
    </w:p>
    <w:p w14:paraId="2768F976" w14:textId="0EDF74C5" w:rsidR="00115F72" w:rsidRPr="008D5473" w:rsidRDefault="00115F72" w:rsidP="008D5473">
      <w:pPr>
        <w:spacing w:line="276" w:lineRule="auto"/>
        <w:ind w:left="708"/>
        <w:jc w:val="both"/>
        <w:rPr>
          <w:rFonts w:ascii="Verdana" w:hAnsi="Verdana"/>
          <w:i/>
          <w:iCs/>
        </w:rPr>
      </w:pPr>
      <w:r w:rsidRPr="008D5473">
        <w:rPr>
          <w:rFonts w:ascii="Verdana" w:hAnsi="Verdana"/>
          <w:i/>
          <w:iCs/>
        </w:rPr>
        <w:t>9. Teniendo presentes las recomendaciones anteriores del Comité, el Estado parte debe continuar e intensificar sus esfuerzos para prevenir la comisión de violaciones de los derechos consagrados en el Pacto y hacer efectivos los derechos a la verdad, justicia y reparación integral de las víctimas del conflicto armado interno. En particular, debe:</w:t>
      </w:r>
    </w:p>
    <w:p w14:paraId="1F21869B" w14:textId="3493473B" w:rsidR="00115F72" w:rsidRPr="008D5473" w:rsidRDefault="00115F72" w:rsidP="008D5473">
      <w:pPr>
        <w:spacing w:line="276" w:lineRule="auto"/>
        <w:ind w:left="708"/>
        <w:jc w:val="both"/>
        <w:rPr>
          <w:rFonts w:ascii="Verdana" w:hAnsi="Verdana"/>
          <w:i/>
          <w:iCs/>
        </w:rPr>
      </w:pPr>
      <w:r w:rsidRPr="008D5473">
        <w:rPr>
          <w:rFonts w:ascii="Verdana" w:hAnsi="Verdana"/>
          <w:i/>
          <w:iCs/>
        </w:rPr>
        <w:t>a) Redoblar sus esfuerzos para avanzar en la implementación del Acuerdo de Paz del 2016;</w:t>
      </w:r>
    </w:p>
    <w:p w14:paraId="31D758EC" w14:textId="77777777" w:rsidR="00115F72" w:rsidRPr="008D5473" w:rsidRDefault="00115F72" w:rsidP="008D5473">
      <w:pPr>
        <w:spacing w:line="276" w:lineRule="auto"/>
        <w:ind w:left="708"/>
        <w:jc w:val="both"/>
        <w:rPr>
          <w:rFonts w:ascii="Verdana" w:hAnsi="Verdana"/>
          <w:i/>
          <w:iCs/>
        </w:rPr>
      </w:pPr>
      <w:r w:rsidRPr="008D5473">
        <w:rPr>
          <w:rFonts w:ascii="Verdana" w:hAnsi="Verdana"/>
          <w:i/>
          <w:iCs/>
        </w:rPr>
        <w:t>b) Fortalecer la presencia y capacidad de sus autoridades e instituciones civiles en los territorios más afectados por la violencia, incluyendo las autoridades étnico-territoriales, y reforzar la articulación de acciones locales, departamentales y nacionales para responder al conflicto y la violencia;</w:t>
      </w:r>
    </w:p>
    <w:p w14:paraId="03C30472" w14:textId="3D0983EC" w:rsidR="00115F72" w:rsidRPr="008D5473" w:rsidRDefault="00115F72" w:rsidP="008D5473">
      <w:pPr>
        <w:spacing w:line="276" w:lineRule="auto"/>
        <w:ind w:left="708"/>
        <w:jc w:val="both"/>
        <w:rPr>
          <w:rFonts w:ascii="Verdana" w:hAnsi="Verdana"/>
          <w:i/>
          <w:iCs/>
        </w:rPr>
      </w:pPr>
      <w:r w:rsidRPr="008D5473">
        <w:rPr>
          <w:rFonts w:ascii="Verdana" w:hAnsi="Verdana"/>
          <w:i/>
          <w:iCs/>
        </w:rPr>
        <w:lastRenderedPageBreak/>
        <w:t>c) Adoptar todas las medidas necesarias para el adecuado funcionamiento del Comité de Seguimiento de las Recomendaciones e incorporar las recomendaciones de la Comisión en las políticas públicas;</w:t>
      </w:r>
    </w:p>
    <w:p w14:paraId="43A9163F" w14:textId="2CD2F457" w:rsidR="00115F72" w:rsidRPr="008D5473" w:rsidRDefault="00115F72" w:rsidP="008D5473">
      <w:pPr>
        <w:spacing w:line="276" w:lineRule="auto"/>
        <w:ind w:left="708"/>
        <w:jc w:val="both"/>
        <w:rPr>
          <w:rFonts w:ascii="Verdana" w:hAnsi="Verdana"/>
          <w:i/>
          <w:iCs/>
        </w:rPr>
      </w:pPr>
      <w:r w:rsidRPr="008D5473">
        <w:rPr>
          <w:rFonts w:ascii="Verdana" w:hAnsi="Verdana"/>
          <w:i/>
          <w:iCs/>
        </w:rPr>
        <w:t xml:space="preserve">d) Continuar y avanzar en los procesos de investigación ante la </w:t>
      </w:r>
      <w:proofErr w:type="gramStart"/>
      <w:r w:rsidRPr="008D5473">
        <w:rPr>
          <w:rFonts w:ascii="Verdana" w:hAnsi="Verdana"/>
          <w:i/>
          <w:iCs/>
        </w:rPr>
        <w:t>Fiscalía General</w:t>
      </w:r>
      <w:proofErr w:type="gramEnd"/>
      <w:r w:rsidRPr="008D5473">
        <w:rPr>
          <w:rFonts w:ascii="Verdana" w:hAnsi="Verdana"/>
          <w:i/>
          <w:iCs/>
        </w:rPr>
        <w:t xml:space="preserve"> de la Nación y también de la Jurisdicción Especial para la Paz de todas las violaciones de los derechos consagrados en el Pacto para que sean investigadas de manera pronta, exhaustiva e imparcial, y que los autores sean llevados ante la justicia y rindan cuentas de sus actos;</w:t>
      </w:r>
    </w:p>
    <w:p w14:paraId="7BD9D66D" w14:textId="1AB09A08" w:rsidR="00115F72" w:rsidRPr="008D5473" w:rsidRDefault="00115F72" w:rsidP="008D5473">
      <w:pPr>
        <w:spacing w:line="276" w:lineRule="auto"/>
        <w:ind w:left="708"/>
        <w:jc w:val="both"/>
        <w:rPr>
          <w:rFonts w:ascii="Verdana" w:hAnsi="Verdana"/>
          <w:i/>
          <w:iCs/>
        </w:rPr>
      </w:pPr>
      <w:r w:rsidRPr="008D5473">
        <w:rPr>
          <w:rFonts w:ascii="Verdana" w:hAnsi="Verdana"/>
          <w:i/>
          <w:iCs/>
        </w:rPr>
        <w:t>e) Seguir con los procesos de diálogo y/o negociación con los grupos armados no estatales y demás organizaciones a las que se refiere el Acuerdo de Paz para acordar medidas inmediatas tendentes a reducir la violencia y mitigar sus impactos, especialmente en aquellas zonas en las que existen posibilidades de conseguir a corto plazo un vuelco en la situación que permita que se haga efectivo el control del territorio por parte de las instituciones del Estado; y, reforzar los diálogos con la sociedad civil de los territorios más afectados por la violencia y sus estructuras organizativas.</w:t>
      </w:r>
    </w:p>
    <w:p w14:paraId="7E5B9949" w14:textId="7E601CA5" w:rsidR="008D5473" w:rsidRPr="008D5473" w:rsidRDefault="00144277" w:rsidP="008D5473">
      <w:pPr>
        <w:spacing w:line="276" w:lineRule="auto"/>
        <w:jc w:val="both"/>
        <w:rPr>
          <w:rFonts w:ascii="Verdana" w:hAnsi="Verdana"/>
          <w:b/>
          <w:bCs/>
        </w:rPr>
      </w:pPr>
      <w:r w:rsidRPr="008D5473">
        <w:rPr>
          <w:rFonts w:ascii="Verdana" w:hAnsi="Verdana"/>
          <w:b/>
          <w:bCs/>
        </w:rPr>
        <w:t>LITERALES A Y D</w:t>
      </w:r>
    </w:p>
    <w:p w14:paraId="7F78FF99" w14:textId="2D86DB4E" w:rsidR="00144277" w:rsidRPr="00144277" w:rsidRDefault="00144277" w:rsidP="008D5473">
      <w:pPr>
        <w:spacing w:line="276" w:lineRule="auto"/>
        <w:jc w:val="both"/>
        <w:rPr>
          <w:rFonts w:ascii="Verdana" w:hAnsi="Verdana"/>
          <w:b/>
          <w:bCs/>
          <w:u w:val="single"/>
        </w:rPr>
      </w:pPr>
      <w:r w:rsidRPr="00144277">
        <w:rPr>
          <w:rFonts w:ascii="Verdana" w:hAnsi="Verdana"/>
          <w:b/>
          <w:bCs/>
          <w:u w:val="single"/>
        </w:rPr>
        <w:t>Ministerio de Defensa Nacional</w:t>
      </w:r>
    </w:p>
    <w:p w14:paraId="4676F026" w14:textId="53963DC4" w:rsidR="004D3612" w:rsidRPr="008D5473" w:rsidRDefault="00144277" w:rsidP="008D5473">
      <w:pPr>
        <w:spacing w:line="276" w:lineRule="auto"/>
        <w:jc w:val="both"/>
        <w:rPr>
          <w:rFonts w:ascii="Verdana" w:hAnsi="Verdana"/>
        </w:rPr>
      </w:pPr>
      <w:r>
        <w:rPr>
          <w:rFonts w:ascii="Verdana" w:hAnsi="Verdana"/>
        </w:rPr>
        <w:t>De</w:t>
      </w:r>
      <w:r w:rsidR="004D3612" w:rsidRPr="008D5473">
        <w:rPr>
          <w:rFonts w:ascii="Verdana" w:hAnsi="Verdana"/>
        </w:rPr>
        <w:t xml:space="preserve"> acuerdo con el Informe Ejecutivo 2025 del Comando General de las Fuerzas Militares de Rendición de Cuentas, la Jurisdicción Especial para la Paz, al año 2025 comparecen 4.762 miembros de la Fuerza Pública, de los cuales se calcula que por lo menos el 60% pertenece o perteneció al Ejército Nacional, y atendiendo el principio de juez natural acuden a esta Jurisdicción para resolver su situación jurídica por la vía que corresponda tal como lo definió el Acto Legislativo 01 de 2017.</w:t>
      </w:r>
    </w:p>
    <w:p w14:paraId="3EBD33DB" w14:textId="77777777" w:rsidR="004D3612" w:rsidRPr="008D5473" w:rsidRDefault="004D3612" w:rsidP="008D5473">
      <w:pPr>
        <w:spacing w:line="276" w:lineRule="auto"/>
        <w:jc w:val="both"/>
        <w:rPr>
          <w:rFonts w:ascii="Verdana" w:hAnsi="Verdana"/>
        </w:rPr>
      </w:pPr>
      <w:r w:rsidRPr="008D5473">
        <w:rPr>
          <w:rFonts w:ascii="Verdana" w:hAnsi="Verdana"/>
        </w:rPr>
        <w:t xml:space="preserve">Gracias a la gestión del Ejército Nacional desde el año 2016 a la fecha y el desarrollo del principio de cooperación institucional con la Jurisdicción Especial para la Paz, apelando a la aplicación del trato simétrico, equitativo, equilibrado y diferenciado, se ha logrado la concesión de 2.188 tratamientos penales especiales para miembros y ex miembros del Ejército Nacional privados de su libertad. Cada compareciente determina de manera individual la ruta a la cual accede en la Jurisdicción Especial para la Paz, con absoluta independencia y seguramente con la visión de resolver de manera definitiva su situación jurídica. </w:t>
      </w:r>
    </w:p>
    <w:p w14:paraId="7F98B3A5" w14:textId="7B7B3C5C" w:rsidR="004D3612" w:rsidRPr="008D5473" w:rsidRDefault="004D3612" w:rsidP="008D5473">
      <w:pPr>
        <w:spacing w:line="276" w:lineRule="auto"/>
        <w:jc w:val="both"/>
        <w:rPr>
          <w:rFonts w:ascii="Verdana" w:hAnsi="Verdana"/>
        </w:rPr>
      </w:pPr>
      <w:r w:rsidRPr="008D5473">
        <w:rPr>
          <w:rFonts w:ascii="Verdana" w:hAnsi="Verdana"/>
        </w:rPr>
        <w:t xml:space="preserve">En cuanto a la resolución de requerimientos, se han resuelto desde el Acuerdo Final a la fecha alrededor de 5.500 requerimientos de las Salas, Secciones y Unidad de Investigación y Acusación de la Jurisdicción Especial para la Paz, </w:t>
      </w:r>
      <w:r w:rsidRPr="008D5473">
        <w:rPr>
          <w:rFonts w:ascii="Verdana" w:hAnsi="Verdana"/>
        </w:rPr>
        <w:lastRenderedPageBreak/>
        <w:t>dirigidas a la instrucción de los macro casos y a la definición de situación jurídica de los miembros exmiembros del Ejército Nacional que comparecen ante esa Jurisdicción.</w:t>
      </w:r>
    </w:p>
    <w:p w14:paraId="2A303D06" w14:textId="3802672C" w:rsidR="00144277" w:rsidRDefault="008D5473" w:rsidP="008D5473">
      <w:pPr>
        <w:spacing w:line="276" w:lineRule="auto"/>
        <w:jc w:val="both"/>
        <w:rPr>
          <w:rFonts w:ascii="Verdana" w:hAnsi="Verdana"/>
        </w:rPr>
      </w:pPr>
      <w:r w:rsidRPr="00144277">
        <w:rPr>
          <w:rFonts w:ascii="Verdana" w:hAnsi="Verdana"/>
          <w:b/>
          <w:bCs/>
          <w:u w:val="single"/>
        </w:rPr>
        <w:t>Fiscalía General de la Nación</w:t>
      </w:r>
    </w:p>
    <w:p w14:paraId="70CE96B5" w14:textId="5458082E" w:rsidR="004D3612" w:rsidRPr="008D5473" w:rsidRDefault="00144277" w:rsidP="008D5473">
      <w:pPr>
        <w:spacing w:line="276" w:lineRule="auto"/>
        <w:jc w:val="both"/>
        <w:rPr>
          <w:rFonts w:ascii="Verdana" w:hAnsi="Verdana"/>
        </w:rPr>
      </w:pPr>
      <w:r>
        <w:rPr>
          <w:rFonts w:ascii="Verdana" w:hAnsi="Verdana"/>
        </w:rPr>
        <w:t>En</w:t>
      </w:r>
      <w:r w:rsidR="008D5473" w:rsidRPr="008D5473">
        <w:rPr>
          <w:rFonts w:ascii="Verdana" w:hAnsi="Verdana"/>
        </w:rPr>
        <w:t xml:space="preserve"> virtud del desarrollo legal y jurisprudencia el Estado colombiano, la </w:t>
      </w:r>
      <w:proofErr w:type="gramStart"/>
      <w:r w:rsidR="008D5473" w:rsidRPr="008D5473">
        <w:rPr>
          <w:rFonts w:ascii="Verdana" w:hAnsi="Verdana"/>
        </w:rPr>
        <w:t>Fiscalía General</w:t>
      </w:r>
      <w:proofErr w:type="gramEnd"/>
      <w:r w:rsidR="008D5473" w:rsidRPr="008D5473">
        <w:rPr>
          <w:rFonts w:ascii="Verdana" w:hAnsi="Verdana"/>
        </w:rPr>
        <w:t xml:space="preserve"> de la Nación - FGN, como titular de la acción penal, debe adelantar las investigaciones de aquellas conductas que constituyan delitos que puedan configurar graves violaciones a los Derechos Humanos e infracciones al DIH. Para estos casos, se ha adoptado un modelo de investigación en contexto, en la que se busca la asociación de casos a partir de patrones criminales, construyendo contextos que permiten comprender la estructura y funcionamiento de la organización criminal sumando la metodología de las ciencias sociales y las ciencias exactas, con el fin de entender el fenómeno criminal nacional, regional o local en diferentes temporalidades. Es así como la Dirección de Apoyo a la Investigación y Análisis contra la Criminalidad Organizada, realiza apoyos desde los informes de análisis con vocación probatoria, para las investigaciones en contexto.</w:t>
      </w:r>
    </w:p>
    <w:p w14:paraId="296CC7A6" w14:textId="07BFE500" w:rsidR="008D5473" w:rsidRPr="008D5473" w:rsidRDefault="008D5473" w:rsidP="008D5473">
      <w:pPr>
        <w:spacing w:line="276" w:lineRule="auto"/>
        <w:jc w:val="both"/>
        <w:rPr>
          <w:rFonts w:ascii="Verdana" w:hAnsi="Verdana"/>
        </w:rPr>
      </w:pPr>
      <w:r w:rsidRPr="008D5473">
        <w:rPr>
          <w:rFonts w:ascii="Verdana" w:hAnsi="Verdana"/>
        </w:rPr>
        <w:t>Frente a los crímenes cometidos en el marco del conflicto armado con anterioridad al año 2016, la competencia prevalente es de la Jurisdicción Especial para la Paz. En ese sentido, las investigaciones por tortura, desaparición forzada y ejecuciones extrajudiciales donde se ha establecido que el sujeto activo es integrante de las extintas FARC o miembro de la Fuerza Pública, en virtud del Acuerdo de Paz, la competencia de la FGN es limitada, porque tienen la calidad de comparecientes forzosos ante la JEP.</w:t>
      </w:r>
    </w:p>
    <w:p w14:paraId="370B4979" w14:textId="452FA4C0" w:rsidR="008D5473" w:rsidRPr="008D5473" w:rsidRDefault="008D5473" w:rsidP="008D5473">
      <w:pPr>
        <w:spacing w:line="276" w:lineRule="auto"/>
        <w:jc w:val="both"/>
        <w:rPr>
          <w:rFonts w:ascii="Verdana" w:hAnsi="Verdana"/>
          <w:i/>
          <w:iCs/>
        </w:rPr>
      </w:pPr>
      <w:r w:rsidRPr="008D5473">
        <w:rPr>
          <w:rFonts w:ascii="Verdana" w:hAnsi="Verdana"/>
        </w:rPr>
        <w:t xml:space="preserve">Al respecto, la FGN ha emitido la Directiva No. 0005 del 26 de junio de 2023 </w:t>
      </w:r>
      <w:r w:rsidRPr="008D5473">
        <w:rPr>
          <w:rFonts w:ascii="Verdana" w:hAnsi="Verdana"/>
          <w:i/>
          <w:iCs/>
        </w:rPr>
        <w:t xml:space="preserve">“por medio de la cual se unifican los lineamientos respecto de la investigación y judicialización por parte de la </w:t>
      </w:r>
      <w:proofErr w:type="gramStart"/>
      <w:r w:rsidRPr="008D5473">
        <w:rPr>
          <w:rFonts w:ascii="Verdana" w:hAnsi="Verdana"/>
          <w:i/>
          <w:iCs/>
        </w:rPr>
        <w:t>Fiscalía General</w:t>
      </w:r>
      <w:proofErr w:type="gramEnd"/>
      <w:r w:rsidRPr="008D5473">
        <w:rPr>
          <w:rFonts w:ascii="Verdana" w:hAnsi="Verdana"/>
          <w:i/>
          <w:iCs/>
        </w:rPr>
        <w:t xml:space="preserve"> de la Nación en los casos relacionados con el conflicto armado, de cara a los criterios de competencia de la Jurisdicción Especial para la Paz”.</w:t>
      </w:r>
    </w:p>
    <w:p w14:paraId="2A212EE7" w14:textId="664CE53C" w:rsidR="008D5473" w:rsidRPr="008D5473" w:rsidRDefault="008D5473" w:rsidP="008D5473">
      <w:pPr>
        <w:spacing w:line="276" w:lineRule="auto"/>
        <w:jc w:val="both"/>
        <w:rPr>
          <w:rFonts w:ascii="Verdana" w:hAnsi="Verdana"/>
        </w:rPr>
      </w:pPr>
      <w:r w:rsidRPr="008D5473">
        <w:rPr>
          <w:rFonts w:ascii="Verdana" w:hAnsi="Verdana"/>
        </w:rPr>
        <w:t>La Dirección Especializada contra las Violaciones a los Derechos Humanos - DECVDH tiene a cargo las investigaciones relacionadas con el conflicto armado y mediante Resolución 00014 de 2025, se fijaron los criterios para el conocimiento de investigaciones por parte de la mencionada Dirección.</w:t>
      </w:r>
    </w:p>
    <w:p w14:paraId="1CDC42DE" w14:textId="2FE568D5" w:rsidR="008D5473" w:rsidRDefault="008D5473" w:rsidP="008D5473">
      <w:pPr>
        <w:spacing w:line="276" w:lineRule="auto"/>
        <w:jc w:val="both"/>
        <w:rPr>
          <w:rFonts w:ascii="Verdana" w:hAnsi="Verdana"/>
        </w:rPr>
      </w:pPr>
      <w:r w:rsidRPr="008D5473">
        <w:rPr>
          <w:rFonts w:ascii="Verdana" w:hAnsi="Verdana"/>
        </w:rPr>
        <w:t xml:space="preserve">Dado lo anterior, dentro de la DECVDH se han creado diferentes grupos de trabajo de ejes temáticos especializados con un énfasis importante en la investigación de delitos que puedan configurar violación de derechos humanos, así como infracciones al DIH. Dentro de los distintos ejes temáticos se encuentran: el Grupo de Trabajo contra el Desplazamiento Forzado y la </w:t>
      </w:r>
      <w:r w:rsidRPr="008D5473">
        <w:rPr>
          <w:rFonts w:ascii="Verdana" w:hAnsi="Verdana"/>
        </w:rPr>
        <w:lastRenderedPageBreak/>
        <w:t>desaparición forzada, Grupo de Trabajo contra el Reclutamiento Ilícito, Grupo de Tareas especiales para la investigación y judicialización de la violencia sexual en el marco del conflicto armado, entre otros. Estos grupos de trabajo por la naturaleza de las investigaciones asignadas deben imputar cuando se demuestra que la conducta delictiva tiene relación dirección con el conflicto armado, aquellos tipos penales consagrados en el Título II del código penal colombiano, relacionados con los delitos contra personas y bienes protegidos por el DIH.</w:t>
      </w:r>
      <w:r w:rsidRPr="008D5473">
        <w:rPr>
          <w:rStyle w:val="FootnoteReference"/>
          <w:rFonts w:ascii="Verdana" w:hAnsi="Verdana"/>
        </w:rPr>
        <w:footnoteReference w:id="1"/>
      </w:r>
    </w:p>
    <w:p w14:paraId="1A478685" w14:textId="77777777" w:rsidR="00144277" w:rsidRDefault="008D5473" w:rsidP="008D5473">
      <w:pPr>
        <w:spacing w:line="276" w:lineRule="auto"/>
        <w:jc w:val="both"/>
        <w:rPr>
          <w:rFonts w:ascii="Verdana" w:hAnsi="Verdana"/>
          <w:b/>
          <w:bCs/>
          <w:u w:val="single"/>
        </w:rPr>
      </w:pPr>
      <w:r w:rsidRPr="00144277">
        <w:rPr>
          <w:rFonts w:ascii="Verdana" w:hAnsi="Verdana"/>
          <w:b/>
          <w:bCs/>
          <w:u w:val="single"/>
        </w:rPr>
        <w:t>Jurisdicción Especial para la Paz</w:t>
      </w:r>
    </w:p>
    <w:p w14:paraId="52B6F3CE" w14:textId="1FF0FA12" w:rsidR="008D5473" w:rsidRPr="00144277" w:rsidRDefault="00144277" w:rsidP="008D5473">
      <w:pPr>
        <w:spacing w:line="276" w:lineRule="auto"/>
        <w:jc w:val="both"/>
        <w:rPr>
          <w:rFonts w:ascii="Verdana" w:hAnsi="Verdana"/>
        </w:rPr>
      </w:pPr>
      <w:r w:rsidRPr="00144277">
        <w:rPr>
          <w:rFonts w:ascii="Verdana" w:hAnsi="Verdana"/>
        </w:rPr>
        <w:t>La Jurisdicción Especial para la Paz s</w:t>
      </w:r>
      <w:r>
        <w:rPr>
          <w:rFonts w:ascii="Verdana" w:hAnsi="Verdana"/>
        </w:rPr>
        <w:t xml:space="preserve">e </w:t>
      </w:r>
      <w:r w:rsidRPr="00144277">
        <w:rPr>
          <w:rFonts w:ascii="Verdana" w:hAnsi="Verdana"/>
        </w:rPr>
        <w:t>ha referido concretamente al Literal D y</w:t>
      </w:r>
      <w:r w:rsidR="008D5473" w:rsidRPr="00144277">
        <w:rPr>
          <w:rFonts w:ascii="Verdana" w:hAnsi="Verdana"/>
        </w:rPr>
        <w:t xml:space="preserve"> ha </w:t>
      </w:r>
      <w:r w:rsidRPr="00144277">
        <w:rPr>
          <w:rFonts w:ascii="Verdana" w:hAnsi="Verdana"/>
        </w:rPr>
        <w:t xml:space="preserve">presentado los avances de cada una de las Salas en los siguientes términos: </w:t>
      </w:r>
    </w:p>
    <w:p w14:paraId="19E117CE" w14:textId="7D8B236E" w:rsidR="00144277" w:rsidRPr="00144277" w:rsidRDefault="00144277" w:rsidP="00144277">
      <w:pPr>
        <w:pStyle w:val="ListParagraph"/>
        <w:numPr>
          <w:ilvl w:val="0"/>
          <w:numId w:val="2"/>
        </w:numPr>
        <w:spacing w:line="276" w:lineRule="auto"/>
        <w:jc w:val="both"/>
        <w:rPr>
          <w:rFonts w:ascii="Verdana" w:hAnsi="Verdana"/>
        </w:rPr>
      </w:pPr>
      <w:r w:rsidRPr="00144277">
        <w:rPr>
          <w:rFonts w:ascii="Verdana" w:hAnsi="Verdana"/>
        </w:rPr>
        <w:t xml:space="preserve">Avances en la Sala de Reconocimiento de Verdad, de Responsabilidad y de Determinación de los Hechos y Conductas -SRVR- </w:t>
      </w:r>
    </w:p>
    <w:p w14:paraId="6B5AFADF" w14:textId="77777777" w:rsidR="00144277" w:rsidRPr="00144277" w:rsidRDefault="00144277" w:rsidP="00144277">
      <w:pPr>
        <w:spacing w:line="276" w:lineRule="auto"/>
        <w:jc w:val="both"/>
        <w:rPr>
          <w:rFonts w:ascii="Verdana" w:hAnsi="Verdana"/>
          <w:i/>
          <w:iCs/>
        </w:rPr>
      </w:pPr>
      <w:r w:rsidRPr="00144277">
        <w:rPr>
          <w:rFonts w:ascii="Verdana" w:hAnsi="Verdana"/>
          <w:i/>
          <w:iCs/>
        </w:rPr>
        <w:t xml:space="preserve">Caso 01 “Toma de rehenes, graves privaciones de la libertad y otros crímenes concurrentes cometidos por las FARC-EP” </w:t>
      </w:r>
    </w:p>
    <w:p w14:paraId="337409DF" w14:textId="77777777" w:rsidR="00144277" w:rsidRPr="00144277" w:rsidRDefault="00144277" w:rsidP="00144277">
      <w:pPr>
        <w:spacing w:line="276" w:lineRule="auto"/>
        <w:jc w:val="both"/>
        <w:rPr>
          <w:rFonts w:ascii="Verdana" w:hAnsi="Verdana"/>
        </w:rPr>
      </w:pPr>
      <w:r w:rsidRPr="00144277">
        <w:rPr>
          <w:rFonts w:ascii="Verdana" w:hAnsi="Verdana"/>
        </w:rPr>
        <w:t xml:space="preserve">El caso 01 ha avanzado en la investigación, contrastación y determinación de hechos y conductas no amnistiables atribuibles a antiguos integrantes de las FARC-EP. En particular, la </w:t>
      </w:r>
      <w:proofErr w:type="spellStart"/>
      <w:r w:rsidRPr="00144277">
        <w:rPr>
          <w:rFonts w:ascii="Verdana" w:hAnsi="Verdana"/>
        </w:rPr>
        <w:t>Subsala</w:t>
      </w:r>
      <w:proofErr w:type="spellEnd"/>
      <w:r w:rsidRPr="00144277">
        <w:rPr>
          <w:rFonts w:ascii="Verdana" w:hAnsi="Verdana"/>
        </w:rPr>
        <w:t xml:space="preserve"> A ha proferido siete autos de determinación de hechos y conductas correspondientes a las diversas estructuras de las extintas FARC-EP. Estas decisiones recogen los resultados del ejercicio de contrastación de informes, versiones voluntarias y observaciones de las víctimas, y determina</w:t>
      </w:r>
      <w:r>
        <w:rPr>
          <w:rFonts w:ascii="Verdana" w:hAnsi="Verdana"/>
        </w:rPr>
        <w:t xml:space="preserve"> </w:t>
      </w:r>
      <w:r w:rsidRPr="00144277">
        <w:rPr>
          <w:rFonts w:ascii="Verdana" w:hAnsi="Verdana"/>
        </w:rPr>
        <w:t xml:space="preserve">hechos y conductas relacionadas con toma de rehenes, graves privaciones de la libertad y otros crímenes concurrentes en el marco del conflicto armado. Asimismo, las providencias individualizan a los máximos responsables y les otorgan la oportunidad procesal de aportar verdad y reconocer responsabilidad, en los términos previstos por las leyes 1957 de 2019 y 1922 de 2018. </w:t>
      </w:r>
    </w:p>
    <w:p w14:paraId="05AB8968" w14:textId="77777777" w:rsidR="00144277" w:rsidRPr="00144277" w:rsidRDefault="00144277" w:rsidP="00144277">
      <w:pPr>
        <w:spacing w:line="276" w:lineRule="auto"/>
        <w:jc w:val="both"/>
        <w:rPr>
          <w:rFonts w:ascii="Verdana" w:hAnsi="Verdana"/>
        </w:rPr>
      </w:pPr>
      <w:r w:rsidRPr="00144277">
        <w:rPr>
          <w:rFonts w:ascii="Verdana" w:hAnsi="Verdana"/>
        </w:rPr>
        <w:t xml:space="preserve">Asimismo, en el Auto No. 19 de 2021, la SRVR determinó la ocurrencia de hechos agrupados en tres patrones: privaciones de la libertad con fines de financiación de la organización armada, privaciones de la libertad para forzar el intercambio por guerrilleros presos y privaciones de la libertad asociadas al control territorial. En decisiones posteriores, la </w:t>
      </w:r>
      <w:proofErr w:type="spellStart"/>
      <w:r w:rsidRPr="00144277">
        <w:rPr>
          <w:rFonts w:ascii="Verdana" w:hAnsi="Verdana"/>
        </w:rPr>
        <w:t>Subsala</w:t>
      </w:r>
      <w:proofErr w:type="spellEnd"/>
      <w:r w:rsidRPr="00144277">
        <w:rPr>
          <w:rFonts w:ascii="Verdana" w:hAnsi="Verdana"/>
        </w:rPr>
        <w:t xml:space="preserve"> A ha continuado con la determinación territorial de hechos y conductas respecto de antiguos bloques como se mencionó anteriormente </w:t>
      </w:r>
    </w:p>
    <w:p w14:paraId="63FBBD3D" w14:textId="20C302A5" w:rsidR="00144277" w:rsidRDefault="00144277" w:rsidP="00144277">
      <w:pPr>
        <w:spacing w:line="276" w:lineRule="auto"/>
        <w:jc w:val="both"/>
        <w:rPr>
          <w:rFonts w:ascii="Verdana" w:hAnsi="Verdana"/>
          <w:i/>
          <w:iCs/>
        </w:rPr>
      </w:pPr>
      <w:r w:rsidRPr="00144277">
        <w:rPr>
          <w:rFonts w:ascii="Verdana" w:hAnsi="Verdana"/>
          <w:i/>
          <w:iCs/>
        </w:rPr>
        <w:lastRenderedPageBreak/>
        <w:t>Caso 03 “Asesinatos y desapariciones forzadas presentados como bajas en combate por agentes del Estado.”</w:t>
      </w:r>
    </w:p>
    <w:p w14:paraId="5979FD1E" w14:textId="61D56A66" w:rsidR="00144277" w:rsidRDefault="00144277" w:rsidP="00144277">
      <w:pPr>
        <w:spacing w:line="276" w:lineRule="auto"/>
        <w:jc w:val="both"/>
        <w:rPr>
          <w:rFonts w:ascii="Verdana" w:hAnsi="Verdana"/>
          <w:i/>
          <w:iCs/>
        </w:rPr>
      </w:pPr>
      <w:proofErr w:type="spellStart"/>
      <w:r>
        <w:rPr>
          <w:rFonts w:ascii="Verdana" w:hAnsi="Verdana"/>
          <w:i/>
          <w:iCs/>
        </w:rPr>
        <w:t>Subcaso</w:t>
      </w:r>
      <w:proofErr w:type="spellEnd"/>
      <w:r>
        <w:rPr>
          <w:rFonts w:ascii="Verdana" w:hAnsi="Verdana"/>
          <w:i/>
          <w:iCs/>
        </w:rPr>
        <w:t xml:space="preserve"> Antioquia</w:t>
      </w:r>
    </w:p>
    <w:p w14:paraId="3A5585E3" w14:textId="3F95131E" w:rsidR="00144277" w:rsidRDefault="00144277" w:rsidP="00144277">
      <w:pPr>
        <w:spacing w:line="276" w:lineRule="auto"/>
        <w:jc w:val="both"/>
        <w:rPr>
          <w:rFonts w:ascii="Verdana" w:hAnsi="Verdana"/>
        </w:rPr>
      </w:pPr>
      <w:r w:rsidRPr="00144277">
        <w:rPr>
          <w:rFonts w:ascii="Verdana" w:hAnsi="Verdana"/>
        </w:rPr>
        <w:t>La SRVR determinó en el Auto 033 que el departamento de Antioquia concentró el 25,19% de todas las muertes ilegítimamente presentadas como bajas en combate (en adelante MIPCBC) en el territorio nacional. Esto quiere decir que, en comparación con las muertes registradas en los otros departamentos del país, Antioquia acumuló el mayor número de MIPCBC. La SRVR, además, pudo establecer que al inicio del periodo la participación de Antioquia en el total nacional estuvo por encima del promedio general. En 2002, Antioquia acumuló el 31,07% del total de los hechos; en 2003, el 25,41% y en 2004, el 34,51%. También se determinó que, en comparación con las cifras globales registradas en Antioquia, las muertes ilegítimamente presentadas como bajas en combate en dicho departamento registraron su pico en el periodo 2004-2008.</w:t>
      </w:r>
    </w:p>
    <w:p w14:paraId="5E63A24E" w14:textId="77777777" w:rsidR="00144277" w:rsidRPr="00144277" w:rsidRDefault="00144277" w:rsidP="00144277">
      <w:pPr>
        <w:spacing w:line="276" w:lineRule="auto"/>
        <w:jc w:val="both"/>
        <w:rPr>
          <w:rFonts w:ascii="Verdana" w:hAnsi="Verdana"/>
        </w:rPr>
      </w:pPr>
      <w:r w:rsidRPr="00144277">
        <w:rPr>
          <w:rFonts w:ascii="Verdana" w:hAnsi="Verdana"/>
        </w:rPr>
        <w:t xml:space="preserve">Asimismo, la SRVR estableció que durante los años 2002 al 2008 se registraron 1.613 víctimas en Antioquia y que esta práctica de los asesinatos presentados por agentes del Estado como falsas bajas en combate se distribuyó a lo largo y ancho de todo el departamento. En la región del oriente se concentró el 31% de las víctimas, en el norte el 14% y nordeste el 6%, en el Valle de Aburrá el 22%, en el suroeste el 6% y en el occidente el 7%. </w:t>
      </w:r>
    </w:p>
    <w:p w14:paraId="7B0CB085" w14:textId="77777777" w:rsidR="00144277" w:rsidRPr="00144277" w:rsidRDefault="00144277" w:rsidP="00144277">
      <w:pPr>
        <w:spacing w:line="276" w:lineRule="auto"/>
        <w:jc w:val="both"/>
        <w:rPr>
          <w:rFonts w:ascii="Verdana" w:hAnsi="Verdana"/>
        </w:rPr>
      </w:pPr>
      <w:r w:rsidRPr="00144277">
        <w:rPr>
          <w:rFonts w:ascii="Verdana" w:hAnsi="Verdana"/>
        </w:rPr>
        <w:t xml:space="preserve">Posteriormente y tras hacer el </w:t>
      </w:r>
      <w:proofErr w:type="gramStart"/>
      <w:r w:rsidRPr="00144277">
        <w:rPr>
          <w:rFonts w:ascii="Verdana" w:hAnsi="Verdana"/>
        </w:rPr>
        <w:t>zoom</w:t>
      </w:r>
      <w:proofErr w:type="gramEnd"/>
      <w:r w:rsidRPr="00144277">
        <w:rPr>
          <w:rFonts w:ascii="Verdana" w:hAnsi="Verdana"/>
        </w:rPr>
        <w:t xml:space="preserve"> cualitativo en Antioquia, la SRVR encontró que en este departamento </w:t>
      </w:r>
      <w:r w:rsidRPr="00144277">
        <w:rPr>
          <w:rFonts w:ascii="Verdana" w:hAnsi="Verdana"/>
          <w:i/>
          <w:iCs/>
        </w:rPr>
        <w:t>“la IV Brigada podría ser la responsable del 73% de las muertes identificadas en el departamento entre los años 2000 y 2013. En el periodo 2002- 2007 se concentran los mayores niveles de victimización y en los años 2003, 2004 y 2005 se observa una mayor participación de la unidad militar en el total de víctimas identificadas en el departamento”</w:t>
      </w:r>
      <w:r w:rsidRPr="00144277">
        <w:rPr>
          <w:rFonts w:ascii="Verdana" w:hAnsi="Verdana"/>
        </w:rPr>
        <w:t>; identificando, además, al interior de esa Brigada seis unidades vinculadas en el mayor número de casos: Batallón de Artillería No. 4, “Coronel Jorge Eduardo Sánchez”; Grupo de Caballería Mecanizado No. 4 "Juan del Corral"; la Agrupación de Fuerzas Especiales Urbanas No. 5, el Batallón de Infantería No. 32 "General Pedro Justo Berrío"; el Batallón de Infantería No. 10 "Coronel Atanasio Girardot"; y el Batallón de Ingenieros de</w:t>
      </w:r>
      <w:r>
        <w:rPr>
          <w:rFonts w:ascii="Verdana" w:hAnsi="Verdana"/>
        </w:rPr>
        <w:t xml:space="preserve"> </w:t>
      </w:r>
      <w:r w:rsidRPr="00144277">
        <w:rPr>
          <w:rFonts w:ascii="Verdana" w:hAnsi="Verdana"/>
        </w:rPr>
        <w:t xml:space="preserve">Combate No. 4 "General Pedro Nel Ospina" . </w:t>
      </w:r>
    </w:p>
    <w:p w14:paraId="2B42CB37" w14:textId="30DCD0BC" w:rsidR="00144277" w:rsidRDefault="00144277" w:rsidP="00144277">
      <w:pPr>
        <w:spacing w:line="276" w:lineRule="auto"/>
        <w:jc w:val="both"/>
        <w:rPr>
          <w:rFonts w:ascii="Verdana" w:hAnsi="Verdana"/>
        </w:rPr>
      </w:pPr>
      <w:r w:rsidRPr="00144277">
        <w:rPr>
          <w:rFonts w:ascii="Verdana" w:hAnsi="Verdana"/>
        </w:rPr>
        <w:t xml:space="preserve">Además, tomando en cuenta la magnitud del fenómeno </w:t>
      </w:r>
      <w:proofErr w:type="spellStart"/>
      <w:r w:rsidRPr="00144277">
        <w:rPr>
          <w:rFonts w:ascii="Verdana" w:hAnsi="Verdana"/>
        </w:rPr>
        <w:t>macrocriminal</w:t>
      </w:r>
      <w:proofErr w:type="spellEnd"/>
      <w:r w:rsidRPr="00144277">
        <w:rPr>
          <w:rFonts w:ascii="Verdana" w:hAnsi="Verdana"/>
        </w:rPr>
        <w:t xml:space="preserve"> en el departamento de Antioquia, la SRVR tomó la determinación de ampliar el marco temporal de la investigación, lo cual trajo como consecuencia la necesidad de dividir la instrucción del </w:t>
      </w:r>
      <w:proofErr w:type="spellStart"/>
      <w:r w:rsidRPr="00144277">
        <w:rPr>
          <w:rFonts w:ascii="Verdana" w:hAnsi="Verdana"/>
        </w:rPr>
        <w:t>Subcaso</w:t>
      </w:r>
      <w:proofErr w:type="spellEnd"/>
      <w:r w:rsidRPr="00144277">
        <w:rPr>
          <w:rFonts w:ascii="Verdana" w:hAnsi="Verdana"/>
        </w:rPr>
        <w:t xml:space="preserve"> en dos períodos, con el fin de facilitar el análisis y entendimiento del fenómeno presentado en dicho departamento. El primer periodo se estableció entonces del 2002 al 2003 dentro de la comandancia del </w:t>
      </w:r>
      <w:r w:rsidRPr="00144277">
        <w:rPr>
          <w:rFonts w:ascii="Verdana" w:hAnsi="Verdana"/>
        </w:rPr>
        <w:lastRenderedPageBreak/>
        <w:t>general Mario Montoya Uribe (Antioquia I) y el segundo, del 2004 al 2008, correspondiente a las sucesivas comandancias del general Óscar Enrique González Peña (2003-2005), Luis Roberto Pico Hernández (2005-2006) y Jorge Rodríguez Clavijo (2006-2007) (Antioquia II).</w:t>
      </w:r>
    </w:p>
    <w:p w14:paraId="325999D5" w14:textId="12820DBA" w:rsidR="00144277" w:rsidRDefault="00144277" w:rsidP="00144277">
      <w:pPr>
        <w:spacing w:line="276" w:lineRule="auto"/>
        <w:jc w:val="both"/>
        <w:rPr>
          <w:rFonts w:ascii="Verdana" w:hAnsi="Verdana"/>
        </w:rPr>
      </w:pPr>
      <w:r w:rsidRPr="00144277">
        <w:rPr>
          <w:rFonts w:ascii="Verdana" w:hAnsi="Verdana"/>
        </w:rPr>
        <w:t xml:space="preserve">Gracias a esta división metodológica de la investigación la SRVR, a través del Auto SUBD-SUBCASO ANTIOQUIA-062 del 30 de agosto de 2023, determinó los hechos y conductas ocurridos en el Oriente Antioqueño durante los años 2002 y 2003, atribuibles a miembros de la IV Brigada adscrita a la I División del Ejército Nacional y al Batallón de Artillería No. 4, </w:t>
      </w:r>
      <w:proofErr w:type="gramStart"/>
      <w:r w:rsidRPr="00144277">
        <w:rPr>
          <w:rFonts w:ascii="Verdana" w:hAnsi="Verdana"/>
        </w:rPr>
        <w:t>Coronel</w:t>
      </w:r>
      <w:proofErr w:type="gramEnd"/>
      <w:r w:rsidRPr="00144277">
        <w:rPr>
          <w:rFonts w:ascii="Verdana" w:hAnsi="Verdana"/>
        </w:rPr>
        <w:t xml:space="preserve"> Jorge Eduardo Sánchez BAJES (Antioquia I). En dicho auto se determinó la ocurrencia del patrón </w:t>
      </w:r>
      <w:proofErr w:type="spellStart"/>
      <w:r w:rsidRPr="00144277">
        <w:rPr>
          <w:rFonts w:ascii="Verdana" w:hAnsi="Verdana"/>
        </w:rPr>
        <w:t>macrocriminal</w:t>
      </w:r>
      <w:proofErr w:type="spellEnd"/>
      <w:r w:rsidRPr="00144277">
        <w:rPr>
          <w:rFonts w:ascii="Verdana" w:hAnsi="Verdana"/>
        </w:rPr>
        <w:t xml:space="preserve"> de asesinatos y desapariciones forzadas de personas para ser presentadas ilegítimamente como bajas en combate en el Oriente antioqueño durante los años 2002 y 2003. La SRVR les imputó responsabilidad penal a nueve miembros de la IV Brigada y del Batallón seleccionados como máximos responsables por crímenes de guerra y crímenes de lesa humanidad en 147 víctimas. Siete de los nueve máximos responsables imputados reconocieron su responsabilidad en sendos escritos remitidos a la Sala durante el término establecido para ello.</w:t>
      </w:r>
    </w:p>
    <w:p w14:paraId="6A62E6F0" w14:textId="039DD49E" w:rsidR="00144277" w:rsidRDefault="00144277" w:rsidP="00144277">
      <w:pPr>
        <w:spacing w:line="276" w:lineRule="auto"/>
        <w:jc w:val="both"/>
        <w:rPr>
          <w:rFonts w:ascii="Verdana" w:hAnsi="Verdana"/>
        </w:rPr>
      </w:pPr>
      <w:r w:rsidRPr="00144277">
        <w:rPr>
          <w:rFonts w:ascii="Verdana" w:hAnsi="Verdana"/>
        </w:rPr>
        <w:t>Ante su no reconocimiento de responsabilidad y teniendo en cuenta la solidez de la evidencia, el 6 de mayo de 2024 la SRVR, mediante Auto SUBD-SUBCASO ANTIOQUIA-025, el caso del coronel Iván Darío Pineda Recuero fue remitido a la Unidad de Investigación y Acusación (UIA). El general Mario Montoya Uribe tampoco reconoció responsabilidad por los hechos imputados en el Auto SUBD-SUBCASO ANTIOQUIA-062. Luego de que se resolviera el recurso de apelación propuesto, el 13 de diciembre de 2024 la SRVR, mediante Auto SUBD-SUBCASO ANTIOQUIA-094, remitió el caso del General Mario Montoya Uribe a la Unidad de Investigación y Acusación (UIA).</w:t>
      </w:r>
    </w:p>
    <w:p w14:paraId="08B4B36D" w14:textId="77777777" w:rsidR="00144277" w:rsidRPr="00144277" w:rsidRDefault="00144277" w:rsidP="00144277">
      <w:pPr>
        <w:spacing w:line="276" w:lineRule="auto"/>
        <w:jc w:val="both"/>
        <w:rPr>
          <w:rFonts w:ascii="Verdana" w:hAnsi="Verdana"/>
        </w:rPr>
      </w:pPr>
      <w:r w:rsidRPr="00144277">
        <w:rPr>
          <w:rFonts w:ascii="Verdana" w:hAnsi="Verdana"/>
        </w:rPr>
        <w:t xml:space="preserve">Respecto al segundo periodo de investigación del </w:t>
      </w:r>
      <w:proofErr w:type="spellStart"/>
      <w:r w:rsidRPr="00144277">
        <w:rPr>
          <w:rFonts w:ascii="Verdana" w:hAnsi="Verdana"/>
        </w:rPr>
        <w:t>Subcaso</w:t>
      </w:r>
      <w:proofErr w:type="spellEnd"/>
      <w:r w:rsidRPr="00144277">
        <w:rPr>
          <w:rFonts w:ascii="Verdana" w:hAnsi="Verdana"/>
        </w:rPr>
        <w:t xml:space="preserve"> Antioquia, el 14 de febrero del 2025, a través del Auto SUBD-SUBCASO ANTIOQUIA-005, la SRVR determinó los hechos y conductas ocurridos en el Oriente, el Valle de Aburrá, el Norte y el Nordeste Antioqueño durante los años 2004, 2005, 2006 y 2007, atribuibles a miembros de la IV Brigada adscrita a la I División del Ejército Nacional y de los Batallones de Artillería No. 4, “Coronel Jorge Eduardo Sánchez”; Grupo de</w:t>
      </w:r>
      <w:r>
        <w:rPr>
          <w:rFonts w:ascii="Verdana" w:hAnsi="Verdana"/>
        </w:rPr>
        <w:t xml:space="preserve"> </w:t>
      </w:r>
      <w:r w:rsidRPr="00144277">
        <w:rPr>
          <w:rFonts w:ascii="Verdana" w:hAnsi="Verdana"/>
        </w:rPr>
        <w:t xml:space="preserve">Caballería Mecanizado No. 4 "Juan del Corral"; la Agrupación de Fuerzas Especiales Urbanas No. 5, el Batallón de Infantería No. 32 "General Pedro Justo Berrío""; el Batallón de Infantería No. 10 "Coronel Atanasio Girardot"; y el Batallón de Ingenieros de Combate No. 4 "General Pedro Nel Ospina" (Antioquia II). </w:t>
      </w:r>
    </w:p>
    <w:p w14:paraId="402BBC5B" w14:textId="175421E9" w:rsidR="00144277" w:rsidRDefault="00144277" w:rsidP="00144277">
      <w:pPr>
        <w:spacing w:line="276" w:lineRule="auto"/>
        <w:jc w:val="both"/>
        <w:rPr>
          <w:rFonts w:ascii="Verdana" w:hAnsi="Verdana"/>
        </w:rPr>
      </w:pPr>
      <w:r w:rsidRPr="00144277">
        <w:rPr>
          <w:rFonts w:ascii="Verdana" w:hAnsi="Verdana"/>
        </w:rPr>
        <w:t xml:space="preserve">En dicho auto, la SRVR estableció que el patrón </w:t>
      </w:r>
      <w:proofErr w:type="spellStart"/>
      <w:r w:rsidRPr="00144277">
        <w:rPr>
          <w:rFonts w:ascii="Verdana" w:hAnsi="Verdana"/>
        </w:rPr>
        <w:t>macrocriminal</w:t>
      </w:r>
      <w:proofErr w:type="spellEnd"/>
      <w:r w:rsidRPr="00144277">
        <w:rPr>
          <w:rFonts w:ascii="Verdana" w:hAnsi="Verdana"/>
        </w:rPr>
        <w:t xml:space="preserve"> de asesinatos y desapariciones forzadas de civiles y otras personas protegidas por parte de </w:t>
      </w:r>
      <w:r w:rsidRPr="00144277">
        <w:rPr>
          <w:rFonts w:ascii="Verdana" w:hAnsi="Verdana"/>
        </w:rPr>
        <w:lastRenderedPageBreak/>
        <w:t>miembros de la Brigada IV del Ejército Nacional para presentarlos como falsas bajas en combate, determinado para los años 2002 y 2003 especialmente en el oriente antioqueño (ADHC 062 de 2023), se extendió y consolidó a lo largo y ancho del departamento de Antioquia durante los años 2004, 2005, 2006 y 2007 (ADHC 005 de 2025).</w:t>
      </w:r>
    </w:p>
    <w:p w14:paraId="20713838" w14:textId="0B2F1449" w:rsidR="00334FAA" w:rsidRDefault="00334FAA" w:rsidP="00144277">
      <w:pPr>
        <w:spacing w:line="276" w:lineRule="auto"/>
        <w:jc w:val="both"/>
        <w:rPr>
          <w:rFonts w:ascii="Verdana" w:hAnsi="Verdana"/>
        </w:rPr>
      </w:pPr>
      <w:r w:rsidRPr="00334FAA">
        <w:rPr>
          <w:rFonts w:ascii="Verdana" w:hAnsi="Verdana"/>
        </w:rPr>
        <w:t xml:space="preserve">A través del Auto SUBD-SUBCASO ANTIOQUIA-005 de 2025, la SRVR determinó que entre el 1° de enero de 2004 y el 31 de diciembre de 2007, por lo menos 434 personas fueron asesinadas, en 203 casos desaparecidas forzadamente, y en 22 hechos con 41 víctimas torturadas, en el departamento de Antioquia por miembros de los seis batallones investigados adscritos a la IV Brigada del Ejército Nacional. Lo anterior con el fin de presentar a las víctimas como falsas bajas en combate y así responder satisfactoriamente a la presión ejercida por los mandos de las distintas unidades militares, conservar su carrera militar y ganar prestigio, reconocimiento, felicitaciones, permisos, medallas, condecoraciones y anotaciones positivas en los folios de vida que luego pudieran contar para ascensos y comisiones al exterior. El patrón </w:t>
      </w:r>
      <w:proofErr w:type="spellStart"/>
      <w:r w:rsidRPr="00334FAA">
        <w:rPr>
          <w:rFonts w:ascii="Verdana" w:hAnsi="Verdana"/>
        </w:rPr>
        <w:t>macrocriminal</w:t>
      </w:r>
      <w:proofErr w:type="spellEnd"/>
      <w:r w:rsidRPr="00334FAA">
        <w:rPr>
          <w:rFonts w:ascii="Verdana" w:hAnsi="Verdana"/>
        </w:rPr>
        <w:t xml:space="preserve"> determinado en el Auto SUBD-SUBCASO ANTIOQUIA-005 de 2025 fue desatado por la política de facto de conteo de cuerpos (</w:t>
      </w:r>
      <w:proofErr w:type="spellStart"/>
      <w:r w:rsidRPr="00334FAA">
        <w:rPr>
          <w:rFonts w:ascii="Verdana" w:hAnsi="Verdana"/>
          <w:i/>
          <w:iCs/>
        </w:rPr>
        <w:t>bodycount</w:t>
      </w:r>
      <w:proofErr w:type="spellEnd"/>
      <w:r w:rsidRPr="00334FAA">
        <w:rPr>
          <w:rFonts w:ascii="Verdana" w:hAnsi="Verdana"/>
        </w:rPr>
        <w:t>) que estableció el cuerpo del supuesto enemigo caído en combate como el único indicador real del éxito del esfuerzo militar.</w:t>
      </w:r>
    </w:p>
    <w:p w14:paraId="0949AEDD" w14:textId="77777777" w:rsidR="00334FAA" w:rsidRPr="00334FAA" w:rsidRDefault="00334FAA" w:rsidP="00334FAA">
      <w:pPr>
        <w:spacing w:line="276" w:lineRule="auto"/>
        <w:jc w:val="both"/>
        <w:rPr>
          <w:rFonts w:ascii="Verdana" w:hAnsi="Verdana"/>
        </w:rPr>
      </w:pPr>
      <w:r w:rsidRPr="00334FAA">
        <w:rPr>
          <w:rFonts w:ascii="Verdana" w:hAnsi="Verdana"/>
        </w:rPr>
        <w:t xml:space="preserve">Además de establecer las modalidades por medio de las cuales el patrón </w:t>
      </w:r>
      <w:proofErr w:type="spellStart"/>
      <w:r w:rsidRPr="00334FAA">
        <w:rPr>
          <w:rFonts w:ascii="Verdana" w:hAnsi="Verdana"/>
        </w:rPr>
        <w:t>macrocriminal</w:t>
      </w:r>
      <w:proofErr w:type="spellEnd"/>
      <w:r w:rsidRPr="00334FAA">
        <w:rPr>
          <w:rFonts w:ascii="Verdana" w:hAnsi="Verdana"/>
        </w:rPr>
        <w:t xml:space="preserve"> se configuró, en el Auto SUBD-SUBCASO ANTIOQUIA-005 de 2025, la SRVR les imputó responsabilidad penal a 41 miembros de la IV Brigada seleccionados como máximos responsables por crímenes de guerra y crímenes de lesa humanidad y les otorgó un término de 30 días hábiles para que reconocieran o no su responsabilidad. </w:t>
      </w:r>
    </w:p>
    <w:p w14:paraId="1403F0FF" w14:textId="6AC60729" w:rsidR="00334FAA" w:rsidRDefault="00334FAA" w:rsidP="00334FAA">
      <w:pPr>
        <w:spacing w:line="276" w:lineRule="auto"/>
        <w:jc w:val="both"/>
        <w:rPr>
          <w:rFonts w:ascii="Verdana" w:hAnsi="Verdana"/>
        </w:rPr>
      </w:pPr>
      <w:r w:rsidRPr="00334FAA">
        <w:rPr>
          <w:rFonts w:ascii="Verdana" w:hAnsi="Verdana"/>
        </w:rPr>
        <w:t xml:space="preserve">Cumplido el término correspondiente, la SRVR recibió 35 reconocimientos de responsabilidad por parte de los 41 comparecientes imputados en el Auto SUBD-SUBCASO ANTIOQUIA-005, dos no reconocimientos y tres solicitudes de nulidad. Adicionalmente, un compareciente guardó silencio frente a la manifestación de respuesta de cara a la aceptación o no de su responsabilidad. Respecto de los dos comparecientes que no aceptaron responsabilidad, los coroneles Jairo Bocanegra de La Torre y Juan Pablo Forero Tascón, así como el que guardó silencio, el coronel Edgar Emilio Ávila Doria, la Sala mediante Auto </w:t>
      </w:r>
      <w:proofErr w:type="gramStart"/>
      <w:r w:rsidRPr="00334FAA">
        <w:rPr>
          <w:rFonts w:ascii="Verdana" w:hAnsi="Verdana"/>
        </w:rPr>
        <w:t>Sub D</w:t>
      </w:r>
      <w:proofErr w:type="gramEnd"/>
      <w:r w:rsidRPr="00334FAA">
        <w:rPr>
          <w:rFonts w:ascii="Verdana" w:hAnsi="Verdana"/>
        </w:rPr>
        <w:t xml:space="preserve"> – </w:t>
      </w:r>
      <w:proofErr w:type="spellStart"/>
      <w:r w:rsidRPr="00334FAA">
        <w:rPr>
          <w:rFonts w:ascii="Verdana" w:hAnsi="Verdana"/>
        </w:rPr>
        <w:t>Subcaso</w:t>
      </w:r>
      <w:proofErr w:type="spellEnd"/>
      <w:r w:rsidRPr="00334FAA">
        <w:rPr>
          <w:rFonts w:ascii="Verdana" w:hAnsi="Verdana"/>
        </w:rPr>
        <w:t xml:space="preserve"> Antioquia – 027 de 2025 los remitió a la UIA para que se diera paso al trámite adversarial.</w:t>
      </w:r>
    </w:p>
    <w:p w14:paraId="6FC2EED7" w14:textId="7152E6BC" w:rsidR="00334FAA" w:rsidRDefault="00334FAA" w:rsidP="00334FAA">
      <w:pPr>
        <w:spacing w:line="276" w:lineRule="auto"/>
        <w:jc w:val="both"/>
        <w:rPr>
          <w:rFonts w:ascii="Verdana" w:hAnsi="Verdana"/>
        </w:rPr>
      </w:pPr>
      <w:r w:rsidRPr="00334FAA">
        <w:rPr>
          <w:rFonts w:ascii="Verdana" w:hAnsi="Verdana"/>
        </w:rPr>
        <w:t xml:space="preserve">El 4 de noviembre de 2025, mediante Auto </w:t>
      </w:r>
      <w:proofErr w:type="gramStart"/>
      <w:r w:rsidRPr="00334FAA">
        <w:rPr>
          <w:rFonts w:ascii="Verdana" w:hAnsi="Verdana"/>
        </w:rPr>
        <w:t>SUB D</w:t>
      </w:r>
      <w:proofErr w:type="gramEnd"/>
      <w:r w:rsidRPr="00334FAA">
        <w:rPr>
          <w:rFonts w:ascii="Verdana" w:hAnsi="Verdana"/>
        </w:rPr>
        <w:t xml:space="preserve"> – SUBCASO ANTIOQUIA – 028, se decretó la realización de la audiencia pública de reconocimiento los días 4, 5 y 6 y 15, 16 y 17 de diciembre 2025.</w:t>
      </w:r>
    </w:p>
    <w:p w14:paraId="4525CA18" w14:textId="4534AE38" w:rsidR="00334FAA" w:rsidRDefault="00334FAA" w:rsidP="00334FAA">
      <w:pPr>
        <w:spacing w:line="276" w:lineRule="auto"/>
        <w:jc w:val="both"/>
        <w:rPr>
          <w:rFonts w:ascii="Verdana" w:hAnsi="Verdana"/>
          <w:i/>
          <w:iCs/>
        </w:rPr>
      </w:pPr>
      <w:proofErr w:type="spellStart"/>
      <w:r>
        <w:rPr>
          <w:rFonts w:ascii="Verdana" w:hAnsi="Verdana"/>
          <w:i/>
          <w:iCs/>
        </w:rPr>
        <w:lastRenderedPageBreak/>
        <w:t>Subcaso</w:t>
      </w:r>
      <w:proofErr w:type="spellEnd"/>
      <w:r>
        <w:rPr>
          <w:rFonts w:ascii="Verdana" w:hAnsi="Verdana"/>
          <w:i/>
          <w:iCs/>
        </w:rPr>
        <w:t xml:space="preserve"> Norte de Santander</w:t>
      </w:r>
    </w:p>
    <w:p w14:paraId="4D690AD7" w14:textId="6E0E5DF0" w:rsidR="00334FAA" w:rsidRPr="00334FAA" w:rsidRDefault="00334FAA" w:rsidP="00334FAA">
      <w:pPr>
        <w:spacing w:line="276" w:lineRule="auto"/>
        <w:jc w:val="both"/>
        <w:rPr>
          <w:rFonts w:ascii="Verdana" w:hAnsi="Verdana"/>
        </w:rPr>
      </w:pPr>
      <w:r>
        <w:rPr>
          <w:rFonts w:ascii="Verdana" w:hAnsi="Verdana"/>
        </w:rPr>
        <w:t>El</w:t>
      </w:r>
      <w:r w:rsidRPr="00334FAA">
        <w:rPr>
          <w:rFonts w:ascii="Verdana" w:hAnsi="Verdana"/>
        </w:rPr>
        <w:t xml:space="preserve"> despacho relator escuchó a 41 antiguos miembros de la Brigada Móvil 15 (en adelante BRIM15) del Batallón de Infantería No. 15 “General Francisco de Paula Santander” (en adelante BISAN) y tres terceros civiles en 59 diligencias, en el </w:t>
      </w:r>
      <w:proofErr w:type="spellStart"/>
      <w:r w:rsidRPr="00334FAA">
        <w:rPr>
          <w:rFonts w:ascii="Verdana" w:hAnsi="Verdana"/>
        </w:rPr>
        <w:t>subcaso</w:t>
      </w:r>
      <w:proofErr w:type="spellEnd"/>
      <w:r w:rsidRPr="00334FAA">
        <w:rPr>
          <w:rFonts w:ascii="Verdana" w:hAnsi="Verdana"/>
        </w:rPr>
        <w:t xml:space="preserve"> Norte de Santander. En estas versiones se indagó a los comparecientes sobre su trayectoria al interior del Ejército Nacional (EJC), la estructura militar y de mando en las unidades a las que pertenecieron y en las que tuvieron lugar los crímenes, las circunstancias de tiempo, modo y lugar de los hechos y sobre las demás personas que pudieron haber participado en los crímenes. </w:t>
      </w:r>
    </w:p>
    <w:p w14:paraId="233CDE7E" w14:textId="51D1A9C1" w:rsidR="00334FAA" w:rsidRDefault="00334FAA" w:rsidP="00334FAA">
      <w:pPr>
        <w:spacing w:line="276" w:lineRule="auto"/>
        <w:jc w:val="both"/>
        <w:rPr>
          <w:rFonts w:ascii="Verdana" w:hAnsi="Verdana"/>
        </w:rPr>
      </w:pPr>
      <w:r w:rsidRPr="00334FAA">
        <w:rPr>
          <w:rFonts w:ascii="Verdana" w:hAnsi="Verdana"/>
        </w:rPr>
        <w:t xml:space="preserve">El 2 de julio de 2021, la SRVR profirió el Auto No. 125 de 2021 por medio del cual determinó los hechos y conductas respecto de los asesinatos y desapariciones forzadas ilegítimamente presentados como bajas en combate en el </w:t>
      </w:r>
      <w:proofErr w:type="spellStart"/>
      <w:r w:rsidRPr="00334FAA">
        <w:rPr>
          <w:rFonts w:ascii="Verdana" w:hAnsi="Verdana"/>
        </w:rPr>
        <w:t>subcaso</w:t>
      </w:r>
      <w:proofErr w:type="spellEnd"/>
      <w:r w:rsidRPr="00334FAA">
        <w:rPr>
          <w:rFonts w:ascii="Verdana" w:hAnsi="Verdana"/>
        </w:rPr>
        <w:t xml:space="preserve"> Norte de Santander del Caso No. 03, atribuibles a miembros de la BRIM15, del BISAN y a terceros civiles. A través de dicho auto, la Sala imputó crímenes de guerra y de lesa humanidad a once comparecientes que fueron considerados como máximos responsables en el </w:t>
      </w:r>
      <w:proofErr w:type="spellStart"/>
      <w:r w:rsidRPr="00334FAA">
        <w:rPr>
          <w:rFonts w:ascii="Verdana" w:hAnsi="Verdana"/>
        </w:rPr>
        <w:t>subcaso</w:t>
      </w:r>
      <w:proofErr w:type="spellEnd"/>
      <w:r w:rsidRPr="00334FAA">
        <w:rPr>
          <w:rFonts w:ascii="Verdana" w:hAnsi="Verdana"/>
        </w:rPr>
        <w:t>. Se trata de los oficiales y suboficiales del Ejército Nacional retirados Paulino Coronado Gámez, Santiago Herrera Fajardo, Rubén Darío Castro Gómez, Álvaro Diego Tamayo Hoyos, Gabriel De Jesús Rincón Amado, Daladier Rivera Jácome, Juan Carlos Chaparro, Rafael Antonio Urbano Muñoz, Sandro Mauricio Pérez Contreras, Néstor Guillermo Gutiérrez Salazar y Alexander Carretero Díaz.</w:t>
      </w:r>
    </w:p>
    <w:p w14:paraId="7557A6A8" w14:textId="0E2CAF43" w:rsidR="00334FAA" w:rsidRDefault="00334FAA" w:rsidP="00334FAA">
      <w:pPr>
        <w:spacing w:line="276" w:lineRule="auto"/>
        <w:jc w:val="both"/>
        <w:rPr>
          <w:rFonts w:ascii="Verdana" w:hAnsi="Verdana"/>
        </w:rPr>
      </w:pPr>
      <w:r w:rsidRPr="00334FAA">
        <w:rPr>
          <w:rFonts w:ascii="Verdana" w:hAnsi="Verdana"/>
        </w:rPr>
        <w:t>Cumpliendo con el término fijado en el Auto 125 de 2021 y prorrogado en el Auto 210 del mismo año, la SRVR recibió las manifestaciones escritas de reconocimiento de responsabilidad por parte</w:t>
      </w:r>
      <w:r>
        <w:rPr>
          <w:rFonts w:ascii="Verdana" w:hAnsi="Verdana"/>
        </w:rPr>
        <w:t xml:space="preserve"> </w:t>
      </w:r>
      <w:r w:rsidRPr="00334FAA">
        <w:rPr>
          <w:rFonts w:ascii="Verdana" w:hAnsi="Verdana"/>
        </w:rPr>
        <w:t>de los once comparecientes identificados como máximos responsables. En los escritos presentados de manera individual, los comparecientes informaron a la SRVR el carácter voluntario y libre de las manifestaciones allí realizadas, así como la asesoría técnica recibida, en cumplimiento de lo requerido por el Auto CDG 148 de 2021.</w:t>
      </w:r>
    </w:p>
    <w:p w14:paraId="4095F08E" w14:textId="0E108183" w:rsidR="007F1F13" w:rsidRDefault="007F1F13" w:rsidP="00334FAA">
      <w:pPr>
        <w:spacing w:line="276" w:lineRule="auto"/>
        <w:jc w:val="both"/>
        <w:rPr>
          <w:rFonts w:ascii="Verdana" w:hAnsi="Verdana"/>
        </w:rPr>
      </w:pPr>
      <w:r w:rsidRPr="007F1F13">
        <w:rPr>
          <w:rFonts w:ascii="Verdana" w:hAnsi="Verdana"/>
        </w:rPr>
        <w:t>Además de lo anterior, en la providencia CDG 208 de 2021 también se resolvió poner en marcha un proceso de justicia restaurativa de preparación y realización de las audiencias públicas de reconocimiento de verdad y responsabilidad de los máximos responsables determinados en los Autos 125 de 2021.</w:t>
      </w:r>
    </w:p>
    <w:p w14:paraId="193C3617" w14:textId="6A30E050" w:rsidR="00B66785" w:rsidRDefault="00B66785" w:rsidP="00334FAA">
      <w:pPr>
        <w:spacing w:line="276" w:lineRule="auto"/>
        <w:jc w:val="both"/>
        <w:rPr>
          <w:rFonts w:ascii="Verdana" w:hAnsi="Verdana"/>
        </w:rPr>
      </w:pPr>
      <w:r>
        <w:rPr>
          <w:rFonts w:ascii="Verdana" w:hAnsi="Verdana"/>
        </w:rPr>
        <w:t>M</w:t>
      </w:r>
      <w:r w:rsidRPr="00B66785">
        <w:rPr>
          <w:rFonts w:ascii="Verdana" w:hAnsi="Verdana"/>
        </w:rPr>
        <w:t xml:space="preserve">ediante Resolución de Conclusiones No. 01 del 20 de octubre de 2022 la SRVR declaró cerrada la etapa de reconocimiento de verdad y de responsabilidad respecto de los comparecientes identificados como máximos responsables en el Auto 125 de 2021 de la SRVR que reconocieron verdad completa, detallada y exhaustiva y su responsabilidad y presentó a la Sección de Primera Instancia para Casos con Reconocimiento de Verdad y Responsabilidad del Tribunal para </w:t>
      </w:r>
      <w:r w:rsidRPr="00B66785">
        <w:rPr>
          <w:rFonts w:ascii="Verdana" w:hAnsi="Verdana"/>
        </w:rPr>
        <w:lastRenderedPageBreak/>
        <w:t>la Paz 7 propuestas de componentes reparadores y restaurativos de la sanción propia para que fueran impuestos a los máximos responsables.</w:t>
      </w:r>
    </w:p>
    <w:p w14:paraId="1125DA9D" w14:textId="77777777" w:rsidR="009D3932" w:rsidRDefault="009D3932" w:rsidP="00334FAA">
      <w:pPr>
        <w:spacing w:line="276" w:lineRule="auto"/>
        <w:jc w:val="both"/>
        <w:rPr>
          <w:rFonts w:ascii="Verdana" w:hAnsi="Verdana"/>
          <w:i/>
          <w:iCs/>
        </w:rPr>
      </w:pPr>
    </w:p>
    <w:p w14:paraId="67D3FB20" w14:textId="000D1687" w:rsidR="009D3932" w:rsidRDefault="009D3932" w:rsidP="00334FAA">
      <w:pPr>
        <w:spacing w:line="276" w:lineRule="auto"/>
        <w:jc w:val="both"/>
        <w:rPr>
          <w:rFonts w:ascii="Verdana" w:hAnsi="Verdana"/>
          <w:i/>
          <w:iCs/>
        </w:rPr>
      </w:pPr>
      <w:proofErr w:type="spellStart"/>
      <w:r w:rsidRPr="009D3932">
        <w:rPr>
          <w:rFonts w:ascii="Verdana" w:hAnsi="Verdana"/>
          <w:i/>
          <w:iCs/>
        </w:rPr>
        <w:t>Subcaso</w:t>
      </w:r>
      <w:proofErr w:type="spellEnd"/>
      <w:r w:rsidRPr="009D3932">
        <w:rPr>
          <w:rFonts w:ascii="Verdana" w:hAnsi="Verdana"/>
          <w:i/>
          <w:iCs/>
        </w:rPr>
        <w:t xml:space="preserve"> Costa Caribe</w:t>
      </w:r>
    </w:p>
    <w:p w14:paraId="68B7A416" w14:textId="386BAD10" w:rsidR="009D3932" w:rsidRDefault="00A44DEB" w:rsidP="00334FAA">
      <w:pPr>
        <w:spacing w:line="276" w:lineRule="auto"/>
        <w:jc w:val="both"/>
        <w:rPr>
          <w:rFonts w:ascii="Verdana" w:hAnsi="Verdana"/>
        </w:rPr>
      </w:pPr>
      <w:r>
        <w:rPr>
          <w:rFonts w:ascii="Verdana" w:hAnsi="Verdana"/>
        </w:rPr>
        <w:t>E</w:t>
      </w:r>
      <w:r w:rsidRPr="00A44DEB">
        <w:rPr>
          <w:rFonts w:ascii="Verdana" w:hAnsi="Verdana"/>
        </w:rPr>
        <w:t xml:space="preserve">l despacho destaca en este </w:t>
      </w:r>
      <w:proofErr w:type="spellStart"/>
      <w:r w:rsidRPr="00A44DEB">
        <w:rPr>
          <w:rFonts w:ascii="Verdana" w:hAnsi="Verdana"/>
        </w:rPr>
        <w:t>subcaso</w:t>
      </w:r>
      <w:proofErr w:type="spellEnd"/>
      <w:r w:rsidRPr="00A44DEB">
        <w:rPr>
          <w:rFonts w:ascii="Verdana" w:hAnsi="Verdana"/>
        </w:rPr>
        <w:t xml:space="preserve"> la emisión del Auto de Determinación de Hechos y Conductas </w:t>
      </w:r>
      <w:proofErr w:type="gramStart"/>
      <w:r w:rsidRPr="00A44DEB">
        <w:rPr>
          <w:rFonts w:ascii="Verdana" w:hAnsi="Verdana"/>
        </w:rPr>
        <w:t>SUB D</w:t>
      </w:r>
      <w:proofErr w:type="gramEnd"/>
      <w:r w:rsidRPr="00A44DEB">
        <w:rPr>
          <w:rFonts w:ascii="Verdana" w:hAnsi="Verdana"/>
        </w:rPr>
        <w:t xml:space="preserve"> 008 de 2025. En este documento la SRVR identifica un patrón </w:t>
      </w:r>
      <w:proofErr w:type="spellStart"/>
      <w:r w:rsidRPr="00A44DEB">
        <w:rPr>
          <w:rFonts w:ascii="Verdana" w:hAnsi="Verdana"/>
        </w:rPr>
        <w:t>macrocriminal</w:t>
      </w:r>
      <w:proofErr w:type="spellEnd"/>
      <w:r w:rsidRPr="00A44DEB">
        <w:rPr>
          <w:rFonts w:ascii="Verdana" w:hAnsi="Verdana"/>
        </w:rPr>
        <w:t xml:space="preserve"> expresado en dos grandes modalidades, en medio de las cuales algunos miembros de unidades militares que operaban en la Costa Caribe asesinaron y desaparecieron forzadamente a personas que serían posteriormente presentadas como bajas en combate de manera ilegítima.</w:t>
      </w:r>
    </w:p>
    <w:p w14:paraId="0DB50CFD" w14:textId="3E23C49A" w:rsidR="00A2416E" w:rsidRDefault="00A2416E" w:rsidP="00334FAA">
      <w:pPr>
        <w:spacing w:line="276" w:lineRule="auto"/>
        <w:jc w:val="both"/>
        <w:rPr>
          <w:rFonts w:ascii="Verdana" w:hAnsi="Verdana"/>
        </w:rPr>
      </w:pPr>
      <w:r w:rsidRPr="00A2416E">
        <w:rPr>
          <w:rFonts w:ascii="Verdana" w:hAnsi="Verdana"/>
        </w:rPr>
        <w:t>Se imputó responsabilidad por estos delitos a un total de 28 máximos responsables. A la fecha, se han recibido reconocimientos de responsabilidad de al menos 25 de ellos.</w:t>
      </w:r>
    </w:p>
    <w:p w14:paraId="65E002AC" w14:textId="77777777" w:rsidR="00A2416E" w:rsidRDefault="00A2416E" w:rsidP="00334FAA">
      <w:pPr>
        <w:spacing w:line="276" w:lineRule="auto"/>
        <w:jc w:val="both"/>
        <w:rPr>
          <w:rFonts w:ascii="Verdana" w:hAnsi="Verdana"/>
        </w:rPr>
      </w:pPr>
    </w:p>
    <w:p w14:paraId="120E9EE0" w14:textId="464D5346" w:rsidR="00A2416E" w:rsidRDefault="00A2416E" w:rsidP="00334FAA">
      <w:pPr>
        <w:spacing w:line="276" w:lineRule="auto"/>
        <w:jc w:val="both"/>
        <w:rPr>
          <w:rFonts w:ascii="Verdana" w:hAnsi="Verdana"/>
          <w:i/>
          <w:iCs/>
        </w:rPr>
      </w:pPr>
      <w:proofErr w:type="spellStart"/>
      <w:r>
        <w:rPr>
          <w:rFonts w:ascii="Verdana" w:hAnsi="Verdana"/>
          <w:i/>
          <w:iCs/>
        </w:rPr>
        <w:t>Subcaso</w:t>
      </w:r>
      <w:proofErr w:type="spellEnd"/>
      <w:r>
        <w:rPr>
          <w:rFonts w:ascii="Verdana" w:hAnsi="Verdana"/>
          <w:i/>
          <w:iCs/>
        </w:rPr>
        <w:t xml:space="preserve"> Casanare</w:t>
      </w:r>
    </w:p>
    <w:p w14:paraId="214D79A9" w14:textId="5231CAC5" w:rsidR="00A2416E" w:rsidRDefault="0004426F" w:rsidP="00334FAA">
      <w:pPr>
        <w:spacing w:line="276" w:lineRule="auto"/>
        <w:jc w:val="both"/>
        <w:rPr>
          <w:rFonts w:ascii="Verdana" w:hAnsi="Verdana"/>
        </w:rPr>
      </w:pPr>
      <w:r>
        <w:rPr>
          <w:rFonts w:ascii="Verdana" w:hAnsi="Verdana"/>
        </w:rPr>
        <w:t>D</w:t>
      </w:r>
      <w:r w:rsidRPr="0004426F">
        <w:rPr>
          <w:rFonts w:ascii="Verdana" w:hAnsi="Verdana"/>
        </w:rPr>
        <w:t xml:space="preserve">urante el año 2025 se destaca la emisión del Auto </w:t>
      </w:r>
      <w:proofErr w:type="gramStart"/>
      <w:r w:rsidRPr="0004426F">
        <w:rPr>
          <w:rFonts w:ascii="Verdana" w:hAnsi="Verdana"/>
        </w:rPr>
        <w:t>SUB D</w:t>
      </w:r>
      <w:proofErr w:type="gramEnd"/>
      <w:r w:rsidRPr="0004426F">
        <w:rPr>
          <w:rFonts w:ascii="Verdana" w:hAnsi="Verdana"/>
        </w:rPr>
        <w:t xml:space="preserve"> 018 de 2025, por medio del cual la SRVR adiciona contenido al Auto </w:t>
      </w:r>
      <w:proofErr w:type="gramStart"/>
      <w:r w:rsidRPr="0004426F">
        <w:rPr>
          <w:rFonts w:ascii="Verdana" w:hAnsi="Verdana"/>
        </w:rPr>
        <w:t>SUB D</w:t>
      </w:r>
      <w:proofErr w:type="gramEnd"/>
      <w:r w:rsidRPr="0004426F">
        <w:rPr>
          <w:rFonts w:ascii="Verdana" w:hAnsi="Verdana"/>
        </w:rPr>
        <w:t xml:space="preserve"> 055 de 2022, es decir, al Auto de Determinación de Hechos y Conductas del </w:t>
      </w:r>
      <w:proofErr w:type="spellStart"/>
      <w:r w:rsidRPr="0004426F">
        <w:rPr>
          <w:rFonts w:ascii="Verdana" w:hAnsi="Verdana"/>
        </w:rPr>
        <w:t>subcaso</w:t>
      </w:r>
      <w:proofErr w:type="spellEnd"/>
      <w:r w:rsidRPr="0004426F">
        <w:rPr>
          <w:rFonts w:ascii="Verdana" w:hAnsi="Verdana"/>
        </w:rPr>
        <w:t>. La decisión del año 2025 es relevante, en tanto se imputaron delitos como tortura, tratos crueles e inhumanos y experimentos biológicos a seis máximos responsables por hechos ocurridos en el marco de los asesinatos y desapariciones forzadas que presentaron como bajas en combate de manera ilegítima algunos miembros de la Décimo Sexta Brigada del Ejército Nacional.</w:t>
      </w:r>
    </w:p>
    <w:p w14:paraId="43B23184" w14:textId="357D806B" w:rsidR="0004426F" w:rsidRDefault="0004426F" w:rsidP="00334FAA">
      <w:pPr>
        <w:spacing w:line="276" w:lineRule="auto"/>
        <w:jc w:val="both"/>
        <w:rPr>
          <w:rFonts w:ascii="Verdana" w:hAnsi="Verdana"/>
        </w:rPr>
      </w:pPr>
      <w:r w:rsidRPr="0004426F">
        <w:rPr>
          <w:rFonts w:ascii="Verdana" w:hAnsi="Verdana"/>
        </w:rPr>
        <w:t xml:space="preserve">Así mismo, se destaca el desarrollo del proceso restaurativo en este </w:t>
      </w:r>
      <w:proofErr w:type="spellStart"/>
      <w:r w:rsidRPr="0004426F">
        <w:rPr>
          <w:rFonts w:ascii="Verdana" w:hAnsi="Verdana"/>
        </w:rPr>
        <w:t>subcaso</w:t>
      </w:r>
      <w:proofErr w:type="spellEnd"/>
      <w:r w:rsidRPr="0004426F">
        <w:rPr>
          <w:rFonts w:ascii="Verdana" w:hAnsi="Verdana"/>
        </w:rPr>
        <w:t>, en el que comparecientes máximos responsables han planteado proyectos TOAR que han sido puestos a discusión, siendo trasladados a víctimas, ministerio público y otras entidades del Estado con posible incidencia sobre los mismos. Por medio del Auto OPV 671 de 2024 se creó una Mesa de Articulación que ha permitido el diálogo constante entre víctimas, comparecientes, JEP y otras entidades con el objetivo de un óptimo desarrollo del proceso restaurativo.</w:t>
      </w:r>
    </w:p>
    <w:p w14:paraId="6D2BBA71" w14:textId="49F456D7" w:rsidR="00611EC9" w:rsidRDefault="00611EC9" w:rsidP="00334FAA">
      <w:pPr>
        <w:spacing w:line="276" w:lineRule="auto"/>
        <w:jc w:val="both"/>
        <w:rPr>
          <w:rFonts w:ascii="Verdana" w:hAnsi="Verdana"/>
        </w:rPr>
      </w:pPr>
      <w:r w:rsidRPr="00611EC9">
        <w:rPr>
          <w:rFonts w:ascii="Verdana" w:hAnsi="Verdana"/>
        </w:rPr>
        <w:t xml:space="preserve">El 8 de octubre de 2025 la </w:t>
      </w:r>
      <w:proofErr w:type="spellStart"/>
      <w:r w:rsidRPr="00611EC9">
        <w:rPr>
          <w:rFonts w:ascii="Verdana" w:hAnsi="Verdana"/>
        </w:rPr>
        <w:t>Subsala</w:t>
      </w:r>
      <w:proofErr w:type="spellEnd"/>
      <w:r w:rsidRPr="00611EC9">
        <w:rPr>
          <w:rFonts w:ascii="Verdana" w:hAnsi="Verdana"/>
        </w:rPr>
        <w:t xml:space="preserve"> D de la SRVR profirió la Resolución de Conclusiones 05 de 2025, respecto de los hechos y conductas de asesinatos y desapariciones forzadas presentadas como bajas en combate entre el 7 de enero de 2005 y el 18 de septiembre de 2008, y los actos de tortura y tratos crueles, inhumanos y degradantes que se dieron con antelación a dichos asesinatos, </w:t>
      </w:r>
      <w:r w:rsidRPr="00611EC9">
        <w:rPr>
          <w:rFonts w:ascii="Verdana" w:hAnsi="Verdana"/>
        </w:rPr>
        <w:lastRenderedPageBreak/>
        <w:t>atribuibles a miembros de la Brigada XVI del Ejército, Agentes del Estado No Integrantes de la Fuerza Pública y terceros.</w:t>
      </w:r>
    </w:p>
    <w:p w14:paraId="5DCC7B2A" w14:textId="5EEB7611" w:rsidR="00C0746C" w:rsidRDefault="00C0746C" w:rsidP="00334FAA">
      <w:pPr>
        <w:spacing w:line="276" w:lineRule="auto"/>
        <w:jc w:val="both"/>
        <w:rPr>
          <w:rFonts w:ascii="Verdana" w:hAnsi="Verdana"/>
        </w:rPr>
      </w:pPr>
      <w:r w:rsidRPr="00C0746C">
        <w:rPr>
          <w:rFonts w:ascii="Verdana" w:hAnsi="Verdana"/>
        </w:rPr>
        <w:t>En desarrollo de lo anterior, la SRVR declaró cerrada la etapa de reconocimiento de verdad y de responsabilidad respecto de los comparecientes identificados como máximos responsables y partícipes no determinantes en los autos correspondientes. Asimismo, determinó que 22 comparecientes cumplieron con las exigencias de reconocimiento de verdad y responsabilidad y, en consecuencia, los postuló ante la Sección de Primera Instancia para Casos con Reconocimiento de Verdad y Responsabilidad, para la imposición de sanción propia.</w:t>
      </w:r>
    </w:p>
    <w:p w14:paraId="11FE83D4" w14:textId="5A2C0E5C" w:rsidR="001910B8" w:rsidRDefault="001910B8" w:rsidP="00334FAA">
      <w:pPr>
        <w:spacing w:line="276" w:lineRule="auto"/>
        <w:jc w:val="both"/>
        <w:rPr>
          <w:rFonts w:ascii="Verdana" w:hAnsi="Verdana"/>
        </w:rPr>
      </w:pPr>
      <w:r w:rsidRPr="001910B8">
        <w:rPr>
          <w:rFonts w:ascii="Verdana" w:hAnsi="Verdana"/>
        </w:rPr>
        <w:t xml:space="preserve">Finalmente, la Resolución formula el Proyecto de Sanción Propia que incorpora un componente restaurativo y reparador con iniciativas surgidas del diálogo con las víctimas, tales como </w:t>
      </w:r>
      <w:r w:rsidR="00D955D7" w:rsidRPr="00D955D7">
        <w:rPr>
          <w:rFonts w:ascii="Verdana" w:hAnsi="Verdana"/>
        </w:rPr>
        <w:t xml:space="preserve">propuestas de espacios de memoria y la búsqueda de personas dadas por desaparecidas. Además, en una medida con fuerte impacto simbólico, la SRVR emitió un exhorto al Ministerio de Defensa para el retiro de las condecoraciones y felicitaciones obtenidas por los comparecientes seleccionados. Con este acto, la SRVR clausura su fase de investigación en este </w:t>
      </w:r>
      <w:proofErr w:type="spellStart"/>
      <w:r w:rsidR="00D955D7" w:rsidRPr="00D955D7">
        <w:rPr>
          <w:rFonts w:ascii="Verdana" w:hAnsi="Verdana"/>
        </w:rPr>
        <w:t>subcaso</w:t>
      </w:r>
      <w:proofErr w:type="spellEnd"/>
      <w:r w:rsidR="00D955D7" w:rsidRPr="00D955D7">
        <w:rPr>
          <w:rFonts w:ascii="Verdana" w:hAnsi="Verdana"/>
        </w:rPr>
        <w:t xml:space="preserve"> y remite la decisión a la Sección de Primera Instancia para Casos con Reconocimiento para la imposición de la sanción, consolidando así los derechos a la verdad y la justicia para las víctimas de Casanare.</w:t>
      </w:r>
    </w:p>
    <w:p w14:paraId="7DEF2501" w14:textId="77777777" w:rsidR="00D955D7" w:rsidRDefault="00D955D7" w:rsidP="00334FAA">
      <w:pPr>
        <w:spacing w:line="276" w:lineRule="auto"/>
        <w:jc w:val="both"/>
        <w:rPr>
          <w:rFonts w:ascii="Verdana" w:hAnsi="Verdana"/>
        </w:rPr>
      </w:pPr>
    </w:p>
    <w:p w14:paraId="6D577F59" w14:textId="6BC215C0" w:rsidR="00D955D7" w:rsidRDefault="00D955D7" w:rsidP="00334FAA">
      <w:pPr>
        <w:spacing w:line="276" w:lineRule="auto"/>
        <w:jc w:val="both"/>
        <w:rPr>
          <w:rFonts w:ascii="Verdana" w:hAnsi="Verdana"/>
          <w:i/>
          <w:iCs/>
        </w:rPr>
      </w:pPr>
      <w:proofErr w:type="spellStart"/>
      <w:r>
        <w:rPr>
          <w:rFonts w:ascii="Verdana" w:hAnsi="Verdana"/>
          <w:i/>
          <w:iCs/>
        </w:rPr>
        <w:t>Subcaso</w:t>
      </w:r>
      <w:proofErr w:type="spellEnd"/>
      <w:r>
        <w:rPr>
          <w:rFonts w:ascii="Verdana" w:hAnsi="Verdana"/>
          <w:i/>
          <w:iCs/>
        </w:rPr>
        <w:t xml:space="preserve"> Dabeiba</w:t>
      </w:r>
    </w:p>
    <w:p w14:paraId="39187780" w14:textId="2640FDDC" w:rsidR="00D955D7" w:rsidRDefault="00387C44" w:rsidP="00334FAA">
      <w:pPr>
        <w:spacing w:line="276" w:lineRule="auto"/>
        <w:jc w:val="both"/>
        <w:rPr>
          <w:rFonts w:ascii="Verdana" w:hAnsi="Verdana"/>
        </w:rPr>
      </w:pPr>
      <w:r w:rsidRPr="00387C44">
        <w:rPr>
          <w:rFonts w:ascii="Verdana" w:hAnsi="Verdana"/>
        </w:rPr>
        <w:t>El 11 de julio de 2022 se profirió el Auto No. 01 de 2022, por medio del cual se determinaron los hechos y las conductas atribuibles a algunos miembros retirados del Ejército Nacional, que pertenecieron al Batallón de Contraguerrilla No. 79, a la Brigada Móvil No. 11 y al Batallón de Contraguerrilla No. 26, con ocasión de lo ocurrido en el Cementerio Las Mercedes de Dabeiba, Antioquia, durante los años 1997-2007.</w:t>
      </w:r>
    </w:p>
    <w:p w14:paraId="482B4DE5" w14:textId="65420193" w:rsidR="00736CBA" w:rsidRDefault="00736CBA" w:rsidP="00334FAA">
      <w:pPr>
        <w:spacing w:line="276" w:lineRule="auto"/>
        <w:jc w:val="both"/>
        <w:rPr>
          <w:rFonts w:ascii="Verdana" w:hAnsi="Verdana"/>
        </w:rPr>
      </w:pPr>
      <w:r w:rsidRPr="00736CBA">
        <w:rPr>
          <w:rFonts w:ascii="Verdana" w:hAnsi="Verdana"/>
        </w:rPr>
        <w:t>En este auto se imputó responsabilidad por crímenes de guerra y de lesa humanidad a 10 comparecientes, y otros 17 considerados no máximos responsables fueron remitidos a la Sala de Definición de Situaciones Jurídicas (en adelante, SDSJ). De los 10 comparecientes que fueron imputados, 8 reconocieron su responsabilidad. Por su parte, los 2 comparecientes que no aceptaron su responsabilidad fueron remitidos a la Unidad de Investigación y Acusación, para que se adelante su proceso adversarial.</w:t>
      </w:r>
    </w:p>
    <w:p w14:paraId="00FDFD2F" w14:textId="77777777" w:rsidR="00736CBA" w:rsidRDefault="00736CBA" w:rsidP="00334FAA">
      <w:pPr>
        <w:spacing w:line="276" w:lineRule="auto"/>
        <w:jc w:val="both"/>
        <w:rPr>
          <w:rFonts w:ascii="Verdana" w:hAnsi="Verdana"/>
        </w:rPr>
      </w:pPr>
      <w:r w:rsidRPr="00736CBA">
        <w:rPr>
          <w:rFonts w:ascii="Verdana" w:hAnsi="Verdana"/>
        </w:rPr>
        <w:t xml:space="preserve">El 27 de junio de 2023 se llevó a cabo la Audiencia Pública de Reconocimiento de Verdad y Responsabilidad del caso conjunto en el municipio de Dabeiba, </w:t>
      </w:r>
      <w:r w:rsidRPr="00736CBA">
        <w:rPr>
          <w:rFonts w:ascii="Verdana" w:hAnsi="Verdana"/>
        </w:rPr>
        <w:lastRenderedPageBreak/>
        <w:t>seguida de un encuentro dialógico restaurativo realizado el 28 de junio de 2023 en la ciudad de Medellín. Por último, el 20 de marzo de 2024 se expidió la Resolución de Conclusiones No. 04 de 2024. Con esta resolución se declaró cerrada la etapa de reconocimiento de verdad y de responsabilidad respecto de los comparecientes identificados como máximos responsables que reconocieron su responsabilidad. Asimismo, se presentó ante la Sección de Primera Instancia para Casos con Reconocimiento del Tribunal para la Paz 5 propuestas de sanción propia.</w:t>
      </w:r>
    </w:p>
    <w:p w14:paraId="19077CF6" w14:textId="2AE6A980" w:rsidR="00736CBA" w:rsidRDefault="00736CBA" w:rsidP="00334FAA">
      <w:pPr>
        <w:spacing w:line="276" w:lineRule="auto"/>
        <w:jc w:val="both"/>
        <w:rPr>
          <w:rFonts w:ascii="Verdana" w:hAnsi="Verdana"/>
        </w:rPr>
      </w:pPr>
      <w:r w:rsidRPr="00736CBA">
        <w:rPr>
          <w:rFonts w:ascii="Verdana" w:hAnsi="Verdana"/>
        </w:rPr>
        <w:t>Como resultado del trabajo conjunto con la UBPD y el INMLCF, así como de la medida cautelar decretada por la SAR, en el Cementerio Las Mercedes de Dabeiba se realizó la exhumación de 75 estructuras óseas, respecto de las cuales se ha logrado la identificación y entrega digna de 15 personas que se encontraban desaparecidas.</w:t>
      </w:r>
    </w:p>
    <w:p w14:paraId="6BEE3989" w14:textId="2F31950B" w:rsidR="00E70F05" w:rsidRDefault="00E70F05" w:rsidP="00334FAA">
      <w:pPr>
        <w:spacing w:line="276" w:lineRule="auto"/>
        <w:jc w:val="both"/>
        <w:rPr>
          <w:rFonts w:ascii="Verdana" w:hAnsi="Verdana"/>
          <w:i/>
          <w:iCs/>
        </w:rPr>
      </w:pPr>
      <w:proofErr w:type="spellStart"/>
      <w:r>
        <w:rPr>
          <w:rFonts w:ascii="Verdana" w:hAnsi="Verdana"/>
          <w:i/>
          <w:iCs/>
        </w:rPr>
        <w:t>Subcaso</w:t>
      </w:r>
      <w:proofErr w:type="spellEnd"/>
      <w:r>
        <w:rPr>
          <w:rFonts w:ascii="Verdana" w:hAnsi="Verdana"/>
          <w:i/>
          <w:iCs/>
        </w:rPr>
        <w:t xml:space="preserve"> Huila:</w:t>
      </w:r>
    </w:p>
    <w:p w14:paraId="669C6D0E" w14:textId="266DA650" w:rsidR="00E70F05" w:rsidRDefault="00277234" w:rsidP="00334FAA">
      <w:pPr>
        <w:spacing w:line="276" w:lineRule="auto"/>
        <w:jc w:val="both"/>
        <w:rPr>
          <w:rFonts w:ascii="Verdana" w:hAnsi="Verdana"/>
        </w:rPr>
      </w:pPr>
      <w:r w:rsidRPr="00277234">
        <w:rPr>
          <w:rFonts w:ascii="Verdana" w:hAnsi="Verdana"/>
        </w:rPr>
        <w:t xml:space="preserve">En el </w:t>
      </w:r>
      <w:proofErr w:type="spellStart"/>
      <w:r w:rsidRPr="00277234">
        <w:rPr>
          <w:rFonts w:ascii="Verdana" w:hAnsi="Verdana"/>
        </w:rPr>
        <w:t>subcaso</w:t>
      </w:r>
      <w:proofErr w:type="spellEnd"/>
      <w:r w:rsidRPr="00277234">
        <w:rPr>
          <w:rFonts w:ascii="Verdana" w:hAnsi="Verdana"/>
        </w:rPr>
        <w:t xml:space="preserve"> Huila se practicaron 130 versiones voluntarias y 7 testimonios. El 20 de noviembre de 2023 se emitió el Auto </w:t>
      </w:r>
      <w:proofErr w:type="gramStart"/>
      <w:r w:rsidRPr="00277234">
        <w:rPr>
          <w:rFonts w:ascii="Verdana" w:hAnsi="Verdana"/>
        </w:rPr>
        <w:t>SUB D</w:t>
      </w:r>
      <w:proofErr w:type="gramEnd"/>
      <w:r w:rsidRPr="00277234">
        <w:rPr>
          <w:rFonts w:ascii="Verdana" w:hAnsi="Verdana"/>
        </w:rPr>
        <w:t>-SUBCASO HUILA-081 de 2023, por medio del cual se determinaron los hechos y las conductas cometidas por integrantes del Batallón de Infantería No. 26 “Cacique Pigoanza”, del Batallón de Infantería No. 27 “Magdalena” y de la Agrupación de Fuerzas Especiales Urbanas No. 11, adscritas a la Novena Brigada del Ejército Nacional, entre los años 2005 y 2008. En concreto, se determinó la ocurrencia de 108 operaciones militares, que dejaron como resultado 200 asesinatos, 32 desapariciones forzadas y 8</w:t>
      </w:r>
      <w:r>
        <w:rPr>
          <w:rFonts w:ascii="Verdana" w:hAnsi="Verdana"/>
        </w:rPr>
        <w:t xml:space="preserve"> </w:t>
      </w:r>
      <w:r w:rsidRPr="00277234">
        <w:rPr>
          <w:rFonts w:ascii="Verdana" w:hAnsi="Verdana"/>
        </w:rPr>
        <w:t>atentados contra la vida. Asimismo, se imputó responsabilidad por crímenes de guerra y de lesa humanidad a 35 comparecientes como máximos responsables y/o partícipes determinantes.</w:t>
      </w:r>
    </w:p>
    <w:p w14:paraId="5A5DCFBC" w14:textId="305CBEE8" w:rsidR="00C547AF" w:rsidRDefault="00C547AF" w:rsidP="00334FAA">
      <w:pPr>
        <w:spacing w:line="276" w:lineRule="auto"/>
        <w:jc w:val="both"/>
        <w:rPr>
          <w:rFonts w:ascii="Verdana" w:hAnsi="Verdana"/>
        </w:rPr>
      </w:pPr>
      <w:r w:rsidRPr="00C547AF">
        <w:rPr>
          <w:rFonts w:ascii="Verdana" w:hAnsi="Verdana"/>
        </w:rPr>
        <w:t>De los 36 comparecientes imputados como máximos responsables, 29 manifestaron por escrito su aceptación de responsabilidad. De los 7 restantes que no aceptaron su responsabilidad, 6 ya fueron remitidos a la Unidad de Investigación y Acusación para que se adelante el proceso adversarial, y 1 se encuentra en trámite de remisión.</w:t>
      </w:r>
    </w:p>
    <w:p w14:paraId="09C468F0" w14:textId="1C63DFD2" w:rsidR="00C547AF" w:rsidRDefault="00C547AF" w:rsidP="00334FAA">
      <w:pPr>
        <w:spacing w:line="276" w:lineRule="auto"/>
        <w:jc w:val="both"/>
        <w:rPr>
          <w:rFonts w:ascii="Verdana" w:hAnsi="Verdana"/>
        </w:rPr>
      </w:pPr>
      <w:r w:rsidRPr="00C547AF">
        <w:rPr>
          <w:rFonts w:ascii="Verdana" w:hAnsi="Verdana"/>
        </w:rPr>
        <w:t>Los días 8, 9 y 10 de agosto de 2024 se realizó la Audiencia de Reconocimiento de Verdad y Responsabilidad en la ciudad de Neiva (Huila). Posteriormente, el 17 de junio de 2026 se expidió la Resolución de Conclusiones No. 06 de 2026. Con esta resolución, se declaró cerrada la etapa de reconocimiento de verdad y de responsabilidad respecto de los comparecientes identificados como máximos responsables que reconocieron su responsabilidad.</w:t>
      </w:r>
    </w:p>
    <w:p w14:paraId="03C436E9" w14:textId="4A5717FA" w:rsidR="00AE4447" w:rsidRDefault="00AE4447" w:rsidP="00334FAA">
      <w:pPr>
        <w:spacing w:line="276" w:lineRule="auto"/>
        <w:jc w:val="both"/>
        <w:rPr>
          <w:rFonts w:ascii="Verdana" w:hAnsi="Verdana"/>
        </w:rPr>
      </w:pPr>
      <w:r>
        <w:rPr>
          <w:rFonts w:ascii="Verdana" w:hAnsi="Verdana"/>
        </w:rPr>
        <w:lastRenderedPageBreak/>
        <w:t>C</w:t>
      </w:r>
      <w:r w:rsidRPr="00AE4447">
        <w:rPr>
          <w:rFonts w:ascii="Verdana" w:hAnsi="Verdana"/>
        </w:rPr>
        <w:t>on la resolución de conclusiones se presentaron ante la Sección de Primera Instancia para Casos con Reconocimiento del Tribunal para la Paz propuestas de sanción propia con origen en las víctimas y en los comparecientes.</w:t>
      </w:r>
    </w:p>
    <w:p w14:paraId="6319EDFC" w14:textId="77777777" w:rsidR="00D64552" w:rsidRDefault="00D64552" w:rsidP="00334FAA">
      <w:pPr>
        <w:spacing w:line="276" w:lineRule="auto"/>
        <w:jc w:val="both"/>
        <w:rPr>
          <w:rFonts w:ascii="Verdana" w:hAnsi="Verdana"/>
        </w:rPr>
      </w:pPr>
      <w:r w:rsidRPr="00D64552">
        <w:rPr>
          <w:rFonts w:ascii="Verdana" w:hAnsi="Verdana"/>
        </w:rPr>
        <w:t xml:space="preserve">De forma previa a la expedición de la Resolución de Conclusiones, como actividades con vocación de cumplimiento anticipado de la sanción propia, 27 comparecientes han venido participando en la intervención de cementerios en los departamentos de Huila y Caquetá para la búsqueda de personas dadas por desaparecidas, la </w:t>
      </w:r>
      <w:proofErr w:type="spellStart"/>
      <w:r w:rsidRPr="00D64552">
        <w:rPr>
          <w:rFonts w:ascii="Verdana" w:hAnsi="Verdana"/>
        </w:rPr>
        <w:t>memorialización</w:t>
      </w:r>
      <w:proofErr w:type="spellEnd"/>
      <w:r w:rsidRPr="00D64552">
        <w:rPr>
          <w:rFonts w:ascii="Verdana" w:hAnsi="Verdana"/>
        </w:rPr>
        <w:t xml:space="preserve"> y la adecuación de obras de infraestructura, en articulación con la UBPD, la Gobernación del Huila, las alcaldías de Neiva y de Pitalito, y las parroquias La Inmaculada Concepción y San Antonio de Padua. </w:t>
      </w:r>
    </w:p>
    <w:p w14:paraId="12F9096B" w14:textId="224B1970" w:rsidR="00334FAA" w:rsidRDefault="00D64552" w:rsidP="00334FAA">
      <w:pPr>
        <w:spacing w:line="276" w:lineRule="auto"/>
        <w:jc w:val="both"/>
        <w:rPr>
          <w:rFonts w:ascii="Verdana" w:hAnsi="Verdana"/>
        </w:rPr>
      </w:pPr>
      <w:r w:rsidRPr="00D64552">
        <w:rPr>
          <w:rFonts w:ascii="Verdana" w:hAnsi="Verdana"/>
        </w:rPr>
        <w:t>Además, como resultado de las medidas cautelares decretadas sobre el Cementerio Central de Neiva, adelantadas de manera conjunta entre la SRVR y la SAR, se han exhumado, identificado y entregado dignamente a 4 personas que se encontraban desaparecidas.</w:t>
      </w:r>
    </w:p>
    <w:p w14:paraId="5B324334" w14:textId="77777777" w:rsidR="008E4015" w:rsidRPr="00334FAA" w:rsidRDefault="008E4015" w:rsidP="00334FAA">
      <w:pPr>
        <w:spacing w:line="276" w:lineRule="auto"/>
        <w:jc w:val="both"/>
        <w:rPr>
          <w:rFonts w:ascii="Verdana" w:hAnsi="Verdana"/>
        </w:rPr>
      </w:pPr>
    </w:p>
    <w:p w14:paraId="1717B8EF" w14:textId="13CD49BF" w:rsidR="00144277" w:rsidRDefault="00AE4447" w:rsidP="00144277">
      <w:pPr>
        <w:spacing w:line="276" w:lineRule="auto"/>
        <w:jc w:val="both"/>
        <w:rPr>
          <w:rFonts w:ascii="Verdana" w:hAnsi="Verdana"/>
          <w:i/>
          <w:iCs/>
        </w:rPr>
      </w:pPr>
      <w:proofErr w:type="spellStart"/>
      <w:r>
        <w:rPr>
          <w:rFonts w:ascii="Verdana" w:hAnsi="Verdana"/>
          <w:i/>
          <w:iCs/>
        </w:rPr>
        <w:t>Subcaso</w:t>
      </w:r>
      <w:proofErr w:type="spellEnd"/>
      <w:r>
        <w:rPr>
          <w:rFonts w:ascii="Verdana" w:hAnsi="Verdana"/>
          <w:i/>
          <w:iCs/>
        </w:rPr>
        <w:t xml:space="preserve"> Meta</w:t>
      </w:r>
    </w:p>
    <w:p w14:paraId="49E97A0E" w14:textId="30AFB927" w:rsidR="00D64552" w:rsidRDefault="00D64552" w:rsidP="00144277">
      <w:pPr>
        <w:spacing w:line="276" w:lineRule="auto"/>
        <w:jc w:val="both"/>
        <w:rPr>
          <w:rFonts w:ascii="Verdana" w:hAnsi="Verdana"/>
        </w:rPr>
      </w:pPr>
      <w:r>
        <w:rPr>
          <w:rFonts w:ascii="Verdana" w:hAnsi="Verdana"/>
        </w:rPr>
        <w:t>E</w:t>
      </w:r>
      <w:r w:rsidRPr="00D64552">
        <w:rPr>
          <w:rFonts w:ascii="Verdana" w:hAnsi="Verdana"/>
        </w:rPr>
        <w:t xml:space="preserve">n el </w:t>
      </w:r>
      <w:proofErr w:type="spellStart"/>
      <w:r w:rsidRPr="00D64552">
        <w:rPr>
          <w:rFonts w:ascii="Verdana" w:hAnsi="Verdana"/>
        </w:rPr>
        <w:t>subcaso</w:t>
      </w:r>
      <w:proofErr w:type="spellEnd"/>
      <w:r w:rsidRPr="00D64552">
        <w:rPr>
          <w:rFonts w:ascii="Verdana" w:hAnsi="Verdana"/>
        </w:rPr>
        <w:t xml:space="preserve"> Meta se practicaron 120 versiones voluntarias y 20 testimonios. El 19 de noviembre de 2025 se profirió el Auto </w:t>
      </w:r>
      <w:proofErr w:type="gramStart"/>
      <w:r w:rsidRPr="00D64552">
        <w:rPr>
          <w:rFonts w:ascii="Verdana" w:hAnsi="Verdana"/>
        </w:rPr>
        <w:t>SUB D</w:t>
      </w:r>
      <w:proofErr w:type="gramEnd"/>
      <w:r w:rsidRPr="00D64552">
        <w:rPr>
          <w:rFonts w:ascii="Verdana" w:hAnsi="Verdana"/>
        </w:rPr>
        <w:t>-SUBCASO META-029 de 2025, por medio del cual se determinaron los hechos y las conductas atribuibles a miembros del Batallón de Infantería No. 21 “Batalla Pantano de Vargas”, del Gaula Meta, y de la Séptima Brigada del Ejército Nacional, entre los años 2002 y 2007. En este auto, se determinó la ocurrencia de 100 hechos, que dejaron como resultado 210 víctimas, incluyendo 209 asesinatos, 65 desapariciones forzadas, y 1 atentado contra la vida. Además, se imputó responsabilidad por crímenes de guerra y de lesa humanidad a 30 comparecientes como máximos responsables y/o partícipes determinantes.</w:t>
      </w:r>
    </w:p>
    <w:p w14:paraId="1D34D164" w14:textId="3B2A6614" w:rsidR="0067413D" w:rsidRDefault="0067413D" w:rsidP="00144277">
      <w:pPr>
        <w:spacing w:line="276" w:lineRule="auto"/>
        <w:jc w:val="both"/>
        <w:rPr>
          <w:rFonts w:ascii="Verdana" w:hAnsi="Verdana"/>
        </w:rPr>
      </w:pPr>
      <w:r w:rsidRPr="0067413D">
        <w:rPr>
          <w:rFonts w:ascii="Verdana" w:hAnsi="Verdana"/>
        </w:rPr>
        <w:t>De los 30 comparecientes que fueron imputados como máximos responsables, 3 no reconocieron su responsabilidad, por lo que fueron enviados a la Unidad de Investigación y Acusación para que se adelante su proceso adversarial. Por último, el 3, 4 y 5 de junio de 2026 se llevó a cabo la Audiencia Pública de Reconocimiento de Verdad y Responsabilidad, en la ciudad de Villavicencio (Meta).</w:t>
      </w:r>
    </w:p>
    <w:p w14:paraId="51BC3833" w14:textId="77777777" w:rsidR="0067413D" w:rsidRDefault="0067413D" w:rsidP="00144277">
      <w:pPr>
        <w:spacing w:line="276" w:lineRule="auto"/>
        <w:jc w:val="both"/>
        <w:rPr>
          <w:rFonts w:ascii="Verdana" w:hAnsi="Verdana"/>
        </w:rPr>
      </w:pPr>
    </w:p>
    <w:p w14:paraId="694084B6" w14:textId="4C71144A" w:rsidR="0067413D" w:rsidRDefault="0067413D" w:rsidP="00144277">
      <w:pPr>
        <w:spacing w:line="276" w:lineRule="auto"/>
        <w:jc w:val="both"/>
        <w:rPr>
          <w:rFonts w:ascii="Verdana" w:hAnsi="Verdana"/>
          <w:i/>
          <w:iCs/>
        </w:rPr>
      </w:pPr>
      <w:r>
        <w:rPr>
          <w:rFonts w:ascii="Verdana" w:hAnsi="Verdana"/>
          <w:i/>
          <w:iCs/>
        </w:rPr>
        <w:t>Fase Nacional</w:t>
      </w:r>
    </w:p>
    <w:p w14:paraId="6F0717DB" w14:textId="0B9EBDE7" w:rsidR="0067413D" w:rsidRDefault="004B7527" w:rsidP="00144277">
      <w:pPr>
        <w:spacing w:line="276" w:lineRule="auto"/>
        <w:jc w:val="both"/>
        <w:rPr>
          <w:rFonts w:ascii="Verdana" w:hAnsi="Verdana"/>
        </w:rPr>
      </w:pPr>
      <w:r w:rsidRPr="004B7527">
        <w:rPr>
          <w:rFonts w:ascii="Verdana" w:hAnsi="Verdana"/>
        </w:rPr>
        <w:t xml:space="preserve">En el marco del Caso 03, en su Fase Nacional, el mayor avance ha ocurrido en la identificación de personas clave, que han sido llamadas a rendir versión </w:t>
      </w:r>
      <w:r w:rsidRPr="004B7527">
        <w:rPr>
          <w:rFonts w:ascii="Verdana" w:hAnsi="Verdana"/>
        </w:rPr>
        <w:lastRenderedPageBreak/>
        <w:t>voluntaria, especialmente generales del Ejército Nacional, y funcionarios que ocuparon en su momento altos cargos gubernamentales. Se espera estos llamamientos permitan la identificación de posibles máximos responsables dentro de la Fase Nacional.</w:t>
      </w:r>
    </w:p>
    <w:p w14:paraId="182C5E1F" w14:textId="4627564B" w:rsidR="004B7527" w:rsidRDefault="004B7527" w:rsidP="00144277">
      <w:pPr>
        <w:spacing w:line="276" w:lineRule="auto"/>
        <w:jc w:val="both"/>
        <w:rPr>
          <w:rFonts w:ascii="Verdana" w:hAnsi="Verdana"/>
        </w:rPr>
      </w:pPr>
      <w:r w:rsidRPr="004B7527">
        <w:rPr>
          <w:rFonts w:ascii="Verdana" w:hAnsi="Verdana"/>
        </w:rPr>
        <w:t>El despacho relator ha realizado 23 versiones voluntarias y seis declaraciones juradas. Además, se han acreditado aproximadamente a 1.200 víctimas dentro de la Fase Nacional. Así mismo se han hecho múltiples inspecciones judiciales, así como solicitudes judiciales a diferentes dependencias internas de la JEP y a entidades del Estado, buscando recabar material probatorio que permita avanzar en la investigación.</w:t>
      </w:r>
    </w:p>
    <w:p w14:paraId="12E6C5A9" w14:textId="72D6793A" w:rsidR="004B7527" w:rsidRDefault="004B7527" w:rsidP="00144277">
      <w:pPr>
        <w:spacing w:line="276" w:lineRule="auto"/>
        <w:jc w:val="both"/>
        <w:rPr>
          <w:rFonts w:ascii="Verdana" w:hAnsi="Verdana"/>
        </w:rPr>
      </w:pPr>
      <w:r>
        <w:rPr>
          <w:rFonts w:ascii="Verdana" w:hAnsi="Verdana"/>
        </w:rPr>
        <w:t>E</w:t>
      </w:r>
      <w:r w:rsidRPr="004B7527">
        <w:rPr>
          <w:rFonts w:ascii="Verdana" w:hAnsi="Verdana"/>
        </w:rPr>
        <w:t xml:space="preserve">s preciso indicar que, de los </w:t>
      </w:r>
      <w:proofErr w:type="spellStart"/>
      <w:r w:rsidRPr="004B7527">
        <w:rPr>
          <w:rFonts w:ascii="Verdana" w:hAnsi="Verdana"/>
        </w:rPr>
        <w:t>subcasos</w:t>
      </w:r>
      <w:proofErr w:type="spellEnd"/>
      <w:r w:rsidRPr="004B7527">
        <w:rPr>
          <w:rFonts w:ascii="Verdana" w:hAnsi="Verdana"/>
        </w:rPr>
        <w:t xml:space="preserve"> Casanare, Costa Caribe y Popa en el </w:t>
      </w:r>
      <w:proofErr w:type="spellStart"/>
      <w:r w:rsidRPr="004B7527">
        <w:rPr>
          <w:rFonts w:ascii="Verdana" w:hAnsi="Verdana"/>
        </w:rPr>
        <w:t>Macrocaso</w:t>
      </w:r>
      <w:proofErr w:type="spellEnd"/>
      <w:r w:rsidRPr="004B7527">
        <w:rPr>
          <w:rFonts w:ascii="Verdana" w:hAnsi="Verdana"/>
        </w:rPr>
        <w:t xml:space="preserve"> 03 se reportan las siguientes fechas de finalización de cada etapa procesal:</w:t>
      </w:r>
    </w:p>
    <w:p w14:paraId="3B62046B" w14:textId="472754E9" w:rsidR="00300476" w:rsidRPr="0067413D" w:rsidRDefault="00300476" w:rsidP="00144277">
      <w:pPr>
        <w:spacing w:line="276" w:lineRule="auto"/>
        <w:jc w:val="both"/>
        <w:rPr>
          <w:rFonts w:ascii="Verdana" w:hAnsi="Verdana"/>
        </w:rPr>
      </w:pPr>
      <w:r w:rsidRPr="00300476">
        <w:rPr>
          <w:rFonts w:ascii="Verdana" w:hAnsi="Verdana"/>
          <w:noProof/>
        </w:rPr>
        <w:drawing>
          <wp:inline distT="0" distB="0" distL="0" distR="0" wp14:anchorId="4AF13A66" wp14:editId="0525FD78">
            <wp:extent cx="5612130" cy="1738630"/>
            <wp:effectExtent l="0" t="0" r="7620" b="0"/>
            <wp:docPr id="5627018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01851" name=""/>
                    <pic:cNvPicPr/>
                  </pic:nvPicPr>
                  <pic:blipFill>
                    <a:blip r:embed="rId8"/>
                    <a:stretch>
                      <a:fillRect/>
                    </a:stretch>
                  </pic:blipFill>
                  <pic:spPr>
                    <a:xfrm>
                      <a:off x="0" y="0"/>
                      <a:ext cx="5612130" cy="1738630"/>
                    </a:xfrm>
                    <a:prstGeom prst="rect">
                      <a:avLst/>
                    </a:prstGeom>
                  </pic:spPr>
                </pic:pic>
              </a:graphicData>
            </a:graphic>
          </wp:inline>
        </w:drawing>
      </w:r>
    </w:p>
    <w:p w14:paraId="3066E8D1" w14:textId="2BC40A46" w:rsidR="00AE4447" w:rsidRDefault="00300476" w:rsidP="00144277">
      <w:pPr>
        <w:spacing w:line="276" w:lineRule="auto"/>
        <w:jc w:val="both"/>
        <w:rPr>
          <w:rFonts w:ascii="Verdana" w:hAnsi="Verdana"/>
        </w:rPr>
      </w:pPr>
      <w:r w:rsidRPr="00300476">
        <w:rPr>
          <w:rFonts w:ascii="Verdana" w:hAnsi="Verdana"/>
        </w:rPr>
        <w:t xml:space="preserve">Se destaca la emisión de los Autos de Determinación de Hechos y Conductas SRVR 128 de 2021, </w:t>
      </w:r>
      <w:proofErr w:type="gramStart"/>
      <w:r w:rsidRPr="00300476">
        <w:rPr>
          <w:rFonts w:ascii="Verdana" w:hAnsi="Verdana"/>
        </w:rPr>
        <w:t>SUB D</w:t>
      </w:r>
      <w:proofErr w:type="gramEnd"/>
      <w:r w:rsidRPr="00300476">
        <w:rPr>
          <w:rFonts w:ascii="Verdana" w:hAnsi="Verdana"/>
        </w:rPr>
        <w:t xml:space="preserve"> 055 de 2022 (y su adición en Auto </w:t>
      </w:r>
      <w:proofErr w:type="gramStart"/>
      <w:r w:rsidRPr="00300476">
        <w:rPr>
          <w:rFonts w:ascii="Verdana" w:hAnsi="Verdana"/>
        </w:rPr>
        <w:t>SUB D</w:t>
      </w:r>
      <w:proofErr w:type="gramEnd"/>
      <w:r w:rsidRPr="00300476">
        <w:rPr>
          <w:rFonts w:ascii="Verdana" w:hAnsi="Verdana"/>
        </w:rPr>
        <w:t xml:space="preserve"> 018 de 2025), y el Auto </w:t>
      </w:r>
      <w:proofErr w:type="gramStart"/>
      <w:r w:rsidRPr="00300476">
        <w:rPr>
          <w:rFonts w:ascii="Verdana" w:hAnsi="Verdana"/>
        </w:rPr>
        <w:t>SUB D</w:t>
      </w:r>
      <w:proofErr w:type="gramEnd"/>
      <w:r w:rsidRPr="00300476">
        <w:rPr>
          <w:rFonts w:ascii="Verdana" w:hAnsi="Verdana"/>
        </w:rPr>
        <w:t xml:space="preserve"> 008 de 2025, así como de la Resolución de Conclusiones No. 03 de 2022 y de la Resolución de Conclusiones No. 05 de 2025.</w:t>
      </w:r>
    </w:p>
    <w:p w14:paraId="2C931634" w14:textId="77777777" w:rsidR="00300476" w:rsidRDefault="00300476" w:rsidP="00144277">
      <w:pPr>
        <w:spacing w:line="276" w:lineRule="auto"/>
        <w:jc w:val="both"/>
        <w:rPr>
          <w:rFonts w:ascii="Verdana" w:hAnsi="Verdana"/>
        </w:rPr>
      </w:pPr>
    </w:p>
    <w:p w14:paraId="7F289ABA" w14:textId="4D9C50DE" w:rsidR="00300476" w:rsidRDefault="00300476" w:rsidP="00144277">
      <w:pPr>
        <w:spacing w:line="276" w:lineRule="auto"/>
        <w:jc w:val="both"/>
        <w:rPr>
          <w:rFonts w:ascii="Verdana" w:hAnsi="Verdana"/>
          <w:i/>
          <w:iCs/>
        </w:rPr>
      </w:pPr>
      <w:r>
        <w:rPr>
          <w:rFonts w:ascii="Verdana" w:hAnsi="Verdana"/>
          <w:i/>
          <w:iCs/>
        </w:rPr>
        <w:t xml:space="preserve">Caso 04 </w:t>
      </w:r>
      <w:r w:rsidR="006C1B91" w:rsidRPr="006C1B91">
        <w:rPr>
          <w:rFonts w:ascii="Verdana" w:hAnsi="Verdana"/>
          <w:i/>
          <w:iCs/>
        </w:rPr>
        <w:t xml:space="preserve">“Situación Territorial de la región de Urabá” y Caso 09 “Crímenes no amnistiables cometidos contra pueblos y territorios étnicos por causa, con ocasión, o en relación directa o indirecta con el conflicto armado colombiano” - </w:t>
      </w:r>
      <w:proofErr w:type="spellStart"/>
      <w:r w:rsidR="006C1B91" w:rsidRPr="006C1B91">
        <w:rPr>
          <w:rFonts w:ascii="Verdana" w:hAnsi="Verdana"/>
          <w:i/>
          <w:iCs/>
        </w:rPr>
        <w:t>Subcaso</w:t>
      </w:r>
      <w:proofErr w:type="spellEnd"/>
      <w:r w:rsidR="006C1B91" w:rsidRPr="006C1B91">
        <w:rPr>
          <w:rFonts w:ascii="Verdana" w:hAnsi="Verdana"/>
          <w:i/>
          <w:iCs/>
        </w:rPr>
        <w:t xml:space="preserve"> Región Atrato (SRA):</w:t>
      </w:r>
    </w:p>
    <w:p w14:paraId="59F14526" w14:textId="74DCDB6A" w:rsidR="006C1B91" w:rsidRDefault="006C1B91" w:rsidP="00144277">
      <w:pPr>
        <w:spacing w:line="276" w:lineRule="auto"/>
        <w:jc w:val="both"/>
        <w:rPr>
          <w:rFonts w:ascii="Verdana" w:hAnsi="Verdana"/>
        </w:rPr>
      </w:pPr>
      <w:r w:rsidRPr="006C1B91">
        <w:rPr>
          <w:rFonts w:ascii="Verdana" w:hAnsi="Verdana"/>
        </w:rPr>
        <w:t xml:space="preserve">Para enfrentar la impunidad y dignificar a las comunidades étnicas, la SRVR tomó la decisión de crear el Caso Conjunto 04-09, unificando la investigación del </w:t>
      </w:r>
      <w:proofErr w:type="spellStart"/>
      <w:r w:rsidRPr="006C1B91">
        <w:rPr>
          <w:rFonts w:ascii="Verdana" w:hAnsi="Verdana"/>
        </w:rPr>
        <w:t>macrocaso</w:t>
      </w:r>
      <w:proofErr w:type="spellEnd"/>
      <w:r w:rsidRPr="006C1B91">
        <w:rPr>
          <w:rFonts w:ascii="Verdana" w:hAnsi="Verdana"/>
        </w:rPr>
        <w:t xml:space="preserve"> 04 (Situación territorial de la región de Urabá) con el </w:t>
      </w:r>
      <w:proofErr w:type="spellStart"/>
      <w:r w:rsidRPr="006C1B91">
        <w:rPr>
          <w:rFonts w:ascii="Verdana" w:hAnsi="Verdana"/>
        </w:rPr>
        <w:t>subcaso</w:t>
      </w:r>
      <w:proofErr w:type="spellEnd"/>
      <w:r w:rsidRPr="006C1B91">
        <w:rPr>
          <w:rFonts w:ascii="Verdana" w:hAnsi="Verdana"/>
        </w:rPr>
        <w:t xml:space="preserve"> del Río Atrato, perteneciente al </w:t>
      </w:r>
      <w:proofErr w:type="spellStart"/>
      <w:r w:rsidRPr="006C1B91">
        <w:rPr>
          <w:rFonts w:ascii="Verdana" w:hAnsi="Verdana"/>
        </w:rPr>
        <w:t>Macrocaso</w:t>
      </w:r>
      <w:proofErr w:type="spellEnd"/>
      <w:r w:rsidRPr="006C1B91">
        <w:rPr>
          <w:rFonts w:ascii="Verdana" w:hAnsi="Verdana"/>
        </w:rPr>
        <w:t xml:space="preserve"> 09 (Crímenes cometidos contra Pueblos y Territorios Étnicos). Bajo esta articulación se adelantan investigaciones sobre hechos ocurridos en 28 municipios, 12 del departamento de Antioquia, 14 </w:t>
      </w:r>
      <w:r w:rsidRPr="006C1B91">
        <w:rPr>
          <w:rFonts w:ascii="Verdana" w:hAnsi="Verdana"/>
        </w:rPr>
        <w:lastRenderedPageBreak/>
        <w:t>municipios a lo largo de la cuenca del Río Atrato, agrupados en cuatro subregiones (Darién, Bajo Atrato, Medio Atrato y Alto Atrato), y dos municipios del departamento de Córdoba enfocase en las siguientes líneas de acción judicial y restaurativa</w:t>
      </w:r>
      <w:r w:rsidR="00DE4F97">
        <w:rPr>
          <w:rFonts w:ascii="Verdana" w:hAnsi="Verdana"/>
        </w:rPr>
        <w:t>.</w:t>
      </w:r>
    </w:p>
    <w:p w14:paraId="711E3250" w14:textId="30C6FF9A" w:rsidR="00DE4F97" w:rsidRDefault="00DE4F97" w:rsidP="00144277">
      <w:pPr>
        <w:spacing w:line="276" w:lineRule="auto"/>
        <w:jc w:val="both"/>
        <w:rPr>
          <w:rFonts w:ascii="Verdana" w:hAnsi="Verdana"/>
        </w:rPr>
      </w:pPr>
      <w:r>
        <w:rPr>
          <w:rFonts w:ascii="Verdana" w:hAnsi="Verdana"/>
        </w:rPr>
        <w:t>F</w:t>
      </w:r>
      <w:r w:rsidRPr="00DE4F97">
        <w:rPr>
          <w:rFonts w:ascii="Verdana" w:hAnsi="Verdana"/>
        </w:rPr>
        <w:t>rente a las graves violaciones a los Derechos Humanos y las infracciones al Derecho Internacional Humanitario (DIH) cometidas entre 2002 y 2016, la JEP concentra sus esfuerzos en esclarecer conductas no amnistiables perpetradas por las extintas FARC-EP, miembros de la Fuerza Pública y terceros civiles. Los esfuerzos investigativos se centran en rastrear conductas desplazamiento forzado masivo y confinamiento de comunidades, masacres, asesinatos selectivos y desaparición forzada, violencia sexual y de género con un componente de discriminación racista.</w:t>
      </w:r>
    </w:p>
    <w:p w14:paraId="40B0E22D" w14:textId="05CEC43C" w:rsidR="00FE2C7C" w:rsidRDefault="00FE2C7C" w:rsidP="00144277">
      <w:pPr>
        <w:spacing w:line="276" w:lineRule="auto"/>
        <w:jc w:val="both"/>
        <w:rPr>
          <w:rFonts w:ascii="Verdana" w:hAnsi="Verdana"/>
        </w:rPr>
      </w:pPr>
      <w:r w:rsidRPr="00FE2C7C">
        <w:rPr>
          <w:rFonts w:ascii="Verdana" w:hAnsi="Verdana"/>
        </w:rPr>
        <w:t>Estas fueron presentadas en un segundo Auto de Determinación de Hechos y conductas SRVR 09 de 2025, que recoge una primera parte de la investigación que cubre los periodos de 1986 a 2002, y determina responsabilidad de 21 integrantes de las fuerzas militares: 10 exmiembros del BIVEL (1987–2002), 6 del BIVOL (1993–1998), 1 de las AFEUR (1988), uno del BCG 35 (1997), uno del BIGIR (1997) y dos del Estado Mayor de la BR17 (1995–1998). Asimismo, se imputó a ocho exintegrantes de las FARC-EP —incluido un excomandante del Estado Mayor del Bloque Noroccidental y exmiembros de los frentes 5, 34, 57 y 58-, y a cinco terceros civiles pertenecientes a la junta directiva del Fondo Ganadero de Córdoba</w:t>
      </w:r>
      <w:r>
        <w:rPr>
          <w:rFonts w:ascii="Verdana" w:hAnsi="Verdana"/>
        </w:rPr>
        <w:t>.</w:t>
      </w:r>
    </w:p>
    <w:p w14:paraId="527182FF" w14:textId="30D854FB" w:rsidR="003345B9" w:rsidRDefault="003345B9" w:rsidP="00144277">
      <w:pPr>
        <w:spacing w:line="276" w:lineRule="auto"/>
        <w:jc w:val="both"/>
        <w:rPr>
          <w:rFonts w:ascii="Verdana" w:hAnsi="Verdana"/>
        </w:rPr>
      </w:pPr>
      <w:r w:rsidRPr="003345B9">
        <w:rPr>
          <w:rFonts w:ascii="Verdana" w:hAnsi="Verdana"/>
        </w:rPr>
        <w:t>Cabe señalar que a través del Auto No. 01 de 2022, se estableció un caso conjunto entre los casos 04 y 03 que se ocupa de asesinatos y desapariciones forzadas ilegítimamente presentados como bajas en combate por agentes del Estado, específicamente en el cementerio Las Mercedes de Dabeiba (Antioquia), en hechos ocurridos entre 1997 y 2007.</w:t>
      </w:r>
    </w:p>
    <w:p w14:paraId="7F064A9A" w14:textId="1ECBF7C5" w:rsidR="003E584B" w:rsidRDefault="00857E25" w:rsidP="00144277">
      <w:pPr>
        <w:spacing w:line="276" w:lineRule="auto"/>
        <w:jc w:val="both"/>
        <w:rPr>
          <w:rFonts w:ascii="Verdana" w:hAnsi="Verdana"/>
        </w:rPr>
      </w:pPr>
      <w:r>
        <w:rPr>
          <w:rFonts w:ascii="Verdana" w:hAnsi="Verdana"/>
        </w:rPr>
        <w:t>B</w:t>
      </w:r>
      <w:r w:rsidRPr="00857E25">
        <w:rPr>
          <w:rFonts w:ascii="Verdana" w:hAnsi="Verdana"/>
        </w:rPr>
        <w:t>ajo la óptica del enfoque étnico territorial, la JEP asume que la violencia no solo afectó a las personas, sino también a su entorno espiritual y físico. Las acciones judiciales investigan la imposición de modelos extractivistas ilegales, la devastación de los bosques y la grave contaminación por minería ilegal en la cuenca del Atrato, conectando estos ecocidios con las lógicas del conflicto armado y la desposesión de tierras.</w:t>
      </w:r>
    </w:p>
    <w:p w14:paraId="29FB4AFD" w14:textId="77777777" w:rsidR="00D454E9" w:rsidRDefault="00864EA0" w:rsidP="00144277">
      <w:pPr>
        <w:spacing w:line="276" w:lineRule="auto"/>
        <w:jc w:val="both"/>
        <w:rPr>
          <w:rFonts w:ascii="Verdana" w:hAnsi="Verdana"/>
        </w:rPr>
      </w:pPr>
      <w:r>
        <w:rPr>
          <w:rFonts w:ascii="Verdana" w:hAnsi="Verdana"/>
        </w:rPr>
        <w:t xml:space="preserve">Finalmente, </w:t>
      </w:r>
      <w:r w:rsidRPr="00864EA0">
        <w:rPr>
          <w:rFonts w:ascii="Verdana" w:hAnsi="Verdana"/>
        </w:rPr>
        <w:t>para contrarrestar la exclusión histórica del aparato de justicia ordinaria, la JEP ha formalizado rutas de articulación y coordinación con las autoridades étnico-territoriales (Consejos Comunitarios Afrodescendientes, como los de las cuencas del Atrato, y Cabildos o autoridades de la Organización Indígena de Antioquia y Choc</w:t>
      </w:r>
      <w:r w:rsidR="00D454E9">
        <w:rPr>
          <w:rFonts w:ascii="Verdana" w:hAnsi="Verdana"/>
        </w:rPr>
        <w:t xml:space="preserve">ó). </w:t>
      </w:r>
      <w:r w:rsidR="00D454E9" w:rsidRPr="00D454E9">
        <w:rPr>
          <w:rFonts w:ascii="Verdana" w:hAnsi="Verdana"/>
        </w:rPr>
        <w:t xml:space="preserve">Esto implica: </w:t>
      </w:r>
    </w:p>
    <w:p w14:paraId="358D1EAB" w14:textId="3C40081C" w:rsidR="00D454E9" w:rsidRPr="00D454E9" w:rsidRDefault="00D454E9" w:rsidP="00D454E9">
      <w:pPr>
        <w:pStyle w:val="ListParagraph"/>
        <w:numPr>
          <w:ilvl w:val="0"/>
          <w:numId w:val="4"/>
        </w:numPr>
        <w:spacing w:line="276" w:lineRule="auto"/>
        <w:jc w:val="both"/>
        <w:rPr>
          <w:rFonts w:ascii="Verdana" w:hAnsi="Verdana"/>
        </w:rPr>
      </w:pPr>
      <w:r w:rsidRPr="00D454E9">
        <w:rPr>
          <w:rFonts w:ascii="Verdana" w:hAnsi="Verdana"/>
        </w:rPr>
        <w:lastRenderedPageBreak/>
        <w:t xml:space="preserve">Contrastación de información: recepción de decenas de informes orales y escritos suministrados directamente por las comunidades y ONG asociadas (ej. CINEP, Comisión </w:t>
      </w:r>
      <w:proofErr w:type="spellStart"/>
      <w:r w:rsidRPr="00D454E9">
        <w:rPr>
          <w:rFonts w:ascii="Verdana" w:hAnsi="Verdana"/>
        </w:rPr>
        <w:t>Intereclesial</w:t>
      </w:r>
      <w:proofErr w:type="spellEnd"/>
      <w:r w:rsidRPr="00D454E9">
        <w:rPr>
          <w:rFonts w:ascii="Verdana" w:hAnsi="Verdana"/>
        </w:rPr>
        <w:t xml:space="preserve"> de Justicia y Paz). </w:t>
      </w:r>
    </w:p>
    <w:p w14:paraId="48009579" w14:textId="48669055" w:rsidR="00D454E9" w:rsidRPr="00D454E9" w:rsidRDefault="00D454E9" w:rsidP="00D454E9">
      <w:pPr>
        <w:pStyle w:val="ListParagraph"/>
        <w:numPr>
          <w:ilvl w:val="0"/>
          <w:numId w:val="4"/>
        </w:numPr>
        <w:spacing w:line="276" w:lineRule="auto"/>
        <w:jc w:val="both"/>
        <w:rPr>
          <w:rFonts w:ascii="Verdana" w:hAnsi="Verdana"/>
        </w:rPr>
      </w:pPr>
      <w:r w:rsidRPr="00D454E9">
        <w:rPr>
          <w:rFonts w:ascii="Verdana" w:hAnsi="Verdana"/>
        </w:rPr>
        <w:t xml:space="preserve">Acreditación masiva de víctimas: En el marco del caso 04 se ha acreditado alrededor de 54.672 víctimas; del universo de personas acreditadas, se registran 857 víctimas individuales y 135 sujetos colectivos, que se agrupan en 54.163 víctimas, representadas en 31 Consejos Comunitarios; cuatro organizaciones con pertenencia étnica negra, 20 comunidades afrodescendientes, afro-mestizas y campesinas, que se han constituido en zonas humanitarias y zonas de biodiversidad, dos sindicatos y 76 comunidades indígenas, comprendidas en cuatro pueblos: </w:t>
      </w:r>
      <w:proofErr w:type="spellStart"/>
      <w:r w:rsidRPr="00D454E9">
        <w:rPr>
          <w:rFonts w:ascii="Verdana" w:hAnsi="Verdana"/>
        </w:rPr>
        <w:t>Embera</w:t>
      </w:r>
      <w:proofErr w:type="spellEnd"/>
      <w:r w:rsidRPr="00D454E9">
        <w:rPr>
          <w:rFonts w:ascii="Verdana" w:hAnsi="Verdana"/>
        </w:rPr>
        <w:t xml:space="preserve"> (</w:t>
      </w:r>
      <w:proofErr w:type="spellStart"/>
      <w:r w:rsidRPr="00D454E9">
        <w:rPr>
          <w:rFonts w:ascii="Verdana" w:hAnsi="Verdana"/>
        </w:rPr>
        <w:t>Dóbida</w:t>
      </w:r>
      <w:proofErr w:type="spellEnd"/>
      <w:r w:rsidRPr="00D454E9">
        <w:rPr>
          <w:rFonts w:ascii="Verdana" w:hAnsi="Verdana"/>
        </w:rPr>
        <w:t xml:space="preserve">, </w:t>
      </w:r>
      <w:proofErr w:type="spellStart"/>
      <w:r w:rsidRPr="00D454E9">
        <w:rPr>
          <w:rFonts w:ascii="Verdana" w:hAnsi="Verdana"/>
        </w:rPr>
        <w:t>Eyabida</w:t>
      </w:r>
      <w:proofErr w:type="spellEnd"/>
      <w:r w:rsidRPr="00D454E9">
        <w:rPr>
          <w:rFonts w:ascii="Verdana" w:hAnsi="Verdana"/>
        </w:rPr>
        <w:t xml:space="preserve">, </w:t>
      </w:r>
      <w:proofErr w:type="spellStart"/>
      <w:r w:rsidRPr="00D454E9">
        <w:rPr>
          <w:rFonts w:ascii="Verdana" w:hAnsi="Verdana"/>
        </w:rPr>
        <w:t>Katío</w:t>
      </w:r>
      <w:proofErr w:type="spellEnd"/>
      <w:r w:rsidRPr="00D454E9">
        <w:rPr>
          <w:rFonts w:ascii="Verdana" w:hAnsi="Verdana"/>
        </w:rPr>
        <w:t xml:space="preserve">), Wounaan y Guna Dule. </w:t>
      </w:r>
    </w:p>
    <w:p w14:paraId="32D2D982" w14:textId="03E1CE06" w:rsidR="00864EA0" w:rsidRDefault="00D454E9" w:rsidP="00D454E9">
      <w:pPr>
        <w:pStyle w:val="ListParagraph"/>
        <w:numPr>
          <w:ilvl w:val="0"/>
          <w:numId w:val="4"/>
        </w:numPr>
        <w:spacing w:line="276" w:lineRule="auto"/>
        <w:jc w:val="both"/>
        <w:rPr>
          <w:rFonts w:ascii="Verdana" w:hAnsi="Verdana"/>
        </w:rPr>
      </w:pPr>
      <w:r w:rsidRPr="00D454E9">
        <w:rPr>
          <w:rFonts w:ascii="Verdana" w:hAnsi="Verdana"/>
        </w:rPr>
        <w:t xml:space="preserve">Esclarecimiento de la verdad y Búsqueda de Desaparecidos: a través de las versiones voluntarias de los comparecientes (tanto de la Fuerza Pública como de FARC-EP), se ha exigido el aporte de verdad detallada. Esto ha permitido articular acciones con la UBPD para la georreferenciación y posterior recuperación de cuerpos en cementerios locales y zonas fluviales del Bajo y Medio Atrato, mitigando el dolor del impacto prolongado de la desaparición forzada. A la fecha se han realizado 28 entregas dignas de personas cuyos cuerpos han sido recuperados e identificados en la región de Urabá, Bajo </w:t>
      </w:r>
      <w:proofErr w:type="spellStart"/>
      <w:r w:rsidRPr="00D454E9">
        <w:rPr>
          <w:rFonts w:ascii="Verdana" w:hAnsi="Verdana"/>
        </w:rPr>
        <w:t>Atrató</w:t>
      </w:r>
      <w:proofErr w:type="spellEnd"/>
      <w:r w:rsidRPr="00D454E9">
        <w:rPr>
          <w:rFonts w:ascii="Verdana" w:hAnsi="Verdana"/>
        </w:rPr>
        <w:t xml:space="preserve"> y Darién, 18 provenientes del cementerio de las Mercedes en Dabeiba y 10 en otros municipios bajo la competencia del Caso 04.</w:t>
      </w:r>
    </w:p>
    <w:p w14:paraId="7985C111" w14:textId="77777777" w:rsidR="005C4381" w:rsidRDefault="005C4381" w:rsidP="005C4381">
      <w:pPr>
        <w:pStyle w:val="ListParagraph"/>
        <w:spacing w:line="276" w:lineRule="auto"/>
        <w:jc w:val="both"/>
        <w:rPr>
          <w:rFonts w:ascii="Verdana" w:hAnsi="Verdana"/>
        </w:rPr>
      </w:pPr>
    </w:p>
    <w:p w14:paraId="3B6568DF" w14:textId="7AA00AD2" w:rsidR="005C4381" w:rsidRDefault="005C4381" w:rsidP="005C4381">
      <w:pPr>
        <w:spacing w:line="276" w:lineRule="auto"/>
        <w:jc w:val="both"/>
        <w:rPr>
          <w:rFonts w:ascii="Verdana" w:hAnsi="Verdana"/>
          <w:i/>
          <w:iCs/>
        </w:rPr>
      </w:pPr>
      <w:r w:rsidRPr="005C4381">
        <w:rPr>
          <w:rFonts w:ascii="Verdana" w:hAnsi="Verdana"/>
          <w:i/>
          <w:iCs/>
        </w:rPr>
        <w:t>Caso 05: “Situación territorial en la región del norte del Cauca y el sur del Valle del Cauca”</w:t>
      </w:r>
    </w:p>
    <w:p w14:paraId="5CF93807" w14:textId="6A2B59C6" w:rsidR="00B87AF4" w:rsidRDefault="00B87AF4" w:rsidP="005C4381">
      <w:pPr>
        <w:spacing w:line="276" w:lineRule="auto"/>
        <w:jc w:val="both"/>
        <w:rPr>
          <w:rFonts w:ascii="Verdana" w:hAnsi="Verdana"/>
        </w:rPr>
      </w:pPr>
      <w:r w:rsidRPr="00B87AF4">
        <w:rPr>
          <w:rFonts w:ascii="Verdana" w:hAnsi="Verdana"/>
        </w:rPr>
        <w:t>En el caso 05 se han emitido los autos de determinación 01 de 2023 y 02 de 2024, en los cuales se atribuyó responsabilidad a 21 comparecientes en los siguientes crímenes: (i) asesinato, (</w:t>
      </w:r>
      <w:proofErr w:type="spellStart"/>
      <w:r w:rsidRPr="00B87AF4">
        <w:rPr>
          <w:rFonts w:ascii="Verdana" w:hAnsi="Verdana"/>
        </w:rPr>
        <w:t>ii</w:t>
      </w:r>
      <w:proofErr w:type="spellEnd"/>
      <w:r w:rsidRPr="00B87AF4">
        <w:rPr>
          <w:rFonts w:ascii="Verdana" w:hAnsi="Verdana"/>
        </w:rPr>
        <w:t>) desaparición forzada, (</w:t>
      </w:r>
      <w:proofErr w:type="spellStart"/>
      <w:r w:rsidRPr="00B87AF4">
        <w:rPr>
          <w:rFonts w:ascii="Verdana" w:hAnsi="Verdana"/>
        </w:rPr>
        <w:t>iii</w:t>
      </w:r>
      <w:proofErr w:type="spellEnd"/>
      <w:r w:rsidRPr="00B87AF4">
        <w:rPr>
          <w:rFonts w:ascii="Verdana" w:hAnsi="Verdana"/>
        </w:rPr>
        <w:t>) traslado forzoso de población, (</w:t>
      </w:r>
      <w:proofErr w:type="spellStart"/>
      <w:r w:rsidRPr="00B87AF4">
        <w:rPr>
          <w:rFonts w:ascii="Verdana" w:hAnsi="Verdana"/>
        </w:rPr>
        <w:t>iv</w:t>
      </w:r>
      <w:proofErr w:type="spellEnd"/>
      <w:r w:rsidRPr="00B87AF4">
        <w:rPr>
          <w:rFonts w:ascii="Verdana" w:hAnsi="Verdana"/>
        </w:rPr>
        <w:t>) persecución y (v) otros actos inhumanos de carácter similar y los crímenes de guerra de (vi) homicidio, (</w:t>
      </w:r>
      <w:proofErr w:type="spellStart"/>
      <w:r w:rsidRPr="00B87AF4">
        <w:rPr>
          <w:rFonts w:ascii="Verdana" w:hAnsi="Verdana"/>
        </w:rPr>
        <w:t>vii</w:t>
      </w:r>
      <w:proofErr w:type="spellEnd"/>
      <w:r w:rsidRPr="00B87AF4">
        <w:rPr>
          <w:rFonts w:ascii="Verdana" w:hAnsi="Verdana"/>
        </w:rPr>
        <w:t>) ejecuciones sin previo juicio ante un tribunal regularmente constituido con todas las garantías judiciales generalmente reconocidas como indispensables, (</w:t>
      </w:r>
      <w:proofErr w:type="spellStart"/>
      <w:r w:rsidRPr="00B87AF4">
        <w:rPr>
          <w:rFonts w:ascii="Verdana" w:hAnsi="Verdana"/>
        </w:rPr>
        <w:t>viii</w:t>
      </w:r>
      <w:proofErr w:type="spellEnd"/>
      <w:r w:rsidRPr="00B87AF4">
        <w:rPr>
          <w:rFonts w:ascii="Verdana" w:hAnsi="Verdana"/>
        </w:rPr>
        <w:t>) ordenar el desplazamiento de la población civil por razones relacionadas con el conflicto, (</w:t>
      </w:r>
      <w:proofErr w:type="spellStart"/>
      <w:r w:rsidRPr="00B87AF4">
        <w:rPr>
          <w:rFonts w:ascii="Verdana" w:hAnsi="Verdana"/>
        </w:rPr>
        <w:t>ix</w:t>
      </w:r>
      <w:proofErr w:type="spellEnd"/>
      <w:r w:rsidRPr="00B87AF4">
        <w:rPr>
          <w:rFonts w:ascii="Verdana" w:hAnsi="Verdana"/>
        </w:rPr>
        <w:t>) utilización, reclutamiento o alistamiento de niños y niñas, (x) empleo, producción, comercialización y almacenamiento de minas antipersonal, (xi) atentados contra la vida y la integridad corporal, (</w:t>
      </w:r>
      <w:proofErr w:type="spellStart"/>
      <w:r w:rsidRPr="00B87AF4">
        <w:rPr>
          <w:rFonts w:ascii="Verdana" w:hAnsi="Verdana"/>
        </w:rPr>
        <w:t>xii</w:t>
      </w:r>
      <w:proofErr w:type="spellEnd"/>
      <w:r w:rsidRPr="00B87AF4">
        <w:rPr>
          <w:rFonts w:ascii="Verdana" w:hAnsi="Verdana"/>
        </w:rPr>
        <w:t>) dirigir intencionalmente ataques contra la población civil, y (</w:t>
      </w:r>
      <w:proofErr w:type="spellStart"/>
      <w:r w:rsidRPr="00B87AF4">
        <w:rPr>
          <w:rFonts w:ascii="Verdana" w:hAnsi="Verdana"/>
        </w:rPr>
        <w:t>xiii</w:t>
      </w:r>
      <w:proofErr w:type="spellEnd"/>
      <w:r w:rsidRPr="00B87AF4">
        <w:rPr>
          <w:rFonts w:ascii="Verdana" w:hAnsi="Verdana"/>
        </w:rPr>
        <w:t>) los crímenes de guerra de destrucción del medio ambiente y de destrucción de bienes culturales y de lugares de culto.</w:t>
      </w:r>
    </w:p>
    <w:p w14:paraId="0D23DB90" w14:textId="77777777" w:rsidR="00B87AF4" w:rsidRDefault="00B87AF4" w:rsidP="005C4381">
      <w:pPr>
        <w:spacing w:line="276" w:lineRule="auto"/>
        <w:jc w:val="both"/>
        <w:rPr>
          <w:rFonts w:ascii="Verdana" w:hAnsi="Verdana"/>
        </w:rPr>
      </w:pPr>
    </w:p>
    <w:p w14:paraId="04945042" w14:textId="1696FD33" w:rsidR="00B87AF4" w:rsidRDefault="00B87AF4" w:rsidP="005C4381">
      <w:pPr>
        <w:spacing w:line="276" w:lineRule="auto"/>
        <w:jc w:val="both"/>
        <w:rPr>
          <w:rFonts w:ascii="Verdana" w:hAnsi="Verdana"/>
          <w:i/>
          <w:iCs/>
        </w:rPr>
      </w:pPr>
      <w:r>
        <w:rPr>
          <w:rFonts w:ascii="Verdana" w:hAnsi="Verdana"/>
          <w:i/>
          <w:iCs/>
        </w:rPr>
        <w:lastRenderedPageBreak/>
        <w:t>Caso 06: “Genocidio contra el partido político Unión Patriótica”</w:t>
      </w:r>
    </w:p>
    <w:p w14:paraId="6E77C7AB" w14:textId="210DD3C3" w:rsidR="00B87AF4" w:rsidRDefault="00795097" w:rsidP="005C4381">
      <w:pPr>
        <w:spacing w:line="276" w:lineRule="auto"/>
        <w:jc w:val="both"/>
        <w:rPr>
          <w:rFonts w:ascii="Verdana" w:hAnsi="Verdana"/>
        </w:rPr>
      </w:pPr>
      <w:r w:rsidRPr="00795097">
        <w:rPr>
          <w:rFonts w:ascii="Verdana" w:hAnsi="Verdana"/>
        </w:rPr>
        <w:t xml:space="preserve">El 26 de febrero de 2019, a través del Auto No. 027, la SRVR avocó conocimiento del </w:t>
      </w:r>
      <w:proofErr w:type="spellStart"/>
      <w:r w:rsidRPr="00795097">
        <w:rPr>
          <w:rFonts w:ascii="Verdana" w:hAnsi="Verdana"/>
        </w:rPr>
        <w:t>macrocaso</w:t>
      </w:r>
      <w:proofErr w:type="spellEnd"/>
      <w:r w:rsidRPr="00795097">
        <w:rPr>
          <w:rFonts w:ascii="Verdana" w:hAnsi="Verdana"/>
        </w:rPr>
        <w:t xml:space="preserve"> 06, a partir del Informe No. 3 presentado por la </w:t>
      </w:r>
      <w:proofErr w:type="gramStart"/>
      <w:r w:rsidRPr="00795097">
        <w:rPr>
          <w:rFonts w:ascii="Verdana" w:hAnsi="Verdana"/>
        </w:rPr>
        <w:t>Fiscalía General</w:t>
      </w:r>
      <w:proofErr w:type="gramEnd"/>
      <w:r w:rsidRPr="00795097">
        <w:rPr>
          <w:rFonts w:ascii="Verdana" w:hAnsi="Verdana"/>
        </w:rPr>
        <w:t xml:space="preserve"> de la Nación, titulado “Victimización de miembros de la Unión Patriótica (UP) por parte de agentes del Estado”; del Informe de la Corporación Reiniciar “¡Venga esa mano, país! Memoria viva de una vergüenza nacional”; del Informe del Centro Nacional de Memoria Histórica (CNMH) “Todo pasó frente a nuestros ojos. El genocidio de la Unión Patriótica 1984-2002”; así como del informe del secretario ejecutivo de la JEP y de decenas de providencias judiciales de la Corte Constitucional, la Corte Suprema de Justicia, el Consejo de Estado, Tribunales Superiores y la Corte Interamericana de Derechos Humanos (Corte IDH).</w:t>
      </w:r>
    </w:p>
    <w:p w14:paraId="54531606" w14:textId="2D79380F" w:rsidR="008564B4" w:rsidRDefault="008564B4" w:rsidP="005C4381">
      <w:pPr>
        <w:spacing w:line="276" w:lineRule="auto"/>
        <w:jc w:val="both"/>
        <w:rPr>
          <w:rFonts w:ascii="Verdana" w:hAnsi="Verdana"/>
        </w:rPr>
      </w:pPr>
      <w:r>
        <w:rPr>
          <w:rFonts w:ascii="Verdana" w:hAnsi="Verdana"/>
        </w:rPr>
        <w:t>L</w:t>
      </w:r>
      <w:r w:rsidRPr="008564B4">
        <w:rPr>
          <w:rFonts w:ascii="Verdana" w:hAnsi="Verdana"/>
        </w:rPr>
        <w:t>a SRVR pudo establecer que entre 1984 y 2016, por lo menos 5.733 personas fueron víctimas de asesinatos y desapariciones forzadas en todo el país en el marco del ataque contra la Unión Patriótica, además de 2.217 víctimas de desplazamiento forzado como parte de la violencia no letal. Además, constató que una de cada siete víctimas de homicidio y desaparición forzada sufrió, además, otras formas de violencia previa (como amenazas, detenciones arbitrarias, torturas, atentados o desplazamiento forzado).</w:t>
      </w:r>
    </w:p>
    <w:p w14:paraId="1A589F24" w14:textId="57456C00" w:rsidR="00D410AB" w:rsidRDefault="00D410AB" w:rsidP="005C4381">
      <w:pPr>
        <w:spacing w:line="276" w:lineRule="auto"/>
        <w:jc w:val="both"/>
        <w:rPr>
          <w:rFonts w:ascii="Verdana" w:hAnsi="Verdana"/>
        </w:rPr>
      </w:pPr>
      <w:r w:rsidRPr="00D410AB">
        <w:rPr>
          <w:rFonts w:ascii="Verdana" w:hAnsi="Verdana"/>
        </w:rPr>
        <w:t xml:space="preserve">La SRVR estableció que la violencia contra la UP fue continua a lo largo del periodo 1984-2007, pero registró variaciones. Se logró diferenciar tres periodos críticos en el ataque contra la UP, en función de la tendencia de violencia que registró una etapa de escalamiento seguida de un </w:t>
      </w:r>
      <w:proofErr w:type="spellStart"/>
      <w:r w:rsidRPr="00D410AB">
        <w:rPr>
          <w:rFonts w:ascii="Verdana" w:hAnsi="Verdana"/>
        </w:rPr>
        <w:t>desescalamiento</w:t>
      </w:r>
      <w:proofErr w:type="spellEnd"/>
      <w:r w:rsidRPr="00D410AB">
        <w:rPr>
          <w:rFonts w:ascii="Verdana" w:hAnsi="Verdana"/>
        </w:rPr>
        <w:t xml:space="preserve"> transitorio para luego volver a aumentar.</w:t>
      </w:r>
    </w:p>
    <w:p w14:paraId="0BF10D71" w14:textId="50C34601" w:rsidR="00560281" w:rsidRDefault="00560281" w:rsidP="005C4381">
      <w:pPr>
        <w:spacing w:line="276" w:lineRule="auto"/>
        <w:jc w:val="both"/>
        <w:rPr>
          <w:rFonts w:ascii="Verdana" w:hAnsi="Verdana"/>
        </w:rPr>
      </w:pPr>
      <w:r w:rsidRPr="00560281">
        <w:rPr>
          <w:rFonts w:ascii="Verdana" w:hAnsi="Verdana"/>
        </w:rPr>
        <w:t xml:space="preserve">La caracterización del UPH y víctimas le permitió a la SRVR adoptar la priorización interna del </w:t>
      </w:r>
      <w:proofErr w:type="spellStart"/>
      <w:r w:rsidRPr="00560281">
        <w:rPr>
          <w:rFonts w:ascii="Verdana" w:hAnsi="Verdana"/>
        </w:rPr>
        <w:t>macrocaso</w:t>
      </w:r>
      <w:proofErr w:type="spellEnd"/>
      <w:r w:rsidRPr="00560281">
        <w:rPr>
          <w:rFonts w:ascii="Verdana" w:hAnsi="Verdana"/>
        </w:rPr>
        <w:t xml:space="preserve"> 06, a partir de la concentración territorial y temporal de los crímenes, identificando cinco situaciones críticas en las cuales centrar la investigación. Estas fueron: i) Magdalena Medio y Nordeste Antioqueño, entre 1985 y 1993; </w:t>
      </w:r>
      <w:proofErr w:type="spellStart"/>
      <w:r w:rsidRPr="00560281">
        <w:rPr>
          <w:rFonts w:ascii="Verdana" w:hAnsi="Verdana"/>
        </w:rPr>
        <w:t>ii</w:t>
      </w:r>
      <w:proofErr w:type="spellEnd"/>
      <w:r w:rsidRPr="00560281">
        <w:rPr>
          <w:rFonts w:ascii="Verdana" w:hAnsi="Verdana"/>
        </w:rPr>
        <w:t xml:space="preserve">) Ariari-Guayabero y piedemonte llanero entre 1985 y 1993, y 1999 y 2006; </w:t>
      </w:r>
      <w:proofErr w:type="spellStart"/>
      <w:r w:rsidRPr="00560281">
        <w:rPr>
          <w:rFonts w:ascii="Verdana" w:hAnsi="Verdana"/>
        </w:rPr>
        <w:t>iii</w:t>
      </w:r>
      <w:proofErr w:type="spellEnd"/>
      <w:r w:rsidRPr="00560281">
        <w:rPr>
          <w:rFonts w:ascii="Verdana" w:hAnsi="Verdana"/>
        </w:rPr>
        <w:t xml:space="preserve">) Cundinamarca y Sumapaz entre 1991 y 2001; </w:t>
      </w:r>
      <w:proofErr w:type="spellStart"/>
      <w:r w:rsidRPr="00560281">
        <w:rPr>
          <w:rFonts w:ascii="Verdana" w:hAnsi="Verdana"/>
        </w:rPr>
        <w:t>iv</w:t>
      </w:r>
      <w:proofErr w:type="spellEnd"/>
      <w:r w:rsidRPr="00560281">
        <w:rPr>
          <w:rFonts w:ascii="Verdana" w:hAnsi="Verdana"/>
        </w:rPr>
        <w:t>) Apartadó en Urabá en 1996, y v) Tolima entre 2003 y 2006.</w:t>
      </w:r>
    </w:p>
    <w:p w14:paraId="74E11A4D" w14:textId="06EF5E87" w:rsidR="00DE4F97" w:rsidRDefault="00842561" w:rsidP="00144277">
      <w:pPr>
        <w:spacing w:line="276" w:lineRule="auto"/>
        <w:jc w:val="both"/>
        <w:rPr>
          <w:rFonts w:ascii="Verdana" w:hAnsi="Verdana"/>
        </w:rPr>
      </w:pPr>
      <w:r w:rsidRPr="00842561">
        <w:rPr>
          <w:rFonts w:ascii="Verdana" w:hAnsi="Verdana"/>
        </w:rPr>
        <w:t>Así, entre el 21 de octubre del 2019 y el 16 de junio del 2023, la SRVR escuchó a 105 víctimas sobrevivientes y familiares de los militantes y dirigentes del Partido asesinados y desaparecidos forzadamente, tanto en el exilio como en el país.</w:t>
      </w:r>
    </w:p>
    <w:p w14:paraId="28A7A2A0" w14:textId="7A86B3CC" w:rsidR="00C17AA7" w:rsidRDefault="00C17AA7" w:rsidP="00144277">
      <w:pPr>
        <w:spacing w:line="276" w:lineRule="auto"/>
        <w:jc w:val="both"/>
        <w:rPr>
          <w:rFonts w:ascii="Verdana" w:hAnsi="Verdana"/>
        </w:rPr>
      </w:pPr>
      <w:r w:rsidRPr="00C17AA7">
        <w:rPr>
          <w:rFonts w:ascii="Verdana" w:hAnsi="Verdana"/>
        </w:rPr>
        <w:t xml:space="preserve">A la fecha, en el marco del </w:t>
      </w:r>
      <w:proofErr w:type="spellStart"/>
      <w:r w:rsidRPr="00C17AA7">
        <w:rPr>
          <w:rFonts w:ascii="Verdana" w:hAnsi="Verdana"/>
        </w:rPr>
        <w:t>macrocaso</w:t>
      </w:r>
      <w:proofErr w:type="spellEnd"/>
      <w:r w:rsidRPr="00C17AA7">
        <w:rPr>
          <w:rFonts w:ascii="Verdana" w:hAnsi="Verdana"/>
        </w:rPr>
        <w:t xml:space="preserve"> 06, la SRVR ha acreditado a cinco sujetos colectivos y más de 1.000 víctimas individuales entre sobrevivientes y familiares de militantes y dirigentes asesinados y desaparecidos forzadamente de la Unión Patriótica.</w:t>
      </w:r>
    </w:p>
    <w:p w14:paraId="323CCE2C" w14:textId="3C0FD73B" w:rsidR="000742F7" w:rsidRDefault="000742F7" w:rsidP="00144277">
      <w:pPr>
        <w:spacing w:line="276" w:lineRule="auto"/>
        <w:jc w:val="both"/>
        <w:rPr>
          <w:rFonts w:ascii="Verdana" w:hAnsi="Verdana"/>
        </w:rPr>
      </w:pPr>
      <w:r w:rsidRPr="000742F7">
        <w:rPr>
          <w:rFonts w:ascii="Verdana" w:hAnsi="Verdana"/>
        </w:rPr>
        <w:lastRenderedPageBreak/>
        <w:t>A la fecha, en el marco del Caso No. 06 y de conformidad con el artículo 79 (e) de la LEAJEP y el artículo 27 A de la Ley 1922 de 2018, la SRVR ha escuchado a 68 comparecientes en 142 diligencias de versión voluntaria, así: 23 comparecientes antiguos miembros de unidades de inteligencia civil y militar, 25 presuntamente asociados a los crímenes cometidos en el departamento del Tolima, 14 presuntamente asociados a los crímenes cometidos en el Municipio de Apartadó en Urabá, y seis a los crímenes perpetrados en la región de Ariari-Guayabero y Piedemonte Llanero.</w:t>
      </w:r>
    </w:p>
    <w:p w14:paraId="71FFFF5F" w14:textId="77777777" w:rsidR="00E81BEB" w:rsidRDefault="00E81BEB" w:rsidP="00144277">
      <w:pPr>
        <w:spacing w:line="276" w:lineRule="auto"/>
        <w:jc w:val="both"/>
        <w:rPr>
          <w:rFonts w:ascii="Verdana" w:hAnsi="Verdana"/>
        </w:rPr>
      </w:pPr>
      <w:r w:rsidRPr="00E81BEB">
        <w:rPr>
          <w:rFonts w:ascii="Verdana" w:hAnsi="Verdana"/>
        </w:rPr>
        <w:t xml:space="preserve">A través de los Autos CDG 06 – 084 del 17 de junio de 2025 y CDG 06 –092 del 27 de junio de 2025, se solicitaron y recibieron documentos oficiales por parte del Ministerio de Defensa Nacional, entre los que se encuentran manuales de operaciones e inteligencia, directivas, circulares, información sobre la composición de las unidades, hojas de vida de los comparecientes y resultados operacionales. </w:t>
      </w:r>
    </w:p>
    <w:p w14:paraId="3A48B8BA" w14:textId="7662CCD6" w:rsidR="00E81BEB" w:rsidRDefault="00E81BEB" w:rsidP="00144277">
      <w:pPr>
        <w:spacing w:line="276" w:lineRule="auto"/>
        <w:jc w:val="both"/>
        <w:rPr>
          <w:rFonts w:ascii="Verdana" w:hAnsi="Verdana"/>
        </w:rPr>
      </w:pPr>
      <w:r w:rsidRPr="00E81BEB">
        <w:rPr>
          <w:rFonts w:ascii="Verdana" w:hAnsi="Verdana"/>
        </w:rPr>
        <w:t>El 2 de febrero de 2023, la Sección de Ausencia de Reconocimiento del Tribunal para la Paz profirió el Auto SAR-AT-036, mediante el cual decretó medida cautelar sobre los archivos de la antigua Brigada XX del Ejército Nacional</w:t>
      </w:r>
      <w:r w:rsidR="00BA49C9">
        <w:rPr>
          <w:rFonts w:ascii="Verdana" w:hAnsi="Verdana"/>
        </w:rPr>
        <w:t>.</w:t>
      </w:r>
    </w:p>
    <w:p w14:paraId="41AF20F9" w14:textId="7BDC903A" w:rsidR="00BA49C9" w:rsidRDefault="00BA49C9" w:rsidP="00144277">
      <w:pPr>
        <w:spacing w:line="276" w:lineRule="auto"/>
        <w:jc w:val="both"/>
        <w:rPr>
          <w:rFonts w:ascii="Verdana" w:hAnsi="Verdana"/>
        </w:rPr>
      </w:pPr>
      <w:r w:rsidRPr="00BA49C9">
        <w:rPr>
          <w:rFonts w:ascii="Verdana" w:hAnsi="Verdana"/>
        </w:rPr>
        <w:t>A través del Auto AT223GSM del 5 agosto de 2024, la SRVR convocó a la audiencia reservada de presentación oral de observaciones a las versiones voluntarias por parte de las víctimas acreditadas, para los días 16 y 17 de septiembre de 2024 en la ciudad de Medellín (Antioquia), tal como fue solicitado por las organizaciones representantes de las víctimas y el Ministerio Público. En esta audiencia, 20 víctimas acreditadas en el Caso presentaron su testimonio ante la magistratura, de manera presencial o a través de herramientas audiovisuales. Los representantes judiciales de las víctimas y el Ministerio Público también tuvieron la oportunidad de dirigirse a la SRVR. Doce de los comparecientes vinculados a la investigación Apartadó 1996 escucharon a las víctimas desde una sala espejo en la sede de la JEP en Bogotá D.C.</w:t>
      </w:r>
    </w:p>
    <w:p w14:paraId="51EBE836" w14:textId="4926FCD9" w:rsidR="008D02C6" w:rsidRPr="00C702E0" w:rsidRDefault="008D02C6" w:rsidP="00144277">
      <w:pPr>
        <w:spacing w:line="276" w:lineRule="auto"/>
        <w:jc w:val="both"/>
        <w:rPr>
          <w:rFonts w:ascii="Verdana" w:hAnsi="Verdana"/>
          <w:i/>
          <w:iCs/>
        </w:rPr>
      </w:pPr>
      <w:r w:rsidRPr="008D02C6">
        <w:rPr>
          <w:rFonts w:ascii="Verdana" w:hAnsi="Verdana"/>
        </w:rPr>
        <w:t xml:space="preserve">La instrucción del </w:t>
      </w:r>
      <w:proofErr w:type="spellStart"/>
      <w:r w:rsidRPr="008D02C6">
        <w:rPr>
          <w:rFonts w:ascii="Verdana" w:hAnsi="Verdana"/>
        </w:rPr>
        <w:t>subcaso</w:t>
      </w:r>
      <w:proofErr w:type="spellEnd"/>
      <w:r w:rsidRPr="008D02C6">
        <w:rPr>
          <w:rFonts w:ascii="Verdana" w:hAnsi="Verdana"/>
        </w:rPr>
        <w:t xml:space="preserve"> de Urabá permitió la expedición del Auto No. 10 del 5 de diciembre de 2025, en el que la Sala declaró que entre 1984 y 2007 se desplegó, en el territorio nacional, un</w:t>
      </w:r>
      <w:r>
        <w:rPr>
          <w:rFonts w:ascii="Verdana" w:hAnsi="Verdana"/>
        </w:rPr>
        <w:t xml:space="preserve"> </w:t>
      </w:r>
      <w:r w:rsidRPr="008D02C6">
        <w:rPr>
          <w:rFonts w:ascii="Verdana" w:hAnsi="Verdana"/>
        </w:rPr>
        <w:t>ataque sistemático contra la Unión Patriótica con la finalidad de destruirla como grupo político, concluyendo que tales hechos configuran un genocidio en los términos del artículo 101 del Código Penal colombiano y ordenando, en consecuencia, la modificación de la denominación del Caso No. 06 a “</w:t>
      </w:r>
      <w:r w:rsidRPr="00C702E0">
        <w:rPr>
          <w:rFonts w:ascii="Verdana" w:hAnsi="Verdana"/>
          <w:i/>
          <w:iCs/>
        </w:rPr>
        <w:t>Genocidio contra la Unión Patriótica”.</w:t>
      </w:r>
    </w:p>
    <w:p w14:paraId="02A303A0" w14:textId="77777777" w:rsidR="00C702E0" w:rsidRPr="00C702E0" w:rsidRDefault="00C702E0" w:rsidP="00144277">
      <w:pPr>
        <w:spacing w:line="276" w:lineRule="auto"/>
        <w:jc w:val="both"/>
        <w:rPr>
          <w:rFonts w:ascii="Verdana" w:hAnsi="Verdana"/>
          <w:i/>
          <w:iCs/>
        </w:rPr>
      </w:pPr>
      <w:proofErr w:type="spellStart"/>
      <w:r w:rsidRPr="00C702E0">
        <w:rPr>
          <w:rFonts w:ascii="Verdana" w:hAnsi="Verdana"/>
          <w:i/>
          <w:iCs/>
        </w:rPr>
        <w:t>Subcaso</w:t>
      </w:r>
      <w:proofErr w:type="spellEnd"/>
      <w:r w:rsidRPr="00C702E0">
        <w:rPr>
          <w:rFonts w:ascii="Verdana" w:hAnsi="Verdana"/>
          <w:i/>
          <w:iCs/>
        </w:rPr>
        <w:t xml:space="preserve"> de inteligencia militar: </w:t>
      </w:r>
    </w:p>
    <w:p w14:paraId="1E73EFD9" w14:textId="2257CFE6" w:rsidR="00C702E0" w:rsidRDefault="00C702E0" w:rsidP="00144277">
      <w:pPr>
        <w:spacing w:line="276" w:lineRule="auto"/>
        <w:jc w:val="both"/>
        <w:rPr>
          <w:rFonts w:ascii="Verdana" w:hAnsi="Verdana"/>
        </w:rPr>
      </w:pPr>
      <w:r>
        <w:rPr>
          <w:rFonts w:ascii="Verdana" w:hAnsi="Verdana"/>
        </w:rPr>
        <w:t>El</w:t>
      </w:r>
      <w:r w:rsidRPr="00C702E0">
        <w:rPr>
          <w:rFonts w:ascii="Verdana" w:hAnsi="Verdana"/>
        </w:rPr>
        <w:t xml:space="preserve"> despacho relator del caso adelanta una instrucción conjunta entre el Caso 06 y el Caso 08 (denominado “crímenes cometidos por miembros de la fuerza </w:t>
      </w:r>
      <w:r w:rsidRPr="00C702E0">
        <w:rPr>
          <w:rFonts w:ascii="Verdana" w:hAnsi="Verdana"/>
        </w:rPr>
        <w:lastRenderedPageBreak/>
        <w:t xml:space="preserve">pública, otros agentes del Estado, o en asociación con grupos paramilitares, o terceros civiles, por causa, con ocasión, o en relación directa o indirecta con el conflicto armado colombiano”), con el propósito de avanzar en el </w:t>
      </w:r>
      <w:proofErr w:type="spellStart"/>
      <w:r w:rsidRPr="00C702E0">
        <w:rPr>
          <w:rFonts w:ascii="Verdana" w:hAnsi="Verdana"/>
        </w:rPr>
        <w:t>subcaso</w:t>
      </w:r>
      <w:proofErr w:type="spellEnd"/>
      <w:r w:rsidRPr="00C702E0">
        <w:rPr>
          <w:rFonts w:ascii="Verdana" w:hAnsi="Verdana"/>
        </w:rPr>
        <w:t xml:space="preserve"> de inteligencia militar. En el marco de este </w:t>
      </w:r>
      <w:proofErr w:type="spellStart"/>
      <w:r w:rsidRPr="00C702E0">
        <w:rPr>
          <w:rFonts w:ascii="Verdana" w:hAnsi="Verdana"/>
        </w:rPr>
        <w:t>subcaso</w:t>
      </w:r>
      <w:proofErr w:type="spellEnd"/>
      <w:r w:rsidRPr="00C702E0">
        <w:rPr>
          <w:rFonts w:ascii="Verdana" w:hAnsi="Verdana"/>
        </w:rPr>
        <w:t xml:space="preserve"> se busca determinar la participación de la inteligencia militar cubierta en la victimización de militantes </w:t>
      </w:r>
      <w:proofErr w:type="spellStart"/>
      <w:proofErr w:type="gramStart"/>
      <w:r w:rsidRPr="00C702E0">
        <w:rPr>
          <w:rFonts w:ascii="Verdana" w:hAnsi="Verdana"/>
        </w:rPr>
        <w:t>upecistas</w:t>
      </w:r>
      <w:proofErr w:type="spellEnd"/>
      <w:proofErr w:type="gramEnd"/>
      <w:r w:rsidRPr="00C702E0">
        <w:rPr>
          <w:rFonts w:ascii="Verdana" w:hAnsi="Verdana"/>
        </w:rPr>
        <w:t xml:space="preserve"> pero, también de integrantes de grupos insurgentes como el M-19, el EPL y las FARC en un periodo que va desde 1985 hasta 1993. La SRVR ha concentrado la investigación en las siguientes unidades militares: el Batallón de Inteligencia y Contrainteligencia Brigadier Charry Solano (BINCI) que estuvo en funcionamiento desde el año 1964 hasta 1985, el Comando Operativo de Inteligencia y Contrainteligencia (COICI), que operó en los años 1985 y 1986 y la Brigada XX del Ejército Nacional, que fue activada en diciembre de 1986. </w:t>
      </w:r>
    </w:p>
    <w:p w14:paraId="0694C8D2" w14:textId="5E23CCC8" w:rsidR="00C702E0" w:rsidRDefault="00C702E0" w:rsidP="00144277">
      <w:pPr>
        <w:spacing w:line="276" w:lineRule="auto"/>
        <w:jc w:val="both"/>
        <w:rPr>
          <w:rFonts w:ascii="Verdana" w:hAnsi="Verdana"/>
        </w:rPr>
      </w:pPr>
      <w:r w:rsidRPr="00C702E0">
        <w:rPr>
          <w:rFonts w:ascii="Verdana" w:hAnsi="Verdana"/>
        </w:rPr>
        <w:t xml:space="preserve">Actualmente, el caso se encuentra en la fase de contrastación y de análisis con miras a expedir un Auto de Determinación de Hechos y Conductas sobre este </w:t>
      </w:r>
      <w:proofErr w:type="spellStart"/>
      <w:r w:rsidRPr="00C702E0">
        <w:rPr>
          <w:rFonts w:ascii="Verdana" w:hAnsi="Verdana"/>
        </w:rPr>
        <w:t>subcaso</w:t>
      </w:r>
      <w:proofErr w:type="spellEnd"/>
      <w:r w:rsidRPr="00C702E0">
        <w:rPr>
          <w:rFonts w:ascii="Verdana" w:hAnsi="Verdana"/>
        </w:rPr>
        <w:t>.</w:t>
      </w:r>
    </w:p>
    <w:p w14:paraId="3C1713E0" w14:textId="77777777" w:rsidR="00C702E0" w:rsidRDefault="00C702E0" w:rsidP="00144277">
      <w:pPr>
        <w:spacing w:line="276" w:lineRule="auto"/>
        <w:jc w:val="both"/>
        <w:rPr>
          <w:rFonts w:ascii="Verdana" w:hAnsi="Verdana"/>
        </w:rPr>
      </w:pPr>
    </w:p>
    <w:p w14:paraId="4060D787" w14:textId="30483788" w:rsidR="00C702E0" w:rsidRDefault="00C702E0" w:rsidP="00144277">
      <w:pPr>
        <w:spacing w:line="276" w:lineRule="auto"/>
        <w:jc w:val="both"/>
        <w:rPr>
          <w:rFonts w:ascii="Verdana" w:hAnsi="Verdana"/>
          <w:i/>
          <w:iCs/>
        </w:rPr>
      </w:pPr>
      <w:r>
        <w:rPr>
          <w:rFonts w:ascii="Verdana" w:hAnsi="Verdana"/>
          <w:i/>
          <w:iCs/>
        </w:rPr>
        <w:t>Caso 07 “Reclutamiento y utilización de niñas y niños en el conflicto armado”</w:t>
      </w:r>
    </w:p>
    <w:p w14:paraId="63900F3E" w14:textId="550854A8" w:rsidR="00F100CC" w:rsidRDefault="00F100CC" w:rsidP="00144277">
      <w:pPr>
        <w:spacing w:line="276" w:lineRule="auto"/>
        <w:jc w:val="both"/>
        <w:rPr>
          <w:rFonts w:ascii="Verdana" w:hAnsi="Verdana"/>
        </w:rPr>
      </w:pPr>
      <w:r w:rsidRPr="00F100CC">
        <w:rPr>
          <w:rFonts w:ascii="Verdana" w:hAnsi="Verdana"/>
        </w:rPr>
        <w:t xml:space="preserve">De manera preliminar, la SRVR tiene bajo su conocimiento el Caso 07, relativo al reclutamiento y utilización de niñas y niños en el conflicto armado y otros crímenes cometidos en su contra en el marco de la vida </w:t>
      </w:r>
      <w:proofErr w:type="spellStart"/>
      <w:r w:rsidRPr="00F100CC">
        <w:rPr>
          <w:rFonts w:ascii="Verdana" w:hAnsi="Verdana"/>
        </w:rPr>
        <w:t>intrafilas</w:t>
      </w:r>
      <w:proofErr w:type="spellEnd"/>
      <w:r w:rsidRPr="00F100CC">
        <w:rPr>
          <w:rFonts w:ascii="Verdana" w:hAnsi="Verdana"/>
        </w:rPr>
        <w:t xml:space="preserve">, así como el Caso 11, </w:t>
      </w:r>
      <w:proofErr w:type="spellStart"/>
      <w:r w:rsidRPr="00F100CC">
        <w:rPr>
          <w:rFonts w:ascii="Verdana" w:hAnsi="Verdana"/>
        </w:rPr>
        <w:t>Subcaso</w:t>
      </w:r>
      <w:proofErr w:type="spellEnd"/>
      <w:r w:rsidRPr="00F100CC">
        <w:rPr>
          <w:rFonts w:ascii="Verdana" w:hAnsi="Verdana"/>
        </w:rPr>
        <w:t xml:space="preserve"> 03, sobre violencia </w:t>
      </w:r>
      <w:proofErr w:type="spellStart"/>
      <w:r w:rsidRPr="00F100CC">
        <w:rPr>
          <w:rFonts w:ascii="Verdana" w:hAnsi="Verdana"/>
        </w:rPr>
        <w:t>intrafilas</w:t>
      </w:r>
      <w:proofErr w:type="spellEnd"/>
      <w:r w:rsidRPr="00F100CC">
        <w:rPr>
          <w:rFonts w:ascii="Verdana" w:hAnsi="Verdana"/>
        </w:rPr>
        <w:t>: violencia sexual, reproductiva y otras violencias basadas en género y por prejuicio al interior de la Fuerza Pública y de las FARC-EP.</w:t>
      </w:r>
    </w:p>
    <w:p w14:paraId="72A8181F" w14:textId="13735397" w:rsidR="00390E94" w:rsidRDefault="00390E94" w:rsidP="00144277">
      <w:pPr>
        <w:spacing w:line="276" w:lineRule="auto"/>
        <w:jc w:val="both"/>
        <w:rPr>
          <w:rFonts w:ascii="Verdana" w:hAnsi="Verdana"/>
        </w:rPr>
      </w:pPr>
      <w:r>
        <w:rPr>
          <w:rFonts w:ascii="Verdana" w:hAnsi="Verdana"/>
        </w:rPr>
        <w:t>El</w:t>
      </w:r>
      <w:r w:rsidRPr="00390E94">
        <w:rPr>
          <w:rFonts w:ascii="Verdana" w:hAnsi="Verdana"/>
        </w:rPr>
        <w:t xml:space="preserve"> 9 de octubre de 2024 profirió el Auto 05 de 2024, mediante el cual determinó los hechos y conductas atribuibles a los máximos responsables por liderazgo nacional de las extintas FARC-EP y les atribuyó responsabilidad por cinco patrones </w:t>
      </w:r>
      <w:proofErr w:type="spellStart"/>
      <w:r w:rsidRPr="00390E94">
        <w:rPr>
          <w:rFonts w:ascii="Verdana" w:hAnsi="Verdana"/>
        </w:rPr>
        <w:t>macrocriminales</w:t>
      </w:r>
      <w:proofErr w:type="spellEnd"/>
      <w:r w:rsidRPr="00390E94">
        <w:rPr>
          <w:rFonts w:ascii="Verdana" w:hAnsi="Verdana"/>
        </w:rPr>
        <w:t xml:space="preserve">, entre ellos el reclutamiento y utilización de niños y niñas. Posteriormente, el 25 de marzo de 2026, mediante el Auto 07 de 2026, la SRVR avanzó en la determinación de los hechos y conductas atribuibles a máximos responsables por liderazgo regional y por participación determinante respecto del patrón de reclutamiento y utilización de </w:t>
      </w:r>
      <w:proofErr w:type="gramStart"/>
      <w:r w:rsidRPr="00390E94">
        <w:rPr>
          <w:rFonts w:ascii="Verdana" w:hAnsi="Verdana"/>
        </w:rPr>
        <w:t>niños y niñas</w:t>
      </w:r>
      <w:proofErr w:type="gramEnd"/>
      <w:r w:rsidRPr="00390E94">
        <w:rPr>
          <w:rFonts w:ascii="Verdana" w:hAnsi="Verdana"/>
        </w:rPr>
        <w:t>, ampliando el alcance de la investigación y consolidando el esclarecimiento judicial de estos hechos.</w:t>
      </w:r>
    </w:p>
    <w:p w14:paraId="06AB0F7B" w14:textId="2A7334AB" w:rsidR="00F86441" w:rsidRDefault="00F86441" w:rsidP="00144277">
      <w:pPr>
        <w:spacing w:line="276" w:lineRule="auto"/>
        <w:jc w:val="both"/>
        <w:rPr>
          <w:rFonts w:ascii="Verdana" w:hAnsi="Verdana"/>
        </w:rPr>
      </w:pPr>
      <w:r>
        <w:rPr>
          <w:rFonts w:ascii="Verdana" w:hAnsi="Verdana"/>
        </w:rPr>
        <w:t>E</w:t>
      </w:r>
      <w:r w:rsidRPr="00F86441">
        <w:rPr>
          <w:rFonts w:ascii="Verdana" w:hAnsi="Verdana"/>
        </w:rPr>
        <w:t xml:space="preserve">n el marco del Auto 07 de 2026, la SRVR destacó que, con corte al 20 de marzo de 2026, se habían acreditado 2.025 víctimas individuales, seis sujetos colectivos étnicos que agrupan 9.027 personas, recibido 93 informes, sistematizado 4.727 demandas de verdad y practicado 84 versiones voluntarias, </w:t>
      </w:r>
      <w:r w:rsidRPr="00F86441">
        <w:rPr>
          <w:rFonts w:ascii="Verdana" w:hAnsi="Verdana"/>
        </w:rPr>
        <w:lastRenderedPageBreak/>
        <w:t>insumos que han permitido avanzar en el esclarecimiento de los hechos y en la determinación de responsabilidades.</w:t>
      </w:r>
    </w:p>
    <w:p w14:paraId="6E19BC1F" w14:textId="77777777" w:rsidR="00DC26BE" w:rsidRDefault="00DC26BE" w:rsidP="00144277">
      <w:pPr>
        <w:spacing w:line="276" w:lineRule="auto"/>
        <w:jc w:val="both"/>
        <w:rPr>
          <w:rFonts w:ascii="Verdana" w:hAnsi="Verdana"/>
        </w:rPr>
      </w:pPr>
      <w:r w:rsidRPr="00DC26BE">
        <w:rPr>
          <w:rFonts w:ascii="Verdana" w:hAnsi="Verdana"/>
        </w:rPr>
        <w:t xml:space="preserve">En ese sentido, mediante el Auto 05 de 2024, la SRVR determinó los hechos y conductas atribuibles a Rodrigo Londoño Echeverry, Jaime Alberto Parra Rodríguez, Milton de Jesús Toncel Redondo, Pablo Catatumbo Torres Victoria, Pastor Lisandro Alape Lascarro y Julián Gallo Cubillos, en su calidad de máximos responsables por liderazgo nacional del crimen de guerra de reclutamiento y utilización de </w:t>
      </w:r>
      <w:proofErr w:type="gramStart"/>
      <w:r w:rsidRPr="00DC26BE">
        <w:rPr>
          <w:rFonts w:ascii="Verdana" w:hAnsi="Verdana"/>
        </w:rPr>
        <w:t>niños y niñas</w:t>
      </w:r>
      <w:proofErr w:type="gramEnd"/>
      <w:r w:rsidRPr="00DC26BE">
        <w:rPr>
          <w:rFonts w:ascii="Verdana" w:hAnsi="Verdana"/>
        </w:rPr>
        <w:t xml:space="preserve">, así como por otros crímenes cometidos en su contra en el marco de la vida </w:t>
      </w:r>
      <w:proofErr w:type="spellStart"/>
      <w:r w:rsidRPr="00DC26BE">
        <w:rPr>
          <w:rFonts w:ascii="Verdana" w:hAnsi="Verdana"/>
        </w:rPr>
        <w:t>intrafilas</w:t>
      </w:r>
      <w:proofErr w:type="spellEnd"/>
      <w:r w:rsidRPr="00DC26BE">
        <w:rPr>
          <w:rFonts w:ascii="Verdana" w:hAnsi="Verdana"/>
        </w:rPr>
        <w:t xml:space="preserve">. </w:t>
      </w:r>
    </w:p>
    <w:p w14:paraId="05920221" w14:textId="01C7EE9D" w:rsidR="00DC26BE" w:rsidRDefault="00DC26BE" w:rsidP="00144277">
      <w:pPr>
        <w:spacing w:line="276" w:lineRule="auto"/>
        <w:jc w:val="both"/>
        <w:rPr>
          <w:rFonts w:ascii="Verdana" w:hAnsi="Verdana"/>
        </w:rPr>
      </w:pPr>
      <w:r w:rsidRPr="00DC26BE">
        <w:rPr>
          <w:rFonts w:ascii="Verdana" w:hAnsi="Verdana"/>
        </w:rPr>
        <w:t xml:space="preserve">Posteriormente, mediante el Auto 07 de 2026, la SRVR avanzó en la atribución de responsabilidad respecto de Rodolfo Restrepo Ruiz, Álvaro Guaza Carabalí, </w:t>
      </w:r>
      <w:proofErr w:type="spellStart"/>
      <w:r w:rsidRPr="00DC26BE">
        <w:rPr>
          <w:rFonts w:ascii="Verdana" w:hAnsi="Verdana"/>
        </w:rPr>
        <w:t>Floresmiro</w:t>
      </w:r>
      <w:proofErr w:type="spellEnd"/>
      <w:r w:rsidRPr="00DC26BE">
        <w:rPr>
          <w:rFonts w:ascii="Verdana" w:hAnsi="Verdana"/>
        </w:rPr>
        <w:t xml:space="preserve"> Burbano, Fabián Ramírez Cabrera, Darío Lee Díaz, Ángel Alberto García Sánchez, Erasmo Traslaviña Benavides, Pedro Trujillo Hernández, Jairo Reinaldo Cala Suárez, Luis Óscar Usuga Restrepo, Martín Cruz Vega, Jesús Mario Arenas Rojas, Abelardo Caicedo Colorado y Gilberto de Jesús Giraldo David, como coautores mediatos y máximos responsables por liderazgo regional, así como de Luis Eduardo Rayo, Elmer Caviedes, Álvaro García Velandia, Henoc Capera Trujillo, Gustavo Gómez Urrea y Jerminson Álvaro Noreña Camargo, como coautores impropios y máximos responsables por participación determinante en el crimen de guerra de reclutar o alistar niños y niñas o utilizarlos para participar activamente en las hostilidades por parte de las FARC-EP.</w:t>
      </w:r>
    </w:p>
    <w:p w14:paraId="4E8A8550" w14:textId="77777777" w:rsidR="00C33296" w:rsidRDefault="00C33296" w:rsidP="00144277">
      <w:pPr>
        <w:spacing w:line="276" w:lineRule="auto"/>
        <w:jc w:val="both"/>
        <w:rPr>
          <w:rFonts w:ascii="Verdana" w:hAnsi="Verdana"/>
          <w:i/>
          <w:iCs/>
        </w:rPr>
      </w:pPr>
    </w:p>
    <w:p w14:paraId="18ECBC33" w14:textId="672D43AF" w:rsidR="008B4E78" w:rsidRPr="008B4E78" w:rsidRDefault="008B4E78" w:rsidP="00144277">
      <w:pPr>
        <w:spacing w:line="276" w:lineRule="auto"/>
        <w:jc w:val="both"/>
        <w:rPr>
          <w:rFonts w:ascii="Verdana" w:hAnsi="Verdana"/>
          <w:i/>
          <w:iCs/>
        </w:rPr>
      </w:pPr>
      <w:r>
        <w:rPr>
          <w:rFonts w:ascii="Verdana" w:hAnsi="Verdana"/>
          <w:i/>
          <w:iCs/>
        </w:rPr>
        <w:t>Caso 08: “</w:t>
      </w:r>
      <w:r w:rsidR="00B60979">
        <w:rPr>
          <w:rFonts w:ascii="Verdana" w:hAnsi="Verdana"/>
          <w:i/>
          <w:iCs/>
        </w:rPr>
        <w:t>Crímenes</w:t>
      </w:r>
      <w:r>
        <w:rPr>
          <w:rFonts w:ascii="Verdana" w:hAnsi="Verdana"/>
          <w:i/>
          <w:iCs/>
        </w:rPr>
        <w:t xml:space="preserve"> cometidos </w:t>
      </w:r>
      <w:r w:rsidR="00B60979" w:rsidRPr="00B60979">
        <w:rPr>
          <w:rFonts w:ascii="Verdana" w:hAnsi="Verdana"/>
          <w:i/>
          <w:iCs/>
        </w:rPr>
        <w:t>por la fuerza pública, agentes del Estado en asociación con grupos paramilitares, o terceros civiles en el conflicto armado”</w:t>
      </w:r>
    </w:p>
    <w:p w14:paraId="1804D71C" w14:textId="43ABC440" w:rsidR="001B1DB0" w:rsidRPr="00B60979" w:rsidRDefault="00B60979" w:rsidP="00144277">
      <w:pPr>
        <w:spacing w:line="276" w:lineRule="auto"/>
        <w:jc w:val="both"/>
        <w:rPr>
          <w:rFonts w:ascii="Verdana" w:hAnsi="Verdana"/>
          <w:i/>
          <w:iCs/>
        </w:rPr>
      </w:pPr>
      <w:proofErr w:type="spellStart"/>
      <w:r w:rsidRPr="00B60979">
        <w:rPr>
          <w:rFonts w:ascii="Verdana" w:hAnsi="Verdana"/>
          <w:i/>
          <w:iCs/>
        </w:rPr>
        <w:t>Subcaso</w:t>
      </w:r>
      <w:proofErr w:type="spellEnd"/>
      <w:r w:rsidRPr="00B60979">
        <w:rPr>
          <w:rFonts w:ascii="Verdana" w:hAnsi="Verdana"/>
          <w:i/>
          <w:iCs/>
        </w:rPr>
        <w:t xml:space="preserve"> territorial Montes de María y municipios cercanos:</w:t>
      </w:r>
    </w:p>
    <w:p w14:paraId="2FE12627" w14:textId="082E1BBB" w:rsidR="003F30E9" w:rsidRDefault="00B60979" w:rsidP="00144277">
      <w:pPr>
        <w:spacing w:line="276" w:lineRule="auto"/>
        <w:jc w:val="both"/>
        <w:rPr>
          <w:rFonts w:ascii="Verdana" w:hAnsi="Verdana"/>
        </w:rPr>
      </w:pPr>
      <w:r>
        <w:rPr>
          <w:rFonts w:ascii="Verdana" w:hAnsi="Verdana"/>
        </w:rPr>
        <w:t>C</w:t>
      </w:r>
      <w:r w:rsidRPr="00B60979">
        <w:rPr>
          <w:rFonts w:ascii="Verdana" w:hAnsi="Verdana"/>
        </w:rPr>
        <w:t xml:space="preserve">omo resultado del proceso de priorización, se identificó un periodo crítico de victimización en los Montes de María y municipios cercanos entre 1999 y 2001, con un pico en el año 2000. En consecuencia, la investigación se ha concentrado en dicho periodo, durante el cual se ha logrado identificar la ocurrencia de 44 masacres y conductas asociadas, enmarcadas en un repertorio sistemático de violencias contra la población civil. Asimismo, la priorización permitió identificar unidades militares y de policía en cuya jurisdicción se concentraron los hechos ilustrativos de los patrones de </w:t>
      </w:r>
      <w:proofErr w:type="spellStart"/>
      <w:r w:rsidRPr="00B60979">
        <w:rPr>
          <w:rFonts w:ascii="Verdana" w:hAnsi="Verdana"/>
        </w:rPr>
        <w:t>macrocriminalidad</w:t>
      </w:r>
      <w:proofErr w:type="spellEnd"/>
      <w:r w:rsidRPr="00B60979">
        <w:rPr>
          <w:rFonts w:ascii="Verdana" w:hAnsi="Verdana"/>
        </w:rPr>
        <w:t>, de conformidad con el análisis de las cifras de violencia y los municipios más afectados en la región. En este contexto, el despacho ha focalizado su investigación en la Brigada Primera de Infantería de Marina (BRIM1) y en los Departamentos de Policía de Sucre y Bolívar (DESUC y DEBOL).</w:t>
      </w:r>
    </w:p>
    <w:p w14:paraId="5EFF60F9" w14:textId="6F0A13B0" w:rsidR="00637F6B" w:rsidRDefault="00637F6B" w:rsidP="00144277">
      <w:pPr>
        <w:spacing w:line="276" w:lineRule="auto"/>
        <w:jc w:val="both"/>
        <w:rPr>
          <w:rFonts w:ascii="Verdana" w:hAnsi="Verdana"/>
        </w:rPr>
      </w:pPr>
      <w:r w:rsidRPr="00637F6B">
        <w:rPr>
          <w:rFonts w:ascii="Verdana" w:hAnsi="Verdana"/>
        </w:rPr>
        <w:lastRenderedPageBreak/>
        <w:t>Los hechos identificados son objeto de contrastación por parte de la SRVR dentro del procedimiento dialógico. Para ello, el despacho ha recopilado un volumen significativo de información proveniente tanto de la justicia ordinaria como de las versiones voluntarias rendidas por las personas vinculadas al proceso. No obstante, a la fecha, los comparecientes citados no han reconocido responsabilidad por las masacres ocurridas en la jurisdicción de la BRIM1, DEBOL y DESUC.</w:t>
      </w:r>
    </w:p>
    <w:p w14:paraId="782C1078" w14:textId="14FDCE41" w:rsidR="00637F6B" w:rsidRDefault="00637F6B" w:rsidP="00144277">
      <w:pPr>
        <w:spacing w:line="276" w:lineRule="auto"/>
        <w:jc w:val="both"/>
        <w:rPr>
          <w:rFonts w:ascii="Verdana" w:hAnsi="Verdana"/>
        </w:rPr>
      </w:pPr>
      <w:r w:rsidRPr="00637F6B">
        <w:rPr>
          <w:rFonts w:ascii="Verdana" w:hAnsi="Verdana"/>
        </w:rPr>
        <w:t xml:space="preserve">Actualmente, el proceso se encuentra en fase de contrastación y verificación de la información recaudada, con miras a su incorporación en el Auto de Determinación de Hechos y Conductas del </w:t>
      </w:r>
      <w:proofErr w:type="spellStart"/>
      <w:r w:rsidRPr="00637F6B">
        <w:rPr>
          <w:rFonts w:ascii="Verdana" w:hAnsi="Verdana"/>
        </w:rPr>
        <w:t>subcaso</w:t>
      </w:r>
      <w:proofErr w:type="spellEnd"/>
      <w:r w:rsidRPr="00637F6B">
        <w:rPr>
          <w:rFonts w:ascii="Verdana" w:hAnsi="Verdana"/>
        </w:rPr>
        <w:t xml:space="preserve">, decisión en la cual se formularán imputaciones respecto de los máximos responsables de </w:t>
      </w:r>
      <w:r w:rsidR="00C13411" w:rsidRPr="00C13411">
        <w:rPr>
          <w:rFonts w:ascii="Verdana" w:hAnsi="Verdana"/>
        </w:rPr>
        <w:t>los crímenes de sistema.</w:t>
      </w:r>
    </w:p>
    <w:p w14:paraId="79FE8A5C" w14:textId="641FB6B3" w:rsidR="007C5CE3" w:rsidRDefault="007C5CE3" w:rsidP="00144277">
      <w:pPr>
        <w:spacing w:line="276" w:lineRule="auto"/>
        <w:jc w:val="both"/>
        <w:rPr>
          <w:rFonts w:ascii="Verdana" w:hAnsi="Verdana"/>
        </w:rPr>
      </w:pPr>
      <w:r w:rsidRPr="007C5CE3">
        <w:rPr>
          <w:rFonts w:ascii="Verdana" w:hAnsi="Verdana"/>
        </w:rPr>
        <w:t>En cumplimiento del mandato de garantizar los derechos a la verdad, la justicia y la reparación, se han impulsado procesos de reconocimiento de víctimas mediante múltiples acreditaciones, que permiten su participación en las distintas etapas de la investigación. Igualmente, se han desarrollado espacios denominados Encuentros Informativos Restaurativos, orientados a facilitar un diálogo directo entre las víctimas, sus representantes y el despacho, así como a promover una comprensión adecuada del proceso y fortalecer su participación efectiva.</w:t>
      </w:r>
    </w:p>
    <w:p w14:paraId="7167F9E7" w14:textId="77777777" w:rsidR="00DA2D24" w:rsidRDefault="00DA2D24" w:rsidP="00144277">
      <w:pPr>
        <w:spacing w:line="276" w:lineRule="auto"/>
        <w:jc w:val="both"/>
        <w:rPr>
          <w:rFonts w:ascii="Verdana" w:hAnsi="Verdana"/>
        </w:rPr>
      </w:pPr>
      <w:r w:rsidRPr="00DA2D24">
        <w:rPr>
          <w:rFonts w:ascii="Verdana" w:hAnsi="Verdana"/>
        </w:rPr>
        <w:t xml:space="preserve">Finalmente, resulta pertinente señalar que la SRVR ha incorporado un enfoque de género en el desarrollo de las versiones voluntarias, mediante una sección específica orientada a abordar los repertorios de violencia investigados desde esta perspectiva. Este enfoque también se ha integrado en los procesos de acreditación de víctimas, en las notificaciones con pertinencia étnica y cultural, y en la definición de medidas de protección. </w:t>
      </w:r>
    </w:p>
    <w:p w14:paraId="0CE7A48E" w14:textId="332927C1" w:rsidR="00DA2D24" w:rsidRDefault="00DA2D24" w:rsidP="00144277">
      <w:pPr>
        <w:spacing w:line="276" w:lineRule="auto"/>
        <w:jc w:val="both"/>
        <w:rPr>
          <w:rFonts w:ascii="Verdana" w:hAnsi="Verdana"/>
        </w:rPr>
      </w:pPr>
      <w:r w:rsidRPr="00DA2D24">
        <w:rPr>
          <w:rFonts w:ascii="Verdana" w:hAnsi="Verdana"/>
        </w:rPr>
        <w:t>En desarrollo de esta línea, se han implementado estrategias de investigación orientadas al análisis del contexto, las dinámicas y las características de las violencias ejercidas contra mujeres, niñas y personas con orientaciones sexuales e identidades de género diversas. Ello incluye la identificación de formas de violencia más allá de la violencia sexual, como la violencia psicológica y reproductiva en contextos de violencia generalizada, así como la caracterización territorial de estas violencias. De igual forma, se han analizado los riesgos diferenciados que enfrentan las mujeres, las personas LGBTIQ+ y los pueblos étnicos, considerando las barreras estructurales preexistentes en el territorio para el ejercicio de sus derechos</w:t>
      </w:r>
      <w:r>
        <w:rPr>
          <w:rFonts w:ascii="Verdana" w:hAnsi="Verdana"/>
        </w:rPr>
        <w:t>.</w:t>
      </w:r>
    </w:p>
    <w:p w14:paraId="1C016283" w14:textId="77777777" w:rsidR="00C33296" w:rsidRDefault="00C33296" w:rsidP="00144277">
      <w:pPr>
        <w:spacing w:line="276" w:lineRule="auto"/>
        <w:jc w:val="both"/>
        <w:rPr>
          <w:rFonts w:ascii="Verdana" w:hAnsi="Verdana"/>
          <w:i/>
          <w:iCs/>
        </w:rPr>
      </w:pPr>
    </w:p>
    <w:p w14:paraId="64631F42" w14:textId="77777777" w:rsidR="00C33296" w:rsidRDefault="00C33296" w:rsidP="00144277">
      <w:pPr>
        <w:spacing w:line="276" w:lineRule="auto"/>
        <w:jc w:val="both"/>
        <w:rPr>
          <w:rFonts w:ascii="Verdana" w:hAnsi="Verdana"/>
          <w:i/>
          <w:iCs/>
        </w:rPr>
      </w:pPr>
    </w:p>
    <w:p w14:paraId="2DF3DAB5" w14:textId="7C2CF941" w:rsidR="00C33296" w:rsidRDefault="00DA2D24" w:rsidP="00144277">
      <w:pPr>
        <w:spacing w:line="276" w:lineRule="auto"/>
        <w:jc w:val="both"/>
        <w:rPr>
          <w:rFonts w:ascii="Verdana" w:hAnsi="Verdana"/>
          <w:i/>
          <w:iCs/>
        </w:rPr>
      </w:pPr>
      <w:proofErr w:type="spellStart"/>
      <w:r>
        <w:rPr>
          <w:rFonts w:ascii="Verdana" w:hAnsi="Verdana"/>
          <w:i/>
          <w:iCs/>
        </w:rPr>
        <w:lastRenderedPageBreak/>
        <w:t>Subcaso</w:t>
      </w:r>
      <w:proofErr w:type="spellEnd"/>
      <w:r>
        <w:rPr>
          <w:rFonts w:ascii="Verdana" w:hAnsi="Verdana"/>
          <w:i/>
          <w:iCs/>
        </w:rPr>
        <w:t xml:space="preserve"> Magdalena Medio</w:t>
      </w:r>
    </w:p>
    <w:p w14:paraId="208909FC" w14:textId="4F669877" w:rsidR="00DA2D24" w:rsidRPr="00C33296" w:rsidRDefault="0032046E" w:rsidP="00144277">
      <w:pPr>
        <w:spacing w:line="276" w:lineRule="auto"/>
        <w:jc w:val="both"/>
        <w:rPr>
          <w:rFonts w:ascii="Verdana" w:hAnsi="Verdana"/>
          <w:i/>
          <w:iCs/>
        </w:rPr>
      </w:pPr>
      <w:r>
        <w:rPr>
          <w:rFonts w:ascii="Verdana" w:hAnsi="Verdana"/>
        </w:rPr>
        <w:t>A</w:t>
      </w:r>
      <w:r w:rsidR="00CA5B84" w:rsidRPr="00CA5B84">
        <w:rPr>
          <w:rFonts w:ascii="Verdana" w:hAnsi="Verdana"/>
        </w:rPr>
        <w:t xml:space="preserve"> SRVR ha adelantado múltiples diligencias orientadas al recaudo y contraste de información en el marco del Caso No. 08. A la fecha, ha adelantado un total de 408 versiones voluntarias, de las cuales 294 corresponden a diligencias presenciales y 114 a versiones escritas. Estas versiones se distribuyen así: 45 relacionadas con hechos ocurridos en el Gran Magdalena; 93 asociadas al departamento de Antioquia; 37 correspondientes al Magdalena</w:t>
      </w:r>
      <w:r>
        <w:rPr>
          <w:rFonts w:ascii="Verdana" w:hAnsi="Verdana"/>
        </w:rPr>
        <w:t xml:space="preserve"> </w:t>
      </w:r>
      <w:r w:rsidRPr="0032046E">
        <w:rPr>
          <w:rFonts w:ascii="Verdana" w:hAnsi="Verdana"/>
        </w:rPr>
        <w:t xml:space="preserve">Medio; 95 relacionadas con los Montes de María; 136 vinculadas al Ariari-Guayabero, Guaviare, Caguán, Florencia y zonas aledañas; y una referida a asuntos de carácter transversal a los </w:t>
      </w:r>
      <w:proofErr w:type="spellStart"/>
      <w:r w:rsidRPr="0032046E">
        <w:rPr>
          <w:rFonts w:ascii="Verdana" w:hAnsi="Verdana"/>
        </w:rPr>
        <w:t>subcasos</w:t>
      </w:r>
      <w:proofErr w:type="spellEnd"/>
      <w:r w:rsidRPr="0032046E">
        <w:rPr>
          <w:rFonts w:ascii="Verdana" w:hAnsi="Verdana"/>
        </w:rPr>
        <w:t xml:space="preserve"> territoriales. Por otro lado, de manera complementaria a las versiones voluntarias, entre enero de 2024 y mayo de 2026, la SRVR en la instrucción del caso 08 recibió en declaración jurada a 87 personas</w:t>
      </w:r>
      <w:r>
        <w:rPr>
          <w:rFonts w:ascii="Verdana" w:hAnsi="Verdana"/>
        </w:rPr>
        <w:t>.</w:t>
      </w:r>
    </w:p>
    <w:p w14:paraId="72193558" w14:textId="73AF881B" w:rsidR="0032046E" w:rsidRDefault="0032046E" w:rsidP="00144277">
      <w:pPr>
        <w:spacing w:line="276" w:lineRule="auto"/>
        <w:jc w:val="both"/>
        <w:rPr>
          <w:rFonts w:ascii="Verdana" w:hAnsi="Verdana"/>
        </w:rPr>
      </w:pPr>
      <w:r w:rsidRPr="0032046E">
        <w:rPr>
          <w:rFonts w:ascii="Verdana" w:hAnsi="Verdana"/>
        </w:rPr>
        <w:t>En el marco de las tareas de acopio y contrastación de la información, la SRVR desarrolló una línea específica de recaudo probatorio orientada a esclarecer las relaciones institucionales de Ecopetrol, los mecanismos de seguridad implementados en la región y la posible incidencia de sus dinámicas operativas en el contexto de violencia investigado. En ese marco, mediante Auto CDG 08–024 de 2024, solicitó información relacionada con convenios suscritos con la Fuerza Pública, balances de pérdidas económicas derivadas del hurto de combustibles, registros de ingreso al Club Miramar y a la Casa de Huéspedes, vuelos de helicópteros al servicio de la empresa y certificaciones de contratos suscritos con personas naturales identificadas en informes de víctimas y otras piezas procesales.</w:t>
      </w:r>
    </w:p>
    <w:p w14:paraId="4D085941" w14:textId="48E703D9" w:rsidR="00867ECD" w:rsidRDefault="00867ECD" w:rsidP="00144277">
      <w:pPr>
        <w:spacing w:line="276" w:lineRule="auto"/>
        <w:jc w:val="both"/>
        <w:rPr>
          <w:rFonts w:ascii="Verdana" w:hAnsi="Verdana"/>
        </w:rPr>
      </w:pPr>
      <w:r w:rsidRPr="00867ECD">
        <w:rPr>
          <w:rFonts w:ascii="Verdana" w:hAnsi="Verdana"/>
        </w:rPr>
        <w:t>Ahora bien, respecto de los crímenes motivados por el favorecimiento de intereses económicos particulares sobre el territorio, se ha caracterizado el daño ambiental al Río Magdalena por cuenta</w:t>
      </w:r>
      <w:r w:rsidR="00BC79AA">
        <w:rPr>
          <w:rFonts w:ascii="Verdana" w:hAnsi="Verdana"/>
        </w:rPr>
        <w:t xml:space="preserve"> </w:t>
      </w:r>
      <w:r w:rsidR="00BC79AA" w:rsidRPr="00BC79AA">
        <w:rPr>
          <w:rFonts w:ascii="Verdana" w:hAnsi="Verdana"/>
        </w:rPr>
        <w:t>de la contaminación por hidrocarburos derivada del Cartel de la Gasolina y los vertimientos asociados a la minería ilegal de oro y carbón, entre otros, y se ha acreditado como víctima del conflicto armado mediante el Auto CDG 08 - 111 de 2025, en línea con el precedente del Auto 226 de 2023 sobre el río Cauca. Asimismo, se ha acreditado como víctimas colectivas a organizaciones campesinas y ribereñas como la Asociación Campesina del Valle del río Cimitarra (ACVC) (Auto CDG 08 - 004 de 2024) y a las parcelaciones de Los Cedros, La Carolina y La Paz (Tokio) del municipio de San Alberto Cesar (Auto CDG 08 - 250 de 2025), que han sido victimizadas por el despojo de tierras, la sustitución productiva del territorio por cultivos de coca y la concentración de la tierra a través de testaferros vinculados a las estructuras paramilitares.</w:t>
      </w:r>
    </w:p>
    <w:p w14:paraId="11326591" w14:textId="74634A19" w:rsidR="00BC79AA" w:rsidRDefault="00BC79AA" w:rsidP="00144277">
      <w:pPr>
        <w:spacing w:line="276" w:lineRule="auto"/>
        <w:jc w:val="both"/>
        <w:rPr>
          <w:rFonts w:ascii="Verdana" w:hAnsi="Verdana"/>
        </w:rPr>
      </w:pPr>
      <w:r w:rsidRPr="00BC79AA">
        <w:rPr>
          <w:rFonts w:ascii="Verdana" w:hAnsi="Verdana"/>
        </w:rPr>
        <w:lastRenderedPageBreak/>
        <w:t xml:space="preserve">Finalmente, está en proyección el primer Auto de Determinación de Hechos y Conductas del </w:t>
      </w:r>
      <w:proofErr w:type="spellStart"/>
      <w:r w:rsidRPr="00BC79AA">
        <w:rPr>
          <w:rFonts w:ascii="Verdana" w:hAnsi="Verdana"/>
        </w:rPr>
        <w:t>subcaso</w:t>
      </w:r>
      <w:proofErr w:type="spellEnd"/>
      <w:r w:rsidRPr="00BC79AA">
        <w:rPr>
          <w:rFonts w:ascii="Verdana" w:hAnsi="Verdana"/>
        </w:rPr>
        <w:t xml:space="preserve"> Magdalena Medio.</w:t>
      </w:r>
    </w:p>
    <w:p w14:paraId="422BDE70" w14:textId="77777777" w:rsidR="00BC79AA" w:rsidRDefault="00BC79AA" w:rsidP="00144277">
      <w:pPr>
        <w:spacing w:line="276" w:lineRule="auto"/>
        <w:jc w:val="both"/>
        <w:rPr>
          <w:rFonts w:ascii="Verdana" w:hAnsi="Verdana"/>
          <w:i/>
          <w:iCs/>
        </w:rPr>
      </w:pPr>
    </w:p>
    <w:p w14:paraId="7C603D8D" w14:textId="31F3F248" w:rsidR="00BC79AA" w:rsidRDefault="00BC79AA" w:rsidP="00144277">
      <w:pPr>
        <w:spacing w:line="276" w:lineRule="auto"/>
        <w:jc w:val="both"/>
        <w:rPr>
          <w:rFonts w:ascii="Verdana" w:hAnsi="Verdana"/>
          <w:i/>
          <w:iCs/>
        </w:rPr>
      </w:pPr>
      <w:proofErr w:type="spellStart"/>
      <w:r>
        <w:rPr>
          <w:rFonts w:ascii="Verdana" w:hAnsi="Verdana"/>
          <w:i/>
          <w:iCs/>
        </w:rPr>
        <w:t>Subcaso</w:t>
      </w:r>
      <w:proofErr w:type="spellEnd"/>
      <w:r>
        <w:rPr>
          <w:rFonts w:ascii="Verdana" w:hAnsi="Verdana"/>
          <w:i/>
          <w:iCs/>
        </w:rPr>
        <w:t xml:space="preserve"> Gran Magdalena</w:t>
      </w:r>
    </w:p>
    <w:p w14:paraId="521CD10F" w14:textId="77777777" w:rsidR="00CD7310" w:rsidRDefault="00B52F4A" w:rsidP="00144277">
      <w:pPr>
        <w:spacing w:line="276" w:lineRule="auto"/>
        <w:jc w:val="both"/>
        <w:rPr>
          <w:rFonts w:ascii="Verdana" w:hAnsi="Verdana"/>
        </w:rPr>
      </w:pPr>
      <w:r w:rsidRPr="00B52F4A">
        <w:rPr>
          <w:rFonts w:ascii="Verdana" w:hAnsi="Verdana"/>
        </w:rPr>
        <w:t xml:space="preserve">El principal avance en el </w:t>
      </w:r>
      <w:proofErr w:type="spellStart"/>
      <w:r w:rsidRPr="00B52F4A">
        <w:rPr>
          <w:rFonts w:ascii="Verdana" w:hAnsi="Verdana"/>
        </w:rPr>
        <w:t>Subcaso</w:t>
      </w:r>
      <w:proofErr w:type="spellEnd"/>
      <w:r w:rsidRPr="00B52F4A">
        <w:rPr>
          <w:rFonts w:ascii="Verdana" w:hAnsi="Verdana"/>
        </w:rPr>
        <w:t xml:space="preserve"> Gran Magdalena ha sido el llamamiento a versiones voluntarias a personas clave para la posible determinación de patrones </w:t>
      </w:r>
      <w:proofErr w:type="spellStart"/>
      <w:r w:rsidRPr="00B52F4A">
        <w:rPr>
          <w:rFonts w:ascii="Verdana" w:hAnsi="Verdana"/>
        </w:rPr>
        <w:t>macrocriminales</w:t>
      </w:r>
      <w:proofErr w:type="spellEnd"/>
      <w:r w:rsidRPr="00B52F4A">
        <w:rPr>
          <w:rFonts w:ascii="Verdana" w:hAnsi="Verdana"/>
        </w:rPr>
        <w:t xml:space="preserve"> y la identificación de sus posibles máximos responsables. Se han realizado un total de 50 versiones voluntarias. Así mismo, se han acreditado a 369 víctimas, incluyendo 33 sujetos colectivos, por hechos que se enmarcarían en los posibles patrones </w:t>
      </w:r>
      <w:proofErr w:type="spellStart"/>
      <w:r w:rsidRPr="00B52F4A">
        <w:rPr>
          <w:rFonts w:ascii="Verdana" w:hAnsi="Verdana"/>
        </w:rPr>
        <w:t>macrocriminales</w:t>
      </w:r>
      <w:proofErr w:type="spellEnd"/>
      <w:r w:rsidRPr="00B52F4A">
        <w:rPr>
          <w:rFonts w:ascii="Verdana" w:hAnsi="Verdana"/>
        </w:rPr>
        <w:t xml:space="preserve"> del </w:t>
      </w:r>
      <w:proofErr w:type="spellStart"/>
      <w:r w:rsidRPr="00B52F4A">
        <w:rPr>
          <w:rFonts w:ascii="Verdana" w:hAnsi="Verdana"/>
        </w:rPr>
        <w:t>subcaso</w:t>
      </w:r>
      <w:proofErr w:type="spellEnd"/>
      <w:r w:rsidRPr="00B52F4A">
        <w:rPr>
          <w:rFonts w:ascii="Verdana" w:hAnsi="Verdana"/>
        </w:rPr>
        <w:t xml:space="preserve">. </w:t>
      </w:r>
    </w:p>
    <w:p w14:paraId="51151083" w14:textId="7792B453" w:rsidR="00BC79AA" w:rsidRDefault="00B52F4A" w:rsidP="00144277">
      <w:pPr>
        <w:spacing w:line="276" w:lineRule="auto"/>
        <w:jc w:val="both"/>
        <w:rPr>
          <w:rFonts w:ascii="Verdana" w:hAnsi="Verdana"/>
        </w:rPr>
      </w:pPr>
      <w:r w:rsidRPr="00B52F4A">
        <w:rPr>
          <w:rFonts w:ascii="Verdana" w:hAnsi="Verdana"/>
        </w:rPr>
        <w:t xml:space="preserve">En el marco del convenio interadministrativo 903-2023, suscrito entre la Unidad de Restitución de Tierras y la JEP se han desarrollado procesos de intercambio de información entre el </w:t>
      </w:r>
      <w:proofErr w:type="spellStart"/>
      <w:r w:rsidRPr="00B52F4A">
        <w:rPr>
          <w:rFonts w:ascii="Verdana" w:hAnsi="Verdana"/>
        </w:rPr>
        <w:t>subcaso</w:t>
      </w:r>
      <w:proofErr w:type="spellEnd"/>
      <w:r w:rsidRPr="00B52F4A">
        <w:rPr>
          <w:rFonts w:ascii="Verdana" w:hAnsi="Verdana"/>
        </w:rPr>
        <w:t xml:space="preserve"> Gran Magdalena del caso 08 y la URT con sus subdirecciones Jurídica y Social, en torno a casos de despojo en el Cesar y sus contextos </w:t>
      </w:r>
      <w:proofErr w:type="spellStart"/>
      <w:r w:rsidRPr="00B52F4A">
        <w:rPr>
          <w:rFonts w:ascii="Verdana" w:hAnsi="Verdana"/>
        </w:rPr>
        <w:t>macrocriminales</w:t>
      </w:r>
      <w:proofErr w:type="spellEnd"/>
      <w:r w:rsidRPr="00B52F4A">
        <w:rPr>
          <w:rFonts w:ascii="Verdana" w:hAnsi="Verdana"/>
        </w:rPr>
        <w:t>. Además de realizar mesas técnicas en el componente de investigación entre funcionarios de ambas entidades, la URT ha participado en algunas diligencias de declaración jurada y versión voluntaria como participes no intervinientes.</w:t>
      </w:r>
    </w:p>
    <w:p w14:paraId="344E56C4" w14:textId="3A07E120" w:rsidR="00247A3A" w:rsidRDefault="00247A3A" w:rsidP="00144277">
      <w:pPr>
        <w:spacing w:line="276" w:lineRule="auto"/>
        <w:jc w:val="both"/>
        <w:rPr>
          <w:rFonts w:ascii="Verdana" w:hAnsi="Verdana"/>
        </w:rPr>
      </w:pPr>
      <w:r w:rsidRPr="00247A3A">
        <w:rPr>
          <w:rFonts w:ascii="Verdana" w:hAnsi="Verdana"/>
        </w:rPr>
        <w:t xml:space="preserve">Se destaca la emisión del Auto OPV 794 de 2025, por medio del cual, en articulación con el Caso 11, </w:t>
      </w:r>
      <w:proofErr w:type="spellStart"/>
      <w:r w:rsidRPr="00247A3A">
        <w:rPr>
          <w:rFonts w:ascii="Verdana" w:hAnsi="Verdana"/>
        </w:rPr>
        <w:t>subcaso</w:t>
      </w:r>
      <w:proofErr w:type="spellEnd"/>
      <w:r w:rsidRPr="00247A3A">
        <w:rPr>
          <w:rFonts w:ascii="Verdana" w:hAnsi="Verdana"/>
        </w:rPr>
        <w:t xml:space="preserve"> 2, se acreditó a 104 hombres como víctimas por hechos de violencia sexual cometida en el contexto del conflicto armado, en hechos perpetrados por grupos paramilitares con la posible tolerancia de integrantes de la fuerza pública.</w:t>
      </w:r>
    </w:p>
    <w:p w14:paraId="0340AED1" w14:textId="77777777" w:rsidR="00247A3A" w:rsidRDefault="00247A3A" w:rsidP="00144277">
      <w:pPr>
        <w:spacing w:line="276" w:lineRule="auto"/>
        <w:jc w:val="both"/>
        <w:rPr>
          <w:rFonts w:ascii="Verdana" w:hAnsi="Verdana"/>
          <w:i/>
          <w:iCs/>
        </w:rPr>
      </w:pPr>
      <w:proofErr w:type="spellStart"/>
      <w:r>
        <w:rPr>
          <w:rFonts w:ascii="Verdana" w:hAnsi="Verdana"/>
          <w:i/>
          <w:iCs/>
        </w:rPr>
        <w:t>Subcaso</w:t>
      </w:r>
      <w:proofErr w:type="spellEnd"/>
      <w:r>
        <w:rPr>
          <w:rFonts w:ascii="Verdana" w:hAnsi="Verdana"/>
          <w:i/>
          <w:iCs/>
        </w:rPr>
        <w:t xml:space="preserve"> Antioquia: </w:t>
      </w:r>
    </w:p>
    <w:p w14:paraId="7B3E2484" w14:textId="237E2B70" w:rsidR="00247A3A" w:rsidRDefault="00247A3A" w:rsidP="00144277">
      <w:pPr>
        <w:spacing w:line="276" w:lineRule="auto"/>
        <w:jc w:val="both"/>
        <w:rPr>
          <w:rFonts w:ascii="Verdana" w:hAnsi="Verdana"/>
        </w:rPr>
      </w:pPr>
      <w:r>
        <w:rPr>
          <w:rFonts w:ascii="Verdana" w:hAnsi="Verdana"/>
        </w:rPr>
        <w:t>L</w:t>
      </w:r>
      <w:r w:rsidRPr="00247A3A">
        <w:rPr>
          <w:rFonts w:ascii="Verdana" w:hAnsi="Verdana"/>
        </w:rPr>
        <w:t xml:space="preserve">a investigación se ha enfocado en hechos </w:t>
      </w:r>
      <w:proofErr w:type="spellStart"/>
      <w:r w:rsidRPr="00247A3A">
        <w:rPr>
          <w:rFonts w:ascii="Verdana" w:hAnsi="Verdana"/>
        </w:rPr>
        <w:t>victimizantes</w:t>
      </w:r>
      <w:proofErr w:type="spellEnd"/>
      <w:r w:rsidRPr="00247A3A">
        <w:rPr>
          <w:rFonts w:ascii="Verdana" w:hAnsi="Verdana"/>
        </w:rPr>
        <w:t xml:space="preserve"> ocurridos en el Valle de Aburrá y en Ituango, específicamente en el periodo de interés del </w:t>
      </w:r>
      <w:proofErr w:type="spellStart"/>
      <w:r w:rsidRPr="00247A3A">
        <w:rPr>
          <w:rFonts w:ascii="Verdana" w:hAnsi="Verdana"/>
        </w:rPr>
        <w:t>subcaso</w:t>
      </w:r>
      <w:proofErr w:type="spellEnd"/>
      <w:r w:rsidRPr="00247A3A">
        <w:rPr>
          <w:rFonts w:ascii="Verdana" w:hAnsi="Verdana"/>
        </w:rPr>
        <w:t>: 2001 - 2003. Lo anterior, en aras de caracterizar la dinámica de la articulación de las estructuras legales e ilegales en dicho periodo en el departamento de Antioquia.</w:t>
      </w:r>
    </w:p>
    <w:p w14:paraId="60487383" w14:textId="26F287DC" w:rsidR="001463AA" w:rsidRDefault="001463AA" w:rsidP="00144277">
      <w:pPr>
        <w:spacing w:line="276" w:lineRule="auto"/>
        <w:jc w:val="both"/>
        <w:rPr>
          <w:rFonts w:ascii="Verdana" w:hAnsi="Verdana"/>
        </w:rPr>
      </w:pPr>
      <w:r w:rsidRPr="001463AA">
        <w:rPr>
          <w:rFonts w:ascii="Verdana" w:hAnsi="Verdana"/>
        </w:rPr>
        <w:t xml:space="preserve">Se ha avanzado en la identificación y llamamiento a versión voluntaria a personas clave dentro de la instrucción, específicamente se han adelantado versiones voluntarias a altos y medios mandos de unidades militares y de policía que presuntamente participaron en la Operación Orión, |o en hechos que son de interés para el </w:t>
      </w:r>
      <w:proofErr w:type="spellStart"/>
      <w:r w:rsidRPr="001463AA">
        <w:rPr>
          <w:rFonts w:ascii="Verdana" w:hAnsi="Verdana"/>
        </w:rPr>
        <w:t>subcaso</w:t>
      </w:r>
      <w:proofErr w:type="spellEnd"/>
      <w:r w:rsidRPr="001463AA">
        <w:rPr>
          <w:rFonts w:ascii="Verdana" w:hAnsi="Verdana"/>
        </w:rPr>
        <w:t xml:space="preserve">, entre ellas BIPEB, RIME y GAULAS. En el </w:t>
      </w:r>
      <w:proofErr w:type="spellStart"/>
      <w:r w:rsidRPr="001463AA">
        <w:rPr>
          <w:rFonts w:ascii="Verdana" w:hAnsi="Verdana"/>
        </w:rPr>
        <w:t>subcaso</w:t>
      </w:r>
      <w:proofErr w:type="spellEnd"/>
      <w:r w:rsidRPr="001463AA">
        <w:rPr>
          <w:rFonts w:ascii="Verdana" w:hAnsi="Verdana"/>
        </w:rPr>
        <w:t xml:space="preserve"> Antioquia se reporta la realización de al menos 90 versiones voluntarias y 62 testimonios. Así</w:t>
      </w:r>
      <w:r>
        <w:rPr>
          <w:rFonts w:ascii="Verdana" w:hAnsi="Verdana"/>
        </w:rPr>
        <w:t xml:space="preserve"> </w:t>
      </w:r>
      <w:r w:rsidRPr="001463AA">
        <w:rPr>
          <w:rFonts w:ascii="Verdana" w:hAnsi="Verdana"/>
        </w:rPr>
        <w:t xml:space="preserve">mismo, se han acreditado a la fecha a 131 víctimas dentro del </w:t>
      </w:r>
      <w:proofErr w:type="spellStart"/>
      <w:r w:rsidRPr="001463AA">
        <w:rPr>
          <w:rFonts w:ascii="Verdana" w:hAnsi="Verdana"/>
        </w:rPr>
        <w:t>subcaso</w:t>
      </w:r>
      <w:proofErr w:type="spellEnd"/>
      <w:r w:rsidRPr="001463AA">
        <w:rPr>
          <w:rFonts w:ascii="Verdana" w:hAnsi="Verdana"/>
        </w:rPr>
        <w:t>.</w:t>
      </w:r>
    </w:p>
    <w:p w14:paraId="51DB3CEF" w14:textId="276ED0DF" w:rsidR="003F62ED" w:rsidRDefault="003F62ED" w:rsidP="00144277">
      <w:pPr>
        <w:spacing w:line="276" w:lineRule="auto"/>
        <w:jc w:val="both"/>
        <w:rPr>
          <w:rFonts w:ascii="Verdana" w:hAnsi="Verdana"/>
        </w:rPr>
      </w:pPr>
      <w:r>
        <w:rPr>
          <w:rFonts w:ascii="Verdana" w:hAnsi="Verdana"/>
        </w:rPr>
        <w:lastRenderedPageBreak/>
        <w:t>S</w:t>
      </w:r>
      <w:r w:rsidRPr="003F62ED">
        <w:rPr>
          <w:rFonts w:ascii="Verdana" w:hAnsi="Verdana"/>
        </w:rPr>
        <w:t>e han realizado múltiples inspecciones judiciales a expedientes de la Justicia Penal Ordinaria, a archivos administrativos tanto del Ejército como de la Policía Nacional, e incluso documentación de la Corte Interamericana de Derechos Humanos. También a documentación de la Cancillería, en aras de ahondar en la investigación del Caso Yarce y otras vs. Colombia, donde personas defensoras de derechos humanos resultaron asesinadas o desaparecidas en el marco de la Operación Orión.</w:t>
      </w:r>
    </w:p>
    <w:p w14:paraId="6DFF75E0" w14:textId="400407B6" w:rsidR="00DC7C84" w:rsidRDefault="00DC7C84" w:rsidP="00144277">
      <w:pPr>
        <w:spacing w:line="276" w:lineRule="auto"/>
        <w:jc w:val="both"/>
        <w:rPr>
          <w:rFonts w:ascii="Verdana" w:hAnsi="Verdana"/>
        </w:rPr>
      </w:pPr>
      <w:r w:rsidRPr="00DC7C84">
        <w:rPr>
          <w:rFonts w:ascii="Verdana" w:hAnsi="Verdana"/>
        </w:rPr>
        <w:t xml:space="preserve">Si bien no es un asunto que directamente maneje este despacho, las medidas cautelares sobre el sector de Medellín conocido como ‘La Escombrera’, que se encuentran a cargo del magistrado Gustavo Salazar, quien también es relator del Caso 08 – </w:t>
      </w:r>
      <w:proofErr w:type="spellStart"/>
      <w:r w:rsidRPr="00DC7C84">
        <w:rPr>
          <w:rFonts w:ascii="Verdana" w:hAnsi="Verdana"/>
        </w:rPr>
        <w:t>Subcaso</w:t>
      </w:r>
      <w:proofErr w:type="spellEnd"/>
      <w:r w:rsidRPr="00DC7C84">
        <w:rPr>
          <w:rFonts w:ascii="Verdana" w:hAnsi="Verdana"/>
        </w:rPr>
        <w:t xml:space="preserve"> Antioquia, han permitido encontrar algunos restos humanos en la mencionada zona, que podrían llegar a ser material probatorio importante para la instrucción del </w:t>
      </w:r>
      <w:proofErr w:type="spellStart"/>
      <w:r w:rsidRPr="00DC7C84">
        <w:rPr>
          <w:rFonts w:ascii="Verdana" w:hAnsi="Verdana"/>
        </w:rPr>
        <w:t>subcaso</w:t>
      </w:r>
      <w:proofErr w:type="spellEnd"/>
      <w:r w:rsidRPr="00DC7C84">
        <w:rPr>
          <w:rFonts w:ascii="Verdana" w:hAnsi="Verdana"/>
        </w:rPr>
        <w:t>.</w:t>
      </w:r>
    </w:p>
    <w:p w14:paraId="773186E9" w14:textId="77777777" w:rsidR="00DC7C84" w:rsidRDefault="00DC7C84" w:rsidP="00144277">
      <w:pPr>
        <w:spacing w:line="276" w:lineRule="auto"/>
        <w:jc w:val="both"/>
        <w:rPr>
          <w:rFonts w:ascii="Verdana" w:hAnsi="Verdana"/>
        </w:rPr>
      </w:pPr>
    </w:p>
    <w:p w14:paraId="38D6A682" w14:textId="5EDCAD0E" w:rsidR="00DC7C84" w:rsidRDefault="00DC7C84" w:rsidP="00144277">
      <w:pPr>
        <w:spacing w:line="276" w:lineRule="auto"/>
        <w:jc w:val="both"/>
        <w:rPr>
          <w:rFonts w:ascii="Verdana" w:hAnsi="Verdana"/>
          <w:i/>
          <w:iCs/>
        </w:rPr>
      </w:pPr>
      <w:r>
        <w:rPr>
          <w:rFonts w:ascii="Verdana" w:hAnsi="Verdana"/>
          <w:i/>
          <w:iCs/>
        </w:rPr>
        <w:t>Caso 09 “Crímenes cometidos contra Pueblos y Territorios étnicos”</w:t>
      </w:r>
    </w:p>
    <w:p w14:paraId="6D3E2DEB" w14:textId="0BC5FFEB" w:rsidR="009D6F29" w:rsidRPr="009D6F29" w:rsidRDefault="009D6F29" w:rsidP="00144277">
      <w:pPr>
        <w:spacing w:line="276" w:lineRule="auto"/>
        <w:jc w:val="both"/>
        <w:rPr>
          <w:rFonts w:ascii="Verdana" w:hAnsi="Verdana"/>
          <w:i/>
          <w:iCs/>
        </w:rPr>
      </w:pPr>
      <w:proofErr w:type="spellStart"/>
      <w:r>
        <w:rPr>
          <w:rFonts w:ascii="Verdana" w:hAnsi="Verdana"/>
          <w:i/>
          <w:iCs/>
        </w:rPr>
        <w:t>Subcaso</w:t>
      </w:r>
      <w:proofErr w:type="spellEnd"/>
      <w:r>
        <w:rPr>
          <w:rFonts w:ascii="Verdana" w:hAnsi="Verdana"/>
          <w:i/>
          <w:iCs/>
        </w:rPr>
        <w:t xml:space="preserve"> Amazonía y Orinoquía:</w:t>
      </w:r>
    </w:p>
    <w:p w14:paraId="60AD82FA" w14:textId="6856E3CB" w:rsidR="008F05C7" w:rsidRDefault="008F05C7" w:rsidP="00144277">
      <w:pPr>
        <w:spacing w:line="276" w:lineRule="auto"/>
        <w:jc w:val="both"/>
        <w:rPr>
          <w:rFonts w:ascii="Verdana" w:hAnsi="Verdana"/>
        </w:rPr>
      </w:pPr>
      <w:r>
        <w:rPr>
          <w:rFonts w:ascii="Verdana" w:hAnsi="Verdana"/>
        </w:rPr>
        <w:t>S</w:t>
      </w:r>
      <w:r w:rsidRPr="008F05C7">
        <w:rPr>
          <w:rFonts w:ascii="Verdana" w:hAnsi="Verdana"/>
        </w:rPr>
        <w:t xml:space="preserve">e investiga crímenes no amnistiables cometidos contra pueblos y territorios étnicos en el marco del conflicto armado. En este contexto, se ha acreditado como víctimas como a los pueblos indígenas </w:t>
      </w:r>
      <w:proofErr w:type="spellStart"/>
      <w:r w:rsidRPr="008F05C7">
        <w:rPr>
          <w:rFonts w:ascii="Verdana" w:hAnsi="Verdana"/>
        </w:rPr>
        <w:t>Korebaju</w:t>
      </w:r>
      <w:proofErr w:type="spellEnd"/>
      <w:r w:rsidRPr="008F05C7">
        <w:rPr>
          <w:rFonts w:ascii="Verdana" w:hAnsi="Verdana"/>
        </w:rPr>
        <w:t xml:space="preserve">, Siona, </w:t>
      </w:r>
      <w:proofErr w:type="spellStart"/>
      <w:r w:rsidRPr="008F05C7">
        <w:rPr>
          <w:rFonts w:ascii="Verdana" w:hAnsi="Verdana"/>
        </w:rPr>
        <w:t>Hitnu</w:t>
      </w:r>
      <w:proofErr w:type="spellEnd"/>
      <w:r w:rsidRPr="008F05C7">
        <w:rPr>
          <w:rFonts w:ascii="Verdana" w:hAnsi="Verdana"/>
        </w:rPr>
        <w:t xml:space="preserve">, Inga, Nukak, </w:t>
      </w:r>
      <w:proofErr w:type="spellStart"/>
      <w:r w:rsidRPr="008F05C7">
        <w:rPr>
          <w:rFonts w:ascii="Verdana" w:hAnsi="Verdana"/>
        </w:rPr>
        <w:t>Jiw</w:t>
      </w:r>
      <w:proofErr w:type="spellEnd"/>
      <w:r w:rsidRPr="008F05C7">
        <w:rPr>
          <w:rFonts w:ascii="Verdana" w:hAnsi="Verdana"/>
        </w:rPr>
        <w:t xml:space="preserve"> y </w:t>
      </w:r>
      <w:proofErr w:type="spellStart"/>
      <w:r w:rsidRPr="008F05C7">
        <w:rPr>
          <w:rFonts w:ascii="Verdana" w:hAnsi="Verdana"/>
        </w:rPr>
        <w:t>Kichwa</w:t>
      </w:r>
      <w:proofErr w:type="spellEnd"/>
      <w:r w:rsidRPr="008F05C7">
        <w:rPr>
          <w:rFonts w:ascii="Verdana" w:hAnsi="Verdana"/>
        </w:rPr>
        <w:t xml:space="preserve">, así como a sus respectivos territorios. Además, se han realizado diligencias de versiones voluntarias relacionadas con hechos </w:t>
      </w:r>
      <w:proofErr w:type="spellStart"/>
      <w:r w:rsidRPr="008F05C7">
        <w:rPr>
          <w:rFonts w:ascii="Verdana" w:hAnsi="Verdana"/>
        </w:rPr>
        <w:t>victimizantes</w:t>
      </w:r>
      <w:proofErr w:type="spellEnd"/>
      <w:r w:rsidRPr="008F05C7">
        <w:rPr>
          <w:rFonts w:ascii="Verdana" w:hAnsi="Verdana"/>
        </w:rPr>
        <w:t xml:space="preserve"> cometidos por las extintas FARC-EP contra los pueblos indígenas </w:t>
      </w:r>
      <w:proofErr w:type="spellStart"/>
      <w:r w:rsidRPr="008F05C7">
        <w:rPr>
          <w:rFonts w:ascii="Verdana" w:hAnsi="Verdana"/>
        </w:rPr>
        <w:t>Hitnu</w:t>
      </w:r>
      <w:proofErr w:type="spellEnd"/>
      <w:r w:rsidRPr="008F05C7">
        <w:rPr>
          <w:rFonts w:ascii="Verdana" w:hAnsi="Verdana"/>
        </w:rPr>
        <w:t xml:space="preserve">, Siona, </w:t>
      </w:r>
      <w:proofErr w:type="spellStart"/>
      <w:r w:rsidRPr="008F05C7">
        <w:rPr>
          <w:rFonts w:ascii="Verdana" w:hAnsi="Verdana"/>
        </w:rPr>
        <w:t>Korebaju</w:t>
      </w:r>
      <w:proofErr w:type="spellEnd"/>
      <w:r w:rsidRPr="008F05C7">
        <w:rPr>
          <w:rFonts w:ascii="Verdana" w:hAnsi="Verdana"/>
        </w:rPr>
        <w:t xml:space="preserve">, Nukak y </w:t>
      </w:r>
      <w:proofErr w:type="spellStart"/>
      <w:r w:rsidRPr="008F05C7">
        <w:rPr>
          <w:rFonts w:ascii="Verdana" w:hAnsi="Verdana"/>
        </w:rPr>
        <w:t>Jiw</w:t>
      </w:r>
      <w:proofErr w:type="spellEnd"/>
      <w:r w:rsidRPr="008F05C7">
        <w:rPr>
          <w:rFonts w:ascii="Verdana" w:hAnsi="Verdana"/>
        </w:rPr>
        <w:t>, con la participación de estos pueblos, sus representantes judiciales y el Ministerio Público. Asimismo, se han llevado a cabo dos diligencias de observaciones de víctimas a dichas versiones.</w:t>
      </w:r>
    </w:p>
    <w:p w14:paraId="45D88631" w14:textId="77777777" w:rsidR="009D6F29" w:rsidRDefault="009D6F29" w:rsidP="00144277">
      <w:pPr>
        <w:spacing w:line="276" w:lineRule="auto"/>
        <w:jc w:val="both"/>
        <w:rPr>
          <w:rFonts w:ascii="Verdana" w:hAnsi="Verdana"/>
        </w:rPr>
      </w:pPr>
    </w:p>
    <w:p w14:paraId="1E261771" w14:textId="43C066C2" w:rsidR="009D6F29" w:rsidRDefault="005006E6" w:rsidP="00144277">
      <w:pPr>
        <w:spacing w:line="276" w:lineRule="auto"/>
        <w:jc w:val="both"/>
        <w:rPr>
          <w:rFonts w:ascii="Verdana" w:hAnsi="Verdana"/>
          <w:i/>
          <w:iCs/>
        </w:rPr>
      </w:pPr>
      <w:r w:rsidRPr="005006E6">
        <w:rPr>
          <w:rFonts w:ascii="Verdana" w:hAnsi="Verdana"/>
          <w:i/>
          <w:iCs/>
        </w:rPr>
        <w:t>Caso 10 “Crímenes no amnistiables cometidos por miembros de las extintas FARC-EP por causa, con ocasión, o en relación directa o indirecta con el conflicto armado colombiano”</w:t>
      </w:r>
    </w:p>
    <w:p w14:paraId="3B95BAF2" w14:textId="5467D9BF" w:rsidR="005006E6" w:rsidRDefault="005006E6" w:rsidP="00144277">
      <w:pPr>
        <w:spacing w:line="276" w:lineRule="auto"/>
        <w:jc w:val="both"/>
        <w:rPr>
          <w:rFonts w:ascii="Verdana" w:hAnsi="Verdana"/>
          <w:i/>
          <w:iCs/>
        </w:rPr>
      </w:pPr>
      <w:r w:rsidRPr="005006E6">
        <w:rPr>
          <w:rFonts w:ascii="Verdana" w:hAnsi="Verdana"/>
          <w:i/>
          <w:iCs/>
        </w:rPr>
        <w:t>Respecto de los antiguos bloques Magdalena Medio, Caribe, Occidental, Oriental y Sur:</w:t>
      </w:r>
    </w:p>
    <w:p w14:paraId="3509EC53" w14:textId="645ED97A" w:rsidR="005006E6" w:rsidRDefault="0037387C" w:rsidP="00144277">
      <w:pPr>
        <w:spacing w:line="276" w:lineRule="auto"/>
        <w:jc w:val="both"/>
        <w:rPr>
          <w:rFonts w:ascii="Verdana" w:hAnsi="Verdana"/>
        </w:rPr>
      </w:pPr>
      <w:r>
        <w:rPr>
          <w:rFonts w:ascii="Verdana" w:hAnsi="Verdana"/>
        </w:rPr>
        <w:t>M</w:t>
      </w:r>
      <w:r w:rsidRPr="0037387C">
        <w:rPr>
          <w:rFonts w:ascii="Verdana" w:hAnsi="Verdana"/>
        </w:rPr>
        <w:t>ediante autos JLR-010 No. 02 de 2023, MGM-010 No. 05 de 2023, MGM-10 No. 06 de 2023, MGM-10 No. 10 de 2023 y MGM-10 No. 11 de 2023, se definieron las estructuras y territorios que conforman la primera etapa de investigación del Caso No. 10.</w:t>
      </w:r>
    </w:p>
    <w:p w14:paraId="6621F9B8" w14:textId="10BE059C" w:rsidR="00FA77CF" w:rsidRDefault="00FA77CF" w:rsidP="00144277">
      <w:pPr>
        <w:spacing w:line="276" w:lineRule="auto"/>
        <w:jc w:val="both"/>
        <w:rPr>
          <w:rFonts w:ascii="Verdana" w:hAnsi="Verdana"/>
        </w:rPr>
      </w:pPr>
      <w:r w:rsidRPr="00FA77CF">
        <w:rPr>
          <w:rFonts w:ascii="Verdana" w:hAnsi="Verdana"/>
        </w:rPr>
        <w:lastRenderedPageBreak/>
        <w:t>El 6 de febrero de 2024 la SRVR convocó mediante Auto No. 01 de 2024 a nueve antiguos integrantes de las FARC-EP a diligencia de versión voluntaria con el fin de aportar verdad sobre los hechos relacionados con el atentado del Club El Nogal, cometido el 7 de febrero de 2003 en la ciudad de Bogotá.</w:t>
      </w:r>
    </w:p>
    <w:p w14:paraId="69CF9387" w14:textId="643BCF68" w:rsidR="00F46449" w:rsidRDefault="00F46449" w:rsidP="00144277">
      <w:pPr>
        <w:spacing w:line="276" w:lineRule="auto"/>
        <w:jc w:val="both"/>
        <w:rPr>
          <w:rFonts w:ascii="Verdana" w:hAnsi="Verdana"/>
        </w:rPr>
      </w:pPr>
      <w:r w:rsidRPr="00F46449">
        <w:rPr>
          <w:rFonts w:ascii="Verdana" w:hAnsi="Verdana"/>
        </w:rPr>
        <w:t xml:space="preserve">Adicionalmente, la </w:t>
      </w:r>
      <w:proofErr w:type="spellStart"/>
      <w:r w:rsidRPr="00F46449">
        <w:rPr>
          <w:rFonts w:ascii="Verdana" w:hAnsi="Verdana"/>
        </w:rPr>
        <w:t>Subsala</w:t>
      </w:r>
      <w:proofErr w:type="spellEnd"/>
      <w:r w:rsidRPr="00F46449">
        <w:rPr>
          <w:rFonts w:ascii="Verdana" w:hAnsi="Verdana"/>
        </w:rPr>
        <w:t xml:space="preserve"> O de la SRVR convocó a versión voluntaria al compareciente Gonzalo Antonio García Giraldo, antiguo integrante del Bloque Oriental de las extintas FARC-EP, mediante Auto No. 06 de 2025, y al compareciente Bertulfo Caicedo Garzón, también antiguo integrante del Bloque Oriental de las extintas FARC-EP, mediante Auto No. 08 de 2026.</w:t>
      </w:r>
    </w:p>
    <w:p w14:paraId="585784F1" w14:textId="6F164F6D" w:rsidR="00F46449" w:rsidRDefault="00F46449" w:rsidP="00144277">
      <w:pPr>
        <w:spacing w:line="276" w:lineRule="auto"/>
        <w:jc w:val="both"/>
        <w:rPr>
          <w:rFonts w:ascii="Verdana" w:hAnsi="Verdana"/>
        </w:rPr>
      </w:pPr>
      <w:r w:rsidRPr="00F46449">
        <w:rPr>
          <w:rFonts w:ascii="Verdana" w:hAnsi="Verdana"/>
        </w:rPr>
        <w:t>En lo que respecta a las áreas de injerencia de los antiguos Bloques Oriental y Sur de las FARC-EP, hasta el momento se han realizado 55 versiones voluntarias individuales y colectivas (11 días de versión voluntaria colectiva y 11 versiones individuales de 27 exmiembros del Bloque Sur y 18 días de versión voluntaria colectiva y cinco versiones individuales de 38 exmiembros del Bloque Oriental) y 22 audiencias de observaciones de las víctimas a las versiones voluntarias (nueve de hechos atribuibles al antiguo Bloque Sur con la participación de 64 víctimas acreditadas y 13 de hechos atribuibles al antiguo Bloque Oriental con la participación de 100 víctimas acreditadas). La</w:t>
      </w:r>
      <w:r>
        <w:rPr>
          <w:rFonts w:ascii="Verdana" w:hAnsi="Verdana"/>
        </w:rPr>
        <w:t xml:space="preserve"> </w:t>
      </w:r>
      <w:r w:rsidRPr="00F46449">
        <w:rPr>
          <w:rFonts w:ascii="Verdana" w:hAnsi="Verdana"/>
        </w:rPr>
        <w:t xml:space="preserve">SRVR avanza actualmente en la contratación de información recaudada en el marco de la instrucción del </w:t>
      </w:r>
      <w:proofErr w:type="spellStart"/>
      <w:r w:rsidRPr="00F46449">
        <w:rPr>
          <w:rFonts w:ascii="Verdana" w:hAnsi="Verdana"/>
        </w:rPr>
        <w:t>macrocaso</w:t>
      </w:r>
      <w:proofErr w:type="spellEnd"/>
      <w:r w:rsidRPr="00F46449">
        <w:rPr>
          <w:rFonts w:ascii="Verdana" w:hAnsi="Verdana"/>
        </w:rPr>
        <w:t>.</w:t>
      </w:r>
    </w:p>
    <w:p w14:paraId="313076AB" w14:textId="4CFBFDAC" w:rsidR="004D1507" w:rsidRDefault="004D1507" w:rsidP="00144277">
      <w:pPr>
        <w:spacing w:line="276" w:lineRule="auto"/>
        <w:jc w:val="both"/>
        <w:rPr>
          <w:rFonts w:ascii="Verdana" w:hAnsi="Verdana"/>
        </w:rPr>
      </w:pPr>
      <w:r>
        <w:rPr>
          <w:rFonts w:ascii="Verdana" w:hAnsi="Verdana"/>
        </w:rPr>
        <w:t>S</w:t>
      </w:r>
      <w:r w:rsidRPr="004D1507">
        <w:rPr>
          <w:rFonts w:ascii="Verdana" w:hAnsi="Verdana"/>
        </w:rPr>
        <w:t>e elaboró la ponencia de Auto de Determinación de Hechos y Conductas atribuibles a los antiguos Bloques Oriental y Sur, documento que fue presentado ante el pleno de la SRVR el pasado 8 de mayo de 2026. Asimismo, es relevante señalar que, con corte al 30 de mayo de 2026, el Caso No. 10 cuenta con aproximadamente 2.482 víctimas acreditadas por diferentes hechos, como desplazamiento forzado, desaparición forzada, homicidio, entre otros.</w:t>
      </w:r>
    </w:p>
    <w:p w14:paraId="58DF3F44" w14:textId="77777777" w:rsidR="00F46449" w:rsidRDefault="00F46449" w:rsidP="00144277">
      <w:pPr>
        <w:spacing w:line="276" w:lineRule="auto"/>
        <w:jc w:val="both"/>
        <w:rPr>
          <w:rFonts w:ascii="Verdana" w:hAnsi="Verdana"/>
        </w:rPr>
      </w:pPr>
    </w:p>
    <w:p w14:paraId="72504926" w14:textId="7D9C56CE" w:rsidR="004D1507" w:rsidRDefault="004D1507" w:rsidP="00144277">
      <w:pPr>
        <w:spacing w:line="276" w:lineRule="auto"/>
        <w:jc w:val="both"/>
        <w:rPr>
          <w:rFonts w:ascii="Verdana" w:hAnsi="Verdana"/>
          <w:i/>
          <w:iCs/>
        </w:rPr>
      </w:pPr>
      <w:r w:rsidRPr="004D1507">
        <w:rPr>
          <w:rFonts w:ascii="Verdana" w:hAnsi="Verdana"/>
          <w:i/>
          <w:iCs/>
        </w:rPr>
        <w:t>Respecto de los antiguos Comando Conjunto Central y Bloque Noroccidental:</w:t>
      </w:r>
    </w:p>
    <w:p w14:paraId="70F2CBB6" w14:textId="77777777" w:rsidR="007D3DC9" w:rsidRPr="007D3DC9" w:rsidRDefault="007D3DC9" w:rsidP="00144277">
      <w:pPr>
        <w:spacing w:line="276" w:lineRule="auto"/>
        <w:jc w:val="both"/>
        <w:rPr>
          <w:rFonts w:ascii="Verdana" w:hAnsi="Verdana"/>
        </w:rPr>
      </w:pPr>
      <w:r w:rsidRPr="007D3DC9">
        <w:rPr>
          <w:rFonts w:ascii="Verdana" w:hAnsi="Verdana"/>
        </w:rPr>
        <w:t xml:space="preserve">Actualmente se adelantan actividades de instrucción dentro del Caso No. 10, de conformidad con los criterios de priorización establecidos en el Auto SRVR No. 102 de 2022. En particular, este caso estudia: </w:t>
      </w:r>
    </w:p>
    <w:p w14:paraId="2F574022" w14:textId="6EFE0A84" w:rsidR="007D3DC9" w:rsidRPr="007D3DC9" w:rsidRDefault="007D3DC9" w:rsidP="007D3DC9">
      <w:pPr>
        <w:pStyle w:val="ListParagraph"/>
        <w:numPr>
          <w:ilvl w:val="0"/>
          <w:numId w:val="4"/>
        </w:numPr>
        <w:spacing w:line="276" w:lineRule="auto"/>
        <w:jc w:val="both"/>
        <w:rPr>
          <w:rFonts w:ascii="Verdana" w:hAnsi="Verdana"/>
        </w:rPr>
      </w:pPr>
      <w:r w:rsidRPr="007D3DC9">
        <w:rPr>
          <w:rFonts w:ascii="Verdana" w:hAnsi="Verdana"/>
        </w:rPr>
        <w:t xml:space="preserve">Que el presunto autor sean las FARC-EP; </w:t>
      </w:r>
    </w:p>
    <w:p w14:paraId="53FE4ACC" w14:textId="0963BC3D" w:rsidR="007D3DC9" w:rsidRPr="007D3DC9" w:rsidRDefault="007D3DC9" w:rsidP="007D3DC9">
      <w:pPr>
        <w:pStyle w:val="ListParagraph"/>
        <w:numPr>
          <w:ilvl w:val="0"/>
          <w:numId w:val="4"/>
        </w:numPr>
        <w:spacing w:line="276" w:lineRule="auto"/>
        <w:jc w:val="both"/>
        <w:rPr>
          <w:rFonts w:ascii="Verdana" w:hAnsi="Verdana"/>
        </w:rPr>
      </w:pPr>
      <w:r w:rsidRPr="007D3DC9">
        <w:rPr>
          <w:rFonts w:ascii="Verdana" w:hAnsi="Verdana"/>
        </w:rPr>
        <w:t xml:space="preserve">Que los hechos hayan ocurrido por fuera de los municipios priorizados en los Casos 02, 04 y 05 de la SRVR; </w:t>
      </w:r>
    </w:p>
    <w:p w14:paraId="52E680A5" w14:textId="284E277D" w:rsidR="007D3DC9" w:rsidRPr="007D3DC9" w:rsidRDefault="007D3DC9" w:rsidP="007D3DC9">
      <w:pPr>
        <w:pStyle w:val="ListParagraph"/>
        <w:numPr>
          <w:ilvl w:val="0"/>
          <w:numId w:val="4"/>
        </w:numPr>
        <w:spacing w:line="276" w:lineRule="auto"/>
        <w:jc w:val="both"/>
        <w:rPr>
          <w:rFonts w:ascii="Verdana" w:hAnsi="Verdana"/>
        </w:rPr>
      </w:pPr>
      <w:r w:rsidRPr="007D3DC9">
        <w:rPr>
          <w:rFonts w:ascii="Verdana" w:hAnsi="Verdana"/>
        </w:rPr>
        <w:t>Que los hechos estén por fuera del espectro de conductas analizadas en los Casos 01 y 07 de la SRVR;</w:t>
      </w:r>
    </w:p>
    <w:p w14:paraId="4FD2C92E" w14:textId="6AC8EB2B" w:rsidR="007D3DC9" w:rsidRPr="007D3DC9" w:rsidRDefault="007D3DC9" w:rsidP="007D3DC9">
      <w:pPr>
        <w:pStyle w:val="ListParagraph"/>
        <w:numPr>
          <w:ilvl w:val="0"/>
          <w:numId w:val="4"/>
        </w:numPr>
        <w:spacing w:line="276" w:lineRule="auto"/>
        <w:jc w:val="both"/>
        <w:rPr>
          <w:rFonts w:ascii="Verdana" w:hAnsi="Verdana"/>
        </w:rPr>
      </w:pPr>
      <w:r w:rsidRPr="007D3DC9">
        <w:rPr>
          <w:rFonts w:ascii="Verdana" w:hAnsi="Verdana"/>
        </w:rPr>
        <w:lastRenderedPageBreak/>
        <w:t xml:space="preserve">Que los hechos no sean de competencia del Caso 09 de la SRVR que decidió avocar conocimiento “sobre crímenes cometidos contra Pueblos y Territorios Étnicos”. </w:t>
      </w:r>
    </w:p>
    <w:p w14:paraId="5009CBA0" w14:textId="6FE21880" w:rsidR="007D3DC9" w:rsidRDefault="007D3DC9" w:rsidP="00144277">
      <w:pPr>
        <w:spacing w:line="276" w:lineRule="auto"/>
        <w:jc w:val="both"/>
        <w:rPr>
          <w:rFonts w:ascii="Verdana" w:hAnsi="Verdana"/>
        </w:rPr>
      </w:pPr>
      <w:r w:rsidRPr="007D3DC9">
        <w:rPr>
          <w:rFonts w:ascii="Verdana" w:hAnsi="Verdana"/>
        </w:rPr>
        <w:t>En desarrollo de la etapa de instrucción, se han adelantado diversas actuaciones orientadas al esclarecimiento de los hechos investigados y a la satisfacción de los derechos de las víctimas. Entre estas se encuentran la realización de audiencias de observaciones de víctimas, de versiones voluntarias individuales y colectivas de los comparecientes, la práctica de entrevistas, la recepción de aportes de verdad y otras actividades de recaudo, análisis y contrastación de información. Asimismo, se han desarrollado espacios de articulación con entidades del Sistema Integral para la Paz, incluida la UBPD, con el propósito de contribuir al esclarecimiento de los hechos, la determinación de responsabilidades y la garantía de los derechos a la verdad, la justicia, la reparación y las garantías de no repetición dentro del ámbito competencial asignado al Caso No. 10.</w:t>
      </w:r>
    </w:p>
    <w:p w14:paraId="0AEE408B" w14:textId="77777777" w:rsidR="007D3DC9" w:rsidRDefault="007D3DC9" w:rsidP="00144277">
      <w:pPr>
        <w:spacing w:line="276" w:lineRule="auto"/>
        <w:jc w:val="both"/>
        <w:rPr>
          <w:rFonts w:ascii="Verdana" w:hAnsi="Verdana"/>
        </w:rPr>
      </w:pPr>
    </w:p>
    <w:p w14:paraId="2BC8A0F9" w14:textId="11241FE1" w:rsidR="007D3DC9" w:rsidRDefault="007D3DC9" w:rsidP="00144277">
      <w:pPr>
        <w:spacing w:line="276" w:lineRule="auto"/>
        <w:jc w:val="both"/>
        <w:rPr>
          <w:rFonts w:ascii="Verdana" w:hAnsi="Verdana"/>
          <w:i/>
          <w:iCs/>
        </w:rPr>
      </w:pPr>
      <w:r>
        <w:rPr>
          <w:rFonts w:ascii="Verdana" w:hAnsi="Verdana"/>
          <w:i/>
          <w:iCs/>
        </w:rPr>
        <w:t xml:space="preserve">Caso 11 “Violencia </w:t>
      </w:r>
      <w:r w:rsidR="005162F5" w:rsidRPr="005162F5">
        <w:rPr>
          <w:rFonts w:ascii="Verdana" w:hAnsi="Verdana"/>
          <w:i/>
          <w:iCs/>
        </w:rPr>
        <w:t>basada en género, sexual y reproductiva, y otros crímenes por prejuicio basados en la orientación sexual, la expresión y/o identidad de género diversa”</w:t>
      </w:r>
    </w:p>
    <w:p w14:paraId="691EEC5D" w14:textId="77777777" w:rsidR="00E1127F" w:rsidRDefault="00E1127F" w:rsidP="00144277">
      <w:pPr>
        <w:spacing w:line="276" w:lineRule="auto"/>
        <w:jc w:val="both"/>
        <w:rPr>
          <w:rFonts w:ascii="Verdana" w:hAnsi="Verdana"/>
        </w:rPr>
      </w:pPr>
      <w:proofErr w:type="spellStart"/>
      <w:r w:rsidRPr="00E1127F">
        <w:rPr>
          <w:rFonts w:ascii="Verdana" w:hAnsi="Verdana"/>
          <w:i/>
          <w:iCs/>
        </w:rPr>
        <w:t>Subcaso</w:t>
      </w:r>
      <w:proofErr w:type="spellEnd"/>
      <w:r w:rsidRPr="00E1127F">
        <w:rPr>
          <w:rFonts w:ascii="Verdana" w:hAnsi="Verdana"/>
          <w:i/>
          <w:iCs/>
        </w:rPr>
        <w:t xml:space="preserve"> 2: </w:t>
      </w:r>
      <w:r w:rsidRPr="00E1127F">
        <w:rPr>
          <w:rFonts w:ascii="Verdana" w:hAnsi="Verdana"/>
        </w:rPr>
        <w:t xml:space="preserve">dentro del </w:t>
      </w:r>
      <w:proofErr w:type="spellStart"/>
      <w:r w:rsidRPr="00E1127F">
        <w:rPr>
          <w:rFonts w:ascii="Verdana" w:hAnsi="Verdana"/>
        </w:rPr>
        <w:t>macrocaso</w:t>
      </w:r>
      <w:proofErr w:type="spellEnd"/>
      <w:r w:rsidRPr="00E1127F">
        <w:rPr>
          <w:rFonts w:ascii="Verdana" w:hAnsi="Verdana"/>
        </w:rPr>
        <w:t xml:space="preserve"> 11 los principales avances se han dado en el seguimiento a las órdenes dadas en el respectivo auto de apertura -Auto 05 del 6 de septiembre de 2023-. En ese marco, se han realizado jornadas de difusión, pedagogía y acreditación de víctimas,</w:t>
      </w:r>
      <w:r>
        <w:rPr>
          <w:rFonts w:ascii="Verdana" w:hAnsi="Verdana"/>
        </w:rPr>
        <w:t xml:space="preserve"> </w:t>
      </w:r>
      <w:r w:rsidRPr="00E1127F">
        <w:rPr>
          <w:rFonts w:ascii="Verdana" w:hAnsi="Verdana"/>
        </w:rPr>
        <w:t xml:space="preserve">encabezadas por la Secretaría Ejecutiva. Además de lo anterior, se ha avanzado en la consolidación del expediente judicial digital, así como en la definición de los criterios para su respectiva </w:t>
      </w:r>
      <w:proofErr w:type="spellStart"/>
      <w:r w:rsidRPr="00E1127F">
        <w:rPr>
          <w:rFonts w:ascii="Verdana" w:hAnsi="Verdana"/>
        </w:rPr>
        <w:t>anonimización</w:t>
      </w:r>
      <w:proofErr w:type="spellEnd"/>
      <w:r w:rsidRPr="00E1127F">
        <w:rPr>
          <w:rFonts w:ascii="Verdana" w:hAnsi="Verdana"/>
        </w:rPr>
        <w:t xml:space="preserve">; también se emitió el auto que decreta la reserva a los expedientes, y se ha avanzado en la contratación de un equipo que se encargue de la </w:t>
      </w:r>
      <w:proofErr w:type="spellStart"/>
      <w:r w:rsidRPr="00E1127F">
        <w:rPr>
          <w:rFonts w:ascii="Verdana" w:hAnsi="Verdana"/>
        </w:rPr>
        <w:t>anonimización</w:t>
      </w:r>
      <w:proofErr w:type="spellEnd"/>
      <w:r w:rsidRPr="00E1127F">
        <w:rPr>
          <w:rFonts w:ascii="Verdana" w:hAnsi="Verdana"/>
        </w:rPr>
        <w:t xml:space="preserve"> que corresponda. Finalmente, se han definido los criterios de participación de víctimas durante la instrucción del </w:t>
      </w:r>
      <w:proofErr w:type="spellStart"/>
      <w:r w:rsidRPr="00E1127F">
        <w:rPr>
          <w:rFonts w:ascii="Verdana" w:hAnsi="Verdana"/>
        </w:rPr>
        <w:t>macrocaso</w:t>
      </w:r>
      <w:proofErr w:type="spellEnd"/>
      <w:r w:rsidRPr="00E1127F">
        <w:rPr>
          <w:rFonts w:ascii="Verdana" w:hAnsi="Verdana"/>
        </w:rPr>
        <w:t xml:space="preserve">. </w:t>
      </w:r>
    </w:p>
    <w:p w14:paraId="6A0E1281" w14:textId="1A56D9DF" w:rsidR="00362B05" w:rsidRDefault="00E1127F" w:rsidP="00144277">
      <w:pPr>
        <w:spacing w:line="276" w:lineRule="auto"/>
        <w:jc w:val="both"/>
        <w:rPr>
          <w:rFonts w:ascii="Verdana" w:hAnsi="Verdana"/>
        </w:rPr>
      </w:pPr>
      <w:r w:rsidRPr="00E1127F">
        <w:rPr>
          <w:rFonts w:ascii="Verdana" w:hAnsi="Verdana"/>
        </w:rPr>
        <w:t xml:space="preserve">A la fecha se han realizado un total de 65 versiones voluntarias, y se han acreditado a 626 víctimas. Lo anterior permite avanzar en la instrucción del </w:t>
      </w:r>
      <w:proofErr w:type="spellStart"/>
      <w:r w:rsidRPr="00E1127F">
        <w:rPr>
          <w:rFonts w:ascii="Verdana" w:hAnsi="Verdana"/>
        </w:rPr>
        <w:t>macrocaso</w:t>
      </w:r>
      <w:proofErr w:type="spellEnd"/>
      <w:r w:rsidRPr="00E1127F">
        <w:rPr>
          <w:rFonts w:ascii="Verdana" w:hAnsi="Verdana"/>
        </w:rPr>
        <w:t xml:space="preserve">, en aras de la posible identificación de patrones </w:t>
      </w:r>
      <w:proofErr w:type="spellStart"/>
      <w:r w:rsidRPr="00E1127F">
        <w:rPr>
          <w:rFonts w:ascii="Verdana" w:hAnsi="Verdana"/>
        </w:rPr>
        <w:t>macrocriminales</w:t>
      </w:r>
      <w:proofErr w:type="spellEnd"/>
      <w:r w:rsidRPr="00E1127F">
        <w:rPr>
          <w:rFonts w:ascii="Verdana" w:hAnsi="Verdana"/>
        </w:rPr>
        <w:t xml:space="preserve"> y posibles máximos responsables de tales patrones.</w:t>
      </w:r>
      <w:r w:rsidR="00C33296">
        <w:rPr>
          <w:rFonts w:ascii="Verdana" w:hAnsi="Verdana"/>
        </w:rPr>
        <w:t>}</w:t>
      </w:r>
    </w:p>
    <w:p w14:paraId="090FB930" w14:textId="77777777" w:rsidR="00C33296" w:rsidRDefault="00C33296" w:rsidP="00144277">
      <w:pPr>
        <w:spacing w:line="276" w:lineRule="auto"/>
        <w:jc w:val="both"/>
        <w:rPr>
          <w:rFonts w:ascii="Verdana" w:hAnsi="Verdana"/>
          <w:b/>
          <w:bCs/>
          <w:u w:val="single"/>
        </w:rPr>
      </w:pPr>
    </w:p>
    <w:p w14:paraId="55138B44" w14:textId="10F10313" w:rsidR="00362B05" w:rsidRDefault="00362B05" w:rsidP="00144277">
      <w:pPr>
        <w:spacing w:line="276" w:lineRule="auto"/>
        <w:jc w:val="both"/>
        <w:rPr>
          <w:rFonts w:ascii="Verdana" w:hAnsi="Verdana"/>
          <w:b/>
          <w:bCs/>
          <w:u w:val="single"/>
        </w:rPr>
      </w:pPr>
      <w:r>
        <w:rPr>
          <w:rFonts w:ascii="Verdana" w:hAnsi="Verdana"/>
          <w:b/>
          <w:bCs/>
          <w:u w:val="single"/>
        </w:rPr>
        <w:t>Instituto Colombiano de Bienestar Familiar</w:t>
      </w:r>
    </w:p>
    <w:p w14:paraId="17FB6ECF" w14:textId="77777777" w:rsidR="00362B05" w:rsidRDefault="00362B05" w:rsidP="00144277">
      <w:pPr>
        <w:spacing w:line="276" w:lineRule="auto"/>
        <w:jc w:val="both"/>
        <w:rPr>
          <w:rFonts w:ascii="Verdana" w:hAnsi="Verdana"/>
        </w:rPr>
      </w:pPr>
      <w:r w:rsidRPr="00362B05">
        <w:rPr>
          <w:rFonts w:ascii="Verdana" w:hAnsi="Verdana"/>
        </w:rPr>
        <w:t xml:space="preserve">El ICBF, en el marco de sus competencias y en articulación con el Sistema Nacional de Bienestar Familiar (SNBF), reitera su compromiso con la garantía, </w:t>
      </w:r>
      <w:r w:rsidRPr="00362B05">
        <w:rPr>
          <w:rFonts w:ascii="Verdana" w:hAnsi="Verdana"/>
        </w:rPr>
        <w:lastRenderedPageBreak/>
        <w:t xml:space="preserve">promoción y restablecimiento de los derechos de las niñas, niños y adolescentes, especialmente de aquellos afectados por el conflicto armado interno. </w:t>
      </w:r>
    </w:p>
    <w:p w14:paraId="016A6CD2" w14:textId="77777777" w:rsidR="00362B05" w:rsidRDefault="00362B05" w:rsidP="00144277">
      <w:pPr>
        <w:spacing w:line="276" w:lineRule="auto"/>
        <w:jc w:val="both"/>
        <w:rPr>
          <w:rFonts w:ascii="Verdana" w:hAnsi="Verdana"/>
        </w:rPr>
      </w:pPr>
      <w:r w:rsidRPr="00362B05">
        <w:rPr>
          <w:rFonts w:ascii="Verdana" w:hAnsi="Verdana"/>
        </w:rPr>
        <w:t xml:space="preserve">En atención a las recomendaciones formuladas por el Comité, el ICBF reconoce la necesidad de continuar e intensificar los esfuerzos dirigidos a prevenir las violaciones de los derechos consagrados en el Pacto Internacional de Derechos Civiles y Políticos, así como a garantizar los derechos a la verdad, la justicia, la reparación integral y las garantías de no repetición de las víctimas. En este contexto, el ICBF ha orientado su acción institucional hacia el fortalecimiento de la implementación del Acuerdo Final de Paz de 2016. </w:t>
      </w:r>
    </w:p>
    <w:p w14:paraId="5123DC48" w14:textId="23D6C5AE" w:rsidR="00362B05" w:rsidRDefault="00362B05" w:rsidP="00144277">
      <w:pPr>
        <w:spacing w:line="276" w:lineRule="auto"/>
        <w:jc w:val="both"/>
        <w:rPr>
          <w:rFonts w:ascii="Verdana" w:hAnsi="Verdana"/>
        </w:rPr>
      </w:pPr>
      <w:r w:rsidRPr="00362B05">
        <w:rPr>
          <w:rFonts w:ascii="Verdana" w:hAnsi="Verdana"/>
        </w:rPr>
        <w:t>Durante los últimos cuatro años, el ICBF ha impulsado una transformación estructural que reconoce la paz como un eje transversal que orienta toda su misión institucional. En este sentido, ha reafirmado su compromiso con el cumplimiento del Acuerdo Final de Paz, situando a las niñas, niños y adolescentes en el centro de la apuesta de país, bajo el convencimiento de que solo mediante la garantía de su participación, la promoción efectiva de sus derechos, la prevención de riesgos y su desarrollo integral, será posible consolidar una paz sostenible en Colombia.</w:t>
      </w:r>
    </w:p>
    <w:p w14:paraId="2DDBD274" w14:textId="2CCA53F7" w:rsidR="007B3770" w:rsidRDefault="007B3770" w:rsidP="00144277">
      <w:pPr>
        <w:spacing w:line="276" w:lineRule="auto"/>
        <w:jc w:val="both"/>
        <w:rPr>
          <w:rFonts w:ascii="Verdana" w:hAnsi="Verdana"/>
        </w:rPr>
      </w:pPr>
      <w:r w:rsidRPr="007B3770">
        <w:rPr>
          <w:rFonts w:ascii="Verdana" w:hAnsi="Verdana"/>
        </w:rPr>
        <w:t>Durante el periodo 2022-2026, el ICBF fortaleció de manera significativa la implementación territorial del Acuerdo Final de Paz mediante la consolidación de la atención integral a la primera infancia en municipios priorizados por los diferentes instrumentos derivados del Acuerdo. En este periodo se registran según la plataforma Cuéntame:  9.568.473 usuarios únicos atendidos, de los cuales 1.960.214 corresponden a municipios del Programa de Desarrollo con Enfoque Territorial - PDET (20,49 %), 2.847.392 a municipios Zonas más Afectadas por el Conflicto Armado - ZOMAC (29,76 %),  624.185 a municipios Programa de Sustitución Voluntaria de Cultivos Ilícitos - PNIS (6,52 %)  y  412.763 a municipios Planes Integrales Comunitarios y Municipales de Sustitución y Desarrollo Alternativo - PISDA (4,31 %). Estos resultados evidencian una focalización efectiva de la oferta institucional hacia territorios afectados por el conflicto armado y con mayores brechas de desarrollo. </w:t>
      </w:r>
    </w:p>
    <w:p w14:paraId="73B383ED" w14:textId="0B7AAB3C" w:rsidR="007B3770" w:rsidRDefault="007B3770" w:rsidP="00144277">
      <w:pPr>
        <w:spacing w:line="276" w:lineRule="auto"/>
        <w:jc w:val="both"/>
        <w:rPr>
          <w:rFonts w:ascii="Verdana" w:hAnsi="Verdana"/>
        </w:rPr>
      </w:pPr>
      <w:r w:rsidRPr="007B3770">
        <w:rPr>
          <w:rFonts w:ascii="Verdana" w:hAnsi="Verdana"/>
        </w:rPr>
        <w:t xml:space="preserve">La evolución anual de la atención muestra una capacidad institucional sostenida, con 2.164.481 usuarios atendidos en 2022; 2.047.255 en 2023; 2.108.795 en 2024; 2.070.660 en 2025; </w:t>
      </w:r>
      <w:proofErr w:type="gramStart"/>
      <w:r w:rsidRPr="007B3770">
        <w:rPr>
          <w:rFonts w:ascii="Verdana" w:hAnsi="Verdana"/>
        </w:rPr>
        <w:t>y  1.177.282</w:t>
      </w:r>
      <w:proofErr w:type="gramEnd"/>
      <w:r w:rsidRPr="007B3770">
        <w:rPr>
          <w:rFonts w:ascii="Verdana" w:hAnsi="Verdana"/>
        </w:rPr>
        <w:t xml:space="preserve"> niñas y niños de primera infancia y madres gestantes en 2026 con corte parcial, reflejando un proceso de consolidación y estabilización de la oferta más que variaciones estructurales en la cobertura. </w:t>
      </w:r>
    </w:p>
    <w:p w14:paraId="3F7117F6" w14:textId="328C137D" w:rsidR="007B3770" w:rsidRDefault="007B3770" w:rsidP="00144277">
      <w:pPr>
        <w:spacing w:line="276" w:lineRule="auto"/>
        <w:jc w:val="both"/>
        <w:rPr>
          <w:rFonts w:ascii="Verdana" w:hAnsi="Verdana"/>
        </w:rPr>
      </w:pPr>
      <w:r w:rsidRPr="007B3770">
        <w:rPr>
          <w:rFonts w:ascii="Verdana" w:hAnsi="Verdana"/>
        </w:rPr>
        <w:t xml:space="preserve">De manera complementaria, el ICBF consolidó la Educación Inicial Campesina como una estrategia diferencial para garantizar el acceso a la </w:t>
      </w:r>
      <w:r w:rsidRPr="007B3770">
        <w:rPr>
          <w:rFonts w:ascii="Verdana" w:hAnsi="Verdana"/>
        </w:rPr>
        <w:lastRenderedPageBreak/>
        <w:t>atención integral en zonas rurales y rurales dispersas. Durante 2025 esta modalidad atendió 282.174 usuarios, mientras que en 2026 (corte parcial) registra 106.584 atenciones, consolidándose como una de las principales estrategias para el cierre de brechas territoriales y el fortalecimiento de la presencia institucional en municipios PDET, ZOMAC, PNIS y PISDA. Su implementación reconoce los saberes propios de las comunidades campesinas y fortalece capacidades familiares y comunitarias, contribuyendo a la estabilización territorial y a la construcción de paz. </w:t>
      </w:r>
    </w:p>
    <w:p w14:paraId="109910FF" w14:textId="48308E6F" w:rsidR="007B3770" w:rsidRDefault="007B3770" w:rsidP="00144277">
      <w:pPr>
        <w:spacing w:line="276" w:lineRule="auto"/>
        <w:jc w:val="both"/>
        <w:rPr>
          <w:rFonts w:ascii="Verdana" w:hAnsi="Verdana"/>
        </w:rPr>
      </w:pPr>
      <w:r w:rsidRPr="007B3770">
        <w:rPr>
          <w:rFonts w:ascii="Verdana" w:hAnsi="Verdana"/>
        </w:rPr>
        <w:t>En desarrollo del punto 3.4 del Acuerdo Final de Paz, según la plataforma Cuéntame, durante 2025 se atendieron 2.967 hijas, hijos y familiares de los distintos procesos con la ARN participantes de primera infancia en 31</w:t>
      </w:r>
      <w:r w:rsidR="001773B8">
        <w:rPr>
          <w:rFonts w:ascii="Verdana" w:hAnsi="Verdana"/>
        </w:rPr>
        <w:t xml:space="preserve"> </w:t>
      </w:r>
      <w:r w:rsidR="001773B8" w:rsidRPr="001773B8">
        <w:rPr>
          <w:rFonts w:ascii="Verdana" w:hAnsi="Verdana"/>
        </w:rPr>
        <w:t>departamentos, de los cuales 2.046 son hijas, hijos o familiares de personas en proceso de reincorporación ubicadas en Antiguos Espacios Territoriales de Capacitación y Reincorporación (AETCR) y Nuevas Áreas de Reincorporación (NAR). Para 2026 se encuentran activas 24 unidades de servicio con capacidad para 504 cupos, concentradas principalmente en Putumayo, Chocó, Meta, Caquetá y Tolima, fortaleciendo la presencia institucional en territorios priorizados para la consolidación de la paz.</w:t>
      </w:r>
    </w:p>
    <w:p w14:paraId="64B97BE2" w14:textId="1A30ADEE" w:rsidR="001773B8" w:rsidRDefault="001773B8" w:rsidP="00144277">
      <w:pPr>
        <w:spacing w:line="276" w:lineRule="auto"/>
        <w:jc w:val="both"/>
        <w:rPr>
          <w:rFonts w:ascii="Verdana" w:hAnsi="Verdana"/>
        </w:rPr>
      </w:pPr>
      <w:r w:rsidRPr="001773B8">
        <w:rPr>
          <w:rFonts w:ascii="Verdana" w:hAnsi="Verdana"/>
        </w:rPr>
        <w:t>Asimismo, la entidad implementa desde 2023 la Estrategia Intersectorial Atrapasueños, con el fin de promover la protección integral de niñas, niños y adolescentes entre los 6 y los 17 años, 11 meses y 29 días</w:t>
      </w:r>
      <w:r>
        <w:rPr>
          <w:rFonts w:ascii="Verdana" w:hAnsi="Verdana"/>
        </w:rPr>
        <w:t>.</w:t>
      </w:r>
    </w:p>
    <w:p w14:paraId="400DBDFE" w14:textId="49796F1D" w:rsidR="001773B8" w:rsidRDefault="001773B8" w:rsidP="00144277">
      <w:pPr>
        <w:spacing w:line="276" w:lineRule="auto"/>
        <w:jc w:val="both"/>
        <w:rPr>
          <w:rFonts w:ascii="Verdana" w:hAnsi="Verdana"/>
        </w:rPr>
      </w:pPr>
      <w:r w:rsidRPr="001773B8">
        <w:rPr>
          <w:rFonts w:ascii="Verdana" w:hAnsi="Verdana"/>
        </w:rPr>
        <w:t>A través de Atrapasueños, se han impulsado acciones transectoriales e intersectoriales que han permitido articular esfuerzos, fortalecer redes de protección y consolidar territorios donde florezca una generación comprometida con la vida y la paz. Esta apuesta busca que las niñas, los niños y los adolescentes crezcan en entornos donde se sientan respetados, amados, protegidos y con oportunidades para su desarrollo integral, junto a sus familias, comunidades y pueblos</w:t>
      </w:r>
      <w:r>
        <w:rPr>
          <w:rFonts w:ascii="Verdana" w:hAnsi="Verdana"/>
        </w:rPr>
        <w:t>.</w:t>
      </w:r>
    </w:p>
    <w:p w14:paraId="25F7A6B6" w14:textId="5ED82EEF" w:rsidR="001773B8" w:rsidRDefault="001773B8" w:rsidP="00144277">
      <w:pPr>
        <w:spacing w:line="276" w:lineRule="auto"/>
        <w:jc w:val="both"/>
        <w:rPr>
          <w:rFonts w:ascii="Verdana" w:hAnsi="Verdana"/>
        </w:rPr>
      </w:pPr>
      <w:r w:rsidRPr="001773B8">
        <w:rPr>
          <w:rFonts w:ascii="Verdana" w:hAnsi="Verdana"/>
        </w:rPr>
        <w:t>La Estrategia Intersectorial Atrapasueños está orientada a la prevención de riesgos de niñas, niños y adolescentes, el desarrollo de capacidades, la participación y la construcción de culturas de paz, priorizando territorios afectados por la violencia y el conflicto armado, de acuerdo con las recomendaciones formuladas por el Comité de Derechos Humanos de Naciones Unidas.</w:t>
      </w:r>
    </w:p>
    <w:p w14:paraId="50B220B5" w14:textId="4CCC372D" w:rsidR="001773B8" w:rsidRDefault="001773B8" w:rsidP="00144277">
      <w:pPr>
        <w:spacing w:line="276" w:lineRule="auto"/>
        <w:jc w:val="both"/>
        <w:rPr>
          <w:rFonts w:ascii="Verdana" w:hAnsi="Verdana"/>
        </w:rPr>
      </w:pPr>
      <w:r w:rsidRPr="001773B8">
        <w:rPr>
          <w:rFonts w:ascii="Verdana" w:hAnsi="Verdana"/>
        </w:rPr>
        <w:t xml:space="preserve">Así, Atrapasueños teje y materializa el capítulo "Crece la generación para la vida y la paz: niñas, niños y adolescentes protegidos, amados y con oportunidades" del Plan Nacional de Desarrollo 2022–2026: “Colombia Potencia Mundial de la Vida”. Allí se plantean acciones para promover el desarrollo integral de la infancia </w:t>
      </w:r>
      <w:r w:rsidRPr="001773B8">
        <w:rPr>
          <w:rFonts w:ascii="Verdana" w:hAnsi="Verdana"/>
        </w:rPr>
        <w:lastRenderedPageBreak/>
        <w:t>y la adolescencia, fortaleciendo y priorizando a quienes están en pobreza y riesgo. </w:t>
      </w:r>
    </w:p>
    <w:p w14:paraId="52DA5E66" w14:textId="4E591310" w:rsidR="00503357" w:rsidRDefault="00503357" w:rsidP="00144277">
      <w:pPr>
        <w:spacing w:line="276" w:lineRule="auto"/>
        <w:jc w:val="both"/>
        <w:rPr>
          <w:rFonts w:ascii="Verdana" w:hAnsi="Verdana"/>
        </w:rPr>
      </w:pPr>
      <w:r w:rsidRPr="00503357">
        <w:rPr>
          <w:rFonts w:ascii="Verdana" w:hAnsi="Verdana"/>
        </w:rPr>
        <w:t>Esta Estrategia se ha implementado mediante la Modalidad para la Prevención de Riesgos y el Desarrollo de Capacidades, que cuenta con tres formas de atención:</w:t>
      </w:r>
    </w:p>
    <w:p w14:paraId="683A0C3C" w14:textId="069A991B" w:rsidR="00503357" w:rsidRPr="00503357" w:rsidRDefault="00503357" w:rsidP="00503357">
      <w:pPr>
        <w:pStyle w:val="ListParagraph"/>
        <w:numPr>
          <w:ilvl w:val="0"/>
          <w:numId w:val="10"/>
        </w:numPr>
        <w:spacing w:line="276" w:lineRule="auto"/>
        <w:jc w:val="both"/>
        <w:rPr>
          <w:rFonts w:ascii="Verdana" w:hAnsi="Verdana"/>
        </w:rPr>
      </w:pPr>
      <w:r w:rsidRPr="00503357">
        <w:rPr>
          <w:rFonts w:ascii="Verdana" w:hAnsi="Verdana"/>
        </w:rPr>
        <w:t xml:space="preserve">Casas Atrapasueños, Atrapasueños Espacios Comunitarios y Experiencias Comunitarias Atrapasueños. </w:t>
      </w:r>
    </w:p>
    <w:p w14:paraId="07D62734" w14:textId="77777777" w:rsidR="00503357" w:rsidRDefault="00503357" w:rsidP="00144277">
      <w:pPr>
        <w:spacing w:line="276" w:lineRule="auto"/>
        <w:jc w:val="both"/>
        <w:rPr>
          <w:rFonts w:ascii="Verdana" w:hAnsi="Verdana"/>
        </w:rPr>
      </w:pPr>
      <w:r w:rsidRPr="00503357">
        <w:rPr>
          <w:rFonts w:ascii="Verdana" w:hAnsi="Verdana"/>
        </w:rPr>
        <w:t xml:space="preserve">Particularmente mediante la forma de atención Experiencias Comunitarias Atrapasueños, se fortalecen las capacidades organizativas y de gestión de las comunidades mediante el otorgamiento de estímulos a organizaciones de base comunitaria, incluyendo comunidades negras, afrocolombianas, raizales y palenqueras, pueblos indígenas, y demás autoridades étnicas-territoriales, promoviendo acciones para la garantía de derechos, la participación con incidencia de niñas, niños y adolescentes, la reconstrucción del tejido social y la consolidación de procesos comunitarios de construcción de paz desde enfoque étnico – racial, territorial e intercultural. </w:t>
      </w:r>
    </w:p>
    <w:p w14:paraId="09E74E7A" w14:textId="7A5F9B2F" w:rsidR="00503357" w:rsidRDefault="00503357" w:rsidP="00144277">
      <w:pPr>
        <w:spacing w:line="276" w:lineRule="auto"/>
        <w:jc w:val="both"/>
        <w:rPr>
          <w:rFonts w:ascii="Verdana" w:hAnsi="Verdana"/>
        </w:rPr>
      </w:pPr>
      <w:r w:rsidRPr="00503357">
        <w:rPr>
          <w:rFonts w:ascii="Verdana" w:hAnsi="Verdana"/>
        </w:rPr>
        <w:t>Para la vigencia 2025, a través de 375 organizaciones comunitarias se desplegaron acciones de prevención en 116 municipios PDET de 18 departamentos, la atención se realizó a 24.546</w:t>
      </w:r>
      <w:r w:rsidR="00B1725D">
        <w:rPr>
          <w:rStyle w:val="FootnoteReference"/>
          <w:rFonts w:ascii="Verdana" w:hAnsi="Verdana"/>
        </w:rPr>
        <w:footnoteReference w:id="2"/>
      </w:r>
      <w:r w:rsidRPr="00503357">
        <w:rPr>
          <w:rFonts w:ascii="Verdana" w:hAnsi="Verdana"/>
        </w:rPr>
        <w:t xml:space="preserve"> niñas, niños y adolescente con estímulo total asignado para todas las organizaciones en municipios PDET. Más de la mitad de las organizaciones tienen pertenencia étnica y casi la mitad de la atención a niñas, niños y adolescentes ocurrió en zonas rurales y rurales dispersas, señales de que la estrategia se apalancó en el tejido social propio del territorio y no en operadores externos.</w:t>
      </w:r>
    </w:p>
    <w:p w14:paraId="4AC1F591" w14:textId="65BED2DF" w:rsidR="00B1725D" w:rsidRDefault="00B1725D" w:rsidP="00144277">
      <w:pPr>
        <w:spacing w:line="276" w:lineRule="auto"/>
        <w:jc w:val="both"/>
        <w:rPr>
          <w:rFonts w:ascii="Verdana" w:hAnsi="Verdana"/>
        </w:rPr>
      </w:pPr>
      <w:r w:rsidRPr="00B1725D">
        <w:rPr>
          <w:rFonts w:ascii="Verdana" w:hAnsi="Verdana"/>
        </w:rPr>
        <w:t>La prevención está directamente relacionada con los riesgos estructurales de los territorios PDET. Los tres riesgos que más organizaciones buscan mitigar son el consumo de sustancias psicoactivas (78%), el reclutamiento, uso y utilización de niños, niñas y adolescentes (69%), y la violencia intrafamiliar (56%). La mayoría de las experiencias previenen de forma simultánea el reclutamiento y las economías ilegales —el vector de riesgo más propio del PDET— junto con la violencia en el entorno familiar más inmediato.</w:t>
      </w:r>
    </w:p>
    <w:p w14:paraId="101D750D" w14:textId="38F41AF9" w:rsidR="00EE6211" w:rsidRDefault="00EE6211" w:rsidP="00144277">
      <w:pPr>
        <w:spacing w:line="276" w:lineRule="auto"/>
        <w:jc w:val="both"/>
        <w:rPr>
          <w:rFonts w:ascii="Verdana" w:hAnsi="Verdana"/>
        </w:rPr>
      </w:pPr>
      <w:r w:rsidRPr="00EE6211">
        <w:rPr>
          <w:rFonts w:ascii="Verdana" w:hAnsi="Verdana"/>
        </w:rPr>
        <w:t>Frente a la capacidad comunitaria, 270 de las 375 organizaciones (72%) declararon experiencia previa en atenciones dirigidas a víctimas del conflicto armado. La estrategia no partió de cero, sino que apalancó tejido social ya especializado en el abordaje de las situaciones relacionadas con el conflicto. Otro</w:t>
      </w:r>
      <w:r w:rsidR="00B06441">
        <w:rPr>
          <w:rFonts w:ascii="Verdana" w:hAnsi="Verdana"/>
        </w:rPr>
        <w:t xml:space="preserve"> </w:t>
      </w:r>
      <w:r w:rsidR="00B06441" w:rsidRPr="00B06441">
        <w:rPr>
          <w:rFonts w:ascii="Verdana" w:hAnsi="Verdana"/>
        </w:rPr>
        <w:lastRenderedPageBreak/>
        <w:t>aspecto para destacar dentro de esta forma de atención es la apertura a organizaciones étnicas y campesinas. Este es uno de los resultados más sólidos de la atención: 201 de las 375 organizaciones (54 %) tienen pertenencia étnica.</w:t>
      </w:r>
    </w:p>
    <w:p w14:paraId="0ECF1C03" w14:textId="25ABCDA9" w:rsidR="00B06441" w:rsidRDefault="00B06441" w:rsidP="00144277">
      <w:pPr>
        <w:spacing w:line="276" w:lineRule="auto"/>
        <w:jc w:val="both"/>
        <w:rPr>
          <w:rFonts w:ascii="Verdana" w:hAnsi="Verdana"/>
        </w:rPr>
      </w:pPr>
      <w:r w:rsidRPr="00B06441">
        <w:rPr>
          <w:rFonts w:ascii="Verdana" w:hAnsi="Verdana"/>
        </w:rPr>
        <w:t>Las Casas Atrapasueños son espacios físicos permanentes, diseñados como referentes territoriales de atención, con infraestructura propia, capacidad instalada definida y condiciones operativas estables para el desarrollo continuo de experiencias pedagógicas y procesos de acompañamiento. Por su parte, Atrapasueños Espacios Comunitarios se fundamenta en el aprovechamiento y fortalecimiento de escenarios ya existentes en la comunidad, como bibliotecas, parques, instituciones educativas o salones comunales, mediante la articulación con organizaciones sociales e instituciones aliadas.</w:t>
      </w:r>
    </w:p>
    <w:p w14:paraId="427BC03F" w14:textId="2928FE18" w:rsidR="00B06441" w:rsidRDefault="00B06441" w:rsidP="00144277">
      <w:pPr>
        <w:spacing w:line="276" w:lineRule="auto"/>
        <w:jc w:val="both"/>
        <w:rPr>
          <w:rFonts w:ascii="Verdana" w:hAnsi="Verdana"/>
        </w:rPr>
      </w:pPr>
      <w:r w:rsidRPr="00B06441">
        <w:rPr>
          <w:rFonts w:ascii="Verdana" w:hAnsi="Verdana"/>
        </w:rPr>
        <w:t>Paralelamente, se ha implementado una atención especializada para niñas, niños y adolescentes con discapacidad, orientada a promover su participación, inclusión y garantía de derechos mediante el fortalecimiento de entornos protectores y la eliminación de barreras de exclusión y discriminación. A través de las modalidades De Tú a Tú, Atrapasueños de Apoyos y Centros de Apoyo a la Inclusión, entre 2023 y 2026 se desarrollaron acciones para fortalecer las capacidades familiares, comunitarias e institucionales, gestionar apoyos y ajustes razonables, y prevenir situaciones de vulneración de derechos, incluidos los riesgos asociados al conflicto armado.</w:t>
      </w:r>
    </w:p>
    <w:p w14:paraId="4F111030" w14:textId="68CDE7FB" w:rsidR="00B06441" w:rsidRDefault="00B06441" w:rsidP="00144277">
      <w:pPr>
        <w:spacing w:line="276" w:lineRule="auto"/>
        <w:jc w:val="both"/>
        <w:rPr>
          <w:rFonts w:ascii="Verdana" w:hAnsi="Verdana"/>
        </w:rPr>
      </w:pPr>
      <w:r w:rsidRPr="00B06441">
        <w:rPr>
          <w:rFonts w:ascii="Verdana" w:hAnsi="Verdana"/>
        </w:rPr>
        <w:t>Así, los Centros de Apoyo a la Inclusión reconocen que la población con discapacidad ha vivido procesos históricos de segregación y patologización excesiva que se profundizan en contextos de conflicto armado. Por ello, se redoblan esfuerzos en la implementación del Acuerdo de Paz de 2016 desde una mirada inclusiva, priorizando la atención de esta población en los territorios más afectados por la violencia (como zonas PDET), bajo la premisa de que los ejercicios de memoria, verdad y reparación integral deben visibilizar y dignificar sus historias de vida particulares, reconociéndolos como sujetos activos en la construcción de paz.</w:t>
      </w:r>
    </w:p>
    <w:p w14:paraId="3E656C41" w14:textId="5D024843" w:rsidR="00B06441" w:rsidRDefault="00B06441" w:rsidP="00144277">
      <w:pPr>
        <w:spacing w:line="276" w:lineRule="auto"/>
        <w:jc w:val="both"/>
        <w:rPr>
          <w:rFonts w:ascii="Verdana" w:hAnsi="Verdana"/>
        </w:rPr>
      </w:pPr>
      <w:r w:rsidRPr="00B06441">
        <w:rPr>
          <w:rFonts w:ascii="Verdana" w:hAnsi="Verdana"/>
        </w:rPr>
        <w:t xml:space="preserve">Finalmente, desde un enfoque colaborativo y de </w:t>
      </w:r>
      <w:proofErr w:type="spellStart"/>
      <w:r w:rsidRPr="00B06441">
        <w:rPr>
          <w:rFonts w:ascii="Verdana" w:hAnsi="Verdana"/>
        </w:rPr>
        <w:t>transectorialidad</w:t>
      </w:r>
      <w:proofErr w:type="spellEnd"/>
      <w:r w:rsidRPr="00B06441">
        <w:rPr>
          <w:rFonts w:ascii="Verdana" w:hAnsi="Verdana"/>
        </w:rPr>
        <w:t>, la atención transversaliza la Movilización Social y Comunitaria mediante Jornadas de Transformación Social y estrategias multimodales. Esto permite articula</w:t>
      </w:r>
      <w:r w:rsidR="00F57C0A">
        <w:rPr>
          <w:rFonts w:ascii="Verdana" w:hAnsi="Verdana"/>
        </w:rPr>
        <w:t xml:space="preserve"> </w:t>
      </w:r>
      <w:r w:rsidR="00F57C0A" w:rsidRPr="00F57C0A">
        <w:rPr>
          <w:rFonts w:ascii="Verdana" w:hAnsi="Verdana"/>
        </w:rPr>
        <w:t>acciones con el Sistema Nacional de Bienestar Familiar (SNBF), autoridades territoriales, Juntas de Acción Comunal y familias (bajo la lógica de la redistribución de cargas de cuidado y el cuidado al cuidador).</w:t>
      </w:r>
    </w:p>
    <w:p w14:paraId="5CC71318" w14:textId="35D5DA62" w:rsidR="00F57C0A" w:rsidRDefault="00F57C0A" w:rsidP="00144277">
      <w:pPr>
        <w:spacing w:line="276" w:lineRule="auto"/>
        <w:jc w:val="both"/>
        <w:rPr>
          <w:rFonts w:ascii="Verdana" w:hAnsi="Verdana"/>
        </w:rPr>
      </w:pPr>
      <w:r w:rsidRPr="00F57C0A">
        <w:rPr>
          <w:rFonts w:ascii="Verdana" w:hAnsi="Verdana"/>
        </w:rPr>
        <w:t xml:space="preserve">De manera complementaria, y en el marco del compromiso institucional con la paz, el ICBF, en convenio con la Agencia de Desarrollo Rural (ADR), ha promovido mecanismos que articulan la garantía de derechos con el desarrollo territorial, </w:t>
      </w:r>
      <w:r w:rsidRPr="00F57C0A">
        <w:rPr>
          <w:rFonts w:ascii="Verdana" w:hAnsi="Verdana"/>
        </w:rPr>
        <w:lastRenderedPageBreak/>
        <w:t>mediante la compra directa de alimentos a 180 organizaciones campesinas y étnicas, de las cuales 7 corresponden a organizaciones de firmantes de paz, y en las que participan 1.573 firmantes de paz. Esta estrategia contribuye de manera significativa a la implementación de la Reforma Rural Integral, así como al fortalecimiento de los procesos de reincorporación, reconciliación y sostenibilidad económica en los territorios</w:t>
      </w:r>
      <w:r>
        <w:rPr>
          <w:rFonts w:ascii="Verdana" w:hAnsi="Verdana"/>
        </w:rPr>
        <w:t>.</w:t>
      </w:r>
    </w:p>
    <w:p w14:paraId="57996C5C" w14:textId="3BE026A1" w:rsidR="00F57C0A" w:rsidRDefault="00F57C0A" w:rsidP="00144277">
      <w:pPr>
        <w:spacing w:line="276" w:lineRule="auto"/>
        <w:jc w:val="both"/>
        <w:rPr>
          <w:rFonts w:ascii="Verdana" w:hAnsi="Verdana"/>
        </w:rPr>
      </w:pPr>
      <w:r w:rsidRPr="00F57C0A">
        <w:rPr>
          <w:rFonts w:ascii="Verdana" w:hAnsi="Verdana"/>
        </w:rPr>
        <w:t xml:space="preserve">Así mismo, el Instituto ha incorporado en su oferta programática 8 acciones definidas en el plan de acción del Subcomité de Acceso y Atención para la Garantía de Derechos del Sistema Nacional de Reincorporación, en el ámbito de sus competencias, con el propósito de asegurar la atención integral de niñas, niños y adolescentes hijos e hijas de personas en proceso de reincorporación. Estas acciones están orientadas al fortalecimiento de los entornos protectores familiares y comunitarios, así como a la prevención de riesgos y la atención de posibles hechos </w:t>
      </w:r>
      <w:proofErr w:type="spellStart"/>
      <w:r w:rsidRPr="00F57C0A">
        <w:rPr>
          <w:rFonts w:ascii="Verdana" w:hAnsi="Verdana"/>
        </w:rPr>
        <w:t>victimizantes</w:t>
      </w:r>
      <w:proofErr w:type="spellEnd"/>
      <w:r>
        <w:rPr>
          <w:rFonts w:ascii="Verdana" w:hAnsi="Verdana"/>
        </w:rPr>
        <w:t>.</w:t>
      </w:r>
    </w:p>
    <w:p w14:paraId="0D103FC6" w14:textId="36770795" w:rsidR="00D345F2" w:rsidRDefault="00D345F2" w:rsidP="00144277">
      <w:pPr>
        <w:spacing w:line="276" w:lineRule="auto"/>
        <w:jc w:val="both"/>
        <w:rPr>
          <w:rFonts w:ascii="Verdana" w:hAnsi="Verdana"/>
        </w:rPr>
      </w:pPr>
      <w:r w:rsidRPr="00D345F2">
        <w:rPr>
          <w:rFonts w:ascii="Verdana" w:hAnsi="Verdana"/>
        </w:rPr>
        <w:t>En relación con la garantía de los derechos a la verdad, justicia y reparación integral de las víctimas, el ICBF ha desarrollado acciones concretas en cumplimiento de las decisiones de la Jurisdicción Especial para la Paz (JEP), las cuales, se describen a continuación</w:t>
      </w:r>
      <w:r>
        <w:rPr>
          <w:rFonts w:ascii="Verdana" w:hAnsi="Verdana"/>
        </w:rPr>
        <w:t>:</w:t>
      </w:r>
    </w:p>
    <w:p w14:paraId="0C07969D" w14:textId="11F85A25" w:rsidR="00D345F2" w:rsidRDefault="00D345F2" w:rsidP="00D345F2">
      <w:pPr>
        <w:pStyle w:val="ListParagraph"/>
        <w:numPr>
          <w:ilvl w:val="0"/>
          <w:numId w:val="11"/>
        </w:numPr>
        <w:spacing w:line="276" w:lineRule="auto"/>
        <w:jc w:val="both"/>
        <w:rPr>
          <w:rFonts w:ascii="Verdana" w:hAnsi="Verdana"/>
        </w:rPr>
      </w:pPr>
      <w:r w:rsidRPr="00D345F2">
        <w:rPr>
          <w:rFonts w:ascii="Verdana" w:hAnsi="Verdana"/>
        </w:rPr>
        <w:t>Se ha ampliado la oferta programática en los 14 municipios acreditados por la JEP en el Auto 004 de 2025 (</w:t>
      </w:r>
      <w:proofErr w:type="spellStart"/>
      <w:r w:rsidRPr="00D345F2">
        <w:rPr>
          <w:rFonts w:ascii="Verdana" w:hAnsi="Verdana"/>
        </w:rPr>
        <w:t>Macrocaso</w:t>
      </w:r>
      <w:proofErr w:type="spellEnd"/>
      <w:r w:rsidRPr="00D345F2">
        <w:rPr>
          <w:rFonts w:ascii="Verdana" w:hAnsi="Verdana"/>
        </w:rPr>
        <w:t xml:space="preserve"> 05) en el norte del departamento del Cauca, acompañada de la instalación de espacios de</w:t>
      </w:r>
      <w:r>
        <w:rPr>
          <w:rFonts w:ascii="Verdana" w:hAnsi="Verdana"/>
        </w:rPr>
        <w:t xml:space="preserve"> </w:t>
      </w:r>
      <w:r w:rsidRPr="00D345F2">
        <w:rPr>
          <w:rFonts w:ascii="Verdana" w:hAnsi="Verdana"/>
        </w:rPr>
        <w:t>diálogo con organizaciones de víctimas acreditadas, con el propósito de aportar a la garantía efectiva de sus derechos.</w:t>
      </w:r>
    </w:p>
    <w:p w14:paraId="2E5F661A" w14:textId="77777777" w:rsidR="00227DD1" w:rsidRDefault="00227DD1" w:rsidP="00D345F2">
      <w:pPr>
        <w:pStyle w:val="ListParagraph"/>
        <w:numPr>
          <w:ilvl w:val="0"/>
          <w:numId w:val="11"/>
        </w:numPr>
        <w:spacing w:line="276" w:lineRule="auto"/>
        <w:jc w:val="both"/>
        <w:rPr>
          <w:rFonts w:ascii="Verdana" w:hAnsi="Verdana"/>
        </w:rPr>
      </w:pPr>
      <w:r w:rsidRPr="00227DD1">
        <w:rPr>
          <w:rFonts w:ascii="Verdana" w:hAnsi="Verdana"/>
        </w:rPr>
        <w:t xml:space="preserve">En cumplimiento del Auto 020 de 2023, se han adelantado procesos de articulación interinstitucional para acompañar a entidades territoriales y organizaciones de víctimas en el departamento de Nariño. </w:t>
      </w:r>
    </w:p>
    <w:p w14:paraId="11A9AB98" w14:textId="0CD04E7A" w:rsidR="00D345F2" w:rsidRDefault="00227DD1" w:rsidP="00D345F2">
      <w:pPr>
        <w:pStyle w:val="ListParagraph"/>
        <w:numPr>
          <w:ilvl w:val="0"/>
          <w:numId w:val="11"/>
        </w:numPr>
        <w:spacing w:line="276" w:lineRule="auto"/>
        <w:jc w:val="both"/>
        <w:rPr>
          <w:rFonts w:ascii="Verdana" w:hAnsi="Verdana"/>
        </w:rPr>
      </w:pPr>
      <w:r w:rsidRPr="00227DD1">
        <w:rPr>
          <w:rFonts w:ascii="Verdana" w:hAnsi="Verdana"/>
        </w:rPr>
        <w:t>En el marco del Auto SAR AI 067, el ICBF ha dispuesto acciones específicas dirigidas a garantizar los derechos de las hijas e hijos de personas en proceso de reincorporación que han sido víctimas de homicidio o desaparición forzada, priorizando su atención integral y la protección reforzada.</w:t>
      </w:r>
    </w:p>
    <w:p w14:paraId="2656C1A8" w14:textId="77777777" w:rsidR="00227DD1" w:rsidRDefault="00227DD1" w:rsidP="00D345F2">
      <w:pPr>
        <w:pStyle w:val="ListParagraph"/>
        <w:numPr>
          <w:ilvl w:val="0"/>
          <w:numId w:val="11"/>
        </w:numPr>
        <w:spacing w:line="276" w:lineRule="auto"/>
        <w:jc w:val="both"/>
        <w:rPr>
          <w:rFonts w:ascii="Verdana" w:hAnsi="Verdana"/>
        </w:rPr>
      </w:pPr>
      <w:r w:rsidRPr="00227DD1">
        <w:rPr>
          <w:rFonts w:ascii="Verdana" w:hAnsi="Verdana"/>
        </w:rPr>
        <w:t xml:space="preserve">Para avanzar en el cumplimiento del Auto </w:t>
      </w:r>
      <w:proofErr w:type="spellStart"/>
      <w:r w:rsidRPr="00227DD1">
        <w:rPr>
          <w:rFonts w:ascii="Verdana" w:hAnsi="Verdana"/>
        </w:rPr>
        <w:t>N°</w:t>
      </w:r>
      <w:proofErr w:type="spellEnd"/>
      <w:r w:rsidRPr="00227DD1">
        <w:rPr>
          <w:rFonts w:ascii="Verdana" w:hAnsi="Verdana"/>
        </w:rPr>
        <w:t xml:space="preserve"> 013 de 2024 de la JEP, en el que se decretan medidas cautelares en favor de la Organización 3, del </w:t>
      </w:r>
      <w:proofErr w:type="spellStart"/>
      <w:r w:rsidRPr="00227DD1">
        <w:rPr>
          <w:rFonts w:ascii="Verdana" w:hAnsi="Verdana"/>
        </w:rPr>
        <w:t>Katsa</w:t>
      </w:r>
      <w:proofErr w:type="spellEnd"/>
      <w:r w:rsidRPr="00227DD1">
        <w:rPr>
          <w:rFonts w:ascii="Verdana" w:hAnsi="Verdana"/>
        </w:rPr>
        <w:t xml:space="preserve"> Su y de las autoridades 1115 y 1123, acreditadas como víctimas en el Macro Caso 02 “Situación territorial de los municipios de Tumaco, Ricaurte, y Barbacoas – Nariño”; el ICBF construyó junto con la organización indígena Unidad Indígena del Pueblo Awá (UNIPA) la estrategia: “Protegiendo vidas en territorio ancestral del pueblo </w:t>
      </w:r>
      <w:proofErr w:type="spellStart"/>
      <w:r w:rsidRPr="00227DD1">
        <w:rPr>
          <w:rFonts w:ascii="Calibri" w:hAnsi="Calibri" w:cs="Calibri"/>
        </w:rPr>
        <w:t>Ɨ</w:t>
      </w:r>
      <w:r w:rsidRPr="00227DD1">
        <w:rPr>
          <w:rFonts w:ascii="Verdana" w:hAnsi="Verdana"/>
        </w:rPr>
        <w:t>nkal</w:t>
      </w:r>
      <w:proofErr w:type="spellEnd"/>
      <w:r w:rsidRPr="00227DD1">
        <w:rPr>
          <w:rFonts w:ascii="Verdana" w:hAnsi="Verdana"/>
        </w:rPr>
        <w:t xml:space="preserve"> Awá”, dirigida a la prevención del reclutamiento, uso y utilización de niñas, niños y adolescentes Awá en </w:t>
      </w:r>
      <w:r w:rsidRPr="00227DD1">
        <w:rPr>
          <w:rFonts w:ascii="Verdana" w:hAnsi="Verdana"/>
        </w:rPr>
        <w:lastRenderedPageBreak/>
        <w:t xml:space="preserve">Barbacoas, Ricaurte, Roberto Payán y San Andrés de Tumaco, mediante el fortalecimiento de capacidades artísticas, culturales y deportivas con enfoque étnico, intercultural y territorial. Esta acción se materializa mediante el Contrato 1783 de 2025 que se encuentra actualmente en ejecución. </w:t>
      </w:r>
    </w:p>
    <w:p w14:paraId="5DCD7A6A" w14:textId="23C70D52" w:rsidR="00227DD1" w:rsidRPr="00D345F2" w:rsidRDefault="00227DD1" w:rsidP="00D345F2">
      <w:pPr>
        <w:pStyle w:val="ListParagraph"/>
        <w:numPr>
          <w:ilvl w:val="0"/>
          <w:numId w:val="11"/>
        </w:numPr>
        <w:spacing w:line="276" w:lineRule="auto"/>
        <w:jc w:val="both"/>
        <w:rPr>
          <w:rFonts w:ascii="Verdana" w:hAnsi="Verdana"/>
        </w:rPr>
      </w:pPr>
      <w:r w:rsidRPr="00227DD1">
        <w:rPr>
          <w:rFonts w:ascii="Verdana" w:hAnsi="Verdana"/>
        </w:rPr>
        <w:t xml:space="preserve">En el marco de su contribución a los mecanismos del Sistema Integral para la Paz, el ICBF ha suministrado de manera oportuna la información requerida por el despacho relator del </w:t>
      </w:r>
      <w:proofErr w:type="spellStart"/>
      <w:r w:rsidRPr="00227DD1">
        <w:rPr>
          <w:rFonts w:ascii="Verdana" w:hAnsi="Verdana"/>
        </w:rPr>
        <w:t>Macrocaso</w:t>
      </w:r>
      <w:proofErr w:type="spellEnd"/>
      <w:r w:rsidRPr="00227DD1">
        <w:rPr>
          <w:rFonts w:ascii="Verdana" w:hAnsi="Verdana"/>
        </w:rPr>
        <w:t xml:space="preserve"> 07 de la Jurisdicción Especial para la Paz (JEP), relacionado con el reclutamiento, uso y utilización de niñas, niños y adolescentes, reafirmando su compromiso con la garantía de los derechos a la verdad, justicia y reparación integral.</w:t>
      </w:r>
    </w:p>
    <w:p w14:paraId="4EB8844A" w14:textId="38C7C50E" w:rsidR="00F57C0A" w:rsidRDefault="00227DD1" w:rsidP="00144277">
      <w:pPr>
        <w:spacing w:line="276" w:lineRule="auto"/>
        <w:jc w:val="both"/>
        <w:rPr>
          <w:rFonts w:ascii="Verdana" w:hAnsi="Verdana"/>
        </w:rPr>
      </w:pPr>
      <w:r w:rsidRPr="00227DD1">
        <w:rPr>
          <w:rFonts w:ascii="Verdana" w:hAnsi="Verdana"/>
        </w:rPr>
        <w:t>De igual forma, en desarrollo de su mandato de prevención del reclutamiento y otras violencias, el ICBF ha fortalecido alianzas estratégicas interinstitucionales y comunitarias, logrando resultados significativos en los territorios, entre los que se destacan:</w:t>
      </w:r>
    </w:p>
    <w:p w14:paraId="3A04A059" w14:textId="77777777" w:rsidR="00AA7223" w:rsidRDefault="00AA7223" w:rsidP="00AA7223">
      <w:pPr>
        <w:pStyle w:val="ListParagraph"/>
        <w:numPr>
          <w:ilvl w:val="0"/>
          <w:numId w:val="12"/>
        </w:numPr>
        <w:spacing w:line="276" w:lineRule="auto"/>
        <w:jc w:val="both"/>
        <w:rPr>
          <w:rFonts w:ascii="Verdana" w:hAnsi="Verdana"/>
        </w:rPr>
      </w:pPr>
      <w:r w:rsidRPr="00AA7223">
        <w:rPr>
          <w:rFonts w:ascii="Verdana" w:hAnsi="Verdana"/>
        </w:rPr>
        <w:t xml:space="preserve">La implementación de iniciativas comunitarias con enfoque étnico, en articulación con la Comisión Nacional de Mujeres Indígenas, que han vinculado a 1.152 participantes a través de convenios con organizaciones como Gobierno Mayor, Movimiento de Autoridades Indígenas del Sur Occidente (AISO), Organización Nacional Indígena de Colombia (ONIC), Organización de los Pueblos Indígenas de la Amazonía Colombiana (OPIAC), Consejo Regional Indígena del Cauca (CRIC), Confederación Indígena del Tayrona (CIT) y Autoridades Indígenas de Colombia (AICO) por la Pacha Mama, consolidando acciones de prevención desde los saberes propios y el fortalecimiento cultural. </w:t>
      </w:r>
    </w:p>
    <w:p w14:paraId="2C02F5FB" w14:textId="77777777" w:rsidR="00AA7223" w:rsidRDefault="00AA7223" w:rsidP="00AA7223">
      <w:pPr>
        <w:pStyle w:val="ListParagraph"/>
        <w:numPr>
          <w:ilvl w:val="0"/>
          <w:numId w:val="12"/>
        </w:numPr>
        <w:spacing w:line="276" w:lineRule="auto"/>
        <w:jc w:val="both"/>
        <w:rPr>
          <w:rFonts w:ascii="Verdana" w:hAnsi="Verdana"/>
        </w:rPr>
      </w:pPr>
      <w:r w:rsidRPr="00AA7223">
        <w:rPr>
          <w:rFonts w:ascii="Verdana" w:hAnsi="Verdana"/>
        </w:rPr>
        <w:t xml:space="preserve">El fortalecimiento de capacidades institucionales mediante la formación de 2.520 funcionarios, colaboradores y agentes comunitarios en rutas de prevención del reclutamiento, con presencia en 41 municipios priorizados. </w:t>
      </w:r>
    </w:p>
    <w:p w14:paraId="4D2CD502" w14:textId="08A3655F" w:rsidR="00227DD1" w:rsidRDefault="00AA7223" w:rsidP="00AA7223">
      <w:pPr>
        <w:pStyle w:val="ListParagraph"/>
        <w:numPr>
          <w:ilvl w:val="0"/>
          <w:numId w:val="12"/>
        </w:numPr>
        <w:spacing w:line="276" w:lineRule="auto"/>
        <w:jc w:val="both"/>
        <w:rPr>
          <w:rFonts w:ascii="Verdana" w:hAnsi="Verdana"/>
        </w:rPr>
      </w:pPr>
      <w:r w:rsidRPr="00AA7223">
        <w:rPr>
          <w:rFonts w:ascii="Verdana" w:hAnsi="Verdana"/>
        </w:rPr>
        <w:t xml:space="preserve">La vinculación de 6.400 niñas, niños, adolescentes, junto con sus familias, docentes y funcionarios en acciones de prevención, así como la protección efectiva de 172 niñas, niños y adolescentes, a través de la articulación con </w:t>
      </w:r>
      <w:proofErr w:type="spellStart"/>
      <w:r w:rsidRPr="00AA7223">
        <w:rPr>
          <w:rFonts w:ascii="Verdana" w:hAnsi="Verdana"/>
        </w:rPr>
        <w:t>Benposta</w:t>
      </w:r>
      <w:proofErr w:type="spellEnd"/>
      <w:r w:rsidRPr="00AA7223">
        <w:rPr>
          <w:rFonts w:ascii="Verdana" w:hAnsi="Verdana"/>
        </w:rPr>
        <w:t xml:space="preserve"> Nación de Muchachos Colombia</w:t>
      </w:r>
      <w:r>
        <w:rPr>
          <w:rFonts w:ascii="Verdana" w:hAnsi="Verdana"/>
        </w:rPr>
        <w:t>.</w:t>
      </w:r>
    </w:p>
    <w:p w14:paraId="73D7F33C" w14:textId="77777777" w:rsidR="00AA7223" w:rsidRDefault="00AA7223" w:rsidP="00AA7223">
      <w:pPr>
        <w:spacing w:line="276" w:lineRule="auto"/>
        <w:jc w:val="both"/>
        <w:rPr>
          <w:rFonts w:ascii="Verdana" w:hAnsi="Verdana"/>
        </w:rPr>
      </w:pPr>
      <w:r w:rsidRPr="00AA7223">
        <w:rPr>
          <w:rFonts w:ascii="Verdana" w:hAnsi="Verdana"/>
        </w:rPr>
        <w:t xml:space="preserve">De igual manera, el ICBF continúa contribuyendo a los mecanismos del Sistema Integral para la Paz mediante procesos de articulación interinstitucional, aportando de manera oportuna información relevante para los procesos de búsqueda de personas dadas por desaparecidas y ajustando los procesos institucionales que contribuyen al cumplimiento de 14 recomendaciones de la Comisión de la Verdad en el marco de las competencias institucionales. </w:t>
      </w:r>
    </w:p>
    <w:p w14:paraId="1B8EE8AC" w14:textId="577ECAAF" w:rsidR="00362B05" w:rsidRPr="00C33296" w:rsidRDefault="00AA7223" w:rsidP="00362B05">
      <w:pPr>
        <w:spacing w:line="276" w:lineRule="auto"/>
        <w:jc w:val="both"/>
        <w:rPr>
          <w:rFonts w:ascii="Verdana" w:hAnsi="Verdana"/>
        </w:rPr>
      </w:pPr>
      <w:r w:rsidRPr="00AA7223">
        <w:rPr>
          <w:rFonts w:ascii="Verdana" w:hAnsi="Verdana"/>
        </w:rPr>
        <w:lastRenderedPageBreak/>
        <w:t>Estas acciones evidencian el esfuerzo sostenido del ICBF por avanzar en la prevención de vulneraciones de derechos, el fortalecimiento de capacidades territoriales y comunitarias, y la protección integral de la niñez y la adolescencia, en coherencia con la implementación del Acuerdo Final de Paz y el cumplimiento de las recomendaciones internacionales en materia de derechos humanos.</w:t>
      </w:r>
    </w:p>
    <w:p w14:paraId="5B649080" w14:textId="7F19CB08" w:rsidR="00362B05" w:rsidRPr="008D5473" w:rsidRDefault="00362B05" w:rsidP="00362B05">
      <w:pPr>
        <w:spacing w:line="276" w:lineRule="auto"/>
        <w:jc w:val="both"/>
        <w:rPr>
          <w:rFonts w:ascii="Verdana" w:hAnsi="Verdana"/>
          <w:b/>
          <w:bCs/>
        </w:rPr>
      </w:pPr>
      <w:r w:rsidRPr="008D5473">
        <w:rPr>
          <w:rFonts w:ascii="Verdana" w:hAnsi="Verdana"/>
          <w:b/>
          <w:bCs/>
        </w:rPr>
        <w:t>LITERAL B</w:t>
      </w:r>
    </w:p>
    <w:p w14:paraId="3C0858F0" w14:textId="77777777" w:rsidR="00362B05" w:rsidRDefault="00362B05" w:rsidP="00362B05">
      <w:pPr>
        <w:spacing w:line="276" w:lineRule="auto"/>
        <w:jc w:val="both"/>
        <w:rPr>
          <w:rFonts w:ascii="Verdana" w:hAnsi="Verdana"/>
        </w:rPr>
      </w:pPr>
      <w:r w:rsidRPr="00144277">
        <w:rPr>
          <w:rFonts w:ascii="Verdana" w:hAnsi="Verdana"/>
          <w:b/>
          <w:bCs/>
          <w:u w:val="single"/>
        </w:rPr>
        <w:t>Ministerio de Defensa Nacional</w:t>
      </w:r>
      <w:r w:rsidRPr="008D5473">
        <w:rPr>
          <w:rFonts w:ascii="Verdana" w:hAnsi="Verdana"/>
        </w:rPr>
        <w:t xml:space="preserve"> </w:t>
      </w:r>
    </w:p>
    <w:p w14:paraId="2748D23F" w14:textId="77777777" w:rsidR="00362B05" w:rsidRPr="008D5473" w:rsidRDefault="00362B05" w:rsidP="00362B05">
      <w:pPr>
        <w:spacing w:line="276" w:lineRule="auto"/>
        <w:jc w:val="both"/>
        <w:rPr>
          <w:rFonts w:ascii="Verdana" w:hAnsi="Verdana"/>
        </w:rPr>
      </w:pPr>
      <w:r>
        <w:rPr>
          <w:rFonts w:ascii="Verdana" w:hAnsi="Verdana"/>
        </w:rPr>
        <w:t xml:space="preserve">En </w:t>
      </w:r>
      <w:r w:rsidRPr="008D5473">
        <w:rPr>
          <w:rFonts w:ascii="Verdana" w:hAnsi="Verdana"/>
        </w:rPr>
        <w:t xml:space="preserve">el marco de la “Política de Seguridad, Defensa y Convivencia Ciudadana. Garantías para la Vida y la Paz 2022-2026” y en cumplimiento de la misión constitucional de garantizar la defensa de la soberanía, la integridad territorial y el orden Constitucional, el Comando General de las Fuerzas Militares, a través de las Fuerzas y Comandos Conjuntos, así como en coordinación con la Policía Nacional y la </w:t>
      </w:r>
      <w:proofErr w:type="gramStart"/>
      <w:r w:rsidRPr="008D5473">
        <w:rPr>
          <w:rFonts w:ascii="Verdana" w:hAnsi="Verdana"/>
        </w:rPr>
        <w:t>Fiscalía General</w:t>
      </w:r>
      <w:proofErr w:type="gramEnd"/>
      <w:r w:rsidRPr="008D5473">
        <w:rPr>
          <w:rFonts w:ascii="Verdana" w:hAnsi="Verdana"/>
        </w:rPr>
        <w:t xml:space="preserve"> de la Nación, ha desarrollado e implementado seis planes de contingencia operacionales estratégicos. Uno de estos planes THEMIS</w:t>
      </w:r>
      <w:r w:rsidRPr="008D5473">
        <w:rPr>
          <w:rStyle w:val="FootnoteReference"/>
          <w:rFonts w:ascii="Verdana" w:hAnsi="Verdana"/>
        </w:rPr>
        <w:footnoteReference w:id="3"/>
      </w:r>
      <w:r w:rsidRPr="008D5473">
        <w:rPr>
          <w:rFonts w:ascii="Verdana" w:hAnsi="Verdana"/>
        </w:rPr>
        <w:t>, estrategia conjunta iniciada el 26 de febrero de 2024 enfocada en garantizar la seguridad de personas en proceso de reincorporación (PPR) y prevenir afectaciones a la población objeto del Acuerdo de Paz, operando en todo el territorio nacional.</w:t>
      </w:r>
    </w:p>
    <w:p w14:paraId="2FB6734F" w14:textId="77777777" w:rsidR="00362B05" w:rsidRPr="008D5473" w:rsidRDefault="00362B05" w:rsidP="00362B05">
      <w:pPr>
        <w:spacing w:line="276" w:lineRule="auto"/>
        <w:jc w:val="both"/>
        <w:rPr>
          <w:rFonts w:ascii="Verdana" w:hAnsi="Verdana"/>
        </w:rPr>
      </w:pPr>
      <w:r w:rsidRPr="008D5473">
        <w:rPr>
          <w:rFonts w:ascii="Verdana" w:hAnsi="Verdana"/>
        </w:rPr>
        <w:t>Esta operación tiene como objetivo central la captura de cabecillas de organizaciones criminales responsables de la violencia contra líderes sociales, defensores de derechos humanos y firmantes del acuerdo de paz. Conforme a lo informado por las autoridades, hasta diciembre de 2024, esta estrategia había logrado la captura de 119 personas, incluidas 30 pertenecientes a disidencias y 27 al Clan del Golfo, contribuyendo a una reducción del 6,4% en los homicidios de defensores de derechos humanos y del 28,6% en asesinatos de firmantes de paz.</w:t>
      </w:r>
    </w:p>
    <w:p w14:paraId="05726EED" w14:textId="77777777" w:rsidR="00362B05" w:rsidRPr="008D5473" w:rsidRDefault="00362B05" w:rsidP="00362B05">
      <w:pPr>
        <w:spacing w:line="276" w:lineRule="auto"/>
        <w:jc w:val="both"/>
        <w:rPr>
          <w:rFonts w:ascii="Verdana" w:hAnsi="Verdana"/>
        </w:rPr>
      </w:pPr>
      <w:r w:rsidRPr="008D5473">
        <w:rPr>
          <w:rFonts w:ascii="Verdana" w:hAnsi="Verdana"/>
        </w:rPr>
        <w:t>Por su parte la Policía Nacional, mediante radicado GS-2025-005457-CODEH, en el marco de la Estrategia de Seguridad Ciudadana da cuenta de algunas de las estrategias adoptadas para hacer frente a la violencia de grupos armados no estatales y redes de crimen organizado garantizando la seguridad y los derechos de las víctimas, de la siguiente manera:</w:t>
      </w:r>
    </w:p>
    <w:p w14:paraId="121629AE" w14:textId="77777777" w:rsidR="00362B05" w:rsidRPr="00144277" w:rsidRDefault="00362B05" w:rsidP="00362B05">
      <w:pPr>
        <w:pStyle w:val="ListParagraph"/>
        <w:numPr>
          <w:ilvl w:val="0"/>
          <w:numId w:val="1"/>
        </w:numPr>
        <w:spacing w:line="276" w:lineRule="auto"/>
        <w:jc w:val="both"/>
        <w:rPr>
          <w:rFonts w:ascii="Verdana" w:hAnsi="Verdana"/>
        </w:rPr>
      </w:pPr>
      <w:r w:rsidRPr="00144277">
        <w:rPr>
          <w:rFonts w:ascii="Verdana" w:hAnsi="Verdana"/>
        </w:rPr>
        <w:t xml:space="preserve">Estrategia contra el </w:t>
      </w:r>
      <w:proofErr w:type="spellStart"/>
      <w:r w:rsidRPr="00144277">
        <w:rPr>
          <w:rFonts w:ascii="Verdana" w:hAnsi="Verdana"/>
        </w:rPr>
        <w:t>Multicrimen</w:t>
      </w:r>
      <w:proofErr w:type="spellEnd"/>
      <w:r w:rsidRPr="00144277">
        <w:rPr>
          <w:rFonts w:ascii="Verdana" w:hAnsi="Verdana"/>
        </w:rPr>
        <w:t xml:space="preserve"> -EIMUC. </w:t>
      </w:r>
    </w:p>
    <w:p w14:paraId="7749B8CC" w14:textId="77777777" w:rsidR="00362B05" w:rsidRPr="00144277" w:rsidRDefault="00362B05" w:rsidP="00362B05">
      <w:pPr>
        <w:spacing w:line="276" w:lineRule="auto"/>
        <w:jc w:val="both"/>
        <w:rPr>
          <w:rFonts w:ascii="Verdana" w:hAnsi="Verdana"/>
        </w:rPr>
      </w:pPr>
      <w:r w:rsidRPr="00144277">
        <w:rPr>
          <w:rFonts w:ascii="Verdana" w:hAnsi="Verdana"/>
        </w:rPr>
        <w:t xml:space="preserve">En complementariedad a las actividades del servicio de policía en los territorios, la Policía Nacional en aras de fortalecer la presencia en zonas de injerencia </w:t>
      </w:r>
      <w:r w:rsidRPr="00144277">
        <w:rPr>
          <w:rFonts w:ascii="Verdana" w:hAnsi="Verdana"/>
        </w:rPr>
        <w:lastRenderedPageBreak/>
        <w:t xml:space="preserve">estratégica en el país, conformó el Bloque de Búsqueda Contra el </w:t>
      </w:r>
      <w:proofErr w:type="spellStart"/>
      <w:r w:rsidRPr="00144277">
        <w:rPr>
          <w:rFonts w:ascii="Verdana" w:hAnsi="Verdana"/>
        </w:rPr>
        <w:t>Multicrimen</w:t>
      </w:r>
      <w:proofErr w:type="spellEnd"/>
      <w:r w:rsidRPr="00144277">
        <w:rPr>
          <w:rFonts w:ascii="Verdana" w:hAnsi="Verdana"/>
        </w:rPr>
        <w:t xml:space="preserve"> - BBCM, este modelo operacional integra el fortalecimiento de las capacidades institucionales para lograr resultados contra las organizaciones de Grupos Armados Organizados (GAO), Grupos Delictivos Organizados (GDO) y Grupos de Delincuencia Común Organizada (GDCO), respaldado por actividades operacionales, inteligencia precisa y un soporte judicial sólido en articulación con la Fiscalía General de la Nación. </w:t>
      </w:r>
    </w:p>
    <w:p w14:paraId="624359FA" w14:textId="77777777" w:rsidR="00362B05" w:rsidRPr="00144277" w:rsidRDefault="00362B05" w:rsidP="00362B05">
      <w:pPr>
        <w:pStyle w:val="ListParagraph"/>
        <w:numPr>
          <w:ilvl w:val="0"/>
          <w:numId w:val="1"/>
        </w:numPr>
        <w:spacing w:line="276" w:lineRule="auto"/>
        <w:jc w:val="both"/>
        <w:rPr>
          <w:rFonts w:ascii="Verdana" w:hAnsi="Verdana"/>
        </w:rPr>
      </w:pPr>
      <w:r w:rsidRPr="00144277">
        <w:rPr>
          <w:rFonts w:ascii="Verdana" w:hAnsi="Verdana"/>
        </w:rPr>
        <w:t>Operaciones sostenidas</w:t>
      </w:r>
    </w:p>
    <w:p w14:paraId="4CDFAD00" w14:textId="77777777" w:rsidR="00362B05" w:rsidRPr="00144277" w:rsidRDefault="00362B05" w:rsidP="00362B05">
      <w:pPr>
        <w:spacing w:line="276" w:lineRule="auto"/>
        <w:jc w:val="both"/>
        <w:rPr>
          <w:rFonts w:ascii="Verdana" w:hAnsi="Verdana"/>
        </w:rPr>
      </w:pPr>
      <w:r w:rsidRPr="00144277">
        <w:rPr>
          <w:rFonts w:ascii="Verdana" w:hAnsi="Verdana"/>
        </w:rPr>
        <w:t xml:space="preserve">La Policía Nacional cuenta con las Operaciones Sostenidas, las cuales articulan las capacidades institucionales para la integración, planeación y ejecución de operaciones especiales, de inteligencia y judiciales en contra de GAO, GDCO y Estructuras Armadas Organizadas de Crimen de Alto Impacto (EOCAI), con la finalidad de capturar sus integrantes, afectar sus fuentes de financiación y cadenas de apoyo tercerizadas, con el objetivo de evitar su expansión y reacomodamiento. </w:t>
      </w:r>
    </w:p>
    <w:p w14:paraId="3BFCC965" w14:textId="77777777" w:rsidR="00362B05" w:rsidRPr="00144277" w:rsidRDefault="00362B05" w:rsidP="00362B05">
      <w:pPr>
        <w:pStyle w:val="ListParagraph"/>
        <w:numPr>
          <w:ilvl w:val="0"/>
          <w:numId w:val="1"/>
        </w:numPr>
        <w:spacing w:line="276" w:lineRule="auto"/>
        <w:jc w:val="both"/>
        <w:rPr>
          <w:rFonts w:ascii="Verdana" w:hAnsi="Verdana"/>
        </w:rPr>
      </w:pPr>
      <w:r w:rsidRPr="00144277">
        <w:rPr>
          <w:rFonts w:ascii="Verdana" w:hAnsi="Verdana"/>
        </w:rPr>
        <w:t>Dirección de Investigación Criminal e INTERPOL</w:t>
      </w:r>
    </w:p>
    <w:p w14:paraId="6BC6ECD9" w14:textId="77777777" w:rsidR="00362B05" w:rsidRPr="008D5473" w:rsidRDefault="00362B05" w:rsidP="00362B05">
      <w:pPr>
        <w:spacing w:line="276" w:lineRule="auto"/>
        <w:jc w:val="both"/>
        <w:rPr>
          <w:rFonts w:ascii="Verdana" w:hAnsi="Verdana"/>
        </w:rPr>
      </w:pPr>
      <w:r w:rsidRPr="008D5473">
        <w:rPr>
          <w:rFonts w:ascii="Verdana" w:hAnsi="Verdana"/>
        </w:rPr>
        <w:t>A través del despliegue investigativo adelanta operaciones estructurales contra las organizaciones criminales, allanamientos, capturas, incautación de armas de fuego, incautación de sustancias estupefacientes, erradicación de expendios y la afectación a las finanzas criminales. En ello, se reportan como resultados: 195 operaciones estructurales, 37.753 capturas, 4.849 allanamientos, 310 armas de fuego, 1.912 expendios intervenidos, 853 bienes extintos con avalúo de $383.047.463.518, 322.696 kg cocaína, 786 kg basuco, 218.221 kg marihuana 175.991 (Fuente: GITES, 22/08/2025).</w:t>
      </w:r>
    </w:p>
    <w:p w14:paraId="3455D1F6" w14:textId="77777777" w:rsidR="00362B05" w:rsidRDefault="00362B05" w:rsidP="00144277">
      <w:pPr>
        <w:spacing w:line="276" w:lineRule="auto"/>
        <w:jc w:val="both"/>
        <w:rPr>
          <w:rFonts w:ascii="Verdana" w:hAnsi="Verdana"/>
        </w:rPr>
      </w:pPr>
    </w:p>
    <w:p w14:paraId="634E020F" w14:textId="4B8ADA5B" w:rsidR="00425FC2" w:rsidRDefault="00425FC2" w:rsidP="00144277">
      <w:pPr>
        <w:spacing w:line="276" w:lineRule="auto"/>
        <w:jc w:val="both"/>
        <w:rPr>
          <w:rFonts w:ascii="Verdana" w:hAnsi="Verdana"/>
          <w:b/>
          <w:bCs/>
          <w:u w:val="single"/>
        </w:rPr>
      </w:pPr>
      <w:r w:rsidRPr="00425FC2">
        <w:rPr>
          <w:rFonts w:ascii="Verdana" w:hAnsi="Verdana"/>
          <w:b/>
          <w:bCs/>
          <w:u w:val="single"/>
        </w:rPr>
        <w:t>Instituto Colombia</w:t>
      </w:r>
      <w:r w:rsidR="00C33296">
        <w:rPr>
          <w:rFonts w:ascii="Verdana" w:hAnsi="Verdana"/>
          <w:b/>
          <w:bCs/>
          <w:u w:val="single"/>
        </w:rPr>
        <w:t>no</w:t>
      </w:r>
      <w:r w:rsidRPr="00425FC2">
        <w:rPr>
          <w:rFonts w:ascii="Verdana" w:hAnsi="Verdana"/>
          <w:b/>
          <w:bCs/>
          <w:u w:val="single"/>
        </w:rPr>
        <w:t xml:space="preserve"> de Bienestar Familiar</w:t>
      </w:r>
    </w:p>
    <w:p w14:paraId="19F49E13" w14:textId="77777777" w:rsidR="00F446DD" w:rsidRDefault="00F446DD" w:rsidP="00144277">
      <w:pPr>
        <w:spacing w:line="276" w:lineRule="auto"/>
        <w:jc w:val="both"/>
        <w:rPr>
          <w:rFonts w:ascii="Verdana" w:hAnsi="Verdana"/>
        </w:rPr>
      </w:pPr>
      <w:r w:rsidRPr="00F446DD">
        <w:rPr>
          <w:rFonts w:ascii="Verdana" w:hAnsi="Verdana"/>
        </w:rPr>
        <w:t xml:space="preserve">El ICBF implementa una visión de trabajo intersectorial, desde la cual impulsa a otras entidades a través de la Dirección del SNBF que opera en los niveles nacional, departamental, distrital y municipal. Como entidad coordinadora, el ICBF acompaña, propone y articula acciones interinstitucionales orientadas a la garantía y restablecimiento de los derechos de niñas, niños y adolescentes en zonas de conflicto armado. </w:t>
      </w:r>
    </w:p>
    <w:p w14:paraId="1C41CDC3" w14:textId="77777777" w:rsidR="00F446DD" w:rsidRDefault="00F446DD" w:rsidP="00144277">
      <w:pPr>
        <w:spacing w:line="276" w:lineRule="auto"/>
        <w:jc w:val="both"/>
        <w:rPr>
          <w:rFonts w:ascii="Verdana" w:hAnsi="Verdana"/>
        </w:rPr>
      </w:pPr>
      <w:r w:rsidRPr="00F446DD">
        <w:rPr>
          <w:rFonts w:ascii="Verdana" w:hAnsi="Verdana"/>
        </w:rPr>
        <w:t xml:space="preserve">Adicionalmente, el SNBF adelanta acciones conjuntas </w:t>
      </w:r>
      <w:proofErr w:type="spellStart"/>
      <w:r w:rsidRPr="00F446DD">
        <w:rPr>
          <w:rFonts w:ascii="Verdana" w:hAnsi="Verdana"/>
        </w:rPr>
        <w:t>intersistémicas</w:t>
      </w:r>
      <w:proofErr w:type="spellEnd"/>
      <w:r w:rsidRPr="00F446DD">
        <w:rPr>
          <w:rFonts w:ascii="Verdana" w:hAnsi="Verdana"/>
        </w:rPr>
        <w:t xml:space="preserve"> con el Sistema Nacional de Gestión del Riesgo de Desastres (SNGRD), el Sistema Nacional de Atención y Reparación Integral a las Víctimas (SNARIV) y la Comisión Intersectorial para la Prevención del Reclutamiento, Uso, Utilización y Violencia Sexual (CIPRUNNA), con el objetivo de definir acciones estratégicas de impacto </w:t>
      </w:r>
      <w:r w:rsidRPr="00F446DD">
        <w:rPr>
          <w:rFonts w:ascii="Verdana" w:hAnsi="Verdana"/>
        </w:rPr>
        <w:lastRenderedPageBreak/>
        <w:t>nacional y local orientadas a la prevención y atención de la vulneración de derechos de niñas, niños y adolescentes en el contexto del conflicto armado.</w:t>
      </w:r>
    </w:p>
    <w:p w14:paraId="13FEAC42" w14:textId="237F8277" w:rsidR="00425FC2" w:rsidRDefault="00F446DD" w:rsidP="00144277">
      <w:pPr>
        <w:spacing w:line="276" w:lineRule="auto"/>
        <w:jc w:val="both"/>
        <w:rPr>
          <w:rFonts w:ascii="Verdana" w:hAnsi="Verdana"/>
        </w:rPr>
      </w:pPr>
      <w:r w:rsidRPr="00F446DD">
        <w:rPr>
          <w:rFonts w:ascii="Verdana" w:hAnsi="Verdana"/>
        </w:rPr>
        <w:t>Dentro de los principales logros del SNBF se cuenta con la identificación y priorización de 426 municipios, incluyendo los 170 del Programa de Desarrollo con Enfoque Territorial (PDET), permitiendo enfocar esfuerzos interinstitucionales en la atención de niñas, niños y adolescentes en zonas rurales y rurales dispersas. Esta priorización ha sido fundamental para avanzar en la reducción de brechas entre las áreas urbanas y las regiones más apartadas del país.</w:t>
      </w:r>
    </w:p>
    <w:p w14:paraId="0CDB05EF" w14:textId="77777777" w:rsidR="00F446DD" w:rsidRDefault="00F446DD" w:rsidP="00144277">
      <w:pPr>
        <w:spacing w:line="276" w:lineRule="auto"/>
        <w:jc w:val="both"/>
        <w:rPr>
          <w:rFonts w:ascii="Verdana" w:hAnsi="Verdana"/>
        </w:rPr>
      </w:pPr>
      <w:r w:rsidRPr="00F446DD">
        <w:rPr>
          <w:rFonts w:ascii="Verdana" w:hAnsi="Verdana"/>
        </w:rPr>
        <w:t xml:space="preserve">También, el fortalecimiento de las capacidades técnicas y operativas de los actores institucionales territoriales de las 32 administraciones departamentales, mediante la incidencia en las instancias de participación para el seguimiento de la implementación de las políticas públicas relacionadas con la niñez, adolescencia, familias y comunidades. </w:t>
      </w:r>
    </w:p>
    <w:p w14:paraId="0015CDF2" w14:textId="31EA841C" w:rsidR="00F446DD" w:rsidRDefault="00F446DD" w:rsidP="00144277">
      <w:pPr>
        <w:spacing w:line="276" w:lineRule="auto"/>
        <w:jc w:val="both"/>
        <w:rPr>
          <w:rFonts w:ascii="Verdana" w:hAnsi="Verdana"/>
        </w:rPr>
      </w:pPr>
      <w:r w:rsidRPr="00F446DD">
        <w:rPr>
          <w:rFonts w:ascii="Verdana" w:hAnsi="Verdana"/>
        </w:rPr>
        <w:t>Así mismo, desde el SNBF se dinamizan las agendas departamentales de los Consejos de Política Social y Mesas de Infancia, Adolescencia y Familias, logrando incluir acciones de prevención y atención del reclutamiento, uso y utilización de niñas, niños y adolescentes. Con especial énfasis en el acompañamiento al fortalecimiento de las Mesas Departamentales de Prevención del Reclutamiento y los Equipos de Acción Inmediata municipales en coordinación con entidades del nivel nacional.</w:t>
      </w:r>
    </w:p>
    <w:p w14:paraId="22C62A93" w14:textId="4365E63D" w:rsidR="00A4463A" w:rsidRPr="00A4463A" w:rsidRDefault="00A4463A" w:rsidP="00144277">
      <w:pPr>
        <w:spacing w:line="276" w:lineRule="auto"/>
        <w:jc w:val="both"/>
        <w:rPr>
          <w:rFonts w:ascii="Verdana" w:hAnsi="Verdana"/>
          <w:u w:val="single"/>
        </w:rPr>
      </w:pPr>
      <w:r w:rsidRPr="00A4463A">
        <w:rPr>
          <w:rFonts w:ascii="Verdana" w:hAnsi="Verdana"/>
          <w:u w:val="single"/>
        </w:rPr>
        <w:t xml:space="preserve">Articulación </w:t>
      </w:r>
      <w:proofErr w:type="spellStart"/>
      <w:r w:rsidRPr="00A4463A">
        <w:rPr>
          <w:rFonts w:ascii="Verdana" w:hAnsi="Verdana"/>
          <w:u w:val="single"/>
        </w:rPr>
        <w:t>intersistémica</w:t>
      </w:r>
      <w:proofErr w:type="spellEnd"/>
    </w:p>
    <w:p w14:paraId="74FDF423" w14:textId="77777777" w:rsidR="00A4463A" w:rsidRDefault="00A4463A" w:rsidP="00144277">
      <w:pPr>
        <w:spacing w:line="276" w:lineRule="auto"/>
        <w:jc w:val="both"/>
        <w:rPr>
          <w:rFonts w:ascii="Verdana" w:hAnsi="Verdana"/>
        </w:rPr>
      </w:pPr>
      <w:r w:rsidRPr="00A4463A">
        <w:rPr>
          <w:rFonts w:ascii="Verdana" w:hAnsi="Verdana"/>
          <w:i/>
          <w:iCs/>
        </w:rPr>
        <w:t>Sistema Nacional de Atención y Reparación Integral a las Víctimas (SNARIV)</w:t>
      </w:r>
      <w:r w:rsidRPr="00A4463A">
        <w:rPr>
          <w:rFonts w:ascii="Verdana" w:hAnsi="Verdana"/>
        </w:rPr>
        <w:t xml:space="preserve"> </w:t>
      </w:r>
    </w:p>
    <w:p w14:paraId="625F6877" w14:textId="373E8841" w:rsidR="00A4463A" w:rsidRDefault="00A4463A" w:rsidP="00144277">
      <w:pPr>
        <w:spacing w:line="276" w:lineRule="auto"/>
        <w:jc w:val="both"/>
        <w:rPr>
          <w:rFonts w:ascii="Verdana" w:hAnsi="Verdana"/>
        </w:rPr>
      </w:pPr>
      <w:r w:rsidRPr="00A4463A">
        <w:rPr>
          <w:rFonts w:ascii="Verdana" w:hAnsi="Verdana"/>
        </w:rPr>
        <w:t>La atención, asistencia y reparación integral a las víctimas del conflicto armado en Colombia se rige por la Ley 1448 de 2011 (y demás que la modifican), marco normativo que creó el Sistema Nacional de Atención y Reparación Integral a las Víctimas (SNARIV) como el sistema institucional encargado de coordinar y ejecutar las políticas de atención y reparación a esta población. Conforme al artículo 168 de la Ley 1448 de 2011, al artículo 242 del Decreto 4800 de 2011 y al artículo 2.2.8.1.8 del Decreto 1084 de 2015, la Unidad para la Atención y Reparación Integral a las Víctimas (UARIV) es la entidad coordinadora de las actuaciones del conjunto de entidades públicas que integran el SNARIV, encargadas de formular y ejecutar los planes, programas y proyectos dirigidos a esta población.</w:t>
      </w:r>
    </w:p>
    <w:p w14:paraId="79DBFBC0" w14:textId="5743DA92" w:rsidR="00C553E9" w:rsidRDefault="00C553E9" w:rsidP="00144277">
      <w:pPr>
        <w:spacing w:line="276" w:lineRule="auto"/>
        <w:jc w:val="both"/>
        <w:rPr>
          <w:rFonts w:ascii="Verdana" w:hAnsi="Verdana"/>
        </w:rPr>
      </w:pPr>
      <w:r w:rsidRPr="00C553E9">
        <w:rPr>
          <w:rFonts w:ascii="Verdana" w:hAnsi="Verdana"/>
        </w:rPr>
        <w:t xml:space="preserve">Este marco se complementa con los Decretos Ley 4633, 4634 y 4635 de 2011, que establecen medidas de asistencia, atención, reparación integral y restitución de derechos territoriales para las víctimas pertenecientes a pueblos y </w:t>
      </w:r>
      <w:r w:rsidRPr="00C553E9">
        <w:rPr>
          <w:rFonts w:ascii="Verdana" w:hAnsi="Verdana"/>
        </w:rPr>
        <w:lastRenderedPageBreak/>
        <w:t xml:space="preserve">comunidades indígenas, al pueblo </w:t>
      </w:r>
      <w:proofErr w:type="spellStart"/>
      <w:r w:rsidRPr="00C553E9">
        <w:rPr>
          <w:rFonts w:ascii="Verdana" w:hAnsi="Verdana"/>
        </w:rPr>
        <w:t>Rrom</w:t>
      </w:r>
      <w:proofErr w:type="spellEnd"/>
      <w:r w:rsidRPr="00C553E9">
        <w:rPr>
          <w:rFonts w:ascii="Verdana" w:hAnsi="Verdana"/>
        </w:rPr>
        <w:t xml:space="preserve"> o Gitano, y a comunidades negras, afrocolombianas, raizales y palenqueras, respectivamente.</w:t>
      </w:r>
    </w:p>
    <w:p w14:paraId="75BD7CF9" w14:textId="12DEE8F0" w:rsidR="00C553E9" w:rsidRDefault="00C553E9" w:rsidP="00144277">
      <w:pPr>
        <w:spacing w:line="276" w:lineRule="auto"/>
        <w:jc w:val="both"/>
        <w:rPr>
          <w:rFonts w:ascii="Verdana" w:hAnsi="Verdana"/>
        </w:rPr>
      </w:pPr>
      <w:r w:rsidRPr="00C553E9">
        <w:rPr>
          <w:rFonts w:ascii="Verdana" w:hAnsi="Verdana"/>
        </w:rPr>
        <w:t>En este escenario, el ICBF ejerce como entidad del SNARIV (artículo 160 de la Ley 1448 de 2011, modificado por la Ley 2421 de 2024) en el marco de sus competencias específicas en materia de atención a víctimas del conflicto armado. Estas competencias comprenden la priorización de la prevención desde la primera infancia, la niñez y la adolescencia, y el fortalecimiento de las familias y comunidades como garantía de no repetición (artículo 149 de la Ley 1448 de 2011); el restablecimiento de derechos amenazados o vulnerados de niñas, niños y adolescentes víctimas, conforme al Código de Infancia y Adolescencia (artículo 183 de la Ley 1448 de 2011); y el acompañamiento a la población víctima de desplazamiento forzado a través de las Unidades Móviles.</w:t>
      </w:r>
    </w:p>
    <w:p w14:paraId="38ADB44F" w14:textId="365FAB4A" w:rsidR="00405CFC" w:rsidRDefault="00405CFC" w:rsidP="00144277">
      <w:pPr>
        <w:spacing w:line="276" w:lineRule="auto"/>
        <w:jc w:val="both"/>
        <w:rPr>
          <w:rFonts w:ascii="Verdana" w:hAnsi="Verdana"/>
        </w:rPr>
      </w:pPr>
      <w:r w:rsidRPr="00405CFC">
        <w:rPr>
          <w:rFonts w:ascii="Verdana" w:hAnsi="Verdana"/>
        </w:rPr>
        <w:t>Esta articulación se materializa, en particular, a través de la participación del Instituto en los seis subcomités técnicos del SNARIV. En el subcomité de prevención, protección y garantías de no repetición, el ICBF acompaña la atención y prestación de servicios a las poblaciones afectadas, acompañamiento</w:t>
      </w:r>
      <w:r w:rsidR="002A0AEC">
        <w:rPr>
          <w:rFonts w:ascii="Verdana" w:hAnsi="Verdana"/>
        </w:rPr>
        <w:t xml:space="preserve"> </w:t>
      </w:r>
      <w:r w:rsidR="002A0AEC" w:rsidRPr="002A0AEC">
        <w:rPr>
          <w:rFonts w:ascii="Verdana" w:hAnsi="Verdana"/>
        </w:rPr>
        <w:t>que no se limita a la respuesta inmediata frente a la emergencia sino que se extiende a la estabilización de los servicios en el territorio, mediante acciones de acompañamiento psicosocial de Unidades Móviles, entrega de alimento de alto valor nutricional, prevención del reclutamiento y participación en los Comités de Justicia Transicional. En el subcomité de atención y asistencia, el Instituto participa con especial énfasis en el acompañamiento psicosocial de Unidades Móviles y la reunificación familiar de niñas, niños y adolescentes. En el subcomité de rehabilitación, complementa esta medida con el acompañamiento psicosocial en el restablecimiento de derechos. En el subcomité de sistemas de información, aporta al intercambio de información para las mediciones de acceso a derechos y a la asistencia técnica a entidades territoriales. En el subcomité de enfoque diferencial, brinda lineamientos sobre atención a niñas, niños y adolescentes. Y en el subcomité de reparación colectiva, participa como entidad invitada en la implementación de las medidas concertadas con los sujetos de reparación</w:t>
      </w:r>
      <w:r w:rsidR="002A0AEC">
        <w:rPr>
          <w:rFonts w:ascii="Verdana" w:hAnsi="Verdana"/>
        </w:rPr>
        <w:t>.</w:t>
      </w:r>
    </w:p>
    <w:p w14:paraId="651F5D2C" w14:textId="320DF155" w:rsidR="002A0AEC" w:rsidRDefault="002A0AEC" w:rsidP="00144277">
      <w:pPr>
        <w:spacing w:line="276" w:lineRule="auto"/>
        <w:jc w:val="both"/>
        <w:rPr>
          <w:rFonts w:ascii="Verdana" w:hAnsi="Verdana"/>
        </w:rPr>
      </w:pPr>
      <w:r w:rsidRPr="002A0AEC">
        <w:rPr>
          <w:rFonts w:ascii="Verdana" w:hAnsi="Verdana"/>
        </w:rPr>
        <w:t xml:space="preserve">En cuanto al fortalecimiento de la presencia y capacidad de las autoridades e instituciones civiles en el territorio, es preciso señalar que la verificación y articulación frente a las emergencias humanitarias corresponde, en primera instancia, a la entidad territorial municipal, en su calidad de primer respondiente, de conformidad con el artículo 2.2.6.7.3.2.3 del Decreto 1084 de 2015, adicionado por el Decreto 525 de 2025. En desarrollo de esta competencia, los municipios y departamentos formulan y actualizan sus planes de contingencia para la atención humanitaria de emergencias derivadas del conflicto armado; el ICBF acompaña la construcción, socialización y seguimiento de dichos planes a </w:t>
      </w:r>
      <w:r w:rsidRPr="002A0AEC">
        <w:rPr>
          <w:rFonts w:ascii="Verdana" w:hAnsi="Verdana"/>
        </w:rPr>
        <w:lastRenderedPageBreak/>
        <w:t>través de sus regionales y centros zonales, aportando el enfoque diferencial de niñez, adolescencia y familia propio de sus competencias misionales, sin que dicho acompañamiento sustituya la responsabilidad primaria de la entidad territorial.</w:t>
      </w:r>
    </w:p>
    <w:p w14:paraId="17D8A076" w14:textId="46AC69C5" w:rsidR="008703FF" w:rsidRDefault="002A0AEC" w:rsidP="00144277">
      <w:pPr>
        <w:spacing w:line="276" w:lineRule="auto"/>
        <w:jc w:val="both"/>
        <w:rPr>
          <w:rFonts w:ascii="Verdana" w:hAnsi="Verdana"/>
        </w:rPr>
      </w:pPr>
      <w:r w:rsidRPr="002A0AEC">
        <w:rPr>
          <w:rFonts w:ascii="Verdana" w:hAnsi="Verdana"/>
        </w:rPr>
        <w:t>El escenario en el que esta articulación territorial se socializa y coordina interinstitucionalmente es el Comité Territorial de Justicia Transicional (CTJT), creado en desarrollo del artículo 173 de la Ley 1448 de 2011 y modificado por el artículo 51 de la Ley 2421 de 2024. La participación del Instituto en dicho Comité no sustituye la competencia atribuida a la entidad territorial, pero sí le permite al ICBF contar con información actualizada sobre la situación humanitaria y de orden público, y articular su intervención en el marco de sus funciones misionales, tanto frente a los planes de contingencia como frente a los planes</w:t>
      </w:r>
      <w:r>
        <w:rPr>
          <w:rFonts w:ascii="Verdana" w:hAnsi="Verdana"/>
        </w:rPr>
        <w:t xml:space="preserve"> </w:t>
      </w:r>
      <w:r w:rsidRPr="002A0AEC">
        <w:rPr>
          <w:rFonts w:ascii="Verdana" w:hAnsi="Verdana"/>
        </w:rPr>
        <w:t>territoriales de las organizaciones de atención a víctimas cuando estos existen en el territorio.</w:t>
      </w:r>
    </w:p>
    <w:p w14:paraId="62FF8A1F" w14:textId="77777777" w:rsidR="008703FF" w:rsidRDefault="008703FF" w:rsidP="00144277">
      <w:pPr>
        <w:spacing w:line="276" w:lineRule="auto"/>
        <w:jc w:val="both"/>
        <w:rPr>
          <w:rFonts w:ascii="Verdana" w:hAnsi="Verdana"/>
        </w:rPr>
      </w:pPr>
    </w:p>
    <w:p w14:paraId="7E7AE06C" w14:textId="6C9B5536" w:rsidR="008703FF" w:rsidRPr="008703FF" w:rsidRDefault="008703FF" w:rsidP="00144277">
      <w:pPr>
        <w:spacing w:line="276" w:lineRule="auto"/>
        <w:jc w:val="both"/>
        <w:rPr>
          <w:rFonts w:ascii="Verdana" w:hAnsi="Verdana"/>
          <w:i/>
          <w:iCs/>
        </w:rPr>
      </w:pPr>
      <w:r w:rsidRPr="008703FF">
        <w:rPr>
          <w:rFonts w:ascii="Verdana" w:hAnsi="Verdana"/>
          <w:i/>
          <w:iCs/>
        </w:rPr>
        <w:t>Comisión Intersectorial para la Prevención del Reclutamiento, la Utilización y la Violencia Sexual en contra de Niños, Niñas y Adolescentes (CIPRUNNA)</w:t>
      </w:r>
    </w:p>
    <w:p w14:paraId="50BBDD50" w14:textId="77777777" w:rsidR="008703FF" w:rsidRDefault="008703FF" w:rsidP="00144277">
      <w:pPr>
        <w:spacing w:line="276" w:lineRule="auto"/>
        <w:jc w:val="both"/>
        <w:rPr>
          <w:rFonts w:ascii="Verdana" w:hAnsi="Verdana"/>
        </w:rPr>
      </w:pPr>
      <w:r w:rsidRPr="008703FF">
        <w:rPr>
          <w:rFonts w:ascii="Verdana" w:hAnsi="Verdana"/>
        </w:rPr>
        <w:t xml:space="preserve">En el marco de la articulación </w:t>
      </w:r>
      <w:proofErr w:type="spellStart"/>
      <w:r w:rsidRPr="008703FF">
        <w:rPr>
          <w:rFonts w:ascii="Verdana" w:hAnsi="Verdana"/>
        </w:rPr>
        <w:t>intersistémica</w:t>
      </w:r>
      <w:proofErr w:type="spellEnd"/>
      <w:r w:rsidRPr="008703FF">
        <w:rPr>
          <w:rFonts w:ascii="Verdana" w:hAnsi="Verdana"/>
        </w:rPr>
        <w:t xml:space="preserve"> también se cuenta con el liderazgo de la Consejería Presidencial para los Derechos Humanos y el Derecho Internacional Humanitario, que hace parte del Departamento Administrativo de la Presidencia de la República, la cual lidera, coordina e impulsa el desarrollo de la Política Integral de Derechos Humanos, por virtud del artículo 21 del Decreto 2647 de 2022. </w:t>
      </w:r>
    </w:p>
    <w:p w14:paraId="1D4EFF53" w14:textId="77777777" w:rsidR="008703FF" w:rsidRDefault="008703FF" w:rsidP="00144277">
      <w:pPr>
        <w:spacing w:line="276" w:lineRule="auto"/>
        <w:jc w:val="both"/>
        <w:rPr>
          <w:rFonts w:ascii="Verdana" w:hAnsi="Verdana"/>
        </w:rPr>
      </w:pPr>
      <w:r w:rsidRPr="008703FF">
        <w:rPr>
          <w:rFonts w:ascii="Verdana" w:hAnsi="Verdana"/>
        </w:rPr>
        <w:t xml:space="preserve">El numeral 11 de la citada norma, asignó a la Consejería Presidencial el ejercicio de la Secretaría Técnica de la Comisión Intersectorial para la Prevención del Reclutamiento, la Utilización y la Violencia Sexual en contra de Niños, Niñas y Adolescentes por parte de GAO y GDO (CIPRUNNA), política pública que hoy por hoy es regulada por el Decreto 2081 de 2019. </w:t>
      </w:r>
    </w:p>
    <w:p w14:paraId="5F866991" w14:textId="52262B11" w:rsidR="00E1127F" w:rsidRDefault="008703FF" w:rsidP="00144277">
      <w:pPr>
        <w:spacing w:line="276" w:lineRule="auto"/>
        <w:jc w:val="both"/>
        <w:rPr>
          <w:rFonts w:ascii="Verdana" w:hAnsi="Verdana"/>
        </w:rPr>
      </w:pPr>
      <w:r w:rsidRPr="008703FF">
        <w:rPr>
          <w:rFonts w:ascii="Verdana" w:hAnsi="Verdana"/>
        </w:rPr>
        <w:t xml:space="preserve">De igual forma, mediante la Ley 2590 del 06 de julio de 2026 que modifica los artículos 162 y 188D de la Ley 599 de 2000, se definieron una serie de elementos tendientes al avance de las acciones del estado colombiano para la prevención del reclutamiento, tales como, definiciones diferenciadas sobre reclutamiento ilícito y uso de niñas, niños y adolescentes en la comisión de delitos, la necesaria adopción de un Plan Nacional de Prevención, la elaboración de un CONPES, la creación del Observatorio Nacional de Reclutamiento y uso de menores, del Equipo Nacional de Acción Inmediata (ENAI), la definición de instancias territoriales de prevención de reclutamiento, uso y utilización, la estrategia permanente de prevención y orientación institucional a través del sistema de </w:t>
      </w:r>
      <w:r w:rsidRPr="008703FF">
        <w:rPr>
          <w:rFonts w:ascii="Verdana" w:hAnsi="Verdana"/>
        </w:rPr>
        <w:lastRenderedPageBreak/>
        <w:t>medios públicos, así como, del protocolo para la prevención y el bloqueo de contenidos digitales asociados al reclutamiento.</w:t>
      </w:r>
    </w:p>
    <w:p w14:paraId="44A80153" w14:textId="3690D797" w:rsidR="008703FF" w:rsidRDefault="008703FF" w:rsidP="00144277">
      <w:pPr>
        <w:spacing w:line="276" w:lineRule="auto"/>
        <w:jc w:val="both"/>
        <w:rPr>
          <w:rFonts w:ascii="Verdana" w:hAnsi="Verdana"/>
        </w:rPr>
      </w:pPr>
      <w:r w:rsidRPr="008703FF">
        <w:rPr>
          <w:rFonts w:ascii="Verdana" w:hAnsi="Verdana"/>
        </w:rPr>
        <w:t>En este marco y como miembro de la CIPRUNNA, el ICBF se articula de manera permanente con las 19 entidades que la integran. Mediante el trabajo constante en sus sesiones directivas, técnicas y por medio de sus subcomités (Técnico, Comunicaciones y Familia-Comunidades), se adelantan de manera consensuada acciones orientadas a:</w:t>
      </w:r>
    </w:p>
    <w:p w14:paraId="13EA45BF" w14:textId="77777777" w:rsidR="001B6EB9" w:rsidRDefault="001B6EB9" w:rsidP="001B6EB9">
      <w:pPr>
        <w:pStyle w:val="ListParagraph"/>
        <w:numPr>
          <w:ilvl w:val="0"/>
          <w:numId w:val="13"/>
        </w:numPr>
        <w:spacing w:line="276" w:lineRule="auto"/>
        <w:jc w:val="both"/>
        <w:rPr>
          <w:rFonts w:ascii="Verdana" w:hAnsi="Verdana"/>
        </w:rPr>
      </w:pPr>
      <w:r w:rsidRPr="001B6EB9">
        <w:rPr>
          <w:rFonts w:ascii="Verdana" w:hAnsi="Verdana"/>
        </w:rPr>
        <w:t xml:space="preserve">Definir mecanismos, acciones, estrategias para atender situaciones de riesgo inminente. En esa medida, resulta importante señalar la acción sostenida por varias de las entidades de la CIPRUNNA para la consolidación y formalización del Equipo Nacional de Acción Inmediata (ENAI) como un mecanismo de carácter operativo y urgente del orden nacional, adscrito a la Comisión Intersectorial para la Prevención del Reclutamiento, Uso, Utilización y Violencia Sexual contra Niñas, Niños y Adolescentes (CIPRUNNA), orientado a articular y activar, de manera subsidiaria, concurrente y complementaria, la respuesta interinstitucional frente a situaciones de amenaza inminente y desvinculación. </w:t>
      </w:r>
    </w:p>
    <w:p w14:paraId="4A10A4AB" w14:textId="77777777" w:rsidR="001B6EB9" w:rsidRDefault="001B6EB9" w:rsidP="001B6EB9">
      <w:pPr>
        <w:pStyle w:val="ListParagraph"/>
        <w:numPr>
          <w:ilvl w:val="0"/>
          <w:numId w:val="13"/>
        </w:numPr>
        <w:spacing w:line="276" w:lineRule="auto"/>
        <w:jc w:val="both"/>
        <w:rPr>
          <w:rFonts w:ascii="Verdana" w:hAnsi="Verdana"/>
        </w:rPr>
      </w:pPr>
      <w:r w:rsidRPr="001B6EB9">
        <w:rPr>
          <w:rFonts w:ascii="Verdana" w:hAnsi="Verdana"/>
        </w:rPr>
        <w:t xml:space="preserve">Fortalecimiento de capacidades de las diferentes instancias territoriales (Mesas Departamentales de Prevención de reclutamiento, uso, utilización y violencia sexual y Equipos de Acción Inmediata). </w:t>
      </w:r>
    </w:p>
    <w:p w14:paraId="7270C687" w14:textId="77777777" w:rsidR="001B6EB9" w:rsidRDefault="001B6EB9" w:rsidP="001B6EB9">
      <w:pPr>
        <w:pStyle w:val="ListParagraph"/>
        <w:numPr>
          <w:ilvl w:val="0"/>
          <w:numId w:val="13"/>
        </w:numPr>
        <w:spacing w:line="276" w:lineRule="auto"/>
        <w:jc w:val="both"/>
        <w:rPr>
          <w:rFonts w:ascii="Verdana" w:hAnsi="Verdana"/>
        </w:rPr>
      </w:pPr>
      <w:r w:rsidRPr="001B6EB9">
        <w:rPr>
          <w:rFonts w:ascii="Verdana" w:hAnsi="Verdana"/>
        </w:rPr>
        <w:t xml:space="preserve">Cualificación técnica de los diferentes instrumentos de la CIPRUNNA con miras a dotar las rutas de prevención de actualización en insumos conceptuales, analíticos y de reacción ante la dinámica en los diferentes territorios. </w:t>
      </w:r>
    </w:p>
    <w:p w14:paraId="05744DC3" w14:textId="77777777" w:rsidR="001B6EB9" w:rsidRDefault="001B6EB9" w:rsidP="001B6EB9">
      <w:pPr>
        <w:pStyle w:val="ListParagraph"/>
        <w:numPr>
          <w:ilvl w:val="0"/>
          <w:numId w:val="13"/>
        </w:numPr>
        <w:spacing w:line="276" w:lineRule="auto"/>
        <w:jc w:val="both"/>
        <w:rPr>
          <w:rFonts w:ascii="Verdana" w:hAnsi="Verdana"/>
        </w:rPr>
      </w:pPr>
      <w:r w:rsidRPr="001B6EB9">
        <w:rPr>
          <w:rFonts w:ascii="Verdana" w:hAnsi="Verdana"/>
        </w:rPr>
        <w:t xml:space="preserve">Articular y actualizar la oferta de las entidades para la respuesta ante las dinámicas propias del reclutamiento, uso, utilización y violencia sexual y las diferentes evaluaciones del riesgo emitida por diferentes entidades e instancias como la Defensoría del Pueblo y sus alertas tempranas. </w:t>
      </w:r>
    </w:p>
    <w:p w14:paraId="56038314" w14:textId="3D65CCF3" w:rsidR="001B6EB9" w:rsidRDefault="001B6EB9" w:rsidP="001B6EB9">
      <w:pPr>
        <w:pStyle w:val="ListParagraph"/>
        <w:numPr>
          <w:ilvl w:val="0"/>
          <w:numId w:val="13"/>
        </w:numPr>
        <w:spacing w:line="276" w:lineRule="auto"/>
        <w:jc w:val="both"/>
        <w:rPr>
          <w:rFonts w:ascii="Verdana" w:hAnsi="Verdana"/>
        </w:rPr>
      </w:pPr>
      <w:r w:rsidRPr="001B6EB9">
        <w:rPr>
          <w:rFonts w:ascii="Verdana" w:hAnsi="Verdana"/>
        </w:rPr>
        <w:t>Articulación las acciones y actuación de las entidades en el marco de la implementación continua de la Estrategia Nacional de Prevención de reclutamiento, uso, utilización y violencia sexual.</w:t>
      </w:r>
    </w:p>
    <w:p w14:paraId="2B721357" w14:textId="77777777" w:rsidR="00C33296" w:rsidRDefault="0071183E" w:rsidP="0071183E">
      <w:pPr>
        <w:spacing w:line="276" w:lineRule="auto"/>
        <w:jc w:val="both"/>
        <w:rPr>
          <w:rFonts w:ascii="Verdana" w:hAnsi="Verdana"/>
        </w:rPr>
      </w:pPr>
      <w:r w:rsidRPr="0071183E">
        <w:rPr>
          <w:rFonts w:ascii="Verdana" w:hAnsi="Verdana"/>
        </w:rPr>
        <w:t>El ICBF, en el marco de la Comisión Intersectorial para la Prevención del Reclutamiento, Utilización, Uso y Violencia Sexual contra Niñas, Niños y Adolescentes por Grupos Armados Organizados y por Grupos Delictivos Organizados (CIPRUNNA), hizo parte del diseño e implementación de la Estrategia Nacional para la Prevención del Reclutamiento, Uso, Utilización y Violencia Sexual, mediante procesos de asistencia técnica, acompañamiento territorial y fortalecimiento institucional.</w:t>
      </w:r>
    </w:p>
    <w:p w14:paraId="095BFBF6" w14:textId="42E377A7" w:rsidR="00E903FD" w:rsidRDefault="00E903FD" w:rsidP="0071183E">
      <w:pPr>
        <w:spacing w:line="276" w:lineRule="auto"/>
        <w:jc w:val="both"/>
        <w:rPr>
          <w:rFonts w:ascii="Verdana" w:hAnsi="Verdana"/>
        </w:rPr>
      </w:pPr>
      <w:r w:rsidRPr="00E903FD">
        <w:rPr>
          <w:rFonts w:ascii="Verdana" w:hAnsi="Verdana"/>
        </w:rPr>
        <w:lastRenderedPageBreak/>
        <w:t>Esta Estrategia priorizó la consolidación de espacios protectores a través de la articulación institucional, destacándose la estructuración de un plan de trabajo</w:t>
      </w:r>
      <w:r>
        <w:rPr>
          <w:rFonts w:ascii="Verdana" w:hAnsi="Verdana"/>
        </w:rPr>
        <w:t xml:space="preserve"> </w:t>
      </w:r>
      <w:r w:rsidRPr="00E903FD">
        <w:rPr>
          <w:rFonts w:ascii="Verdana" w:hAnsi="Verdana"/>
        </w:rPr>
        <w:t>conjunto para la implementación de la estrategia “Escuelas Territorios de Vida”, como una respuesta concreta a los factores de riesgo que enfrentan niñas, niños y adolescentes en territorios afectados por el conflicto y otras violencias. Su implementación contempla un alcance territorial focalizado en 6 departamentos, 13 municipios y 26 instituciones educativas.</w:t>
      </w:r>
    </w:p>
    <w:p w14:paraId="5FD46A1C" w14:textId="77777777" w:rsidR="00E903FD" w:rsidRDefault="00E903FD" w:rsidP="0071183E">
      <w:pPr>
        <w:spacing w:line="276" w:lineRule="auto"/>
        <w:jc w:val="both"/>
        <w:rPr>
          <w:rFonts w:ascii="Verdana" w:hAnsi="Verdana"/>
        </w:rPr>
      </w:pPr>
    </w:p>
    <w:p w14:paraId="22C164B5" w14:textId="54082976" w:rsidR="00E903FD" w:rsidRDefault="00E903FD" w:rsidP="0071183E">
      <w:pPr>
        <w:spacing w:line="276" w:lineRule="auto"/>
        <w:jc w:val="both"/>
        <w:rPr>
          <w:rFonts w:ascii="Verdana" w:hAnsi="Verdana"/>
          <w:i/>
          <w:iCs/>
        </w:rPr>
      </w:pPr>
      <w:r>
        <w:rPr>
          <w:rFonts w:ascii="Verdana" w:hAnsi="Verdana"/>
          <w:i/>
          <w:iCs/>
        </w:rPr>
        <w:t>Sistema Nacional de Derechos Humanos</w:t>
      </w:r>
    </w:p>
    <w:p w14:paraId="536414FD" w14:textId="77777777" w:rsidR="007971ED" w:rsidRDefault="007971ED" w:rsidP="0071183E">
      <w:pPr>
        <w:spacing w:line="276" w:lineRule="auto"/>
        <w:jc w:val="both"/>
        <w:rPr>
          <w:rFonts w:ascii="Verdana" w:hAnsi="Verdana"/>
        </w:rPr>
      </w:pPr>
      <w:r w:rsidRPr="007971ED">
        <w:rPr>
          <w:rFonts w:ascii="Verdana" w:hAnsi="Verdana"/>
        </w:rPr>
        <w:t xml:space="preserve">En el marco del fortalecimiento de las capacidades institucionales y territoriales, Bienestar Familiar acompañó el proceso de construcción y retroalimentación del Plan Nacional de Acción en Derechos Humanos (PNADH), aprobado mediante el Decreto No. 0585 del 5 de junio de 2026. En este marco, participó en las mesas técnicas convocadas por la Consejería Presidencial para los Derechos Humanos, aportando insumos para los seis componentes del Plan y promoviendo la transversalización del enfoque de niñez y adolescencia. </w:t>
      </w:r>
    </w:p>
    <w:p w14:paraId="1835E6BC" w14:textId="525CC9FE" w:rsidR="00E903FD" w:rsidRDefault="007971ED" w:rsidP="0071183E">
      <w:pPr>
        <w:spacing w:line="276" w:lineRule="auto"/>
        <w:jc w:val="both"/>
        <w:rPr>
          <w:rFonts w:ascii="Verdana" w:hAnsi="Verdana"/>
        </w:rPr>
      </w:pPr>
      <w:r w:rsidRPr="007971ED">
        <w:rPr>
          <w:rFonts w:ascii="Verdana" w:hAnsi="Verdana"/>
        </w:rPr>
        <w:t>Este instrumento de política pública, con una proyección de implementación a diez años, contribuyó a posicionar a las niñas, niños y adolescentes como actores centrales en las decisiones que les afectan, fortaleciendo su reconocimiento como sujetos de derechos y agentes de participación. Asimismo, permitió que las acciones previstas respondan de manera más efectiva a los riesgos y desafíos específicos que enfrentan en los distintos entornos en los que se desarrollan, garantizando una visión de largo plazo para la promoción, protección y garantía de sus derechos. Así mismo, en esta misma línea de garantía de los derechos humanos, el ICBF ha consolidado una estrategia de articulación interinstitucional orientada a la gestión integral de las Alertas Tempranas emitidas por la Defensoría del Pueblo. Este proceso ha implicado la coordinación con la Oficina de Gestión Regional, el Sistema Nacional de Bienestar Familiar, la Dirección General, la Consejería Presidencial en su rol de secretaría técnica de la CIPRUNNA, la Comisión Intersectorial para la Respuesta a las Alertas Tempranas (CIPRAT) y el Ministerio del Interior, con el propósito de garantizar respuestas oportunas frente a riesgos asociados a violaciones de derechos humanos.</w:t>
      </w:r>
    </w:p>
    <w:p w14:paraId="114CFCDF" w14:textId="77777777" w:rsidR="00275958" w:rsidRDefault="00275958" w:rsidP="0071183E">
      <w:pPr>
        <w:spacing w:line="276" w:lineRule="auto"/>
        <w:jc w:val="both"/>
        <w:rPr>
          <w:rFonts w:ascii="Verdana" w:hAnsi="Verdana"/>
        </w:rPr>
      </w:pPr>
    </w:p>
    <w:p w14:paraId="45227471" w14:textId="0DB051D9" w:rsidR="00275958" w:rsidRDefault="00275958" w:rsidP="0071183E">
      <w:pPr>
        <w:spacing w:line="276" w:lineRule="auto"/>
        <w:jc w:val="both"/>
        <w:rPr>
          <w:rFonts w:ascii="Verdana" w:hAnsi="Verdana"/>
          <w:i/>
          <w:iCs/>
        </w:rPr>
      </w:pPr>
      <w:r w:rsidRPr="00275958">
        <w:rPr>
          <w:rFonts w:ascii="Verdana" w:hAnsi="Verdana"/>
          <w:i/>
          <w:iCs/>
        </w:rPr>
        <w:t>Sistema Integral para la Paz (SISPAZ)</w:t>
      </w:r>
    </w:p>
    <w:p w14:paraId="5F4915B0" w14:textId="1F87686A" w:rsidR="007970A8" w:rsidRDefault="007970A8" w:rsidP="0071183E">
      <w:pPr>
        <w:spacing w:line="276" w:lineRule="auto"/>
        <w:jc w:val="both"/>
        <w:rPr>
          <w:rFonts w:ascii="Verdana" w:hAnsi="Verdana"/>
        </w:rPr>
      </w:pPr>
      <w:r w:rsidRPr="007970A8">
        <w:rPr>
          <w:rFonts w:ascii="Verdana" w:hAnsi="Verdana"/>
        </w:rPr>
        <w:t>En el marco de articulación con el Sistema Integral para la Paz (SISPAZ), se avanzó en construir un proceso que garantiza el enfoque de derechos de las niñas, niños y adolescentes a través de:</w:t>
      </w:r>
    </w:p>
    <w:p w14:paraId="5F5F8042" w14:textId="77777777" w:rsidR="007970A8" w:rsidRDefault="007970A8" w:rsidP="007970A8">
      <w:pPr>
        <w:pStyle w:val="ListParagraph"/>
        <w:numPr>
          <w:ilvl w:val="0"/>
          <w:numId w:val="14"/>
        </w:numPr>
        <w:spacing w:line="276" w:lineRule="auto"/>
        <w:jc w:val="both"/>
        <w:rPr>
          <w:rFonts w:ascii="Verdana" w:hAnsi="Verdana"/>
        </w:rPr>
      </w:pPr>
      <w:r w:rsidRPr="007970A8">
        <w:rPr>
          <w:rFonts w:ascii="Verdana" w:hAnsi="Verdana"/>
        </w:rPr>
        <w:lastRenderedPageBreak/>
        <w:t xml:space="preserve">Intercambio de información permanente entre los sistemas de información institucionales con las entidades del SISPAZ. </w:t>
      </w:r>
    </w:p>
    <w:p w14:paraId="09532555" w14:textId="77777777" w:rsidR="007970A8" w:rsidRDefault="007970A8" w:rsidP="007970A8">
      <w:pPr>
        <w:pStyle w:val="ListParagraph"/>
        <w:numPr>
          <w:ilvl w:val="0"/>
          <w:numId w:val="14"/>
        </w:numPr>
        <w:spacing w:line="276" w:lineRule="auto"/>
        <w:jc w:val="both"/>
        <w:rPr>
          <w:rFonts w:ascii="Verdana" w:hAnsi="Verdana"/>
        </w:rPr>
      </w:pPr>
      <w:r w:rsidRPr="007970A8">
        <w:rPr>
          <w:rFonts w:ascii="Verdana" w:hAnsi="Verdana"/>
        </w:rPr>
        <w:t xml:space="preserve">A través de la activación del proceso de restablecimiento de derechos de los niños, niñas y adolescentes participantes en el proceso de búsqueda (como víctimas dadas por desaparecidas o familiares) cuando se identifique la inobservancia, amenaza o vulneración de derechos. </w:t>
      </w:r>
    </w:p>
    <w:p w14:paraId="5D16137B" w14:textId="77777777" w:rsidR="007970A8" w:rsidRDefault="007970A8" w:rsidP="007970A8">
      <w:pPr>
        <w:pStyle w:val="ListParagraph"/>
        <w:numPr>
          <w:ilvl w:val="0"/>
          <w:numId w:val="14"/>
        </w:numPr>
        <w:spacing w:line="276" w:lineRule="auto"/>
        <w:jc w:val="both"/>
        <w:rPr>
          <w:rFonts w:ascii="Verdana" w:hAnsi="Verdana"/>
        </w:rPr>
      </w:pPr>
      <w:r w:rsidRPr="007970A8">
        <w:rPr>
          <w:rFonts w:ascii="Verdana" w:hAnsi="Verdana"/>
        </w:rPr>
        <w:t xml:space="preserve">Participación en la mesa SISPAZ liderada por la JEP y la UBPD, espacio donde converge la sociedad civil y en el cual, se realizan procesos de fortalecimiento técnico, intercambio y socialización de metodologías y procesos que adelanta cada entidad participante en materia de construcción de paz, convivencia y garantías de no repetición. </w:t>
      </w:r>
    </w:p>
    <w:p w14:paraId="1D3867E5" w14:textId="77777777" w:rsidR="007970A8" w:rsidRDefault="007970A8" w:rsidP="007970A8">
      <w:pPr>
        <w:pStyle w:val="ListParagraph"/>
        <w:numPr>
          <w:ilvl w:val="0"/>
          <w:numId w:val="14"/>
        </w:numPr>
        <w:spacing w:line="276" w:lineRule="auto"/>
        <w:jc w:val="both"/>
        <w:rPr>
          <w:rFonts w:ascii="Verdana" w:hAnsi="Verdana"/>
        </w:rPr>
      </w:pPr>
      <w:r w:rsidRPr="007970A8">
        <w:rPr>
          <w:rFonts w:ascii="Verdana" w:hAnsi="Verdana"/>
        </w:rPr>
        <w:t xml:space="preserve">Se mantiene un trabajo articulado en torno a la verificación de las recomendaciones del Informe Final de la Comisión de la Verdad con su Comité de Monitoreo y Seguimiento, en las que la entidad tiene competencia desde un ejercicio gradual y progresivo. </w:t>
      </w:r>
    </w:p>
    <w:p w14:paraId="32AF765E" w14:textId="4FE848A9" w:rsidR="007970A8" w:rsidRDefault="007970A8" w:rsidP="007970A8">
      <w:pPr>
        <w:pStyle w:val="ListParagraph"/>
        <w:numPr>
          <w:ilvl w:val="0"/>
          <w:numId w:val="14"/>
        </w:numPr>
        <w:spacing w:line="276" w:lineRule="auto"/>
        <w:jc w:val="both"/>
        <w:rPr>
          <w:rFonts w:ascii="Verdana" w:hAnsi="Verdana"/>
        </w:rPr>
      </w:pPr>
      <w:r w:rsidRPr="007970A8">
        <w:rPr>
          <w:rFonts w:ascii="Verdana" w:hAnsi="Verdana"/>
        </w:rPr>
        <w:t>Se ha adelantado un trabajo de articulación con la Oficina Asesora de Enfoques Diferenciales de la JEP para:</w:t>
      </w:r>
    </w:p>
    <w:p w14:paraId="7895C5C7" w14:textId="77777777" w:rsidR="009C136E" w:rsidRDefault="009C136E" w:rsidP="009C136E">
      <w:pPr>
        <w:pStyle w:val="ListParagraph"/>
        <w:numPr>
          <w:ilvl w:val="0"/>
          <w:numId w:val="15"/>
        </w:numPr>
        <w:spacing w:line="276" w:lineRule="auto"/>
        <w:jc w:val="both"/>
        <w:rPr>
          <w:rFonts w:ascii="Verdana" w:hAnsi="Verdana"/>
        </w:rPr>
      </w:pPr>
      <w:r w:rsidRPr="009C136E">
        <w:rPr>
          <w:rFonts w:ascii="Verdana" w:hAnsi="Verdana"/>
        </w:rPr>
        <w:t xml:space="preserve">Articulación directa con el equipo del macro caso 07 sobre reclutamiento ilícito, </w:t>
      </w:r>
    </w:p>
    <w:p w14:paraId="2463731D" w14:textId="6C28E994" w:rsidR="009C136E" w:rsidRDefault="009C136E" w:rsidP="009C136E">
      <w:pPr>
        <w:pStyle w:val="ListParagraph"/>
        <w:numPr>
          <w:ilvl w:val="0"/>
          <w:numId w:val="15"/>
        </w:numPr>
        <w:spacing w:line="276" w:lineRule="auto"/>
        <w:jc w:val="both"/>
        <w:rPr>
          <w:rFonts w:ascii="Verdana" w:hAnsi="Verdana"/>
        </w:rPr>
      </w:pPr>
      <w:r w:rsidRPr="009C136E">
        <w:rPr>
          <w:rFonts w:ascii="Verdana" w:hAnsi="Verdana"/>
        </w:rPr>
        <w:t>Como parte del fortalecimiento técnico de los equipos territoriales de la JEP y el ICBF, se han implementado jornadas de formación orientadas a fortalecer las capacidades de funcionarios, funcionarias y colaboradores del ICBF en materia de justicia transicional y enfoque restaurativo. De igual manera, los equipos de la JEP han recibido capacitación sobre la ruta de restablecimiento de derechos, el acompañamiento a los procesos de reparación integral de niñas, niños y adolescentes, así como sobre los lineamientos de articulación interjurisdiccional.</w:t>
      </w:r>
    </w:p>
    <w:p w14:paraId="0EDA5CC9" w14:textId="77777777" w:rsidR="009C136E" w:rsidRDefault="009C136E" w:rsidP="009C136E">
      <w:pPr>
        <w:spacing w:line="276" w:lineRule="auto"/>
        <w:jc w:val="both"/>
        <w:rPr>
          <w:rFonts w:ascii="Verdana" w:hAnsi="Verdana"/>
        </w:rPr>
      </w:pPr>
    </w:p>
    <w:p w14:paraId="2802C901" w14:textId="7C1D37EA" w:rsidR="009C136E" w:rsidRDefault="009C136E" w:rsidP="009C136E">
      <w:pPr>
        <w:spacing w:line="276" w:lineRule="auto"/>
        <w:jc w:val="both"/>
        <w:rPr>
          <w:rFonts w:ascii="Verdana" w:hAnsi="Verdana"/>
          <w:u w:val="single"/>
        </w:rPr>
      </w:pPr>
      <w:r>
        <w:rPr>
          <w:rFonts w:ascii="Verdana" w:hAnsi="Verdana"/>
          <w:u w:val="single"/>
        </w:rPr>
        <w:t>Fortalecimiento de las autoridades étnico-territoriales</w:t>
      </w:r>
    </w:p>
    <w:p w14:paraId="3982CB05" w14:textId="77777777" w:rsidR="00174820" w:rsidRDefault="00174820" w:rsidP="009C136E">
      <w:pPr>
        <w:spacing w:line="276" w:lineRule="auto"/>
        <w:jc w:val="both"/>
        <w:rPr>
          <w:rFonts w:ascii="Verdana" w:hAnsi="Verdana"/>
        </w:rPr>
      </w:pPr>
      <w:r w:rsidRPr="00174820">
        <w:rPr>
          <w:rFonts w:ascii="Verdana" w:hAnsi="Verdana"/>
        </w:rPr>
        <w:t xml:space="preserve">Sumado a las formas de atención que implementa el ICBF, desde la rectoría del Sistema Nacional de Bienestar Familiar, se fortalecen las capacidades de las autoridades étnico-territoriales, quienes son agentes del SNBF y, en el caso de las autoridades tradicionales indígenas, son también autoridades administrativas de restablecimiento de derechos, movilizando la asistencia técnica constante del Instituto, así como el desarrollo de estrategias y acciones para el desarrollo de sus obligaciones para la protección integral de la niñez y la adolescencia. </w:t>
      </w:r>
    </w:p>
    <w:p w14:paraId="28776994" w14:textId="3C646BB6" w:rsidR="009C136E" w:rsidRDefault="00174820" w:rsidP="009C136E">
      <w:pPr>
        <w:spacing w:line="276" w:lineRule="auto"/>
        <w:jc w:val="both"/>
        <w:rPr>
          <w:rFonts w:ascii="Verdana" w:hAnsi="Verdana"/>
        </w:rPr>
      </w:pPr>
      <w:r w:rsidRPr="00174820">
        <w:rPr>
          <w:rFonts w:ascii="Verdana" w:hAnsi="Verdana"/>
        </w:rPr>
        <w:t xml:space="preserve">Así mismo, se desarrollan compromisos, acuerdos y acciones orientados a la promoción de derechos y la prevención de riesgos que afectan a las niñas, los </w:t>
      </w:r>
      <w:r w:rsidRPr="00174820">
        <w:rPr>
          <w:rFonts w:ascii="Verdana" w:hAnsi="Verdana"/>
        </w:rPr>
        <w:lastRenderedPageBreak/>
        <w:t>niños y los adolescentes con pertenencia étnica. Estas iniciativas se implementan de manera articulada con diferentes actores institucionales y comunitarios, con el propósito de fortalecer la protección integral y garantizar el reconocimiento y respeto de su identidad cultural.</w:t>
      </w:r>
      <w:r>
        <w:rPr>
          <w:rFonts w:ascii="Verdana" w:hAnsi="Verdana"/>
        </w:rPr>
        <w:t xml:space="preserve"> Estos son: </w:t>
      </w:r>
    </w:p>
    <w:p w14:paraId="4E86A213" w14:textId="34C0DBE3" w:rsidR="00174820" w:rsidRDefault="00174820" w:rsidP="00174820">
      <w:pPr>
        <w:pStyle w:val="ListParagraph"/>
        <w:numPr>
          <w:ilvl w:val="0"/>
          <w:numId w:val="16"/>
        </w:numPr>
        <w:spacing w:line="276" w:lineRule="auto"/>
        <w:jc w:val="both"/>
        <w:rPr>
          <w:rFonts w:ascii="Verdana" w:hAnsi="Verdana"/>
        </w:rPr>
      </w:pPr>
      <w:r w:rsidRPr="00174820">
        <w:rPr>
          <w:rFonts w:ascii="Verdana" w:hAnsi="Verdana"/>
        </w:rPr>
        <w:t xml:space="preserve">Acuerdo RT3-44 con el pueblo </w:t>
      </w:r>
      <w:proofErr w:type="spellStart"/>
      <w:r w:rsidRPr="00174820">
        <w:rPr>
          <w:rFonts w:ascii="Verdana" w:hAnsi="Verdana"/>
        </w:rPr>
        <w:t>Rrom</w:t>
      </w:r>
      <w:proofErr w:type="spellEnd"/>
    </w:p>
    <w:p w14:paraId="12524445" w14:textId="77777777" w:rsidR="00284F8D" w:rsidRDefault="00284F8D" w:rsidP="00174820">
      <w:pPr>
        <w:spacing w:line="276" w:lineRule="auto"/>
        <w:ind w:left="360"/>
        <w:jc w:val="both"/>
        <w:rPr>
          <w:rFonts w:ascii="Verdana" w:hAnsi="Verdana"/>
        </w:rPr>
      </w:pPr>
      <w:r w:rsidRPr="00284F8D">
        <w:rPr>
          <w:rFonts w:ascii="Verdana" w:hAnsi="Verdana"/>
        </w:rPr>
        <w:t xml:space="preserve">Adicionalmente, en el marco de sus competencias y en cumplimiento del Acuerdo RT3-44, Bienestar Familiar ha fortalecido, entre las vigencias 2022 - 2026, la presencia institucional y las capacidades de gobernanza del Pueblo </w:t>
      </w:r>
      <w:proofErr w:type="spellStart"/>
      <w:r w:rsidRPr="00284F8D">
        <w:rPr>
          <w:rFonts w:ascii="Verdana" w:hAnsi="Verdana"/>
        </w:rPr>
        <w:t>Rrom</w:t>
      </w:r>
      <w:proofErr w:type="spellEnd"/>
      <w:r w:rsidRPr="00284F8D">
        <w:rPr>
          <w:rFonts w:ascii="Verdana" w:hAnsi="Verdana"/>
        </w:rPr>
        <w:t xml:space="preserve"> mediante un proceso participativo, progresivo y concertado con la Comisión Nacional de Diálogo, las </w:t>
      </w:r>
      <w:proofErr w:type="spellStart"/>
      <w:r w:rsidRPr="00284F8D">
        <w:rPr>
          <w:rFonts w:ascii="Verdana" w:hAnsi="Verdana"/>
        </w:rPr>
        <w:t>Kumpañy</w:t>
      </w:r>
      <w:proofErr w:type="spellEnd"/>
      <w:r w:rsidRPr="00284F8D">
        <w:rPr>
          <w:rFonts w:ascii="Verdana" w:hAnsi="Verdana"/>
        </w:rPr>
        <w:t xml:space="preserve">, las autoridades tradicionales y los miembros del pueblo </w:t>
      </w:r>
      <w:proofErr w:type="spellStart"/>
      <w:r w:rsidRPr="00284F8D">
        <w:rPr>
          <w:rFonts w:ascii="Verdana" w:hAnsi="Verdana"/>
        </w:rPr>
        <w:t>Rrom</w:t>
      </w:r>
      <w:proofErr w:type="spellEnd"/>
      <w:r w:rsidRPr="00284F8D">
        <w:rPr>
          <w:rFonts w:ascii="Verdana" w:hAnsi="Verdana"/>
        </w:rPr>
        <w:t xml:space="preserve">. </w:t>
      </w:r>
    </w:p>
    <w:p w14:paraId="7389DB00" w14:textId="311193D1" w:rsidR="00174820" w:rsidRDefault="00284F8D" w:rsidP="00174820">
      <w:pPr>
        <w:spacing w:line="276" w:lineRule="auto"/>
        <w:ind w:left="360"/>
        <w:jc w:val="both"/>
        <w:rPr>
          <w:rFonts w:ascii="Verdana" w:hAnsi="Verdana"/>
        </w:rPr>
      </w:pPr>
      <w:r w:rsidRPr="00284F8D">
        <w:rPr>
          <w:rFonts w:ascii="Verdana" w:hAnsi="Verdana"/>
        </w:rPr>
        <w:t xml:space="preserve">Este proceso ha permitido consolidar el Capítulo Étnico de la Niñez </w:t>
      </w:r>
      <w:proofErr w:type="spellStart"/>
      <w:r w:rsidRPr="00284F8D">
        <w:rPr>
          <w:rFonts w:ascii="Verdana" w:hAnsi="Verdana"/>
        </w:rPr>
        <w:t>Rrom</w:t>
      </w:r>
      <w:proofErr w:type="spellEnd"/>
      <w:r w:rsidRPr="00284F8D">
        <w:rPr>
          <w:rFonts w:ascii="Verdana" w:hAnsi="Verdana"/>
        </w:rPr>
        <w:t xml:space="preserve"> de la Política Nacional de Infancia y Adolescencia 2018-2030 como un instrumento de política pública construido desde el reconocimiento de la autonomía, la libre determinación, el enfoque diferencial étnico y la garantía integral de los derechos de niñas, niños y adolescentes </w:t>
      </w:r>
      <w:proofErr w:type="spellStart"/>
      <w:r w:rsidRPr="00284F8D">
        <w:rPr>
          <w:rFonts w:ascii="Verdana" w:hAnsi="Verdana"/>
        </w:rPr>
        <w:t>Rrom</w:t>
      </w:r>
      <w:proofErr w:type="spellEnd"/>
      <w:r w:rsidRPr="00284F8D">
        <w:rPr>
          <w:rFonts w:ascii="Verdana" w:hAnsi="Verdana"/>
        </w:rPr>
        <w:t xml:space="preserve">. Este proceso constituye una buena práctica de gobernanza intercultural, al fortalecer la presencia del Estado a través del reconocimiento y articulación con las autoridades propias del Pueblo </w:t>
      </w:r>
      <w:proofErr w:type="spellStart"/>
      <w:r w:rsidRPr="00284F8D">
        <w:rPr>
          <w:rFonts w:ascii="Verdana" w:hAnsi="Verdana"/>
        </w:rPr>
        <w:t>Rrom</w:t>
      </w:r>
      <w:proofErr w:type="spellEnd"/>
      <w:r w:rsidRPr="00284F8D">
        <w:rPr>
          <w:rFonts w:ascii="Verdana" w:hAnsi="Verdana"/>
        </w:rPr>
        <w:t>, consolidando escenarios permanentes de concertación que contribuyen a la prevención de riesgos, la protección integral de la niñez, el fortalecimiento del tejido comunitario y la respuesta institucional coordinada en los territorios, en concordancia con la Política Nacional de Infancia y Adolescencia 2018-2030, la Ley 2328 de 2023 y los</w:t>
      </w:r>
      <w:r>
        <w:rPr>
          <w:rFonts w:ascii="Verdana" w:hAnsi="Verdana"/>
        </w:rPr>
        <w:t xml:space="preserve"> </w:t>
      </w:r>
      <w:r w:rsidRPr="00284F8D">
        <w:rPr>
          <w:rFonts w:ascii="Verdana" w:hAnsi="Verdana"/>
        </w:rPr>
        <w:t>compromisos derivados del Acuerdo RT3-44 del Plan Nacional de Desarrollo 2022-2026.</w:t>
      </w:r>
    </w:p>
    <w:p w14:paraId="63C7A6E5" w14:textId="597DEC4F" w:rsidR="00284F8D" w:rsidRDefault="00284F8D" w:rsidP="00284F8D">
      <w:pPr>
        <w:pStyle w:val="ListParagraph"/>
        <w:numPr>
          <w:ilvl w:val="0"/>
          <w:numId w:val="16"/>
        </w:numPr>
        <w:spacing w:line="276" w:lineRule="auto"/>
        <w:jc w:val="both"/>
        <w:rPr>
          <w:rFonts w:ascii="Verdana" w:hAnsi="Verdana"/>
        </w:rPr>
      </w:pPr>
      <w:r w:rsidRPr="00284F8D">
        <w:rPr>
          <w:rFonts w:ascii="Verdana" w:hAnsi="Verdana"/>
        </w:rPr>
        <w:t>Acuerdo IM-147 con los pueblos indígenas</w:t>
      </w:r>
    </w:p>
    <w:p w14:paraId="49AD13B6" w14:textId="77777777" w:rsidR="00284F8D" w:rsidRDefault="00284F8D" w:rsidP="00284F8D">
      <w:pPr>
        <w:spacing w:line="276" w:lineRule="auto"/>
        <w:ind w:left="360"/>
        <w:jc w:val="both"/>
        <w:rPr>
          <w:rFonts w:ascii="Verdana" w:hAnsi="Verdana"/>
        </w:rPr>
      </w:pPr>
      <w:r w:rsidRPr="00284F8D">
        <w:rPr>
          <w:rFonts w:ascii="Verdana" w:hAnsi="Verdana"/>
        </w:rPr>
        <w:t xml:space="preserve">El Plan Nacional de Desarrollo, Colombia Potencia Mundial de la Vida, 2022–2026 estableció el Acuerdo IM-147 para garantizar la construcción e implementación participativa del capítulo indígena de la Política Nacional de Infancia y Adolescencia 2018 - 2030, con la participación de comunidades indígenas y actores del Sistema Nacional de Bienestar Familiar (SNBF). </w:t>
      </w:r>
    </w:p>
    <w:p w14:paraId="43034B44" w14:textId="24E03DBC" w:rsidR="00284F8D" w:rsidRDefault="00284F8D" w:rsidP="00284F8D">
      <w:pPr>
        <w:spacing w:line="276" w:lineRule="auto"/>
        <w:ind w:left="360"/>
        <w:jc w:val="both"/>
        <w:rPr>
          <w:rFonts w:ascii="Verdana" w:hAnsi="Verdana"/>
        </w:rPr>
      </w:pPr>
      <w:r w:rsidRPr="00284F8D">
        <w:rPr>
          <w:rFonts w:ascii="Verdana" w:hAnsi="Verdana"/>
        </w:rPr>
        <w:t>En este camino, Bienestar Familiar, avanzó en la consolidación de la Ruta Metodológica incorporando aportes del Consejo Regional Indígena del Cauca (CRIC) y la Movimiento de Autoridades Indígenas del Sur Occidente (AISO), tras su inclusión en la Mesa Permanente de Concertación (MPC) y la Comisión Nacional de Mujeres Indígenas (CNMI). En 2024, mediante diálogos entre el Gobierno Nacional y el Gobierno Indígena, se formuló la Política Nacional de la Niñez Indígena, en el marco del derecho a la consulta previa.</w:t>
      </w:r>
    </w:p>
    <w:p w14:paraId="133AC65C" w14:textId="752FB869" w:rsidR="00DF583C" w:rsidRDefault="00DF583C" w:rsidP="00284F8D">
      <w:pPr>
        <w:spacing w:line="276" w:lineRule="auto"/>
        <w:ind w:left="360"/>
        <w:jc w:val="both"/>
        <w:rPr>
          <w:rFonts w:ascii="Verdana" w:hAnsi="Verdana"/>
        </w:rPr>
      </w:pPr>
      <w:r w:rsidRPr="00DF583C">
        <w:rPr>
          <w:rFonts w:ascii="Verdana" w:hAnsi="Verdana"/>
        </w:rPr>
        <w:lastRenderedPageBreak/>
        <w:t>Para el año 2024, en referencia al Encuentro Nacional – sesión MPC–CNMI, las autoridades indígenas avanzaron en el análisis técnico y deliberativo de los resultados del proceso de formulación de la política, sustentado en el ejercicio del derecho fundamental a la consulta previa. Como resultado, los pueblos indígenas adoptaron la decisión política de trascender la construcción de un capítulo específico dentro de una política existente, con el fin de formular y formalizar una Política Nacional de Niñez Indígena en Colombia.</w:t>
      </w:r>
    </w:p>
    <w:p w14:paraId="5DF9D359" w14:textId="5FA1CA1E" w:rsidR="00DF583C" w:rsidRDefault="00DF583C" w:rsidP="00284F8D">
      <w:pPr>
        <w:spacing w:line="276" w:lineRule="auto"/>
        <w:ind w:left="360"/>
        <w:jc w:val="both"/>
        <w:rPr>
          <w:rFonts w:ascii="Verdana" w:hAnsi="Verdana"/>
        </w:rPr>
      </w:pPr>
      <w:r w:rsidRPr="00DF583C">
        <w:rPr>
          <w:rFonts w:ascii="Verdana" w:hAnsi="Verdana"/>
        </w:rPr>
        <w:t>Posteriormente, se avanzó en la concertación y protocolización del instrumento jurídico preliminar de manera conjunta con la Comisión Nacional de Mujeres Indígenas (CNMI) y entidades públicas del orden nacional. Actualmente, la política se encuentra en fase de formalización a través de un proyecto de decreto ordinario, cuyo propósito es garantizar el goce efectivo de los derechos de la niñez indígena, desde enfoques de interculturalidad, territorialidad, autonomía y respeto por los sistemas propios de conocimiento.</w:t>
      </w:r>
    </w:p>
    <w:p w14:paraId="2EC4A512" w14:textId="77777777" w:rsidR="00DF583C" w:rsidRDefault="00DF583C" w:rsidP="00284F8D">
      <w:pPr>
        <w:spacing w:line="276" w:lineRule="auto"/>
        <w:ind w:left="360"/>
        <w:jc w:val="both"/>
        <w:rPr>
          <w:rFonts w:ascii="Verdana" w:hAnsi="Verdana"/>
        </w:rPr>
      </w:pPr>
      <w:r w:rsidRPr="00DF583C">
        <w:rPr>
          <w:rFonts w:ascii="Verdana" w:hAnsi="Verdana"/>
        </w:rPr>
        <w:t xml:space="preserve">Es importante destacar que el ejercicio de participación efectiva de las niñas, niños y adolescentes indígenas en la construcción de la Política Nacional de Niñez Indígena evidenció una perspectiva propia de los pueblos, fundamentada en su cosmovisión. Esta participación resaltó la necesidad de reconocer y salvaguardar la cultura, la ancestralidad, los saberes propios y la espiritualidad, en coherencia con el principio del Buen Vivir y el entendimiento de las niñas y los niños como “semillas de vida” dentro de sus sistemas de conocimiento propio. </w:t>
      </w:r>
    </w:p>
    <w:p w14:paraId="7B25C850" w14:textId="263733A2" w:rsidR="00DF583C" w:rsidRDefault="00DF583C" w:rsidP="00284F8D">
      <w:pPr>
        <w:spacing w:line="276" w:lineRule="auto"/>
        <w:ind w:left="360"/>
        <w:jc w:val="both"/>
        <w:rPr>
          <w:rFonts w:ascii="Verdana" w:hAnsi="Verdana"/>
        </w:rPr>
      </w:pPr>
      <w:r w:rsidRPr="00DF583C">
        <w:rPr>
          <w:rFonts w:ascii="Verdana" w:hAnsi="Verdana"/>
        </w:rPr>
        <w:t>En el marco de la implementación de la Política Nacional de Niñez Indígena, desde los servicios, estrategias y formas de atención de Bienestar Familiar, se adelantan acciones orientadas a la socialización, armonización y apropiación del proceso de Política Nacional de Niñez Indígena, con el propósito de garantizar su incorporación transversal en la gestión misional, fortaleciendo la implementación del Modelo de Enfoque Diferencial de Derechos de la entidad, principalmente en la categoría étnica indígena, intercultural y de derechos, fungiendo así como hoja de ruta para el accionar de los servicios dirigidos a la niñez indígena y sus familias.</w:t>
      </w:r>
    </w:p>
    <w:p w14:paraId="3741495D" w14:textId="77777777" w:rsidR="00DF583C" w:rsidRDefault="00DF583C" w:rsidP="00284F8D">
      <w:pPr>
        <w:spacing w:line="276" w:lineRule="auto"/>
        <w:ind w:left="360"/>
        <w:jc w:val="both"/>
        <w:rPr>
          <w:rFonts w:ascii="Verdana" w:hAnsi="Verdana"/>
        </w:rPr>
      </w:pPr>
      <w:r w:rsidRPr="00DF583C">
        <w:rPr>
          <w:rFonts w:ascii="Verdana" w:hAnsi="Verdana"/>
        </w:rPr>
        <w:t xml:space="preserve">Bienestar Familiar, a través del reconocimiento de saberes ancestrales y de la construcción colectiva con autoridades tradicionales y comunidades, promueve que el cuidado de las infancias y adolescencias se basen también en conocimientos propios y prácticas culturales, siendo así garante de derechos y respetando la identidad cultural de los pueblos indígenas. La implementación de la Política Nacional de Niñez Indígena implica que las entidades públicas fomenten procesos para preservar las lenguas, </w:t>
      </w:r>
      <w:r w:rsidRPr="00DF583C">
        <w:rPr>
          <w:rFonts w:ascii="Verdana" w:hAnsi="Verdana"/>
        </w:rPr>
        <w:lastRenderedPageBreak/>
        <w:t xml:space="preserve">tradiciones, usos y costumbres a través del reconocimiento de estas, ya que son esenciales para el desarrollo integral de la infancia y adolescencia indígena. </w:t>
      </w:r>
    </w:p>
    <w:p w14:paraId="3C7869AC" w14:textId="742B2BEE" w:rsidR="00DF583C" w:rsidRDefault="00DF583C" w:rsidP="00284F8D">
      <w:pPr>
        <w:spacing w:line="276" w:lineRule="auto"/>
        <w:ind w:left="360"/>
        <w:jc w:val="both"/>
        <w:rPr>
          <w:rFonts w:ascii="Verdana" w:hAnsi="Verdana"/>
        </w:rPr>
      </w:pPr>
      <w:r w:rsidRPr="00DF583C">
        <w:rPr>
          <w:rFonts w:ascii="Verdana" w:hAnsi="Verdana"/>
        </w:rPr>
        <w:t>En conjunto, estas acciones contribuyen a la consolidación de entornos protectores para la niñez y la adolescencia, promoviendo una respuesta institucional con enfoque territorial, diferencial e intercultural que reconoce las capacidades de las comunidades y las particularidades de los contextos afectados por la violencia, de acuerdo con el propósito de hacer efectivos los derechos a la verdad, la justicia y la reparación integral de las víctimas del conflicto armado interno.</w:t>
      </w:r>
    </w:p>
    <w:p w14:paraId="1FB4D5AE" w14:textId="77777777" w:rsidR="00A032A0" w:rsidRDefault="00A032A0" w:rsidP="00A032A0">
      <w:pPr>
        <w:spacing w:line="276" w:lineRule="auto"/>
        <w:jc w:val="both"/>
        <w:rPr>
          <w:rFonts w:ascii="Verdana" w:hAnsi="Verdana"/>
        </w:rPr>
      </w:pPr>
    </w:p>
    <w:p w14:paraId="0A6CF3AF" w14:textId="7D8D1D25" w:rsidR="00A032A0" w:rsidRDefault="00A032A0" w:rsidP="00A032A0">
      <w:pPr>
        <w:spacing w:line="276" w:lineRule="auto"/>
        <w:jc w:val="both"/>
        <w:rPr>
          <w:rFonts w:ascii="Verdana" w:hAnsi="Verdana"/>
          <w:b/>
          <w:bCs/>
        </w:rPr>
      </w:pPr>
      <w:r>
        <w:rPr>
          <w:rFonts w:ascii="Verdana" w:hAnsi="Verdana"/>
          <w:b/>
          <w:bCs/>
        </w:rPr>
        <w:t>LITERAL E</w:t>
      </w:r>
    </w:p>
    <w:p w14:paraId="18B2B8EE" w14:textId="458EF7FE" w:rsidR="00A032A0" w:rsidRDefault="00992220" w:rsidP="00A032A0">
      <w:pPr>
        <w:spacing w:line="276" w:lineRule="auto"/>
        <w:jc w:val="both"/>
        <w:rPr>
          <w:rFonts w:ascii="Verdana" w:hAnsi="Verdana"/>
          <w:b/>
          <w:bCs/>
          <w:u w:val="single"/>
        </w:rPr>
      </w:pPr>
      <w:r w:rsidRPr="00992220">
        <w:rPr>
          <w:rFonts w:ascii="Verdana" w:hAnsi="Verdana"/>
          <w:b/>
          <w:bCs/>
          <w:u w:val="single"/>
        </w:rPr>
        <w:t xml:space="preserve">Oficina del </w:t>
      </w:r>
      <w:proofErr w:type="gramStart"/>
      <w:r w:rsidRPr="00992220">
        <w:rPr>
          <w:rFonts w:ascii="Verdana" w:hAnsi="Verdana"/>
          <w:b/>
          <w:bCs/>
          <w:u w:val="single"/>
        </w:rPr>
        <w:t>Consejero</w:t>
      </w:r>
      <w:proofErr w:type="gramEnd"/>
      <w:r w:rsidRPr="00992220">
        <w:rPr>
          <w:rFonts w:ascii="Verdana" w:hAnsi="Verdana"/>
          <w:b/>
          <w:bCs/>
          <w:u w:val="single"/>
        </w:rPr>
        <w:t xml:space="preserve"> Comisionado de Paz</w:t>
      </w:r>
      <w:r w:rsidR="00110AC3">
        <w:rPr>
          <w:rFonts w:ascii="Verdana" w:hAnsi="Verdana"/>
          <w:b/>
          <w:bCs/>
          <w:u w:val="single"/>
        </w:rPr>
        <w:t xml:space="preserve"> de la Presidencia de la República</w:t>
      </w:r>
    </w:p>
    <w:p w14:paraId="371E46D4" w14:textId="2AA5539B" w:rsidR="00992220" w:rsidRDefault="00992220" w:rsidP="00A032A0">
      <w:pPr>
        <w:spacing w:line="276" w:lineRule="auto"/>
        <w:jc w:val="both"/>
        <w:rPr>
          <w:rFonts w:ascii="Verdana" w:hAnsi="Verdana"/>
        </w:rPr>
      </w:pPr>
      <w:r>
        <w:rPr>
          <w:rFonts w:ascii="Verdana" w:hAnsi="Verdana"/>
        </w:rPr>
        <w:t>E</w:t>
      </w:r>
      <w:r w:rsidRPr="00992220">
        <w:rPr>
          <w:rFonts w:ascii="Verdana" w:hAnsi="Verdana"/>
        </w:rPr>
        <w:t>s importante destacar que la Política de Paz Total, como política de Estado, en virtud de la Ley 2272 de 2022, es prioritaria y transversal a todos los asuntos públicos. Su carácter participativo, amplio, incluyente e integral abarca tanto la implementación de acuerdos como los procesos de negociación, diálogo y sometimiento a la justicia. Esta orientación permite articular esfuerzos institucionales y sociales para avanzar hacia escenarios sostenibles de paz, fortaleciendo la presencia integral del Estado, la garantía de derechos y la transformación de las condiciones estructurales.</w:t>
      </w:r>
    </w:p>
    <w:p w14:paraId="6CBDFC74" w14:textId="77777777" w:rsidR="00110AC3" w:rsidRDefault="00110AC3" w:rsidP="00A032A0">
      <w:pPr>
        <w:spacing w:line="276" w:lineRule="auto"/>
        <w:jc w:val="both"/>
        <w:rPr>
          <w:rFonts w:ascii="Verdana" w:hAnsi="Verdana"/>
        </w:rPr>
      </w:pPr>
      <w:r w:rsidRPr="00110AC3">
        <w:rPr>
          <w:rFonts w:ascii="Verdana" w:hAnsi="Verdana"/>
        </w:rPr>
        <w:t xml:space="preserve">La adopción del concepto de Seguridad Humana como eje orientador de la Política de Paz Total constituye un avance estratégico en la transformación del enfoque estatal frente a las violencias y las vulnerabilidades que afectan a las personas y los territorios. Entendida como la protección integral de las personas, la naturaleza y los seres sintientes, la Seguridad Humana coloca en el centro las libertades fundamentales y la plena realización del ser humano, articulando políticas sociales, ambientales, económicas, culturales y de fuerza pública que, de manera complementaria, garantizan las bases de la supervivencia, los medios de vida y la dignidad. </w:t>
      </w:r>
    </w:p>
    <w:p w14:paraId="2067EFC0" w14:textId="77777777" w:rsidR="00110AC3" w:rsidRDefault="00110AC3" w:rsidP="00A032A0">
      <w:pPr>
        <w:spacing w:line="276" w:lineRule="auto"/>
        <w:jc w:val="both"/>
        <w:rPr>
          <w:rFonts w:ascii="Verdana" w:hAnsi="Verdana"/>
        </w:rPr>
      </w:pPr>
      <w:r w:rsidRPr="00110AC3">
        <w:rPr>
          <w:rFonts w:ascii="Verdana" w:hAnsi="Verdana"/>
        </w:rPr>
        <w:t>Este enfoque permite al Estado responder de forma más coherente y multidimensional a los riesgos contemporáneos, fortaleciendo la</w:t>
      </w:r>
      <w:r>
        <w:rPr>
          <w:rFonts w:ascii="Verdana" w:hAnsi="Verdana"/>
        </w:rPr>
        <w:t xml:space="preserve"> </w:t>
      </w:r>
      <w:r w:rsidRPr="00110AC3">
        <w:rPr>
          <w:rFonts w:ascii="Verdana" w:hAnsi="Verdana"/>
        </w:rPr>
        <w:t xml:space="preserve">prevención, la protección y la construcción de paz desde una perspectiva territorial, diferencial y de derechos. </w:t>
      </w:r>
    </w:p>
    <w:p w14:paraId="5B9FBD95" w14:textId="36601DE7" w:rsidR="00110AC3" w:rsidRDefault="00110AC3" w:rsidP="00A032A0">
      <w:pPr>
        <w:spacing w:line="276" w:lineRule="auto"/>
        <w:jc w:val="both"/>
        <w:rPr>
          <w:rFonts w:ascii="Verdana" w:hAnsi="Verdana"/>
        </w:rPr>
      </w:pPr>
      <w:r w:rsidRPr="00110AC3">
        <w:rPr>
          <w:rFonts w:ascii="Verdana" w:hAnsi="Verdana"/>
        </w:rPr>
        <w:t xml:space="preserve">Bajo estas premisas, la Consejería Comisionada de Paz avanza de manera sostenida en las Mesas de Diálogo de Paz y en los Espacios de Conversación </w:t>
      </w:r>
      <w:proofErr w:type="spellStart"/>
      <w:r w:rsidRPr="00110AC3">
        <w:rPr>
          <w:rFonts w:ascii="Verdana" w:hAnsi="Verdana"/>
        </w:rPr>
        <w:lastRenderedPageBreak/>
        <w:t>Sociojurídicos</w:t>
      </w:r>
      <w:proofErr w:type="spellEnd"/>
      <w:r w:rsidRPr="00110AC3">
        <w:rPr>
          <w:rFonts w:ascii="Verdana" w:hAnsi="Verdana"/>
        </w:rPr>
        <w:t xml:space="preserve"> con grupos armados al margen de la ley y estructuras armadas organizadas de crimen de alto impacto – EAOCAI -, desarrollando una estrategia integral que combina diálogo, verificación, protección y presencia estatal en los territorios. A la fecha, el Estado colombiano adelanta ocho procesos formales, cada uno con metodologías diferenciadas y mecanismos de seguimiento que permiten ordenar las dinámicas de interlocución, reducir riesgos humanitarios y abrir rutas de transición hacia la legalidad.</w:t>
      </w:r>
    </w:p>
    <w:p w14:paraId="3746B279" w14:textId="1E6E48C0" w:rsidR="000A3AC2" w:rsidRDefault="000A3AC2" w:rsidP="00A032A0">
      <w:pPr>
        <w:spacing w:line="276" w:lineRule="auto"/>
        <w:jc w:val="both"/>
        <w:rPr>
          <w:rFonts w:ascii="Verdana" w:hAnsi="Verdana"/>
        </w:rPr>
      </w:pPr>
      <w:r w:rsidRPr="000A3AC2">
        <w:rPr>
          <w:rFonts w:ascii="Verdana" w:hAnsi="Verdana"/>
        </w:rPr>
        <w:t xml:space="preserve">Es pertinente recordar que la Política de Paz Total plantea, para su desarrollo, un enfoque triangular que privilegia tres dimensiones fundamentales: i) las transformaciones territoriales orientadas al cierre de brechas y al fortalecimiento institucional; </w:t>
      </w:r>
      <w:proofErr w:type="spellStart"/>
      <w:r w:rsidRPr="000A3AC2">
        <w:rPr>
          <w:rFonts w:ascii="Verdana" w:hAnsi="Verdana"/>
        </w:rPr>
        <w:t>ii</w:t>
      </w:r>
      <w:proofErr w:type="spellEnd"/>
      <w:r w:rsidRPr="000A3AC2">
        <w:rPr>
          <w:rFonts w:ascii="Verdana" w:hAnsi="Verdana"/>
        </w:rPr>
        <w:t xml:space="preserve">) el </w:t>
      </w:r>
      <w:proofErr w:type="spellStart"/>
      <w:r w:rsidRPr="000A3AC2">
        <w:rPr>
          <w:rFonts w:ascii="Verdana" w:hAnsi="Verdana"/>
        </w:rPr>
        <w:t>desescalamiento</w:t>
      </w:r>
      <w:proofErr w:type="spellEnd"/>
      <w:r w:rsidRPr="000A3AC2">
        <w:rPr>
          <w:rFonts w:ascii="Verdana" w:hAnsi="Verdana"/>
        </w:rPr>
        <w:t xml:space="preserve"> progresivo de las violencias que afectan a las comunidades; y </w:t>
      </w:r>
      <w:proofErr w:type="spellStart"/>
      <w:r w:rsidRPr="000A3AC2">
        <w:rPr>
          <w:rFonts w:ascii="Verdana" w:hAnsi="Verdana"/>
        </w:rPr>
        <w:t>iii</w:t>
      </w:r>
      <w:proofErr w:type="spellEnd"/>
      <w:r w:rsidRPr="000A3AC2">
        <w:rPr>
          <w:rFonts w:ascii="Verdana" w:hAnsi="Verdana"/>
        </w:rPr>
        <w:t>) el tránsito de los integrantes de los grupos armados ilegales hacia una condición de ciudadanía plena, en el marco de garantías jurídicas, sociales y económicas que permitan su reincorporación efectiva a la vida civil.</w:t>
      </w:r>
    </w:p>
    <w:p w14:paraId="38F74FDA" w14:textId="7B4B0AEB" w:rsidR="000A3AC2" w:rsidRDefault="000A3AC2" w:rsidP="00A032A0">
      <w:pPr>
        <w:spacing w:line="276" w:lineRule="auto"/>
        <w:jc w:val="both"/>
        <w:rPr>
          <w:rFonts w:ascii="Verdana" w:hAnsi="Verdana"/>
        </w:rPr>
      </w:pPr>
      <w:r w:rsidRPr="000A3AC2">
        <w:rPr>
          <w:rFonts w:ascii="Verdana" w:hAnsi="Verdana"/>
        </w:rPr>
        <w:t>Lo anterior ha permitido consolidar avances sustantivos en la reducción de violencias y en la construcción de condiciones para una paz territorial; la instalación de mecanismos de verificación con acompañamiento internacional4; el establecimiento de siete Zonas de Ubicación Temporal que ordenan y monitorean la transición hacia la ciudadanía plena de los integrantes de estos grupos, una de las cuales, en Putumayo, está activa y concentra 99 miembros de la Coordinadora Nacional Ejército Bolivariano; el fortalecimiento de la presencia estatal en territorios históricamente afectados por economías ilícitas; y la implementación de acciones de protección para comunidades, mujeres, niños, niñas y adolescentes. Estos logros, producto del eje de Transformaciones Territoriales-, sensible a los enfoques étnico, etarios y de género</w:t>
      </w:r>
      <w:proofErr w:type="gramStart"/>
      <w:r w:rsidRPr="000A3AC2">
        <w:rPr>
          <w:rFonts w:ascii="Verdana" w:hAnsi="Verdana"/>
        </w:rPr>
        <w:t>, ,</w:t>
      </w:r>
      <w:proofErr w:type="gramEnd"/>
      <w:r w:rsidRPr="000A3AC2">
        <w:rPr>
          <w:rFonts w:ascii="Verdana" w:hAnsi="Verdana"/>
        </w:rPr>
        <w:t xml:space="preserve"> han permitido avanzar en la desescalada de la violencia, mejorar las condiciones humanitarias y consolidar la confianza institucional, posicionando a Colombia como un referente global en la búsqueda de soluciones negociadas y transformadoras a conflictos complejos.</w:t>
      </w:r>
    </w:p>
    <w:p w14:paraId="69C4A355" w14:textId="4AE9F07E" w:rsidR="00292AC7" w:rsidRDefault="00292AC7" w:rsidP="00A032A0">
      <w:pPr>
        <w:spacing w:line="276" w:lineRule="auto"/>
        <w:jc w:val="both"/>
        <w:rPr>
          <w:rFonts w:ascii="Verdana" w:hAnsi="Verdana"/>
        </w:rPr>
      </w:pPr>
      <w:r>
        <w:rPr>
          <w:rFonts w:ascii="Verdana" w:hAnsi="Verdana"/>
        </w:rPr>
        <w:t>Es</w:t>
      </w:r>
      <w:r w:rsidRPr="00292AC7">
        <w:rPr>
          <w:rFonts w:ascii="Verdana" w:hAnsi="Verdana"/>
        </w:rPr>
        <w:t xml:space="preserve"> de destacar que la </w:t>
      </w:r>
      <w:r>
        <w:rPr>
          <w:rFonts w:ascii="Verdana" w:hAnsi="Verdana"/>
        </w:rPr>
        <w:t>Le</w:t>
      </w:r>
      <w:r w:rsidRPr="00292AC7">
        <w:rPr>
          <w:rFonts w:ascii="Verdana" w:hAnsi="Verdana"/>
        </w:rPr>
        <w:t xml:space="preserve">y 2272 de 2022, enfatiza el propósito de las garantías de no repetición y condiciones de seguridad para todos los colombianos. Esta política establece estándares que eviten la impunidad y garanticen, en el mayor nivel posible, los derechos de las víctimas a la verdad, la justicia y la reparación. Por tanto, para materializar la finalidad de la Ley, uno de los principios centrales es la participación de las víctimas, en especial de las poblaciones en situación de vulnerabilidad. En este sentido, el Estado, a través de la Consejería Comisionada para la Paz y bajo el principio de articulación interinstitucional, avanza en la </w:t>
      </w:r>
      <w:r w:rsidRPr="00292AC7">
        <w:rPr>
          <w:rFonts w:ascii="Verdana" w:hAnsi="Verdana"/>
        </w:rPr>
        <w:lastRenderedPageBreak/>
        <w:t>implementación de dos estrategias significativas orientadas a impulsar transformaciones territoriales de fondo, a saber:</w:t>
      </w:r>
    </w:p>
    <w:p w14:paraId="7C692952" w14:textId="5DF48F2D" w:rsidR="00D7496C" w:rsidRDefault="00D7496C" w:rsidP="00D7496C">
      <w:pPr>
        <w:pStyle w:val="ListParagraph"/>
        <w:numPr>
          <w:ilvl w:val="0"/>
          <w:numId w:val="20"/>
        </w:numPr>
        <w:spacing w:line="276" w:lineRule="auto"/>
        <w:jc w:val="both"/>
        <w:rPr>
          <w:rFonts w:ascii="Verdana" w:hAnsi="Verdana"/>
        </w:rPr>
      </w:pPr>
      <w:r w:rsidRPr="00D7496C">
        <w:rPr>
          <w:rFonts w:ascii="Verdana" w:hAnsi="Verdana"/>
        </w:rPr>
        <w:t>La Estrategia para la Feminización de la Paz, que, reconoce el papel fundamental que desempeñan las mujeres en su rol como (lideresas, integrantes de organizaciones sociales, representantes de autoridades locales y actores comunitarios) en la construcción de entornos de paz, reconciliación y transformación social. Esta estrategia contribuye de manera significativa a la protección de la población civil, a la prevención de afectaciones diferenciadas que enfrentan las mujeres en contextos de conflicto y a la promoción de prácticas humanitarias en los territorios. En este sentido, la Feminización de la Paz se articula como un enfoque transversal que fortalece la incorporación de principios humanitarios en las acciones territoriales, al tiempo que visibiliza las necesidades, experiencias y aportes de las mujeres en escenarios de construcción de paz. Su implementación permite avanzar hacia intervenciones más sensibles al género y más coherentes con los estándares internacionales que orientan la acción del Estado en contextos de conflicto.</w:t>
      </w:r>
    </w:p>
    <w:p w14:paraId="1FA6973D" w14:textId="77777777" w:rsidR="001B1C7D" w:rsidRDefault="00D7496C" w:rsidP="00D7496C">
      <w:pPr>
        <w:pStyle w:val="ListParagraph"/>
        <w:numPr>
          <w:ilvl w:val="0"/>
          <w:numId w:val="20"/>
        </w:numPr>
        <w:spacing w:line="276" w:lineRule="auto"/>
        <w:jc w:val="both"/>
        <w:rPr>
          <w:rFonts w:ascii="Verdana" w:hAnsi="Verdana"/>
        </w:rPr>
      </w:pPr>
      <w:r w:rsidRPr="00D7496C">
        <w:rPr>
          <w:rFonts w:ascii="Verdana" w:hAnsi="Verdana"/>
        </w:rPr>
        <w:t>Estrategia denominada “Primer Piso de la Paz: Niños, Niñas y Adolescentes”: orientada a fortalecer la garantía integral de los derechos de las niñeces y adolescencias en el país. Esta iniciativa parte del principio de que cualquier construcción de paz duradera, sostenible y con enfoque territorial debe</w:t>
      </w:r>
      <w:r>
        <w:rPr>
          <w:rFonts w:ascii="Verdana" w:hAnsi="Verdana"/>
        </w:rPr>
        <w:t xml:space="preserve"> </w:t>
      </w:r>
      <w:r w:rsidRPr="00D7496C">
        <w:rPr>
          <w:rFonts w:ascii="Verdana" w:hAnsi="Verdana"/>
        </w:rPr>
        <w:t>Estrategia denominada “Primer Piso de la Paz: Niños, Niñas y Adolescentes”: orientada a fortalecer la garantía integral de los derechos de las niñeces y adolescencias en el país. Esta iniciativa parte del principio de que cualquier construcción de paz duradera, sostenible y con enfoque territorial debe</w:t>
      </w:r>
      <w:r w:rsidR="001B1C7D">
        <w:rPr>
          <w:rFonts w:ascii="Verdana" w:hAnsi="Verdana"/>
        </w:rPr>
        <w:t xml:space="preserve"> </w:t>
      </w:r>
      <w:r w:rsidR="001B1C7D" w:rsidRPr="001B1C7D">
        <w:rPr>
          <w:rFonts w:ascii="Verdana" w:hAnsi="Verdana"/>
        </w:rPr>
        <w:t xml:space="preserve">comenzar por quienes representan el presente y el futuro de las comunidades: los niños, niñas y adolescentes. </w:t>
      </w:r>
    </w:p>
    <w:p w14:paraId="30430904" w14:textId="77777777" w:rsidR="001B1C7D" w:rsidRDefault="001B1C7D" w:rsidP="001B1C7D">
      <w:pPr>
        <w:pStyle w:val="ListParagraph"/>
        <w:spacing w:line="276" w:lineRule="auto"/>
        <w:jc w:val="both"/>
        <w:rPr>
          <w:rFonts w:ascii="Verdana" w:hAnsi="Verdana"/>
        </w:rPr>
      </w:pPr>
      <w:r w:rsidRPr="001B1C7D">
        <w:rPr>
          <w:rFonts w:ascii="Verdana" w:hAnsi="Verdana"/>
        </w:rPr>
        <w:t xml:space="preserve">En este sentido, el “primer piso” se concibe como el cimiento fundamental sobre el cual debe edificarse una sociedad pacífica, igualitaria y equitativa. La estrategia busca consolidar entornos protectores, prevenir vulneraciones, promover oportunidades de desarrollo y asegurar que las instituciones del Estado actúen de manera coordinada para garantizar que las niñeces y adolescencias crezcan en condiciones de dignidad, seguridad y bienestar. Con ello, se reafirma que la paz no solo es un objetivo político, sino un proceso social que debe comenzar desde las bases mismas de la vida comunitaria. </w:t>
      </w:r>
    </w:p>
    <w:p w14:paraId="173EE1C5" w14:textId="77777777" w:rsidR="001B1C7D" w:rsidRDefault="001B1C7D" w:rsidP="001B1C7D">
      <w:pPr>
        <w:pStyle w:val="ListParagraph"/>
        <w:spacing w:line="276" w:lineRule="auto"/>
        <w:jc w:val="both"/>
        <w:rPr>
          <w:rFonts w:ascii="Verdana" w:hAnsi="Verdana"/>
        </w:rPr>
      </w:pPr>
      <w:r w:rsidRPr="001B1C7D">
        <w:rPr>
          <w:rFonts w:ascii="Verdana" w:hAnsi="Verdana"/>
        </w:rPr>
        <w:t>Las acciones contempladas en esta estrategia se estructuran en cuatro ejes fundamentales, definidos a partir de las realidades y necesidades específicas de los territorios:</w:t>
      </w:r>
    </w:p>
    <w:p w14:paraId="486B2046" w14:textId="77777777" w:rsidR="001B1C7D" w:rsidRDefault="00D7496C" w:rsidP="001B1C7D">
      <w:pPr>
        <w:pStyle w:val="ListParagraph"/>
        <w:spacing w:line="276" w:lineRule="auto"/>
        <w:jc w:val="both"/>
        <w:rPr>
          <w:rFonts w:ascii="Verdana" w:hAnsi="Verdana"/>
        </w:rPr>
      </w:pPr>
      <w:r w:rsidRPr="001B1C7D">
        <w:rPr>
          <w:rFonts w:ascii="Verdana" w:hAnsi="Verdana"/>
        </w:rPr>
        <w:lastRenderedPageBreak/>
        <w:t xml:space="preserve">EJE 1. Escuela como entorno protector: Las instituciones educativas deben ser un espacio seguro, garante de derechos y promotor del desarrollo integral de niñas, niños y adolescentes. </w:t>
      </w:r>
    </w:p>
    <w:p w14:paraId="3B0CF130" w14:textId="77777777" w:rsidR="001B1C7D" w:rsidRDefault="001B1C7D" w:rsidP="001B1C7D">
      <w:pPr>
        <w:pStyle w:val="ListParagraph"/>
        <w:spacing w:line="276" w:lineRule="auto"/>
        <w:jc w:val="both"/>
        <w:rPr>
          <w:rFonts w:ascii="Verdana" w:hAnsi="Verdana"/>
        </w:rPr>
      </w:pPr>
    </w:p>
    <w:p w14:paraId="260362DD" w14:textId="77777777" w:rsidR="001B1C7D" w:rsidRDefault="00D7496C" w:rsidP="001B1C7D">
      <w:pPr>
        <w:pStyle w:val="ListParagraph"/>
        <w:spacing w:line="276" w:lineRule="auto"/>
        <w:jc w:val="both"/>
        <w:rPr>
          <w:rFonts w:ascii="Verdana" w:hAnsi="Verdana"/>
        </w:rPr>
      </w:pPr>
      <w:r w:rsidRPr="001B1C7D">
        <w:rPr>
          <w:rFonts w:ascii="Verdana" w:hAnsi="Verdana"/>
        </w:rPr>
        <w:t xml:space="preserve">EJE 2. Familia y Comunidad como entornos protectores: Este eje reconoce que la construcción de paz no solo es responsabilidad del Estado en los acuerdos políticos que se realicen con los grupos armados, sino en los espacios cotidianos donde se transforman historias, se forman valores, relaciones y confianza: el hogar y el entorno comunitario. </w:t>
      </w:r>
    </w:p>
    <w:p w14:paraId="3EDF5D9D" w14:textId="77777777" w:rsidR="001B1C7D" w:rsidRDefault="001B1C7D" w:rsidP="001B1C7D">
      <w:pPr>
        <w:pStyle w:val="ListParagraph"/>
        <w:spacing w:line="276" w:lineRule="auto"/>
        <w:jc w:val="both"/>
        <w:rPr>
          <w:rFonts w:ascii="Verdana" w:hAnsi="Verdana"/>
        </w:rPr>
      </w:pPr>
    </w:p>
    <w:p w14:paraId="064F40CF" w14:textId="77777777" w:rsidR="001B1C7D" w:rsidRDefault="00D7496C" w:rsidP="001B1C7D">
      <w:pPr>
        <w:pStyle w:val="ListParagraph"/>
        <w:spacing w:line="276" w:lineRule="auto"/>
        <w:jc w:val="both"/>
        <w:rPr>
          <w:rFonts w:ascii="Verdana" w:hAnsi="Verdana"/>
        </w:rPr>
      </w:pPr>
      <w:r w:rsidRPr="001B1C7D">
        <w:rPr>
          <w:rFonts w:ascii="Verdana" w:hAnsi="Verdana"/>
        </w:rPr>
        <w:t xml:space="preserve">EJE 3. Paz territorial: Este eje es fundamental porque permiten abordar el reclutamiento no solo como una consecuencia de la guerra, sino como una violación sistemática de derechos que debe detenerse de forma prioritaria y negociada. </w:t>
      </w:r>
    </w:p>
    <w:p w14:paraId="2DA99855" w14:textId="77777777" w:rsidR="001B1C7D" w:rsidRDefault="001B1C7D" w:rsidP="001B1C7D">
      <w:pPr>
        <w:pStyle w:val="ListParagraph"/>
        <w:spacing w:line="276" w:lineRule="auto"/>
        <w:jc w:val="both"/>
        <w:rPr>
          <w:rFonts w:ascii="Verdana" w:hAnsi="Verdana"/>
        </w:rPr>
      </w:pPr>
    </w:p>
    <w:p w14:paraId="28458944" w14:textId="1A4524FE" w:rsidR="00D14B69" w:rsidRDefault="00D7496C" w:rsidP="00C33296">
      <w:pPr>
        <w:pStyle w:val="ListParagraph"/>
        <w:spacing w:line="276" w:lineRule="auto"/>
        <w:jc w:val="both"/>
        <w:rPr>
          <w:rFonts w:ascii="Verdana" w:hAnsi="Verdana"/>
        </w:rPr>
      </w:pPr>
      <w:r w:rsidRPr="001B1C7D">
        <w:rPr>
          <w:rFonts w:ascii="Verdana" w:hAnsi="Verdana"/>
        </w:rPr>
        <w:t>EJE 4. Estrategia Comunicativa: Este eje es el "megáfono" que amplifica los entornos protectores. No se trata solo de dar información, sino de cambiar la narrativa en territorios donde los grupos armados suelen presentarse como la única opción de vida.</w:t>
      </w:r>
    </w:p>
    <w:p w14:paraId="686305F8" w14:textId="7CF18B76" w:rsidR="00D14B69" w:rsidRDefault="00D14B69" w:rsidP="00D14B69">
      <w:pPr>
        <w:spacing w:line="276" w:lineRule="auto"/>
        <w:jc w:val="both"/>
        <w:rPr>
          <w:rFonts w:ascii="Verdana" w:hAnsi="Verdana"/>
        </w:rPr>
      </w:pPr>
      <w:r w:rsidRPr="00D14B69">
        <w:rPr>
          <w:rFonts w:ascii="Verdana" w:hAnsi="Verdana"/>
        </w:rPr>
        <w:t>A lo anterior se suman acciones respaldadas jurídicamente por la Resolución 1325 del Consejo de Seguridad de la ONU y por hitos nacionales como el Auto 092 de 2008, que reconoce los riesgos diferenciados que enfrentan las mujeres en el conflicto armado y ordena al Estado adoptar medidas de protección reforzada para garantizar sus derechos. Entre estas destacamos:</w:t>
      </w:r>
    </w:p>
    <w:p w14:paraId="1E8FB836" w14:textId="77777777" w:rsidR="006912B4" w:rsidRDefault="00D14B69" w:rsidP="00D14B69">
      <w:pPr>
        <w:pStyle w:val="ListParagraph"/>
        <w:numPr>
          <w:ilvl w:val="0"/>
          <w:numId w:val="21"/>
        </w:numPr>
        <w:spacing w:line="276" w:lineRule="auto"/>
        <w:jc w:val="both"/>
        <w:rPr>
          <w:rFonts w:ascii="Verdana" w:hAnsi="Verdana"/>
        </w:rPr>
      </w:pPr>
      <w:r w:rsidRPr="00D14B69">
        <w:rPr>
          <w:rFonts w:ascii="Verdana" w:hAnsi="Verdana"/>
        </w:rPr>
        <w:t>Redes de Paz Urbana (Quibdó y Buenaventura): Organizaciones que articulan respuestas frente al racismo estructural y la exclusión,</w:t>
      </w:r>
      <w:r w:rsidR="006912B4">
        <w:rPr>
          <w:rFonts w:ascii="Verdana" w:hAnsi="Verdana"/>
        </w:rPr>
        <w:t xml:space="preserve"> </w:t>
      </w:r>
      <w:r w:rsidR="006912B4" w:rsidRPr="006912B4">
        <w:rPr>
          <w:rFonts w:ascii="Verdana" w:hAnsi="Verdana"/>
        </w:rPr>
        <w:t xml:space="preserve">permitiendo movilizaciones de agendas de paz en entornos de alta conflictividad. </w:t>
      </w:r>
    </w:p>
    <w:p w14:paraId="3BE4E087" w14:textId="77777777" w:rsidR="006912B4" w:rsidRDefault="006912B4" w:rsidP="00D14B69">
      <w:pPr>
        <w:pStyle w:val="ListParagraph"/>
        <w:numPr>
          <w:ilvl w:val="0"/>
          <w:numId w:val="21"/>
        </w:numPr>
        <w:spacing w:line="276" w:lineRule="auto"/>
        <w:jc w:val="both"/>
        <w:rPr>
          <w:rFonts w:ascii="Verdana" w:hAnsi="Verdana"/>
        </w:rPr>
      </w:pPr>
      <w:r w:rsidRPr="006912B4">
        <w:rPr>
          <w:rFonts w:ascii="Verdana" w:hAnsi="Verdana"/>
        </w:rPr>
        <w:t xml:space="preserve">Mujeres Buscadoras (Nariño): Iniciativas donde la búsqueda de personas desaparecidas se convierte en una herramienta de verdad y justicia reparadora. </w:t>
      </w:r>
    </w:p>
    <w:p w14:paraId="15C4D673" w14:textId="77777777" w:rsidR="006912B4" w:rsidRDefault="006912B4" w:rsidP="00D14B69">
      <w:pPr>
        <w:pStyle w:val="ListParagraph"/>
        <w:numPr>
          <w:ilvl w:val="0"/>
          <w:numId w:val="21"/>
        </w:numPr>
        <w:spacing w:line="276" w:lineRule="auto"/>
        <w:jc w:val="both"/>
        <w:rPr>
          <w:rFonts w:ascii="Verdana" w:hAnsi="Verdana"/>
        </w:rPr>
      </w:pPr>
      <w:r w:rsidRPr="006912B4">
        <w:rPr>
          <w:rFonts w:ascii="Verdana" w:hAnsi="Verdana"/>
        </w:rPr>
        <w:t xml:space="preserve">Mesas de Diálogo Territorial (Antioquia): Espacios donde las agendas de las mujeres centran la discusión en la justicia social y la reparación colectiva. </w:t>
      </w:r>
    </w:p>
    <w:p w14:paraId="3D81B872" w14:textId="34B16D8F" w:rsidR="00D14B69" w:rsidRDefault="006912B4" w:rsidP="00D14B69">
      <w:pPr>
        <w:pStyle w:val="ListParagraph"/>
        <w:numPr>
          <w:ilvl w:val="0"/>
          <w:numId w:val="21"/>
        </w:numPr>
        <w:spacing w:line="276" w:lineRule="auto"/>
        <w:jc w:val="both"/>
        <w:rPr>
          <w:rFonts w:ascii="Verdana" w:hAnsi="Verdana"/>
        </w:rPr>
      </w:pPr>
      <w:r w:rsidRPr="006912B4">
        <w:rPr>
          <w:rFonts w:ascii="Verdana" w:hAnsi="Verdana"/>
        </w:rPr>
        <w:t>Economías de Vida (Puerto Asís y zonas rurales): Proyectos de bioeconomía y restauración ecosistémica que otorgan autonomía económica, permitiendo que las mujeres tengan los recursos materiales para salir de ciclos de violencia.</w:t>
      </w:r>
    </w:p>
    <w:p w14:paraId="37E1A38B" w14:textId="77777777" w:rsidR="006912B4" w:rsidRDefault="006912B4" w:rsidP="006912B4">
      <w:pPr>
        <w:spacing w:line="276" w:lineRule="auto"/>
        <w:jc w:val="both"/>
        <w:rPr>
          <w:rFonts w:ascii="Verdana" w:hAnsi="Verdana"/>
        </w:rPr>
      </w:pPr>
      <w:r w:rsidRPr="006912B4">
        <w:rPr>
          <w:rFonts w:ascii="Verdana" w:hAnsi="Verdana"/>
        </w:rPr>
        <w:t xml:space="preserve">Finalmente, la participación incluye avances en la formulación y adopción de Protocolos de Participación, entre ellos aquellos orientados a garantizar la </w:t>
      </w:r>
      <w:r w:rsidRPr="006912B4">
        <w:rPr>
          <w:rFonts w:ascii="Verdana" w:hAnsi="Verdana"/>
        </w:rPr>
        <w:lastRenderedPageBreak/>
        <w:t xml:space="preserve">intervención efectiva de las comunidades étnicas y de las mujeres. Estos instrumentos fortalecen los mecanismos de diálogo, consulta e incidencia, y permiten consolidar procesos más inclusivos y representativos en los territorios. </w:t>
      </w:r>
    </w:p>
    <w:p w14:paraId="7E1F188F" w14:textId="3EB16E4F" w:rsidR="006912B4" w:rsidRPr="006912B4" w:rsidRDefault="006912B4" w:rsidP="006912B4">
      <w:pPr>
        <w:spacing w:line="276" w:lineRule="auto"/>
        <w:jc w:val="both"/>
        <w:rPr>
          <w:rFonts w:ascii="Verdana" w:hAnsi="Verdana"/>
        </w:rPr>
      </w:pPr>
      <w:r w:rsidRPr="006912B4">
        <w:rPr>
          <w:rFonts w:ascii="Verdana" w:hAnsi="Verdana"/>
        </w:rPr>
        <w:t>En esta línea, se destaca el caso de Buenaventura, en el que, las mujeres desempeñan un papel fundamental en los procesos de participación y construcción de paz territorial. Su liderazgo ha sido determinante para impulsar agendas comunitarias, fortalecer los espacios de diálogo y promover transformaciones sociales sostenibles. Estos avances se articulan con los lineamientos de la OCCP, que reconoce la necesidad de garantizar la participación efectiva de las mujeres en todos los niveles de decisión, especialmente en contextos afectados por dinámicas de violencia y conflictividad.</w:t>
      </w:r>
    </w:p>
    <w:p w14:paraId="2B866611" w14:textId="77777777" w:rsidR="00A032A0" w:rsidRPr="00284F8D" w:rsidRDefault="00A032A0" w:rsidP="00A032A0">
      <w:pPr>
        <w:spacing w:line="276" w:lineRule="auto"/>
        <w:jc w:val="both"/>
        <w:rPr>
          <w:rFonts w:ascii="Verdana" w:hAnsi="Verdana"/>
        </w:rPr>
      </w:pPr>
    </w:p>
    <w:p w14:paraId="1EE59201" w14:textId="7D68210E" w:rsidR="00E1127F" w:rsidRPr="00035A6A" w:rsidRDefault="00E1127F" w:rsidP="00035A6A">
      <w:pPr>
        <w:shd w:val="clear" w:color="auto" w:fill="153D63" w:themeFill="text2" w:themeFillTint="E6"/>
        <w:autoSpaceDE w:val="0"/>
        <w:autoSpaceDN w:val="0"/>
        <w:adjustRightInd w:val="0"/>
        <w:spacing w:after="0" w:line="240" w:lineRule="auto"/>
        <w:jc w:val="center"/>
        <w:rPr>
          <w:rFonts w:ascii="Verdana" w:hAnsi="Verdana" w:cs="TimesNewRomanPSMT"/>
          <w:b/>
          <w:bCs/>
          <w:kern w:val="0"/>
          <w:sz w:val="24"/>
          <w:szCs w:val="24"/>
          <w:lang w:val="es-ES"/>
          <w14:ligatures w14:val="none"/>
        </w:rPr>
      </w:pPr>
      <w:r w:rsidRPr="00035A6A">
        <w:rPr>
          <w:rFonts w:ascii="Verdana" w:hAnsi="Verdana" w:cs="TimesNewRomanPSMT"/>
          <w:b/>
          <w:bCs/>
          <w:kern w:val="0"/>
          <w:sz w:val="24"/>
          <w:szCs w:val="24"/>
          <w:lang w:val="es-ES"/>
          <w14:ligatures w14:val="none"/>
        </w:rPr>
        <w:t>ELIMINACIÓN DEL TRABAJO FORZOSO Y LA TRATA DE PERSONAS</w:t>
      </w:r>
    </w:p>
    <w:p w14:paraId="0643E4C8" w14:textId="77777777" w:rsidR="00035A6A" w:rsidRDefault="00035A6A" w:rsidP="00E1127F">
      <w:pPr>
        <w:spacing w:line="276" w:lineRule="auto"/>
        <w:jc w:val="both"/>
        <w:rPr>
          <w:rFonts w:ascii="Verdana" w:hAnsi="Verdana"/>
        </w:rPr>
      </w:pPr>
    </w:p>
    <w:p w14:paraId="0705BF07" w14:textId="0D2602BE" w:rsidR="00E1127F" w:rsidRDefault="00794FFE" w:rsidP="00E1127F">
      <w:pPr>
        <w:spacing w:line="276" w:lineRule="auto"/>
        <w:jc w:val="both"/>
        <w:rPr>
          <w:rFonts w:ascii="Verdana" w:hAnsi="Verdana"/>
        </w:rPr>
      </w:pPr>
      <w:r>
        <w:rPr>
          <w:rFonts w:ascii="Verdana" w:hAnsi="Verdana"/>
        </w:rPr>
        <w:t>En la</w:t>
      </w:r>
      <w:r w:rsidR="00E1127F">
        <w:rPr>
          <w:rFonts w:ascii="Verdana" w:hAnsi="Verdana"/>
        </w:rPr>
        <w:t xml:space="preserve"> recomendación No. 25</w:t>
      </w:r>
      <w:r w:rsidR="005C168F">
        <w:rPr>
          <w:rFonts w:ascii="Verdana" w:hAnsi="Verdana"/>
        </w:rPr>
        <w:t xml:space="preserve"> de las Observaciones Finales formuladas por el Comité de Derechos Humanos</w:t>
      </w:r>
      <w:r>
        <w:rPr>
          <w:rFonts w:ascii="Verdana" w:hAnsi="Verdana"/>
        </w:rPr>
        <w:t>, se</w:t>
      </w:r>
      <w:r w:rsidR="00E1127F">
        <w:rPr>
          <w:rFonts w:ascii="Verdana" w:hAnsi="Verdana"/>
        </w:rPr>
        <w:t xml:space="preserve"> precisa </w:t>
      </w:r>
      <w:r>
        <w:rPr>
          <w:rFonts w:ascii="Verdana" w:hAnsi="Verdana"/>
        </w:rPr>
        <w:t>lo siguiente</w:t>
      </w:r>
      <w:r w:rsidR="00E1127F">
        <w:rPr>
          <w:rFonts w:ascii="Verdana" w:hAnsi="Verdana"/>
        </w:rPr>
        <w:t xml:space="preserve">: </w:t>
      </w:r>
    </w:p>
    <w:p w14:paraId="134A9897" w14:textId="3792E30D" w:rsidR="00A00020" w:rsidRDefault="00A00020" w:rsidP="00A00020">
      <w:pPr>
        <w:spacing w:line="276" w:lineRule="auto"/>
        <w:ind w:left="708"/>
        <w:jc w:val="both"/>
        <w:rPr>
          <w:rFonts w:ascii="Verdana" w:hAnsi="Verdana"/>
          <w:i/>
          <w:iCs/>
        </w:rPr>
      </w:pPr>
      <w:r>
        <w:rPr>
          <w:rFonts w:ascii="Verdana" w:hAnsi="Verdana"/>
          <w:i/>
          <w:iCs/>
        </w:rPr>
        <w:t xml:space="preserve">25. </w:t>
      </w:r>
      <w:r w:rsidRPr="00A00020">
        <w:rPr>
          <w:rFonts w:ascii="Verdana" w:hAnsi="Verdana"/>
          <w:i/>
          <w:iCs/>
        </w:rPr>
        <w:t>Recordando las recomendaciones anteriores del Comité</w:t>
      </w:r>
      <w:r w:rsidR="00EC097A">
        <w:rPr>
          <w:rStyle w:val="FootnoteReference"/>
          <w:rFonts w:ascii="Verdana" w:hAnsi="Verdana"/>
          <w:i/>
          <w:iCs/>
        </w:rPr>
        <w:footnoteReference w:id="4"/>
      </w:r>
      <w:r w:rsidRPr="00A00020">
        <w:rPr>
          <w:rFonts w:ascii="Verdana" w:hAnsi="Verdana"/>
          <w:i/>
          <w:iCs/>
        </w:rPr>
        <w:t xml:space="preserve"> , el Estado parte debe continuar e intensificar sus esfuerzos para prevenir, combatir y sancionar la trata de personas, incluyendo el reclutamiento de niños, niñas y adolescentes por grupos armados no estatales en el marco del conflicto. En particular, el Estado parte debe tomar medidas integrales y diferenciadas de prevención y respuesta temprana a dicho reclutamiento, incluyendo medidas para prevenir el reclutamiento con fines de explotación sexual y para el fortalecimiento de entornos protectores a nivel familiar, escolar y comunitario. El Estado parte también debe adoptar e implementar medidas de prevención dirigidas a </w:t>
      </w:r>
      <w:proofErr w:type="gramStart"/>
      <w:r w:rsidRPr="00A00020">
        <w:rPr>
          <w:rFonts w:ascii="Verdana" w:hAnsi="Verdana"/>
          <w:i/>
          <w:iCs/>
        </w:rPr>
        <w:t>niños y niñas</w:t>
      </w:r>
      <w:proofErr w:type="gramEnd"/>
      <w:r w:rsidRPr="00A00020">
        <w:rPr>
          <w:rFonts w:ascii="Verdana" w:hAnsi="Verdana"/>
          <w:i/>
          <w:iCs/>
        </w:rPr>
        <w:t xml:space="preserve"> de poblaciones más vulnerables, identificar a las víctimas y proveerles una reparación integral y efectiva, así como un apoyo integrado, en particular asistencia médica, material y jurídica y ayuda para su reintegración.</w:t>
      </w:r>
    </w:p>
    <w:p w14:paraId="7BC60865" w14:textId="77777777" w:rsidR="0087354A" w:rsidRDefault="00327EC2" w:rsidP="00EC097A">
      <w:pPr>
        <w:spacing w:line="276" w:lineRule="auto"/>
        <w:jc w:val="both"/>
        <w:rPr>
          <w:rFonts w:ascii="Verdana" w:hAnsi="Verdana"/>
          <w:b/>
          <w:bCs/>
          <w:u w:val="single"/>
        </w:rPr>
      </w:pPr>
      <w:r w:rsidRPr="00327EC2">
        <w:rPr>
          <w:rFonts w:ascii="Verdana" w:hAnsi="Verdana"/>
          <w:b/>
          <w:bCs/>
          <w:u w:val="single"/>
        </w:rPr>
        <w:t>Ministerio de Defensa Nacional</w:t>
      </w:r>
    </w:p>
    <w:p w14:paraId="566D619A" w14:textId="35904C25" w:rsidR="00327EC2" w:rsidRPr="0087354A" w:rsidRDefault="00327EC2" w:rsidP="00EC097A">
      <w:pPr>
        <w:spacing w:line="276" w:lineRule="auto"/>
        <w:jc w:val="both"/>
        <w:rPr>
          <w:rFonts w:ascii="Verdana" w:hAnsi="Verdana"/>
          <w:b/>
          <w:bCs/>
          <w:u w:val="single"/>
        </w:rPr>
      </w:pPr>
      <w:r w:rsidRPr="00327EC2">
        <w:rPr>
          <w:rFonts w:ascii="Verdana" w:hAnsi="Verdana"/>
        </w:rPr>
        <w:t xml:space="preserve">En relación con estas recomendaciones de acuerdo con el Informe Ejecutivo 2025 del Comando General de las Fuerzas Militares -CGFFMM </w:t>
      </w:r>
      <w:r w:rsidR="00C3700C">
        <w:rPr>
          <w:rFonts w:ascii="Verdana" w:hAnsi="Verdana"/>
        </w:rPr>
        <w:t>–</w:t>
      </w:r>
      <w:r w:rsidRPr="00327EC2">
        <w:rPr>
          <w:rFonts w:ascii="Verdana" w:hAnsi="Verdana"/>
        </w:rPr>
        <w:t xml:space="preserve"> Rendición de Cuentas3, es oportuno informar que, se puso en marcha la campaña para la prevención del reclutamiento forzado </w:t>
      </w:r>
      <w:r w:rsidR="00C3700C">
        <w:rPr>
          <w:rFonts w:ascii="Verdana" w:hAnsi="Verdana"/>
        </w:rPr>
        <w:t>“</w:t>
      </w:r>
      <w:r w:rsidRPr="00327EC2">
        <w:rPr>
          <w:rFonts w:ascii="Verdana" w:hAnsi="Verdana"/>
        </w:rPr>
        <w:t xml:space="preserve">protegiendo el futuro de nuestro país”: la prevención del reclutamiento, utilización, uso y violencia sexual en contra de </w:t>
      </w:r>
      <w:r w:rsidRPr="00327EC2">
        <w:rPr>
          <w:rFonts w:ascii="Verdana" w:hAnsi="Verdana"/>
        </w:rPr>
        <w:lastRenderedPageBreak/>
        <w:t>niños, niñas y adolescentes por parte de los grupos armados organizados y los grupos delincuenciales organizados y la promoción de la línea gratuita 141, la cual en este periodo ha desarrollado 1.052 actividades logrando impactar y beneficiar a 605.142 personas de las diferentes regiones de nuestro</w:t>
      </w:r>
      <w:r w:rsidR="00A73DF4">
        <w:rPr>
          <w:rFonts w:ascii="Verdana" w:hAnsi="Verdana"/>
        </w:rPr>
        <w:t xml:space="preserve"> país.</w:t>
      </w:r>
    </w:p>
    <w:p w14:paraId="6DA4357E" w14:textId="717235A1" w:rsidR="00A73DF4" w:rsidRDefault="00A73DF4" w:rsidP="00EC097A">
      <w:pPr>
        <w:spacing w:line="276" w:lineRule="auto"/>
        <w:jc w:val="both"/>
        <w:rPr>
          <w:rFonts w:ascii="Verdana" w:hAnsi="Verdana"/>
        </w:rPr>
      </w:pPr>
      <w:r w:rsidRPr="00A73DF4">
        <w:rPr>
          <w:rFonts w:ascii="Verdana" w:hAnsi="Verdana"/>
        </w:rPr>
        <w:t>Estas operaciones garantizaron el mantenimiento de la iniciativa operacional en zonas críticas, disuadieron la expansión de estructuras armadas ilegales y permitieron la presencia institucional del Estado en regiones de alta conflictividad, fortaleciendo el control efectivo del territorio por parte de la Fuerza Militares.</w:t>
      </w:r>
    </w:p>
    <w:p w14:paraId="2415C4C9" w14:textId="44D5529A" w:rsidR="00A73DF4" w:rsidRDefault="00842567" w:rsidP="00EC097A">
      <w:pPr>
        <w:spacing w:line="276" w:lineRule="auto"/>
        <w:jc w:val="both"/>
        <w:rPr>
          <w:rFonts w:ascii="Verdana" w:hAnsi="Verdana"/>
        </w:rPr>
      </w:pPr>
      <w:r w:rsidRPr="00842567">
        <w:rPr>
          <w:rFonts w:ascii="Verdana" w:hAnsi="Verdana"/>
        </w:rPr>
        <w:t>Asimismo, y de acuerdo con lo reportado por la Policía Nacional en el Informe de la Audiencia Pública de Rendición de cuentas. Ministerio de Defensa</w:t>
      </w:r>
      <w:r>
        <w:rPr>
          <w:rStyle w:val="FootnoteReference"/>
          <w:rFonts w:ascii="Verdana" w:hAnsi="Verdana"/>
        </w:rPr>
        <w:footnoteReference w:id="5"/>
      </w:r>
      <w:r w:rsidRPr="00842567">
        <w:rPr>
          <w:rFonts w:ascii="Verdana" w:hAnsi="Verdana"/>
        </w:rPr>
        <w:t>, es preciso indicar que, dentro del papel fundamental que la Policía Nacional desempeña respecto a la protección de las comunidades y grupos poblacionales en especial condición de vulnerabilidad, durante el segundo semestre de 2025 se realizaron actividades de impacto en territorio, beneficiando a niños, niñas y adolescentes, a través de los componentes de gestión comunitaria, vigilancia y control, así:</w:t>
      </w:r>
    </w:p>
    <w:p w14:paraId="3FBCF464" w14:textId="277BE372" w:rsidR="00842567" w:rsidRDefault="00842567" w:rsidP="00842567">
      <w:pPr>
        <w:pStyle w:val="ListParagraph"/>
        <w:numPr>
          <w:ilvl w:val="0"/>
          <w:numId w:val="6"/>
        </w:numPr>
        <w:spacing w:line="276" w:lineRule="auto"/>
        <w:jc w:val="both"/>
        <w:rPr>
          <w:rFonts w:ascii="Verdana" w:hAnsi="Verdana"/>
        </w:rPr>
      </w:pPr>
      <w:r w:rsidRPr="00842567">
        <w:rPr>
          <w:rFonts w:ascii="Verdana" w:hAnsi="Verdana"/>
        </w:rPr>
        <w:t>Prevención: se implementó el programa “Abre tus Ojos”, con el fin de sensibilizar a niños, niñas, adolescentes, familias y comunidades, con el objetivo de prevenir situaciones de riesgo y fomentar una cultura de protección de los derechos de la infancia y adolescencia.</w:t>
      </w:r>
    </w:p>
    <w:p w14:paraId="579AD9FE" w14:textId="77777777" w:rsidR="00B67C27" w:rsidRDefault="00B67C27" w:rsidP="00B67C27">
      <w:pPr>
        <w:pStyle w:val="ListParagraph"/>
        <w:spacing w:line="276" w:lineRule="auto"/>
        <w:jc w:val="both"/>
        <w:rPr>
          <w:rFonts w:ascii="Verdana" w:hAnsi="Verdana"/>
        </w:rPr>
      </w:pPr>
    </w:p>
    <w:p w14:paraId="094F1F73" w14:textId="0148CF77" w:rsidR="00B67C27" w:rsidRDefault="00B67C27" w:rsidP="00842567">
      <w:pPr>
        <w:pStyle w:val="ListParagraph"/>
        <w:numPr>
          <w:ilvl w:val="0"/>
          <w:numId w:val="6"/>
        </w:numPr>
        <w:spacing w:line="276" w:lineRule="auto"/>
        <w:jc w:val="both"/>
        <w:rPr>
          <w:rFonts w:ascii="Verdana" w:hAnsi="Verdana"/>
        </w:rPr>
      </w:pPr>
      <w:r w:rsidRPr="00B67C27">
        <w:rPr>
          <w:rFonts w:ascii="Verdana" w:hAnsi="Verdana"/>
        </w:rPr>
        <w:t xml:space="preserve">Se realizaron actividades relevantes en articulación con las entidades que conforman el Sistema Nacional de Bienestar Familiar desde el orden nacional y territorial, denominadas “Regreso a clases” con el lema “Tu morral, tus sueños”, el “Día Internacional contra el reclutamiento forzado de niños, niñas y adolescentes”, la “Ruta por la alegría”, con la herramienta didáctica del programa “Abre tus Ojos” denominada “Bus interactivo”, “Día Internacional del niño”, el “Día Mundial Contra el </w:t>
      </w:r>
      <w:proofErr w:type="spellStart"/>
      <w:r w:rsidRPr="00B67C27">
        <w:rPr>
          <w:rFonts w:ascii="Verdana" w:hAnsi="Verdana"/>
        </w:rPr>
        <w:t>Bullying</w:t>
      </w:r>
      <w:proofErr w:type="spellEnd"/>
      <w:r w:rsidRPr="00B67C27">
        <w:rPr>
          <w:rFonts w:ascii="Verdana" w:hAnsi="Verdana"/>
        </w:rPr>
        <w:t xml:space="preserve"> o el Acoso Escolar”, en coordinación con el Sistema Nacional de Bienestar Familiar, el “Día Mundial Contra el Trabajo Infantil”, “Día Internacional contra la Explotación Sexual y la Trata de Personas” y el </w:t>
      </w:r>
      <w:r w:rsidR="00C3700C">
        <w:rPr>
          <w:rFonts w:ascii="Verdana" w:hAnsi="Verdana"/>
        </w:rPr>
        <w:t>“</w:t>
      </w:r>
      <w:r w:rsidRPr="00B67C27">
        <w:rPr>
          <w:rFonts w:ascii="Verdana" w:hAnsi="Verdana"/>
        </w:rPr>
        <w:t>Día Dulce de los Niños y las Niñas”, acciones que contribuyeron al fortalecimiento de los factores protectores, llevando mensajes de autocuidado, tolerancia entre pares, unión familiar y el</w:t>
      </w:r>
      <w:r>
        <w:rPr>
          <w:rFonts w:ascii="Verdana" w:hAnsi="Verdana"/>
        </w:rPr>
        <w:t xml:space="preserve"> </w:t>
      </w:r>
      <w:r w:rsidRPr="00B67C27">
        <w:rPr>
          <w:rFonts w:ascii="Verdana" w:hAnsi="Verdana"/>
        </w:rPr>
        <w:t>diálogo en el hogar.</w:t>
      </w:r>
    </w:p>
    <w:p w14:paraId="054CF704" w14:textId="7758232F" w:rsidR="00426407" w:rsidRDefault="00426407" w:rsidP="00EC097A">
      <w:pPr>
        <w:spacing w:line="276" w:lineRule="auto"/>
        <w:jc w:val="both"/>
        <w:rPr>
          <w:rFonts w:ascii="Verdana" w:hAnsi="Verdana"/>
          <w:b/>
          <w:bCs/>
          <w:u w:val="single"/>
        </w:rPr>
      </w:pPr>
      <w:r w:rsidRPr="00426407">
        <w:rPr>
          <w:rFonts w:ascii="Verdana" w:hAnsi="Verdana"/>
          <w:b/>
          <w:bCs/>
          <w:u w:val="single"/>
        </w:rPr>
        <w:lastRenderedPageBreak/>
        <w:t>Fiscalía General de la Nación</w:t>
      </w:r>
    </w:p>
    <w:p w14:paraId="29C4E8C2" w14:textId="77777777" w:rsidR="003357C2" w:rsidRDefault="00426407" w:rsidP="00EC097A">
      <w:pPr>
        <w:spacing w:line="276" w:lineRule="auto"/>
        <w:jc w:val="both"/>
        <w:rPr>
          <w:rFonts w:ascii="Verdana" w:hAnsi="Verdana"/>
        </w:rPr>
      </w:pPr>
      <w:r>
        <w:rPr>
          <w:rFonts w:ascii="Verdana" w:hAnsi="Verdana"/>
        </w:rPr>
        <w:t>La</w:t>
      </w:r>
      <w:r w:rsidRPr="00426407">
        <w:rPr>
          <w:rFonts w:ascii="Verdana" w:hAnsi="Verdana"/>
        </w:rPr>
        <w:t xml:space="preserve"> </w:t>
      </w:r>
      <w:proofErr w:type="gramStart"/>
      <w:r w:rsidRPr="00426407">
        <w:rPr>
          <w:rFonts w:ascii="Verdana" w:hAnsi="Verdana"/>
        </w:rPr>
        <w:t>Fiscalía General</w:t>
      </w:r>
      <w:proofErr w:type="gramEnd"/>
      <w:r w:rsidRPr="00426407">
        <w:rPr>
          <w:rFonts w:ascii="Verdana" w:hAnsi="Verdana"/>
        </w:rPr>
        <w:t xml:space="preserve"> de la Nación investiga de manera prioritaria y transversal las distintas formas de violencia, particularmente la violencia basada en género, mediante un abordaje integral que garantiza el impulso de investigaciones con debida diligencia, judicializaciones oportunas y efectivas, y una atención centrada en los derechos de las víctimas. Este enfoque incorpora la perspectiva de género, el enfoque de interseccionalidad y el reconocimiento de las condiciones particulares de cada sujeto, orientando la actuación institucional desde una visión amplia y articulada. </w:t>
      </w:r>
    </w:p>
    <w:p w14:paraId="753DD918" w14:textId="77777777" w:rsidR="003357C2" w:rsidRDefault="00426407" w:rsidP="00EC097A">
      <w:pPr>
        <w:spacing w:line="276" w:lineRule="auto"/>
        <w:jc w:val="both"/>
        <w:rPr>
          <w:rFonts w:ascii="Verdana" w:hAnsi="Verdana"/>
        </w:rPr>
      </w:pPr>
      <w:r w:rsidRPr="00426407">
        <w:rPr>
          <w:rFonts w:ascii="Verdana" w:hAnsi="Verdana"/>
        </w:rPr>
        <w:t xml:space="preserve">Durante el año 2025, la </w:t>
      </w:r>
      <w:proofErr w:type="gramStart"/>
      <w:r w:rsidRPr="00426407">
        <w:rPr>
          <w:rFonts w:ascii="Verdana" w:hAnsi="Verdana"/>
        </w:rPr>
        <w:t>Delegada</w:t>
      </w:r>
      <w:proofErr w:type="gramEnd"/>
      <w:r w:rsidRPr="00426407">
        <w:rPr>
          <w:rFonts w:ascii="Verdana" w:hAnsi="Verdana"/>
        </w:rPr>
        <w:t xml:space="preserve"> para la Seguridad Territorial, en articulación con la Dirección de Apoyo a la Investigación y Análisis de Seguridad Ciudadana, implementó estrategias transversales orientadas al fortalecimiento de la capacidad investigativa y analítica en las 35 direcciones seccionales. Estas estrategias se sustentaron en un ejercicio integral de análisis de la carga activa, que incluyó, entre otros, delitos de especial relevancia como el reclutamiento ilícito, permitiendo identificar fenómenos criminales, patrones delictivos y comportamientos operativos asociados.</w:t>
      </w:r>
    </w:p>
    <w:p w14:paraId="4E342DBB" w14:textId="60BE6D79" w:rsidR="00426407" w:rsidRDefault="00426407" w:rsidP="00EC097A">
      <w:pPr>
        <w:spacing w:line="276" w:lineRule="auto"/>
        <w:jc w:val="both"/>
        <w:rPr>
          <w:rFonts w:ascii="Verdana" w:hAnsi="Verdana"/>
        </w:rPr>
      </w:pPr>
      <w:r w:rsidRPr="00426407">
        <w:rPr>
          <w:rFonts w:ascii="Verdana" w:hAnsi="Verdana"/>
        </w:rPr>
        <w:t>Como resultado, se elaboraron informes de análisis criminal y documentos estratégicos que fueron socializados en todas las seccionales, acompañados por la Sección de Análisis Criminal (SAC), con el propósito de mejorar la priorización de casos y la toma de decisiones conforme al Direccionamiento Estratégico institucional. Asimismo, se brindó acompañamiento técnico permanente para asegurar la correcta implementación de dichas estrategias en el territorio.</w:t>
      </w:r>
    </w:p>
    <w:p w14:paraId="6F60141F" w14:textId="4FE3E413" w:rsidR="003357C2" w:rsidRDefault="003357C2" w:rsidP="00EC097A">
      <w:pPr>
        <w:spacing w:line="276" w:lineRule="auto"/>
        <w:jc w:val="both"/>
        <w:rPr>
          <w:rFonts w:ascii="Verdana" w:hAnsi="Verdana"/>
        </w:rPr>
      </w:pPr>
      <w:r w:rsidRPr="003357C2">
        <w:rPr>
          <w:rFonts w:ascii="Verdana" w:hAnsi="Verdana"/>
        </w:rPr>
        <w:t>Con base en estos insumos, las seccionales desarrollaron mesas de trabajo, comités de seguimiento y acciones de monitoreo continuo, lo que permitió evaluar el avance de las investigaciones, identificar brechas operativas y formular planes de acción orientados a la</w:t>
      </w:r>
      <w:r w:rsidR="00E66DA1">
        <w:rPr>
          <w:rFonts w:ascii="Verdana" w:hAnsi="Verdana"/>
        </w:rPr>
        <w:t xml:space="preserve"> </w:t>
      </w:r>
      <w:r w:rsidR="00E66DA1" w:rsidRPr="00E66DA1">
        <w:rPr>
          <w:rFonts w:ascii="Verdana" w:hAnsi="Verdana"/>
        </w:rPr>
        <w:t>mejora continua. Estas medidas han fortalecido la capacidad institucional para investigar de manera más exhaustiva los delitos que afectan a niños, niñas y adolescentes, incluido el reclutamiento ilícito, contribuyendo a la obtención de resultados con impacto en las dinámicas delictivas y favoreciendo la judicialización efectiva de los responsables</w:t>
      </w:r>
      <w:r w:rsidR="00E66DA1">
        <w:rPr>
          <w:rFonts w:ascii="Verdana" w:hAnsi="Verdana"/>
        </w:rPr>
        <w:t>.</w:t>
      </w:r>
    </w:p>
    <w:p w14:paraId="5CB2B45A" w14:textId="0E4870C4" w:rsidR="00E66DA1" w:rsidRDefault="00E66DA1" w:rsidP="00EC097A">
      <w:pPr>
        <w:spacing w:line="276" w:lineRule="auto"/>
        <w:jc w:val="both"/>
        <w:rPr>
          <w:rFonts w:ascii="Verdana" w:hAnsi="Verdana"/>
        </w:rPr>
      </w:pPr>
      <w:r w:rsidRPr="00E66DA1">
        <w:rPr>
          <w:rFonts w:ascii="Verdana" w:hAnsi="Verdana"/>
        </w:rPr>
        <w:t>En conjunto, estas acciones evidencian el compromiso institucional con el fortalecimiento de los procesos investigativos, la priorización de delitos que vulneran los derechos de niños, niñas y adolescentes, y la adopción de mecanismos que contribuyen a garantizar la sanción de los responsables</w:t>
      </w:r>
      <w:r>
        <w:rPr>
          <w:rStyle w:val="FootnoteReference"/>
          <w:rFonts w:ascii="Verdana" w:hAnsi="Verdana"/>
        </w:rPr>
        <w:footnoteReference w:id="6"/>
      </w:r>
      <w:r w:rsidRPr="00E66DA1">
        <w:rPr>
          <w:rFonts w:ascii="Verdana" w:hAnsi="Verdana"/>
        </w:rPr>
        <w:t>.</w:t>
      </w:r>
    </w:p>
    <w:p w14:paraId="6427ACF6" w14:textId="18B23E5B" w:rsidR="00F95389" w:rsidRDefault="00F95389" w:rsidP="00EC097A">
      <w:pPr>
        <w:spacing w:line="276" w:lineRule="auto"/>
        <w:jc w:val="both"/>
        <w:rPr>
          <w:rFonts w:ascii="Verdana" w:hAnsi="Verdana"/>
        </w:rPr>
      </w:pPr>
      <w:r w:rsidRPr="00F95389">
        <w:rPr>
          <w:rFonts w:ascii="Verdana" w:hAnsi="Verdana"/>
        </w:rPr>
        <w:lastRenderedPageBreak/>
        <w:t xml:space="preserve">Por otra parte, en cuanto al reclutamiento ilícito de niños, niñas y adolescentes por parte de grupos armados organizados, la </w:t>
      </w:r>
      <w:proofErr w:type="gramStart"/>
      <w:r w:rsidRPr="00F95389">
        <w:rPr>
          <w:rFonts w:ascii="Verdana" w:hAnsi="Verdana"/>
        </w:rPr>
        <w:t>Fiscalía General</w:t>
      </w:r>
      <w:proofErr w:type="gramEnd"/>
      <w:r w:rsidRPr="00F95389">
        <w:rPr>
          <w:rFonts w:ascii="Verdana" w:hAnsi="Verdana"/>
        </w:rPr>
        <w:t xml:space="preserve"> de la Nación lo reconoce como una grave violación a los derechos humanos, al derecho internacional humanitario y un crimen de guerra, razón por la cual las investigaciones se adelantan bajo estándares de debida diligencia, celeridad, exhaustividad e imparcialidad.</w:t>
      </w:r>
    </w:p>
    <w:p w14:paraId="5D7091C4" w14:textId="7A35ECBC" w:rsidR="00F95389" w:rsidRDefault="00F95389" w:rsidP="00EC097A">
      <w:pPr>
        <w:spacing w:line="276" w:lineRule="auto"/>
        <w:jc w:val="both"/>
        <w:rPr>
          <w:rFonts w:ascii="Verdana" w:hAnsi="Verdana"/>
        </w:rPr>
      </w:pPr>
      <w:r w:rsidRPr="00F95389">
        <w:rPr>
          <w:rFonts w:ascii="Verdana" w:hAnsi="Verdana"/>
        </w:rPr>
        <w:t>La aproximación investigativa parte del reconocimiento de los niños, niñas y adolescentes como víctimas de graves violaciones a los derechos humanos y al derecho internacional humanitario, garantizando la protección integral de sus derechos y la aplicación del principio del interés superior del niño en todas las etapas de la investigación.</w:t>
      </w:r>
    </w:p>
    <w:p w14:paraId="3726933A" w14:textId="0A4B3139" w:rsidR="00F95389" w:rsidRDefault="00F95389" w:rsidP="00EC097A">
      <w:pPr>
        <w:spacing w:line="276" w:lineRule="auto"/>
        <w:jc w:val="both"/>
        <w:rPr>
          <w:rFonts w:ascii="Verdana" w:hAnsi="Verdana"/>
        </w:rPr>
      </w:pPr>
      <w:r w:rsidRPr="00F95389">
        <w:rPr>
          <w:rFonts w:ascii="Verdana" w:hAnsi="Verdana"/>
        </w:rPr>
        <w:t>Las investigaciones incorporan metodologías orientadas al esclarecimiento de los hechos, la determinación de responsabilidades individuales y la identificación del grado de participación de los presuntos responsables, aplicando enfoques diferenciales acordes con la especial protección constitucional de las víctimas</w:t>
      </w:r>
      <w:r>
        <w:rPr>
          <w:rFonts w:ascii="Verdana" w:hAnsi="Verdana"/>
        </w:rPr>
        <w:t>.</w:t>
      </w:r>
    </w:p>
    <w:p w14:paraId="3F8683A3" w14:textId="18E77FA5" w:rsidR="00F95389" w:rsidRDefault="00F95389" w:rsidP="00EC097A">
      <w:pPr>
        <w:spacing w:line="276" w:lineRule="auto"/>
        <w:jc w:val="both"/>
        <w:rPr>
          <w:rFonts w:ascii="Verdana" w:hAnsi="Verdana"/>
        </w:rPr>
      </w:pPr>
      <w:r w:rsidRPr="00F95389">
        <w:rPr>
          <w:rFonts w:ascii="Verdana" w:hAnsi="Verdana"/>
        </w:rPr>
        <w:t>Como parte de las medidas de fortalecimiento institucional, se destaca la conformación del Comité Regional de Priorización del fenómeno de reclutamiento ilícito en el suroccidente del país, escenario que ha permitido consolidar estrategias de análisis criminal, priorización de casos, asociación de patrones y articulación interinstitucional, orientadas a fortalecer la respuesta investigativa y la judicialización de los responsables, así como la desarticulación de las estructuras criminales involucradas</w:t>
      </w:r>
      <w:r w:rsidR="00CF07DA">
        <w:rPr>
          <w:rStyle w:val="FootnoteReference"/>
          <w:rFonts w:ascii="Verdana" w:hAnsi="Verdana"/>
        </w:rPr>
        <w:footnoteReference w:id="7"/>
      </w:r>
      <w:r w:rsidR="00CF07DA">
        <w:rPr>
          <w:rFonts w:ascii="Verdana" w:hAnsi="Verdana"/>
        </w:rPr>
        <w:t>.</w:t>
      </w:r>
    </w:p>
    <w:p w14:paraId="27895895" w14:textId="77777777" w:rsidR="0059455B" w:rsidRDefault="0059455B" w:rsidP="00EC097A">
      <w:pPr>
        <w:spacing w:line="276" w:lineRule="auto"/>
        <w:jc w:val="both"/>
        <w:rPr>
          <w:rFonts w:ascii="Verdana" w:hAnsi="Verdana"/>
        </w:rPr>
      </w:pPr>
      <w:r w:rsidRPr="0059455B">
        <w:rPr>
          <w:rFonts w:ascii="Verdana" w:hAnsi="Verdana"/>
        </w:rPr>
        <w:t>En materia de prevención, la Fiscalía General de la Nación, a través del Programa Futuro Colombia, adscrito a la Unidad Especial de Investigación de Delitos Priorizados Cometidos contra Niños, Niñas y Adolescentes, desarrolla acciones orientadas a la prevención integral de los fenómenos delincuenciales que afectan a la población, con especial énfasis en las</w:t>
      </w:r>
      <w:r>
        <w:rPr>
          <w:rFonts w:ascii="Verdana" w:hAnsi="Verdana"/>
        </w:rPr>
        <w:t xml:space="preserve"> </w:t>
      </w:r>
      <w:r w:rsidRPr="0059455B">
        <w:rPr>
          <w:rFonts w:ascii="Verdana" w:hAnsi="Verdana"/>
        </w:rPr>
        <w:t xml:space="preserve">violencias ejercidas contra niños, niñas y adolescentes, quienes son sujetos de especial protección constitucional y titulares de derechos prevalentes. </w:t>
      </w:r>
    </w:p>
    <w:p w14:paraId="43200A32" w14:textId="77777777" w:rsidR="0059455B" w:rsidRDefault="0059455B" w:rsidP="00EC097A">
      <w:pPr>
        <w:spacing w:line="276" w:lineRule="auto"/>
        <w:jc w:val="both"/>
        <w:rPr>
          <w:rFonts w:ascii="Verdana" w:hAnsi="Verdana"/>
        </w:rPr>
      </w:pPr>
      <w:r w:rsidRPr="0059455B">
        <w:rPr>
          <w:rFonts w:ascii="Verdana" w:hAnsi="Verdana"/>
        </w:rPr>
        <w:t>Estas acciones se ejecutan en los ámbitos social, comunitario e individual, mediante estrategias de acercamiento a la comunidad y articulación interinstitucional con entidades del orden nacional y territorial, con el fin de fortalecer el acceso a la justicia y contribuir a la reducción de los efectos nocivos del delito.</w:t>
      </w:r>
    </w:p>
    <w:p w14:paraId="7298904E" w14:textId="5B180260" w:rsidR="0059455B" w:rsidRDefault="0059455B" w:rsidP="00EC097A">
      <w:pPr>
        <w:spacing w:line="276" w:lineRule="auto"/>
        <w:jc w:val="both"/>
        <w:rPr>
          <w:rFonts w:ascii="Verdana" w:hAnsi="Verdana"/>
        </w:rPr>
      </w:pPr>
      <w:r w:rsidRPr="0059455B">
        <w:rPr>
          <w:rFonts w:ascii="Verdana" w:hAnsi="Verdana"/>
        </w:rPr>
        <w:t xml:space="preserve"> La estrategia #ESOESCUENTO hace parte del Programa de Prevención Futuro Colombia, iniciativa institucional orientada a la formación, sensibilización y </w:t>
      </w:r>
      <w:r w:rsidRPr="0059455B">
        <w:rPr>
          <w:rFonts w:ascii="Verdana" w:hAnsi="Verdana"/>
        </w:rPr>
        <w:lastRenderedPageBreak/>
        <w:t>promoción de la cultura de la legalidad, especialmente en niñas, niños, adolescentes y comunidades en condición de vulnerabilidad. A través de esta estrategia se busca desmitificar falsas ofertas y situaciones engañosas que pueden derivar en escenarios de trata de personas, utilizando herramientas pedagógicas, campañas comunicativas y espacios de formación comunitaria.</w:t>
      </w:r>
    </w:p>
    <w:p w14:paraId="6D27CF5D" w14:textId="77777777" w:rsidR="0059455B" w:rsidRDefault="0059455B" w:rsidP="00EC097A">
      <w:pPr>
        <w:spacing w:line="276" w:lineRule="auto"/>
        <w:jc w:val="both"/>
        <w:rPr>
          <w:rFonts w:ascii="Verdana" w:hAnsi="Verdana"/>
        </w:rPr>
      </w:pPr>
      <w:r w:rsidRPr="0059455B">
        <w:rPr>
          <w:rFonts w:ascii="Verdana" w:hAnsi="Verdana"/>
        </w:rPr>
        <w:t>#ESOESCUENTO tiene como propósito principal:</w:t>
      </w:r>
    </w:p>
    <w:p w14:paraId="4787D2B1" w14:textId="77777777" w:rsidR="0059455B" w:rsidRPr="0059455B" w:rsidRDefault="0059455B" w:rsidP="0059455B">
      <w:pPr>
        <w:pStyle w:val="ListParagraph"/>
        <w:numPr>
          <w:ilvl w:val="0"/>
          <w:numId w:val="7"/>
        </w:numPr>
        <w:spacing w:line="276" w:lineRule="auto"/>
        <w:jc w:val="both"/>
        <w:rPr>
          <w:rFonts w:ascii="Verdana" w:hAnsi="Verdana" w:cs="Verdana"/>
        </w:rPr>
      </w:pPr>
      <w:r w:rsidRPr="0059455B">
        <w:rPr>
          <w:rFonts w:ascii="Verdana" w:hAnsi="Verdana"/>
        </w:rPr>
        <w:t>Prevenir la captaci</w:t>
      </w:r>
      <w:r w:rsidRPr="0059455B">
        <w:rPr>
          <w:rFonts w:ascii="Verdana" w:hAnsi="Verdana" w:cs="Verdana"/>
        </w:rPr>
        <w:t>ó</w:t>
      </w:r>
      <w:r w:rsidRPr="0059455B">
        <w:rPr>
          <w:rFonts w:ascii="Verdana" w:hAnsi="Verdana"/>
        </w:rPr>
        <w:t>n de v</w:t>
      </w:r>
      <w:r w:rsidRPr="0059455B">
        <w:rPr>
          <w:rFonts w:ascii="Verdana" w:hAnsi="Verdana" w:cs="Verdana"/>
        </w:rPr>
        <w:t>í</w:t>
      </w:r>
      <w:r w:rsidRPr="0059455B">
        <w:rPr>
          <w:rFonts w:ascii="Verdana" w:hAnsi="Verdana"/>
        </w:rPr>
        <w:t>ctimas mediante informaci</w:t>
      </w:r>
      <w:r w:rsidRPr="0059455B">
        <w:rPr>
          <w:rFonts w:ascii="Verdana" w:hAnsi="Verdana" w:cs="Verdana"/>
        </w:rPr>
        <w:t>ó</w:t>
      </w:r>
      <w:r w:rsidRPr="0059455B">
        <w:rPr>
          <w:rFonts w:ascii="Verdana" w:hAnsi="Verdana"/>
        </w:rPr>
        <w:t xml:space="preserve">n clara sobre las modalidades de trata. </w:t>
      </w:r>
    </w:p>
    <w:p w14:paraId="12573A6B" w14:textId="77777777" w:rsidR="0059455B" w:rsidRPr="0059455B" w:rsidRDefault="0059455B" w:rsidP="0059455B">
      <w:pPr>
        <w:pStyle w:val="ListParagraph"/>
        <w:numPr>
          <w:ilvl w:val="0"/>
          <w:numId w:val="7"/>
        </w:numPr>
        <w:spacing w:line="276" w:lineRule="auto"/>
        <w:jc w:val="both"/>
        <w:rPr>
          <w:rFonts w:ascii="Verdana" w:hAnsi="Verdana" w:cs="Verdana"/>
        </w:rPr>
      </w:pPr>
      <w:r w:rsidRPr="0059455B">
        <w:rPr>
          <w:rFonts w:ascii="Verdana" w:hAnsi="Verdana"/>
        </w:rPr>
        <w:t>Fortalecer las capacidades de identificaci</w:t>
      </w:r>
      <w:r w:rsidRPr="0059455B">
        <w:rPr>
          <w:rFonts w:ascii="Verdana" w:hAnsi="Verdana" w:cs="Verdana"/>
        </w:rPr>
        <w:t>ó</w:t>
      </w:r>
      <w:r w:rsidRPr="0059455B">
        <w:rPr>
          <w:rFonts w:ascii="Verdana" w:hAnsi="Verdana"/>
        </w:rPr>
        <w:t xml:space="preserve">n temprana de riesgos en entornos escolares y comunitarios. </w:t>
      </w:r>
    </w:p>
    <w:p w14:paraId="349C8EEC" w14:textId="77777777" w:rsidR="0059455B" w:rsidRPr="0059455B" w:rsidRDefault="0059455B" w:rsidP="0059455B">
      <w:pPr>
        <w:pStyle w:val="ListParagraph"/>
        <w:numPr>
          <w:ilvl w:val="0"/>
          <w:numId w:val="7"/>
        </w:numPr>
        <w:spacing w:line="276" w:lineRule="auto"/>
        <w:jc w:val="both"/>
        <w:rPr>
          <w:rFonts w:ascii="Verdana" w:hAnsi="Verdana"/>
        </w:rPr>
      </w:pPr>
      <w:r w:rsidRPr="0059455B">
        <w:rPr>
          <w:rFonts w:ascii="Verdana" w:hAnsi="Verdana"/>
        </w:rPr>
        <w:t>Promover la denuncia oportuna y la confianza en las instituciones.</w:t>
      </w:r>
    </w:p>
    <w:p w14:paraId="6A4E7093" w14:textId="77777777" w:rsidR="0059455B" w:rsidRPr="0059455B" w:rsidRDefault="0059455B" w:rsidP="0059455B">
      <w:pPr>
        <w:pStyle w:val="ListParagraph"/>
        <w:numPr>
          <w:ilvl w:val="0"/>
          <w:numId w:val="7"/>
        </w:numPr>
        <w:spacing w:line="276" w:lineRule="auto"/>
        <w:jc w:val="both"/>
        <w:rPr>
          <w:rFonts w:ascii="Verdana" w:hAnsi="Verdana" w:cs="Verdana"/>
        </w:rPr>
      </w:pPr>
      <w:r w:rsidRPr="0059455B">
        <w:rPr>
          <w:rFonts w:ascii="Verdana" w:hAnsi="Verdana"/>
        </w:rPr>
        <w:t>Generar conciencia sobre el uso responsable de redes sociales y sobre ofertas laborales o acad</w:t>
      </w:r>
      <w:r w:rsidRPr="0059455B">
        <w:rPr>
          <w:rFonts w:ascii="Verdana" w:hAnsi="Verdana" w:cs="Verdana"/>
        </w:rPr>
        <w:t>é</w:t>
      </w:r>
      <w:r w:rsidRPr="0059455B">
        <w:rPr>
          <w:rFonts w:ascii="Verdana" w:hAnsi="Verdana"/>
        </w:rPr>
        <w:t>micas enga</w:t>
      </w:r>
      <w:r w:rsidRPr="0059455B">
        <w:rPr>
          <w:rFonts w:ascii="Verdana" w:hAnsi="Verdana" w:cs="Verdana"/>
        </w:rPr>
        <w:t>ñ</w:t>
      </w:r>
      <w:r w:rsidRPr="0059455B">
        <w:rPr>
          <w:rFonts w:ascii="Verdana" w:hAnsi="Verdana"/>
        </w:rPr>
        <w:t xml:space="preserve">osas. </w:t>
      </w:r>
    </w:p>
    <w:p w14:paraId="481EE921" w14:textId="391EB68F" w:rsidR="0059455B" w:rsidRDefault="0059455B" w:rsidP="0059455B">
      <w:pPr>
        <w:pStyle w:val="ListParagraph"/>
        <w:numPr>
          <w:ilvl w:val="0"/>
          <w:numId w:val="7"/>
        </w:numPr>
        <w:spacing w:line="276" w:lineRule="auto"/>
        <w:jc w:val="both"/>
        <w:rPr>
          <w:rFonts w:ascii="Verdana" w:hAnsi="Verdana"/>
        </w:rPr>
      </w:pPr>
      <w:r w:rsidRPr="0059455B">
        <w:rPr>
          <w:rFonts w:ascii="Verdana" w:hAnsi="Verdana"/>
        </w:rPr>
        <w:t>Alianzas estrat</w:t>
      </w:r>
      <w:r w:rsidRPr="0059455B">
        <w:rPr>
          <w:rFonts w:ascii="Verdana" w:hAnsi="Verdana" w:cs="Verdana"/>
        </w:rPr>
        <w:t>é</w:t>
      </w:r>
      <w:r w:rsidRPr="0059455B">
        <w:rPr>
          <w:rFonts w:ascii="Verdana" w:hAnsi="Verdana"/>
        </w:rPr>
        <w:t>gicas</w:t>
      </w:r>
    </w:p>
    <w:p w14:paraId="6192C1C3" w14:textId="746DF4FC" w:rsidR="007A298A" w:rsidRDefault="007A298A" w:rsidP="007A298A">
      <w:pPr>
        <w:spacing w:line="276" w:lineRule="auto"/>
        <w:jc w:val="both"/>
        <w:rPr>
          <w:rFonts w:ascii="Verdana" w:hAnsi="Verdana"/>
        </w:rPr>
      </w:pPr>
      <w:r w:rsidRPr="007A298A">
        <w:rPr>
          <w:rFonts w:ascii="Verdana" w:hAnsi="Verdana"/>
        </w:rPr>
        <w:t>La implementación de la estrategia ha contado con alianzas interinstitucionales y con el sector privado, lo que ha permitido ampliar su alcance territorial y poblacional. Entre las principales alianzas se destacan</w:t>
      </w:r>
      <w:r>
        <w:rPr>
          <w:rFonts w:ascii="Verdana" w:hAnsi="Verdana"/>
        </w:rPr>
        <w:t>:</w:t>
      </w:r>
    </w:p>
    <w:p w14:paraId="6D1701FF" w14:textId="77777777" w:rsidR="007A298A" w:rsidRPr="007A298A" w:rsidRDefault="007A298A" w:rsidP="007A298A">
      <w:pPr>
        <w:pStyle w:val="ListParagraph"/>
        <w:numPr>
          <w:ilvl w:val="0"/>
          <w:numId w:val="8"/>
        </w:numPr>
        <w:spacing w:line="276" w:lineRule="auto"/>
        <w:jc w:val="both"/>
        <w:rPr>
          <w:rFonts w:ascii="Verdana" w:hAnsi="Verdana" w:cs="Verdana"/>
        </w:rPr>
      </w:pPr>
      <w:r w:rsidRPr="007A298A">
        <w:rPr>
          <w:rFonts w:ascii="Verdana" w:hAnsi="Verdana"/>
        </w:rPr>
        <w:t xml:space="preserve">El trabajo articulado con la Fundación Renacer, organización especializada en la protección de niñas, niños y adolescentes víctimas de explotación sexual comercial. Esta articulación ha fortalecido los procesos de formación dirigidos a funcionarios, docentes, comunidades y actores locales, incorporando enfoques de derechos, género y protección integral. </w:t>
      </w:r>
    </w:p>
    <w:p w14:paraId="275E756F" w14:textId="2E2DA544" w:rsidR="007A298A" w:rsidRDefault="007A298A" w:rsidP="007A298A">
      <w:pPr>
        <w:pStyle w:val="ListParagraph"/>
        <w:numPr>
          <w:ilvl w:val="0"/>
          <w:numId w:val="8"/>
        </w:numPr>
        <w:spacing w:line="276" w:lineRule="auto"/>
        <w:jc w:val="both"/>
        <w:rPr>
          <w:rFonts w:ascii="Verdana" w:hAnsi="Verdana"/>
        </w:rPr>
      </w:pPr>
      <w:r w:rsidRPr="007A298A">
        <w:rPr>
          <w:rFonts w:ascii="Verdana" w:hAnsi="Verdana"/>
        </w:rPr>
        <w:t>La cooperaci</w:t>
      </w:r>
      <w:r w:rsidRPr="007A298A">
        <w:rPr>
          <w:rFonts w:ascii="Verdana" w:hAnsi="Verdana" w:cs="Verdana"/>
        </w:rPr>
        <w:t>ó</w:t>
      </w:r>
      <w:r w:rsidRPr="007A298A">
        <w:rPr>
          <w:rFonts w:ascii="Verdana" w:hAnsi="Verdana"/>
        </w:rPr>
        <w:t>n con la empresa Avianca, mediante acciones de sensibilizaci</w:t>
      </w:r>
      <w:r w:rsidRPr="007A298A">
        <w:rPr>
          <w:rFonts w:ascii="Verdana" w:hAnsi="Verdana" w:cs="Verdana"/>
        </w:rPr>
        <w:t>ó</w:t>
      </w:r>
      <w:r w:rsidRPr="007A298A">
        <w:rPr>
          <w:rFonts w:ascii="Verdana" w:hAnsi="Verdana"/>
        </w:rPr>
        <w:t>n dirigidas a su personal operativo y administrativo, especialmente en aeropuertos y tripulaciones, para la identificación de posibles casos de trata de personas y la activación de rutas institucionales de reporte. Esto generó la necesidad de construir la tarjeta que se encuentra a bordo de 137 aeronaves, que direccionan su operación en más de 30 de países.</w:t>
      </w:r>
    </w:p>
    <w:p w14:paraId="07E17199" w14:textId="77777777" w:rsidR="002E1B1F" w:rsidRDefault="002E1B1F" w:rsidP="002E1B1F">
      <w:pPr>
        <w:spacing w:line="276" w:lineRule="auto"/>
        <w:jc w:val="both"/>
        <w:rPr>
          <w:rFonts w:ascii="Verdana" w:hAnsi="Verdana"/>
        </w:rPr>
      </w:pPr>
      <w:r w:rsidRPr="002E1B1F">
        <w:rPr>
          <w:rFonts w:ascii="Verdana" w:hAnsi="Verdana"/>
        </w:rPr>
        <w:t>En el desarrollo de la estrategia se han realizado jornadas pedagógicas, talleres y campañas de sensibilización en diferentes territorios del país</w:t>
      </w:r>
      <w:r>
        <w:rPr>
          <w:rFonts w:ascii="Verdana" w:hAnsi="Verdana"/>
        </w:rPr>
        <w:t xml:space="preserve">. </w:t>
      </w:r>
      <w:r w:rsidRPr="002E1B1F">
        <w:rPr>
          <w:rFonts w:ascii="Verdana" w:hAnsi="Verdana"/>
        </w:rPr>
        <w:t xml:space="preserve">Estas acciones han contribuido al fortalecimiento de la prevención primaria del delito, la identificación de señales de alerta y el posicionamiento del mensaje institucional frente a la trata de personas como una grave violación de derechos humanos. </w:t>
      </w:r>
    </w:p>
    <w:p w14:paraId="00F92F8D" w14:textId="194A0604" w:rsidR="002C1333" w:rsidRDefault="002E1B1F" w:rsidP="002E1B1F">
      <w:pPr>
        <w:spacing w:line="276" w:lineRule="auto"/>
        <w:jc w:val="both"/>
        <w:rPr>
          <w:rFonts w:ascii="Verdana" w:hAnsi="Verdana" w:cs="Verdana"/>
        </w:rPr>
      </w:pPr>
      <w:r w:rsidRPr="002E1B1F">
        <w:rPr>
          <w:rFonts w:ascii="Verdana" w:hAnsi="Verdana"/>
        </w:rPr>
        <w:t>Adicionalmente, en el marco del Programa Futuro Colombia, se desarrollan</w:t>
      </w:r>
      <w:r w:rsidR="00145E9E">
        <w:rPr>
          <w:rFonts w:ascii="Verdana" w:hAnsi="Verdana"/>
        </w:rPr>
        <w:t xml:space="preserve"> t</w:t>
      </w:r>
      <w:r w:rsidRPr="002E1B1F">
        <w:rPr>
          <w:rFonts w:ascii="Verdana" w:hAnsi="Verdana"/>
        </w:rPr>
        <w:t>alleres lúdico-pedagógicos con población estudiantil</w:t>
      </w:r>
      <w:r w:rsidR="00145E9E">
        <w:rPr>
          <w:rFonts w:ascii="Verdana" w:hAnsi="Verdana"/>
        </w:rPr>
        <w:t>, c</w:t>
      </w:r>
      <w:r w:rsidRPr="002E1B1F">
        <w:rPr>
          <w:rFonts w:ascii="Verdana" w:hAnsi="Verdana"/>
        </w:rPr>
        <w:t>apacitaciones t</w:t>
      </w:r>
      <w:r w:rsidRPr="002E1B1F">
        <w:rPr>
          <w:rFonts w:ascii="Verdana" w:hAnsi="Verdana" w:cs="Verdana"/>
        </w:rPr>
        <w:t>é</w:t>
      </w:r>
      <w:r w:rsidRPr="002E1B1F">
        <w:rPr>
          <w:rFonts w:ascii="Verdana" w:hAnsi="Verdana"/>
        </w:rPr>
        <w:t>cnicas a actores estrat</w:t>
      </w:r>
      <w:r w:rsidRPr="002E1B1F">
        <w:rPr>
          <w:rFonts w:ascii="Verdana" w:hAnsi="Verdana" w:cs="Verdana"/>
        </w:rPr>
        <w:t>é</w:t>
      </w:r>
      <w:r w:rsidRPr="002E1B1F">
        <w:rPr>
          <w:rFonts w:ascii="Verdana" w:hAnsi="Verdana"/>
        </w:rPr>
        <w:t>gicos</w:t>
      </w:r>
      <w:r w:rsidR="00145E9E">
        <w:rPr>
          <w:rFonts w:ascii="Verdana" w:hAnsi="Verdana"/>
        </w:rPr>
        <w:t>, c</w:t>
      </w:r>
      <w:r w:rsidRPr="002E1B1F">
        <w:rPr>
          <w:rFonts w:ascii="Verdana" w:hAnsi="Verdana"/>
        </w:rPr>
        <w:t>ampa</w:t>
      </w:r>
      <w:r w:rsidRPr="002E1B1F">
        <w:rPr>
          <w:rFonts w:ascii="Verdana" w:hAnsi="Verdana" w:cs="Verdana"/>
        </w:rPr>
        <w:t>ñ</w:t>
      </w:r>
      <w:r w:rsidRPr="002E1B1F">
        <w:rPr>
          <w:rFonts w:ascii="Verdana" w:hAnsi="Verdana"/>
        </w:rPr>
        <w:t xml:space="preserve">as comunicativas en medios tradicionales y </w:t>
      </w:r>
      <w:r w:rsidRPr="002E1B1F">
        <w:rPr>
          <w:rFonts w:ascii="Verdana" w:hAnsi="Verdana"/>
        </w:rPr>
        <w:lastRenderedPageBreak/>
        <w:t>digitales</w:t>
      </w:r>
      <w:r w:rsidR="00145E9E">
        <w:rPr>
          <w:rFonts w:ascii="Verdana" w:hAnsi="Verdana"/>
        </w:rPr>
        <w:t xml:space="preserve"> y p</w:t>
      </w:r>
      <w:r w:rsidRPr="002E1B1F">
        <w:rPr>
          <w:rFonts w:ascii="Verdana" w:hAnsi="Verdana"/>
        </w:rPr>
        <w:t>articipaci</w:t>
      </w:r>
      <w:r w:rsidRPr="002E1B1F">
        <w:rPr>
          <w:rFonts w:ascii="Verdana" w:hAnsi="Verdana" w:cs="Verdana"/>
        </w:rPr>
        <w:t>ó</w:t>
      </w:r>
      <w:r w:rsidRPr="002E1B1F">
        <w:rPr>
          <w:rFonts w:ascii="Verdana" w:hAnsi="Verdana"/>
        </w:rPr>
        <w:t xml:space="preserve">n en mesas interinstitucionales de lucha contra la trata de personas. </w:t>
      </w:r>
    </w:p>
    <w:p w14:paraId="643B89BC" w14:textId="77777777" w:rsidR="00145E9E" w:rsidRDefault="002E1B1F" w:rsidP="002E1B1F">
      <w:pPr>
        <w:spacing w:line="276" w:lineRule="auto"/>
        <w:jc w:val="both"/>
        <w:rPr>
          <w:rFonts w:ascii="Verdana" w:hAnsi="Verdana"/>
        </w:rPr>
      </w:pPr>
      <w:r w:rsidRPr="002E1B1F">
        <w:rPr>
          <w:rFonts w:ascii="Verdana" w:hAnsi="Verdana"/>
        </w:rPr>
        <w:t>La estrategia #ESOESCUENTO reafirma el compromiso institucional con la prevenci</w:t>
      </w:r>
      <w:r w:rsidRPr="002E1B1F">
        <w:rPr>
          <w:rFonts w:ascii="Verdana" w:hAnsi="Verdana" w:cs="Verdana"/>
        </w:rPr>
        <w:t>ó</w:t>
      </w:r>
      <w:r w:rsidRPr="002E1B1F">
        <w:rPr>
          <w:rFonts w:ascii="Verdana" w:hAnsi="Verdana"/>
        </w:rPr>
        <w:t>n, la articulaci</w:t>
      </w:r>
      <w:r w:rsidRPr="002E1B1F">
        <w:rPr>
          <w:rFonts w:ascii="Verdana" w:hAnsi="Verdana" w:cs="Verdana"/>
        </w:rPr>
        <w:t>ó</w:t>
      </w:r>
      <w:r w:rsidRPr="002E1B1F">
        <w:rPr>
          <w:rFonts w:ascii="Verdana" w:hAnsi="Verdana"/>
        </w:rPr>
        <w:t>n intersectorial y la protecci</w:t>
      </w:r>
      <w:r w:rsidRPr="002E1B1F">
        <w:rPr>
          <w:rFonts w:ascii="Verdana" w:hAnsi="Verdana" w:cs="Verdana"/>
        </w:rPr>
        <w:t>ó</w:t>
      </w:r>
      <w:r w:rsidRPr="002E1B1F">
        <w:rPr>
          <w:rFonts w:ascii="Verdana" w:hAnsi="Verdana"/>
        </w:rPr>
        <w:t>n efectiva de las posibles v</w:t>
      </w:r>
      <w:r w:rsidRPr="002E1B1F">
        <w:rPr>
          <w:rFonts w:ascii="Verdana" w:hAnsi="Verdana" w:cs="Verdana"/>
        </w:rPr>
        <w:t>í</w:t>
      </w:r>
      <w:r w:rsidRPr="002E1B1F">
        <w:rPr>
          <w:rFonts w:ascii="Verdana" w:hAnsi="Verdana"/>
        </w:rPr>
        <w:t>ctimas, promoviendo entornos m</w:t>
      </w:r>
      <w:r w:rsidRPr="002E1B1F">
        <w:rPr>
          <w:rFonts w:ascii="Verdana" w:hAnsi="Verdana" w:cs="Verdana"/>
        </w:rPr>
        <w:t>á</w:t>
      </w:r>
      <w:r w:rsidRPr="002E1B1F">
        <w:rPr>
          <w:rFonts w:ascii="Verdana" w:hAnsi="Verdana"/>
        </w:rPr>
        <w:t xml:space="preserve">s seguros y comunidades informadas. </w:t>
      </w:r>
    </w:p>
    <w:p w14:paraId="32F5E8DC" w14:textId="6B8AD464" w:rsidR="002E1B1F" w:rsidRDefault="002E1B1F" w:rsidP="002E1B1F">
      <w:pPr>
        <w:spacing w:line="276" w:lineRule="auto"/>
        <w:jc w:val="both"/>
        <w:rPr>
          <w:rFonts w:ascii="Verdana" w:hAnsi="Verdana"/>
        </w:rPr>
      </w:pPr>
      <w:r w:rsidRPr="002E1B1F">
        <w:rPr>
          <w:rFonts w:ascii="Verdana" w:hAnsi="Verdana"/>
        </w:rPr>
        <w:t>Finalmente, cuenta con canales de atención y denuncia. Como parte de la estrategi</w:t>
      </w:r>
      <w:r w:rsidR="005676F8">
        <w:rPr>
          <w:rFonts w:ascii="Verdana" w:hAnsi="Verdana"/>
        </w:rPr>
        <w:t xml:space="preserve">a, </w:t>
      </w:r>
      <w:r w:rsidR="005676F8" w:rsidRPr="005676F8">
        <w:rPr>
          <w:rFonts w:ascii="Verdana" w:hAnsi="Verdana"/>
        </w:rPr>
        <w:t xml:space="preserve">se creó la página web </w:t>
      </w:r>
      <w:hyperlink r:id="rId9" w:history="1">
        <w:r w:rsidR="00C3700C" w:rsidRPr="008F7912">
          <w:rPr>
            <w:rStyle w:val="Hyperlink"/>
            <w:rFonts w:ascii="Verdana" w:hAnsi="Verdana"/>
          </w:rPr>
          <w:t>www.esoescuento</w:t>
        </w:r>
      </w:hyperlink>
      <w:r w:rsidR="005676F8" w:rsidRPr="005676F8">
        <w:rPr>
          <w:rFonts w:ascii="Verdana" w:hAnsi="Verdana"/>
        </w:rPr>
        <w:t xml:space="preserve">.com, la cual funciona como un canal de comunicación directa entre la ciudadanía y la institucionalidad. Este portal brinda información y orientación sobre el delito de trata de personas y permite el acceso al aplicativo “Denuncia Fácil” de la </w:t>
      </w:r>
      <w:proofErr w:type="gramStart"/>
      <w:r w:rsidR="005676F8" w:rsidRPr="005676F8">
        <w:rPr>
          <w:rFonts w:ascii="Verdana" w:hAnsi="Verdana"/>
        </w:rPr>
        <w:t>Fiscalía General</w:t>
      </w:r>
      <w:proofErr w:type="gramEnd"/>
      <w:r w:rsidR="005676F8" w:rsidRPr="005676F8">
        <w:rPr>
          <w:rFonts w:ascii="Verdana" w:hAnsi="Verdana"/>
        </w:rPr>
        <w:t xml:space="preserve"> de la Nación, a través del cual los ciudadanos pueden reportar casos en los que sean víctimas o tengan conocimiento de hechos asociados a este delito.</w:t>
      </w:r>
    </w:p>
    <w:p w14:paraId="4C022171" w14:textId="77777777" w:rsidR="005676F8" w:rsidRDefault="005676F8" w:rsidP="002E1B1F">
      <w:pPr>
        <w:spacing w:line="276" w:lineRule="auto"/>
        <w:jc w:val="both"/>
        <w:rPr>
          <w:rFonts w:ascii="Verdana" w:hAnsi="Verdana"/>
        </w:rPr>
      </w:pPr>
      <w:r w:rsidRPr="005676F8">
        <w:rPr>
          <w:rFonts w:ascii="Verdana" w:hAnsi="Verdana"/>
        </w:rPr>
        <w:t>Adicionalmente, la estrategia dispone de la línea 122, habilitada para la recepción de información y denuncias desde cualquier dispositivo móvil. La página web cuenta con un espacio específico para la recepción de denuncias, en el cual se promocionan líneas de atención nacionales e internacionales, en articulación con la Fundación Renacer, entidad encargada de la atención a posibles víctimas. El proceso de denuncia se inicia una vez el</w:t>
      </w:r>
      <w:r>
        <w:rPr>
          <w:rFonts w:ascii="Verdana" w:hAnsi="Verdana"/>
        </w:rPr>
        <w:t xml:space="preserve"> </w:t>
      </w:r>
      <w:r w:rsidRPr="005676F8">
        <w:rPr>
          <w:rFonts w:ascii="Verdana" w:hAnsi="Verdana"/>
        </w:rPr>
        <w:t xml:space="preserve">usuario acepta las políticas de uso y selecciona el botón correspondiente, permitiendo la recolección de información sobre posibles casos, incluso de manera anónima. </w:t>
      </w:r>
    </w:p>
    <w:p w14:paraId="6E367ABE" w14:textId="0812959B" w:rsidR="005676F8" w:rsidRDefault="005676F8" w:rsidP="002E1B1F">
      <w:pPr>
        <w:spacing w:line="276" w:lineRule="auto"/>
        <w:jc w:val="both"/>
        <w:rPr>
          <w:rFonts w:ascii="Verdana" w:hAnsi="Verdana"/>
        </w:rPr>
      </w:pPr>
      <w:r w:rsidRPr="005676F8">
        <w:rPr>
          <w:rFonts w:ascii="Verdana" w:hAnsi="Verdana"/>
        </w:rPr>
        <w:t>Durante el año 2026, se han desarrollado acciones importantes frente a la estrategia nacional #EsoEsCuento.</w:t>
      </w:r>
    </w:p>
    <w:p w14:paraId="340364AD" w14:textId="77777777" w:rsidR="00F52BE0" w:rsidRDefault="00F52BE0" w:rsidP="002E1B1F">
      <w:pPr>
        <w:spacing w:line="276" w:lineRule="auto"/>
        <w:jc w:val="both"/>
        <w:rPr>
          <w:rFonts w:ascii="Verdana" w:hAnsi="Verdana"/>
        </w:rPr>
      </w:pPr>
      <w:r w:rsidRPr="00F52BE0">
        <w:rPr>
          <w:rFonts w:ascii="Verdana" w:hAnsi="Verdana"/>
        </w:rPr>
        <w:t xml:space="preserve">1. En articulación con la Fundación renacer y la Fiscalía General de la Nación, se han desarrollado actividades de sensibilización en el aeropuerto el Dorado, con los funcionarios tales como: Agentes de servicio viajero, tripulantes de cabina, auxiliares de vuelo, capitanes y demás personas que trabajan de manera directa con la aerolínea en la acciones legales que contiene el delito de trata de personas como las acciones de prevención con líneas de atención que contiene la prevención frente a este delito. </w:t>
      </w:r>
    </w:p>
    <w:p w14:paraId="290B328E" w14:textId="348BE680" w:rsidR="00F52BE0" w:rsidRDefault="00F52BE0" w:rsidP="002E1B1F">
      <w:pPr>
        <w:spacing w:line="276" w:lineRule="auto"/>
        <w:jc w:val="both"/>
        <w:rPr>
          <w:rFonts w:ascii="Verdana" w:hAnsi="Verdana"/>
        </w:rPr>
      </w:pPr>
      <w:r w:rsidRPr="00F52BE0">
        <w:rPr>
          <w:rFonts w:ascii="Verdana" w:hAnsi="Verdana"/>
        </w:rPr>
        <w:t xml:space="preserve">2. A través de la alianza estratégica entre Avianca, Fundación Renacer y la </w:t>
      </w:r>
      <w:proofErr w:type="gramStart"/>
      <w:r w:rsidRPr="00F52BE0">
        <w:rPr>
          <w:rFonts w:ascii="Verdana" w:hAnsi="Verdana"/>
        </w:rPr>
        <w:t>Fiscalía General</w:t>
      </w:r>
      <w:proofErr w:type="gramEnd"/>
      <w:r w:rsidRPr="00F52BE0">
        <w:rPr>
          <w:rFonts w:ascii="Verdana" w:hAnsi="Verdana"/>
        </w:rPr>
        <w:t xml:space="preserve"> de la Nación, revisando el gran éxito de la creación de la Safety Card </w:t>
      </w:r>
      <w:r w:rsidR="00C3700C">
        <w:rPr>
          <w:rFonts w:ascii="Verdana" w:hAnsi="Verdana"/>
        </w:rPr>
        <w:t>–</w:t>
      </w:r>
      <w:r w:rsidRPr="00F52BE0">
        <w:rPr>
          <w:rFonts w:ascii="Verdana" w:hAnsi="Verdana"/>
        </w:rPr>
        <w:t xml:space="preserve"> tarjeta de seguridad, la cual fue creada en el año 2023, con el fin de brindar información vital a aquellas personas que se encuentra en vuelo y sientes que están en situación riesgo de ser captadas para trata de personas o para personas que quieren saber sobre el delito, incluyendo las líneas de denuncia. </w:t>
      </w:r>
    </w:p>
    <w:p w14:paraId="333BC463" w14:textId="0139FF7E" w:rsidR="00F52BE0" w:rsidRDefault="00F52BE0" w:rsidP="002E1B1F">
      <w:pPr>
        <w:spacing w:line="276" w:lineRule="auto"/>
        <w:jc w:val="both"/>
        <w:rPr>
          <w:rFonts w:ascii="Verdana" w:hAnsi="Verdana"/>
        </w:rPr>
      </w:pPr>
      <w:r w:rsidRPr="00F52BE0">
        <w:rPr>
          <w:rFonts w:ascii="Verdana" w:hAnsi="Verdana"/>
        </w:rPr>
        <w:t xml:space="preserve">Ya en el año 2026, se está trabajando de manera directa con la alianza con una nueva tarjeta direccionada a la Explotación Sexual comercial de NNA, que está </w:t>
      </w:r>
      <w:r w:rsidRPr="00F52BE0">
        <w:rPr>
          <w:rFonts w:ascii="Verdana" w:hAnsi="Verdana"/>
        </w:rPr>
        <w:lastRenderedPageBreak/>
        <w:t>dirigida a ese viajero que se encuentra dentro del territorio nacional y que emigra al exterior. Esta pronosticado, para el mes de septiembre realizar el lanzamiento de la tarjeta 2.0.</w:t>
      </w:r>
    </w:p>
    <w:p w14:paraId="7FE65EC6" w14:textId="76167DAF" w:rsidR="00F52BE0" w:rsidRPr="00C3700C" w:rsidRDefault="00F52BE0" w:rsidP="00C3700C">
      <w:pPr>
        <w:pStyle w:val="ListParagraph"/>
        <w:numPr>
          <w:ilvl w:val="0"/>
          <w:numId w:val="16"/>
        </w:numPr>
        <w:spacing w:line="276" w:lineRule="auto"/>
        <w:jc w:val="both"/>
        <w:rPr>
          <w:rFonts w:ascii="Verdana" w:hAnsi="Verdana"/>
        </w:rPr>
      </w:pPr>
      <w:r w:rsidRPr="00C3700C">
        <w:rPr>
          <w:rFonts w:ascii="Verdana" w:hAnsi="Verdana"/>
        </w:rPr>
        <w:t xml:space="preserve">La </w:t>
      </w:r>
      <w:proofErr w:type="gramStart"/>
      <w:r w:rsidRPr="00C3700C">
        <w:rPr>
          <w:rFonts w:ascii="Verdana" w:hAnsi="Verdana"/>
        </w:rPr>
        <w:t>Fiscalía General</w:t>
      </w:r>
      <w:proofErr w:type="gramEnd"/>
      <w:r w:rsidRPr="00C3700C">
        <w:rPr>
          <w:rFonts w:ascii="Verdana" w:hAnsi="Verdana"/>
        </w:rPr>
        <w:t xml:space="preserve"> de la Nación y la Sección Política de la Embajada de los Estados Unidos, en el marco de la Alianza de Cooperación para la Protección de las Niñas, Niños y Adolescentes en Colombia, y en articulación con la Fundación RENACER. </w:t>
      </w:r>
    </w:p>
    <w:p w14:paraId="530392EF" w14:textId="41B2B569" w:rsidR="00F52BE0" w:rsidRPr="00F52BE0" w:rsidRDefault="00F52BE0" w:rsidP="00F52BE0">
      <w:pPr>
        <w:spacing w:line="276" w:lineRule="auto"/>
        <w:jc w:val="both"/>
        <w:rPr>
          <w:rFonts w:ascii="Verdana" w:hAnsi="Verdana"/>
        </w:rPr>
      </w:pPr>
      <w:r w:rsidRPr="00F52BE0">
        <w:rPr>
          <w:rFonts w:ascii="Verdana" w:hAnsi="Verdana"/>
        </w:rPr>
        <w:t>Durante los días 26 al 29 de mayo se llevó a cabo el “Primer encuentro Nacional de Prevención, Investigación y Judicialización de los delitos relacionados con las violencias contra las niñas, niños y adolescentes, incluyendo la Trata de NNA y la Explotación Sexual”, con el eslogan de prevención con la estrategia nacional #EsoEsCuento.</w:t>
      </w:r>
    </w:p>
    <w:p w14:paraId="2640F79D" w14:textId="644BB852" w:rsidR="00EC097A" w:rsidRDefault="00EC097A" w:rsidP="00EC097A">
      <w:pPr>
        <w:spacing w:line="276" w:lineRule="auto"/>
        <w:jc w:val="both"/>
        <w:rPr>
          <w:rFonts w:ascii="Verdana" w:hAnsi="Verdana"/>
          <w:b/>
          <w:bCs/>
          <w:u w:val="single"/>
        </w:rPr>
      </w:pPr>
      <w:r>
        <w:rPr>
          <w:rFonts w:ascii="Verdana" w:hAnsi="Verdana"/>
          <w:b/>
          <w:bCs/>
          <w:u w:val="single"/>
        </w:rPr>
        <w:t>Jurisdicción Especial para la Paz</w:t>
      </w:r>
    </w:p>
    <w:p w14:paraId="62634069" w14:textId="3965B8E3" w:rsidR="00416C24" w:rsidRDefault="00416C24" w:rsidP="00EC097A">
      <w:pPr>
        <w:spacing w:line="276" w:lineRule="auto"/>
        <w:jc w:val="both"/>
        <w:rPr>
          <w:rFonts w:ascii="Verdana" w:hAnsi="Verdana"/>
        </w:rPr>
      </w:pPr>
      <w:r w:rsidRPr="00416C24">
        <w:rPr>
          <w:rFonts w:ascii="Verdana" w:hAnsi="Verdana"/>
        </w:rPr>
        <w:t>Desde el Acuerdo Final para la Terminación del Conflicto y la Construcción de una Paz Estable y Duradera, firmado entre el Gobierno de Colombia y la antigua guerrilla de las FARC-EP se ha dispuesto como principio orientador el enfoque de género y la especial protección de los derechos de niños, niñas y adolescentes2. Indica el Acuerdo de Paz que “se pondrá especial énfasis en la protección de mujeres, niñas, niños y adolescentes, quienes han sido afectados por las organizaciones criminales objeto de este acuerdo”</w:t>
      </w:r>
      <w:r w:rsidR="00997F7E">
        <w:rPr>
          <w:rStyle w:val="FootnoteReference"/>
          <w:rFonts w:ascii="Verdana" w:hAnsi="Verdana"/>
        </w:rPr>
        <w:footnoteReference w:id="8"/>
      </w:r>
      <w:r w:rsidRPr="00416C24">
        <w:rPr>
          <w:rFonts w:ascii="Verdana" w:hAnsi="Verdana"/>
        </w:rPr>
        <w:t xml:space="preserve">. </w:t>
      </w:r>
    </w:p>
    <w:p w14:paraId="1D0BFDEE" w14:textId="613A5414" w:rsidR="00EC097A" w:rsidRDefault="00416C24" w:rsidP="00EC097A">
      <w:pPr>
        <w:spacing w:line="276" w:lineRule="auto"/>
        <w:jc w:val="both"/>
        <w:rPr>
          <w:rFonts w:ascii="Verdana" w:hAnsi="Verdana"/>
        </w:rPr>
      </w:pPr>
      <w:r w:rsidRPr="00416C24">
        <w:rPr>
          <w:rFonts w:ascii="Verdana" w:hAnsi="Verdana"/>
        </w:rPr>
        <w:t xml:space="preserve">En el mismo documento, respecto de los principios básicos del componente de justicia del </w:t>
      </w:r>
      <w:r w:rsidR="00997F7E" w:rsidRPr="00997F7E">
        <w:rPr>
          <w:rFonts w:ascii="Verdana" w:hAnsi="Verdana"/>
        </w:rPr>
        <w:t xml:space="preserve">Sistema Integral de Verdad, Justicia, Reparación y No Repetición. </w:t>
      </w:r>
      <w:r w:rsidR="00997F7E">
        <w:rPr>
          <w:rFonts w:ascii="Verdana" w:hAnsi="Verdana"/>
        </w:rPr>
        <w:t>(</w:t>
      </w:r>
      <w:r w:rsidRPr="00416C24">
        <w:rPr>
          <w:rFonts w:ascii="Verdana" w:hAnsi="Verdana"/>
        </w:rPr>
        <w:t>SIVJRNR</w:t>
      </w:r>
      <w:r w:rsidR="00997F7E">
        <w:rPr>
          <w:rFonts w:ascii="Verdana" w:hAnsi="Verdana"/>
        </w:rPr>
        <w:t>)</w:t>
      </w:r>
      <w:r w:rsidRPr="00416C24">
        <w:rPr>
          <w:rFonts w:ascii="Verdana" w:hAnsi="Verdana"/>
        </w:rPr>
        <w:t xml:space="preserve"> se afirma que “[e]l funcionamiento del componente de justicia dará énfasis a las necesidades de las víctimas mujeres, niñas y niños, quienes sufren de una manera desproporcionada y diferenciada los efectos de las graves infracciones y violaciones cometidas con ocasión del conflicto”.</w:t>
      </w:r>
    </w:p>
    <w:p w14:paraId="65CA7D1D" w14:textId="77777777" w:rsidR="009B15BF" w:rsidRDefault="00A62F48" w:rsidP="00EC097A">
      <w:pPr>
        <w:spacing w:line="276" w:lineRule="auto"/>
        <w:jc w:val="both"/>
        <w:rPr>
          <w:rFonts w:ascii="Verdana" w:hAnsi="Verdana"/>
        </w:rPr>
      </w:pPr>
      <w:r w:rsidRPr="00A62F48">
        <w:rPr>
          <w:rFonts w:ascii="Verdana" w:hAnsi="Verdana"/>
        </w:rPr>
        <w:t>Por su parte, el Acto Legislativo 01 de 2017, por medio del cual se crea un título de disposiciones en la Constitución Política, con el objetivo de implementar el Acuerdo de Paz, en el primer parágrafo del artículo 1° se indica que “[e]l Sistema Integral tendrá un enfoque territorial, diferencial y de género, que corresponde a las características particulares de la victimización en cada territorio y cada</w:t>
      </w:r>
      <w:r>
        <w:rPr>
          <w:rFonts w:ascii="Verdana" w:hAnsi="Verdana"/>
        </w:rPr>
        <w:t xml:space="preserve"> </w:t>
      </w:r>
      <w:r w:rsidRPr="00A62F48">
        <w:rPr>
          <w:rFonts w:ascii="Verdana" w:hAnsi="Verdana"/>
        </w:rPr>
        <w:t xml:space="preserve">población y en especial a la protección y atención prioritaria de las mujeres y de los niños y niñas víctimas del conflicto armado”. Así mismo, las leyes 1922 de 2018 y 1957 de 2018 elevan a la categoría de principio los enfoques diferenciales a NNA y mujeres, en el entendido de que son sujetos que sufren de manera </w:t>
      </w:r>
      <w:r w:rsidRPr="00A62F48">
        <w:rPr>
          <w:rFonts w:ascii="Verdana" w:hAnsi="Verdana"/>
        </w:rPr>
        <w:lastRenderedPageBreak/>
        <w:t>desproporcionada y diferenciada los efectos de las graves infracciones al DIH en el marco de un conflicto armado</w:t>
      </w:r>
      <w:r w:rsidR="009B15BF">
        <w:rPr>
          <w:rStyle w:val="FootnoteReference"/>
          <w:rFonts w:ascii="Verdana" w:hAnsi="Verdana"/>
        </w:rPr>
        <w:footnoteReference w:id="9"/>
      </w:r>
      <w:r w:rsidRPr="00A62F48">
        <w:rPr>
          <w:rFonts w:ascii="Verdana" w:hAnsi="Verdana"/>
        </w:rPr>
        <w:t xml:space="preserve">. </w:t>
      </w:r>
    </w:p>
    <w:p w14:paraId="2BC65B24" w14:textId="77777777" w:rsidR="009B15BF" w:rsidRDefault="00A62F48" w:rsidP="00EC097A">
      <w:pPr>
        <w:spacing w:line="276" w:lineRule="auto"/>
        <w:jc w:val="both"/>
        <w:rPr>
          <w:rFonts w:ascii="Verdana" w:hAnsi="Verdana"/>
        </w:rPr>
      </w:pPr>
      <w:r w:rsidRPr="00A62F48">
        <w:rPr>
          <w:rFonts w:ascii="Verdana" w:hAnsi="Verdana"/>
        </w:rPr>
        <w:t xml:space="preserve">Aterrizando estas disposiciones constitucionales y legales al quehacer de la JEP, y en aplicación de fuentes como el derecho internacional, se han utilizado como fundamentos para imputar delitos cometidos en contra de mujeres y NNA los Convenios de Ginebra, la Convención sobre la Eliminación de Todas las Formas de Discriminación contra la Mujer y la Convención Interamericana para Prevenir, Sancionar y Erradicar la Violencia contra las Mujeres. </w:t>
      </w:r>
    </w:p>
    <w:p w14:paraId="4789E9E1" w14:textId="5AF607D9" w:rsidR="00A62F48" w:rsidRDefault="00A62F48" w:rsidP="00EC097A">
      <w:pPr>
        <w:spacing w:line="276" w:lineRule="auto"/>
        <w:jc w:val="both"/>
        <w:rPr>
          <w:rFonts w:ascii="Verdana" w:hAnsi="Verdana"/>
        </w:rPr>
      </w:pPr>
      <w:r w:rsidRPr="00A62F48">
        <w:rPr>
          <w:rFonts w:ascii="Verdana" w:hAnsi="Verdana"/>
        </w:rPr>
        <w:t>De igual manera, la JEP cuenta internamente con una Comisión de Género</w:t>
      </w:r>
      <w:r w:rsidR="005D6415">
        <w:rPr>
          <w:rStyle w:val="FootnoteReference"/>
          <w:rFonts w:ascii="Verdana" w:hAnsi="Verdana"/>
        </w:rPr>
        <w:footnoteReference w:id="10"/>
      </w:r>
      <w:r w:rsidRPr="00A62F48">
        <w:rPr>
          <w:rFonts w:ascii="Verdana" w:hAnsi="Verdana"/>
        </w:rPr>
        <w:t xml:space="preserve"> cuyo objetivo es promover la efectiva implementación del enfoque de género en el componente de justicia del SIVJRNR. La Comisión tiene como fines promover la igualdad entre hombres y mujeres, la no discriminación y evitar la exclusión de las personas con identidades de género y orientaciones sexuales diversas en las decisiones judiciales, en el servicio público de la administración de justicia y en el funcionamiento de la JEP.</w:t>
      </w:r>
    </w:p>
    <w:p w14:paraId="7DCA93B5" w14:textId="69822353" w:rsidR="0086218A" w:rsidRDefault="0086218A" w:rsidP="00EC097A">
      <w:pPr>
        <w:spacing w:line="276" w:lineRule="auto"/>
        <w:jc w:val="both"/>
        <w:rPr>
          <w:rFonts w:ascii="Verdana" w:hAnsi="Verdana"/>
        </w:rPr>
      </w:pPr>
      <w:r w:rsidRPr="0086218A">
        <w:rPr>
          <w:rFonts w:ascii="Verdana" w:hAnsi="Verdana"/>
        </w:rPr>
        <w:t xml:space="preserve">Sumado a lo anterior, en el marco del </w:t>
      </w:r>
      <w:proofErr w:type="spellStart"/>
      <w:r w:rsidRPr="0086218A">
        <w:rPr>
          <w:rFonts w:ascii="Verdana" w:hAnsi="Verdana"/>
        </w:rPr>
        <w:t>macrocaso</w:t>
      </w:r>
      <w:proofErr w:type="spellEnd"/>
      <w:r w:rsidRPr="0086218A">
        <w:rPr>
          <w:rFonts w:ascii="Verdana" w:hAnsi="Verdana"/>
        </w:rPr>
        <w:t xml:space="preserve"> 03, se ha hecho uso de las funciones consultivas de la Comisión de Género, y sus conceptos han sido utilizados como criterio orientador para la aplicación del DIH y DIDH en las decisiones judiciales que se han tomado, relacionadas con la investigación de graves crímenes cometidos en contra de mujeres y NNA en el marco del conflicto armado colombiano. En este sentido, se destaca como buena práctica la investigación y juzgamiento, que ha realizado la SRVR de los delitos más graves y representativos del conflicto armado cometidos en contra de mujeres y NNA.</w:t>
      </w:r>
    </w:p>
    <w:p w14:paraId="0529C8D6" w14:textId="5529462D" w:rsidR="00D45E53" w:rsidRDefault="00D45E53" w:rsidP="00EC097A">
      <w:pPr>
        <w:spacing w:line="276" w:lineRule="auto"/>
        <w:jc w:val="both"/>
        <w:rPr>
          <w:rFonts w:ascii="Verdana" w:hAnsi="Verdana"/>
        </w:rPr>
      </w:pPr>
      <w:r w:rsidRPr="00D45E53">
        <w:rPr>
          <w:rFonts w:ascii="Verdana" w:hAnsi="Verdana"/>
        </w:rPr>
        <w:t xml:space="preserve">En el Auto SRVR 128 del 7 de julio de 2021, por medio del cual se determinaron los hechos y conductas del Caso 03, </w:t>
      </w:r>
      <w:proofErr w:type="spellStart"/>
      <w:r w:rsidRPr="00D45E53">
        <w:rPr>
          <w:rFonts w:ascii="Verdana" w:hAnsi="Verdana"/>
        </w:rPr>
        <w:t>subcaso</w:t>
      </w:r>
      <w:proofErr w:type="spellEnd"/>
      <w:r w:rsidRPr="00D45E53">
        <w:rPr>
          <w:rFonts w:ascii="Verdana" w:hAnsi="Verdana"/>
        </w:rPr>
        <w:t xml:space="preserve"> Costa Caribe, por los hechos ocurridos entre el 9 de enero de 2002 y el 9 de julio de 2005, atribuibles a miembros del Batallón de Artillería No. 2 “La Popa”, se logró identificar que mujeres, niños y niñas sufrieron un daño diferenciado. Por ejemplo, el haberles quitado la vida a ciertas personas que eran padres o madres dejó a </w:t>
      </w:r>
      <w:proofErr w:type="gramStart"/>
      <w:r w:rsidRPr="00D45E53">
        <w:rPr>
          <w:rFonts w:ascii="Verdana" w:hAnsi="Verdana"/>
        </w:rPr>
        <w:t>niños y niñas</w:t>
      </w:r>
      <w:proofErr w:type="gramEnd"/>
      <w:r w:rsidRPr="00D45E53">
        <w:rPr>
          <w:rFonts w:ascii="Verdana" w:hAnsi="Verdana"/>
        </w:rPr>
        <w:t xml:space="preserve"> huérfanas. Así mismo, se identificó que el Batallón La Popa presentó a tres adolescentes ilegítimamente como muertes en combate, siendo uno de ellos una niña perteneciente al pueblo </w:t>
      </w:r>
      <w:proofErr w:type="spellStart"/>
      <w:r w:rsidRPr="00D45E53">
        <w:rPr>
          <w:rFonts w:ascii="Verdana" w:hAnsi="Verdana"/>
        </w:rPr>
        <w:t>wiwa</w:t>
      </w:r>
      <w:proofErr w:type="spellEnd"/>
      <w:r w:rsidRPr="00D45E53">
        <w:rPr>
          <w:rFonts w:ascii="Verdana" w:hAnsi="Verdana"/>
        </w:rPr>
        <w:t xml:space="preserve">. Se determinaron dichos homicidios, y el Auto en mención hace hincapié en la obligación del Estado colombiano de evitar que </w:t>
      </w:r>
      <w:proofErr w:type="gramStart"/>
      <w:r w:rsidRPr="00D45E53">
        <w:rPr>
          <w:rFonts w:ascii="Verdana" w:hAnsi="Verdana"/>
        </w:rPr>
        <w:t>los niños y niñas</w:t>
      </w:r>
      <w:proofErr w:type="gramEnd"/>
      <w:r w:rsidRPr="00D45E53">
        <w:rPr>
          <w:rFonts w:ascii="Verdana" w:hAnsi="Verdana"/>
        </w:rPr>
        <w:t xml:space="preserve"> participen en el conflicto armado, de acuerdo con la Convención sobre los Derechos del Niño (párrafo 609), y en aplicación de estos preceptos, </w:t>
      </w:r>
      <w:r w:rsidRPr="00D45E53">
        <w:rPr>
          <w:rFonts w:ascii="Verdana" w:hAnsi="Verdana"/>
        </w:rPr>
        <w:lastRenderedPageBreak/>
        <w:t>se determinó que</w:t>
      </w:r>
      <w:r w:rsidR="00D764B9">
        <w:rPr>
          <w:rFonts w:ascii="Verdana" w:hAnsi="Verdana"/>
        </w:rPr>
        <w:t xml:space="preserve"> </w:t>
      </w:r>
      <w:r w:rsidR="00D764B9" w:rsidRPr="00D764B9">
        <w:rPr>
          <w:rFonts w:ascii="Verdana" w:hAnsi="Verdana"/>
        </w:rPr>
        <w:t>miembros del Batallón La Popa normalizaron la victimización de menores de edad.</w:t>
      </w:r>
    </w:p>
    <w:p w14:paraId="7AC77EB4" w14:textId="77777777" w:rsidR="00D764B9" w:rsidRDefault="00D764B9" w:rsidP="00EC097A">
      <w:pPr>
        <w:spacing w:line="276" w:lineRule="auto"/>
        <w:jc w:val="both"/>
        <w:rPr>
          <w:rFonts w:ascii="Verdana" w:hAnsi="Verdana"/>
        </w:rPr>
      </w:pPr>
      <w:r w:rsidRPr="00D764B9">
        <w:rPr>
          <w:rFonts w:ascii="Verdana" w:hAnsi="Verdana"/>
        </w:rPr>
        <w:t xml:space="preserve">En el Auto </w:t>
      </w:r>
      <w:proofErr w:type="gramStart"/>
      <w:r w:rsidRPr="00D764B9">
        <w:rPr>
          <w:rFonts w:ascii="Verdana" w:hAnsi="Verdana"/>
        </w:rPr>
        <w:t>Sub D</w:t>
      </w:r>
      <w:proofErr w:type="gramEnd"/>
      <w:r w:rsidRPr="00D764B9">
        <w:rPr>
          <w:rFonts w:ascii="Verdana" w:hAnsi="Verdana"/>
        </w:rPr>
        <w:t xml:space="preserve"> 055 de 2022, por medio del cual se determinaron los hechos y conductas en el marco del Caso 03 – </w:t>
      </w:r>
      <w:proofErr w:type="spellStart"/>
      <w:r w:rsidRPr="00D764B9">
        <w:rPr>
          <w:rFonts w:ascii="Verdana" w:hAnsi="Verdana"/>
        </w:rPr>
        <w:t>Subcaso</w:t>
      </w:r>
      <w:proofErr w:type="spellEnd"/>
      <w:r w:rsidRPr="00D764B9">
        <w:rPr>
          <w:rFonts w:ascii="Verdana" w:hAnsi="Verdana"/>
        </w:rPr>
        <w:t xml:space="preserve"> Casanare- por hechos ocurridos entre el 2005 y 2008, y teniendo como responsables a algunos miembros de la Brigada XVI del Ejército Nacional, en el apartado D, se dedica un subtítulo completo a desarrollar la práctica de la utilización de niños, niñas y adolescentes y su implicación como crimen de guerra. </w:t>
      </w:r>
    </w:p>
    <w:p w14:paraId="722F8B10" w14:textId="79317E4E" w:rsidR="00D764B9" w:rsidRDefault="00D764B9" w:rsidP="00EC097A">
      <w:pPr>
        <w:spacing w:line="276" w:lineRule="auto"/>
        <w:jc w:val="both"/>
        <w:rPr>
          <w:rFonts w:ascii="Verdana" w:hAnsi="Verdana"/>
        </w:rPr>
      </w:pPr>
      <w:r w:rsidRPr="00D764B9">
        <w:rPr>
          <w:rFonts w:ascii="Verdana" w:hAnsi="Verdana"/>
        </w:rPr>
        <w:t>En esta providencia se indica que la utilización de NNA para participar en hostilidades es una conducta tipificada en el artículo 162 del Código Penal. También se determinó que efectivos de la Brigada XVI reclutaron a menores de 18 años para ampliar su red de reclutadores externos entre 2006 y 2007 (párrafo 597 y ss.). Es decir, menores de edad fueron instrumentalizados para realizar una conducta esencial para la comisión de ejecuciones y desapariciones forzadas de personas que serían presentadas como bajas en combate, esto es, el engaño a personas que serían posteriormente víctimas del Ejército.</w:t>
      </w:r>
    </w:p>
    <w:p w14:paraId="2A011E64" w14:textId="77777777" w:rsidR="00A001F1" w:rsidRDefault="00A001F1" w:rsidP="00EC097A">
      <w:pPr>
        <w:spacing w:line="276" w:lineRule="auto"/>
        <w:jc w:val="both"/>
        <w:rPr>
          <w:rFonts w:ascii="Verdana" w:hAnsi="Verdana"/>
        </w:rPr>
      </w:pPr>
      <w:r w:rsidRPr="00A001F1">
        <w:rPr>
          <w:rFonts w:ascii="Verdana" w:hAnsi="Verdana"/>
        </w:rPr>
        <w:t xml:space="preserve">Para el caso del Auto SUB D 008 del 31 de marzo de 2025, por medio del cual se determinan los hechos y conductas en el marco del Caso 03 – </w:t>
      </w:r>
      <w:proofErr w:type="spellStart"/>
      <w:r w:rsidRPr="00A001F1">
        <w:rPr>
          <w:rFonts w:ascii="Verdana" w:hAnsi="Verdana"/>
        </w:rPr>
        <w:t>Subcaso</w:t>
      </w:r>
      <w:proofErr w:type="spellEnd"/>
      <w:r w:rsidRPr="00A001F1">
        <w:rPr>
          <w:rFonts w:ascii="Verdana" w:hAnsi="Verdana"/>
        </w:rPr>
        <w:t xml:space="preserve"> Costa Caribe, ocurridos entre enero de 2002 y octubre de 2008, a manos de algunos integrantes de unidades militares de la Costa Caribe, se pudo identificar que veintiséis niños, niñas y adolescentes fueron asesinados e ilegítimamente presentados como muertes en combate, incluyendo un adolescente no identificado de unos 16 años, a manos de efectivos de unidades militares. </w:t>
      </w:r>
    </w:p>
    <w:p w14:paraId="4B88765A" w14:textId="01B8CF9B" w:rsidR="00A001F1" w:rsidRDefault="00A001F1" w:rsidP="00EC097A">
      <w:pPr>
        <w:spacing w:line="276" w:lineRule="auto"/>
        <w:jc w:val="both"/>
        <w:rPr>
          <w:rFonts w:ascii="Verdana" w:hAnsi="Verdana"/>
        </w:rPr>
      </w:pPr>
      <w:r w:rsidRPr="00A001F1">
        <w:rPr>
          <w:rFonts w:ascii="Verdana" w:hAnsi="Verdana"/>
        </w:rPr>
        <w:t>En las mismas providencias se han incluido análisis sobre el impacto diferencial que han sufrido las mujeres en contextos de conflicto armado. En estos contextos se da por las condiciones estructurales de discriminación que sistemas tradicionalmente jerárquico-patriarcales generan sobre niñas y mujeres, quienes tienen que soportar violencias orientadas a recordarles el supuesto lugar inferior que les correspondería en la sociedad en relación con el hombre, castigando cualquier comportamiento considerado transgresor o contradictor de ese orden social.</w:t>
      </w:r>
    </w:p>
    <w:p w14:paraId="62C14205" w14:textId="77777777" w:rsidR="008872B5" w:rsidRDefault="00C935CD" w:rsidP="00EC097A">
      <w:pPr>
        <w:spacing w:line="276" w:lineRule="auto"/>
        <w:jc w:val="both"/>
        <w:rPr>
          <w:rFonts w:ascii="Verdana" w:hAnsi="Verdana"/>
        </w:rPr>
      </w:pPr>
      <w:r w:rsidRPr="00C935CD">
        <w:rPr>
          <w:rFonts w:ascii="Verdana" w:hAnsi="Verdana"/>
        </w:rPr>
        <w:t xml:space="preserve">Finalmente, si bien en los Caso 08 y 11, en sus </w:t>
      </w:r>
      <w:proofErr w:type="spellStart"/>
      <w:r w:rsidRPr="00C935CD">
        <w:rPr>
          <w:rFonts w:ascii="Verdana" w:hAnsi="Verdana"/>
        </w:rPr>
        <w:t>subcasos</w:t>
      </w:r>
      <w:proofErr w:type="spellEnd"/>
      <w:r w:rsidRPr="00C935CD">
        <w:rPr>
          <w:rFonts w:ascii="Verdana" w:hAnsi="Verdana"/>
        </w:rPr>
        <w:t xml:space="preserve"> Antioquia, Gran Magdalena y </w:t>
      </w:r>
      <w:proofErr w:type="spellStart"/>
      <w:r w:rsidRPr="00C935CD">
        <w:rPr>
          <w:rFonts w:ascii="Verdana" w:hAnsi="Verdana"/>
        </w:rPr>
        <w:t>subcaso</w:t>
      </w:r>
      <w:proofErr w:type="spellEnd"/>
      <w:r w:rsidRPr="00C935CD">
        <w:rPr>
          <w:rFonts w:ascii="Verdana" w:hAnsi="Verdana"/>
        </w:rPr>
        <w:t xml:space="preserve"> 2, respectivamente, no se ha emitido ADHC, es importante mencionar que, en esta fase de investigación, de acuerdo con los autos de apertura de cada </w:t>
      </w:r>
      <w:proofErr w:type="spellStart"/>
      <w:r w:rsidRPr="00C935CD">
        <w:rPr>
          <w:rFonts w:ascii="Verdana" w:hAnsi="Verdana"/>
        </w:rPr>
        <w:t>macrocaso</w:t>
      </w:r>
      <w:proofErr w:type="spellEnd"/>
      <w:r w:rsidRPr="00C935CD">
        <w:rPr>
          <w:rFonts w:ascii="Verdana" w:hAnsi="Verdana"/>
        </w:rPr>
        <w:t>, se cuenta con un universo provisional de hechos que incluye hechos en los que resultaron como víctimas niños, niñas y</w:t>
      </w:r>
      <w:r w:rsidR="008B7AB3">
        <w:rPr>
          <w:rFonts w:ascii="Verdana" w:hAnsi="Verdana"/>
        </w:rPr>
        <w:t xml:space="preserve"> </w:t>
      </w:r>
      <w:r w:rsidR="008B7AB3" w:rsidRPr="008B7AB3">
        <w:rPr>
          <w:rFonts w:ascii="Verdana" w:hAnsi="Verdana"/>
        </w:rPr>
        <w:t xml:space="preserve">adolescentes. Por ejemplo, en el Auto SRVR 104 del 30 de agosto de 2022, por </w:t>
      </w:r>
      <w:r w:rsidR="008B7AB3" w:rsidRPr="008B7AB3">
        <w:rPr>
          <w:rFonts w:ascii="Verdana" w:hAnsi="Verdana"/>
        </w:rPr>
        <w:lastRenderedPageBreak/>
        <w:t xml:space="preserve">medio del cual se da apertura al </w:t>
      </w:r>
      <w:proofErr w:type="spellStart"/>
      <w:r w:rsidR="008B7AB3" w:rsidRPr="008B7AB3">
        <w:rPr>
          <w:rFonts w:ascii="Verdana" w:hAnsi="Verdana"/>
        </w:rPr>
        <w:t>Macrocaso</w:t>
      </w:r>
      <w:proofErr w:type="spellEnd"/>
      <w:r w:rsidR="008B7AB3" w:rsidRPr="008B7AB3">
        <w:rPr>
          <w:rFonts w:ascii="Verdana" w:hAnsi="Verdana"/>
        </w:rPr>
        <w:t xml:space="preserve"> 08, se incluyen en el UPH hechos de violencia contra </w:t>
      </w:r>
      <w:proofErr w:type="gramStart"/>
      <w:r w:rsidR="008B7AB3" w:rsidRPr="008B7AB3">
        <w:rPr>
          <w:rFonts w:ascii="Verdana" w:hAnsi="Verdana"/>
        </w:rPr>
        <w:t>niños y niñas</w:t>
      </w:r>
      <w:proofErr w:type="gramEnd"/>
      <w:r w:rsidR="008B7AB3" w:rsidRPr="008B7AB3">
        <w:rPr>
          <w:rFonts w:ascii="Verdana" w:hAnsi="Verdana"/>
        </w:rPr>
        <w:t xml:space="preserve"> (párrafo 159 y ss.; párrafo 197 y ss.). </w:t>
      </w:r>
    </w:p>
    <w:p w14:paraId="1D86EEA2" w14:textId="523BFF62" w:rsidR="00C935CD" w:rsidRDefault="008B7AB3" w:rsidP="00EC097A">
      <w:pPr>
        <w:spacing w:line="276" w:lineRule="auto"/>
        <w:jc w:val="both"/>
        <w:rPr>
          <w:rFonts w:ascii="Verdana" w:hAnsi="Verdana"/>
        </w:rPr>
      </w:pPr>
      <w:r w:rsidRPr="008B7AB3">
        <w:rPr>
          <w:rFonts w:ascii="Verdana" w:hAnsi="Verdana"/>
        </w:rPr>
        <w:t xml:space="preserve">Así mismo, en el Auto SRVR No. 05 del 6 de septiembre de 2023, por medio del cual se da apertura al </w:t>
      </w:r>
      <w:proofErr w:type="spellStart"/>
      <w:r w:rsidRPr="008B7AB3">
        <w:rPr>
          <w:rFonts w:ascii="Verdana" w:hAnsi="Verdana"/>
        </w:rPr>
        <w:t>Macrocaso</w:t>
      </w:r>
      <w:proofErr w:type="spellEnd"/>
      <w:r w:rsidRPr="008B7AB3">
        <w:rPr>
          <w:rFonts w:ascii="Verdana" w:hAnsi="Verdana"/>
        </w:rPr>
        <w:t xml:space="preserve"> 11, se indica que se tiene un UPH, a partir de la sistematización de informes presentados por víctimas, en donde se registran alrededor de 35.178 víctimas de violencia sexual, documentadas entre 1957 y 2016. Se indica que del 100% de víctimas del UPH, el 35% corresponde a </w:t>
      </w:r>
      <w:proofErr w:type="gramStart"/>
      <w:r w:rsidRPr="008B7AB3">
        <w:rPr>
          <w:rFonts w:ascii="Verdana" w:hAnsi="Verdana"/>
        </w:rPr>
        <w:t>niños y niñas</w:t>
      </w:r>
      <w:proofErr w:type="gramEnd"/>
      <w:r w:rsidRPr="008B7AB3">
        <w:rPr>
          <w:rFonts w:ascii="Verdana" w:hAnsi="Verdana"/>
        </w:rPr>
        <w:t xml:space="preserve"> al momento de la comisión del delito (párrafo 80 y ss.).</w:t>
      </w:r>
    </w:p>
    <w:p w14:paraId="69D5FF1B" w14:textId="77777777" w:rsidR="008872B5" w:rsidRDefault="008872B5" w:rsidP="00EC097A">
      <w:pPr>
        <w:spacing w:line="276" w:lineRule="auto"/>
        <w:jc w:val="both"/>
        <w:rPr>
          <w:rFonts w:ascii="Verdana" w:hAnsi="Verdana"/>
        </w:rPr>
      </w:pPr>
      <w:r w:rsidRPr="008872B5">
        <w:rPr>
          <w:rFonts w:ascii="Verdana" w:hAnsi="Verdana"/>
        </w:rPr>
        <w:t xml:space="preserve">De lo anterior se entiende entonces que, en estos casos que se encuentran en fase de instrucción Casos 08 y 11-, es probable que se investiguen hechos en los que niños, niñas y adolescentes fueron víctimas. En cualquier caso, los respectivos hallazgos que arrojen las investigaciones serán tenidos en cuenta en el momento de la emisión de los ADHC. </w:t>
      </w:r>
    </w:p>
    <w:p w14:paraId="4C7D5839" w14:textId="77777777" w:rsidR="008872B5" w:rsidRDefault="008872B5" w:rsidP="00EC097A">
      <w:pPr>
        <w:spacing w:line="276" w:lineRule="auto"/>
        <w:jc w:val="both"/>
        <w:rPr>
          <w:rFonts w:ascii="Verdana" w:hAnsi="Verdana"/>
        </w:rPr>
      </w:pPr>
      <w:r w:rsidRPr="008872B5">
        <w:rPr>
          <w:rFonts w:ascii="Verdana" w:hAnsi="Verdana"/>
        </w:rPr>
        <w:t xml:space="preserve">Ahora bien, en el marco del Caso 04, el reclutamiento forzado de NNA indígenas y afrodescendientes se analiza conectándolo con las lógicas de la trata de personas. Dentro de la estrategia judicial se investiga el traslado, acogida y recepción de menores mediante el uso de la fuerza o el aprovechamiento de la vulnerabilidad extrema (falta de oportunidades o soberanía alimentaria en el Atrato), con fines de servidumbre militar y roles de combate y explotación laboral dentro de los campamentos (cocina, mensajería y carga pesada). </w:t>
      </w:r>
    </w:p>
    <w:p w14:paraId="2AE550CF" w14:textId="51A89C34" w:rsidR="008872B5" w:rsidRDefault="008872B5" w:rsidP="00EC097A">
      <w:pPr>
        <w:spacing w:line="276" w:lineRule="auto"/>
        <w:jc w:val="both"/>
        <w:rPr>
          <w:rFonts w:ascii="Verdana" w:hAnsi="Verdana"/>
        </w:rPr>
      </w:pPr>
      <w:r w:rsidRPr="008872B5">
        <w:rPr>
          <w:rFonts w:ascii="Verdana" w:hAnsi="Verdana"/>
        </w:rPr>
        <w:t>Adicionalmente, la violencia sexual y de género no se han abordado como hechos aislados, sino como un patrón donde mujeres y niñas de las cuencas del Atrato fueron sometidas a regímenes de servidumbre doméstica y sexual por parte de los actores armados. A través de los informes orales y escritos de organizaciones étnico-territoriales, se investigan los patrones de sometimiento en los que mujeres eran retenidas contra su voluntad en campamentos o bases para realizar labores domésticas forzadas combinadas con abusos sexuales sistemáticos.</w:t>
      </w:r>
    </w:p>
    <w:p w14:paraId="226CEDE3" w14:textId="77777777" w:rsidR="00D97769" w:rsidRDefault="00D97769" w:rsidP="00EC097A">
      <w:pPr>
        <w:spacing w:line="276" w:lineRule="auto"/>
        <w:jc w:val="both"/>
        <w:rPr>
          <w:rFonts w:ascii="Verdana" w:hAnsi="Verdana"/>
        </w:rPr>
      </w:pPr>
      <w:r w:rsidRPr="00D97769">
        <w:rPr>
          <w:rFonts w:ascii="Verdana" w:hAnsi="Verdana"/>
        </w:rPr>
        <w:t xml:space="preserve">Al subsumir el trabajo forzoso y la trata dentro de los patrones de Control Sociocultural y Territorial y Privaciones Graves de la Libertad, se ha buscado establecer la responsabilidad de los altos mandos, superando la impunidad histórica de estas prácticas coloniales reactivadas por el conflicto armado en el Chocó y el Urabá. </w:t>
      </w:r>
    </w:p>
    <w:p w14:paraId="2FF21DCD" w14:textId="77777777" w:rsidR="00D97769" w:rsidRDefault="00D97769" w:rsidP="00EC097A">
      <w:pPr>
        <w:spacing w:line="276" w:lineRule="auto"/>
        <w:jc w:val="both"/>
        <w:rPr>
          <w:rFonts w:ascii="Verdana" w:hAnsi="Verdana"/>
        </w:rPr>
      </w:pPr>
      <w:r w:rsidRPr="00D97769">
        <w:rPr>
          <w:rFonts w:ascii="Verdana" w:hAnsi="Verdana"/>
        </w:rPr>
        <w:t xml:space="preserve">Por otra parte, en el Caso 05, en los autos 01 de 2023 y 02 de 2024 se atribuyó el patrón de utilización, reclutamiento o alistamiento de </w:t>
      </w:r>
      <w:proofErr w:type="gramStart"/>
      <w:r w:rsidRPr="00D97769">
        <w:rPr>
          <w:rFonts w:ascii="Verdana" w:hAnsi="Verdana"/>
        </w:rPr>
        <w:t>niños y niñas</w:t>
      </w:r>
      <w:proofErr w:type="gramEnd"/>
      <w:r w:rsidRPr="00D97769">
        <w:rPr>
          <w:rFonts w:ascii="Verdana" w:hAnsi="Verdana"/>
        </w:rPr>
        <w:t xml:space="preserve"> de las comunidades de la región para obtener o mantener el control territorial y social de la zona y el crimen de guerra de utilización, reclutamiento o alistamiento de </w:t>
      </w:r>
      <w:proofErr w:type="gramStart"/>
      <w:r w:rsidRPr="00D97769">
        <w:rPr>
          <w:rFonts w:ascii="Verdana" w:hAnsi="Verdana"/>
        </w:rPr>
        <w:t>niños y niñas</w:t>
      </w:r>
      <w:proofErr w:type="gramEnd"/>
      <w:r w:rsidRPr="00D97769">
        <w:rPr>
          <w:rFonts w:ascii="Verdana" w:hAnsi="Verdana"/>
        </w:rPr>
        <w:t xml:space="preserve">. </w:t>
      </w:r>
    </w:p>
    <w:p w14:paraId="2355100C" w14:textId="47EED1C4" w:rsidR="00D97769" w:rsidRDefault="00D97769" w:rsidP="00EC097A">
      <w:pPr>
        <w:spacing w:line="276" w:lineRule="auto"/>
        <w:jc w:val="both"/>
        <w:rPr>
          <w:rFonts w:ascii="Verdana" w:hAnsi="Verdana"/>
        </w:rPr>
      </w:pPr>
      <w:r w:rsidRPr="00D97769">
        <w:rPr>
          <w:rFonts w:ascii="Verdana" w:hAnsi="Verdana"/>
        </w:rPr>
        <w:lastRenderedPageBreak/>
        <w:t xml:space="preserve">Adicionalmente, en el Caso 07, se recuerda que este tiene por objeto investigar y esclarecer el reclutamiento y utilización de </w:t>
      </w:r>
      <w:proofErr w:type="gramStart"/>
      <w:r w:rsidRPr="00D97769">
        <w:rPr>
          <w:rFonts w:ascii="Verdana" w:hAnsi="Verdana"/>
        </w:rPr>
        <w:t>niños y niñas</w:t>
      </w:r>
      <w:proofErr w:type="gramEnd"/>
      <w:r w:rsidRPr="00D97769">
        <w:rPr>
          <w:rFonts w:ascii="Verdana" w:hAnsi="Verdana"/>
        </w:rPr>
        <w:t xml:space="preserve"> en el conflicto armado y otros crímenes cometidos en su contra en el marco de la vida </w:t>
      </w:r>
      <w:proofErr w:type="spellStart"/>
      <w:r w:rsidRPr="00D97769">
        <w:rPr>
          <w:rFonts w:ascii="Verdana" w:hAnsi="Verdana"/>
        </w:rPr>
        <w:t>intrafilas</w:t>
      </w:r>
      <w:proofErr w:type="spellEnd"/>
      <w:r w:rsidRPr="00D97769">
        <w:rPr>
          <w:rFonts w:ascii="Verdana" w:hAnsi="Verdana"/>
        </w:rPr>
        <w:t xml:space="preserve">. En desarrollo de dicha competencia, la SRVR ha avanzado en la caracterización de la expresión territorial del patrón nacional de reclutamiento y utilización de </w:t>
      </w:r>
      <w:proofErr w:type="gramStart"/>
      <w:r w:rsidRPr="00D97769">
        <w:rPr>
          <w:rFonts w:ascii="Verdana" w:hAnsi="Verdana"/>
        </w:rPr>
        <w:t>niños y niñas</w:t>
      </w:r>
      <w:proofErr w:type="gramEnd"/>
      <w:r w:rsidRPr="00D97769">
        <w:rPr>
          <w:rFonts w:ascii="Verdana" w:hAnsi="Verdana"/>
        </w:rPr>
        <w:t>, las modalidades en las que ocurrió el reclutamiento y la utilización, las características de las regiones de influencia de las FARC-EP en las que sucedieron estos hechos, así como los daños e impactos ocasionados a las víctimas y la identificación de necesidades restaurativas.</w:t>
      </w:r>
    </w:p>
    <w:p w14:paraId="3B67C383" w14:textId="7597DDF2" w:rsidR="00A226E3" w:rsidRDefault="00A226E3" w:rsidP="00EC097A">
      <w:pPr>
        <w:spacing w:line="276" w:lineRule="auto"/>
        <w:jc w:val="both"/>
        <w:rPr>
          <w:rFonts w:ascii="Verdana" w:hAnsi="Verdana"/>
        </w:rPr>
      </w:pPr>
      <w:r w:rsidRPr="00A226E3">
        <w:rPr>
          <w:rFonts w:ascii="Verdana" w:hAnsi="Verdana"/>
        </w:rPr>
        <w:t xml:space="preserve">En relación con la prevención del reclutamiento de </w:t>
      </w:r>
      <w:proofErr w:type="gramStart"/>
      <w:r w:rsidRPr="00A226E3">
        <w:rPr>
          <w:rFonts w:ascii="Verdana" w:hAnsi="Verdana"/>
        </w:rPr>
        <w:t>niños y niñas</w:t>
      </w:r>
      <w:proofErr w:type="gramEnd"/>
      <w:r w:rsidRPr="00A226E3">
        <w:rPr>
          <w:rFonts w:ascii="Verdana" w:hAnsi="Verdana"/>
        </w:rPr>
        <w:t xml:space="preserve">, la SRVR pudo conocer, a partir de los relatos de las víctimas, el llamado especial para que se construyan mecanismos efectivos de prevención del reclutamiento de </w:t>
      </w:r>
      <w:proofErr w:type="gramStart"/>
      <w:r w:rsidRPr="00A226E3">
        <w:rPr>
          <w:rFonts w:ascii="Verdana" w:hAnsi="Verdana"/>
        </w:rPr>
        <w:t>niños y niñas</w:t>
      </w:r>
      <w:proofErr w:type="gramEnd"/>
      <w:r w:rsidRPr="00A226E3">
        <w:rPr>
          <w:rFonts w:ascii="Verdana" w:hAnsi="Verdana"/>
        </w:rPr>
        <w:t xml:space="preserve"> en el país, así como mensajes dirigidos al Estado colombiano y a la sociedad para desarrollar acciones que protejan a </w:t>
      </w:r>
      <w:proofErr w:type="gramStart"/>
      <w:r w:rsidRPr="00A226E3">
        <w:rPr>
          <w:rFonts w:ascii="Verdana" w:hAnsi="Verdana"/>
        </w:rPr>
        <w:t>los niños y niñas</w:t>
      </w:r>
      <w:proofErr w:type="gramEnd"/>
      <w:r w:rsidRPr="00A226E3">
        <w:rPr>
          <w:rFonts w:ascii="Verdana" w:hAnsi="Verdana"/>
        </w:rPr>
        <w:t xml:space="preserve"> de nuevos reclutamientos y eviten que los grupos armados incorporen a sus filas a nuevas víctimas de reclutamiento</w:t>
      </w:r>
      <w:r w:rsidR="00DC7126">
        <w:rPr>
          <w:rStyle w:val="FootnoteReference"/>
          <w:rFonts w:ascii="Verdana" w:hAnsi="Verdana"/>
        </w:rPr>
        <w:footnoteReference w:id="11"/>
      </w:r>
      <w:r w:rsidRPr="00A226E3">
        <w:rPr>
          <w:rFonts w:ascii="Verdana" w:hAnsi="Verdana"/>
        </w:rPr>
        <w:t>.</w:t>
      </w:r>
    </w:p>
    <w:p w14:paraId="62C7AD6F" w14:textId="610103EC" w:rsidR="00A226E3" w:rsidRDefault="00A226E3" w:rsidP="00EC097A">
      <w:pPr>
        <w:spacing w:line="276" w:lineRule="auto"/>
        <w:jc w:val="both"/>
        <w:rPr>
          <w:rFonts w:ascii="Verdana" w:hAnsi="Verdana"/>
        </w:rPr>
      </w:pPr>
      <w:r w:rsidRPr="00A226E3">
        <w:rPr>
          <w:rFonts w:ascii="Verdana" w:hAnsi="Verdana"/>
        </w:rPr>
        <w:t>En el mismo Auto 07 de 2026 se destacaron propuestas presentadas por organizaciones de víctimas orientadas a la prevención del reclutamiento, entre ellas la construcción de espacios de memoria con enfoque restaurativo, de memoria y reconciliación, así como iniciativas de capacitación para desarrollar talleres de prevención del reclutamiento dirigidos a niños y niñas en municipios Programas de Desarrollo con Enfoque Territorial (PDET) y Zonas Más Afectadas por el Conflicto Armado (ZOMAC). La SRVR resaltó estas iniciativas y ordenó su traslado a las instancias competentes para su identificación, evaluación técnica y eventual articulación dentro de las rutas</w:t>
      </w:r>
      <w:r w:rsidR="009B186E">
        <w:rPr>
          <w:rFonts w:ascii="Verdana" w:hAnsi="Verdana"/>
        </w:rPr>
        <w:t xml:space="preserve"> </w:t>
      </w:r>
      <w:r w:rsidR="009B186E" w:rsidRPr="009B186E">
        <w:rPr>
          <w:rFonts w:ascii="Verdana" w:hAnsi="Verdana"/>
        </w:rPr>
        <w:t>restaurativas correspondientes</w:t>
      </w:r>
      <w:r w:rsidR="009B186E">
        <w:rPr>
          <w:rStyle w:val="FootnoteReference"/>
          <w:rFonts w:ascii="Verdana" w:hAnsi="Verdana"/>
        </w:rPr>
        <w:footnoteReference w:id="12"/>
      </w:r>
      <w:r w:rsidR="009B186E">
        <w:rPr>
          <w:rFonts w:ascii="Verdana" w:hAnsi="Verdana"/>
        </w:rPr>
        <w:t>.</w:t>
      </w:r>
    </w:p>
    <w:p w14:paraId="348E5902" w14:textId="1EBEBB2F" w:rsidR="00CF5399" w:rsidRDefault="00CF5399" w:rsidP="00EC097A">
      <w:pPr>
        <w:spacing w:line="276" w:lineRule="auto"/>
        <w:jc w:val="both"/>
        <w:rPr>
          <w:rFonts w:ascii="Verdana" w:hAnsi="Verdana"/>
        </w:rPr>
      </w:pPr>
      <w:r w:rsidRPr="00CF5399">
        <w:rPr>
          <w:rFonts w:ascii="Verdana" w:hAnsi="Verdana"/>
        </w:rPr>
        <w:t xml:space="preserve">En materia de identificación y reparación de las víctimas, la Sala señaló que ha servido como facilitadora de acceso a derechos mediante su articulación institucional con la UARIV, ayudando a remover barreras que impiden a las víctimas acceder a mecanismos de reparación administrativa. Igualmente, destacó que, a través de la mesa de trabajo formalizada en el Auto No. 05 de 2024, algunas víctimas acreditadas accedieron finalmente al Registro Único de Víctimas (RUV) y a componentes de reparación de los que habían sido históricamente excluidas. Además, indicó que el trabajo coordinado entre la SRVR y la UARIV permitió la estandarización de mecanismos para la individualización de víctimas y hechos </w:t>
      </w:r>
      <w:proofErr w:type="spellStart"/>
      <w:r w:rsidRPr="00CF5399">
        <w:rPr>
          <w:rFonts w:ascii="Verdana" w:hAnsi="Verdana"/>
        </w:rPr>
        <w:t>victimizantes</w:t>
      </w:r>
      <w:proofErr w:type="spellEnd"/>
      <w:r w:rsidRPr="00CF5399">
        <w:rPr>
          <w:rFonts w:ascii="Verdana" w:hAnsi="Verdana"/>
        </w:rPr>
        <w:t xml:space="preserve">, la creación de una ruta </w:t>
      </w:r>
      <w:r w:rsidRPr="00CF5399">
        <w:rPr>
          <w:rFonts w:ascii="Verdana" w:hAnsi="Verdana"/>
        </w:rPr>
        <w:lastRenderedPageBreak/>
        <w:t>judicial para víctimas acreditadas por la JEP y la inclusión de víctimas en el RUV mediante dicha vía</w:t>
      </w:r>
      <w:r>
        <w:rPr>
          <w:rStyle w:val="FootnoteReference"/>
          <w:rFonts w:ascii="Verdana" w:hAnsi="Verdana"/>
        </w:rPr>
        <w:footnoteReference w:id="13"/>
      </w:r>
      <w:r w:rsidRPr="00CF5399">
        <w:rPr>
          <w:rFonts w:ascii="Verdana" w:hAnsi="Verdana"/>
        </w:rPr>
        <w:t xml:space="preserve">. </w:t>
      </w:r>
    </w:p>
    <w:p w14:paraId="22F55325" w14:textId="02BD9371" w:rsidR="00CF5399" w:rsidRDefault="00CF5399" w:rsidP="00EC097A">
      <w:pPr>
        <w:spacing w:line="276" w:lineRule="auto"/>
        <w:jc w:val="both"/>
        <w:rPr>
          <w:rFonts w:ascii="Verdana" w:hAnsi="Verdana"/>
        </w:rPr>
      </w:pPr>
      <w:r w:rsidRPr="00CF5399">
        <w:rPr>
          <w:rFonts w:ascii="Verdana" w:hAnsi="Verdana"/>
        </w:rPr>
        <w:t>Por su parte, en la Sala de Amnistía o Indulto</w:t>
      </w:r>
      <w:r w:rsidR="007578C9">
        <w:rPr>
          <w:rFonts w:ascii="Verdana" w:hAnsi="Verdana"/>
        </w:rPr>
        <w:t xml:space="preserve"> (SAI)</w:t>
      </w:r>
      <w:r w:rsidRPr="00CF5399">
        <w:rPr>
          <w:rFonts w:ascii="Verdana" w:hAnsi="Verdana"/>
        </w:rPr>
        <w:t xml:space="preserve"> se han abordado situaciones de seguridad de conocimiento de la SAI en casos de víctimas y comparecientes En atención a los riesgos de seguridad que persisten en distintas regiones del país como consecuencia de las dinámicas de violencia asociadas al conflicto armado y a la actuación de grupos armados y organizaciones criminales, en aquellos casos en los que la SAI tiene conocimiento de amenazas, riesgos extraordinarios o situaciones que puedan comprometer la vida, integridad o seguridad personal de comparecientes y/o víctimas, se ponen en conocimiento del Grupo de Protección a Víctimas, Testigos y demás Intervinientes de la Unidad de Investigación y Acusación (UIA) de la JEP, con el fin de que, de conformidad con sus competencias y procedimientos, adelante las valoraciones de riesgo correspondientes y determine la adopción de las medidas de protección que resulten procedentes en cada caso. </w:t>
      </w:r>
    </w:p>
    <w:p w14:paraId="04EC04B3" w14:textId="53F96DC7" w:rsidR="00CF5399" w:rsidRDefault="00CF5399" w:rsidP="00EC097A">
      <w:pPr>
        <w:spacing w:line="276" w:lineRule="auto"/>
        <w:jc w:val="both"/>
        <w:rPr>
          <w:rFonts w:ascii="Verdana" w:hAnsi="Verdana"/>
        </w:rPr>
      </w:pPr>
      <w:r w:rsidRPr="00CF5399">
        <w:rPr>
          <w:rFonts w:ascii="Verdana" w:hAnsi="Verdana"/>
        </w:rPr>
        <w:t>Asimismo, cuando la información puesta en conocimiento de la SAI se refiere a situaciones que exceden el ámbito de competencias de la JEP, esta es remitida a las entidades estatales competentes, particularmente a la UNP, para que, en el marco de sus funciones, evalúen el caso y adopten las medidas que resulten pertinentes. Adicionalmente, la SAI realiza seguimiento a las actuaciones adelantadas por dichas entidades, solicitando información sobre las medidas adoptadas y su estado de implementación.</w:t>
      </w:r>
    </w:p>
    <w:p w14:paraId="00AE8FC1" w14:textId="549E20E8" w:rsidR="00BC195E" w:rsidRDefault="00BC195E" w:rsidP="00EC097A">
      <w:pPr>
        <w:spacing w:line="276" w:lineRule="auto"/>
        <w:jc w:val="both"/>
        <w:rPr>
          <w:rFonts w:ascii="Verdana" w:hAnsi="Verdana"/>
        </w:rPr>
      </w:pPr>
      <w:r w:rsidRPr="00BC195E">
        <w:rPr>
          <w:rFonts w:ascii="Verdana" w:hAnsi="Verdana"/>
        </w:rPr>
        <w:t>Desde el 2022, la SAI ha realizado visitas a 18 antiguos Espacios Territoriales de Capacitación y Reincorporación (AETCR), ubicados en 14 departamentos del país. Estas jornadas han permitido mantener un contacto directo con las y los comparecientes y conocer de primera mano sus condiciones y necesidades. En ese marco, cuando se ponen en conocimiento situaciones que puedan comprometer su seguridad, los despachos adoptan las actuaciones correspondientes mediante la remisión de la información a la UIA o a la UNP, según corresponda.</w:t>
      </w:r>
    </w:p>
    <w:p w14:paraId="53D4012A" w14:textId="7C637525" w:rsidR="007578C9" w:rsidRDefault="007578C9" w:rsidP="00EC097A">
      <w:pPr>
        <w:spacing w:line="276" w:lineRule="auto"/>
        <w:jc w:val="both"/>
        <w:rPr>
          <w:rFonts w:ascii="Verdana" w:hAnsi="Verdana"/>
        </w:rPr>
      </w:pPr>
      <w:r>
        <w:rPr>
          <w:rFonts w:ascii="Verdana" w:hAnsi="Verdana"/>
        </w:rPr>
        <w:t>La</w:t>
      </w:r>
      <w:r w:rsidRPr="007578C9">
        <w:t xml:space="preserve"> </w:t>
      </w:r>
      <w:r w:rsidRPr="007578C9">
        <w:rPr>
          <w:rFonts w:ascii="Verdana" w:hAnsi="Verdana"/>
        </w:rPr>
        <w:t>SAI ha impulsado las actuaciones necesarias para determinar la eventual configuración de incumplimientos al régimen de condicionalidad y, cuando ello ha resultado procedente, ha adoptado las medidas previstas en el marco normativo de la JEP. A la fecha, ha abierto 92 posibles incidentes de verificación al cumplimiento del régimen de condicionalidad, ha dispuesto la expulsión de 174 comparecientes y ha declarado la existencia de deserción armada manifiesta respecto de 20 personas.</w:t>
      </w:r>
    </w:p>
    <w:p w14:paraId="78D604CD" w14:textId="3360F589" w:rsidR="00CC5FEC" w:rsidRDefault="00CC5FEC" w:rsidP="00EC097A">
      <w:pPr>
        <w:spacing w:line="276" w:lineRule="auto"/>
        <w:jc w:val="both"/>
        <w:rPr>
          <w:rFonts w:ascii="Verdana" w:hAnsi="Verdana"/>
        </w:rPr>
      </w:pPr>
      <w:r w:rsidRPr="00CC5FEC">
        <w:rPr>
          <w:rFonts w:ascii="Verdana" w:hAnsi="Verdana"/>
        </w:rPr>
        <w:lastRenderedPageBreak/>
        <w:t>Por otra parte, la Sala de Definición de Situaciones Jurídicas -SDSJ- ha adoptado un conjunto de medidas institucionales, judiciales y metodológicas que evidencian el cumplimiento efectivo de dicho deber, dentro del marco constitucional y convencional que rige la justicia transicional en Colombia.</w:t>
      </w:r>
    </w:p>
    <w:p w14:paraId="350C3C8E" w14:textId="6EB1744F" w:rsidR="005E417F" w:rsidRDefault="005E417F" w:rsidP="00EC097A">
      <w:pPr>
        <w:spacing w:line="276" w:lineRule="auto"/>
        <w:jc w:val="both"/>
        <w:rPr>
          <w:rFonts w:ascii="Verdana" w:hAnsi="Verdana"/>
        </w:rPr>
      </w:pPr>
      <w:r w:rsidRPr="005E417F">
        <w:rPr>
          <w:rFonts w:ascii="Verdana" w:hAnsi="Verdana"/>
        </w:rPr>
        <w:t>Uno de los avances más significativos en esta materia ha sido la consolidación e implementación de la Ruta No Sancionatoria, concebida como un procedimiento judicial especializado para resolver de manera definitiva la situación jurídica de comparecientes que no fueron seleccionados como máximos responsables, sin renunciar por ello a la obligación de investigar exhaustivamente los hechos, verificar los aportes a la verdad y garantizar plenamente los derechos de las víctimas.</w:t>
      </w:r>
    </w:p>
    <w:p w14:paraId="2E6431E4" w14:textId="44BE1E6F" w:rsidR="006005FB" w:rsidRDefault="006005FB" w:rsidP="00EC097A">
      <w:pPr>
        <w:spacing w:line="276" w:lineRule="auto"/>
        <w:jc w:val="both"/>
        <w:rPr>
          <w:rFonts w:ascii="Verdana" w:hAnsi="Verdana"/>
        </w:rPr>
      </w:pPr>
      <w:r>
        <w:rPr>
          <w:rFonts w:ascii="Verdana" w:hAnsi="Verdana"/>
        </w:rPr>
        <w:t>La</w:t>
      </w:r>
      <w:r w:rsidRPr="006005FB">
        <w:rPr>
          <w:rFonts w:ascii="Verdana" w:hAnsi="Verdana"/>
        </w:rPr>
        <w:t xml:space="preserve"> SDSJ lleva a cabo una valoración rigurosa de los aportes a la verdad, que constituye uno de los principales mecanismos mediante los cuales asegura investigaciones exhaustivas e imparciales. La información suministrada por los comparecientes no es aceptada de manera automática, sino sometida a un proceso de contrastación permanente con múltiples fuentes probatorias, verificando su coherencia, completitud, exhaustividad, especificidad, utilidad y correspondencia con los elementos objetivos recaudados durante las investigaciones.</w:t>
      </w:r>
    </w:p>
    <w:p w14:paraId="618B2883" w14:textId="1977FEEC" w:rsidR="0028179D" w:rsidRDefault="0028179D" w:rsidP="00EC097A">
      <w:pPr>
        <w:spacing w:line="276" w:lineRule="auto"/>
        <w:jc w:val="both"/>
        <w:rPr>
          <w:rFonts w:ascii="Verdana" w:hAnsi="Verdana"/>
        </w:rPr>
      </w:pPr>
      <w:r w:rsidRPr="0028179D">
        <w:rPr>
          <w:rFonts w:ascii="Verdana" w:hAnsi="Verdana"/>
        </w:rPr>
        <w:t xml:space="preserve">En este contexto, la investigación adelantada por la SDSJ no se limita a verificar responsabilidades individuales, sino que incorpora una perspectiva de crimen de sistema, conforme a los estándares desarrollados por la Corte Interamericana de Derechos Humanos para contextos de violaciones masivas y sistemáticas de derechos humanos. Ello ha permitido que las decisiones judiciales de la Sala contribuyan al esclarecimiento de estructuras completas de </w:t>
      </w:r>
      <w:proofErr w:type="spellStart"/>
      <w:r w:rsidRPr="0028179D">
        <w:rPr>
          <w:rFonts w:ascii="Verdana" w:hAnsi="Verdana"/>
        </w:rPr>
        <w:t>macrocriminalidad</w:t>
      </w:r>
      <w:proofErr w:type="spellEnd"/>
      <w:r w:rsidRPr="0028179D">
        <w:rPr>
          <w:rFonts w:ascii="Verdana" w:hAnsi="Verdana"/>
        </w:rPr>
        <w:t>, reconstruyan cadenas de mando, expliquen los contextos institucionales que facilitaron la comisión de los crímenes y aporten elementos sustanciales para comprender la dimensión colectiva de las violaciones ocurridas durante el conflicto armado. La reconstrucción de esta verdad compleja constituye una herramienta indispensable para satisfacer los derechos de las víctimas y garantizar la no repetición de los hecho</w:t>
      </w:r>
      <w:r>
        <w:rPr>
          <w:rFonts w:ascii="Verdana" w:hAnsi="Verdana"/>
        </w:rPr>
        <w:t>s.</w:t>
      </w:r>
    </w:p>
    <w:p w14:paraId="7C93BDB7" w14:textId="3BE7AB6D" w:rsidR="001F7D6F" w:rsidRDefault="001F7D6F" w:rsidP="00EC097A">
      <w:pPr>
        <w:spacing w:line="276" w:lineRule="auto"/>
        <w:jc w:val="both"/>
        <w:rPr>
          <w:rFonts w:ascii="Verdana" w:hAnsi="Verdana"/>
        </w:rPr>
      </w:pPr>
      <w:r w:rsidRPr="001F7D6F">
        <w:rPr>
          <w:rFonts w:ascii="Verdana" w:hAnsi="Verdana"/>
        </w:rPr>
        <w:t xml:space="preserve">Un componente esencial de esta estrategia ha sido la consolidación de la denominada ruta dialógica, mediante la realización de encuentros restaurativos, audiencias de aporte a la verdad, encuentros preparatorios y espacios privados de reconstrucción de hechos, que permiten a víctimas y comparecientes interactuar directamente en escenarios judiciales diseñados para satisfacer las demandas de verdad formuladas por quienes padecieron las violaciones. A diferencia de los procedimientos tradicionales, estos espacios favorecen la formulación directa de preguntas, la solicitud de aclaraciones, la confrontación </w:t>
      </w:r>
      <w:r w:rsidRPr="001F7D6F">
        <w:rPr>
          <w:rFonts w:ascii="Verdana" w:hAnsi="Verdana"/>
        </w:rPr>
        <w:lastRenderedPageBreak/>
        <w:t>de versiones y la construcción colectiva de una verdad relacional basada en el reconocimiento de responsabilidades y en la explicación detallada de los hechos. Durante 2025 y lo corrido de 2026, la SDSJ realizó 452 encuentros restaurativos, 78 audiencias de seguimiento al régimen de condicionalidad y 199 diligencias de aporte temprano a la verdad, fortaleciendo significativamente el acceso efectivo de las víctimas a la justicia restaurativa.</w:t>
      </w:r>
    </w:p>
    <w:p w14:paraId="4FADEF13" w14:textId="700A42BA" w:rsidR="002416E5" w:rsidRDefault="002416E5" w:rsidP="00EC097A">
      <w:pPr>
        <w:spacing w:line="276" w:lineRule="auto"/>
        <w:jc w:val="both"/>
        <w:rPr>
          <w:rFonts w:ascii="Verdana" w:hAnsi="Verdana"/>
        </w:rPr>
      </w:pPr>
      <w:r w:rsidRPr="002416E5">
        <w:rPr>
          <w:rFonts w:ascii="Verdana" w:hAnsi="Verdana"/>
        </w:rPr>
        <w:t>La participación de las víctimas constituye otro de los pilares mediante los cuales la SDSJ materializa la recomendación formulada por el Comité de Derechos Humanos. Todas las actuaciones relevantes son puestas en conocimiento de las víctimas acreditadas, quienes pueden formular observaciones, solicitar pruebas, controvertir los aportes realizados por los comparecientes, intervenir en audiencias, proponer medidas restaurativas e interponer los recursos previstos por la ley. A ello se suma el acompañamiento psicosocial permanente, la adopción de medidas especiales de protección, la incorporación transversal de enfoques diferenciales, territoriales, étnicos y de género, así como la garantía de representación judicial efectiva, elementos que permiten una participación digna, segura y sustancial en cada etapa del procedimiento. La Sala ha entendido que la investigación exhaustiva de graves violaciones a los derechos humanos solo puede alcanzarse cuando las víctimas participan activamente en la</w:t>
      </w:r>
      <w:r w:rsidR="005469FD">
        <w:rPr>
          <w:rFonts w:ascii="Verdana" w:hAnsi="Verdana"/>
        </w:rPr>
        <w:t xml:space="preserve"> </w:t>
      </w:r>
      <w:r w:rsidR="005469FD" w:rsidRPr="005469FD">
        <w:rPr>
          <w:rFonts w:ascii="Verdana" w:hAnsi="Verdana"/>
        </w:rPr>
        <w:t>construcción de la verdad y en la evaluación del cumplimiento de las obligaciones asumidas por los comparecientes.</w:t>
      </w:r>
    </w:p>
    <w:p w14:paraId="490AF8AF" w14:textId="77777777" w:rsidR="00E143F0" w:rsidRDefault="00E143F0" w:rsidP="00EC097A">
      <w:pPr>
        <w:spacing w:line="276" w:lineRule="auto"/>
        <w:jc w:val="both"/>
        <w:rPr>
          <w:rFonts w:ascii="Verdana" w:hAnsi="Verdana"/>
        </w:rPr>
      </w:pPr>
      <w:r w:rsidRPr="00E143F0">
        <w:rPr>
          <w:rFonts w:ascii="Verdana" w:hAnsi="Verdana"/>
        </w:rPr>
        <w:t xml:space="preserve">Igualmente, se han fortalecido los mecanismos destinados a garantizar la rendición de cuentas de quienes comparecen ante la Jurisdicción. Los beneficios propios de la justicia transicional no constituyen prerrogativas automáticas, sino consecuencias jurídicas condicionadas al cumplimiento estricto del régimen de condicionalidad. En desarrollo de este modelo, la SDSJ realiza un seguimiento permanente al comportamiento procesal de los comparecientes, verifica el cumplimiento de sus obligaciones de aportar verdad, reparar a las víctimas y garantizar la no repetición, y adopta medidas frente a los incumplimientos, incluyendo la revocatoria de beneficios, la expulsión de la Jurisdicción y el traslado de los asuntos a la justicia ordinaria cuando corresponda. </w:t>
      </w:r>
    </w:p>
    <w:p w14:paraId="24D1EB24" w14:textId="77777777" w:rsidR="00514FD7" w:rsidRDefault="00E143F0" w:rsidP="00EC097A">
      <w:pPr>
        <w:spacing w:line="276" w:lineRule="auto"/>
        <w:jc w:val="both"/>
        <w:rPr>
          <w:rFonts w:ascii="Verdana" w:hAnsi="Verdana"/>
        </w:rPr>
      </w:pPr>
      <w:r w:rsidRPr="00E143F0">
        <w:rPr>
          <w:rFonts w:ascii="Verdana" w:hAnsi="Verdana"/>
        </w:rPr>
        <w:t xml:space="preserve">De esta manera, se asegura que la obligación internacional de investigar y sancionar las graves violaciones de derechos humanos no resulte incompatible con el modelo restaurativo previsto por el Acuerdo Final, sino que se fortalezca mediante mecanismos eficaces de verificación y control judicial. </w:t>
      </w:r>
    </w:p>
    <w:p w14:paraId="5A4A4099" w14:textId="77777777" w:rsidR="00514FD7" w:rsidRDefault="00E143F0" w:rsidP="00EC097A">
      <w:pPr>
        <w:spacing w:line="276" w:lineRule="auto"/>
        <w:jc w:val="both"/>
        <w:rPr>
          <w:rFonts w:ascii="Verdana" w:hAnsi="Verdana"/>
        </w:rPr>
      </w:pPr>
      <w:r w:rsidRPr="00E143F0">
        <w:rPr>
          <w:rFonts w:ascii="Verdana" w:hAnsi="Verdana"/>
        </w:rPr>
        <w:t xml:space="preserve">Los resultados alcanzados evidencian la efectividad de estas medidas. Durante la vigencia 2025 y lo avanzado de 2026, la SDSJ consolidó la expedición de resoluciones de renuncia a la persecución penal como beneficios definitivos condicionados al cumplimiento de las obligaciones propias de la justicia </w:t>
      </w:r>
      <w:r w:rsidRPr="00E143F0">
        <w:rPr>
          <w:rFonts w:ascii="Verdana" w:hAnsi="Verdana"/>
        </w:rPr>
        <w:lastRenderedPageBreak/>
        <w:t xml:space="preserve">transicional, profiriendo 27 resoluciones que beneficiaron a 629 comparecientes y que recaen sobre 191 hechos, 316 víctimas directas y 648 víctimas indirectas; decisiones que fueron precedidas por rigurosos procesos de </w:t>
      </w:r>
      <w:proofErr w:type="spellStart"/>
      <w:r w:rsidRPr="00E143F0">
        <w:rPr>
          <w:rFonts w:ascii="Verdana" w:hAnsi="Verdana"/>
        </w:rPr>
        <w:t>contrastación</w:t>
      </w:r>
      <w:proofErr w:type="spellEnd"/>
      <w:r w:rsidRPr="00E143F0">
        <w:rPr>
          <w:rFonts w:ascii="Verdana" w:hAnsi="Verdana"/>
        </w:rPr>
        <w:t xml:space="preserve"> y verificación de aportes a la verdad. Así mismo, profirió siete resoluciones que disponen la expulsión de 10 comparecientes, 52 resoluciones que deciden la preclusión en relación con 74 comparecientes y nueve resoluciones que extinguen la acción penal con respecto a nueve comparecientes. </w:t>
      </w:r>
    </w:p>
    <w:p w14:paraId="3FFE2032" w14:textId="77777777" w:rsidR="00514FD7" w:rsidRDefault="00E143F0" w:rsidP="00EC097A">
      <w:pPr>
        <w:spacing w:line="276" w:lineRule="auto"/>
        <w:jc w:val="both"/>
        <w:rPr>
          <w:rFonts w:ascii="Verdana" w:hAnsi="Verdana"/>
        </w:rPr>
      </w:pPr>
      <w:r w:rsidRPr="00E143F0">
        <w:rPr>
          <w:rFonts w:ascii="Verdana" w:hAnsi="Verdana"/>
        </w:rPr>
        <w:t xml:space="preserve">Simultáneamente, la SDSJ fortaleció la participación de las víctimas, amplió la realización de encuentros restaurativos, diseñó e implementó medidas de contribución a la reparación y consolidó el trabajo articulado con otras entidades del Sistema Integral para la Paz y con instituciones estatales encargadas de la búsqueda de personas desaparecidas. Estas actuaciones demuestran que la definición de la situación jurídica de los comparecientes se encuentra indisolublemente ligada a la satisfacción de los derechos de las víctimas y al cumplimiento de las obligaciones internacionales asumidas por el Estado colombiano. </w:t>
      </w:r>
    </w:p>
    <w:p w14:paraId="3F9466F0" w14:textId="7F90DC17" w:rsidR="00E143F0" w:rsidRDefault="00E143F0" w:rsidP="00EC097A">
      <w:pPr>
        <w:spacing w:line="276" w:lineRule="auto"/>
        <w:jc w:val="both"/>
        <w:rPr>
          <w:rFonts w:ascii="Verdana" w:hAnsi="Verdana"/>
        </w:rPr>
      </w:pPr>
      <w:r w:rsidRPr="00E143F0">
        <w:rPr>
          <w:rFonts w:ascii="Verdana" w:hAnsi="Verdana"/>
        </w:rPr>
        <w:t>En suma, la SDSJ ha adoptado un modelo de actuación que armoniza los principios de la justicia transicional con las obligaciones internacionales derivadas del Pacto Internacional de Derechos Civiles y Políticos. Las medidas institucionales implementadas durante los últimos años evidencian que la SDSJ no solo ha continuado, sino que ha intensificado sus esfuerzos para investigar de manera pronta, exhaustiva e imparcial las graves violaciones de derechos humanos relacionadas con el conflicto armado, garantizar el esclarecimiento integral de la verdad, asegurar</w:t>
      </w:r>
      <w:r w:rsidR="003317A0">
        <w:rPr>
          <w:rFonts w:ascii="Verdana" w:hAnsi="Verdana"/>
        </w:rPr>
        <w:t xml:space="preserve"> </w:t>
      </w:r>
      <w:r w:rsidR="003317A0" w:rsidRPr="003317A0">
        <w:rPr>
          <w:rFonts w:ascii="Verdana" w:hAnsi="Verdana"/>
        </w:rPr>
        <w:t>la participación efectiva de las víctimas, exigir la rendición de cuentas de los comparecientes mediante un estricto régimen de condicionalidad y adoptar decisiones judiciales orientadas a materializar los derechos a la verdad, la justicia, la reparación integral y las garantías de no repetición.</w:t>
      </w:r>
    </w:p>
    <w:p w14:paraId="26E15E4B" w14:textId="75745813" w:rsidR="003317A0" w:rsidRDefault="003317A0" w:rsidP="00EC097A">
      <w:pPr>
        <w:spacing w:line="276" w:lineRule="auto"/>
        <w:jc w:val="both"/>
        <w:rPr>
          <w:rFonts w:ascii="Verdana" w:hAnsi="Verdana"/>
        </w:rPr>
      </w:pPr>
      <w:r w:rsidRPr="003317A0">
        <w:rPr>
          <w:rFonts w:ascii="Verdana" w:hAnsi="Verdana"/>
        </w:rPr>
        <w:t>En este sentido, la experiencia desarrollada por la SDSJ constituye una manifestación concreta del compromiso del Estado colombiano con el cumplimiento de las recomendaciones formuladas por el Comité de Derechos Humanos de las Naciones Unidas y con la consolidación de un modelo de justicia transicional compatible con los más altos estándares internacionales de protección de los derechos humanos.</w:t>
      </w:r>
    </w:p>
    <w:p w14:paraId="17D6CF8B" w14:textId="77777777" w:rsidR="005D2F48" w:rsidRDefault="005D2F48" w:rsidP="00EC097A">
      <w:pPr>
        <w:spacing w:line="276" w:lineRule="auto"/>
        <w:jc w:val="both"/>
        <w:rPr>
          <w:rFonts w:ascii="Verdana" w:hAnsi="Verdana"/>
        </w:rPr>
      </w:pPr>
      <w:r w:rsidRPr="005D2F48">
        <w:rPr>
          <w:rFonts w:ascii="Verdana" w:hAnsi="Verdana"/>
        </w:rPr>
        <w:t>Por su parte, la Sección de Primera Instancia para Casos de Reconocimiento de Verdad y Responsabilidad (</w:t>
      </w:r>
      <w:proofErr w:type="spellStart"/>
      <w:r w:rsidRPr="005D2F48">
        <w:rPr>
          <w:rFonts w:ascii="Verdana" w:hAnsi="Verdana"/>
        </w:rPr>
        <w:t>SeRVR</w:t>
      </w:r>
      <w:proofErr w:type="spellEnd"/>
      <w:r w:rsidRPr="005D2F48">
        <w:rPr>
          <w:rFonts w:ascii="Verdana" w:hAnsi="Verdana"/>
        </w:rPr>
        <w:t xml:space="preserve">) tiene competencia para adelantar la etapa de juicio respecto de aquellos máximos responsables que han reconocido su responsabilidad por los crímenes previamente imputados por la SRVR, e incluidos en las respectivas Resoluciones de Conclusiones que le son remitidas. </w:t>
      </w:r>
    </w:p>
    <w:p w14:paraId="2F365C05" w14:textId="01F00CB7" w:rsidR="005D2F48" w:rsidRDefault="005D2F48" w:rsidP="00EC097A">
      <w:pPr>
        <w:spacing w:line="276" w:lineRule="auto"/>
        <w:jc w:val="both"/>
        <w:rPr>
          <w:rFonts w:ascii="Verdana" w:hAnsi="Verdana"/>
        </w:rPr>
      </w:pPr>
      <w:r w:rsidRPr="005D2F48">
        <w:rPr>
          <w:rFonts w:ascii="Verdana" w:hAnsi="Verdana"/>
        </w:rPr>
        <w:lastRenderedPageBreak/>
        <w:t xml:space="preserve">A la fecha, la </w:t>
      </w:r>
      <w:proofErr w:type="spellStart"/>
      <w:r w:rsidRPr="005D2F48">
        <w:rPr>
          <w:rFonts w:ascii="Verdana" w:hAnsi="Verdana"/>
        </w:rPr>
        <w:t>SeRVR</w:t>
      </w:r>
      <w:proofErr w:type="spellEnd"/>
      <w:r w:rsidRPr="005D2F48">
        <w:rPr>
          <w:rFonts w:ascii="Verdana" w:hAnsi="Verdana"/>
        </w:rPr>
        <w:t xml:space="preserve"> ha recibido cinco Resoluciones de Conclusiones</w:t>
      </w:r>
      <w:r w:rsidR="006F7E37">
        <w:rPr>
          <w:rStyle w:val="FootnoteReference"/>
          <w:rFonts w:ascii="Verdana" w:hAnsi="Verdana"/>
        </w:rPr>
        <w:footnoteReference w:id="14"/>
      </w:r>
      <w:r w:rsidRPr="005D2F48">
        <w:rPr>
          <w:rFonts w:ascii="Verdana" w:hAnsi="Verdana"/>
        </w:rPr>
        <w:t xml:space="preserve"> y ha adelantado el trámite de la etapa de juicio correspondiente. Como resultado de estas actuaciones, ha proferido dos sentencias mediante las cuales declaró la responsabilidad penal e impuso sanciones propias a 19 máximos responsables, correspondientes a siete exintegrantes del último Secretariado de las FARC-EP y 12 integrantes de la Fuerza Pública. </w:t>
      </w:r>
    </w:p>
    <w:p w14:paraId="30E6EE99" w14:textId="26E4B667" w:rsidR="005D2F48" w:rsidRDefault="005D2F48" w:rsidP="00EC097A">
      <w:pPr>
        <w:spacing w:line="276" w:lineRule="auto"/>
        <w:jc w:val="both"/>
        <w:rPr>
          <w:rFonts w:ascii="Verdana" w:hAnsi="Verdana"/>
        </w:rPr>
      </w:pPr>
      <w:r w:rsidRPr="005D2F48">
        <w:rPr>
          <w:rFonts w:ascii="Verdana" w:hAnsi="Verdana"/>
        </w:rPr>
        <w:t>Adicionalmente, la Sección adelanta el estudio de tres Resoluciones de Conclusiones que involucran aproximadamente 40 máximos responsables.</w:t>
      </w:r>
    </w:p>
    <w:p w14:paraId="103BF6BE" w14:textId="77777777" w:rsidR="00F979CC" w:rsidRDefault="00F979CC" w:rsidP="00C3700C">
      <w:pPr>
        <w:spacing w:line="276" w:lineRule="auto"/>
        <w:jc w:val="both"/>
        <w:rPr>
          <w:rFonts w:ascii="Verdana" w:hAnsi="Verdana"/>
          <w:b/>
          <w:bCs/>
        </w:rPr>
      </w:pPr>
    </w:p>
    <w:p w14:paraId="20D03528" w14:textId="1D31C5C6" w:rsidR="00C3700C" w:rsidRDefault="00C3700C" w:rsidP="00C3700C">
      <w:pPr>
        <w:spacing w:line="276" w:lineRule="auto"/>
        <w:jc w:val="both"/>
        <w:rPr>
          <w:rFonts w:ascii="Verdana" w:hAnsi="Verdana"/>
          <w:b/>
          <w:bCs/>
          <w:u w:val="single"/>
        </w:rPr>
      </w:pPr>
      <w:r w:rsidRPr="00C3700C">
        <w:rPr>
          <w:rFonts w:ascii="Verdana" w:hAnsi="Verdana"/>
          <w:b/>
          <w:bCs/>
          <w:u w:val="single"/>
        </w:rPr>
        <w:t>Instituto Colombiano de Bienestar Familiar</w:t>
      </w:r>
    </w:p>
    <w:p w14:paraId="219DA93D" w14:textId="3DB94C18" w:rsidR="00C577FC" w:rsidRDefault="00C577FC" w:rsidP="00C577FC">
      <w:pPr>
        <w:pStyle w:val="ListParagraph"/>
        <w:numPr>
          <w:ilvl w:val="0"/>
          <w:numId w:val="17"/>
        </w:numPr>
        <w:spacing w:line="276" w:lineRule="auto"/>
        <w:jc w:val="both"/>
        <w:rPr>
          <w:rFonts w:ascii="Verdana" w:hAnsi="Verdana"/>
        </w:rPr>
      </w:pPr>
      <w:r w:rsidRPr="00C577FC">
        <w:rPr>
          <w:rFonts w:ascii="Verdana" w:hAnsi="Verdana"/>
        </w:rPr>
        <w:t>Prevención, fortalecimiento de entornos protectores y respuesta temprana</w:t>
      </w:r>
    </w:p>
    <w:p w14:paraId="7914DB51" w14:textId="40EFB789" w:rsidR="00C577FC" w:rsidRDefault="00C577FC" w:rsidP="00C577FC">
      <w:pPr>
        <w:spacing w:line="276" w:lineRule="auto"/>
        <w:jc w:val="both"/>
        <w:rPr>
          <w:rFonts w:ascii="Verdana" w:hAnsi="Verdana"/>
        </w:rPr>
      </w:pPr>
      <w:r w:rsidRPr="00C577FC">
        <w:rPr>
          <w:rFonts w:ascii="Verdana" w:hAnsi="Verdana"/>
        </w:rPr>
        <w:t>En el marco de sus competencias para la protección integral de derechos de niñas, niños y adolescentes, el ICBF desarrolla acciones orientadas a prevenir la trata de personas y el reclutamiento, uso, utilización y violencia sexual contra niñas, niños y adolescentes, así como a garantizar su identificación, atención integral y restablecimiento de derechos, en articulación con las entidades competentes en materia de investigación y sanción.</w:t>
      </w:r>
    </w:p>
    <w:p w14:paraId="0C480810" w14:textId="3A749C52" w:rsidR="00C577FC" w:rsidRDefault="00044682" w:rsidP="00C577FC">
      <w:pPr>
        <w:pStyle w:val="ListParagraph"/>
        <w:numPr>
          <w:ilvl w:val="0"/>
          <w:numId w:val="17"/>
        </w:numPr>
        <w:spacing w:line="276" w:lineRule="auto"/>
        <w:jc w:val="both"/>
        <w:rPr>
          <w:rFonts w:ascii="Verdana" w:hAnsi="Verdana"/>
        </w:rPr>
      </w:pPr>
      <w:r w:rsidRPr="00044682">
        <w:rPr>
          <w:rFonts w:ascii="Verdana" w:hAnsi="Verdana"/>
        </w:rPr>
        <w:t>Servicios de prevención dirigidos a niñas, niños y adolescentes</w:t>
      </w:r>
    </w:p>
    <w:p w14:paraId="5A0E6B0B" w14:textId="77777777" w:rsidR="00044682" w:rsidRDefault="00044682" w:rsidP="00044682">
      <w:pPr>
        <w:spacing w:line="276" w:lineRule="auto"/>
        <w:jc w:val="both"/>
        <w:rPr>
          <w:rFonts w:ascii="Verdana" w:hAnsi="Verdana"/>
        </w:rPr>
      </w:pPr>
      <w:r w:rsidRPr="00044682">
        <w:rPr>
          <w:rFonts w:ascii="Verdana" w:hAnsi="Verdana"/>
        </w:rPr>
        <w:t xml:space="preserve">Desde la Dirección de Infancias y Adolescencias se ha venido implementando la Modalidad para la Prevención de Riesgos y el Desarrollo de Capacidades, a través de la estrategia Atrapasueños y sus formas de atención, orientadas al fortalecimiento de entornos protectores familiares, escolares y comunitarios para prevenir la trata de personas, la explotación sexual comercial y el </w:t>
      </w:r>
      <w:r w:rsidRPr="00044682">
        <w:rPr>
          <w:rFonts w:ascii="Verdana" w:hAnsi="Verdana"/>
        </w:rPr>
        <w:lastRenderedPageBreak/>
        <w:t xml:space="preserve">reclutamiento, uso y utilización de niñas, niños y adolescentes. Esta información fue detallada en la respuesta a la pregunta a). </w:t>
      </w:r>
    </w:p>
    <w:p w14:paraId="41A0C58D" w14:textId="731725B4" w:rsidR="00044682" w:rsidRDefault="00044682" w:rsidP="00044682">
      <w:pPr>
        <w:spacing w:line="276" w:lineRule="auto"/>
        <w:jc w:val="both"/>
        <w:rPr>
          <w:rFonts w:ascii="Verdana" w:hAnsi="Verdana"/>
        </w:rPr>
      </w:pPr>
      <w:r w:rsidRPr="00044682">
        <w:rPr>
          <w:rFonts w:ascii="Verdana" w:hAnsi="Verdana"/>
        </w:rPr>
        <w:t>En el marco de esta estrategia se consolidó la apuesta #VocesQuePrevienen, concebida como un esfuerzo nacional para la prevención de las violencias contra niñas, niños y adolescentes, con especial énfasis en la prevención de la ESCNNA, la trata de personas, las violencias sexuales y otras vulneraciones de derechos, promoviendo la participación incidente de niñas, niños y adolescentes como agentes de transformación social y fortaleciendo los entornos protectores en los territorios.</w:t>
      </w:r>
    </w:p>
    <w:p w14:paraId="3A3F0E87" w14:textId="77777777" w:rsidR="00044682" w:rsidRDefault="00044682" w:rsidP="00044682">
      <w:pPr>
        <w:spacing w:line="276" w:lineRule="auto"/>
        <w:jc w:val="both"/>
        <w:rPr>
          <w:rFonts w:ascii="Verdana" w:hAnsi="Verdana"/>
        </w:rPr>
      </w:pPr>
      <w:r w:rsidRPr="00044682">
        <w:rPr>
          <w:rFonts w:ascii="Verdana" w:hAnsi="Verdana"/>
        </w:rPr>
        <w:t>Como resultado de esta Estrategia, se desarrollaron procesos territoriales en municipios con alta prevalencia o riesgo de ocurrencia de la ESCNNA y la trata de personas, logrando la vinculación de niñas, niños, adolescentes, familias, líderes</w:t>
      </w:r>
      <w:r>
        <w:rPr>
          <w:rFonts w:ascii="Verdana" w:hAnsi="Verdana"/>
        </w:rPr>
        <w:t xml:space="preserve"> </w:t>
      </w:r>
      <w:r w:rsidRPr="00044682">
        <w:rPr>
          <w:rFonts w:ascii="Verdana" w:hAnsi="Verdana"/>
        </w:rPr>
        <w:t xml:space="preserve">comunitarios e instituciones locales; a saber en Leticia, Puerto Nariño (Amazonas), Medellín (Antioquia), Soledad (Atlántico), Cartagena (Bolívar), Bogotá (Cundinamarca), Santa Marta (Magdalena), Ocaña, Cúcuta, Villa del Rosario (Norte de Santander), Armenia (Quindío), Pereira, Dosquebradas (Risaralda), Melgar (Tolima) y Cali (Valle del Cauca). </w:t>
      </w:r>
    </w:p>
    <w:p w14:paraId="1714B388" w14:textId="77777777" w:rsidR="00044682" w:rsidRDefault="00044682" w:rsidP="00044682">
      <w:pPr>
        <w:spacing w:line="276" w:lineRule="auto"/>
        <w:jc w:val="both"/>
        <w:rPr>
          <w:rFonts w:ascii="Verdana" w:hAnsi="Verdana"/>
        </w:rPr>
      </w:pPr>
      <w:r w:rsidRPr="00044682">
        <w:rPr>
          <w:rFonts w:ascii="Verdana" w:hAnsi="Verdana"/>
        </w:rPr>
        <w:t xml:space="preserve">Por su parte, esta Estrategia fortalece las capacidades de autoprotección y promueve entre otras acciones preventivas, el uso seguro de los entornos digitales, incorporando acciones específicas para la prevención del reclutamiento digital y de la explotación sexual comercial de niñas, niños y adolescentes. </w:t>
      </w:r>
    </w:p>
    <w:p w14:paraId="44E9D16F" w14:textId="10381CDC" w:rsidR="00044682" w:rsidRDefault="00044682" w:rsidP="00044682">
      <w:pPr>
        <w:spacing w:line="276" w:lineRule="auto"/>
        <w:jc w:val="both"/>
        <w:rPr>
          <w:rFonts w:ascii="Verdana" w:hAnsi="Verdana"/>
        </w:rPr>
      </w:pPr>
      <w:r w:rsidRPr="00044682">
        <w:rPr>
          <w:rFonts w:ascii="Verdana" w:hAnsi="Verdana"/>
        </w:rPr>
        <w:t>Durante 2025, con continuidad en 2026, la estrategia consolidó alianzas con TikTok Latinoamérica y el Centro Internacional para Niños Desaparecidos y Explotados (ICMEC), beneficiando a más de 700 niñas, niños y adolescentes y a 500 padres, madres y cuidadores en 13 municipios de 8 departamentos</w:t>
      </w:r>
      <w:r>
        <w:rPr>
          <w:rFonts w:ascii="Verdana" w:hAnsi="Verdana"/>
        </w:rPr>
        <w:t>.</w:t>
      </w:r>
    </w:p>
    <w:p w14:paraId="757A329C" w14:textId="3885D17A" w:rsidR="00CF2F34" w:rsidRDefault="00CF2F34" w:rsidP="00CF2F34">
      <w:pPr>
        <w:pStyle w:val="ListParagraph"/>
        <w:numPr>
          <w:ilvl w:val="0"/>
          <w:numId w:val="17"/>
        </w:numPr>
        <w:spacing w:line="276" w:lineRule="auto"/>
        <w:jc w:val="both"/>
        <w:rPr>
          <w:rFonts w:ascii="Verdana" w:hAnsi="Verdana"/>
        </w:rPr>
      </w:pPr>
      <w:r>
        <w:rPr>
          <w:rFonts w:ascii="Verdana" w:hAnsi="Verdana"/>
        </w:rPr>
        <w:t>Servicios dirigidos a las familias, comunidades y pueblos</w:t>
      </w:r>
    </w:p>
    <w:p w14:paraId="330BB05A" w14:textId="77777777" w:rsidR="009C56D3" w:rsidRDefault="009C56D3" w:rsidP="00CF2F34">
      <w:pPr>
        <w:spacing w:line="276" w:lineRule="auto"/>
        <w:jc w:val="both"/>
        <w:rPr>
          <w:rFonts w:ascii="Verdana" w:hAnsi="Verdana"/>
        </w:rPr>
      </w:pPr>
      <w:r w:rsidRPr="009C56D3">
        <w:rPr>
          <w:rFonts w:ascii="Verdana" w:hAnsi="Verdana"/>
        </w:rPr>
        <w:t xml:space="preserve">Por otro lado, a través de la Dirección de Familias, Comunidades y Pueblos, el ICBF desarrolla servicios orientados al fortalecimiento de capacidades familiares y comunitarias, a partir de procesos de focalización basados en información territorial sobre riesgo de reclutamiento. </w:t>
      </w:r>
    </w:p>
    <w:p w14:paraId="372599B0" w14:textId="0112386F" w:rsidR="00CF2F34" w:rsidRDefault="009C56D3" w:rsidP="00CF2F34">
      <w:pPr>
        <w:spacing w:line="276" w:lineRule="auto"/>
        <w:jc w:val="both"/>
        <w:rPr>
          <w:rFonts w:ascii="Verdana" w:hAnsi="Verdana"/>
        </w:rPr>
      </w:pPr>
      <w:r w:rsidRPr="009C56D3">
        <w:rPr>
          <w:rFonts w:ascii="Verdana" w:hAnsi="Verdana"/>
        </w:rPr>
        <w:t>Se destacan las intervenciones “Somos Familia, Somos Comunidad”, orientada al fortalecimiento de vínculos de cuidado y capacidades de agencia en territorios priorizados; “Tejiendo Interculturalidad”, con enfoque étnico, territorial e intercultural; y el Servicio Presencia para la Convivencia y el Fortalecimiento de Vínculos Familiares y Comunitarios, mediante el cual se brinda acompañamiento psicosocial para prevenir vulneraciones de derechos, fortalecer redes de apoyo y mejorar las capacidades de afrontamiento frente a situaciones de riesgo.</w:t>
      </w:r>
    </w:p>
    <w:p w14:paraId="5F0FAAE7" w14:textId="74A48974" w:rsidR="009C56D3" w:rsidRDefault="009C56D3" w:rsidP="00CF2F34">
      <w:pPr>
        <w:spacing w:line="276" w:lineRule="auto"/>
        <w:jc w:val="both"/>
        <w:rPr>
          <w:rFonts w:ascii="Verdana" w:hAnsi="Verdana"/>
        </w:rPr>
      </w:pPr>
      <w:r w:rsidRPr="009C56D3">
        <w:rPr>
          <w:rFonts w:ascii="Verdana" w:hAnsi="Verdana"/>
        </w:rPr>
        <w:lastRenderedPageBreak/>
        <w:t>De manera particular, el servicio Presencia para la Convivencia y el Fortalecimiento de Vínculos Familiares y Comunitarios se orienta a la atención directa de familias que enfrentan conflictos, crisis o situaciones que pueden derivar en vulneraciones de derechos y afectar su dinámica familiar y comunitaria. El acceso puede darse por demanda espontánea, remisión de</w:t>
      </w:r>
      <w:r>
        <w:rPr>
          <w:rFonts w:ascii="Verdana" w:hAnsi="Verdana"/>
        </w:rPr>
        <w:t xml:space="preserve"> </w:t>
      </w:r>
      <w:r w:rsidRPr="009C56D3">
        <w:rPr>
          <w:rFonts w:ascii="Verdana" w:hAnsi="Verdana"/>
        </w:rPr>
        <w:t>autoridades administrativas o judiciales, o mediante la articulación con otras modalidades del Fortalecimiento Familiar y Comunitario.</w:t>
      </w:r>
    </w:p>
    <w:p w14:paraId="21A18DD6" w14:textId="77777777" w:rsidR="009C56D3" w:rsidRDefault="009C56D3" w:rsidP="00CF2F34">
      <w:pPr>
        <w:spacing w:line="276" w:lineRule="auto"/>
        <w:jc w:val="both"/>
        <w:rPr>
          <w:rFonts w:ascii="Verdana" w:hAnsi="Verdana"/>
        </w:rPr>
      </w:pPr>
      <w:r w:rsidRPr="009C56D3">
        <w:rPr>
          <w:rFonts w:ascii="Verdana" w:hAnsi="Verdana"/>
        </w:rPr>
        <w:t xml:space="preserve">La atención se brinda de manera presencial, virtual o telefónica, e incluye acciones de acompañamiento psicosocial para fortalecer la convivencia, el cuidado mutuo y las capacidades familiares. Estas acciones comprenden diálogos para la reflexión y gestión de conflictos, encuentros comunitarios para el intercambio de saberes y fortalecimiento de redes, y acompañamiento al entorno familiar, incluido el domiciliario cuando aplica, enfocado en la identificación de capacidades y riesgos, la construcción de acuerdos y el manejo de crisis. </w:t>
      </w:r>
    </w:p>
    <w:p w14:paraId="675FBFC7" w14:textId="7F880E82" w:rsidR="009C56D3" w:rsidRDefault="009C56D3" w:rsidP="00CF2F34">
      <w:pPr>
        <w:spacing w:line="276" w:lineRule="auto"/>
        <w:jc w:val="both"/>
        <w:rPr>
          <w:rFonts w:ascii="Verdana" w:hAnsi="Verdana"/>
        </w:rPr>
      </w:pPr>
      <w:r w:rsidRPr="009C56D3">
        <w:rPr>
          <w:rFonts w:ascii="Verdana" w:hAnsi="Verdana"/>
        </w:rPr>
        <w:t>A su vez el servicio Somos Familia, Somos Comunidad; promueve el fortalecimiento de capacidades familiares y comunitarias como mecanismo de prevención; y tiene como objetivo “acompañar a las familias y comunidades para el fortalecimiento de vínculos de cuidado mutuo, capacidades de agencia democrática, afrontamiento generativo e incidencia en los proyectos de vida personales, familiares y comunitarios, a través de la promoción de sistemas comunitarios de cuidado, que aporten a la consolidación del tejido social y a la construcción de paz y al buen vivir”.</w:t>
      </w:r>
    </w:p>
    <w:p w14:paraId="2341C6C4" w14:textId="77777777" w:rsidR="00076F83" w:rsidRDefault="00076F83" w:rsidP="00CF2F34">
      <w:pPr>
        <w:spacing w:line="276" w:lineRule="auto"/>
        <w:jc w:val="both"/>
        <w:rPr>
          <w:rFonts w:ascii="Verdana" w:hAnsi="Verdana"/>
        </w:rPr>
      </w:pPr>
      <w:r w:rsidRPr="00076F83">
        <w:rPr>
          <w:rFonts w:ascii="Verdana" w:hAnsi="Verdana"/>
        </w:rPr>
        <w:t xml:space="preserve">El servicio está dirigido a familias y comunidades en contextos urbanos y centros poblados que tengan intereses o necesidades colectivas y/o comunitarias de fortalecimiento de los vínculos de cuidado comunitario y de robustecer las capacidades de agencia, gestión y potencial democrático, cultural y social en sus territorios y dentro de los ámbitos familiar, comunitario y regional. </w:t>
      </w:r>
    </w:p>
    <w:p w14:paraId="051516B0" w14:textId="7CF377A4" w:rsidR="00076F83" w:rsidRDefault="00076F83" w:rsidP="00CF2F34">
      <w:pPr>
        <w:spacing w:line="276" w:lineRule="auto"/>
        <w:jc w:val="both"/>
        <w:rPr>
          <w:rFonts w:ascii="Verdana" w:hAnsi="Verdana"/>
        </w:rPr>
      </w:pPr>
      <w:r w:rsidRPr="00076F83">
        <w:rPr>
          <w:rFonts w:ascii="Verdana" w:hAnsi="Verdana"/>
        </w:rPr>
        <w:t>De igual forma, el servicio contempla la priorización territorial de las acciones basada en criterios técnicos definidos por el ICBF y articulados con información proveniente de fuentes interinstitucionales, contemplando municipios o distritos con problemáticas identificadas por las regionales, la sede nacional o la Dirección de familias, comunidades y pueblos, en donde existan vulneraciones por efectos del conflicto armado, la existencia de redes de trata y explotación sexual, microtráfico, altos índices de consumo de sustancias psicoactivas o situaciones problemáticas que pongan en riesgo la estabilidad del tejido familiar, social y comunitario.</w:t>
      </w:r>
    </w:p>
    <w:p w14:paraId="7C412564" w14:textId="77777777" w:rsidR="00076F83" w:rsidRDefault="00076F83" w:rsidP="00CF2F34">
      <w:pPr>
        <w:spacing w:line="276" w:lineRule="auto"/>
        <w:jc w:val="both"/>
        <w:rPr>
          <w:rFonts w:ascii="Verdana" w:hAnsi="Verdana"/>
        </w:rPr>
      </w:pPr>
      <w:r w:rsidRPr="00076F83">
        <w:rPr>
          <w:rFonts w:ascii="Verdana" w:hAnsi="Verdana"/>
        </w:rPr>
        <w:t xml:space="preserve">Por su parte, Tejiendo Interculturalidad se fundamenta en un enfoque de prevención estructural, territorial e intercultural, que reconoce que las </w:t>
      </w:r>
      <w:r w:rsidRPr="00076F83">
        <w:rPr>
          <w:rFonts w:ascii="Verdana" w:hAnsi="Verdana"/>
        </w:rPr>
        <w:lastRenderedPageBreak/>
        <w:t xml:space="preserve">vulneraciones de derechos de niñas, niños y adolescentes (incluido el riesgo de reclutamiento, uso y utilización por parte de grupos armados) están asociadas a condiciones históricas de desigualdad, fragmentación del tejido social, debilitamiento organizativo y afectaciones a los sistemas comunitarios de cuidado. En este sentido, las acciones institucionales trascienden la atención reactiva del riesgo, orientándose al fortalecimiento de factores protectores a nivel individual, familiar, comunitario y territorial. </w:t>
      </w:r>
    </w:p>
    <w:p w14:paraId="31F34D9B" w14:textId="798EF45A" w:rsidR="00076F83" w:rsidRDefault="00076F83" w:rsidP="00CF2F34">
      <w:pPr>
        <w:spacing w:line="276" w:lineRule="auto"/>
        <w:jc w:val="both"/>
        <w:rPr>
          <w:rFonts w:ascii="Verdana" w:hAnsi="Verdana"/>
        </w:rPr>
      </w:pPr>
      <w:r w:rsidRPr="00076F83">
        <w:rPr>
          <w:rFonts w:ascii="Verdana" w:hAnsi="Verdana"/>
        </w:rPr>
        <w:t>De igual manera, en relación con el fortalecimiento de la presencia institucional y la articulación interinstitucional en los territorios, el servicio Tejiendo Interculturalidad ha permitido consolidar procesos de acompañamiento que reconocen y fortalecen las autoridades étnico-territoriales, el gobierno propio y los mecanismos comunitarios de regulación social, constituyéndose estos en factores protectores frente a dinámicas de violencia y control territorial por parte de actores armados.</w:t>
      </w:r>
    </w:p>
    <w:p w14:paraId="49CFC259" w14:textId="77777777" w:rsidR="00FD727B" w:rsidRDefault="00FD727B" w:rsidP="00CF2F34">
      <w:pPr>
        <w:spacing w:line="276" w:lineRule="auto"/>
        <w:jc w:val="both"/>
        <w:rPr>
          <w:rFonts w:ascii="Verdana" w:hAnsi="Verdana"/>
        </w:rPr>
      </w:pPr>
      <w:r w:rsidRPr="00FD727B">
        <w:rPr>
          <w:rFonts w:ascii="Verdana" w:hAnsi="Verdana"/>
        </w:rPr>
        <w:t xml:space="preserve">En este marco, las acciones desarrolladas incluyen, entre otras: </w:t>
      </w:r>
    </w:p>
    <w:p w14:paraId="7AF01F38" w14:textId="77777777" w:rsidR="00FD727B" w:rsidRDefault="00FD727B" w:rsidP="00FD727B">
      <w:pPr>
        <w:pStyle w:val="ListParagraph"/>
        <w:numPr>
          <w:ilvl w:val="0"/>
          <w:numId w:val="18"/>
        </w:numPr>
        <w:spacing w:line="276" w:lineRule="auto"/>
        <w:jc w:val="both"/>
        <w:rPr>
          <w:rFonts w:ascii="Verdana" w:hAnsi="Verdana"/>
        </w:rPr>
      </w:pPr>
      <w:r w:rsidRPr="00FD727B">
        <w:rPr>
          <w:rFonts w:ascii="Verdana" w:hAnsi="Verdana"/>
        </w:rPr>
        <w:t xml:space="preserve">El fortalecimiento de los sistemas familiares y comunitarios de cuidado, mediante procesos de diálogo, concertación y construcción colectiva de acuerdos comunitarios orientados a la protección integral de niñas, niños y adolescentes. </w:t>
      </w:r>
    </w:p>
    <w:p w14:paraId="4DE92C5E" w14:textId="77777777" w:rsidR="00FD727B" w:rsidRDefault="00FD727B" w:rsidP="00FD727B">
      <w:pPr>
        <w:pStyle w:val="ListParagraph"/>
        <w:numPr>
          <w:ilvl w:val="0"/>
          <w:numId w:val="18"/>
        </w:numPr>
        <w:spacing w:line="276" w:lineRule="auto"/>
        <w:jc w:val="both"/>
        <w:rPr>
          <w:rFonts w:ascii="Verdana" w:hAnsi="Verdana"/>
        </w:rPr>
      </w:pPr>
      <w:r w:rsidRPr="00FD727B">
        <w:rPr>
          <w:rFonts w:ascii="Verdana" w:hAnsi="Verdana"/>
        </w:rPr>
        <w:t xml:space="preserve">La promoción de entornos protectores a través de espacios comunitarios seguros, actividades culturales, recreativas y pedagógicas, así como el fortalecimiento del liderazgo infantil y juvenil. </w:t>
      </w:r>
    </w:p>
    <w:p w14:paraId="26FD79E2" w14:textId="77777777" w:rsidR="00FD727B" w:rsidRDefault="00FD727B" w:rsidP="00FD727B">
      <w:pPr>
        <w:pStyle w:val="ListParagraph"/>
        <w:numPr>
          <w:ilvl w:val="0"/>
          <w:numId w:val="18"/>
        </w:numPr>
        <w:spacing w:line="276" w:lineRule="auto"/>
        <w:jc w:val="both"/>
        <w:rPr>
          <w:rFonts w:ascii="Verdana" w:hAnsi="Verdana"/>
        </w:rPr>
      </w:pPr>
      <w:r w:rsidRPr="00FD727B">
        <w:rPr>
          <w:rFonts w:ascii="Verdana" w:hAnsi="Verdana"/>
        </w:rPr>
        <w:t xml:space="preserve">El desarrollo de diagnósticos participativos territoriales que permiten identificar factores de riesgo y factores protectores, incorporando la voz de autoridades tradicionales, liderazgos comunitarios, familias y la niñez. </w:t>
      </w:r>
    </w:p>
    <w:p w14:paraId="66E55F83" w14:textId="77777777" w:rsidR="00FD727B" w:rsidRDefault="00FD727B" w:rsidP="00FD727B">
      <w:pPr>
        <w:pStyle w:val="ListParagraph"/>
        <w:numPr>
          <w:ilvl w:val="0"/>
          <w:numId w:val="18"/>
        </w:numPr>
        <w:spacing w:line="276" w:lineRule="auto"/>
        <w:jc w:val="both"/>
        <w:rPr>
          <w:rFonts w:ascii="Verdana" w:hAnsi="Verdana"/>
        </w:rPr>
      </w:pPr>
      <w:r w:rsidRPr="00FD727B">
        <w:rPr>
          <w:rFonts w:ascii="Verdana" w:hAnsi="Verdana"/>
        </w:rPr>
        <w:t xml:space="preserve">La recuperación y fortalecimiento de la identidad cultural, la memoria colectiva y el arraigo territorial como elementos fundamentales para la construcción de proyectos de vida y la prevención del reclutamiento. </w:t>
      </w:r>
    </w:p>
    <w:p w14:paraId="09A607B7" w14:textId="4B0055B8" w:rsidR="00FD727B" w:rsidRDefault="00FD727B" w:rsidP="00FD727B">
      <w:pPr>
        <w:pStyle w:val="ListParagraph"/>
        <w:numPr>
          <w:ilvl w:val="0"/>
          <w:numId w:val="18"/>
        </w:numPr>
        <w:spacing w:line="276" w:lineRule="auto"/>
        <w:jc w:val="both"/>
        <w:rPr>
          <w:rFonts w:ascii="Verdana" w:hAnsi="Verdana"/>
        </w:rPr>
      </w:pPr>
      <w:r w:rsidRPr="00FD727B">
        <w:rPr>
          <w:rFonts w:ascii="Verdana" w:hAnsi="Verdana"/>
        </w:rPr>
        <w:t>La articulación con entidades del orden local, departamental y nacional para la activación de rutas de atención, el restablecimiento de derechos y la garantía de una respuesta integral frente a situaciones de vulneración.</w:t>
      </w:r>
    </w:p>
    <w:p w14:paraId="76D84530" w14:textId="77777777" w:rsidR="004D4D67" w:rsidRDefault="004D4D67" w:rsidP="004D4D67">
      <w:pPr>
        <w:spacing w:line="276" w:lineRule="auto"/>
        <w:jc w:val="both"/>
        <w:rPr>
          <w:rFonts w:ascii="Verdana" w:hAnsi="Verdana"/>
        </w:rPr>
      </w:pPr>
      <w:r w:rsidRPr="004D4D67">
        <w:rPr>
          <w:rFonts w:ascii="Verdana" w:hAnsi="Verdana"/>
        </w:rPr>
        <w:t xml:space="preserve">Adicionalmente, el enfoque de participación de niñas, niños y adolescentes se constituye en un eje transversal del modelo de acompañamiento, reconociéndolos como sujetos de derechos y actores clave en la identificación de riesgos, la formulación de medidas de protección y el seguimiento de las acciones comunitarias, lo cual contribuye al fortalecimiento de su agencia, autoestima y proyección de vida, reduciendo su vulnerabilidad frente a dinámicas de violencia. </w:t>
      </w:r>
    </w:p>
    <w:p w14:paraId="627B4D9F" w14:textId="77777777" w:rsidR="004D4D67" w:rsidRDefault="004D4D67" w:rsidP="004D4D67">
      <w:pPr>
        <w:spacing w:line="276" w:lineRule="auto"/>
        <w:jc w:val="both"/>
        <w:rPr>
          <w:rFonts w:ascii="Verdana" w:hAnsi="Verdana"/>
        </w:rPr>
      </w:pPr>
      <w:r w:rsidRPr="004D4D67">
        <w:rPr>
          <w:rFonts w:ascii="Verdana" w:hAnsi="Verdana"/>
        </w:rPr>
        <w:lastRenderedPageBreak/>
        <w:t xml:space="preserve">Es por tanto que, desde el ICBF, se han orientado las acciones hacia el fortalecimiento de capacidades territoriales y comunitarias, en coherencia con los compromisos del Estado colombiano en materia de derechos humanos, aportando a la consolidación de condiciones estructurales que favorecen la prevención de vulneraciones, la protección integral de la niñez y la construcción de paz en los territorios. </w:t>
      </w:r>
    </w:p>
    <w:p w14:paraId="17A40805" w14:textId="61E327D0" w:rsidR="004D4D67" w:rsidRDefault="004D4D67" w:rsidP="004D4D67">
      <w:pPr>
        <w:spacing w:line="276" w:lineRule="auto"/>
        <w:jc w:val="both"/>
        <w:rPr>
          <w:rFonts w:ascii="Verdana" w:hAnsi="Verdana"/>
        </w:rPr>
      </w:pPr>
      <w:r w:rsidRPr="004D4D67">
        <w:rPr>
          <w:rFonts w:ascii="Verdana" w:hAnsi="Verdana"/>
        </w:rPr>
        <w:t>Las acciones anteriormente descritas, fortalecen la presencia y capacidad institucional del Estado en los territorios más afectados por la violencia mediante el liderazgo del SNBF, la articulación entre entidades nacionales, departamentales y territoriales, el fortalecimiento de las capacidades de las autoridades locales y el reconocimiento de las autoridades étnico-territoriales como actores fundamentales para la protección integral de niñas, niños y adolescentes y la construcción de entornos protectores frente a las afectaciones derivadas del conflicto armado</w:t>
      </w:r>
    </w:p>
    <w:p w14:paraId="3A67EA1B" w14:textId="7EC01682" w:rsidR="004D4D67" w:rsidRDefault="0089562A" w:rsidP="004D4D67">
      <w:pPr>
        <w:pStyle w:val="ListParagraph"/>
        <w:numPr>
          <w:ilvl w:val="0"/>
          <w:numId w:val="17"/>
        </w:numPr>
        <w:spacing w:line="276" w:lineRule="auto"/>
        <w:jc w:val="both"/>
        <w:rPr>
          <w:rFonts w:ascii="Verdana" w:hAnsi="Verdana"/>
        </w:rPr>
      </w:pPr>
      <w:r w:rsidRPr="0089562A">
        <w:rPr>
          <w:rFonts w:ascii="Verdana" w:hAnsi="Verdana"/>
        </w:rPr>
        <w:t>Campaña “Aquí Crece la Generación para la Paz”</w:t>
      </w:r>
    </w:p>
    <w:p w14:paraId="751612AD" w14:textId="77777777" w:rsidR="0089562A" w:rsidRDefault="0089562A" w:rsidP="0089562A">
      <w:pPr>
        <w:spacing w:line="276" w:lineRule="auto"/>
        <w:jc w:val="both"/>
        <w:rPr>
          <w:rFonts w:ascii="Verdana" w:hAnsi="Verdana"/>
        </w:rPr>
      </w:pPr>
      <w:r w:rsidRPr="0089562A">
        <w:rPr>
          <w:rFonts w:ascii="Verdana" w:hAnsi="Verdana"/>
        </w:rPr>
        <w:t xml:space="preserve">El Bienestar Familiar impulsa la campaña “Aquí Crece la Generación para la Paz”, mediante acciones de pedagogía, participación y movilización social en territorios afectados por el conflicto armado y otras violencias. La campaña promueve procesos de reflexión, construcción de proyectos de vida, fortalecimiento de vínculos comunitarios e identificación temprana de necesidades y situaciones de riesgo, consolidando espacios comunitarios e institucionales como entornos seguros y protectores. </w:t>
      </w:r>
    </w:p>
    <w:p w14:paraId="6C8D9AA2" w14:textId="065B5240" w:rsidR="0089562A" w:rsidRDefault="0089562A" w:rsidP="0089562A">
      <w:pPr>
        <w:spacing w:line="276" w:lineRule="auto"/>
        <w:jc w:val="both"/>
        <w:rPr>
          <w:rFonts w:ascii="Verdana" w:hAnsi="Verdana"/>
        </w:rPr>
      </w:pPr>
      <w:r w:rsidRPr="0089562A">
        <w:rPr>
          <w:rFonts w:ascii="Verdana" w:hAnsi="Verdana"/>
        </w:rPr>
        <w:t>A la fecha, la campaña registra la realización de 158 experiencias muralistas, desarrolladas en 91 instituciones educativas, 34 infraestructuras del ICBF y 33</w:t>
      </w:r>
      <w:r>
        <w:rPr>
          <w:rFonts w:ascii="Verdana" w:hAnsi="Verdana"/>
        </w:rPr>
        <w:t xml:space="preserve"> </w:t>
      </w:r>
      <w:r w:rsidRPr="0089562A">
        <w:rPr>
          <w:rFonts w:ascii="Verdana" w:hAnsi="Verdana"/>
        </w:rPr>
        <w:t>espacios comunitarios, con la participación de 3.950 niñas, niños y adolescentes y 474 docentes, consolidándose como una herramienta de prevención, participación y construcción de entornos protectores para la niñez y la adolescencia en los territorios.</w:t>
      </w:r>
    </w:p>
    <w:p w14:paraId="6F226F98" w14:textId="5807070B" w:rsidR="0089562A" w:rsidRDefault="0089562A" w:rsidP="0089562A">
      <w:pPr>
        <w:pStyle w:val="ListParagraph"/>
        <w:numPr>
          <w:ilvl w:val="0"/>
          <w:numId w:val="17"/>
        </w:numPr>
        <w:spacing w:line="276" w:lineRule="auto"/>
        <w:jc w:val="both"/>
        <w:rPr>
          <w:rFonts w:ascii="Verdana" w:hAnsi="Verdana"/>
        </w:rPr>
      </w:pPr>
      <w:r>
        <w:rPr>
          <w:rFonts w:ascii="Verdana" w:hAnsi="Verdana"/>
        </w:rPr>
        <w:t>Alianzas estratégicas</w:t>
      </w:r>
    </w:p>
    <w:p w14:paraId="1E2857D6" w14:textId="76DAF1A5" w:rsidR="0089562A" w:rsidRDefault="0089562A" w:rsidP="0089562A">
      <w:pPr>
        <w:spacing w:line="276" w:lineRule="auto"/>
        <w:jc w:val="both"/>
        <w:rPr>
          <w:rFonts w:ascii="Verdana" w:hAnsi="Verdana"/>
        </w:rPr>
      </w:pPr>
      <w:r w:rsidRPr="0089562A">
        <w:rPr>
          <w:rFonts w:ascii="Verdana" w:hAnsi="Verdana"/>
        </w:rPr>
        <w:t>Por otro lado, en el marco de alianzas estratégicas se desarrollaron acciones complementarias a las modalidades de atención del ICBF, implementadas por medio de convenios y contratos con organizaciones sociales, comunitarias e internacionales que constituyen un componente esencial de la respuesta institucional, en la medida en que trascienden la intervención directa y aportan procesos de movilización social y fortalecimiento de capacidades territoriales para la prevención.</w:t>
      </w:r>
      <w:r w:rsidR="00F96F8B">
        <w:rPr>
          <w:rFonts w:ascii="Verdana" w:hAnsi="Verdana"/>
        </w:rPr>
        <w:t xml:space="preserve"> </w:t>
      </w:r>
    </w:p>
    <w:p w14:paraId="19B7C5B8" w14:textId="77777777" w:rsidR="00052023" w:rsidRDefault="00052023" w:rsidP="0089562A">
      <w:pPr>
        <w:spacing w:line="276" w:lineRule="auto"/>
        <w:jc w:val="both"/>
        <w:rPr>
          <w:rFonts w:ascii="Verdana" w:hAnsi="Verdana"/>
          <w:i/>
          <w:iCs/>
        </w:rPr>
      </w:pPr>
    </w:p>
    <w:p w14:paraId="245970A2" w14:textId="1642BF76" w:rsidR="00052023" w:rsidRDefault="00052023" w:rsidP="0089562A">
      <w:pPr>
        <w:spacing w:line="276" w:lineRule="auto"/>
        <w:jc w:val="both"/>
        <w:rPr>
          <w:rFonts w:ascii="Verdana" w:hAnsi="Verdana"/>
        </w:rPr>
      </w:pPr>
      <w:r w:rsidRPr="00052023">
        <w:rPr>
          <w:rFonts w:ascii="Verdana" w:hAnsi="Verdana"/>
          <w:i/>
          <w:iCs/>
        </w:rPr>
        <w:lastRenderedPageBreak/>
        <w:t>Red Papaz</w:t>
      </w:r>
      <w:r w:rsidRPr="00052023">
        <w:rPr>
          <w:rFonts w:ascii="Verdana" w:hAnsi="Verdana"/>
        </w:rPr>
        <w:t xml:space="preserve"> </w:t>
      </w:r>
    </w:p>
    <w:p w14:paraId="4FD8886C" w14:textId="77777777" w:rsidR="00052023" w:rsidRDefault="00052023" w:rsidP="0089562A">
      <w:pPr>
        <w:spacing w:line="276" w:lineRule="auto"/>
        <w:jc w:val="both"/>
        <w:rPr>
          <w:rFonts w:ascii="Verdana" w:hAnsi="Verdana"/>
        </w:rPr>
      </w:pPr>
      <w:r w:rsidRPr="00052023">
        <w:rPr>
          <w:rFonts w:ascii="Verdana" w:hAnsi="Verdana"/>
        </w:rPr>
        <w:t xml:space="preserve">El Convenio de Asociación No. 01019482025, en articulación con la Corporación Colombiana de Padres y Madres – Red </w:t>
      </w:r>
      <w:proofErr w:type="spellStart"/>
      <w:r w:rsidRPr="00052023">
        <w:rPr>
          <w:rFonts w:ascii="Verdana" w:hAnsi="Verdana"/>
        </w:rPr>
        <w:t>PaPaz</w:t>
      </w:r>
      <w:proofErr w:type="spellEnd"/>
      <w:r w:rsidRPr="00052023">
        <w:rPr>
          <w:rFonts w:ascii="Verdana" w:hAnsi="Verdana"/>
        </w:rPr>
        <w:t>, desarrolló durante 2025 estrategias pedagógicas y de movilización social orientadas a la prevención de violencias y a la generación de entornos protectores para niñas, niños y adolescentes. Este proceso priorizó cinco riesgos: (i) reclutamiento, uso y utilización; (</w:t>
      </w:r>
      <w:proofErr w:type="spellStart"/>
      <w:r w:rsidRPr="00052023">
        <w:rPr>
          <w:rFonts w:ascii="Verdana" w:hAnsi="Verdana"/>
        </w:rPr>
        <w:t>ii</w:t>
      </w:r>
      <w:proofErr w:type="spellEnd"/>
      <w:r w:rsidRPr="00052023">
        <w:rPr>
          <w:rFonts w:ascii="Verdana" w:hAnsi="Verdana"/>
        </w:rPr>
        <w:t>) castigo físico y tratos crueles, humillantes o degradantes; (</w:t>
      </w:r>
      <w:proofErr w:type="spellStart"/>
      <w:r w:rsidRPr="00052023">
        <w:rPr>
          <w:rFonts w:ascii="Verdana" w:hAnsi="Verdana"/>
        </w:rPr>
        <w:t>iii</w:t>
      </w:r>
      <w:proofErr w:type="spellEnd"/>
      <w:r w:rsidRPr="00052023">
        <w:rPr>
          <w:rFonts w:ascii="Verdana" w:hAnsi="Verdana"/>
        </w:rPr>
        <w:t>) riesgos digitales; (</w:t>
      </w:r>
      <w:proofErr w:type="spellStart"/>
      <w:r w:rsidRPr="00052023">
        <w:rPr>
          <w:rFonts w:ascii="Verdana" w:hAnsi="Verdana"/>
        </w:rPr>
        <w:t>iv</w:t>
      </w:r>
      <w:proofErr w:type="spellEnd"/>
      <w:r w:rsidRPr="00052023">
        <w:rPr>
          <w:rFonts w:ascii="Verdana" w:hAnsi="Verdana"/>
        </w:rPr>
        <w:t xml:space="preserve">) explotación sexual comercial de niñas, niños y adolescentes (ESCNNA); y (v) consumo de sustancias psicoactivas, con énfasis en el consumo de alcohol. </w:t>
      </w:r>
    </w:p>
    <w:p w14:paraId="0AC8DFD2" w14:textId="32D04322" w:rsidR="00052023" w:rsidRDefault="00052023" w:rsidP="0089562A">
      <w:pPr>
        <w:spacing w:line="276" w:lineRule="auto"/>
        <w:jc w:val="both"/>
        <w:rPr>
          <w:rFonts w:ascii="Verdana" w:hAnsi="Verdana"/>
        </w:rPr>
      </w:pPr>
      <w:r w:rsidRPr="00052023">
        <w:rPr>
          <w:rFonts w:ascii="Verdana" w:hAnsi="Verdana"/>
        </w:rPr>
        <w:t xml:space="preserve">El Convenio se estructuró estratégicamente en dos líneas complementarias para fortalecer la prevención y la protección integral: por un lado, la consolidación de redes protectoras mediante una estrategia pedagógica basada en el modelo de Red </w:t>
      </w:r>
      <w:proofErr w:type="spellStart"/>
      <w:r w:rsidRPr="00052023">
        <w:rPr>
          <w:rFonts w:ascii="Verdana" w:hAnsi="Verdana"/>
        </w:rPr>
        <w:t>PaPaz</w:t>
      </w:r>
      <w:proofErr w:type="spellEnd"/>
      <w:r w:rsidRPr="00052023">
        <w:rPr>
          <w:rFonts w:ascii="Verdana" w:hAnsi="Verdana"/>
        </w:rPr>
        <w:t>, que articuló a instituciones educativas, servicios de primera infancia, familias y cuidadores con herramientas y procesos de formación contextualizados; y por otro, el impulso al liderazgo juvenil a través de la red “Tú Lideras”, que promovió capacidades de incidencia, comunicación y movilización en adolescentes, con énfasis en la producción de contenidos. Este enfoque se potenció con una estrategia de movilización social multicanal que amplificó mensajes de prevención y posicionó rutas de atención y denuncia —como la</w:t>
      </w:r>
      <w:r>
        <w:rPr>
          <w:rFonts w:ascii="Verdana" w:hAnsi="Verdana"/>
        </w:rPr>
        <w:t xml:space="preserve"> </w:t>
      </w:r>
      <w:r w:rsidRPr="00052023">
        <w:rPr>
          <w:rFonts w:ascii="Verdana" w:hAnsi="Verdana"/>
        </w:rPr>
        <w:t>Línea 141 del ICBF y las líneas “Te Protejo” y “Te Guío”—, fortaleciendo así la articulación intersectorial, la participación comunitaria y el acceso efectivo a mecanismos de protección</w:t>
      </w:r>
      <w:r>
        <w:rPr>
          <w:rFonts w:ascii="Verdana" w:hAnsi="Verdana"/>
        </w:rPr>
        <w:t>.</w:t>
      </w:r>
    </w:p>
    <w:p w14:paraId="3B61926D" w14:textId="77777777" w:rsidR="00052023" w:rsidRDefault="00052023" w:rsidP="0089562A">
      <w:pPr>
        <w:spacing w:line="276" w:lineRule="auto"/>
        <w:jc w:val="both"/>
        <w:rPr>
          <w:rFonts w:ascii="Verdana" w:hAnsi="Verdana"/>
        </w:rPr>
      </w:pPr>
    </w:p>
    <w:p w14:paraId="5F3CD930" w14:textId="5E4D9871" w:rsidR="00052023" w:rsidRDefault="00052023" w:rsidP="0089562A">
      <w:pPr>
        <w:spacing w:line="276" w:lineRule="auto"/>
        <w:jc w:val="both"/>
        <w:rPr>
          <w:rFonts w:ascii="Verdana" w:hAnsi="Verdana"/>
          <w:i/>
          <w:iCs/>
        </w:rPr>
      </w:pPr>
      <w:r>
        <w:rPr>
          <w:rFonts w:ascii="Verdana" w:hAnsi="Verdana"/>
          <w:i/>
          <w:iCs/>
        </w:rPr>
        <w:t>UNIPA</w:t>
      </w:r>
    </w:p>
    <w:p w14:paraId="211C423B" w14:textId="45C1BBE5" w:rsidR="00052023" w:rsidRDefault="004928E3" w:rsidP="0089562A">
      <w:pPr>
        <w:spacing w:line="276" w:lineRule="auto"/>
        <w:jc w:val="both"/>
        <w:rPr>
          <w:rFonts w:ascii="Verdana" w:hAnsi="Verdana"/>
        </w:rPr>
      </w:pPr>
      <w:r w:rsidRPr="004928E3">
        <w:rPr>
          <w:rFonts w:ascii="Verdana" w:hAnsi="Verdana"/>
        </w:rPr>
        <w:t xml:space="preserve">Asimismo, mediante el Contrato 1783 de 2025, suscrito con la Unidad Indígena del Pueblo Awá (UNIPA), se implementa la estrategia “Protegiendo vidas en territorio ancestral del Pueblo </w:t>
      </w:r>
      <w:proofErr w:type="spellStart"/>
      <w:r w:rsidRPr="004928E3">
        <w:rPr>
          <w:rFonts w:ascii="Verdana" w:hAnsi="Verdana"/>
        </w:rPr>
        <w:t>Inkál</w:t>
      </w:r>
      <w:proofErr w:type="spellEnd"/>
      <w:r w:rsidRPr="004928E3">
        <w:rPr>
          <w:rFonts w:ascii="Verdana" w:hAnsi="Verdana"/>
        </w:rPr>
        <w:t xml:space="preserve"> Awá”, actualmente en ejecución durante 2026, con el propósito de fortalecer entornos protectores para la prevención del reclutamiento, uso y utilización de niñas, niños y adolescentes Awá en municipios de Nariño.</w:t>
      </w:r>
    </w:p>
    <w:p w14:paraId="20BFF16C" w14:textId="77777777" w:rsidR="004928E3" w:rsidRDefault="004928E3" w:rsidP="0089562A">
      <w:pPr>
        <w:spacing w:line="276" w:lineRule="auto"/>
        <w:jc w:val="both"/>
        <w:rPr>
          <w:rFonts w:ascii="Verdana" w:hAnsi="Verdana"/>
        </w:rPr>
      </w:pPr>
    </w:p>
    <w:p w14:paraId="7AD5F3A3" w14:textId="4FB5CC7A" w:rsidR="004928E3" w:rsidRDefault="004928E3" w:rsidP="0089562A">
      <w:pPr>
        <w:spacing w:line="276" w:lineRule="auto"/>
        <w:jc w:val="both"/>
        <w:rPr>
          <w:rFonts w:ascii="Verdana" w:hAnsi="Verdana"/>
          <w:i/>
          <w:iCs/>
        </w:rPr>
      </w:pPr>
      <w:r w:rsidRPr="004928E3">
        <w:rPr>
          <w:rFonts w:ascii="Verdana" w:hAnsi="Verdana"/>
          <w:i/>
          <w:iCs/>
        </w:rPr>
        <w:t>Comisión Nacional de Mujeres Indígenas – CNMI de la Mesa Permanente de Concertación</w:t>
      </w:r>
    </w:p>
    <w:p w14:paraId="46687373" w14:textId="77777777" w:rsidR="004928E3" w:rsidRDefault="004928E3" w:rsidP="0089562A">
      <w:pPr>
        <w:spacing w:line="276" w:lineRule="auto"/>
        <w:jc w:val="both"/>
        <w:rPr>
          <w:rFonts w:ascii="Verdana" w:hAnsi="Verdana"/>
        </w:rPr>
      </w:pPr>
      <w:r w:rsidRPr="004928E3">
        <w:rPr>
          <w:rFonts w:ascii="Verdana" w:hAnsi="Verdana"/>
        </w:rPr>
        <w:t xml:space="preserve">De igual manera, la implementación del Acuerdo IM-172 del Plan Nacional de Desarrollo 2022-2026 permitió desarrollar iniciativas comunitarias con pueblos indígenas para la prevención del reclutamiento, uso, utilización y violencia </w:t>
      </w:r>
      <w:r w:rsidRPr="004928E3">
        <w:rPr>
          <w:rFonts w:ascii="Verdana" w:hAnsi="Verdana"/>
        </w:rPr>
        <w:lastRenderedPageBreak/>
        <w:t xml:space="preserve">sexual. Durante 2025 se avanzó mediante convenios con organizaciones representativas como ONIC, OPIAC, CRIC, CIT, AICO y Gobierno Mayor, fortaleciendo factores protectores comunitarios, procesos de reafirmación cultural y mecanismos propios de protección. </w:t>
      </w:r>
    </w:p>
    <w:p w14:paraId="18540AAD" w14:textId="080517A3" w:rsidR="004928E3" w:rsidRDefault="004928E3" w:rsidP="0089562A">
      <w:pPr>
        <w:spacing w:line="276" w:lineRule="auto"/>
        <w:jc w:val="both"/>
        <w:rPr>
          <w:rFonts w:ascii="Verdana" w:hAnsi="Verdana"/>
        </w:rPr>
      </w:pPr>
      <w:r w:rsidRPr="004928E3">
        <w:rPr>
          <w:rFonts w:ascii="Verdana" w:hAnsi="Verdana"/>
        </w:rPr>
        <w:t>Asimismo, se destaca la implementación de la Ruta Amazónica por la Niñez y la Adolescencia, una experiencia innovadora de articulación binacional y trinacional para la prevención de la ESCNNA y la trata de personas en contextos de frontera. Esta iniciativa permitió coordinar acciones entre Colombia, Brasil y Perú, fortaleciendo la cooperación territorial para la protección de niñas, niños y adolescentes en una de las zonas con mayores desafíos asociados a la movilidad humana y a diversas formas de vulneración de derechos.</w:t>
      </w:r>
    </w:p>
    <w:p w14:paraId="013BE976" w14:textId="77777777" w:rsidR="0014340D" w:rsidRDefault="0014340D" w:rsidP="0089562A">
      <w:pPr>
        <w:spacing w:line="276" w:lineRule="auto"/>
        <w:jc w:val="both"/>
        <w:rPr>
          <w:rFonts w:ascii="Verdana" w:hAnsi="Verdana"/>
        </w:rPr>
      </w:pPr>
    </w:p>
    <w:p w14:paraId="02E97F32" w14:textId="23727892" w:rsidR="0014340D" w:rsidRPr="0014340D" w:rsidRDefault="0014340D" w:rsidP="0089562A">
      <w:pPr>
        <w:spacing w:line="276" w:lineRule="auto"/>
        <w:jc w:val="both"/>
        <w:rPr>
          <w:rFonts w:ascii="Verdana" w:hAnsi="Verdana"/>
          <w:i/>
          <w:iCs/>
        </w:rPr>
      </w:pPr>
      <w:proofErr w:type="spellStart"/>
      <w:r w:rsidRPr="0014340D">
        <w:rPr>
          <w:rFonts w:ascii="Verdana" w:hAnsi="Verdana"/>
          <w:i/>
          <w:iCs/>
        </w:rPr>
        <w:t>Benposta</w:t>
      </w:r>
      <w:proofErr w:type="spellEnd"/>
      <w:r w:rsidRPr="0014340D">
        <w:rPr>
          <w:rFonts w:ascii="Verdana" w:hAnsi="Verdana"/>
          <w:i/>
          <w:iCs/>
        </w:rPr>
        <w:t>, Nación de Muchachos</w:t>
      </w:r>
    </w:p>
    <w:p w14:paraId="554C4860" w14:textId="67542A7E" w:rsidR="00F979CC" w:rsidRDefault="0014340D" w:rsidP="0014340D">
      <w:pPr>
        <w:spacing w:line="276" w:lineRule="auto"/>
        <w:jc w:val="both"/>
        <w:rPr>
          <w:rFonts w:ascii="Verdana" w:hAnsi="Verdana"/>
        </w:rPr>
      </w:pPr>
      <w:r w:rsidRPr="0014340D">
        <w:rPr>
          <w:rFonts w:ascii="Verdana" w:hAnsi="Verdana"/>
        </w:rPr>
        <w:t xml:space="preserve">En el caso del Convenio 1180 de 2024, suscrito con </w:t>
      </w:r>
      <w:proofErr w:type="spellStart"/>
      <w:r w:rsidRPr="0014340D">
        <w:rPr>
          <w:rFonts w:ascii="Verdana" w:hAnsi="Verdana"/>
        </w:rPr>
        <w:t>Benposta</w:t>
      </w:r>
      <w:proofErr w:type="spellEnd"/>
      <w:r w:rsidRPr="0014340D">
        <w:rPr>
          <w:rFonts w:ascii="Verdana" w:hAnsi="Verdana"/>
        </w:rPr>
        <w:t>, su relevancia radica en el fortalecimiento de capacidades territoriales para la prevención y protección integral. Este proceso permitió cualificar a actores institucionales y</w:t>
      </w:r>
      <w:r>
        <w:rPr>
          <w:rFonts w:ascii="Verdana" w:hAnsi="Verdana"/>
        </w:rPr>
        <w:t xml:space="preserve"> </w:t>
      </w:r>
      <w:r w:rsidRPr="0014340D">
        <w:rPr>
          <w:rFonts w:ascii="Verdana" w:hAnsi="Verdana"/>
        </w:rPr>
        <w:t xml:space="preserve">comunitarios, así como proporcionar herramientas técnicas para la comprensión del fenómeno de reclutamiento, uso y utilización, fortaleciendo la capacidad de respuesta en territorios priorizados. Su alcance se orientó a la formación de funcionarios, la consolidación de la articulación local y la mejora en los procesos de identificación temprana de riesgos y la activación oportuna de rutas institucionales. De igual manera, </w:t>
      </w:r>
      <w:proofErr w:type="spellStart"/>
      <w:r w:rsidRPr="0014340D">
        <w:rPr>
          <w:rFonts w:ascii="Verdana" w:hAnsi="Verdana"/>
        </w:rPr>
        <w:t>Benposta</w:t>
      </w:r>
      <w:proofErr w:type="spellEnd"/>
      <w:r w:rsidRPr="0014340D">
        <w:rPr>
          <w:rFonts w:ascii="Verdana" w:hAnsi="Verdana"/>
        </w:rPr>
        <w:t xml:space="preserve"> atiende acciones en prevención en protección, de niñas, niños y adolescentes en amenaza inminente de reclutamiento, uso y utilización.</w:t>
      </w:r>
    </w:p>
    <w:p w14:paraId="3699AE84" w14:textId="77777777" w:rsidR="00BB451F" w:rsidRDefault="00BB451F" w:rsidP="0014340D">
      <w:pPr>
        <w:spacing w:line="276" w:lineRule="auto"/>
        <w:jc w:val="both"/>
        <w:rPr>
          <w:rFonts w:ascii="Verdana" w:hAnsi="Verdana"/>
        </w:rPr>
      </w:pPr>
    </w:p>
    <w:p w14:paraId="70680251" w14:textId="5909B683" w:rsidR="00BB451F" w:rsidRDefault="00BB451F" w:rsidP="0014340D">
      <w:pPr>
        <w:spacing w:line="276" w:lineRule="auto"/>
        <w:jc w:val="both"/>
        <w:rPr>
          <w:rFonts w:ascii="Verdana" w:hAnsi="Verdana"/>
          <w:i/>
          <w:iCs/>
        </w:rPr>
      </w:pPr>
      <w:r>
        <w:rPr>
          <w:rFonts w:ascii="Verdana" w:hAnsi="Verdana"/>
          <w:i/>
          <w:iCs/>
        </w:rPr>
        <w:t>COALICO</w:t>
      </w:r>
    </w:p>
    <w:p w14:paraId="477D4BEC" w14:textId="77777777" w:rsidR="00BB451F" w:rsidRDefault="00BB451F" w:rsidP="0014340D">
      <w:pPr>
        <w:spacing w:line="276" w:lineRule="auto"/>
        <w:jc w:val="both"/>
        <w:rPr>
          <w:rFonts w:ascii="Verdana" w:hAnsi="Verdana"/>
        </w:rPr>
      </w:pPr>
      <w:r w:rsidRPr="00BB451F">
        <w:rPr>
          <w:rFonts w:ascii="Verdana" w:hAnsi="Verdana"/>
        </w:rPr>
        <w:t>El Convenio 1138 de 2024, desarrollado con COALICO-</w:t>
      </w:r>
      <w:proofErr w:type="spellStart"/>
      <w:r w:rsidRPr="00BB451F">
        <w:rPr>
          <w:rFonts w:ascii="Verdana" w:hAnsi="Verdana"/>
        </w:rPr>
        <w:t>Justapaz</w:t>
      </w:r>
      <w:proofErr w:type="spellEnd"/>
      <w:r w:rsidRPr="00BB451F">
        <w:rPr>
          <w:rFonts w:ascii="Verdana" w:hAnsi="Verdana"/>
        </w:rPr>
        <w:t xml:space="preserve">, aporta de manera significativa al fortalecimiento pedagógico y metodológico de la respuesta institucional. </w:t>
      </w:r>
    </w:p>
    <w:p w14:paraId="3B111141" w14:textId="77777777" w:rsidR="00BB451F" w:rsidRDefault="00BB451F" w:rsidP="0014340D">
      <w:pPr>
        <w:spacing w:line="276" w:lineRule="auto"/>
        <w:jc w:val="both"/>
        <w:rPr>
          <w:rFonts w:ascii="Verdana" w:hAnsi="Verdana"/>
        </w:rPr>
      </w:pPr>
      <w:r w:rsidRPr="00BB451F">
        <w:rPr>
          <w:rFonts w:ascii="Verdana" w:hAnsi="Verdana"/>
        </w:rPr>
        <w:t xml:space="preserve">A través de este proceso se promueve la construcción y transferencia de herramientas de sensibilización, procesos formativos y acciones de movilización social frente al reclutamiento, uso, utilización y violencia sexual contra niñas, niños y adolescentes. Su valor estratégico radica en la articulación con una trayectoria especializada en la materia y en la incorporación de metodologías de pedagogía social orientadas a la desnaturalización de las violencias. </w:t>
      </w:r>
    </w:p>
    <w:p w14:paraId="271877E7" w14:textId="2CD679F2" w:rsidR="00BB451F" w:rsidRDefault="00BB451F" w:rsidP="0014340D">
      <w:pPr>
        <w:spacing w:line="276" w:lineRule="auto"/>
        <w:jc w:val="both"/>
        <w:rPr>
          <w:rFonts w:ascii="Verdana" w:hAnsi="Verdana"/>
        </w:rPr>
      </w:pPr>
      <w:r w:rsidRPr="00BB451F">
        <w:rPr>
          <w:rFonts w:ascii="Verdana" w:hAnsi="Verdana"/>
        </w:rPr>
        <w:lastRenderedPageBreak/>
        <w:t>Esta alianza ha permitido: fortalecer las capacidades de los equipos territoriales, ampliar la circulación de herramientas pedagógicas y consolidar intervenciones no solo con niñas, niños y adolescentes, sino también con familias, comunidades y actores interinstitucionales. En consecuencia, este convenio se configura como un componente clave para la sostenibilidad y calidad de la política preventiva.</w:t>
      </w:r>
    </w:p>
    <w:p w14:paraId="48A05BEA" w14:textId="77777777" w:rsidR="00AF11BE" w:rsidRDefault="00AF11BE" w:rsidP="0014340D">
      <w:pPr>
        <w:spacing w:line="276" w:lineRule="auto"/>
        <w:jc w:val="both"/>
        <w:rPr>
          <w:rFonts w:ascii="Verdana" w:hAnsi="Verdana"/>
        </w:rPr>
      </w:pPr>
    </w:p>
    <w:p w14:paraId="670E8400" w14:textId="3949D542" w:rsidR="00AF11BE" w:rsidRDefault="00AF11BE" w:rsidP="0014340D">
      <w:pPr>
        <w:spacing w:line="276" w:lineRule="auto"/>
        <w:jc w:val="both"/>
        <w:rPr>
          <w:rFonts w:ascii="Verdana" w:hAnsi="Verdana"/>
          <w:i/>
          <w:iCs/>
        </w:rPr>
      </w:pPr>
      <w:r w:rsidRPr="00AF11BE">
        <w:rPr>
          <w:rFonts w:ascii="Verdana" w:hAnsi="Verdana"/>
          <w:i/>
          <w:iCs/>
        </w:rPr>
        <w:t>MPTF, UNICEF, ONU DD.HH., Vicepresidencia de la República y Consejería Presidencial para los DD.HH. y DIH</w:t>
      </w:r>
    </w:p>
    <w:p w14:paraId="63703AA5" w14:textId="649E0E9C" w:rsidR="00AF11BE" w:rsidRDefault="00AF11BE" w:rsidP="0014340D">
      <w:pPr>
        <w:spacing w:line="276" w:lineRule="auto"/>
        <w:jc w:val="both"/>
        <w:rPr>
          <w:rFonts w:ascii="Verdana" w:hAnsi="Verdana"/>
        </w:rPr>
      </w:pPr>
      <w:r w:rsidRPr="00AF11BE">
        <w:rPr>
          <w:rFonts w:ascii="Verdana" w:hAnsi="Verdana"/>
        </w:rPr>
        <w:t xml:space="preserve">Paralelamente, se viene desarrollando el proyecto de “Estándares mínimos para contribuir a la prevención del reclutamiento, uso y utilización de niñas, niños y adolescentes con pertenencia étnica”. Este proyecto es financiado por el Fondo </w:t>
      </w:r>
      <w:proofErr w:type="spellStart"/>
      <w:r w:rsidRPr="00AF11BE">
        <w:rPr>
          <w:rFonts w:ascii="Verdana" w:hAnsi="Verdana"/>
        </w:rPr>
        <w:t>Multidonante</w:t>
      </w:r>
      <w:proofErr w:type="spellEnd"/>
      <w:r w:rsidRPr="00AF11BE">
        <w:rPr>
          <w:rFonts w:ascii="Verdana" w:hAnsi="Verdana"/>
        </w:rPr>
        <w:t xml:space="preserve"> para la consolidación de la Paz de Naciones Unidas (MPTF), y se implementa con UNICEF, ONU Derechos Humanos, Vicepresidencia de Colombia y la Consejería presidencial para los Derechos Humanos, y tiene como objetivo</w:t>
      </w:r>
      <w:r>
        <w:rPr>
          <w:rFonts w:ascii="Verdana" w:hAnsi="Verdana"/>
        </w:rPr>
        <w:t xml:space="preserve"> </w:t>
      </w:r>
      <w:r w:rsidRPr="00AF11BE">
        <w:rPr>
          <w:rFonts w:ascii="Verdana" w:hAnsi="Verdana"/>
        </w:rPr>
        <w:t>contribuir a la reducción del riesgo de reclutamiento, uso, utilización y violencia sexual contra niñas, niños y adolescentes indígenas, negros y afrocolombianos, mediante el diseño e implementación de estándares mínimos de protección de la niñez y la adolescencia, el fortalecimiento de la gobernanza local y de los mecanismos y herramientas comunitarias de protección, así como la articulación institucional en 10 comunidades y municipios focalizados</w:t>
      </w:r>
      <w:r>
        <w:rPr>
          <w:rFonts w:ascii="Verdana" w:hAnsi="Verdana"/>
        </w:rPr>
        <w:t>.</w:t>
      </w:r>
    </w:p>
    <w:p w14:paraId="7C936965" w14:textId="77777777" w:rsidR="00AF11BE" w:rsidRDefault="00AF11BE" w:rsidP="0014340D">
      <w:pPr>
        <w:spacing w:line="276" w:lineRule="auto"/>
        <w:jc w:val="both"/>
        <w:rPr>
          <w:rFonts w:ascii="Verdana" w:hAnsi="Verdana"/>
        </w:rPr>
      </w:pPr>
    </w:p>
    <w:p w14:paraId="19DBCECA" w14:textId="2A33B949" w:rsidR="00AF11BE" w:rsidRDefault="00AF11BE" w:rsidP="0014340D">
      <w:pPr>
        <w:spacing w:line="276" w:lineRule="auto"/>
        <w:jc w:val="both"/>
        <w:rPr>
          <w:rFonts w:ascii="Verdana" w:hAnsi="Verdana"/>
          <w:i/>
          <w:iCs/>
        </w:rPr>
      </w:pPr>
      <w:r>
        <w:rPr>
          <w:rFonts w:ascii="Verdana" w:hAnsi="Verdana"/>
          <w:i/>
          <w:iCs/>
        </w:rPr>
        <w:t>UNODC</w:t>
      </w:r>
    </w:p>
    <w:p w14:paraId="5100DFB8" w14:textId="1AE98DC8" w:rsidR="00AF11BE" w:rsidRDefault="002C1285" w:rsidP="0014340D">
      <w:pPr>
        <w:spacing w:line="276" w:lineRule="auto"/>
        <w:jc w:val="both"/>
        <w:rPr>
          <w:rFonts w:ascii="Verdana" w:hAnsi="Verdana"/>
        </w:rPr>
      </w:pPr>
      <w:r w:rsidRPr="002C1285">
        <w:rPr>
          <w:rFonts w:ascii="Verdana" w:hAnsi="Verdana"/>
        </w:rPr>
        <w:t>Mediante un convenio suscrito con la Oficina de las Naciones Unidas contra la Droga y el Delito (UNODC), orientado al fortalecimiento de capacidades institucionales, comunitarias y familiares para la prevención de las violencias basadas en género, la explotación sexual comercial de niñas, niños y adolescentes (ESCNNA) y la trata de personas, se adelanta asistencia técnica especializada, metodologías de intervención y procesos de fortalecimiento de capacidades territoriales para la identificación de riesgos, la activación de rutas de protección y la respuesta institucional frente a estas formas de violencia. Como parte de esta cooperación, se implementaron acciones en 15 municipios priorizados, incluyendo procesos formativos dirigidos a niñas, niños y adolescentes, encuentros con madres, padres, cuidadores y actores comunitarios, así como el fortalecimiento de las capacidades territoriales para la identificación temprana de riesgos, la activación de rutas de protección y la consolidación de redes comunitarias de prevención.</w:t>
      </w:r>
    </w:p>
    <w:p w14:paraId="351FD7AC" w14:textId="432A49AF" w:rsidR="002C1285" w:rsidRDefault="002C1285" w:rsidP="0014340D">
      <w:pPr>
        <w:spacing w:line="276" w:lineRule="auto"/>
        <w:jc w:val="both"/>
        <w:rPr>
          <w:rFonts w:ascii="Verdana" w:hAnsi="Verdana"/>
        </w:rPr>
      </w:pPr>
    </w:p>
    <w:p w14:paraId="327D920F" w14:textId="34388C4A" w:rsidR="002C1285" w:rsidRDefault="002C1285" w:rsidP="002C1285">
      <w:pPr>
        <w:pStyle w:val="ListParagraph"/>
        <w:numPr>
          <w:ilvl w:val="0"/>
          <w:numId w:val="17"/>
        </w:numPr>
        <w:spacing w:line="276" w:lineRule="auto"/>
        <w:jc w:val="both"/>
        <w:rPr>
          <w:rFonts w:ascii="Verdana" w:hAnsi="Verdana"/>
        </w:rPr>
      </w:pPr>
      <w:r>
        <w:rPr>
          <w:rFonts w:ascii="Verdana" w:hAnsi="Verdana"/>
        </w:rPr>
        <w:lastRenderedPageBreak/>
        <w:t xml:space="preserve">Atención integral, </w:t>
      </w:r>
      <w:r w:rsidRPr="002C1285">
        <w:rPr>
          <w:rFonts w:ascii="Verdana" w:hAnsi="Verdana"/>
        </w:rPr>
        <w:t>asistencia, restablecimiento de derechos y reintegración de víctimas de trata de personas</w:t>
      </w:r>
    </w:p>
    <w:p w14:paraId="7DD87A12" w14:textId="4F8AC283" w:rsidR="002C1285" w:rsidRDefault="009E4FC2" w:rsidP="009E4FC2">
      <w:pPr>
        <w:spacing w:line="276" w:lineRule="auto"/>
        <w:ind w:left="360"/>
        <w:jc w:val="both"/>
        <w:rPr>
          <w:rFonts w:ascii="Verdana" w:hAnsi="Verdana"/>
        </w:rPr>
      </w:pPr>
      <w:r w:rsidRPr="009E4FC2">
        <w:rPr>
          <w:rFonts w:ascii="Verdana" w:hAnsi="Verdana"/>
        </w:rPr>
        <w:t>De acuerdo con las medidas de asistencia inmediata y mediata previstas en el artículo 2.2.2.2.30 del Decreto 1066 de 2015, el ICBF cuenta con atención integral dirigida a todos los niños, niñas y adolescentes víctimas de trata de personas definidos por las autoridades competentes en el marco de un Proceso Administrativo de Restablecimiento de Derechos (PARD), así como quienes han sido víctimas del conflicto armado.</w:t>
      </w:r>
    </w:p>
    <w:p w14:paraId="407D3114" w14:textId="77777777" w:rsidR="009E4FC2" w:rsidRDefault="009E4FC2" w:rsidP="009E4FC2">
      <w:pPr>
        <w:spacing w:line="276" w:lineRule="auto"/>
        <w:ind w:left="360"/>
        <w:jc w:val="both"/>
        <w:rPr>
          <w:rFonts w:ascii="Verdana" w:hAnsi="Verdana"/>
        </w:rPr>
      </w:pPr>
      <w:r w:rsidRPr="009E4FC2">
        <w:rPr>
          <w:rFonts w:ascii="Verdana" w:hAnsi="Verdana"/>
        </w:rPr>
        <w:t xml:space="preserve">Una vez verificada la garantía de derechos, la autoridad administrativa da apertura al PARD y adopta las medidas de restablecimiento que resulten más adecuadas a las necesidades particulares de cada niña, niño o adolescente, con el propósito de superar las situaciones que dieron origen a la amenaza o vulneración de derechos. </w:t>
      </w:r>
    </w:p>
    <w:p w14:paraId="68E00736" w14:textId="77777777" w:rsidR="009E4FC2" w:rsidRDefault="009E4FC2" w:rsidP="009E4FC2">
      <w:pPr>
        <w:spacing w:line="276" w:lineRule="auto"/>
        <w:ind w:left="360"/>
        <w:jc w:val="both"/>
        <w:rPr>
          <w:rFonts w:ascii="Verdana" w:hAnsi="Verdana"/>
        </w:rPr>
      </w:pPr>
      <w:r w:rsidRPr="009E4FC2">
        <w:rPr>
          <w:rFonts w:ascii="Verdana" w:hAnsi="Verdana"/>
        </w:rPr>
        <w:t xml:space="preserve">La atención integral incluye la priorización de la atención en salud física y mental, así como intervenciones psicosociales individuales, familiares y comunitarias orientadas a la recuperación, el fortalecimiento de vínculos familiares, la consolidación de redes de apoyo y la reintegración social de las víctimas. </w:t>
      </w:r>
    </w:p>
    <w:p w14:paraId="061CE8D3" w14:textId="77777777" w:rsidR="009E4FC2" w:rsidRDefault="009E4FC2" w:rsidP="009E4FC2">
      <w:pPr>
        <w:spacing w:line="276" w:lineRule="auto"/>
        <w:ind w:left="360"/>
        <w:jc w:val="both"/>
        <w:rPr>
          <w:rFonts w:ascii="Verdana" w:hAnsi="Verdana"/>
        </w:rPr>
      </w:pPr>
      <w:r w:rsidRPr="009E4FC2">
        <w:rPr>
          <w:rFonts w:ascii="Verdana" w:hAnsi="Verdana"/>
        </w:rPr>
        <w:t xml:space="preserve">Asimismo, el marco normativo vigente garantiza el acceso a acompañamiento jurídico, asesoría técnico-legal y representación judicial, a cargo de la Defensoría del Pueblo, así como la coordinación entre el ICBF, la </w:t>
      </w:r>
      <w:proofErr w:type="gramStart"/>
      <w:r w:rsidRPr="009E4FC2">
        <w:rPr>
          <w:rFonts w:ascii="Verdana" w:hAnsi="Verdana"/>
        </w:rPr>
        <w:t>Fiscalía General</w:t>
      </w:r>
      <w:proofErr w:type="gramEnd"/>
      <w:r w:rsidRPr="009E4FC2">
        <w:rPr>
          <w:rFonts w:ascii="Verdana" w:hAnsi="Verdana"/>
        </w:rPr>
        <w:t xml:space="preserve"> de la Nación y demás entidades competentes para asegurar la protección integral, el acceso a la justicia y el restablecimiento efectivo de los derechos de las víctimas. </w:t>
      </w:r>
    </w:p>
    <w:p w14:paraId="094DF2B6" w14:textId="75818D76" w:rsidR="009E4FC2" w:rsidRDefault="009E4FC2" w:rsidP="009E4FC2">
      <w:pPr>
        <w:spacing w:line="276" w:lineRule="auto"/>
        <w:ind w:left="360"/>
        <w:jc w:val="both"/>
        <w:rPr>
          <w:rFonts w:ascii="Verdana" w:hAnsi="Verdana"/>
        </w:rPr>
      </w:pPr>
      <w:r w:rsidRPr="009E4FC2">
        <w:rPr>
          <w:rFonts w:ascii="Verdana" w:hAnsi="Verdana"/>
        </w:rPr>
        <w:t>Finalmente, para los casos de amenaza de reclutamiento, uso o utilización, el ICBF cuenta con la ruta de prevención en protección y con modalidades de restablecimiento de derechos que permiten adoptar medidas diferenciadas de protección, incluyendo ubicación en hogar gestor, atención especializada fuera del territorio de riesgo, coordinación con autoridades indígenas en casos de niñas, niños y adolescentes indígenas, y atención mediante Unidades Móviles a familias desplazadas por amenazas contra la vida e integridad de sus hijos e hijas. Estas medidas se implementan a través de las modalidades de atención de la Dirección de Protección Especial, orientadas a garantizar la protección integral y el restablecimiento de derechos de niñas, niños y adolescentes víctimas.</w:t>
      </w:r>
    </w:p>
    <w:p w14:paraId="480D0FC9" w14:textId="5DE9F506" w:rsidR="009E4FC2" w:rsidRPr="009E4FC2" w:rsidRDefault="009E4FC2" w:rsidP="009E4FC2">
      <w:pPr>
        <w:spacing w:line="276" w:lineRule="auto"/>
        <w:ind w:left="360"/>
        <w:jc w:val="both"/>
        <w:rPr>
          <w:rFonts w:ascii="Verdana" w:hAnsi="Verdana"/>
        </w:rPr>
      </w:pPr>
      <w:r w:rsidRPr="009E4FC2">
        <w:rPr>
          <w:rFonts w:ascii="Verdana" w:hAnsi="Verdana"/>
        </w:rPr>
        <w:t xml:space="preserve">Para los casos con riesgos extraordinarios de seguridad y ausencia de recursos, se viene actuando de manera subsidiaria, concurrente y complementaria, bajo el liderazgo del ICBF y en conjunto con el Ministerio de </w:t>
      </w:r>
      <w:r w:rsidRPr="009E4FC2">
        <w:rPr>
          <w:rFonts w:ascii="Verdana" w:hAnsi="Verdana"/>
        </w:rPr>
        <w:lastRenderedPageBreak/>
        <w:t>Defensa, Comando General de las Fuerzas Militares-, la Policía Nacional, el Ministerio de Educación Nacional, la Defensoría del Pueblo, la Unidad para la Reparación Integral a las Víctimas y la Consejería Presidencial de Derechos Humanos y Derecho Internacional Humanitario, a través de la activación y gestión del Equipo Nacional de Acción Inmediata (ENAI), el cual fue finalmente normado y conformado a través de la</w:t>
      </w:r>
      <w:r w:rsidR="00431D62">
        <w:rPr>
          <w:rFonts w:ascii="Verdana" w:hAnsi="Verdana"/>
        </w:rPr>
        <w:t xml:space="preserve"> </w:t>
      </w:r>
      <w:r w:rsidR="00431D62" w:rsidRPr="00431D62">
        <w:rPr>
          <w:rFonts w:ascii="Verdana" w:hAnsi="Verdana"/>
        </w:rPr>
        <w:t>Ley 2590 de 2026, y articula las acciones de respuesta interinstitucional para salvaguardar la vida e integridad de las niñas, niños y adolescentes amenazados o vulnerados por grupos armados y facilitarles su acceso a la ruta de restablecimiento de derechos.</w:t>
      </w:r>
    </w:p>
    <w:p w14:paraId="448CD93B" w14:textId="77777777" w:rsidR="0014340D" w:rsidRPr="0014340D" w:rsidRDefault="0014340D" w:rsidP="0014340D">
      <w:pPr>
        <w:spacing w:line="276" w:lineRule="auto"/>
        <w:jc w:val="both"/>
        <w:rPr>
          <w:rFonts w:ascii="Verdana" w:hAnsi="Verdana"/>
        </w:rPr>
      </w:pPr>
    </w:p>
    <w:p w14:paraId="026D61A2" w14:textId="30DFAEA6" w:rsidR="00F979CC" w:rsidRPr="00035A6A" w:rsidRDefault="00F979CC" w:rsidP="00035A6A">
      <w:pPr>
        <w:shd w:val="clear" w:color="auto" w:fill="153D63" w:themeFill="text2" w:themeFillTint="E6"/>
        <w:autoSpaceDE w:val="0"/>
        <w:autoSpaceDN w:val="0"/>
        <w:adjustRightInd w:val="0"/>
        <w:spacing w:after="0" w:line="240" w:lineRule="auto"/>
        <w:jc w:val="center"/>
        <w:rPr>
          <w:rFonts w:ascii="Verdana" w:hAnsi="Verdana" w:cs="TimesNewRomanPSMT"/>
          <w:b/>
          <w:bCs/>
          <w:kern w:val="0"/>
          <w:sz w:val="24"/>
          <w:szCs w:val="24"/>
          <w:lang w:val="es-ES"/>
          <w14:ligatures w14:val="none"/>
        </w:rPr>
      </w:pPr>
      <w:r w:rsidRPr="00035A6A">
        <w:rPr>
          <w:rFonts w:ascii="Verdana" w:hAnsi="Verdana" w:cs="TimesNewRomanPSMT"/>
          <w:b/>
          <w:bCs/>
          <w:kern w:val="0"/>
          <w:sz w:val="24"/>
          <w:szCs w:val="24"/>
          <w:lang w:val="es-ES"/>
          <w14:ligatures w14:val="none"/>
        </w:rPr>
        <w:t>LIBERTAD DE EXPRESIÓN</w:t>
      </w:r>
    </w:p>
    <w:p w14:paraId="040AE145" w14:textId="77777777" w:rsidR="00035A6A" w:rsidRDefault="00035A6A" w:rsidP="0038498E">
      <w:pPr>
        <w:spacing w:line="276" w:lineRule="auto"/>
        <w:jc w:val="both"/>
        <w:rPr>
          <w:rFonts w:ascii="Verdana" w:hAnsi="Verdana"/>
        </w:rPr>
      </w:pPr>
    </w:p>
    <w:p w14:paraId="21FED14E" w14:textId="336D52B6" w:rsidR="00F979CC" w:rsidRPr="0038498E" w:rsidRDefault="0038498E" w:rsidP="0038498E">
      <w:pPr>
        <w:spacing w:line="276" w:lineRule="auto"/>
        <w:jc w:val="both"/>
        <w:rPr>
          <w:rFonts w:ascii="Verdana" w:hAnsi="Verdana"/>
        </w:rPr>
      </w:pPr>
      <w:r w:rsidRPr="0038498E">
        <w:rPr>
          <w:rFonts w:ascii="Verdana" w:hAnsi="Verdana"/>
        </w:rPr>
        <w:t xml:space="preserve">La Observación Final No. 35 del Comité de Derechos Humanos refiere: </w:t>
      </w:r>
    </w:p>
    <w:p w14:paraId="2E578B7D" w14:textId="49035268" w:rsidR="0038498E" w:rsidRDefault="0038498E" w:rsidP="00E15D68">
      <w:pPr>
        <w:spacing w:line="276" w:lineRule="auto"/>
        <w:ind w:left="708"/>
        <w:jc w:val="both"/>
        <w:rPr>
          <w:rFonts w:ascii="Verdana" w:hAnsi="Verdana"/>
        </w:rPr>
      </w:pPr>
      <w:r w:rsidRPr="0038498E">
        <w:rPr>
          <w:rFonts w:ascii="Verdana" w:hAnsi="Verdana"/>
        </w:rPr>
        <w:t>35. El Estado parte debe adoptar e implementar una política nacional para la protección de personas defensoras de derechos humanos, en el marco del proceso nacional de garantías, con una amplia participación de la sociedad civil, que pueda dar respuesta a las necesidades de prevención, protección, lucha contra la impunidad y no estigmatización de las personas defensoras. Asimismo, el Estado parte debe redoblar sus esfuerzos para:</w:t>
      </w:r>
    </w:p>
    <w:p w14:paraId="79739F30" w14:textId="77777777" w:rsidR="00E15D68" w:rsidRDefault="00E15D68" w:rsidP="00E15D68">
      <w:pPr>
        <w:spacing w:line="276" w:lineRule="auto"/>
        <w:ind w:left="708"/>
        <w:jc w:val="both"/>
        <w:rPr>
          <w:rFonts w:ascii="Verdana" w:hAnsi="Verdana"/>
        </w:rPr>
      </w:pPr>
      <w:r w:rsidRPr="00E15D68">
        <w:rPr>
          <w:rFonts w:ascii="Verdana" w:hAnsi="Verdana"/>
        </w:rPr>
        <w:t xml:space="preserve">a) Garantizar asistencia y protección efectivas a personas defensoras de derechos humanos, incluyendo los defensores de los derechos medioambientales y de los derechos de las personas indígenas y afrodescendientes, líderes sociales, comunales, autoridades indígenas y afrodescendientes, y periodistas que sean víctimas de actos de amenazas, violencia e intimidación, y garantizar que puedan llevar a cabo su actividad en condiciones adecuadas, incluyendo a través de la adopción de medidas colectivas de protección y de la implementación efectiva de medidas cautelares; </w:t>
      </w:r>
    </w:p>
    <w:p w14:paraId="4964EF54" w14:textId="77777777" w:rsidR="00E15D68" w:rsidRDefault="00E15D68" w:rsidP="00E15D68">
      <w:pPr>
        <w:spacing w:line="276" w:lineRule="auto"/>
        <w:ind w:left="708"/>
        <w:jc w:val="both"/>
        <w:rPr>
          <w:rFonts w:ascii="Verdana" w:hAnsi="Verdana"/>
        </w:rPr>
      </w:pPr>
      <w:r w:rsidRPr="00E15D68">
        <w:rPr>
          <w:rFonts w:ascii="Verdana" w:hAnsi="Verdana"/>
        </w:rPr>
        <w:t xml:space="preserve">b) Fortalecer el trabajo de la Unidad Especial de Investigación y del Grupo de Trabajo de Amenazas de la </w:t>
      </w:r>
      <w:proofErr w:type="gramStart"/>
      <w:r w:rsidRPr="00E15D68">
        <w:rPr>
          <w:rFonts w:ascii="Verdana" w:hAnsi="Verdana"/>
        </w:rPr>
        <w:t>Fiscalía General</w:t>
      </w:r>
      <w:proofErr w:type="gramEnd"/>
      <w:r w:rsidRPr="00E15D68">
        <w:rPr>
          <w:rFonts w:ascii="Verdana" w:hAnsi="Verdana"/>
        </w:rPr>
        <w:t xml:space="preserve"> con el fin de asegurar que los homicidios, ataques, represalias y amenazas contra personas defensoras de derechos humanos y periodistas se investiguen de manera pronta, exhaustiva, independiente e imparcial, que los autores materiales e intelectuales sean procesados y castigados con penas apropiadas, y que las víctimas obtengan una reparación integral; </w:t>
      </w:r>
    </w:p>
    <w:p w14:paraId="36B25FA9" w14:textId="63AEF11E" w:rsidR="00E15D68" w:rsidRDefault="00E15D68" w:rsidP="00E15D68">
      <w:pPr>
        <w:spacing w:line="276" w:lineRule="auto"/>
        <w:ind w:left="708"/>
        <w:jc w:val="both"/>
        <w:rPr>
          <w:rFonts w:ascii="Verdana" w:hAnsi="Verdana"/>
        </w:rPr>
      </w:pPr>
      <w:r w:rsidRPr="00E15D68">
        <w:rPr>
          <w:rFonts w:ascii="Verdana" w:hAnsi="Verdana"/>
        </w:rPr>
        <w:lastRenderedPageBreak/>
        <w:t>c) Reformar el modelo de protección, incluyendo a la Unidad Nacional de Protección, a través de un proceso participativo con el objetivo de establecer un sistema que priorice la prevención y la protección colectiva y comunitaria, focalizada en los territorios con mayores niveles de violencia y que incorpore los enfoques diferenciales, étnico, de género, feminista e interseccional.</w:t>
      </w:r>
    </w:p>
    <w:p w14:paraId="51F64B86" w14:textId="3BFBA6C1" w:rsidR="003A6664" w:rsidRDefault="003A6664" w:rsidP="003A6664">
      <w:pPr>
        <w:spacing w:line="276" w:lineRule="auto"/>
        <w:jc w:val="both"/>
        <w:rPr>
          <w:rFonts w:ascii="Verdana" w:hAnsi="Verdana"/>
          <w:b/>
          <w:bCs/>
        </w:rPr>
      </w:pPr>
      <w:r w:rsidRPr="003A6664">
        <w:rPr>
          <w:rFonts w:ascii="Verdana" w:hAnsi="Verdana"/>
          <w:b/>
          <w:bCs/>
        </w:rPr>
        <w:t>LITERAL A</w:t>
      </w:r>
    </w:p>
    <w:p w14:paraId="72FAF783" w14:textId="71C93DBD" w:rsidR="00771C02" w:rsidRDefault="00771C02" w:rsidP="003A6664">
      <w:pPr>
        <w:spacing w:line="276" w:lineRule="auto"/>
        <w:jc w:val="both"/>
        <w:rPr>
          <w:rFonts w:ascii="Verdana" w:hAnsi="Verdana"/>
          <w:b/>
          <w:bCs/>
          <w:u w:val="single"/>
        </w:rPr>
      </w:pPr>
      <w:r w:rsidRPr="00771C02">
        <w:rPr>
          <w:rFonts w:ascii="Verdana" w:hAnsi="Verdana"/>
          <w:b/>
          <w:bCs/>
          <w:u w:val="single"/>
        </w:rPr>
        <w:t>Fiscalía General de la Nación</w:t>
      </w:r>
    </w:p>
    <w:p w14:paraId="1A086D87" w14:textId="754765E9" w:rsidR="00523604" w:rsidRDefault="00523604" w:rsidP="003A6664">
      <w:pPr>
        <w:spacing w:line="276" w:lineRule="auto"/>
        <w:jc w:val="both"/>
        <w:rPr>
          <w:rFonts w:ascii="Verdana" w:hAnsi="Verdana"/>
        </w:rPr>
      </w:pPr>
      <w:r w:rsidRPr="00523604">
        <w:rPr>
          <w:rFonts w:ascii="Verdana" w:hAnsi="Verdana"/>
        </w:rPr>
        <w:t xml:space="preserve">A </w:t>
      </w:r>
      <w:proofErr w:type="gramStart"/>
      <w:r w:rsidRPr="00523604">
        <w:rPr>
          <w:rFonts w:ascii="Verdana" w:hAnsi="Verdana"/>
        </w:rPr>
        <w:t>continuación</w:t>
      </w:r>
      <w:proofErr w:type="gramEnd"/>
      <w:r w:rsidRPr="00523604">
        <w:rPr>
          <w:rFonts w:ascii="Verdana" w:hAnsi="Verdana"/>
        </w:rPr>
        <w:t xml:space="preserve"> la estrategia implementada para la investigación de delitos cometidos contra defensores de derechos humanos</w:t>
      </w:r>
      <w:r>
        <w:rPr>
          <w:rFonts w:ascii="Verdana" w:hAnsi="Verdana"/>
        </w:rPr>
        <w:t>:</w:t>
      </w:r>
    </w:p>
    <w:p w14:paraId="5750962A" w14:textId="11550B99" w:rsidR="00523604" w:rsidRDefault="00523604" w:rsidP="00523604">
      <w:pPr>
        <w:pStyle w:val="ListParagraph"/>
        <w:numPr>
          <w:ilvl w:val="0"/>
          <w:numId w:val="9"/>
        </w:numPr>
        <w:spacing w:line="276" w:lineRule="auto"/>
        <w:jc w:val="both"/>
        <w:rPr>
          <w:rFonts w:ascii="Verdana" w:hAnsi="Verdana"/>
        </w:rPr>
      </w:pPr>
      <w:r>
        <w:rPr>
          <w:rFonts w:ascii="Verdana" w:hAnsi="Verdana"/>
        </w:rPr>
        <w:t xml:space="preserve">Homicidios </w:t>
      </w:r>
    </w:p>
    <w:p w14:paraId="6C4CA4DE" w14:textId="77777777" w:rsidR="00523604" w:rsidRDefault="00523604" w:rsidP="00523604">
      <w:pPr>
        <w:spacing w:line="276" w:lineRule="auto"/>
        <w:jc w:val="both"/>
        <w:rPr>
          <w:rFonts w:ascii="Verdana" w:hAnsi="Verdana"/>
        </w:rPr>
      </w:pPr>
      <w:r w:rsidRPr="00523604">
        <w:rPr>
          <w:rFonts w:ascii="Verdana" w:hAnsi="Verdana"/>
        </w:rPr>
        <w:t xml:space="preserve">La Unidad Especial de Investigación – UEI conforme al Decreto Ley 898 de 2017, ha mantenido una labor permanente orientada a la investigación rápida, imparcial y exhaustiva de los ataques contra defensores de derechos humanos, en lo que respecta al tipo penal de homicidio. Esta labor se ha realizado bajo un enfoque de derechos humanos, con especial atención a la erradicación de la impunidad y la judicialización efectiva de los responsables. </w:t>
      </w:r>
    </w:p>
    <w:p w14:paraId="529FB194" w14:textId="77777777" w:rsidR="00523604" w:rsidRDefault="00523604" w:rsidP="00523604">
      <w:pPr>
        <w:spacing w:line="276" w:lineRule="auto"/>
        <w:jc w:val="both"/>
        <w:rPr>
          <w:rFonts w:ascii="Verdana" w:hAnsi="Verdana"/>
        </w:rPr>
      </w:pPr>
      <w:r w:rsidRPr="00523604">
        <w:rPr>
          <w:rFonts w:ascii="Verdana" w:hAnsi="Verdana"/>
        </w:rPr>
        <w:t xml:space="preserve">En ese sentido, se han fortalecido los mecanismos de coordinación con las Fiscalías Seccionales, la Direcciones al interior de la </w:t>
      </w:r>
      <w:proofErr w:type="gramStart"/>
      <w:r w:rsidRPr="00523604">
        <w:rPr>
          <w:rFonts w:ascii="Verdana" w:hAnsi="Verdana"/>
        </w:rPr>
        <w:t>Fiscalía General</w:t>
      </w:r>
      <w:proofErr w:type="gramEnd"/>
      <w:r w:rsidRPr="00523604">
        <w:rPr>
          <w:rFonts w:ascii="Verdana" w:hAnsi="Verdana"/>
        </w:rPr>
        <w:t xml:space="preserve"> de la Nación y la Unidad Nacional de Protección - UNP, garantizando la articulación interinstitucional para la atención de los casos. </w:t>
      </w:r>
    </w:p>
    <w:p w14:paraId="077F9774" w14:textId="77777777" w:rsidR="00DE684B" w:rsidRDefault="00523604" w:rsidP="00523604">
      <w:pPr>
        <w:spacing w:line="276" w:lineRule="auto"/>
        <w:jc w:val="both"/>
        <w:rPr>
          <w:rFonts w:ascii="Verdana" w:hAnsi="Verdana"/>
        </w:rPr>
      </w:pPr>
      <w:r w:rsidRPr="00523604">
        <w:rPr>
          <w:rFonts w:ascii="Verdana" w:hAnsi="Verdana"/>
        </w:rPr>
        <w:t xml:space="preserve">Asimismo, se han implementado estrategias de priorización territorial y análisis de contexto, que permiten identificar patrones de violencia y actores recurrentes en las agresiones contra defensores, como también, se ha promovido la capacitación continua de los miembros de los equipos investigativos en estándares internacionales de derechos humanos y en metodologías de investigación diferencial. </w:t>
      </w:r>
    </w:p>
    <w:p w14:paraId="5E85862F" w14:textId="4DFD3FA6" w:rsidR="00523604" w:rsidRDefault="00523604" w:rsidP="00523604">
      <w:pPr>
        <w:spacing w:line="276" w:lineRule="auto"/>
        <w:jc w:val="both"/>
        <w:rPr>
          <w:rFonts w:ascii="Verdana" w:hAnsi="Verdana"/>
        </w:rPr>
      </w:pPr>
      <w:r w:rsidRPr="00523604">
        <w:rPr>
          <w:rFonts w:ascii="Verdana" w:hAnsi="Verdana"/>
        </w:rPr>
        <w:t>Es importante indicar que, en el período comprendido entre los años 2016 y 2026, la UEI ha consolidado información sobre las etapas procesales de los casos investigados, reflejando avances significativos en la judicialización y sanción de los responsables, evidenciando el esfuerzo institucional por garantizar el acceso a la justicia y la aplicación de penas proporcionales a la gravedad de los hechos.</w:t>
      </w:r>
    </w:p>
    <w:p w14:paraId="3BB1BF72" w14:textId="442C1C09" w:rsidR="00DE684B" w:rsidRDefault="00DE684B" w:rsidP="00523604">
      <w:pPr>
        <w:spacing w:line="276" w:lineRule="auto"/>
        <w:jc w:val="both"/>
        <w:rPr>
          <w:rFonts w:ascii="Verdana" w:hAnsi="Verdana"/>
        </w:rPr>
      </w:pPr>
      <w:r w:rsidRPr="00DE684B">
        <w:rPr>
          <w:rFonts w:ascii="Verdana" w:hAnsi="Verdana"/>
        </w:rPr>
        <w:t xml:space="preserve">De esta manera, la UEI ha tenido un incremento sostenido en las etapas de indagación e investigación, así como un número relevante de casos en juicio y ejecución de penas condenatorias, lo que demuestra el fortalecimiento de la respuesta penal frente a los ataques contra defensores de derechos humanos, </w:t>
      </w:r>
      <w:r w:rsidRPr="00DE684B">
        <w:rPr>
          <w:rFonts w:ascii="Verdana" w:hAnsi="Verdana"/>
        </w:rPr>
        <w:lastRenderedPageBreak/>
        <w:t>como también la consolidación de la capacidad investigativa de la UEI y la efectividad de las estrategias de priorización, lo que se ha derivado en procesos en ejecución de penas condenatorias que evidencian la materialización del principio de sanción proporcional y la reducción de la impunidad frente a estos casos.</w:t>
      </w:r>
    </w:p>
    <w:p w14:paraId="0C006D6D" w14:textId="3669CC9F" w:rsidR="00DE684B" w:rsidRDefault="00DE684B" w:rsidP="00523604">
      <w:pPr>
        <w:spacing w:line="276" w:lineRule="auto"/>
        <w:jc w:val="both"/>
        <w:rPr>
          <w:rFonts w:ascii="Verdana" w:hAnsi="Verdana"/>
        </w:rPr>
      </w:pPr>
      <w:r w:rsidRPr="00DE684B">
        <w:rPr>
          <w:rFonts w:ascii="Verdana" w:hAnsi="Verdana"/>
        </w:rPr>
        <w:t>La UEI reitera su compromiso con la investigación rápida, imparcial y exhaustiva de los ataques contra defensores de derechos humanos, asegurando que los responsables sean identificados, juzgados y sancionados con penas proporcionales, conforme a las recomendaciones del Comité de Naciones Unidas y al marco normativo nacional</w:t>
      </w:r>
      <w:r>
        <w:rPr>
          <w:rFonts w:ascii="Verdana" w:hAnsi="Verdana"/>
        </w:rPr>
        <w:t>.</w:t>
      </w:r>
    </w:p>
    <w:p w14:paraId="71D4CA7C" w14:textId="77777777" w:rsidR="00DE684B" w:rsidRDefault="00DE684B" w:rsidP="00523604">
      <w:pPr>
        <w:spacing w:line="276" w:lineRule="auto"/>
        <w:jc w:val="both"/>
        <w:rPr>
          <w:rFonts w:ascii="Verdana" w:hAnsi="Verdana"/>
        </w:rPr>
      </w:pPr>
    </w:p>
    <w:p w14:paraId="5432CBF6" w14:textId="700578A7" w:rsidR="00DE684B" w:rsidRDefault="00DE684B" w:rsidP="00DE684B">
      <w:pPr>
        <w:pStyle w:val="ListParagraph"/>
        <w:numPr>
          <w:ilvl w:val="0"/>
          <w:numId w:val="9"/>
        </w:numPr>
        <w:spacing w:line="276" w:lineRule="auto"/>
        <w:jc w:val="both"/>
        <w:rPr>
          <w:rFonts w:ascii="Verdana" w:hAnsi="Verdana"/>
        </w:rPr>
      </w:pPr>
      <w:r>
        <w:rPr>
          <w:rFonts w:ascii="Verdana" w:hAnsi="Verdana"/>
        </w:rPr>
        <w:t>Amenazas</w:t>
      </w:r>
    </w:p>
    <w:p w14:paraId="1F4A8ADA" w14:textId="53D9DA1B" w:rsidR="00DE684B" w:rsidRDefault="00DB7800" w:rsidP="00DE684B">
      <w:pPr>
        <w:spacing w:line="276" w:lineRule="auto"/>
        <w:jc w:val="both"/>
        <w:rPr>
          <w:rFonts w:ascii="Verdana" w:hAnsi="Verdana"/>
        </w:rPr>
      </w:pPr>
      <w:r w:rsidRPr="00DB7800">
        <w:rPr>
          <w:rFonts w:ascii="Verdana" w:hAnsi="Verdana"/>
        </w:rPr>
        <w:t xml:space="preserve">La </w:t>
      </w:r>
      <w:proofErr w:type="gramStart"/>
      <w:r w:rsidRPr="00DB7800">
        <w:rPr>
          <w:rFonts w:ascii="Verdana" w:hAnsi="Verdana"/>
        </w:rPr>
        <w:t>Fiscalía General</w:t>
      </w:r>
      <w:proofErr w:type="gramEnd"/>
      <w:r w:rsidRPr="00DB7800">
        <w:rPr>
          <w:rFonts w:ascii="Verdana" w:hAnsi="Verdana"/>
        </w:rPr>
        <w:t xml:space="preserve"> de la Nación continúa fortaleciendo los mecanismos institucionales orientados a la atención e investigación de conductas que afectan a poblaciones objeto de especial protección. En este contexto, el Grupo de Trabajo Nacional sobre Amenazas - GTNA mantiene mecanismos de recepción y atención inmediata de denuncias a través de los turnos de disponibilidad, garantizando la activación oportuna de las actuaciones investigativas correspondientes.</w:t>
      </w:r>
    </w:p>
    <w:p w14:paraId="152AEEEA" w14:textId="5F0BFE4E" w:rsidR="00DB7800" w:rsidRPr="00DE684B" w:rsidRDefault="00DB7800" w:rsidP="00DE684B">
      <w:pPr>
        <w:spacing w:line="276" w:lineRule="auto"/>
        <w:jc w:val="both"/>
        <w:rPr>
          <w:rFonts w:ascii="Verdana" w:hAnsi="Verdana"/>
        </w:rPr>
      </w:pPr>
      <w:r w:rsidRPr="00DB7800">
        <w:rPr>
          <w:rFonts w:ascii="Verdana" w:hAnsi="Verdana"/>
        </w:rPr>
        <w:t>La estrategia institucional se fundamenta en la priorización de casos que involucren poblaciones objeto de especial protección, la articulación entre los niveles central y territorial y el fortalecimiento de capacidades investigativas para el abordaje de contextos de violencia sistemática y amenazas</w:t>
      </w:r>
      <w:r>
        <w:rPr>
          <w:rStyle w:val="FootnoteReference"/>
          <w:rFonts w:ascii="Verdana" w:hAnsi="Verdana"/>
        </w:rPr>
        <w:footnoteReference w:id="15"/>
      </w:r>
      <w:r>
        <w:rPr>
          <w:rFonts w:ascii="Verdana" w:hAnsi="Verdana"/>
        </w:rPr>
        <w:t>.</w:t>
      </w:r>
    </w:p>
    <w:p w14:paraId="75637B73" w14:textId="15AF29D1" w:rsidR="003A6664" w:rsidRPr="003A6664" w:rsidRDefault="003A6664" w:rsidP="003A6664">
      <w:pPr>
        <w:spacing w:line="276" w:lineRule="auto"/>
        <w:jc w:val="both"/>
        <w:rPr>
          <w:rFonts w:ascii="Verdana" w:hAnsi="Verdana"/>
          <w:b/>
          <w:bCs/>
          <w:u w:val="single"/>
        </w:rPr>
      </w:pPr>
      <w:r>
        <w:rPr>
          <w:rFonts w:ascii="Verdana" w:hAnsi="Verdana"/>
          <w:b/>
          <w:bCs/>
          <w:u w:val="single"/>
        </w:rPr>
        <w:t>Jurisdicción Especial para la Paz</w:t>
      </w:r>
    </w:p>
    <w:p w14:paraId="6A6A5AC3" w14:textId="77777777" w:rsidR="003A6664" w:rsidRDefault="003A6664" w:rsidP="003A6664">
      <w:pPr>
        <w:spacing w:line="276" w:lineRule="auto"/>
        <w:jc w:val="both"/>
        <w:rPr>
          <w:rFonts w:ascii="Verdana" w:hAnsi="Verdana"/>
        </w:rPr>
      </w:pPr>
      <w:r w:rsidRPr="003A6664">
        <w:rPr>
          <w:rFonts w:ascii="Verdana" w:hAnsi="Verdana"/>
        </w:rPr>
        <w:t xml:space="preserve">La formulación e implementación de la política nacional de protección de personas defensoras de derechos humanos, así como la adopción de medidas de prevención, protección y seguridad, corresponden a competencias asignadas a otras entidades del Estado y, por tanto, exceden el ámbito de competencias constitucionales y legales de la Jurisdicción Especial para la Paz. </w:t>
      </w:r>
    </w:p>
    <w:p w14:paraId="37A7B544" w14:textId="37E1BF08" w:rsidR="003A6664" w:rsidRDefault="003A6664" w:rsidP="003A6664">
      <w:pPr>
        <w:spacing w:line="276" w:lineRule="auto"/>
        <w:jc w:val="both"/>
        <w:rPr>
          <w:rFonts w:ascii="Verdana" w:hAnsi="Verdana"/>
        </w:rPr>
      </w:pPr>
      <w:r w:rsidRPr="003A6664">
        <w:rPr>
          <w:rFonts w:ascii="Verdana" w:hAnsi="Verdana"/>
        </w:rPr>
        <w:t>No obstante, en el marco de las competencias atribuidas en el Acto Legislativo 01 de 2017, la Ley Estatutaria 1957 de 2019 y la Ley 1922 de 2018, la JEP incorpora de manera transversal los enfoques diferenciales e interseccional en el desarrollo de sus actuaciones judiciales y</w:t>
      </w:r>
      <w:r>
        <w:rPr>
          <w:rFonts w:ascii="Verdana" w:hAnsi="Verdana"/>
        </w:rPr>
        <w:t xml:space="preserve"> </w:t>
      </w:r>
      <w:r w:rsidRPr="003A6664">
        <w:rPr>
          <w:rFonts w:ascii="Verdana" w:hAnsi="Verdana"/>
        </w:rPr>
        <w:t xml:space="preserve">administrativas, con el propósito de </w:t>
      </w:r>
      <w:r w:rsidRPr="003A6664">
        <w:rPr>
          <w:rFonts w:ascii="Verdana" w:hAnsi="Verdana"/>
        </w:rPr>
        <w:lastRenderedPageBreak/>
        <w:t xml:space="preserve">garantizar una participación efectiva, accesible y libre de discriminación de las víctimas, comparecientes y demás intervinientes en los procesos que adelanta. </w:t>
      </w:r>
    </w:p>
    <w:p w14:paraId="72020413" w14:textId="49ED822C" w:rsidR="003A6664" w:rsidRDefault="003A6664" w:rsidP="003A6664">
      <w:pPr>
        <w:spacing w:line="276" w:lineRule="auto"/>
        <w:jc w:val="both"/>
        <w:rPr>
          <w:rFonts w:ascii="Verdana" w:hAnsi="Verdana"/>
        </w:rPr>
      </w:pPr>
      <w:r w:rsidRPr="003A6664">
        <w:rPr>
          <w:rFonts w:ascii="Verdana" w:hAnsi="Verdana"/>
        </w:rPr>
        <w:t>Para ello, la Secretaría Ejecutiva de la JEP, a través de la Oficina Asesora de Enfoques Diferenciales, ha adoptado lineamientos institucionales para la implementación de los enfoques de género26, étnico-racial27, de niñas, niños y adolescentes28, de personas mayores29, de discapacidad30 y de interseccionalidad31, los cuales orientan a las Salas, Secciones y dependencias de la JEP en la identificación y eliminación de barreras de acceso a la justicia, la adopción de medidas diferenciadas y la incorporación de ajustes metodológicos y procedimentales acordes con las características, necesidades y contextos de quienes participan en las actuaciones de la Jurisdicción.</w:t>
      </w:r>
    </w:p>
    <w:p w14:paraId="1683BBAD" w14:textId="25B9ACA3" w:rsidR="00221F28" w:rsidRDefault="00221F28" w:rsidP="003A6664">
      <w:pPr>
        <w:spacing w:line="276" w:lineRule="auto"/>
        <w:jc w:val="both"/>
        <w:rPr>
          <w:rFonts w:ascii="Verdana" w:hAnsi="Verdana"/>
        </w:rPr>
      </w:pPr>
      <w:r w:rsidRPr="00221F28">
        <w:rPr>
          <w:rFonts w:ascii="Verdana" w:hAnsi="Verdana"/>
        </w:rPr>
        <w:t xml:space="preserve">En aplicación de estos instrumentos, la JEP ha consolidado prácticas institucionales orientadas a garantizar el acceso efectivo a la justicia con enfoque diferencial, entre las que se encuentran la realización de notificaciones con pertinencia étnica y cultural; la aplicación de ajustes razonables para la participación de personas con discapacidad; la implementación de metodologías diferenciadas para niñas, niños y adolescentes, personas mayores, mujeres y personas con orientaciones sexuales e identidades y expresiones de género diversas; la participación de traductores e intérpretes para pueblos y comunidades étnicas; el acompañamiento psicosocial y </w:t>
      </w:r>
      <w:proofErr w:type="spellStart"/>
      <w:r w:rsidRPr="00221F28">
        <w:rPr>
          <w:rFonts w:ascii="Verdana" w:hAnsi="Verdana"/>
        </w:rPr>
        <w:t>psicojurídico</w:t>
      </w:r>
      <w:proofErr w:type="spellEnd"/>
      <w:r w:rsidRPr="00221F28">
        <w:rPr>
          <w:rFonts w:ascii="Verdana" w:hAnsi="Verdana"/>
        </w:rPr>
        <w:t xml:space="preserve"> a las víctimas; y el desarrollo de espacios de diálogo intercultural e interjurisdiccional que fortalecen la participación informada y el reconocimiento de las formas propias de organización de los pueblos y comunidades étnicas.</w:t>
      </w:r>
    </w:p>
    <w:p w14:paraId="71AF2FCB" w14:textId="77777777" w:rsidR="00221F28" w:rsidRDefault="00221F28" w:rsidP="003A6664">
      <w:pPr>
        <w:spacing w:line="276" w:lineRule="auto"/>
        <w:jc w:val="both"/>
        <w:rPr>
          <w:rFonts w:ascii="Verdana" w:hAnsi="Verdana"/>
        </w:rPr>
      </w:pPr>
      <w:r w:rsidRPr="00221F28">
        <w:rPr>
          <w:rFonts w:ascii="Verdana" w:hAnsi="Verdana"/>
        </w:rPr>
        <w:t xml:space="preserve">De igual manera, la implementación de estos lineamientos ha permitido fortalecer mecanismos de participación y relacionamiento con organizaciones de víctimas, autoridades étnicas y organizaciones de la sociedad civil, mediante espacios de concertación, jornadas pedagógicas y otras actuaciones orientadas a promover la transparencia, la accesibilidad y la participación efectiva en las actuaciones judiciales y restaurativas de la Jurisdicción. </w:t>
      </w:r>
    </w:p>
    <w:p w14:paraId="10476EFB" w14:textId="79594B6B" w:rsidR="00221F28" w:rsidRDefault="00221F28" w:rsidP="003A6664">
      <w:pPr>
        <w:spacing w:line="276" w:lineRule="auto"/>
        <w:jc w:val="both"/>
        <w:rPr>
          <w:rFonts w:ascii="Verdana" w:hAnsi="Verdana"/>
        </w:rPr>
      </w:pPr>
      <w:r w:rsidRPr="00221F28">
        <w:rPr>
          <w:rFonts w:ascii="Verdana" w:hAnsi="Verdana"/>
        </w:rPr>
        <w:t>Las actuaciones descritas constituyen ejemplos de buenas prácticas institucionales para la incorporación transversal de los enfoques diferenciales e interseccional en la administración de justicia transicional, desarrolladas dentro del ámbito de competencias de JEP.</w:t>
      </w:r>
    </w:p>
    <w:p w14:paraId="01E12708" w14:textId="48713D93" w:rsidR="00840A22" w:rsidRDefault="00840A22" w:rsidP="003A6664">
      <w:pPr>
        <w:spacing w:line="276" w:lineRule="auto"/>
        <w:jc w:val="both"/>
        <w:rPr>
          <w:rFonts w:ascii="Verdana" w:hAnsi="Verdana"/>
        </w:rPr>
      </w:pPr>
      <w:r w:rsidRPr="00840A22">
        <w:rPr>
          <w:rFonts w:ascii="Verdana" w:hAnsi="Verdana"/>
        </w:rPr>
        <w:t>En este proceso, ha sido fundamental el rol de la Oficina Asesora de Enfoques Diferenciales de la Secretaría Ejecutiva, la cual, a partir de un equipo interdisciplinario conformado por</w:t>
      </w:r>
      <w:r>
        <w:rPr>
          <w:rFonts w:ascii="Verdana" w:hAnsi="Verdana"/>
        </w:rPr>
        <w:t xml:space="preserve"> </w:t>
      </w:r>
      <w:r w:rsidRPr="00840A22">
        <w:rPr>
          <w:rFonts w:ascii="Verdana" w:hAnsi="Verdana"/>
        </w:rPr>
        <w:t xml:space="preserve">profesionales de distintas áreas del conocimiento, ha liderado la construcción de lineamientos técnicos para la implementación de los diferentes enfoques diferenciales e interseccional, ha </w:t>
      </w:r>
      <w:r w:rsidRPr="00840A22">
        <w:rPr>
          <w:rFonts w:ascii="Verdana" w:hAnsi="Verdana"/>
        </w:rPr>
        <w:lastRenderedPageBreak/>
        <w:t>brindado asistencia técnica permanente a las Salas, Secciones y dependencias de la Jurisdicción y ha acompañado la materialización de dichos lineamientos en las actuaciones judiciales y administrativas, promoviendo la eliminación de barreras de acceso a la justicia y la adopción de medidas que favorecen una participación efectiva, accesible y culturalmente pertinente de las personas, pueblos y comunidades que intervienen en los procesos adelantados por la JEP.</w:t>
      </w:r>
    </w:p>
    <w:p w14:paraId="3E3E0F1F" w14:textId="2379C215" w:rsidR="00840A22" w:rsidRDefault="00840A22" w:rsidP="003A6664">
      <w:pPr>
        <w:spacing w:line="276" w:lineRule="auto"/>
        <w:jc w:val="both"/>
        <w:rPr>
          <w:rFonts w:ascii="Verdana" w:hAnsi="Verdana"/>
        </w:rPr>
      </w:pPr>
      <w:r w:rsidRPr="00840A22">
        <w:rPr>
          <w:rFonts w:ascii="Verdana" w:hAnsi="Verdana"/>
        </w:rPr>
        <w:t>De igual forma, el rol de la Unidad de Investigación y Acusación (UIA) de la JEP ha sido relevante, en tanto que tiene a su cargo la adopción de las medidas de protección aplicables a víctimas, testigos y demás intervinientes ante la justicia transicional, según lo estipulado en el literal b del artículo 87 de la Ley 1957 de 2019. En desarrollo de esta función, la UIA implementa el Sistema Integral de Prevención y Protección (</w:t>
      </w:r>
      <w:proofErr w:type="spellStart"/>
      <w:r w:rsidRPr="00840A22">
        <w:rPr>
          <w:rFonts w:ascii="Verdana" w:hAnsi="Verdana"/>
        </w:rPr>
        <w:t>Provención</w:t>
      </w:r>
      <w:proofErr w:type="spellEnd"/>
      <w:r w:rsidRPr="00840A22">
        <w:rPr>
          <w:rFonts w:ascii="Verdana" w:hAnsi="Verdana"/>
        </w:rPr>
        <w:t>), mediante el cual contribuye al fortalecimiento de las garantías de seguridad y de la participación efectiva de las personas que intervienen en los procesos de la Jurisdicción. Es necesario precisar que las actuaciones de la UIA se circunscriben a la población objeto de protección de la JEP, por cuanto su actuación no constituye un mecanismo de protección de carácter general para personas defensoras de derechos humanos, líderes sociales, periodistas o población en general.</w:t>
      </w:r>
    </w:p>
    <w:p w14:paraId="79AE4AF3" w14:textId="1230F021" w:rsidR="00E74F57" w:rsidRDefault="00E74F57" w:rsidP="003A6664">
      <w:pPr>
        <w:spacing w:line="276" w:lineRule="auto"/>
        <w:jc w:val="both"/>
        <w:rPr>
          <w:rFonts w:ascii="Verdana" w:hAnsi="Verdana"/>
        </w:rPr>
      </w:pPr>
      <w:r w:rsidRPr="00E74F57">
        <w:rPr>
          <w:rFonts w:ascii="Verdana" w:hAnsi="Verdana"/>
        </w:rPr>
        <w:t xml:space="preserve">El Sistema Integral de </w:t>
      </w:r>
      <w:proofErr w:type="spellStart"/>
      <w:r w:rsidRPr="00E74F57">
        <w:rPr>
          <w:rFonts w:ascii="Verdana" w:hAnsi="Verdana"/>
        </w:rPr>
        <w:t>Provención</w:t>
      </w:r>
      <w:proofErr w:type="spellEnd"/>
      <w:r w:rsidRPr="00E74F57">
        <w:rPr>
          <w:rFonts w:ascii="Verdana" w:hAnsi="Verdana"/>
        </w:rPr>
        <w:t xml:space="preserve"> de la UIA tiene dos componentes: i) uno preventivo, orientado a la identificación temprana de riesgos y a la adopción de acciones dirigidas a evitar su materialización; y </w:t>
      </w:r>
      <w:proofErr w:type="spellStart"/>
      <w:r w:rsidRPr="00E74F57">
        <w:rPr>
          <w:rFonts w:ascii="Verdana" w:hAnsi="Verdana"/>
        </w:rPr>
        <w:t>ii</w:t>
      </w:r>
      <w:proofErr w:type="spellEnd"/>
      <w:r w:rsidRPr="00E74F57">
        <w:rPr>
          <w:rFonts w:ascii="Verdana" w:hAnsi="Verdana"/>
        </w:rPr>
        <w:t>) uno de protección, el cual es el encargado de la evaluación, adopción y seguimiento de las medidas de protección dirigidas a víctimas, testigos y demás intervinientes que participan en actuaciones de competencia de la JEP, por lo que está orientado a salvaguardar la vida, integridad, libertad y seguridad de estas poblaciones, cuando se establezca la existencia de un riesgo extraordinario o extremo derivado de su participación en los procedimientos de la Jurisdicción.</w:t>
      </w:r>
    </w:p>
    <w:p w14:paraId="6679E6BA" w14:textId="5AB5F802" w:rsidR="00933173" w:rsidRDefault="00E74F57" w:rsidP="003A6664">
      <w:pPr>
        <w:spacing w:line="276" w:lineRule="auto"/>
        <w:jc w:val="both"/>
        <w:rPr>
          <w:rFonts w:ascii="Verdana" w:hAnsi="Verdana"/>
        </w:rPr>
      </w:pPr>
      <w:r>
        <w:rPr>
          <w:rFonts w:ascii="Verdana" w:hAnsi="Verdana"/>
        </w:rPr>
        <w:t>E</w:t>
      </w:r>
      <w:r w:rsidRPr="00E74F57">
        <w:rPr>
          <w:rFonts w:ascii="Verdana" w:hAnsi="Verdana"/>
        </w:rPr>
        <w:t>n materia de prevención, el Equipo de Prevención coordina el Mecanismo de Monitoreo de Riesgos</w:t>
      </w:r>
      <w:r>
        <w:rPr>
          <w:rStyle w:val="FootnoteReference"/>
          <w:rFonts w:ascii="Verdana" w:hAnsi="Verdana"/>
        </w:rPr>
        <w:footnoteReference w:id="16"/>
      </w:r>
      <w:r w:rsidRPr="00E74F57">
        <w:rPr>
          <w:rFonts w:ascii="Verdana" w:hAnsi="Verdana"/>
        </w:rPr>
        <w:t>, una herramienta tecnológica que permite monitorear de manera permanente las condiciones de seguridad de las personas que participan ante la JEP e identificar oportunamente situaciones de riesgo que puedan afectar su participación en las actuaciones de la Jurisdicción.</w:t>
      </w:r>
      <w:r w:rsidR="00435493">
        <w:rPr>
          <w:rFonts w:ascii="Verdana" w:hAnsi="Verdana"/>
        </w:rPr>
        <w:t xml:space="preserve"> </w:t>
      </w:r>
      <w:r w:rsidR="00933173" w:rsidRPr="00933173">
        <w:rPr>
          <w:rFonts w:ascii="Verdana" w:hAnsi="Verdana"/>
        </w:rPr>
        <w:t xml:space="preserve">Como parte de esta labor, se han elaborado informes técnicos, tanto públicos como reservados, sobre las condiciones de seguridad y las dinámicas territoriales que afectan el desarrollo de las actuaciones de la Jurisdicción, los cuales constituyen un insumo para la </w:t>
      </w:r>
      <w:r w:rsidR="00933173" w:rsidRPr="00933173">
        <w:rPr>
          <w:rFonts w:ascii="Verdana" w:hAnsi="Verdana"/>
        </w:rPr>
        <w:lastRenderedPageBreak/>
        <w:t>adopción de decisiones</w:t>
      </w:r>
      <w:r w:rsidR="00933173">
        <w:rPr>
          <w:rFonts w:ascii="Verdana" w:hAnsi="Verdana"/>
        </w:rPr>
        <w:t xml:space="preserve"> </w:t>
      </w:r>
      <w:r w:rsidR="00933173" w:rsidRPr="00933173">
        <w:rPr>
          <w:rFonts w:ascii="Verdana" w:hAnsi="Verdana"/>
        </w:rPr>
        <w:t>judiciales y la articulación de acciones preventivas con otras entidades. Entre estos se destacan los informes elaborados sobre los ataques a la educación en Colombia después de la firma del Acuerdo Final de Paz</w:t>
      </w:r>
      <w:r w:rsidR="00933173">
        <w:rPr>
          <w:rStyle w:val="FootnoteReference"/>
          <w:rFonts w:ascii="Verdana" w:hAnsi="Verdana"/>
        </w:rPr>
        <w:footnoteReference w:id="17"/>
      </w:r>
      <w:r w:rsidR="00933173" w:rsidRPr="00933173">
        <w:rPr>
          <w:rFonts w:ascii="Verdana" w:hAnsi="Verdana"/>
        </w:rPr>
        <w:t>, la violencia contra los animales</w:t>
      </w:r>
      <w:r w:rsidR="00933173">
        <w:rPr>
          <w:rStyle w:val="FootnoteReference"/>
          <w:rFonts w:ascii="Verdana" w:hAnsi="Verdana"/>
        </w:rPr>
        <w:footnoteReference w:id="18"/>
      </w:r>
      <w:r w:rsidR="00933173" w:rsidRPr="00933173">
        <w:rPr>
          <w:rFonts w:ascii="Verdana" w:hAnsi="Verdana"/>
        </w:rPr>
        <w:t xml:space="preserve"> y el medio ambiente</w:t>
      </w:r>
      <w:r w:rsidR="007443C2">
        <w:rPr>
          <w:rStyle w:val="FootnoteReference"/>
          <w:rFonts w:ascii="Verdana" w:hAnsi="Verdana"/>
        </w:rPr>
        <w:footnoteReference w:id="19"/>
      </w:r>
      <w:r w:rsidR="00933173" w:rsidRPr="00933173">
        <w:rPr>
          <w:rFonts w:ascii="Verdana" w:hAnsi="Verdana"/>
        </w:rPr>
        <w:t xml:space="preserve"> en el conflicto armado, y el reclutamiento y utilización de niños, niñas y adolescentes facilitado por las tecnologías en contextos de conflicto armado</w:t>
      </w:r>
      <w:r w:rsidR="00180E45">
        <w:rPr>
          <w:rStyle w:val="FootnoteReference"/>
          <w:rFonts w:ascii="Verdana" w:hAnsi="Verdana"/>
        </w:rPr>
        <w:footnoteReference w:id="20"/>
      </w:r>
      <w:r w:rsidR="00933173" w:rsidRPr="00933173">
        <w:rPr>
          <w:rFonts w:ascii="Verdana" w:hAnsi="Verdana"/>
        </w:rPr>
        <w:t>. Estos análisis han propiciado espacios de cooperación e intercambio técnico con universidades y organizaciones de países como Qatar, México, Ucrania y Reino Unido, interesados en conocer las metodologías desarrolladas por la UIA y promover el intercambio de experiencias y buenas prácticas en materia de prevención de riesgos y garantías de no repetición.</w:t>
      </w:r>
    </w:p>
    <w:p w14:paraId="1DEA923B" w14:textId="18C2FCA1" w:rsidR="007443C2" w:rsidRDefault="007443C2" w:rsidP="003A6664">
      <w:pPr>
        <w:spacing w:line="276" w:lineRule="auto"/>
        <w:jc w:val="both"/>
        <w:rPr>
          <w:rFonts w:ascii="Verdana" w:hAnsi="Verdana"/>
        </w:rPr>
      </w:pPr>
      <w:r w:rsidRPr="007443C2">
        <w:rPr>
          <w:rFonts w:ascii="Verdana" w:hAnsi="Verdana"/>
        </w:rPr>
        <w:t>De igual forma, la UIA ha realizado el seguimiento de las medidas cautelares colectivas adoptadas por la Sección de Ausencia de Reconocimiento en favor de los firmantes del Acuerdo de Paz y sus familias. Estos análisis incluyeron la identificación de patrones de violencia y factores de riesgo, que sirvieron como insumo para la adopción de decisiones por parte de la magistratura de la JEP y también fueron tenidos en cuenta por la Corte Constitucional en la Sentencia SU-020 de 2022, mediante la cual la corte declaró el Estado de Cosas Inconstitucional frente a la situación de seguridad de los firmantes del Acuerdo.</w:t>
      </w:r>
    </w:p>
    <w:p w14:paraId="036F2204" w14:textId="1C0A69A7" w:rsidR="00180E45" w:rsidRDefault="00180E45" w:rsidP="003A6664">
      <w:pPr>
        <w:spacing w:line="276" w:lineRule="auto"/>
        <w:jc w:val="both"/>
        <w:rPr>
          <w:rFonts w:ascii="Verdana" w:hAnsi="Verdana"/>
        </w:rPr>
      </w:pPr>
      <w:r w:rsidRPr="00180E45">
        <w:rPr>
          <w:rFonts w:ascii="Verdana" w:hAnsi="Verdana"/>
        </w:rPr>
        <w:t xml:space="preserve">Además del monitoreo y análisis de riesgos, el componente preventivo implementa una estrategia orientada a fortalecer las capacidades de autoprotección de las víctimas y organizaciones que participan ante la JEP. Esta estrategia busca disminuir los factores de riesgo mediante procesos de formación y fortalecimiento organizativo en seguridad digital, documentación de riesgos, autoprotección, prevención de violencias basadas en género y prevención del reclutamiento, incorporando </w:t>
      </w:r>
      <w:proofErr w:type="gramStart"/>
      <w:r w:rsidRPr="00180E45">
        <w:rPr>
          <w:rFonts w:ascii="Verdana" w:hAnsi="Verdana"/>
        </w:rPr>
        <w:t>enfoques diferencial</w:t>
      </w:r>
      <w:proofErr w:type="gramEnd"/>
      <w:r w:rsidRPr="00180E45">
        <w:rPr>
          <w:rFonts w:ascii="Verdana" w:hAnsi="Verdana"/>
        </w:rPr>
        <w:t>, étnico y de género.</w:t>
      </w:r>
    </w:p>
    <w:p w14:paraId="38833710" w14:textId="6E1D0771" w:rsidR="00180E45" w:rsidRDefault="00180E45" w:rsidP="003A6664">
      <w:pPr>
        <w:spacing w:line="276" w:lineRule="auto"/>
        <w:jc w:val="both"/>
        <w:rPr>
          <w:rFonts w:ascii="Verdana" w:hAnsi="Verdana"/>
        </w:rPr>
      </w:pPr>
      <w:r w:rsidRPr="00180E45">
        <w:rPr>
          <w:rFonts w:ascii="Verdana" w:hAnsi="Verdana"/>
        </w:rPr>
        <w:t xml:space="preserve">A la fecha, las medidas colectivas de prevención han beneficiado a 1.841 víctimas pertenecientes a 255 organizaciones que participan ante la JEP, con presencia en 225 municipios de 30 departamentos del país. Esta estrategia ha </w:t>
      </w:r>
      <w:r w:rsidRPr="00180E45">
        <w:rPr>
          <w:rFonts w:ascii="Verdana" w:hAnsi="Verdana"/>
        </w:rPr>
        <w:lastRenderedPageBreak/>
        <w:t>tenido un alcance amplio y diverso: el 68% de las personas participantes son mujeres, el 24% pertenecen a comunidades negras, afrodescendientes, raizales y palenqueras, el 17% a pueblos indígenas y el 3 % a población LGBTIQ+.</w:t>
      </w:r>
    </w:p>
    <w:p w14:paraId="1B96A4DA" w14:textId="1533CF58" w:rsidR="003E7613" w:rsidRDefault="003E7613" w:rsidP="003A6664">
      <w:pPr>
        <w:spacing w:line="276" w:lineRule="auto"/>
        <w:jc w:val="both"/>
        <w:rPr>
          <w:rFonts w:ascii="Verdana" w:hAnsi="Verdana"/>
        </w:rPr>
      </w:pPr>
      <w:r w:rsidRPr="003E7613">
        <w:rPr>
          <w:rFonts w:ascii="Verdana" w:hAnsi="Verdana"/>
        </w:rPr>
        <w:t xml:space="preserve">En particular, estas acciones han beneficiado a autoridades, organizaciones y comunidades de los pueblos indígenas </w:t>
      </w:r>
      <w:proofErr w:type="spellStart"/>
      <w:r w:rsidRPr="003E7613">
        <w:rPr>
          <w:rFonts w:ascii="Verdana" w:hAnsi="Verdana"/>
        </w:rPr>
        <w:t>Hitnü</w:t>
      </w:r>
      <w:proofErr w:type="spellEnd"/>
      <w:r w:rsidRPr="003E7613">
        <w:rPr>
          <w:rFonts w:ascii="Verdana" w:hAnsi="Verdana"/>
        </w:rPr>
        <w:t xml:space="preserve"> (Arauca), Awá y </w:t>
      </w:r>
      <w:proofErr w:type="spellStart"/>
      <w:r w:rsidRPr="003E7613">
        <w:rPr>
          <w:rFonts w:ascii="Verdana" w:hAnsi="Verdana"/>
        </w:rPr>
        <w:t>Eperara</w:t>
      </w:r>
      <w:proofErr w:type="spellEnd"/>
      <w:r w:rsidRPr="003E7613">
        <w:rPr>
          <w:rFonts w:ascii="Verdana" w:hAnsi="Verdana"/>
        </w:rPr>
        <w:t xml:space="preserve"> </w:t>
      </w:r>
      <w:proofErr w:type="spellStart"/>
      <w:r w:rsidRPr="003E7613">
        <w:rPr>
          <w:rFonts w:ascii="Verdana" w:hAnsi="Verdana"/>
        </w:rPr>
        <w:t>Siapidara</w:t>
      </w:r>
      <w:proofErr w:type="spellEnd"/>
      <w:r w:rsidRPr="003E7613">
        <w:rPr>
          <w:rFonts w:ascii="Verdana" w:hAnsi="Verdana"/>
        </w:rPr>
        <w:t xml:space="preserve"> (Nariño), Nasa (Cauca y Valle del Cauca), Emberá </w:t>
      </w:r>
      <w:proofErr w:type="spellStart"/>
      <w:r w:rsidRPr="003E7613">
        <w:rPr>
          <w:rFonts w:ascii="Verdana" w:hAnsi="Verdana"/>
        </w:rPr>
        <w:t>Katío</w:t>
      </w:r>
      <w:proofErr w:type="spellEnd"/>
      <w:r w:rsidRPr="003E7613">
        <w:rPr>
          <w:rFonts w:ascii="Verdana" w:hAnsi="Verdana"/>
        </w:rPr>
        <w:t xml:space="preserve"> (Córdoba y Chocó), </w:t>
      </w:r>
      <w:proofErr w:type="spellStart"/>
      <w:r w:rsidRPr="003E7613">
        <w:rPr>
          <w:rFonts w:ascii="Verdana" w:hAnsi="Verdana"/>
        </w:rPr>
        <w:t>Puinave</w:t>
      </w:r>
      <w:proofErr w:type="spellEnd"/>
      <w:r w:rsidRPr="003E7613">
        <w:rPr>
          <w:rFonts w:ascii="Verdana" w:hAnsi="Verdana"/>
        </w:rPr>
        <w:t xml:space="preserve"> (Guainía), Siona, Inga y Emberá </w:t>
      </w:r>
      <w:proofErr w:type="spellStart"/>
      <w:r w:rsidRPr="003E7613">
        <w:rPr>
          <w:rFonts w:ascii="Verdana" w:hAnsi="Verdana"/>
        </w:rPr>
        <w:t>Kipará</w:t>
      </w:r>
      <w:proofErr w:type="spellEnd"/>
      <w:r>
        <w:rPr>
          <w:rFonts w:ascii="Verdana" w:hAnsi="Verdana"/>
        </w:rPr>
        <w:t xml:space="preserve"> </w:t>
      </w:r>
      <w:r w:rsidRPr="003E7613">
        <w:rPr>
          <w:rFonts w:ascii="Verdana" w:hAnsi="Verdana"/>
        </w:rPr>
        <w:t>(Putumayo), así como con comunidades afrodescendientes pertenecientes a consejos comunitarios de Valle del Cauca, Chocó, Nariño, Bolívar y Antioquia.</w:t>
      </w:r>
    </w:p>
    <w:p w14:paraId="0FAF23DF" w14:textId="6912CE1A" w:rsidR="003E7613" w:rsidRDefault="003E7613" w:rsidP="003A6664">
      <w:pPr>
        <w:spacing w:line="276" w:lineRule="auto"/>
        <w:jc w:val="both"/>
        <w:rPr>
          <w:rFonts w:ascii="Verdana" w:hAnsi="Verdana"/>
        </w:rPr>
      </w:pPr>
      <w:r>
        <w:rPr>
          <w:rFonts w:ascii="Verdana" w:hAnsi="Verdana"/>
        </w:rPr>
        <w:t>El</w:t>
      </w:r>
      <w:r w:rsidRPr="003E7613">
        <w:rPr>
          <w:rFonts w:ascii="Verdana" w:hAnsi="Verdana"/>
        </w:rPr>
        <w:t xml:space="preserve"> segundo componente del Sistema de </w:t>
      </w:r>
      <w:proofErr w:type="spellStart"/>
      <w:r w:rsidRPr="003E7613">
        <w:rPr>
          <w:rFonts w:ascii="Verdana" w:hAnsi="Verdana"/>
        </w:rPr>
        <w:t>Provención</w:t>
      </w:r>
      <w:proofErr w:type="spellEnd"/>
      <w:r w:rsidRPr="003E7613">
        <w:rPr>
          <w:rFonts w:ascii="Verdana" w:hAnsi="Verdana"/>
        </w:rPr>
        <w:t xml:space="preserve"> corresponde lo implementado por el Grupo de Protección a Víctimas, Testigos y demás Intervinientes (GPVTI) de la UIA, responsable de evaluar, adoptar y hacer seguimiento a las medidas de protección dirigidas a la población objeto de protección de la JEP.</w:t>
      </w:r>
    </w:p>
    <w:p w14:paraId="2619F117" w14:textId="1DE2920F" w:rsidR="00E460EC" w:rsidRDefault="00E460EC" w:rsidP="003A6664">
      <w:pPr>
        <w:spacing w:line="276" w:lineRule="auto"/>
        <w:jc w:val="both"/>
        <w:rPr>
          <w:rFonts w:ascii="Verdana" w:hAnsi="Verdana"/>
        </w:rPr>
      </w:pPr>
      <w:r w:rsidRPr="00E460EC">
        <w:rPr>
          <w:rFonts w:ascii="Verdana" w:hAnsi="Verdana"/>
        </w:rPr>
        <w:t>Es importante recalcar que la adopción de medidas de protección por parte de la UIA exige la verificación técnica de tres presupuestos concurrentes: (i) que la persona pertenezca a la población objeto de protección de la JEP; (</w:t>
      </w:r>
      <w:proofErr w:type="spellStart"/>
      <w:r w:rsidRPr="00E460EC">
        <w:rPr>
          <w:rFonts w:ascii="Verdana" w:hAnsi="Verdana"/>
        </w:rPr>
        <w:t>ii</w:t>
      </w:r>
      <w:proofErr w:type="spellEnd"/>
      <w:r w:rsidRPr="00E460EC">
        <w:rPr>
          <w:rFonts w:ascii="Verdana" w:hAnsi="Verdana"/>
        </w:rPr>
        <w:t>) que exista una situación de riesgo susceptible de valoración; y (</w:t>
      </w:r>
      <w:proofErr w:type="spellStart"/>
      <w:r w:rsidRPr="00E460EC">
        <w:rPr>
          <w:rFonts w:ascii="Verdana" w:hAnsi="Verdana"/>
        </w:rPr>
        <w:t>iii</w:t>
      </w:r>
      <w:proofErr w:type="spellEnd"/>
      <w:r w:rsidRPr="00E460EC">
        <w:rPr>
          <w:rFonts w:ascii="Verdana" w:hAnsi="Verdana"/>
        </w:rPr>
        <w:t>) que dicho riesgo guarde un nexo de causalidad con su participación efectiva en actuaciones adelantadas ante la JEP.</w:t>
      </w:r>
      <w:r w:rsidR="00435493">
        <w:rPr>
          <w:rFonts w:ascii="Verdana" w:hAnsi="Verdana"/>
        </w:rPr>
        <w:t xml:space="preserve"> </w:t>
      </w:r>
      <w:r w:rsidRPr="00E460EC">
        <w:rPr>
          <w:rFonts w:ascii="Verdana" w:hAnsi="Verdana"/>
        </w:rPr>
        <w:t xml:space="preserve">Para tal efecto, recibe y analiza solicitudes de protección, adelanta estudios técnicos de valoración del riesgo, verifica la condición de sujeto de protección, analiza la existencia de amenazas, factores de vulnerabilidad y riesgo, determina la existencia del nexo de causalidad entre el riesgo identificado y la participación en actuaciones ante la JEP, y, cuando se acreditan los presupuestos legales y técnicos previamente mencionados, adopta e implementa las medidas de protección que resulten idóneas, necesarias y proporcionales al nivel de riesgo establecido. </w:t>
      </w:r>
    </w:p>
    <w:p w14:paraId="38CD24C8" w14:textId="77777777" w:rsidR="00E460EC" w:rsidRDefault="00E460EC" w:rsidP="003A6664">
      <w:pPr>
        <w:spacing w:line="276" w:lineRule="auto"/>
        <w:jc w:val="both"/>
        <w:rPr>
          <w:rFonts w:ascii="Verdana" w:hAnsi="Verdana"/>
        </w:rPr>
      </w:pPr>
      <w:r w:rsidRPr="00E460EC">
        <w:rPr>
          <w:rFonts w:ascii="Verdana" w:hAnsi="Verdana"/>
        </w:rPr>
        <w:t xml:space="preserve">Las medidas de protección pueden comprender esquemas individuales o colectivos, así como otras medidas complementarias, de conformidad con el análisis técnico realizado en cada caso, incorporando enfoques diferencial, étnico, territorial, de género e interseccional cuando las características particulares de la población protegida así lo requieren. </w:t>
      </w:r>
    </w:p>
    <w:p w14:paraId="4D333D79" w14:textId="4C42C6B0" w:rsidR="00E460EC" w:rsidRDefault="00E460EC" w:rsidP="003A6664">
      <w:pPr>
        <w:spacing w:line="276" w:lineRule="auto"/>
        <w:jc w:val="both"/>
        <w:rPr>
          <w:rFonts w:ascii="Verdana" w:hAnsi="Verdana"/>
        </w:rPr>
      </w:pPr>
      <w:r w:rsidRPr="00E460EC">
        <w:rPr>
          <w:rFonts w:ascii="Verdana" w:hAnsi="Verdana"/>
        </w:rPr>
        <w:t>De igual manera, el GPVTI realiza seguimiento permanente a las medidas implementadas, efectúa nuevas valoraciones cuando las circunstancias de riesgo presentan variaciones y mantiene mecanismos de articulación con otras entidades cuando la situación lo exige.</w:t>
      </w:r>
    </w:p>
    <w:p w14:paraId="6CF878CF" w14:textId="77777777" w:rsidR="00E460EC" w:rsidRDefault="00E460EC" w:rsidP="003A6664">
      <w:pPr>
        <w:spacing w:line="276" w:lineRule="auto"/>
        <w:jc w:val="both"/>
        <w:rPr>
          <w:rFonts w:ascii="Verdana" w:hAnsi="Verdana"/>
        </w:rPr>
      </w:pPr>
      <w:r w:rsidRPr="00E460EC">
        <w:rPr>
          <w:rFonts w:ascii="Verdana" w:hAnsi="Verdana"/>
        </w:rPr>
        <w:t xml:space="preserve">Si durante el estudio técnico se determina que la situación de riesgo no guarda relación con la participación de la persona en actuaciones adelantadas ante la JEP, la UIA carece de competencia para implementar medidas permanentes de </w:t>
      </w:r>
      <w:r w:rsidRPr="00E460EC">
        <w:rPr>
          <w:rFonts w:ascii="Verdana" w:hAnsi="Verdana"/>
        </w:rPr>
        <w:lastRenderedPageBreak/>
        <w:t xml:space="preserve">protección, sin perjuicio de brindar orientación y efectuar las remisiones correspondientes a las autoridades competentes para la atención del caso. </w:t>
      </w:r>
    </w:p>
    <w:p w14:paraId="3ABF277E" w14:textId="7DCAED24" w:rsidR="00E460EC" w:rsidRDefault="00E460EC" w:rsidP="003A6664">
      <w:pPr>
        <w:spacing w:line="276" w:lineRule="auto"/>
        <w:jc w:val="both"/>
        <w:rPr>
          <w:rFonts w:ascii="Verdana" w:hAnsi="Verdana"/>
        </w:rPr>
      </w:pPr>
      <w:r w:rsidRPr="00E460EC">
        <w:rPr>
          <w:rFonts w:ascii="Verdana" w:hAnsi="Verdana"/>
        </w:rPr>
        <w:t>Vale la pena resaltar que las medidas colectivas de protección implementadas han sido concertadas con los sujetos colectivos, asegurando así que estas se adecuen a sus contextos culturales, organizativos y territoriales. Estas medidas reconocen los sistemas propios de protección de los pueblos y comunidades étnicas e incluyen, cuando corresponde, procesos de armonización y otras acciones acordadas con las autoridades tradicionales, con el fin de garantizar una protección culturalmente pertinente y respetuosa de su autonomía.</w:t>
      </w:r>
    </w:p>
    <w:p w14:paraId="3E59E8D4" w14:textId="77777777" w:rsidR="00BB7EDC" w:rsidRDefault="00BB7EDC" w:rsidP="003A6664">
      <w:pPr>
        <w:spacing w:line="276" w:lineRule="auto"/>
        <w:jc w:val="both"/>
        <w:rPr>
          <w:rFonts w:ascii="Verdana" w:hAnsi="Verdana"/>
        </w:rPr>
      </w:pPr>
      <w:r w:rsidRPr="00BB7EDC">
        <w:rPr>
          <w:rFonts w:ascii="Verdana" w:hAnsi="Verdana"/>
        </w:rPr>
        <w:t xml:space="preserve">Desde la perspectiva de la Sección de Ausencia de Reconocimiento, la finalidad de las medidas cautelares no es la investigación y el juzgamiento de posibles responsables de violaciones a los derechos humanos; la información que pueda resultar relevante para el esclarecimiento de tales conductas ha sido remitida a las autoridades competentes, tales como la </w:t>
      </w:r>
      <w:proofErr w:type="gramStart"/>
      <w:r w:rsidRPr="00BB7EDC">
        <w:rPr>
          <w:rFonts w:ascii="Verdana" w:hAnsi="Verdana"/>
        </w:rPr>
        <w:t>Fiscalía General</w:t>
      </w:r>
      <w:proofErr w:type="gramEnd"/>
      <w:r w:rsidRPr="00BB7EDC">
        <w:rPr>
          <w:rFonts w:ascii="Verdana" w:hAnsi="Verdana"/>
        </w:rPr>
        <w:t xml:space="preserve"> de la Nación o la Sala de Reconocimiento de Verdad y Responsabilidad de la JEP, según corresponda. </w:t>
      </w:r>
    </w:p>
    <w:p w14:paraId="2AFC9AE5" w14:textId="0367C0BE" w:rsidR="00BB7EDC" w:rsidRDefault="00BB7EDC" w:rsidP="003A6664">
      <w:pPr>
        <w:spacing w:line="276" w:lineRule="auto"/>
        <w:jc w:val="both"/>
        <w:rPr>
          <w:rFonts w:ascii="Verdana" w:hAnsi="Verdana"/>
        </w:rPr>
      </w:pPr>
      <w:r w:rsidRPr="00BB7EDC">
        <w:rPr>
          <w:rFonts w:ascii="Verdana" w:hAnsi="Verdana"/>
        </w:rPr>
        <w:t>En el marco de las medidas cautelares que actualmente adelanta, la Sección ha fortalecido la articulación interinstitucional con la Fiscalía General de la Nación, la Unidad de Búsqueda de Personas dadas por Desaparecidas, el Instituto Nacional de Medicina Legal y Ciencias Forenses, autoridades territoriales y demás entidades del Sistema Integral, mediante la expedición de autos de seguimiento, la realización de mesas técnicas, audiencias y requerimientos orientados a remover obstáculos que afectan las labores de búsqueda, recuperación, identificación y entrega digna de personas desaparecidas.</w:t>
      </w:r>
    </w:p>
    <w:p w14:paraId="060F78BC" w14:textId="1C20069C" w:rsidR="00BB7EDC" w:rsidRDefault="00BB7EDC" w:rsidP="003A6664">
      <w:pPr>
        <w:spacing w:line="276" w:lineRule="auto"/>
        <w:jc w:val="both"/>
        <w:rPr>
          <w:rFonts w:ascii="Verdana" w:hAnsi="Verdana"/>
        </w:rPr>
      </w:pPr>
      <w:r w:rsidRPr="00BB7EDC">
        <w:rPr>
          <w:rFonts w:ascii="Verdana" w:hAnsi="Verdana"/>
        </w:rPr>
        <w:t>A modo de ejemplo, en el marco de la medida cautelar nacional sobre desaparición forzada, la Sección ha promovido acciones destinadas a fortalecer el Sistema Nacional de Búsqueda, mejorar la interoperabilidad entre entidades, impulsar estrategias de toma masiva de muestras biológicas, fortalecer la infraestructura forense y acelerar la localización e identificación de personas desaparecidas, todo ello con el fin de contribuir al esclarecimiento de los hechos y facilitar el desarrollo de las investigaciones judiciales. Adicionalmente, se tienen en marcha las medidas de protección de información de la Brigada XX y protección de firmantes de paz que han sido amenazados y asesinados.</w:t>
      </w:r>
    </w:p>
    <w:p w14:paraId="48DA0A45" w14:textId="77777777" w:rsidR="00431D62" w:rsidRDefault="00431D62" w:rsidP="003A6664">
      <w:pPr>
        <w:spacing w:line="276" w:lineRule="auto"/>
        <w:jc w:val="both"/>
        <w:rPr>
          <w:rFonts w:ascii="Verdana" w:hAnsi="Verdana"/>
        </w:rPr>
      </w:pPr>
    </w:p>
    <w:p w14:paraId="064A2037" w14:textId="64D69F69" w:rsidR="00431D62" w:rsidRDefault="00431D62" w:rsidP="003A6664">
      <w:pPr>
        <w:spacing w:line="276" w:lineRule="auto"/>
        <w:jc w:val="both"/>
        <w:rPr>
          <w:rFonts w:ascii="Verdana" w:hAnsi="Verdana"/>
          <w:b/>
          <w:bCs/>
          <w:u w:val="single"/>
        </w:rPr>
      </w:pPr>
      <w:r>
        <w:rPr>
          <w:rFonts w:ascii="Verdana" w:hAnsi="Verdana"/>
          <w:b/>
          <w:bCs/>
          <w:u w:val="single"/>
        </w:rPr>
        <w:t>Instituto Colombiano de Bienestar Familiar</w:t>
      </w:r>
    </w:p>
    <w:p w14:paraId="74AC80CD" w14:textId="6267738B" w:rsidR="00431D62" w:rsidRDefault="00A62272" w:rsidP="003A6664">
      <w:pPr>
        <w:spacing w:line="276" w:lineRule="auto"/>
        <w:jc w:val="both"/>
        <w:rPr>
          <w:rFonts w:ascii="Verdana" w:hAnsi="Verdana"/>
        </w:rPr>
      </w:pPr>
      <w:r>
        <w:rPr>
          <w:rFonts w:ascii="Verdana" w:hAnsi="Verdana"/>
        </w:rPr>
        <w:t>E</w:t>
      </w:r>
      <w:r w:rsidRPr="00A62272">
        <w:rPr>
          <w:rFonts w:ascii="Verdana" w:hAnsi="Verdana"/>
        </w:rPr>
        <w:t xml:space="preserve">l ICBF contribuye a la garantía y protección integral de los derechos de niñas, niños y adolescentes que puedan verse afectados por situaciones de amenaza, </w:t>
      </w:r>
      <w:r w:rsidRPr="00A62272">
        <w:rPr>
          <w:rFonts w:ascii="Verdana" w:hAnsi="Verdana"/>
        </w:rPr>
        <w:lastRenderedPageBreak/>
        <w:t>vulneración o riesgo asociadas a contextos de violencia, conflicto armado o afectaciones derivadas de la labor desarrollada por líderes sociales, autoridades indígenas y afrodescendientes, personas defensoras de derechos humanos y otros actores comunitarios pertenecientes a sus familias o comunidades.</w:t>
      </w:r>
    </w:p>
    <w:p w14:paraId="68A8BAA0" w14:textId="62733B8E" w:rsidR="00A62272" w:rsidRDefault="00A62272" w:rsidP="003A6664">
      <w:pPr>
        <w:spacing w:line="276" w:lineRule="auto"/>
        <w:jc w:val="both"/>
        <w:rPr>
          <w:rFonts w:ascii="Verdana" w:hAnsi="Verdana"/>
        </w:rPr>
      </w:pPr>
      <w:r w:rsidRPr="00A62272">
        <w:rPr>
          <w:rFonts w:ascii="Verdana" w:hAnsi="Verdana"/>
        </w:rPr>
        <w:t>Para tal fin, las autoridades administrativas competentes del Sistema Nacional de Bienestar Familiar adelantan las actuaciones establecidas en la Ley 1098 de</w:t>
      </w:r>
      <w:r>
        <w:rPr>
          <w:rFonts w:ascii="Verdana" w:hAnsi="Verdana"/>
        </w:rPr>
        <w:t xml:space="preserve"> </w:t>
      </w:r>
      <w:r w:rsidRPr="00A62272">
        <w:rPr>
          <w:rFonts w:ascii="Verdana" w:hAnsi="Verdana"/>
        </w:rPr>
        <w:t>2006, orientadas a prevenir, atender y restablecer los derechos de niñas, niños y adolescentes cuando estos resulten amenazados o vulnerados.</w:t>
      </w:r>
    </w:p>
    <w:p w14:paraId="30C91668" w14:textId="77777777" w:rsidR="007749E1" w:rsidRDefault="007749E1" w:rsidP="003A6664">
      <w:pPr>
        <w:spacing w:line="276" w:lineRule="auto"/>
        <w:jc w:val="both"/>
        <w:rPr>
          <w:rFonts w:ascii="Verdana" w:hAnsi="Verdana"/>
        </w:rPr>
      </w:pPr>
      <w:r w:rsidRPr="007749E1">
        <w:rPr>
          <w:rFonts w:ascii="Verdana" w:hAnsi="Verdana"/>
        </w:rPr>
        <w:t>Cuando una autoridad administrativa conoce una posible amenaza o vulneración de derechos, realiza la correspondiente verificación de derechos y, de encontrarse una amenaza o vulneración a los derechos del niño, la niña y el/la adolescente, da inicio al Proceso Administrativo de Restablecimiento de Derechos (PARD), mediante el cual se adoptan las medidas necesarias para garantizar la protección integral de niñas, niños y adolescentes, conforme a los principios de interés superior, prevalencia de derechos y protección integral.</w:t>
      </w:r>
    </w:p>
    <w:p w14:paraId="40212E3A" w14:textId="2D6D5A5D" w:rsidR="007749E1" w:rsidRDefault="007749E1" w:rsidP="003A6664">
      <w:pPr>
        <w:spacing w:line="276" w:lineRule="auto"/>
        <w:jc w:val="both"/>
        <w:rPr>
          <w:rFonts w:ascii="Verdana" w:hAnsi="Verdana"/>
        </w:rPr>
      </w:pPr>
      <w:r w:rsidRPr="007749E1">
        <w:rPr>
          <w:rFonts w:ascii="Verdana" w:hAnsi="Verdana"/>
        </w:rPr>
        <w:t>En aquellos casos en los que los riesgos o afectaciones a niñas, niños y adolescentes estén relacionados con amenazas, hechos de violencia o situaciones de riesgo que involucren a integrantes de sus familias o comunidades que ejercen labores de liderazgo social, representación comunitaria, gobierno propio o defensa de derechos humanos, el ICBF adopta las medidas de protección que correspondan dentro del ámbito de sus competencias y articula su actuación con las entidades competentes para la atención integral de estos casos, como la Unidad Nacional de Protección o la Fiscalía General de la Nación.</w:t>
      </w:r>
    </w:p>
    <w:p w14:paraId="7A9EB3CF" w14:textId="0B212F09" w:rsidR="007749E1" w:rsidRDefault="007749E1" w:rsidP="003A6664">
      <w:pPr>
        <w:spacing w:line="276" w:lineRule="auto"/>
        <w:jc w:val="both"/>
        <w:rPr>
          <w:rFonts w:ascii="Verdana" w:hAnsi="Verdana"/>
        </w:rPr>
      </w:pPr>
      <w:r w:rsidRPr="007749E1">
        <w:rPr>
          <w:rFonts w:ascii="Verdana" w:hAnsi="Verdana"/>
        </w:rPr>
        <w:t>De igual manera, el ICBF promueve el fortalecimiento de entornos protectores familiares y comunitarios, la activación oportuna de rutas de protección y la articulación interinstitucional en territorios afectados por dinámicas de violencia, particularmente en comunidades indígenas, afrodescendientes, campesinas y rurales, contribuyendo a la garantía de los derechos de niñas, niños y adolescentes desde los enfoques de derechos, diferencial, étnico, territorial e interseccional.</w:t>
      </w:r>
    </w:p>
    <w:p w14:paraId="7943E892" w14:textId="64631BD5" w:rsidR="00BA7084" w:rsidRPr="00A62272" w:rsidRDefault="00BA7084" w:rsidP="003A6664">
      <w:pPr>
        <w:spacing w:line="276" w:lineRule="auto"/>
        <w:jc w:val="both"/>
        <w:rPr>
          <w:rFonts w:ascii="Verdana" w:hAnsi="Verdana"/>
        </w:rPr>
      </w:pPr>
      <w:r w:rsidRPr="00BA7084">
        <w:rPr>
          <w:rFonts w:ascii="Verdana" w:hAnsi="Verdana"/>
        </w:rPr>
        <w:t>En este sentido, la contribución del ICBF a la implementación de esta recomendación se concreta en la protección integral de niñas, niños y adolescentes cuando sus derechos se ven afectados o puestos en riesgo por situaciones de violencia o vulnerabilidad presentes en sus entornos familiares, comunitarios o territoriales, garantizando la adopción de medidas de restablecimiento de derechos y la articulación con las entidades competentes del Estado para la atención integral de cada caso.</w:t>
      </w:r>
    </w:p>
    <w:sectPr w:rsidR="00BA7084" w:rsidRPr="00A62272" w:rsidSect="008D5473">
      <w:headerReference w:type="default" r:id="rId10"/>
      <w:pgSz w:w="12240" w:h="15840"/>
      <w:pgMar w:top="17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C4B72" w14:textId="77777777" w:rsidR="00C75F2C" w:rsidRDefault="00C75F2C" w:rsidP="004D3612">
      <w:pPr>
        <w:spacing w:after="0" w:line="240" w:lineRule="auto"/>
      </w:pPr>
      <w:r>
        <w:separator/>
      </w:r>
    </w:p>
  </w:endnote>
  <w:endnote w:type="continuationSeparator" w:id="0">
    <w:p w14:paraId="014B9F5B" w14:textId="77777777" w:rsidR="00C75F2C" w:rsidRDefault="00C75F2C" w:rsidP="004D3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0E6FD" w14:textId="77777777" w:rsidR="00C75F2C" w:rsidRDefault="00C75F2C" w:rsidP="004D3612">
      <w:pPr>
        <w:spacing w:after="0" w:line="240" w:lineRule="auto"/>
      </w:pPr>
      <w:r>
        <w:separator/>
      </w:r>
    </w:p>
  </w:footnote>
  <w:footnote w:type="continuationSeparator" w:id="0">
    <w:p w14:paraId="7013535A" w14:textId="77777777" w:rsidR="00C75F2C" w:rsidRDefault="00C75F2C" w:rsidP="004D3612">
      <w:pPr>
        <w:spacing w:after="0" w:line="240" w:lineRule="auto"/>
      </w:pPr>
      <w:r>
        <w:continuationSeparator/>
      </w:r>
    </w:p>
  </w:footnote>
  <w:footnote w:id="1">
    <w:p w14:paraId="0EF374CB" w14:textId="7686B609" w:rsidR="008D5473" w:rsidRDefault="008D5473">
      <w:pPr>
        <w:pStyle w:val="FootnoteText"/>
      </w:pPr>
      <w:r>
        <w:rPr>
          <w:rStyle w:val="FootnoteReference"/>
        </w:rPr>
        <w:footnoteRef/>
      </w:r>
      <w:r>
        <w:t xml:space="preserve"> </w:t>
      </w:r>
      <w:r w:rsidRPr="008D5473">
        <w:t>Información aportada por la Dirección Especializada contra las Violaciones a los Derechos Humanos</w:t>
      </w:r>
      <w:r>
        <w:t xml:space="preserve"> de la </w:t>
      </w:r>
      <w:proofErr w:type="gramStart"/>
      <w:r>
        <w:t>Fiscalía General</w:t>
      </w:r>
      <w:proofErr w:type="gramEnd"/>
      <w:r>
        <w:t xml:space="preserve"> de la Nación.</w:t>
      </w:r>
    </w:p>
  </w:footnote>
  <w:footnote w:id="2">
    <w:p w14:paraId="40D14BE4" w14:textId="532E6D2F" w:rsidR="00B1725D" w:rsidRPr="00B1725D" w:rsidRDefault="00B1725D">
      <w:pPr>
        <w:pStyle w:val="FootnoteText"/>
        <w:rPr>
          <w:lang w:val="es-MX"/>
        </w:rPr>
      </w:pPr>
      <w:r>
        <w:rPr>
          <w:rStyle w:val="FootnoteReference"/>
        </w:rPr>
        <w:footnoteRef/>
      </w:r>
      <w:r>
        <w:t xml:space="preserve"> </w:t>
      </w:r>
      <w:r w:rsidRPr="00B1725D">
        <w:t>Datos del Sistema de Información Cuéntame del 30/04/2026, reporte de beneficiarios únicos para la vigencia 2025</w:t>
      </w:r>
    </w:p>
  </w:footnote>
  <w:footnote w:id="3">
    <w:p w14:paraId="497933C6" w14:textId="77777777" w:rsidR="00362B05" w:rsidRPr="004D3612" w:rsidRDefault="00362B05" w:rsidP="00362B05">
      <w:pPr>
        <w:pStyle w:val="FootnoteText"/>
      </w:pPr>
      <w:r>
        <w:rPr>
          <w:rStyle w:val="FootnoteReference"/>
        </w:rPr>
        <w:footnoteRef/>
      </w:r>
      <w:r>
        <w:t xml:space="preserve"> Para </w:t>
      </w:r>
      <w:proofErr w:type="gramStart"/>
      <w:r>
        <w:t>mayor información</w:t>
      </w:r>
      <w:proofErr w:type="gramEnd"/>
      <w:r>
        <w:t xml:space="preserve"> consultar: </w:t>
      </w:r>
    </w:p>
    <w:p w14:paraId="49C3FEFB" w14:textId="77777777" w:rsidR="00362B05" w:rsidRDefault="00362B05" w:rsidP="00362B05">
      <w:pPr>
        <w:pStyle w:val="FootnoteText"/>
      </w:pPr>
      <w:r w:rsidRPr="004D3612">
        <w:t>https://www.fac.mil.co/es/noticias/operacion-themis-estrategia-de-defensa-y-prevencion-contra-el-crimen-organizado</w:t>
      </w:r>
    </w:p>
  </w:footnote>
  <w:footnote w:id="4">
    <w:p w14:paraId="191D2DD6" w14:textId="21D196CE" w:rsidR="00EC097A" w:rsidRPr="00EC097A" w:rsidRDefault="00EC097A">
      <w:pPr>
        <w:pStyle w:val="FootnoteText"/>
        <w:rPr>
          <w:lang w:val="es-MX"/>
        </w:rPr>
      </w:pPr>
      <w:r>
        <w:rPr>
          <w:rStyle w:val="FootnoteReference"/>
        </w:rPr>
        <w:footnoteRef/>
      </w:r>
      <w:r>
        <w:t xml:space="preserve"> </w:t>
      </w:r>
      <w:r w:rsidRPr="00EC097A">
        <w:t>CCPR/C/COL/CO/7, par. 27</w:t>
      </w:r>
    </w:p>
  </w:footnote>
  <w:footnote w:id="5">
    <w:p w14:paraId="46CEBFA7" w14:textId="7D76E2C8" w:rsidR="00842567" w:rsidRPr="00842567" w:rsidRDefault="00842567">
      <w:pPr>
        <w:pStyle w:val="FootnoteText"/>
      </w:pPr>
      <w:r>
        <w:rPr>
          <w:rStyle w:val="FootnoteReference"/>
        </w:rPr>
        <w:footnoteRef/>
      </w:r>
      <w:r>
        <w:t xml:space="preserve"> Para más información puede consultarse: </w:t>
      </w:r>
      <w:r w:rsidRPr="00842567">
        <w:t>https://www.mindefensa.gov.co/sites/web/content/management/api/v1.1/assets/CONTEB8EF37095C4443C B3701CBC7114E944/native/Informe%20Rendicio%CC%81n%20de%20Cuentas%20y%20Logros%20y%20R etos%20Polici%CC%81a%20Nacional%202025.pdf</w:t>
      </w:r>
    </w:p>
  </w:footnote>
  <w:footnote w:id="6">
    <w:p w14:paraId="0C1AB6EB" w14:textId="1AB0CDA8" w:rsidR="00E66DA1" w:rsidRPr="00E66DA1" w:rsidRDefault="00E66DA1">
      <w:pPr>
        <w:pStyle w:val="FootnoteText"/>
      </w:pPr>
      <w:r>
        <w:rPr>
          <w:rStyle w:val="FootnoteReference"/>
        </w:rPr>
        <w:footnoteRef/>
      </w:r>
      <w:r>
        <w:t xml:space="preserve"> </w:t>
      </w:r>
      <w:r w:rsidRPr="00E66DA1">
        <w:t>Datos aportados por la Unidad Especial de Investigación de delitos priorizados cometidos contra niños, niñas y adolescentes.</w:t>
      </w:r>
    </w:p>
  </w:footnote>
  <w:footnote w:id="7">
    <w:p w14:paraId="04188F26" w14:textId="31F84625" w:rsidR="00CF07DA" w:rsidRPr="00CF07DA" w:rsidRDefault="00CF07DA">
      <w:pPr>
        <w:pStyle w:val="FootnoteText"/>
      </w:pPr>
      <w:r>
        <w:rPr>
          <w:rStyle w:val="FootnoteReference"/>
        </w:rPr>
        <w:footnoteRef/>
      </w:r>
      <w:r>
        <w:t xml:space="preserve"> </w:t>
      </w:r>
      <w:r w:rsidRPr="00CF07DA">
        <w:t>Datos aportados por la Dirección Especializada contra las Violaciones a los Derechos Humanos.</w:t>
      </w:r>
    </w:p>
  </w:footnote>
  <w:footnote w:id="8">
    <w:p w14:paraId="0E72BE06" w14:textId="353C9CD5" w:rsidR="00997F7E" w:rsidRPr="00997F7E" w:rsidRDefault="00997F7E">
      <w:pPr>
        <w:pStyle w:val="FootnoteText"/>
        <w:rPr>
          <w:lang w:val="es-MX"/>
        </w:rPr>
      </w:pPr>
      <w:r>
        <w:rPr>
          <w:rStyle w:val="FootnoteReference"/>
        </w:rPr>
        <w:footnoteRef/>
      </w:r>
      <w:r>
        <w:t xml:space="preserve"> </w:t>
      </w:r>
      <w:r w:rsidRPr="00997F7E">
        <w:t>Apartado 3.4.1 del Acuerdo Final de Paz.</w:t>
      </w:r>
    </w:p>
  </w:footnote>
  <w:footnote w:id="9">
    <w:p w14:paraId="6A16DE52" w14:textId="7E40435E" w:rsidR="009B15BF" w:rsidRPr="009B15BF" w:rsidRDefault="009B15BF">
      <w:pPr>
        <w:pStyle w:val="FootnoteText"/>
        <w:rPr>
          <w:lang w:val="es-MX"/>
        </w:rPr>
      </w:pPr>
      <w:r>
        <w:rPr>
          <w:rStyle w:val="FootnoteReference"/>
        </w:rPr>
        <w:footnoteRef/>
      </w:r>
      <w:r>
        <w:t xml:space="preserve"> </w:t>
      </w:r>
      <w:r w:rsidRPr="009B15BF">
        <w:t>Véanse los artículos 1°, literales C y H, artículo 27C, y artículo 65 de la Ley 1922. Igualmente, los artículos 18 y 39 de la Ley 1957 de 2019.</w:t>
      </w:r>
    </w:p>
  </w:footnote>
  <w:footnote w:id="10">
    <w:p w14:paraId="2B97EB79" w14:textId="55AB3E45" w:rsidR="005D6415" w:rsidRPr="005D6415" w:rsidRDefault="005D6415">
      <w:pPr>
        <w:pStyle w:val="FootnoteText"/>
        <w:rPr>
          <w:lang w:val="es-MX"/>
        </w:rPr>
      </w:pPr>
      <w:r>
        <w:rPr>
          <w:rStyle w:val="FootnoteReference"/>
        </w:rPr>
        <w:footnoteRef/>
      </w:r>
      <w:r>
        <w:t xml:space="preserve"> </w:t>
      </w:r>
      <w:r w:rsidRPr="005D6415">
        <w:t>Véase el Acuerdo ASP 001 de 2020.</w:t>
      </w:r>
    </w:p>
  </w:footnote>
  <w:footnote w:id="11">
    <w:p w14:paraId="5E2A8E17" w14:textId="220A414C" w:rsidR="00DC7126" w:rsidRPr="00D95C07" w:rsidRDefault="00DC7126">
      <w:pPr>
        <w:pStyle w:val="FootnoteText"/>
        <w:rPr>
          <w:lang w:val="pt-PT"/>
        </w:rPr>
      </w:pPr>
      <w:r>
        <w:rPr>
          <w:rStyle w:val="FootnoteReference"/>
        </w:rPr>
        <w:footnoteRef/>
      </w:r>
      <w:r w:rsidRPr="00D95C07">
        <w:rPr>
          <w:lang w:val="pt-PT"/>
        </w:rPr>
        <w:t xml:space="preserve"> </w:t>
      </w:r>
      <w:r w:rsidRPr="00D95C07">
        <w:rPr>
          <w:lang w:val="pt-PT"/>
        </w:rPr>
        <w:t>JEP, SRVR, Auto 07 de 2026, párrs. 1340-1341.</w:t>
      </w:r>
    </w:p>
  </w:footnote>
  <w:footnote w:id="12">
    <w:p w14:paraId="3936AB8F" w14:textId="7A690BBA" w:rsidR="009B186E" w:rsidRPr="00D95C07" w:rsidRDefault="009B186E">
      <w:pPr>
        <w:pStyle w:val="FootnoteText"/>
        <w:rPr>
          <w:lang w:val="pt-PT"/>
        </w:rPr>
      </w:pPr>
      <w:r>
        <w:rPr>
          <w:rStyle w:val="FootnoteReference"/>
        </w:rPr>
        <w:footnoteRef/>
      </w:r>
      <w:r w:rsidRPr="00D95C07">
        <w:rPr>
          <w:lang w:val="pt-PT"/>
        </w:rPr>
        <w:t xml:space="preserve"> JEP, </w:t>
      </w:r>
      <w:r w:rsidRPr="00D95C07">
        <w:rPr>
          <w:lang w:val="pt-PT"/>
        </w:rPr>
        <w:t>SRVR, Auto 07 de 2026, párrs. 1345-1346.</w:t>
      </w:r>
    </w:p>
  </w:footnote>
  <w:footnote w:id="13">
    <w:p w14:paraId="161FBF76" w14:textId="4CE47B78" w:rsidR="00CF5399" w:rsidRPr="00CF5399" w:rsidRDefault="00CF5399">
      <w:pPr>
        <w:pStyle w:val="FootnoteText"/>
        <w:rPr>
          <w:lang w:val="es-MX"/>
        </w:rPr>
      </w:pPr>
      <w:r>
        <w:rPr>
          <w:rStyle w:val="FootnoteReference"/>
        </w:rPr>
        <w:footnoteRef/>
      </w:r>
      <w:r w:rsidRPr="00D95C07">
        <w:rPr>
          <w:lang w:val="pt-PT"/>
        </w:rPr>
        <w:t xml:space="preserve"> </w:t>
      </w:r>
      <w:r w:rsidR="00BC195E" w:rsidRPr="00D95C07">
        <w:rPr>
          <w:lang w:val="pt-PT"/>
        </w:rPr>
        <w:t xml:space="preserve">JEP, </w:t>
      </w:r>
      <w:r w:rsidR="00BC195E" w:rsidRPr="00D95C07">
        <w:rPr>
          <w:lang w:val="pt-PT"/>
        </w:rPr>
        <w:t xml:space="preserve">SRVR, Auto 07 de 2026, párrs. </w:t>
      </w:r>
      <w:r w:rsidR="00BC195E" w:rsidRPr="00BC195E">
        <w:t>1347-1354.</w:t>
      </w:r>
    </w:p>
  </w:footnote>
  <w:footnote w:id="14">
    <w:p w14:paraId="13B3FC18" w14:textId="77777777" w:rsidR="006F7E37" w:rsidRDefault="006F7E37">
      <w:pPr>
        <w:pStyle w:val="FootnoteText"/>
      </w:pPr>
      <w:r>
        <w:rPr>
          <w:rStyle w:val="FootnoteReference"/>
        </w:rPr>
        <w:footnoteRef/>
      </w:r>
      <w:r>
        <w:t xml:space="preserve"> </w:t>
      </w:r>
      <w:r w:rsidRPr="006F7E37">
        <w:t xml:space="preserve">Resolución de Conclusiones No. 01 del 20 de octubre de 2022. Caso No. 03 “Asesinatos y desapariciones forzadas presentados como bajas en combate por agentes del Estado” – </w:t>
      </w:r>
      <w:proofErr w:type="spellStart"/>
      <w:r w:rsidRPr="006F7E37">
        <w:t>Subcaso</w:t>
      </w:r>
      <w:proofErr w:type="spellEnd"/>
      <w:r w:rsidRPr="006F7E37">
        <w:t xml:space="preserve"> Norte de Santander </w:t>
      </w:r>
    </w:p>
    <w:p w14:paraId="39C43AE7" w14:textId="77777777" w:rsidR="006F7E37" w:rsidRDefault="006F7E37">
      <w:pPr>
        <w:pStyle w:val="FootnoteText"/>
      </w:pPr>
      <w:r w:rsidRPr="006F7E37">
        <w:t xml:space="preserve">Resolución de Conclusiones No. 02 del 24 de noviembre de 2022. Caso No. 01 “Toma de rehenes, graves privaciones de la libertad y otros crímenes concurrentes cometidos por las FARC-EP”- Fase Nacional </w:t>
      </w:r>
    </w:p>
    <w:p w14:paraId="08659899" w14:textId="77777777" w:rsidR="006F7E37" w:rsidRDefault="006F7E37">
      <w:pPr>
        <w:pStyle w:val="FootnoteText"/>
      </w:pPr>
      <w:r w:rsidRPr="006F7E37">
        <w:t xml:space="preserve">Resolución de Conclusiones No. 03 del 7 de diciembre de 2022. Caso No. 03 “Asesinatos y desapariciones forzadas ilegítimamente presentados como bajas en combate por agentes del Estado” – </w:t>
      </w:r>
      <w:proofErr w:type="spellStart"/>
      <w:r w:rsidRPr="006F7E37">
        <w:t>Subcaso</w:t>
      </w:r>
      <w:proofErr w:type="spellEnd"/>
      <w:r w:rsidRPr="006F7E37">
        <w:t xml:space="preserve"> Costa Caribe, Batallón de Artillería No. 2 “La Popa”. </w:t>
      </w:r>
    </w:p>
    <w:p w14:paraId="43419658" w14:textId="77777777" w:rsidR="006F7E37" w:rsidRDefault="006F7E37">
      <w:pPr>
        <w:pStyle w:val="FootnoteText"/>
      </w:pPr>
      <w:r w:rsidRPr="006F7E37">
        <w:t xml:space="preserve">Resolución de Conclusiones No. 04 del 20 de marzo de 2024. Caso conjunto No. 03 y 04 “Asesinatos y desapariciones forzadas en el cementerio Las Mercedes de Dabeiba, Antioquia, perpetrados por miembros de la Fuerza Pública entre 1997 y 2007”. </w:t>
      </w:r>
    </w:p>
    <w:p w14:paraId="71248A7D" w14:textId="3C9BE233" w:rsidR="006F7E37" w:rsidRPr="006F7E37" w:rsidRDefault="006F7E37">
      <w:pPr>
        <w:pStyle w:val="FootnoteText"/>
        <w:rPr>
          <w:lang w:val="es-MX"/>
        </w:rPr>
      </w:pPr>
      <w:r w:rsidRPr="006F7E37">
        <w:t xml:space="preserve">Resolución de Conclusiones No. 05 del 8 de octubre de 2025. Caso No. 03 “Asesinatos y desapariciones forzadas presentados como bajas en combate por agentes del Estado” – </w:t>
      </w:r>
      <w:proofErr w:type="spellStart"/>
      <w:r w:rsidRPr="006F7E37">
        <w:t>Subcaso</w:t>
      </w:r>
      <w:proofErr w:type="spellEnd"/>
      <w:r w:rsidRPr="006F7E37">
        <w:t xml:space="preserve"> Casanare.</w:t>
      </w:r>
    </w:p>
  </w:footnote>
  <w:footnote w:id="15">
    <w:p w14:paraId="4BB929A5" w14:textId="7312E5C3" w:rsidR="00DB7800" w:rsidRPr="00DB7800" w:rsidRDefault="00DB7800">
      <w:pPr>
        <w:pStyle w:val="FootnoteText"/>
      </w:pPr>
      <w:r>
        <w:rPr>
          <w:rStyle w:val="FootnoteReference"/>
        </w:rPr>
        <w:footnoteRef/>
      </w:r>
      <w:r>
        <w:t xml:space="preserve"> </w:t>
      </w:r>
      <w:r w:rsidR="00DE04CD" w:rsidRPr="00DE04CD">
        <w:t>Información suministrada por la Dirección Especializada contra las Violaciones a los Derechos Humanos.</w:t>
      </w:r>
    </w:p>
  </w:footnote>
  <w:footnote w:id="16">
    <w:p w14:paraId="71F2A823" w14:textId="60AAA19A" w:rsidR="00E74F57" w:rsidRPr="00E74F57" w:rsidRDefault="00E74F57">
      <w:pPr>
        <w:pStyle w:val="FootnoteText"/>
        <w:rPr>
          <w:lang w:val="es-MX"/>
        </w:rPr>
      </w:pPr>
      <w:r>
        <w:rPr>
          <w:rStyle w:val="FootnoteReference"/>
        </w:rPr>
        <w:footnoteRef/>
      </w:r>
      <w:r>
        <w:t xml:space="preserve"> </w:t>
      </w:r>
      <w:r w:rsidRPr="00E74F57">
        <w:t>Para ello, el mecanismo consolida información proveniente del monitoreo diario de 238 medios de comunicación, 637 cuentas de organizaciones sociales, entidades públicas y organismos internacionales en la red social X, así como de las Tempranas emitidas por la Defensoría del Pueblo. Disponible para consulta en: https://www.jep.gov.co/uia/Paginas/mecanismo_monitoreo/index.aspx</w:t>
      </w:r>
    </w:p>
  </w:footnote>
  <w:footnote w:id="17">
    <w:p w14:paraId="725ADA6A" w14:textId="7758CC50" w:rsidR="00933173" w:rsidRPr="00933173" w:rsidRDefault="00933173">
      <w:pPr>
        <w:pStyle w:val="FootnoteText"/>
        <w:rPr>
          <w:lang w:val="es-MX"/>
        </w:rPr>
      </w:pPr>
      <w:r>
        <w:rPr>
          <w:rStyle w:val="FootnoteReference"/>
        </w:rPr>
        <w:footnoteRef/>
      </w:r>
      <w:r>
        <w:t xml:space="preserve"> </w:t>
      </w:r>
      <w:r w:rsidRPr="00933173">
        <w:t>Unidad de Investigación y Acusación (2025). Ataques a la educación en Colombia (2017-2025): Consensos globales para un país que se educa en paz. Disponible en: https://n9.cl/28qe8</w:t>
      </w:r>
    </w:p>
  </w:footnote>
  <w:footnote w:id="18">
    <w:p w14:paraId="48968F2F" w14:textId="76744FA2" w:rsidR="00933173" w:rsidRPr="00933173" w:rsidRDefault="00933173">
      <w:pPr>
        <w:pStyle w:val="FootnoteText"/>
        <w:rPr>
          <w:lang w:val="es-MX"/>
        </w:rPr>
      </w:pPr>
      <w:r>
        <w:rPr>
          <w:rStyle w:val="FootnoteReference"/>
        </w:rPr>
        <w:footnoteRef/>
      </w:r>
      <w:r>
        <w:t xml:space="preserve"> </w:t>
      </w:r>
      <w:r w:rsidR="007443C2" w:rsidRPr="007443C2">
        <w:t>Unidad de Investigación y Acusación (2026). Daños invisibles: la violencia contra animales en el conflicto armado en Colombia (2017-2026). Disponible en: https://n9.cl/w1ocb</w:t>
      </w:r>
    </w:p>
  </w:footnote>
  <w:footnote w:id="19">
    <w:p w14:paraId="0DDB6A57" w14:textId="72646676" w:rsidR="007443C2" w:rsidRPr="007443C2" w:rsidRDefault="007443C2">
      <w:pPr>
        <w:pStyle w:val="FootnoteText"/>
        <w:rPr>
          <w:lang w:val="es-MX"/>
        </w:rPr>
      </w:pPr>
      <w:r>
        <w:rPr>
          <w:rStyle w:val="FootnoteReference"/>
        </w:rPr>
        <w:footnoteRef/>
      </w:r>
      <w:r>
        <w:t xml:space="preserve"> </w:t>
      </w:r>
      <w:r w:rsidRPr="007443C2">
        <w:t>Unidad de Investigación y Acusación (2024). Entre avances ambivalentes y afectaciones persistentes. El asedio al medio ambiente natural y las posibilidades de prevenir los ecocidios en Colombia (2022-2024). Disponible en: https://n9.cl/0m2vpm</w:t>
      </w:r>
    </w:p>
  </w:footnote>
  <w:footnote w:id="20">
    <w:p w14:paraId="02B9A03E" w14:textId="0B7DBDEF" w:rsidR="00180E45" w:rsidRPr="00180E45" w:rsidRDefault="00180E45">
      <w:pPr>
        <w:pStyle w:val="FootnoteText"/>
        <w:rPr>
          <w:lang w:val="es-MX"/>
        </w:rPr>
      </w:pPr>
      <w:r>
        <w:rPr>
          <w:rStyle w:val="FootnoteReference"/>
        </w:rPr>
        <w:footnoteRef/>
      </w:r>
      <w:r>
        <w:t xml:space="preserve"> </w:t>
      </w:r>
      <w:r w:rsidR="003E7613" w:rsidRPr="003E7613">
        <w:t>Unidad de Investigación y Acusación (</w:t>
      </w:r>
      <w:proofErr w:type="gramStart"/>
      <w:r w:rsidR="003E7613" w:rsidRPr="003E7613">
        <w:t>Enero</w:t>
      </w:r>
      <w:proofErr w:type="gramEnd"/>
      <w:r w:rsidR="003E7613" w:rsidRPr="003E7613">
        <w:t xml:space="preserve"> 2026). RED-</w:t>
      </w:r>
      <w:proofErr w:type="spellStart"/>
      <w:r w:rsidR="003E7613" w:rsidRPr="003E7613">
        <w:t>clutamiento</w:t>
      </w:r>
      <w:proofErr w:type="spellEnd"/>
      <w:r w:rsidR="003E7613" w:rsidRPr="003E7613">
        <w:t xml:space="preserve"> 2.0 en Colombia. La vinculación de </w:t>
      </w:r>
      <w:proofErr w:type="gramStart"/>
      <w:r w:rsidR="003E7613" w:rsidRPr="003E7613">
        <w:t>niños y niñas</w:t>
      </w:r>
      <w:proofErr w:type="gramEnd"/>
      <w:r w:rsidR="003E7613" w:rsidRPr="003E7613">
        <w:t xml:space="preserve"> a grupos armados ilegales a través de </w:t>
      </w:r>
      <w:proofErr w:type="spellStart"/>
      <w:r w:rsidR="003E7613" w:rsidRPr="003E7613">
        <w:t>Tik</w:t>
      </w:r>
      <w:proofErr w:type="spellEnd"/>
      <w:r w:rsidR="003E7613" w:rsidRPr="003E7613">
        <w:t xml:space="preserve"> Tok y Facebook (2017-2026). Disponible en: https://n9.cl/8d0z0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B5EAD" w14:textId="24E231BC" w:rsidR="008D5473" w:rsidRDefault="008D5473">
    <w:pPr>
      <w:pStyle w:val="Header"/>
    </w:pPr>
    <w:r>
      <w:rPr>
        <w:noProof/>
      </w:rPr>
      <w:drawing>
        <wp:anchor distT="0" distB="0" distL="114300" distR="114300" simplePos="0" relativeHeight="251658240" behindDoc="0" locked="0" layoutInCell="1" allowOverlap="1" wp14:anchorId="149AC487" wp14:editId="11173469">
          <wp:simplePos x="0" y="0"/>
          <wp:positionH relativeFrom="margin">
            <wp:align>center</wp:align>
          </wp:positionH>
          <wp:positionV relativeFrom="paragraph">
            <wp:posOffset>-321516</wp:posOffset>
          </wp:positionV>
          <wp:extent cx="1476375" cy="853904"/>
          <wp:effectExtent l="0" t="0" r="0" b="3810"/>
          <wp:wrapSquare wrapText="bothSides"/>
          <wp:docPr id="4769023" name="Imagen 4769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476375" cy="8539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62CEF"/>
    <w:multiLevelType w:val="hybridMultilevel"/>
    <w:tmpl w:val="490474E8"/>
    <w:lvl w:ilvl="0" w:tplc="8B04840E">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E24455"/>
    <w:multiLevelType w:val="hybridMultilevel"/>
    <w:tmpl w:val="6EC638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E167C65"/>
    <w:multiLevelType w:val="hybridMultilevel"/>
    <w:tmpl w:val="844C0028"/>
    <w:lvl w:ilvl="0" w:tplc="38CEA5B2">
      <w:numFmt w:val="bullet"/>
      <w:lvlText w:val="•"/>
      <w:lvlJc w:val="left"/>
      <w:pPr>
        <w:ind w:left="540" w:hanging="360"/>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0E36402"/>
    <w:multiLevelType w:val="hybridMultilevel"/>
    <w:tmpl w:val="EFB20E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1963760"/>
    <w:multiLevelType w:val="hybridMultilevel"/>
    <w:tmpl w:val="31ACDE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2D33300"/>
    <w:multiLevelType w:val="hybridMultilevel"/>
    <w:tmpl w:val="0F1A99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C1842DF"/>
    <w:multiLevelType w:val="hybridMultilevel"/>
    <w:tmpl w:val="065439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6AD44B5"/>
    <w:multiLevelType w:val="hybridMultilevel"/>
    <w:tmpl w:val="4B985FE2"/>
    <w:lvl w:ilvl="0" w:tplc="38CEA5B2">
      <w:numFmt w:val="bullet"/>
      <w:lvlText w:val="•"/>
      <w:lvlJc w:val="left"/>
      <w:pPr>
        <w:ind w:left="720" w:hanging="360"/>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B5C7892"/>
    <w:multiLevelType w:val="hybridMultilevel"/>
    <w:tmpl w:val="8D1E52DA"/>
    <w:lvl w:ilvl="0" w:tplc="38CEA5B2">
      <w:numFmt w:val="bullet"/>
      <w:lvlText w:val="•"/>
      <w:lvlJc w:val="left"/>
      <w:pPr>
        <w:ind w:left="540" w:hanging="360"/>
      </w:pPr>
      <w:rPr>
        <w:rFonts w:ascii="Verdana" w:eastAsiaTheme="minorHAnsi" w:hAnsi="Verdana" w:cstheme="minorBidi" w:hint="default"/>
      </w:rPr>
    </w:lvl>
    <w:lvl w:ilvl="1" w:tplc="240A0003" w:tentative="1">
      <w:start w:val="1"/>
      <w:numFmt w:val="bullet"/>
      <w:lvlText w:val="o"/>
      <w:lvlJc w:val="left"/>
      <w:pPr>
        <w:ind w:left="1260" w:hanging="360"/>
      </w:pPr>
      <w:rPr>
        <w:rFonts w:ascii="Courier New" w:hAnsi="Courier New" w:cs="Courier New" w:hint="default"/>
      </w:rPr>
    </w:lvl>
    <w:lvl w:ilvl="2" w:tplc="240A0005" w:tentative="1">
      <w:start w:val="1"/>
      <w:numFmt w:val="bullet"/>
      <w:lvlText w:val=""/>
      <w:lvlJc w:val="left"/>
      <w:pPr>
        <w:ind w:left="1980" w:hanging="360"/>
      </w:pPr>
      <w:rPr>
        <w:rFonts w:ascii="Wingdings" w:hAnsi="Wingdings" w:hint="default"/>
      </w:rPr>
    </w:lvl>
    <w:lvl w:ilvl="3" w:tplc="240A0001" w:tentative="1">
      <w:start w:val="1"/>
      <w:numFmt w:val="bullet"/>
      <w:lvlText w:val=""/>
      <w:lvlJc w:val="left"/>
      <w:pPr>
        <w:ind w:left="2700" w:hanging="360"/>
      </w:pPr>
      <w:rPr>
        <w:rFonts w:ascii="Symbol" w:hAnsi="Symbol" w:hint="default"/>
      </w:rPr>
    </w:lvl>
    <w:lvl w:ilvl="4" w:tplc="240A0003" w:tentative="1">
      <w:start w:val="1"/>
      <w:numFmt w:val="bullet"/>
      <w:lvlText w:val="o"/>
      <w:lvlJc w:val="left"/>
      <w:pPr>
        <w:ind w:left="3420" w:hanging="360"/>
      </w:pPr>
      <w:rPr>
        <w:rFonts w:ascii="Courier New" w:hAnsi="Courier New" w:cs="Courier New" w:hint="default"/>
      </w:rPr>
    </w:lvl>
    <w:lvl w:ilvl="5" w:tplc="240A0005" w:tentative="1">
      <w:start w:val="1"/>
      <w:numFmt w:val="bullet"/>
      <w:lvlText w:val=""/>
      <w:lvlJc w:val="left"/>
      <w:pPr>
        <w:ind w:left="4140" w:hanging="360"/>
      </w:pPr>
      <w:rPr>
        <w:rFonts w:ascii="Wingdings" w:hAnsi="Wingdings" w:hint="default"/>
      </w:rPr>
    </w:lvl>
    <w:lvl w:ilvl="6" w:tplc="240A0001" w:tentative="1">
      <w:start w:val="1"/>
      <w:numFmt w:val="bullet"/>
      <w:lvlText w:val=""/>
      <w:lvlJc w:val="left"/>
      <w:pPr>
        <w:ind w:left="4860" w:hanging="360"/>
      </w:pPr>
      <w:rPr>
        <w:rFonts w:ascii="Symbol" w:hAnsi="Symbol" w:hint="default"/>
      </w:rPr>
    </w:lvl>
    <w:lvl w:ilvl="7" w:tplc="240A0003" w:tentative="1">
      <w:start w:val="1"/>
      <w:numFmt w:val="bullet"/>
      <w:lvlText w:val="o"/>
      <w:lvlJc w:val="left"/>
      <w:pPr>
        <w:ind w:left="5580" w:hanging="360"/>
      </w:pPr>
      <w:rPr>
        <w:rFonts w:ascii="Courier New" w:hAnsi="Courier New" w:cs="Courier New" w:hint="default"/>
      </w:rPr>
    </w:lvl>
    <w:lvl w:ilvl="8" w:tplc="240A0005" w:tentative="1">
      <w:start w:val="1"/>
      <w:numFmt w:val="bullet"/>
      <w:lvlText w:val=""/>
      <w:lvlJc w:val="left"/>
      <w:pPr>
        <w:ind w:left="6300" w:hanging="360"/>
      </w:pPr>
      <w:rPr>
        <w:rFonts w:ascii="Wingdings" w:hAnsi="Wingdings" w:hint="default"/>
      </w:rPr>
    </w:lvl>
  </w:abstractNum>
  <w:abstractNum w:abstractNumId="9" w15:restartNumberingAfterBreak="0">
    <w:nsid w:val="3BEB6B96"/>
    <w:multiLevelType w:val="hybridMultilevel"/>
    <w:tmpl w:val="AB5EBC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EC07F06"/>
    <w:multiLevelType w:val="hybridMultilevel"/>
    <w:tmpl w:val="186C30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6A5329"/>
    <w:multiLevelType w:val="hybridMultilevel"/>
    <w:tmpl w:val="41EA281A"/>
    <w:lvl w:ilvl="0" w:tplc="38CEA5B2">
      <w:numFmt w:val="bullet"/>
      <w:lvlText w:val="•"/>
      <w:lvlJc w:val="left"/>
      <w:pPr>
        <w:ind w:left="540" w:hanging="360"/>
      </w:pPr>
      <w:rPr>
        <w:rFonts w:ascii="Verdana" w:eastAsiaTheme="minorHAnsi" w:hAnsi="Verdana" w:cstheme="minorBidi" w:hint="default"/>
      </w:rPr>
    </w:lvl>
    <w:lvl w:ilvl="1" w:tplc="240A0003" w:tentative="1">
      <w:start w:val="1"/>
      <w:numFmt w:val="bullet"/>
      <w:lvlText w:val="o"/>
      <w:lvlJc w:val="left"/>
      <w:pPr>
        <w:ind w:left="1260" w:hanging="360"/>
      </w:pPr>
      <w:rPr>
        <w:rFonts w:ascii="Courier New" w:hAnsi="Courier New" w:cs="Courier New" w:hint="default"/>
      </w:rPr>
    </w:lvl>
    <w:lvl w:ilvl="2" w:tplc="240A0005" w:tentative="1">
      <w:start w:val="1"/>
      <w:numFmt w:val="bullet"/>
      <w:lvlText w:val=""/>
      <w:lvlJc w:val="left"/>
      <w:pPr>
        <w:ind w:left="1980" w:hanging="360"/>
      </w:pPr>
      <w:rPr>
        <w:rFonts w:ascii="Wingdings" w:hAnsi="Wingdings" w:hint="default"/>
      </w:rPr>
    </w:lvl>
    <w:lvl w:ilvl="3" w:tplc="240A0001" w:tentative="1">
      <w:start w:val="1"/>
      <w:numFmt w:val="bullet"/>
      <w:lvlText w:val=""/>
      <w:lvlJc w:val="left"/>
      <w:pPr>
        <w:ind w:left="2700" w:hanging="360"/>
      </w:pPr>
      <w:rPr>
        <w:rFonts w:ascii="Symbol" w:hAnsi="Symbol" w:hint="default"/>
      </w:rPr>
    </w:lvl>
    <w:lvl w:ilvl="4" w:tplc="240A0003" w:tentative="1">
      <w:start w:val="1"/>
      <w:numFmt w:val="bullet"/>
      <w:lvlText w:val="o"/>
      <w:lvlJc w:val="left"/>
      <w:pPr>
        <w:ind w:left="3420" w:hanging="360"/>
      </w:pPr>
      <w:rPr>
        <w:rFonts w:ascii="Courier New" w:hAnsi="Courier New" w:cs="Courier New" w:hint="default"/>
      </w:rPr>
    </w:lvl>
    <w:lvl w:ilvl="5" w:tplc="240A0005" w:tentative="1">
      <w:start w:val="1"/>
      <w:numFmt w:val="bullet"/>
      <w:lvlText w:val=""/>
      <w:lvlJc w:val="left"/>
      <w:pPr>
        <w:ind w:left="4140" w:hanging="360"/>
      </w:pPr>
      <w:rPr>
        <w:rFonts w:ascii="Wingdings" w:hAnsi="Wingdings" w:hint="default"/>
      </w:rPr>
    </w:lvl>
    <w:lvl w:ilvl="6" w:tplc="240A0001" w:tentative="1">
      <w:start w:val="1"/>
      <w:numFmt w:val="bullet"/>
      <w:lvlText w:val=""/>
      <w:lvlJc w:val="left"/>
      <w:pPr>
        <w:ind w:left="4860" w:hanging="360"/>
      </w:pPr>
      <w:rPr>
        <w:rFonts w:ascii="Symbol" w:hAnsi="Symbol" w:hint="default"/>
      </w:rPr>
    </w:lvl>
    <w:lvl w:ilvl="7" w:tplc="240A0003" w:tentative="1">
      <w:start w:val="1"/>
      <w:numFmt w:val="bullet"/>
      <w:lvlText w:val="o"/>
      <w:lvlJc w:val="left"/>
      <w:pPr>
        <w:ind w:left="5580" w:hanging="360"/>
      </w:pPr>
      <w:rPr>
        <w:rFonts w:ascii="Courier New" w:hAnsi="Courier New" w:cs="Courier New" w:hint="default"/>
      </w:rPr>
    </w:lvl>
    <w:lvl w:ilvl="8" w:tplc="240A0005" w:tentative="1">
      <w:start w:val="1"/>
      <w:numFmt w:val="bullet"/>
      <w:lvlText w:val=""/>
      <w:lvlJc w:val="left"/>
      <w:pPr>
        <w:ind w:left="6300" w:hanging="360"/>
      </w:pPr>
      <w:rPr>
        <w:rFonts w:ascii="Wingdings" w:hAnsi="Wingdings" w:hint="default"/>
      </w:rPr>
    </w:lvl>
  </w:abstractNum>
  <w:abstractNum w:abstractNumId="12" w15:restartNumberingAfterBreak="0">
    <w:nsid w:val="51660E10"/>
    <w:multiLevelType w:val="hybridMultilevel"/>
    <w:tmpl w:val="AB2E82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B936E3F"/>
    <w:multiLevelType w:val="hybridMultilevel"/>
    <w:tmpl w:val="DC5C63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BEB20CE"/>
    <w:multiLevelType w:val="hybridMultilevel"/>
    <w:tmpl w:val="5C00C53A"/>
    <w:lvl w:ilvl="0" w:tplc="38CEA5B2">
      <w:numFmt w:val="bullet"/>
      <w:lvlText w:val="•"/>
      <w:lvlJc w:val="left"/>
      <w:pPr>
        <w:ind w:left="540" w:hanging="360"/>
      </w:pPr>
      <w:rPr>
        <w:rFonts w:ascii="Verdana" w:eastAsiaTheme="minorHAnsi" w:hAnsi="Verdana" w:cstheme="minorBidi" w:hint="default"/>
      </w:rPr>
    </w:lvl>
    <w:lvl w:ilvl="1" w:tplc="240A0003" w:tentative="1">
      <w:start w:val="1"/>
      <w:numFmt w:val="bullet"/>
      <w:lvlText w:val="o"/>
      <w:lvlJc w:val="left"/>
      <w:pPr>
        <w:ind w:left="1260" w:hanging="360"/>
      </w:pPr>
      <w:rPr>
        <w:rFonts w:ascii="Courier New" w:hAnsi="Courier New" w:cs="Courier New" w:hint="default"/>
      </w:rPr>
    </w:lvl>
    <w:lvl w:ilvl="2" w:tplc="240A0005" w:tentative="1">
      <w:start w:val="1"/>
      <w:numFmt w:val="bullet"/>
      <w:lvlText w:val=""/>
      <w:lvlJc w:val="left"/>
      <w:pPr>
        <w:ind w:left="1980" w:hanging="360"/>
      </w:pPr>
      <w:rPr>
        <w:rFonts w:ascii="Wingdings" w:hAnsi="Wingdings" w:hint="default"/>
      </w:rPr>
    </w:lvl>
    <w:lvl w:ilvl="3" w:tplc="240A0001" w:tentative="1">
      <w:start w:val="1"/>
      <w:numFmt w:val="bullet"/>
      <w:lvlText w:val=""/>
      <w:lvlJc w:val="left"/>
      <w:pPr>
        <w:ind w:left="2700" w:hanging="360"/>
      </w:pPr>
      <w:rPr>
        <w:rFonts w:ascii="Symbol" w:hAnsi="Symbol" w:hint="default"/>
      </w:rPr>
    </w:lvl>
    <w:lvl w:ilvl="4" w:tplc="240A0003" w:tentative="1">
      <w:start w:val="1"/>
      <w:numFmt w:val="bullet"/>
      <w:lvlText w:val="o"/>
      <w:lvlJc w:val="left"/>
      <w:pPr>
        <w:ind w:left="3420" w:hanging="360"/>
      </w:pPr>
      <w:rPr>
        <w:rFonts w:ascii="Courier New" w:hAnsi="Courier New" w:cs="Courier New" w:hint="default"/>
      </w:rPr>
    </w:lvl>
    <w:lvl w:ilvl="5" w:tplc="240A0005" w:tentative="1">
      <w:start w:val="1"/>
      <w:numFmt w:val="bullet"/>
      <w:lvlText w:val=""/>
      <w:lvlJc w:val="left"/>
      <w:pPr>
        <w:ind w:left="4140" w:hanging="360"/>
      </w:pPr>
      <w:rPr>
        <w:rFonts w:ascii="Wingdings" w:hAnsi="Wingdings" w:hint="default"/>
      </w:rPr>
    </w:lvl>
    <w:lvl w:ilvl="6" w:tplc="240A0001" w:tentative="1">
      <w:start w:val="1"/>
      <w:numFmt w:val="bullet"/>
      <w:lvlText w:val=""/>
      <w:lvlJc w:val="left"/>
      <w:pPr>
        <w:ind w:left="4860" w:hanging="360"/>
      </w:pPr>
      <w:rPr>
        <w:rFonts w:ascii="Symbol" w:hAnsi="Symbol" w:hint="default"/>
      </w:rPr>
    </w:lvl>
    <w:lvl w:ilvl="7" w:tplc="240A0003" w:tentative="1">
      <w:start w:val="1"/>
      <w:numFmt w:val="bullet"/>
      <w:lvlText w:val="o"/>
      <w:lvlJc w:val="left"/>
      <w:pPr>
        <w:ind w:left="5580" w:hanging="360"/>
      </w:pPr>
      <w:rPr>
        <w:rFonts w:ascii="Courier New" w:hAnsi="Courier New" w:cs="Courier New" w:hint="default"/>
      </w:rPr>
    </w:lvl>
    <w:lvl w:ilvl="8" w:tplc="240A0005" w:tentative="1">
      <w:start w:val="1"/>
      <w:numFmt w:val="bullet"/>
      <w:lvlText w:val=""/>
      <w:lvlJc w:val="left"/>
      <w:pPr>
        <w:ind w:left="6300" w:hanging="360"/>
      </w:pPr>
      <w:rPr>
        <w:rFonts w:ascii="Wingdings" w:hAnsi="Wingdings" w:hint="default"/>
      </w:rPr>
    </w:lvl>
  </w:abstractNum>
  <w:abstractNum w:abstractNumId="15" w15:restartNumberingAfterBreak="0">
    <w:nsid w:val="5CDE056A"/>
    <w:multiLevelType w:val="hybridMultilevel"/>
    <w:tmpl w:val="DFA208F2"/>
    <w:lvl w:ilvl="0" w:tplc="240A000D">
      <w:start w:val="1"/>
      <w:numFmt w:val="bullet"/>
      <w:lvlText w:val=""/>
      <w:lvlJc w:val="left"/>
      <w:pPr>
        <w:ind w:left="1260" w:hanging="360"/>
      </w:pPr>
      <w:rPr>
        <w:rFonts w:ascii="Wingdings" w:hAnsi="Wingdings"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6" w15:restartNumberingAfterBreak="0">
    <w:nsid w:val="604F0323"/>
    <w:multiLevelType w:val="hybridMultilevel"/>
    <w:tmpl w:val="F814B4AE"/>
    <w:lvl w:ilvl="0" w:tplc="38CEA5B2">
      <w:numFmt w:val="bullet"/>
      <w:lvlText w:val="•"/>
      <w:lvlJc w:val="left"/>
      <w:pPr>
        <w:ind w:left="720" w:hanging="360"/>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A812D94"/>
    <w:multiLevelType w:val="hybridMultilevel"/>
    <w:tmpl w:val="929AC5E2"/>
    <w:lvl w:ilvl="0" w:tplc="240A000D">
      <w:start w:val="1"/>
      <w:numFmt w:val="bullet"/>
      <w:lvlText w:val=""/>
      <w:lvlJc w:val="left"/>
      <w:pPr>
        <w:ind w:left="540" w:hanging="360"/>
      </w:pPr>
      <w:rPr>
        <w:rFonts w:ascii="Wingdings" w:hAnsi="Wingdings" w:hint="default"/>
      </w:rPr>
    </w:lvl>
    <w:lvl w:ilvl="1" w:tplc="240A0003" w:tentative="1">
      <w:start w:val="1"/>
      <w:numFmt w:val="bullet"/>
      <w:lvlText w:val="o"/>
      <w:lvlJc w:val="left"/>
      <w:pPr>
        <w:ind w:left="1260" w:hanging="360"/>
      </w:pPr>
      <w:rPr>
        <w:rFonts w:ascii="Courier New" w:hAnsi="Courier New" w:cs="Courier New" w:hint="default"/>
      </w:rPr>
    </w:lvl>
    <w:lvl w:ilvl="2" w:tplc="240A0005" w:tentative="1">
      <w:start w:val="1"/>
      <w:numFmt w:val="bullet"/>
      <w:lvlText w:val=""/>
      <w:lvlJc w:val="left"/>
      <w:pPr>
        <w:ind w:left="1980" w:hanging="360"/>
      </w:pPr>
      <w:rPr>
        <w:rFonts w:ascii="Wingdings" w:hAnsi="Wingdings" w:hint="default"/>
      </w:rPr>
    </w:lvl>
    <w:lvl w:ilvl="3" w:tplc="240A0001" w:tentative="1">
      <w:start w:val="1"/>
      <w:numFmt w:val="bullet"/>
      <w:lvlText w:val=""/>
      <w:lvlJc w:val="left"/>
      <w:pPr>
        <w:ind w:left="2700" w:hanging="360"/>
      </w:pPr>
      <w:rPr>
        <w:rFonts w:ascii="Symbol" w:hAnsi="Symbol" w:hint="default"/>
      </w:rPr>
    </w:lvl>
    <w:lvl w:ilvl="4" w:tplc="240A0003" w:tentative="1">
      <w:start w:val="1"/>
      <w:numFmt w:val="bullet"/>
      <w:lvlText w:val="o"/>
      <w:lvlJc w:val="left"/>
      <w:pPr>
        <w:ind w:left="3420" w:hanging="360"/>
      </w:pPr>
      <w:rPr>
        <w:rFonts w:ascii="Courier New" w:hAnsi="Courier New" w:cs="Courier New" w:hint="default"/>
      </w:rPr>
    </w:lvl>
    <w:lvl w:ilvl="5" w:tplc="240A0005" w:tentative="1">
      <w:start w:val="1"/>
      <w:numFmt w:val="bullet"/>
      <w:lvlText w:val=""/>
      <w:lvlJc w:val="left"/>
      <w:pPr>
        <w:ind w:left="4140" w:hanging="360"/>
      </w:pPr>
      <w:rPr>
        <w:rFonts w:ascii="Wingdings" w:hAnsi="Wingdings" w:hint="default"/>
      </w:rPr>
    </w:lvl>
    <w:lvl w:ilvl="6" w:tplc="240A0001" w:tentative="1">
      <w:start w:val="1"/>
      <w:numFmt w:val="bullet"/>
      <w:lvlText w:val=""/>
      <w:lvlJc w:val="left"/>
      <w:pPr>
        <w:ind w:left="4860" w:hanging="360"/>
      </w:pPr>
      <w:rPr>
        <w:rFonts w:ascii="Symbol" w:hAnsi="Symbol" w:hint="default"/>
      </w:rPr>
    </w:lvl>
    <w:lvl w:ilvl="7" w:tplc="240A0003" w:tentative="1">
      <w:start w:val="1"/>
      <w:numFmt w:val="bullet"/>
      <w:lvlText w:val="o"/>
      <w:lvlJc w:val="left"/>
      <w:pPr>
        <w:ind w:left="5580" w:hanging="360"/>
      </w:pPr>
      <w:rPr>
        <w:rFonts w:ascii="Courier New" w:hAnsi="Courier New" w:cs="Courier New" w:hint="default"/>
      </w:rPr>
    </w:lvl>
    <w:lvl w:ilvl="8" w:tplc="240A0005" w:tentative="1">
      <w:start w:val="1"/>
      <w:numFmt w:val="bullet"/>
      <w:lvlText w:val=""/>
      <w:lvlJc w:val="left"/>
      <w:pPr>
        <w:ind w:left="6300" w:hanging="360"/>
      </w:pPr>
      <w:rPr>
        <w:rFonts w:ascii="Wingdings" w:hAnsi="Wingdings" w:hint="default"/>
      </w:rPr>
    </w:lvl>
  </w:abstractNum>
  <w:abstractNum w:abstractNumId="18" w15:restartNumberingAfterBreak="0">
    <w:nsid w:val="6F2B266C"/>
    <w:multiLevelType w:val="hybridMultilevel"/>
    <w:tmpl w:val="1EC6D6F2"/>
    <w:lvl w:ilvl="0" w:tplc="38CEA5B2">
      <w:numFmt w:val="bullet"/>
      <w:lvlText w:val="•"/>
      <w:lvlJc w:val="left"/>
      <w:pPr>
        <w:ind w:left="360" w:hanging="360"/>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725181A"/>
    <w:multiLevelType w:val="hybridMultilevel"/>
    <w:tmpl w:val="BBA080A0"/>
    <w:lvl w:ilvl="0" w:tplc="38CEA5B2">
      <w:numFmt w:val="bullet"/>
      <w:lvlText w:val="•"/>
      <w:lvlJc w:val="left"/>
      <w:pPr>
        <w:ind w:left="540" w:hanging="360"/>
      </w:pPr>
      <w:rPr>
        <w:rFonts w:ascii="Verdana" w:eastAsiaTheme="minorHAnsi" w:hAnsi="Verdana" w:cstheme="minorBidi" w:hint="default"/>
      </w:rPr>
    </w:lvl>
    <w:lvl w:ilvl="1" w:tplc="240A0003" w:tentative="1">
      <w:start w:val="1"/>
      <w:numFmt w:val="bullet"/>
      <w:lvlText w:val="o"/>
      <w:lvlJc w:val="left"/>
      <w:pPr>
        <w:ind w:left="1260" w:hanging="360"/>
      </w:pPr>
      <w:rPr>
        <w:rFonts w:ascii="Courier New" w:hAnsi="Courier New" w:cs="Courier New" w:hint="default"/>
      </w:rPr>
    </w:lvl>
    <w:lvl w:ilvl="2" w:tplc="240A0005" w:tentative="1">
      <w:start w:val="1"/>
      <w:numFmt w:val="bullet"/>
      <w:lvlText w:val=""/>
      <w:lvlJc w:val="left"/>
      <w:pPr>
        <w:ind w:left="1980" w:hanging="360"/>
      </w:pPr>
      <w:rPr>
        <w:rFonts w:ascii="Wingdings" w:hAnsi="Wingdings" w:hint="default"/>
      </w:rPr>
    </w:lvl>
    <w:lvl w:ilvl="3" w:tplc="240A0001" w:tentative="1">
      <w:start w:val="1"/>
      <w:numFmt w:val="bullet"/>
      <w:lvlText w:val=""/>
      <w:lvlJc w:val="left"/>
      <w:pPr>
        <w:ind w:left="2700" w:hanging="360"/>
      </w:pPr>
      <w:rPr>
        <w:rFonts w:ascii="Symbol" w:hAnsi="Symbol" w:hint="default"/>
      </w:rPr>
    </w:lvl>
    <w:lvl w:ilvl="4" w:tplc="240A0003" w:tentative="1">
      <w:start w:val="1"/>
      <w:numFmt w:val="bullet"/>
      <w:lvlText w:val="o"/>
      <w:lvlJc w:val="left"/>
      <w:pPr>
        <w:ind w:left="3420" w:hanging="360"/>
      </w:pPr>
      <w:rPr>
        <w:rFonts w:ascii="Courier New" w:hAnsi="Courier New" w:cs="Courier New" w:hint="default"/>
      </w:rPr>
    </w:lvl>
    <w:lvl w:ilvl="5" w:tplc="240A0005" w:tentative="1">
      <w:start w:val="1"/>
      <w:numFmt w:val="bullet"/>
      <w:lvlText w:val=""/>
      <w:lvlJc w:val="left"/>
      <w:pPr>
        <w:ind w:left="4140" w:hanging="360"/>
      </w:pPr>
      <w:rPr>
        <w:rFonts w:ascii="Wingdings" w:hAnsi="Wingdings" w:hint="default"/>
      </w:rPr>
    </w:lvl>
    <w:lvl w:ilvl="6" w:tplc="240A0001" w:tentative="1">
      <w:start w:val="1"/>
      <w:numFmt w:val="bullet"/>
      <w:lvlText w:val=""/>
      <w:lvlJc w:val="left"/>
      <w:pPr>
        <w:ind w:left="4860" w:hanging="360"/>
      </w:pPr>
      <w:rPr>
        <w:rFonts w:ascii="Symbol" w:hAnsi="Symbol" w:hint="default"/>
      </w:rPr>
    </w:lvl>
    <w:lvl w:ilvl="7" w:tplc="240A0003" w:tentative="1">
      <w:start w:val="1"/>
      <w:numFmt w:val="bullet"/>
      <w:lvlText w:val="o"/>
      <w:lvlJc w:val="left"/>
      <w:pPr>
        <w:ind w:left="5580" w:hanging="360"/>
      </w:pPr>
      <w:rPr>
        <w:rFonts w:ascii="Courier New" w:hAnsi="Courier New" w:cs="Courier New" w:hint="default"/>
      </w:rPr>
    </w:lvl>
    <w:lvl w:ilvl="8" w:tplc="240A0005" w:tentative="1">
      <w:start w:val="1"/>
      <w:numFmt w:val="bullet"/>
      <w:lvlText w:val=""/>
      <w:lvlJc w:val="left"/>
      <w:pPr>
        <w:ind w:left="6300" w:hanging="360"/>
      </w:pPr>
      <w:rPr>
        <w:rFonts w:ascii="Wingdings" w:hAnsi="Wingdings" w:hint="default"/>
      </w:rPr>
    </w:lvl>
  </w:abstractNum>
  <w:abstractNum w:abstractNumId="20" w15:restartNumberingAfterBreak="0">
    <w:nsid w:val="77666164"/>
    <w:multiLevelType w:val="hybridMultilevel"/>
    <w:tmpl w:val="0B586BA0"/>
    <w:lvl w:ilvl="0" w:tplc="38CEA5B2">
      <w:numFmt w:val="bullet"/>
      <w:lvlText w:val="•"/>
      <w:lvlJc w:val="left"/>
      <w:pPr>
        <w:ind w:left="540" w:hanging="360"/>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77731327">
    <w:abstractNumId w:val="0"/>
  </w:num>
  <w:num w:numId="2" w16cid:durableId="1114592771">
    <w:abstractNumId w:val="10"/>
  </w:num>
  <w:num w:numId="3" w16cid:durableId="597564901">
    <w:abstractNumId w:val="4"/>
  </w:num>
  <w:num w:numId="4" w16cid:durableId="1625694050">
    <w:abstractNumId w:val="18"/>
  </w:num>
  <w:num w:numId="5" w16cid:durableId="1306930971">
    <w:abstractNumId w:val="16"/>
  </w:num>
  <w:num w:numId="6" w16cid:durableId="1074427890">
    <w:abstractNumId w:val="11"/>
  </w:num>
  <w:num w:numId="7" w16cid:durableId="1593778982">
    <w:abstractNumId w:val="1"/>
  </w:num>
  <w:num w:numId="8" w16cid:durableId="316693560">
    <w:abstractNumId w:val="3"/>
  </w:num>
  <w:num w:numId="9" w16cid:durableId="1347058112">
    <w:abstractNumId w:val="6"/>
  </w:num>
  <w:num w:numId="10" w16cid:durableId="440535099">
    <w:abstractNumId w:val="13"/>
  </w:num>
  <w:num w:numId="11" w16cid:durableId="1250583091">
    <w:abstractNumId w:val="20"/>
  </w:num>
  <w:num w:numId="12" w16cid:durableId="1549419610">
    <w:abstractNumId w:val="19"/>
  </w:num>
  <w:num w:numId="13" w16cid:durableId="1723017059">
    <w:abstractNumId w:val="7"/>
  </w:num>
  <w:num w:numId="14" w16cid:durableId="410857029">
    <w:abstractNumId w:val="8"/>
  </w:num>
  <w:num w:numId="15" w16cid:durableId="465245667">
    <w:abstractNumId w:val="15"/>
  </w:num>
  <w:num w:numId="16" w16cid:durableId="547187213">
    <w:abstractNumId w:val="9"/>
  </w:num>
  <w:num w:numId="17" w16cid:durableId="680860165">
    <w:abstractNumId w:val="12"/>
  </w:num>
  <w:num w:numId="18" w16cid:durableId="1342930906">
    <w:abstractNumId w:val="2"/>
  </w:num>
  <w:num w:numId="19" w16cid:durableId="388386347">
    <w:abstractNumId w:val="5"/>
  </w:num>
  <w:num w:numId="20" w16cid:durableId="322272593">
    <w:abstractNumId w:val="14"/>
  </w:num>
  <w:num w:numId="21" w16cid:durableId="120587116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F72"/>
    <w:rsid w:val="00035A6A"/>
    <w:rsid w:val="0004426F"/>
    <w:rsid w:val="00044682"/>
    <w:rsid w:val="00052023"/>
    <w:rsid w:val="000742F7"/>
    <w:rsid w:val="00076F83"/>
    <w:rsid w:val="000A3AC2"/>
    <w:rsid w:val="000A4741"/>
    <w:rsid w:val="00110AC3"/>
    <w:rsid w:val="00115F72"/>
    <w:rsid w:val="0014340D"/>
    <w:rsid w:val="00144277"/>
    <w:rsid w:val="00145E9E"/>
    <w:rsid w:val="001463AA"/>
    <w:rsid w:val="00174820"/>
    <w:rsid w:val="001773B8"/>
    <w:rsid w:val="00180E45"/>
    <w:rsid w:val="001910B8"/>
    <w:rsid w:val="001B1C7D"/>
    <w:rsid w:val="001B1DB0"/>
    <w:rsid w:val="001B6EB9"/>
    <w:rsid w:val="001C125F"/>
    <w:rsid w:val="001F7D6F"/>
    <w:rsid w:val="00221F28"/>
    <w:rsid w:val="00227DD1"/>
    <w:rsid w:val="002416E5"/>
    <w:rsid w:val="00247A3A"/>
    <w:rsid w:val="00275958"/>
    <w:rsid w:val="00277234"/>
    <w:rsid w:val="0028179D"/>
    <w:rsid w:val="00284F8D"/>
    <w:rsid w:val="00292AC7"/>
    <w:rsid w:val="002A0AEC"/>
    <w:rsid w:val="002C1285"/>
    <w:rsid w:val="002C1333"/>
    <w:rsid w:val="002E1B1F"/>
    <w:rsid w:val="00300476"/>
    <w:rsid w:val="0032046E"/>
    <w:rsid w:val="00327EC2"/>
    <w:rsid w:val="003317A0"/>
    <w:rsid w:val="003345B9"/>
    <w:rsid w:val="00334FAA"/>
    <w:rsid w:val="003357C2"/>
    <w:rsid w:val="00362B05"/>
    <w:rsid w:val="0037387C"/>
    <w:rsid w:val="0038498E"/>
    <w:rsid w:val="00387C44"/>
    <w:rsid w:val="00390E94"/>
    <w:rsid w:val="003A6664"/>
    <w:rsid w:val="003B28FF"/>
    <w:rsid w:val="003E584B"/>
    <w:rsid w:val="003E7613"/>
    <w:rsid w:val="003F30E9"/>
    <w:rsid w:val="003F62ED"/>
    <w:rsid w:val="00405CFC"/>
    <w:rsid w:val="00416C24"/>
    <w:rsid w:val="00425FC2"/>
    <w:rsid w:val="00426407"/>
    <w:rsid w:val="00431D62"/>
    <w:rsid w:val="00435493"/>
    <w:rsid w:val="00491271"/>
    <w:rsid w:val="004928E3"/>
    <w:rsid w:val="004B7527"/>
    <w:rsid w:val="004D1507"/>
    <w:rsid w:val="004D3612"/>
    <w:rsid w:val="004D4D67"/>
    <w:rsid w:val="005006E6"/>
    <w:rsid w:val="00503357"/>
    <w:rsid w:val="00514FD7"/>
    <w:rsid w:val="005162F5"/>
    <w:rsid w:val="00523604"/>
    <w:rsid w:val="005469FD"/>
    <w:rsid w:val="00560281"/>
    <w:rsid w:val="005676F8"/>
    <w:rsid w:val="0059455B"/>
    <w:rsid w:val="005C168F"/>
    <w:rsid w:val="005C4381"/>
    <w:rsid w:val="005C7CD8"/>
    <w:rsid w:val="005D2F48"/>
    <w:rsid w:val="005D6415"/>
    <w:rsid w:val="005E417F"/>
    <w:rsid w:val="006005FB"/>
    <w:rsid w:val="00611EC9"/>
    <w:rsid w:val="006350A9"/>
    <w:rsid w:val="00637F6B"/>
    <w:rsid w:val="006609B3"/>
    <w:rsid w:val="0067413D"/>
    <w:rsid w:val="006912B4"/>
    <w:rsid w:val="006C1B91"/>
    <w:rsid w:val="006F7E37"/>
    <w:rsid w:val="0071183E"/>
    <w:rsid w:val="00736CBA"/>
    <w:rsid w:val="007443C2"/>
    <w:rsid w:val="007578C9"/>
    <w:rsid w:val="00771C02"/>
    <w:rsid w:val="007749E1"/>
    <w:rsid w:val="00794FFE"/>
    <w:rsid w:val="00795097"/>
    <w:rsid w:val="007970A8"/>
    <w:rsid w:val="007971ED"/>
    <w:rsid w:val="007A298A"/>
    <w:rsid w:val="007B3770"/>
    <w:rsid w:val="007C5CE3"/>
    <w:rsid w:val="007D3DC9"/>
    <w:rsid w:val="007F1F13"/>
    <w:rsid w:val="00840A22"/>
    <w:rsid w:val="00842561"/>
    <w:rsid w:val="00842567"/>
    <w:rsid w:val="008564B4"/>
    <w:rsid w:val="00857E25"/>
    <w:rsid w:val="0086218A"/>
    <w:rsid w:val="00864EA0"/>
    <w:rsid w:val="00867ECD"/>
    <w:rsid w:val="008703FF"/>
    <w:rsid w:val="0087354A"/>
    <w:rsid w:val="008872B5"/>
    <w:rsid w:val="0089562A"/>
    <w:rsid w:val="008B4E78"/>
    <w:rsid w:val="008B7AB3"/>
    <w:rsid w:val="008D02C6"/>
    <w:rsid w:val="008D5473"/>
    <w:rsid w:val="008E4015"/>
    <w:rsid w:val="008F05C7"/>
    <w:rsid w:val="00933173"/>
    <w:rsid w:val="0096196E"/>
    <w:rsid w:val="00984469"/>
    <w:rsid w:val="00992220"/>
    <w:rsid w:val="00997F7E"/>
    <w:rsid w:val="009B15BF"/>
    <w:rsid w:val="009B186E"/>
    <w:rsid w:val="009C136E"/>
    <w:rsid w:val="009C56D3"/>
    <w:rsid w:val="009D392F"/>
    <w:rsid w:val="009D3932"/>
    <w:rsid w:val="009D6F29"/>
    <w:rsid w:val="009E4FC2"/>
    <w:rsid w:val="00A00020"/>
    <w:rsid w:val="00A001F1"/>
    <w:rsid w:val="00A032A0"/>
    <w:rsid w:val="00A226E3"/>
    <w:rsid w:val="00A2416E"/>
    <w:rsid w:val="00A4463A"/>
    <w:rsid w:val="00A44DEB"/>
    <w:rsid w:val="00A62272"/>
    <w:rsid w:val="00A62F48"/>
    <w:rsid w:val="00A73DF4"/>
    <w:rsid w:val="00AA7223"/>
    <w:rsid w:val="00AE4447"/>
    <w:rsid w:val="00AF11BE"/>
    <w:rsid w:val="00B06441"/>
    <w:rsid w:val="00B1725D"/>
    <w:rsid w:val="00B52F4A"/>
    <w:rsid w:val="00B5339F"/>
    <w:rsid w:val="00B60979"/>
    <w:rsid w:val="00B66785"/>
    <w:rsid w:val="00B67C27"/>
    <w:rsid w:val="00B87AF4"/>
    <w:rsid w:val="00BA49C9"/>
    <w:rsid w:val="00BA7084"/>
    <w:rsid w:val="00BB451F"/>
    <w:rsid w:val="00BB7EDC"/>
    <w:rsid w:val="00BC195E"/>
    <w:rsid w:val="00BC79AA"/>
    <w:rsid w:val="00C0746C"/>
    <w:rsid w:val="00C13411"/>
    <w:rsid w:val="00C17AA7"/>
    <w:rsid w:val="00C33296"/>
    <w:rsid w:val="00C3700C"/>
    <w:rsid w:val="00C547AF"/>
    <w:rsid w:val="00C553E9"/>
    <w:rsid w:val="00C577FC"/>
    <w:rsid w:val="00C702E0"/>
    <w:rsid w:val="00C75F2C"/>
    <w:rsid w:val="00C935CD"/>
    <w:rsid w:val="00CA5B84"/>
    <w:rsid w:val="00CC5FEC"/>
    <w:rsid w:val="00CD7310"/>
    <w:rsid w:val="00CF07DA"/>
    <w:rsid w:val="00CF2F34"/>
    <w:rsid w:val="00CF5399"/>
    <w:rsid w:val="00D14B69"/>
    <w:rsid w:val="00D16307"/>
    <w:rsid w:val="00D345F2"/>
    <w:rsid w:val="00D410AB"/>
    <w:rsid w:val="00D454E9"/>
    <w:rsid w:val="00D45E53"/>
    <w:rsid w:val="00D64552"/>
    <w:rsid w:val="00D7496C"/>
    <w:rsid w:val="00D764B9"/>
    <w:rsid w:val="00D955D7"/>
    <w:rsid w:val="00D95C07"/>
    <w:rsid w:val="00D97769"/>
    <w:rsid w:val="00DA2D24"/>
    <w:rsid w:val="00DB7800"/>
    <w:rsid w:val="00DC26BE"/>
    <w:rsid w:val="00DC7126"/>
    <w:rsid w:val="00DC7C84"/>
    <w:rsid w:val="00DD282D"/>
    <w:rsid w:val="00DE04CD"/>
    <w:rsid w:val="00DE4F97"/>
    <w:rsid w:val="00DE684B"/>
    <w:rsid w:val="00DF583C"/>
    <w:rsid w:val="00E1127F"/>
    <w:rsid w:val="00E143F0"/>
    <w:rsid w:val="00E15D68"/>
    <w:rsid w:val="00E460EC"/>
    <w:rsid w:val="00E66DA1"/>
    <w:rsid w:val="00E70F05"/>
    <w:rsid w:val="00E74F57"/>
    <w:rsid w:val="00E81BEB"/>
    <w:rsid w:val="00E903FD"/>
    <w:rsid w:val="00EC097A"/>
    <w:rsid w:val="00EE6211"/>
    <w:rsid w:val="00F100CC"/>
    <w:rsid w:val="00F446DD"/>
    <w:rsid w:val="00F46449"/>
    <w:rsid w:val="00F52BE0"/>
    <w:rsid w:val="00F57C0A"/>
    <w:rsid w:val="00F86441"/>
    <w:rsid w:val="00F9511B"/>
    <w:rsid w:val="00F95389"/>
    <w:rsid w:val="00F96F8B"/>
    <w:rsid w:val="00F979CC"/>
    <w:rsid w:val="00FA77CF"/>
    <w:rsid w:val="00FD727B"/>
    <w:rsid w:val="00FE2C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4448B"/>
  <w15:chartTrackingRefBased/>
  <w15:docId w15:val="{D8021867-C049-4E08-B7B6-6EC4CCEB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5F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5F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5F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5F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5F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5F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5F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5F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5F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F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5F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5F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5F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5F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5F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5F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5F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5F72"/>
    <w:rPr>
      <w:rFonts w:eastAsiaTheme="majorEastAsia" w:cstheme="majorBidi"/>
      <w:color w:val="272727" w:themeColor="text1" w:themeTint="D8"/>
    </w:rPr>
  </w:style>
  <w:style w:type="paragraph" w:styleId="Title">
    <w:name w:val="Title"/>
    <w:basedOn w:val="Normal"/>
    <w:next w:val="Normal"/>
    <w:link w:val="TitleChar"/>
    <w:uiPriority w:val="10"/>
    <w:qFormat/>
    <w:rsid w:val="00115F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5F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5F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5F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5F72"/>
    <w:pPr>
      <w:spacing w:before="160"/>
      <w:jc w:val="center"/>
    </w:pPr>
    <w:rPr>
      <w:i/>
      <w:iCs/>
      <w:color w:val="404040" w:themeColor="text1" w:themeTint="BF"/>
    </w:rPr>
  </w:style>
  <w:style w:type="character" w:customStyle="1" w:styleId="QuoteChar">
    <w:name w:val="Quote Char"/>
    <w:basedOn w:val="DefaultParagraphFont"/>
    <w:link w:val="Quote"/>
    <w:uiPriority w:val="29"/>
    <w:rsid w:val="00115F72"/>
    <w:rPr>
      <w:i/>
      <w:iCs/>
      <w:color w:val="404040" w:themeColor="text1" w:themeTint="BF"/>
    </w:rPr>
  </w:style>
  <w:style w:type="paragraph" w:styleId="ListParagraph">
    <w:name w:val="List Paragraph"/>
    <w:basedOn w:val="Normal"/>
    <w:uiPriority w:val="34"/>
    <w:qFormat/>
    <w:rsid w:val="00115F72"/>
    <w:pPr>
      <w:ind w:left="720"/>
      <w:contextualSpacing/>
    </w:pPr>
  </w:style>
  <w:style w:type="character" w:styleId="IntenseEmphasis">
    <w:name w:val="Intense Emphasis"/>
    <w:basedOn w:val="DefaultParagraphFont"/>
    <w:uiPriority w:val="21"/>
    <w:qFormat/>
    <w:rsid w:val="00115F72"/>
    <w:rPr>
      <w:i/>
      <w:iCs/>
      <w:color w:val="0F4761" w:themeColor="accent1" w:themeShade="BF"/>
    </w:rPr>
  </w:style>
  <w:style w:type="paragraph" w:styleId="IntenseQuote">
    <w:name w:val="Intense Quote"/>
    <w:basedOn w:val="Normal"/>
    <w:next w:val="Normal"/>
    <w:link w:val="IntenseQuoteChar"/>
    <w:uiPriority w:val="30"/>
    <w:qFormat/>
    <w:rsid w:val="00115F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5F72"/>
    <w:rPr>
      <w:i/>
      <w:iCs/>
      <w:color w:val="0F4761" w:themeColor="accent1" w:themeShade="BF"/>
    </w:rPr>
  </w:style>
  <w:style w:type="character" w:styleId="IntenseReference">
    <w:name w:val="Intense Reference"/>
    <w:basedOn w:val="DefaultParagraphFont"/>
    <w:uiPriority w:val="32"/>
    <w:qFormat/>
    <w:rsid w:val="00115F72"/>
    <w:rPr>
      <w:b/>
      <w:bCs/>
      <w:smallCaps/>
      <w:color w:val="0F4761" w:themeColor="accent1" w:themeShade="BF"/>
      <w:spacing w:val="5"/>
    </w:rPr>
  </w:style>
  <w:style w:type="paragraph" w:styleId="FootnoteText">
    <w:name w:val="footnote text"/>
    <w:basedOn w:val="Normal"/>
    <w:link w:val="FootnoteTextChar"/>
    <w:uiPriority w:val="99"/>
    <w:semiHidden/>
    <w:unhideWhenUsed/>
    <w:rsid w:val="004D36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3612"/>
    <w:rPr>
      <w:sz w:val="20"/>
      <w:szCs w:val="20"/>
    </w:rPr>
  </w:style>
  <w:style w:type="character" w:styleId="FootnoteReference">
    <w:name w:val="footnote reference"/>
    <w:basedOn w:val="DefaultParagraphFont"/>
    <w:uiPriority w:val="99"/>
    <w:semiHidden/>
    <w:unhideWhenUsed/>
    <w:rsid w:val="004D3612"/>
    <w:rPr>
      <w:vertAlign w:val="superscript"/>
    </w:rPr>
  </w:style>
  <w:style w:type="paragraph" w:styleId="Header">
    <w:name w:val="header"/>
    <w:basedOn w:val="Normal"/>
    <w:link w:val="HeaderChar"/>
    <w:uiPriority w:val="99"/>
    <w:unhideWhenUsed/>
    <w:rsid w:val="008D5473"/>
    <w:pPr>
      <w:tabs>
        <w:tab w:val="center" w:pos="4419"/>
        <w:tab w:val="right" w:pos="8838"/>
      </w:tabs>
      <w:spacing w:after="0" w:line="240" w:lineRule="auto"/>
    </w:pPr>
  </w:style>
  <w:style w:type="character" w:customStyle="1" w:styleId="HeaderChar">
    <w:name w:val="Header Char"/>
    <w:basedOn w:val="DefaultParagraphFont"/>
    <w:link w:val="Header"/>
    <w:uiPriority w:val="99"/>
    <w:rsid w:val="008D5473"/>
  </w:style>
  <w:style w:type="paragraph" w:styleId="Footer">
    <w:name w:val="footer"/>
    <w:basedOn w:val="Normal"/>
    <w:link w:val="FooterChar"/>
    <w:uiPriority w:val="99"/>
    <w:unhideWhenUsed/>
    <w:rsid w:val="008D5473"/>
    <w:pPr>
      <w:tabs>
        <w:tab w:val="center" w:pos="4419"/>
        <w:tab w:val="right" w:pos="8838"/>
      </w:tabs>
      <w:spacing w:after="0" w:line="240" w:lineRule="auto"/>
    </w:pPr>
  </w:style>
  <w:style w:type="character" w:customStyle="1" w:styleId="FooterChar">
    <w:name w:val="Footer Char"/>
    <w:basedOn w:val="DefaultParagraphFont"/>
    <w:link w:val="Footer"/>
    <w:uiPriority w:val="99"/>
    <w:rsid w:val="008D5473"/>
  </w:style>
  <w:style w:type="character" w:styleId="Hyperlink">
    <w:name w:val="Hyperlink"/>
    <w:basedOn w:val="DefaultParagraphFont"/>
    <w:uiPriority w:val="99"/>
    <w:unhideWhenUsed/>
    <w:rsid w:val="00C3700C"/>
    <w:rPr>
      <w:color w:val="467886" w:themeColor="hyperlink"/>
      <w:u w:val="single"/>
    </w:rPr>
  </w:style>
  <w:style w:type="character" w:styleId="UnresolvedMention">
    <w:name w:val="Unresolved Mention"/>
    <w:basedOn w:val="DefaultParagraphFont"/>
    <w:uiPriority w:val="99"/>
    <w:semiHidden/>
    <w:unhideWhenUsed/>
    <w:rsid w:val="00C37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soescuento" TargetMode="Externa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2026-08-18T10:54:38+00:00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8899416-A52C-4EAF-A4A9-B86BD8DBBBE1}">
  <ds:schemaRefs>
    <ds:schemaRef ds:uri="http://schemas.openxmlformats.org/officeDocument/2006/bibliography"/>
  </ds:schemaRefs>
</ds:datastoreItem>
</file>

<file path=customXml/itemProps2.xml><?xml version="1.0" encoding="utf-8"?>
<ds:datastoreItem xmlns:ds="http://schemas.openxmlformats.org/officeDocument/2006/customXml" ds:itemID="{FAEE8568-18D3-4955-BC9A-05C9BC10F3E6}"/>
</file>

<file path=customXml/itemProps3.xml><?xml version="1.0" encoding="utf-8"?>
<ds:datastoreItem xmlns:ds="http://schemas.openxmlformats.org/officeDocument/2006/customXml" ds:itemID="{E36E94A8-E70C-42E0-9C9C-AB9BD3FE490D}"/>
</file>

<file path=customXml/itemProps4.xml><?xml version="1.0" encoding="utf-8"?>
<ds:datastoreItem xmlns:ds="http://schemas.openxmlformats.org/officeDocument/2006/customXml" ds:itemID="{8885EDFC-F948-49F9-82B6-E5766CC19386}"/>
</file>

<file path=docProps/app.xml><?xml version="1.0" encoding="utf-8"?>
<Properties xmlns="http://schemas.openxmlformats.org/officeDocument/2006/extended-properties" xmlns:vt="http://schemas.openxmlformats.org/officeDocument/2006/docPropsVTypes">
  <Template>Normal</Template>
  <TotalTime>436</TotalTime>
  <Pages>1</Pages>
  <Words>29625</Words>
  <Characters>168866</Characters>
  <Application>Microsoft Office Word</Application>
  <DocSecurity>0</DocSecurity>
  <Lines>1407</Lines>
  <Paragraphs>396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PAULA CAMARGO MOLANO</dc:creator>
  <cp:keywords/>
  <dc:description/>
  <cp:lastModifiedBy>YESID ANDRES SERRANO ALARCON</cp:lastModifiedBy>
  <cp:revision>224</cp:revision>
  <dcterms:created xsi:type="dcterms:W3CDTF">2026-07-23T18:39:00Z</dcterms:created>
  <dcterms:modified xsi:type="dcterms:W3CDTF">2026-07-28T05:19:00Z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