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71156AB2" w14:textId="77777777" w:rsidR="00765076" w:rsidRPr="00BF7254" w:rsidRDefault="00765076" w:rsidP="00765076">
      <w:pPr>
        <w:pStyle w:val="EinfacherAbsatz"/>
        <w:spacing w:line="240" w:lineRule="auto"/>
        <w:jc w:val="center"/>
        <w:rPr>
          <w:rFonts w:ascii="Arial Black" w:eastAsia="ColossalisBold" w:hAnsi="Arial Black" w:cs="Arial"/>
          <w:b/>
          <w:bCs/>
          <w:color w:val="5E175E"/>
          <w:spacing w:val="16"/>
          <w:w w:val="97"/>
          <w:kern w:val="60"/>
          <w:sz w:val="63"/>
          <w:szCs w:val="63"/>
          <w:lang w:val="en-GB"/>
        </w:rPr>
      </w:pPr>
      <w:bookmarkStart w:id="0" w:name="_top"/>
      <w:bookmarkEnd w:id="0"/>
      <w:r w:rsidRPr="00BF7254">
        <w:rPr>
          <w:rFonts w:ascii="Arial Black" w:eastAsia="ColossalisBold" w:hAnsi="Arial Black" w:cs="Arial"/>
          <w:b/>
          <w:bCs/>
          <w:color w:val="5E175E"/>
          <w:spacing w:val="18"/>
          <w:w w:val="97"/>
          <w:kern w:val="60"/>
          <w:sz w:val="63"/>
          <w:szCs w:val="63"/>
          <w:lang w:val="en-GB"/>
        </w:rPr>
        <w:t>Intersex Genital Mutilation</w:t>
      </w:r>
    </w:p>
    <w:p w14:paraId="5DAB1218" w14:textId="77777777" w:rsidR="00765076" w:rsidRPr="00BF7254" w:rsidRDefault="00765076" w:rsidP="00765076">
      <w:pPr>
        <w:pStyle w:val="EinfacherAbsatz"/>
        <w:spacing w:line="240" w:lineRule="auto"/>
        <w:jc w:val="center"/>
        <w:rPr>
          <w:rFonts w:ascii="Arial Black" w:eastAsia="ColossalisBold" w:hAnsi="Arial Black" w:cs="Arial"/>
          <w:b/>
          <w:bCs/>
          <w:color w:val="5E175E"/>
          <w:spacing w:val="20"/>
          <w:w w:val="103"/>
          <w:sz w:val="42"/>
          <w:szCs w:val="42"/>
          <w:lang w:val="en-GB"/>
        </w:rPr>
      </w:pPr>
      <w:r w:rsidRPr="00BF7254">
        <w:rPr>
          <w:rFonts w:ascii="Arial Black" w:eastAsia="ColossalisBold" w:hAnsi="Arial Black" w:cs="Arial"/>
          <w:b/>
          <w:bCs/>
          <w:color w:val="5E175E"/>
          <w:spacing w:val="20"/>
          <w:w w:val="103"/>
          <w:sz w:val="42"/>
          <w:szCs w:val="42"/>
          <w:lang w:val="en-GB"/>
        </w:rPr>
        <w:t xml:space="preserve">Human Rights </w:t>
      </w:r>
      <w:r w:rsidRPr="00BF7254">
        <w:rPr>
          <w:rFonts w:ascii="Arial Black" w:eastAsia="ColossalisBold" w:hAnsi="Arial Black" w:cs="Arial"/>
          <w:b/>
          <w:bCs/>
          <w:color w:val="5E175E"/>
          <w:spacing w:val="20"/>
          <w:w w:val="103"/>
          <w:kern w:val="44"/>
          <w:sz w:val="42"/>
          <w:szCs w:val="42"/>
          <w:lang w:val="en-GB"/>
        </w:rPr>
        <w:t>Violations</w:t>
      </w:r>
      <w:r w:rsidRPr="00BF7254">
        <w:rPr>
          <w:rFonts w:ascii="Arial Black" w:eastAsia="ColossalisBold" w:hAnsi="Arial Black" w:cs="Arial"/>
          <w:b/>
          <w:bCs/>
          <w:color w:val="5E175E"/>
          <w:spacing w:val="20"/>
          <w:w w:val="103"/>
          <w:sz w:val="42"/>
          <w:szCs w:val="42"/>
          <w:lang w:val="en-GB"/>
        </w:rPr>
        <w:t xml:space="preserve"> Of Children</w:t>
      </w:r>
    </w:p>
    <w:p w14:paraId="06E1FE0F" w14:textId="77777777" w:rsidR="00765076" w:rsidRPr="00BF7254" w:rsidRDefault="00765076" w:rsidP="00765076">
      <w:pPr>
        <w:pStyle w:val="EinfacherAbsatz"/>
        <w:spacing w:line="240" w:lineRule="auto"/>
        <w:jc w:val="center"/>
        <w:rPr>
          <w:rFonts w:ascii="Arial Black" w:eastAsia="ColossalisBold" w:hAnsi="Arial Black" w:cs="Arial"/>
          <w:b/>
          <w:bCs/>
          <w:color w:val="5E175E"/>
          <w:spacing w:val="20"/>
          <w:w w:val="98"/>
          <w:kern w:val="44"/>
          <w:sz w:val="38"/>
          <w:szCs w:val="38"/>
          <w:lang w:val="en-GB"/>
        </w:rPr>
      </w:pPr>
      <w:r w:rsidRPr="00BF7254">
        <w:rPr>
          <w:rFonts w:ascii="Arial Black" w:eastAsia="ColossalisBold" w:hAnsi="Arial Black" w:cs="Arial"/>
          <w:b/>
          <w:bCs/>
          <w:color w:val="5E175E"/>
          <w:spacing w:val="20"/>
          <w:w w:val="98"/>
          <w:kern w:val="44"/>
          <w:sz w:val="38"/>
          <w:szCs w:val="38"/>
          <w:lang w:val="en-GB"/>
        </w:rPr>
        <w:t>With Variations Of Reproductive Anatomy</w:t>
      </w:r>
    </w:p>
    <w:p w14:paraId="25FC7766" w14:textId="77777777" w:rsidR="000574A2" w:rsidRPr="00AE3251" w:rsidRDefault="000574A2" w:rsidP="000574A2">
      <w:pPr>
        <w:pStyle w:val="EinfacherAbsatz"/>
        <w:spacing w:line="240" w:lineRule="auto"/>
        <w:rPr>
          <w:rFonts w:ascii="Arial" w:eastAsia="ColossalisBold" w:hAnsi="Arial" w:cs="Arial"/>
          <w:color w:val="5E175E"/>
          <w:spacing w:val="11"/>
          <w:w w:val="95"/>
          <w:sz w:val="44"/>
          <w:szCs w:val="44"/>
          <w:lang w:val="en-GB"/>
        </w:rPr>
      </w:pPr>
    </w:p>
    <w:p w14:paraId="617D41A5" w14:textId="77777777" w:rsidR="000574A2" w:rsidRPr="00AE3251" w:rsidRDefault="000574A2" w:rsidP="000574A2">
      <w:pPr>
        <w:pStyle w:val="EinfacherAbsatz"/>
        <w:spacing w:line="240" w:lineRule="auto"/>
        <w:rPr>
          <w:rFonts w:ascii="Arial" w:eastAsia="ColossalisBold" w:hAnsi="Arial" w:cs="Arial"/>
          <w:color w:val="5E175E"/>
          <w:spacing w:val="11"/>
          <w:w w:val="95"/>
          <w:sz w:val="44"/>
          <w:szCs w:val="44"/>
          <w:lang w:val="en-GB"/>
        </w:rPr>
      </w:pPr>
    </w:p>
    <w:p w14:paraId="2EF3AEE0" w14:textId="6E95FB72" w:rsidR="00366508" w:rsidRPr="00E3158E" w:rsidRDefault="00A925E6" w:rsidP="00366508">
      <w:pPr>
        <w:pStyle w:val="EinfacherAbsatz"/>
        <w:spacing w:line="240" w:lineRule="auto"/>
        <w:jc w:val="center"/>
        <w:rPr>
          <w:rFonts w:ascii="Arial" w:eastAsia="ColossalisBold" w:hAnsi="Arial" w:cs="Arial"/>
          <w:b/>
          <w:bCs/>
          <w:color w:val="5E175E"/>
          <w:spacing w:val="11"/>
          <w:w w:val="95"/>
          <w:sz w:val="30"/>
          <w:szCs w:val="30"/>
          <w:lang w:val="en-GB"/>
        </w:rPr>
      </w:pPr>
      <w:r w:rsidRPr="00E714A1">
        <w:rPr>
          <w:rFonts w:ascii="Times New Roman" w:hAnsi="Times New Roman" w:cs="Times New Roman"/>
          <w:b/>
          <w:noProof/>
          <w:color w:val="5E175E"/>
          <w:spacing w:val="11"/>
          <w:w w:val="95"/>
          <w:sz w:val="30"/>
          <w:szCs w:val="30"/>
          <w:lang w:val="de-CH" w:eastAsia="de-CH" w:bidi="ar-SA"/>
        </w:rPr>
        <w:drawing>
          <wp:inline distT="0" distB="0" distL="0" distR="0" wp14:anchorId="0ADC28F9" wp14:editId="3B1C82F1">
            <wp:extent cx="4319270" cy="5262880"/>
            <wp:effectExtent l="0" t="0" r="0" b="0"/>
            <wp:docPr id="6" name="Bild 9" descr="Human Rights for Hermaphrodites Too!" title="Logo StopIGM.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9270" cy="5262880"/>
                    </a:xfrm>
                    <a:prstGeom prst="rect">
                      <a:avLst/>
                    </a:prstGeom>
                    <a:solidFill>
                      <a:srgbClr val="FFFFFF"/>
                    </a:solidFill>
                    <a:ln>
                      <a:noFill/>
                    </a:ln>
                  </pic:spPr>
                </pic:pic>
              </a:graphicData>
            </a:graphic>
          </wp:inline>
        </w:drawing>
      </w:r>
    </w:p>
    <w:p w14:paraId="18C04344" w14:textId="77777777" w:rsidR="000574A2" w:rsidRPr="00AE3251" w:rsidRDefault="000574A2" w:rsidP="000574A2">
      <w:pPr>
        <w:pStyle w:val="EinfacherAbsatz"/>
        <w:spacing w:line="240" w:lineRule="auto"/>
        <w:rPr>
          <w:rFonts w:ascii="Arial" w:eastAsia="ColossalisBold" w:hAnsi="Arial" w:cs="Arial"/>
          <w:color w:val="5E175E"/>
          <w:spacing w:val="11"/>
          <w:w w:val="95"/>
          <w:sz w:val="44"/>
          <w:szCs w:val="44"/>
          <w:lang w:val="en-GB"/>
        </w:rPr>
      </w:pPr>
    </w:p>
    <w:p w14:paraId="22E154CE" w14:textId="77777777" w:rsidR="000574A2" w:rsidRPr="00AE3251" w:rsidRDefault="000574A2" w:rsidP="000574A2">
      <w:pPr>
        <w:pStyle w:val="EinfacherAbsatz"/>
        <w:spacing w:line="240" w:lineRule="auto"/>
        <w:rPr>
          <w:rFonts w:ascii="Arial" w:eastAsia="ColossalisBold" w:hAnsi="Arial" w:cs="Arial"/>
          <w:color w:val="5E175E"/>
          <w:spacing w:val="11"/>
          <w:w w:val="95"/>
          <w:sz w:val="44"/>
          <w:szCs w:val="44"/>
          <w:lang w:val="en-GB"/>
        </w:rPr>
      </w:pPr>
    </w:p>
    <w:p w14:paraId="397F3927" w14:textId="770A3EE0" w:rsidR="000574A2" w:rsidRPr="00AE3251" w:rsidRDefault="000574A2" w:rsidP="000574A2">
      <w:pPr>
        <w:pStyle w:val="EinfacherAbsatz"/>
        <w:spacing w:line="240" w:lineRule="auto"/>
        <w:rPr>
          <w:rFonts w:ascii="Arial Black" w:eastAsia="ColossalisBold" w:hAnsi="Arial Black" w:cs="Arial"/>
          <w:bCs/>
          <w:color w:val="5E175E"/>
          <w:spacing w:val="4"/>
          <w:w w:val="92"/>
          <w:kern w:val="36"/>
          <w:sz w:val="36"/>
          <w:szCs w:val="36"/>
          <w:lang w:val="en-GB"/>
        </w:rPr>
      </w:pPr>
      <w:r w:rsidRPr="00AE3251">
        <w:rPr>
          <w:rFonts w:ascii="Arial Black" w:eastAsia="ColossalisBold" w:hAnsi="Arial Black" w:cs="Arial"/>
          <w:b/>
          <w:bCs/>
          <w:color w:val="5E175E"/>
          <w:spacing w:val="4"/>
          <w:w w:val="92"/>
          <w:kern w:val="36"/>
          <w:sz w:val="42"/>
          <w:szCs w:val="42"/>
          <w:lang w:val="en-GB"/>
        </w:rPr>
        <w:t xml:space="preserve">NGO Report (for </w:t>
      </w:r>
      <w:r w:rsidR="008D5CC2">
        <w:rPr>
          <w:rFonts w:ascii="Arial Black" w:eastAsia="ColossalisBold" w:hAnsi="Arial Black" w:cs="Arial"/>
          <w:b/>
          <w:bCs/>
          <w:color w:val="5E175E"/>
          <w:spacing w:val="4"/>
          <w:w w:val="92"/>
          <w:kern w:val="36"/>
          <w:sz w:val="42"/>
          <w:szCs w:val="42"/>
          <w:lang w:val="en-GB"/>
        </w:rPr>
        <w:t>Session</w:t>
      </w:r>
      <w:r w:rsidRPr="00AE3251">
        <w:rPr>
          <w:rFonts w:ascii="Arial Black" w:eastAsia="ColossalisBold" w:hAnsi="Arial Black" w:cs="Arial"/>
          <w:b/>
          <w:bCs/>
          <w:color w:val="5E175E"/>
          <w:spacing w:val="4"/>
          <w:w w:val="92"/>
          <w:kern w:val="36"/>
          <w:sz w:val="42"/>
          <w:szCs w:val="42"/>
          <w:lang w:val="en-GB"/>
        </w:rPr>
        <w:t>)</w:t>
      </w:r>
      <w:r w:rsidRPr="00AE3251">
        <w:rPr>
          <w:rFonts w:ascii="Arial Black" w:eastAsia="ColossalisBold" w:hAnsi="Arial Black" w:cs="Arial"/>
          <w:b/>
          <w:bCs/>
          <w:color w:val="5E175E"/>
          <w:spacing w:val="4"/>
          <w:w w:val="92"/>
          <w:kern w:val="36"/>
          <w:sz w:val="42"/>
          <w:szCs w:val="42"/>
          <w:lang w:val="en-GB"/>
        </w:rPr>
        <w:br/>
        <w:t xml:space="preserve">to the </w:t>
      </w:r>
      <w:r w:rsidR="008D5CC2">
        <w:rPr>
          <w:rFonts w:ascii="Arial Black" w:eastAsia="ColossalisBold" w:hAnsi="Arial Black" w:cs="Arial"/>
          <w:b/>
          <w:bCs/>
          <w:color w:val="5E175E"/>
          <w:spacing w:val="4"/>
          <w:w w:val="92"/>
          <w:kern w:val="36"/>
          <w:sz w:val="42"/>
          <w:szCs w:val="42"/>
          <w:lang w:val="en-GB"/>
        </w:rPr>
        <w:t>6</w:t>
      </w:r>
      <w:r w:rsidR="008D5CC2" w:rsidRPr="008D5CC2">
        <w:rPr>
          <w:rFonts w:ascii="Arial Black" w:eastAsia="ColossalisBold" w:hAnsi="Arial Black" w:cs="Arial"/>
          <w:b/>
          <w:bCs/>
          <w:color w:val="5E175E"/>
          <w:spacing w:val="4"/>
          <w:w w:val="92"/>
          <w:kern w:val="36"/>
          <w:sz w:val="42"/>
          <w:szCs w:val="42"/>
          <w:vertAlign w:val="superscript"/>
          <w:lang w:val="en-GB"/>
        </w:rPr>
        <w:t>th</w:t>
      </w:r>
      <w:r w:rsidRPr="00AE3251">
        <w:rPr>
          <w:rFonts w:ascii="Arial Black" w:eastAsia="ColossalisBold" w:hAnsi="Arial Black" w:cs="Arial"/>
          <w:b/>
          <w:bCs/>
          <w:color w:val="5E175E"/>
          <w:spacing w:val="4"/>
          <w:w w:val="92"/>
          <w:kern w:val="36"/>
          <w:sz w:val="42"/>
          <w:szCs w:val="42"/>
          <w:lang w:val="en-GB"/>
        </w:rPr>
        <w:t xml:space="preserve"> Report of </w:t>
      </w:r>
      <w:r w:rsidR="008D5CC2">
        <w:rPr>
          <w:rFonts w:ascii="Arial Black" w:eastAsia="ColossalisBold" w:hAnsi="Arial Black" w:cs="Arial"/>
          <w:b/>
          <w:bCs/>
          <w:color w:val="5E175E"/>
          <w:spacing w:val="4"/>
          <w:w w:val="92"/>
          <w:kern w:val="36"/>
          <w:sz w:val="42"/>
          <w:szCs w:val="42"/>
          <w:lang w:val="en-GB"/>
        </w:rPr>
        <w:t xml:space="preserve">Iceland </w:t>
      </w:r>
      <w:r w:rsidRPr="00AE3251">
        <w:rPr>
          <w:rFonts w:ascii="Arial Black" w:eastAsia="ColossalisBold" w:hAnsi="Arial Black" w:cs="Arial"/>
          <w:b/>
          <w:bCs/>
          <w:color w:val="5E175E"/>
          <w:spacing w:val="4"/>
          <w:w w:val="92"/>
          <w:kern w:val="36"/>
          <w:sz w:val="42"/>
          <w:szCs w:val="42"/>
          <w:lang w:val="en-GB"/>
        </w:rPr>
        <w:t>on the</w:t>
      </w:r>
      <w:r w:rsidRPr="00AE3251">
        <w:rPr>
          <w:rFonts w:ascii="Arial Black" w:eastAsia="ColossalisBold" w:hAnsi="Arial Black" w:cs="Arial"/>
          <w:b/>
          <w:bCs/>
          <w:color w:val="5E175E"/>
          <w:spacing w:val="4"/>
          <w:w w:val="92"/>
          <w:kern w:val="36"/>
          <w:sz w:val="42"/>
          <w:szCs w:val="42"/>
          <w:lang w:val="en-GB"/>
        </w:rPr>
        <w:br/>
      </w:r>
      <w:r w:rsidRPr="00AE3251">
        <w:rPr>
          <w:rFonts w:ascii="Arial Black" w:eastAsia="ColossalisBold" w:hAnsi="Arial Black" w:cs="Arial"/>
          <w:bCs/>
          <w:color w:val="5E175E"/>
          <w:spacing w:val="4"/>
          <w:w w:val="92"/>
          <w:kern w:val="36"/>
          <w:sz w:val="36"/>
          <w:szCs w:val="36"/>
          <w:lang w:val="en-GB"/>
        </w:rPr>
        <w:t>International Covenant on Civil and Political Rights</w:t>
      </w:r>
    </w:p>
    <w:p w14:paraId="490DF940" w14:textId="60C07099" w:rsidR="00133504" w:rsidRPr="00C615DA" w:rsidRDefault="000574A2" w:rsidP="000574A2">
      <w:pPr>
        <w:pStyle w:val="EinfacherAbsatz"/>
        <w:spacing w:line="240" w:lineRule="auto"/>
        <w:rPr>
          <w:rFonts w:ascii="Arial Black" w:eastAsia="ColossalisBold" w:hAnsi="Arial Black" w:cs="Arial"/>
          <w:b/>
          <w:bCs/>
          <w:color w:val="5E175E"/>
          <w:spacing w:val="4"/>
          <w:w w:val="92"/>
          <w:kern w:val="36"/>
          <w:sz w:val="42"/>
          <w:szCs w:val="42"/>
          <w:lang w:val="en-GB"/>
        </w:rPr>
      </w:pPr>
      <w:r w:rsidRPr="00AE3251">
        <w:rPr>
          <w:rFonts w:ascii="Arial Black" w:eastAsia="ColossalisBold" w:hAnsi="Arial Black" w:cs="Arial"/>
          <w:bCs/>
          <w:color w:val="5E175E"/>
          <w:spacing w:val="4"/>
          <w:kern w:val="36"/>
          <w:sz w:val="36"/>
          <w:szCs w:val="36"/>
          <w:lang w:val="en-GB"/>
        </w:rPr>
        <w:t>(CCPR)</w:t>
      </w:r>
      <w:r w:rsidR="00133504">
        <w:rPr>
          <w:rFonts w:ascii="Arial" w:hAnsi="Arial" w:cs="Arial"/>
          <w:b/>
          <w:sz w:val="28"/>
          <w:szCs w:val="28"/>
          <w:lang w:val="en-GB"/>
        </w:rPr>
        <w:br w:type="page"/>
      </w:r>
    </w:p>
    <w:p w14:paraId="6CA25BB7" w14:textId="77777777" w:rsidR="008D5CC2" w:rsidRPr="00AE3251" w:rsidRDefault="008D5CC2" w:rsidP="008D5CC2">
      <w:pPr>
        <w:pStyle w:val="absatzschattenbericht"/>
        <w:jc w:val="left"/>
        <w:rPr>
          <w:lang w:val="en-GB"/>
        </w:rPr>
      </w:pPr>
      <w:r w:rsidRPr="00AE3251">
        <w:rPr>
          <w:rFonts w:ascii="Arial" w:hAnsi="Arial" w:cs="Arial"/>
          <w:b/>
          <w:sz w:val="28"/>
          <w:szCs w:val="28"/>
          <w:lang w:val="en-GB"/>
        </w:rPr>
        <w:lastRenderedPageBreak/>
        <w:t>Compiled by:</w:t>
      </w:r>
      <w:r w:rsidRPr="00AE3251">
        <w:rPr>
          <w:rFonts w:ascii="Arial" w:hAnsi="Arial" w:cs="Arial"/>
          <w:b/>
          <w:sz w:val="28"/>
          <w:szCs w:val="28"/>
          <w:lang w:val="en-GB"/>
        </w:rPr>
        <w:br/>
      </w:r>
    </w:p>
    <w:p w14:paraId="2BA576E4" w14:textId="77777777" w:rsidR="008D5CC2" w:rsidRPr="00AE3251" w:rsidRDefault="008D5CC2" w:rsidP="008D5CC2">
      <w:pPr>
        <w:pStyle w:val="absatzschattenbericht"/>
        <w:rPr>
          <w:lang w:val="en-GB"/>
        </w:rPr>
      </w:pPr>
    </w:p>
    <w:p w14:paraId="05CEC29A" w14:textId="77777777" w:rsidR="008D5CC2" w:rsidRPr="00AE3251" w:rsidRDefault="008D5CC2" w:rsidP="008D5CC2">
      <w:pPr>
        <w:pStyle w:val="absatzschattenbericht"/>
        <w:spacing w:after="170"/>
        <w:rPr>
          <w:rFonts w:cs="Times New Roman"/>
          <w:lang w:val="en-GB"/>
        </w:rPr>
      </w:pPr>
      <w:r w:rsidRPr="00AE3251">
        <w:rPr>
          <w:rFonts w:eastAsia="Baskerville-Bold" w:cs="Times New Roman"/>
          <w:b/>
          <w:bCs/>
          <w:lang w:val="en-GB"/>
        </w:rPr>
        <w:t>StopIGM.org / Zwischengeschlecht.org</w:t>
      </w:r>
      <w:r w:rsidRPr="00AE3251">
        <w:rPr>
          <w:rFonts w:cs="Times New Roman"/>
          <w:lang w:val="en-GB"/>
        </w:rPr>
        <w:t xml:space="preserve"> (International Intersex Human Rights NGO)</w:t>
      </w:r>
    </w:p>
    <w:p w14:paraId="680C4324" w14:textId="77777777" w:rsidR="008D5CC2" w:rsidRPr="00AE3251" w:rsidRDefault="008D5CC2" w:rsidP="008D5CC2">
      <w:pPr>
        <w:pStyle w:val="absatzschattenbericht"/>
        <w:spacing w:after="170"/>
        <w:rPr>
          <w:rFonts w:eastAsia="Baskerville-Italic" w:cs="Times New Roman"/>
          <w:i/>
          <w:iCs/>
          <w:lang w:val="en-GB"/>
        </w:rPr>
      </w:pPr>
      <w:r w:rsidRPr="00AE3251">
        <w:rPr>
          <w:rFonts w:cs="Times New Roman"/>
          <w:lang w:val="en-GB"/>
        </w:rPr>
        <w:t>Markus Bauer, Daniela Truffer</w:t>
      </w:r>
    </w:p>
    <w:p w14:paraId="3978BAEF" w14:textId="77777777" w:rsidR="008D5CC2" w:rsidRPr="00AE3251" w:rsidRDefault="008D5CC2" w:rsidP="008D5CC2">
      <w:pPr>
        <w:pStyle w:val="absatzschattenbericht"/>
        <w:spacing w:after="0"/>
        <w:rPr>
          <w:rFonts w:eastAsia="Baskerville-Italic" w:cs="Times New Roman"/>
          <w:i/>
          <w:iCs/>
          <w:lang w:val="de-CH"/>
        </w:rPr>
      </w:pPr>
      <w:r w:rsidRPr="00AE3251">
        <w:rPr>
          <w:rFonts w:eastAsia="Baskerville-Italic" w:cs="Times New Roman"/>
          <w:i/>
          <w:iCs/>
          <w:lang w:val="de-CH"/>
        </w:rPr>
        <w:t>Zwischengeschlecht.org</w:t>
      </w:r>
    </w:p>
    <w:p w14:paraId="67A82A27" w14:textId="77777777" w:rsidR="008D5CC2" w:rsidRPr="00AE3251" w:rsidRDefault="008D5CC2" w:rsidP="008D5CC2">
      <w:pPr>
        <w:pStyle w:val="absatzschattenbericht"/>
        <w:spacing w:after="0"/>
        <w:rPr>
          <w:rFonts w:eastAsia="Baskerville-Italic" w:cs="Times New Roman"/>
          <w:i/>
          <w:iCs/>
          <w:lang w:val="de-CH"/>
        </w:rPr>
      </w:pPr>
      <w:r w:rsidRPr="00AE3251">
        <w:rPr>
          <w:rFonts w:eastAsia="Baskerville-Italic" w:cs="Times New Roman"/>
          <w:i/>
          <w:iCs/>
          <w:lang w:val="de-CH"/>
        </w:rPr>
        <w:t>P.O.Box 1318</w:t>
      </w:r>
    </w:p>
    <w:p w14:paraId="39661760" w14:textId="77777777" w:rsidR="008D5CC2" w:rsidRPr="00AE3251" w:rsidRDefault="008D5CC2" w:rsidP="008D5CC2">
      <w:pPr>
        <w:pStyle w:val="absatzschattenbericht"/>
        <w:spacing w:after="170"/>
        <w:rPr>
          <w:rFonts w:eastAsia="Baskerville-Italic" w:cs="Times New Roman"/>
          <w:i/>
          <w:iCs/>
          <w:lang w:val="de-CH"/>
        </w:rPr>
      </w:pPr>
      <w:r w:rsidRPr="00AE3251">
        <w:rPr>
          <w:rFonts w:eastAsia="Baskerville-Italic" w:cs="Times New Roman"/>
          <w:i/>
          <w:iCs/>
          <w:lang w:val="de-CH"/>
        </w:rPr>
        <w:t>CH-8031 Zurich</w:t>
      </w:r>
    </w:p>
    <w:p w14:paraId="1C9B855C" w14:textId="77777777" w:rsidR="008D5CC2" w:rsidRPr="00AE3251" w:rsidRDefault="008D5CC2" w:rsidP="008D5CC2">
      <w:pPr>
        <w:pStyle w:val="absatzschattenbericht"/>
        <w:spacing w:after="0"/>
        <w:rPr>
          <w:rStyle w:val="url"/>
          <w:rFonts w:eastAsia="Baskerville-Italic" w:cs="Times New Roman"/>
          <w:i/>
          <w:iCs/>
          <w:lang w:val="de-CH"/>
        </w:rPr>
      </w:pPr>
      <w:r w:rsidRPr="00AE3251">
        <w:rPr>
          <w:rFonts w:eastAsia="Baskerville-Italic" w:cs="Times New Roman"/>
          <w:i/>
          <w:iCs/>
          <w:lang w:val="de-CH"/>
        </w:rPr>
        <w:t>info_at_zwischengeschlecht.org</w:t>
      </w:r>
    </w:p>
    <w:p w14:paraId="1557D8D7" w14:textId="77777777" w:rsidR="008D5CC2" w:rsidRPr="00AE3251" w:rsidRDefault="00011BB0" w:rsidP="008D5CC2">
      <w:pPr>
        <w:pStyle w:val="absatzschattenbericht"/>
        <w:spacing w:after="0"/>
        <w:rPr>
          <w:rStyle w:val="url"/>
          <w:rFonts w:eastAsia="Baskerville-Italic" w:cs="Times New Roman"/>
          <w:i/>
          <w:iCs/>
          <w:lang w:val="de-CH"/>
        </w:rPr>
      </w:pPr>
      <w:hyperlink r:id="rId9" w:history="1">
        <w:r w:rsidR="008D5CC2" w:rsidRPr="00AE3251">
          <w:rPr>
            <w:rStyle w:val="Hyperlink"/>
            <w:rFonts w:eastAsia="Baskerville-Italic" w:cs="Times New Roman"/>
            <w:i/>
            <w:iCs/>
            <w:lang w:val="de-CH"/>
          </w:rPr>
          <w:t>https://Zwischengeschlecht.org/</w:t>
        </w:r>
      </w:hyperlink>
      <w:r w:rsidR="008D5CC2" w:rsidRPr="00AE3251">
        <w:rPr>
          <w:rStyle w:val="url"/>
          <w:rFonts w:eastAsia="Baskerville-Italic" w:cs="Times New Roman"/>
          <w:i/>
          <w:iCs/>
          <w:lang w:val="de-CH"/>
        </w:rPr>
        <w:t xml:space="preserve"> </w:t>
      </w:r>
    </w:p>
    <w:p w14:paraId="66266F58" w14:textId="77777777" w:rsidR="008D5CC2" w:rsidRPr="00AE3251" w:rsidRDefault="00011BB0" w:rsidP="008D5CC2">
      <w:pPr>
        <w:pStyle w:val="absatzschattenbericht"/>
        <w:spacing w:after="0"/>
        <w:rPr>
          <w:rFonts w:cs="Times New Roman"/>
          <w:i/>
          <w:lang w:val="de-CH"/>
        </w:rPr>
      </w:pPr>
      <w:hyperlink r:id="rId10" w:history="1">
        <w:r w:rsidR="008D5CC2" w:rsidRPr="00AE3251">
          <w:rPr>
            <w:rStyle w:val="Hyperlink"/>
            <w:rFonts w:cs="Times New Roman"/>
            <w:i/>
            <w:lang w:val="de-CH"/>
          </w:rPr>
          <w:t>https://StopIGM.org</w:t>
        </w:r>
      </w:hyperlink>
    </w:p>
    <w:p w14:paraId="6B8A687F" w14:textId="77777777" w:rsidR="008D5CC2" w:rsidRPr="00AE3251" w:rsidRDefault="008D5CC2" w:rsidP="008D5CC2">
      <w:pPr>
        <w:pStyle w:val="absatzschattenbericht"/>
        <w:rPr>
          <w:lang w:val="de-CH"/>
        </w:rPr>
      </w:pPr>
    </w:p>
    <w:p w14:paraId="37D7AEB2" w14:textId="77777777" w:rsidR="008D5CC2" w:rsidRPr="00AE3251" w:rsidRDefault="008D5CC2" w:rsidP="008D5CC2">
      <w:pPr>
        <w:pStyle w:val="absatzschattenbericht"/>
        <w:rPr>
          <w:lang w:val="de-CH"/>
        </w:rPr>
      </w:pPr>
    </w:p>
    <w:p w14:paraId="6855C57E" w14:textId="77777777" w:rsidR="008D5CC2" w:rsidRPr="00AE3251" w:rsidRDefault="008D5CC2" w:rsidP="008D5CC2">
      <w:pPr>
        <w:pStyle w:val="absatzschattenbericht"/>
        <w:rPr>
          <w:lang w:val="de-CH"/>
        </w:rPr>
      </w:pPr>
    </w:p>
    <w:p w14:paraId="3D866304" w14:textId="77777777" w:rsidR="008D5CC2" w:rsidRPr="00AE3251" w:rsidRDefault="008D5CC2" w:rsidP="008D5CC2">
      <w:pPr>
        <w:pStyle w:val="absatzschattenbericht"/>
        <w:rPr>
          <w:lang w:val="de-CH"/>
        </w:rPr>
      </w:pPr>
    </w:p>
    <w:p w14:paraId="67916E09" w14:textId="77777777" w:rsidR="008D5CC2" w:rsidRPr="00AE3251" w:rsidRDefault="008D5CC2" w:rsidP="008D5CC2">
      <w:pPr>
        <w:pStyle w:val="absatzschattenbericht"/>
        <w:rPr>
          <w:lang w:val="de-CH"/>
        </w:rPr>
      </w:pPr>
    </w:p>
    <w:p w14:paraId="51374A73" w14:textId="77777777" w:rsidR="008D5CC2" w:rsidRPr="00AE3251" w:rsidRDefault="008D5CC2" w:rsidP="008D5CC2">
      <w:pPr>
        <w:pStyle w:val="absatzschattenbericht"/>
        <w:rPr>
          <w:lang w:val="de-CH"/>
        </w:rPr>
      </w:pPr>
    </w:p>
    <w:p w14:paraId="51300F4B" w14:textId="77777777" w:rsidR="008D5CC2" w:rsidRPr="00AE3251" w:rsidRDefault="008D5CC2" w:rsidP="008D5CC2">
      <w:pPr>
        <w:pStyle w:val="absatzschattenbericht"/>
        <w:rPr>
          <w:lang w:val="de-CH"/>
        </w:rPr>
      </w:pPr>
    </w:p>
    <w:p w14:paraId="3BC79134" w14:textId="77777777" w:rsidR="008D5CC2" w:rsidRPr="00AE3251" w:rsidRDefault="008D5CC2" w:rsidP="008D5CC2">
      <w:pPr>
        <w:pStyle w:val="absatzschattenbericht"/>
        <w:rPr>
          <w:lang w:val="de-CH"/>
        </w:rPr>
      </w:pPr>
    </w:p>
    <w:p w14:paraId="721A5360" w14:textId="5B3450F8" w:rsidR="008D5CC2" w:rsidRPr="00AE3251" w:rsidRDefault="00765076" w:rsidP="008D5CC2">
      <w:pPr>
        <w:pStyle w:val="absatzschattenbericht"/>
        <w:rPr>
          <w:b/>
        </w:rPr>
      </w:pPr>
      <w:r>
        <w:rPr>
          <w:b/>
        </w:rPr>
        <w:t>September</w:t>
      </w:r>
      <w:r w:rsidR="008D5CC2" w:rsidRPr="00AE3251">
        <w:rPr>
          <w:b/>
        </w:rPr>
        <w:t xml:space="preserve"> 2024</w:t>
      </w:r>
    </w:p>
    <w:p w14:paraId="76FD81C2" w14:textId="77777777" w:rsidR="008D5CC2" w:rsidRPr="00AE3251" w:rsidRDefault="008D5CC2" w:rsidP="008D5CC2">
      <w:pPr>
        <w:pStyle w:val="absatzschattenbericht"/>
      </w:pPr>
    </w:p>
    <w:p w14:paraId="7667E14A" w14:textId="77777777" w:rsidR="008D5CC2" w:rsidRPr="00AE3251" w:rsidRDefault="008D5CC2" w:rsidP="008D5CC2">
      <w:pPr>
        <w:pStyle w:val="absatzschattenbericht"/>
      </w:pPr>
    </w:p>
    <w:p w14:paraId="0A3AD0CB" w14:textId="77777777" w:rsidR="008D5CC2" w:rsidRPr="00AE3251" w:rsidRDefault="008D5CC2" w:rsidP="008D5CC2">
      <w:pPr>
        <w:pStyle w:val="absatzschattenbericht"/>
      </w:pPr>
    </w:p>
    <w:p w14:paraId="0D68A76F" w14:textId="77777777" w:rsidR="008D5CC2" w:rsidRPr="00AE3251" w:rsidRDefault="008D5CC2" w:rsidP="008D5CC2">
      <w:pPr>
        <w:pStyle w:val="absatzschattenbericht"/>
      </w:pPr>
    </w:p>
    <w:p w14:paraId="0EF0795B" w14:textId="77777777" w:rsidR="002A5EF8" w:rsidRPr="00E56CA1" w:rsidRDefault="002A5EF8" w:rsidP="002A5EF8">
      <w:pPr>
        <w:pStyle w:val="absatzschattenbericht"/>
        <w:spacing w:after="60"/>
        <w:rPr>
          <w:rFonts w:eastAsia="ArialMT"/>
          <w:b/>
          <w:bCs/>
          <w:lang w:val="en-GB"/>
        </w:rPr>
      </w:pPr>
      <w:r w:rsidRPr="00E56CA1">
        <w:rPr>
          <w:b/>
          <w:bCs/>
          <w:lang w:val="en-GB"/>
        </w:rPr>
        <w:t>This NGO Report online:</w:t>
      </w:r>
    </w:p>
    <w:p w14:paraId="1530C9C6" w14:textId="77777777" w:rsidR="00DA16EE" w:rsidRDefault="0062541A" w:rsidP="0062541A">
      <w:pPr>
        <w:pStyle w:val="absatzschattenbericht"/>
        <w:rPr>
          <w:sz w:val="22"/>
          <w:szCs w:val="22"/>
        </w:rPr>
      </w:pPr>
      <w:hyperlink r:id="rId11" w:history="1">
        <w:r w:rsidRPr="005C3CD4">
          <w:rPr>
            <w:rStyle w:val="Hyperlink"/>
            <w:sz w:val="22"/>
            <w:szCs w:val="22"/>
          </w:rPr>
          <w:t>https://intersex.shadowreport.org/public/2024-CCPR-Iceland-NGO-Intersex-</w:t>
        </w:r>
        <w:r w:rsidRPr="005C3CD4">
          <w:rPr>
            <w:rStyle w:val="Hyperlink"/>
            <w:sz w:val="22"/>
            <w:szCs w:val="22"/>
          </w:rPr>
          <w:t>Stop</w:t>
        </w:r>
        <w:r w:rsidRPr="005C3CD4">
          <w:rPr>
            <w:rStyle w:val="Hyperlink"/>
            <w:sz w:val="22"/>
            <w:szCs w:val="22"/>
          </w:rPr>
          <w:t>IGM.docx</w:t>
        </w:r>
      </w:hyperlink>
      <w:r w:rsidRPr="005C3CD4">
        <w:rPr>
          <w:sz w:val="22"/>
          <w:szCs w:val="22"/>
        </w:rPr>
        <w:t xml:space="preserve"> </w:t>
      </w:r>
    </w:p>
    <w:bookmarkStart w:id="1" w:name="_GoBack"/>
    <w:bookmarkEnd w:id="1"/>
    <w:p w14:paraId="0B0AFC78" w14:textId="32E8367F" w:rsidR="00847355" w:rsidRPr="005C3CD4" w:rsidRDefault="00DA16EE" w:rsidP="0062541A">
      <w:pPr>
        <w:pStyle w:val="absatzschattenbericht"/>
        <w:rPr>
          <w:sz w:val="22"/>
          <w:szCs w:val="22"/>
          <w:lang w:val="en-GB"/>
        </w:rPr>
      </w:pPr>
      <w:r>
        <w:rPr>
          <w:sz w:val="22"/>
          <w:szCs w:val="22"/>
        </w:rPr>
        <w:fldChar w:fldCharType="begin"/>
      </w:r>
      <w:r>
        <w:rPr>
          <w:sz w:val="22"/>
          <w:szCs w:val="22"/>
        </w:rPr>
        <w:instrText xml:space="preserve"> HYPERLINK "</w:instrText>
      </w:r>
      <w:r w:rsidRPr="00DA16EE">
        <w:rPr>
          <w:sz w:val="22"/>
          <w:szCs w:val="22"/>
        </w:rPr>
        <w:instrText>https://intersex.shadowreport.org/public/2024-CCPR-Iceland-NGO-Intersex-</w:instrText>
      </w:r>
      <w:r w:rsidRPr="00DA16EE">
        <w:rPr>
          <w:sz w:val="22"/>
          <w:szCs w:val="22"/>
        </w:rPr>
        <w:instrText>Stop</w:instrText>
      </w:r>
      <w:r w:rsidRPr="00DA16EE">
        <w:rPr>
          <w:sz w:val="22"/>
          <w:szCs w:val="22"/>
        </w:rPr>
        <w:instrText>IGM.pdf</w:instrText>
      </w:r>
      <w:r>
        <w:rPr>
          <w:sz w:val="22"/>
          <w:szCs w:val="22"/>
        </w:rPr>
        <w:instrText xml:space="preserve">" </w:instrText>
      </w:r>
      <w:r>
        <w:rPr>
          <w:sz w:val="22"/>
          <w:szCs w:val="22"/>
        </w:rPr>
        <w:fldChar w:fldCharType="separate"/>
      </w:r>
      <w:r w:rsidRPr="00301E2D">
        <w:rPr>
          <w:rStyle w:val="Hyperlink"/>
          <w:sz w:val="22"/>
          <w:szCs w:val="22"/>
        </w:rPr>
        <w:t>https://intersex.shadowreport.org/public/2024-CCPR-Iceland-NGO-Intersex-</w:t>
      </w:r>
      <w:r w:rsidRPr="00301E2D">
        <w:rPr>
          <w:rStyle w:val="Hyperlink"/>
          <w:sz w:val="22"/>
          <w:szCs w:val="22"/>
        </w:rPr>
        <w:t>Stop</w:t>
      </w:r>
      <w:r w:rsidRPr="00301E2D">
        <w:rPr>
          <w:rStyle w:val="Hyperlink"/>
          <w:sz w:val="22"/>
          <w:szCs w:val="22"/>
        </w:rPr>
        <w:t>IGM.pdf</w:t>
      </w:r>
      <w:r>
        <w:rPr>
          <w:sz w:val="22"/>
          <w:szCs w:val="22"/>
        </w:rPr>
        <w:fldChar w:fldCharType="end"/>
      </w:r>
      <w:r w:rsidR="0062541A" w:rsidRPr="005C3CD4">
        <w:rPr>
          <w:sz w:val="22"/>
          <w:szCs w:val="22"/>
        </w:rPr>
        <w:t xml:space="preserve"> </w:t>
      </w:r>
    </w:p>
    <w:p w14:paraId="5C2F966B" w14:textId="77777777" w:rsidR="002A5EF8" w:rsidRPr="00E053C5" w:rsidRDefault="002A5EF8" w:rsidP="002A5EF8">
      <w:pPr>
        <w:pStyle w:val="absatzschattenbericht"/>
        <w:rPr>
          <w:lang w:val="en-GB"/>
        </w:rPr>
      </w:pPr>
    </w:p>
    <w:p w14:paraId="28AA6A4D" w14:textId="77777777" w:rsidR="002A5EF8" w:rsidRPr="00E053C5" w:rsidRDefault="002A5EF8" w:rsidP="002A5EF8">
      <w:pPr>
        <w:pStyle w:val="KeinAbsatzformat"/>
        <w:rPr>
          <w:rFonts w:cs="Times New Roman"/>
          <w:sz w:val="20"/>
          <w:szCs w:val="20"/>
          <w:lang w:val="en-GB"/>
        </w:rPr>
      </w:pPr>
    </w:p>
    <w:p w14:paraId="440B8188" w14:textId="33ABA98E" w:rsidR="0029151A" w:rsidRPr="00E3158E" w:rsidRDefault="00460B3F" w:rsidP="002A5EF8">
      <w:pPr>
        <w:pStyle w:val="EinfacherAbsatz"/>
        <w:jc w:val="center"/>
        <w:rPr>
          <w:rFonts w:ascii="Times New Roman" w:eastAsia="Arial-BoldMT" w:hAnsi="Times New Roman" w:cs="Times New Roman"/>
          <w:b/>
          <w:spacing w:val="6"/>
          <w:sz w:val="28"/>
          <w:szCs w:val="28"/>
          <w:lang w:val="en-GB" w:eastAsia="de-DE" w:bidi="ar-SA"/>
        </w:rPr>
      </w:pPr>
      <w:r w:rsidRPr="00E3158E">
        <w:rPr>
          <w:rFonts w:ascii="Times New Roman" w:eastAsia="Arial-BoldMT" w:hAnsi="Times New Roman" w:cs="Times New Roman"/>
          <w:b/>
          <w:noProof/>
          <w:spacing w:val="6"/>
          <w:sz w:val="28"/>
          <w:szCs w:val="28"/>
          <w:lang w:val="de-CH" w:eastAsia="de-CH" w:bidi="ar-SA"/>
        </w:rPr>
        <w:drawing>
          <wp:inline distT="0" distB="0" distL="0" distR="0" wp14:anchorId="0BD94A1A" wp14:editId="29FC6F89">
            <wp:extent cx="969010" cy="1113790"/>
            <wp:effectExtent l="0" t="0" r="0" b="3810"/>
            <wp:docPr id="2" name="Bild 2" descr="StopIGM_org-Logo_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opIGM_org-Logo_x"/>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69010" cy="1113790"/>
                    </a:xfrm>
                    <a:prstGeom prst="rect">
                      <a:avLst/>
                    </a:prstGeom>
                    <a:noFill/>
                    <a:ln>
                      <a:noFill/>
                    </a:ln>
                  </pic:spPr>
                </pic:pic>
              </a:graphicData>
            </a:graphic>
          </wp:inline>
        </w:drawing>
      </w:r>
    </w:p>
    <w:p w14:paraId="0875242A" w14:textId="77777777" w:rsidR="001515AB" w:rsidRPr="00E3158E" w:rsidRDefault="001515AB" w:rsidP="009C68B8">
      <w:pPr>
        <w:pStyle w:val="Title1"/>
        <w:rPr>
          <w:rFonts w:eastAsia="Baskerville" w:cs="Times New Roman"/>
          <w:spacing w:val="2"/>
          <w:lang w:val="en-GB"/>
        </w:rPr>
      </w:pPr>
      <w:bookmarkStart w:id="2" w:name="Executive_Summary"/>
      <w:bookmarkStart w:id="3" w:name="_Toc453620701"/>
      <w:bookmarkStart w:id="4" w:name="_Toc463295397"/>
      <w:bookmarkStart w:id="5" w:name="_Toc472687681"/>
      <w:bookmarkStart w:id="6" w:name="_Toc485093562"/>
      <w:bookmarkStart w:id="7" w:name="_Toc177422556"/>
      <w:r w:rsidRPr="00E3158E">
        <w:rPr>
          <w:lang w:val="en-GB"/>
        </w:rPr>
        <w:lastRenderedPageBreak/>
        <w:t>Executive Summary</w:t>
      </w:r>
      <w:bookmarkEnd w:id="2"/>
      <w:bookmarkEnd w:id="3"/>
      <w:bookmarkEnd w:id="4"/>
      <w:bookmarkEnd w:id="5"/>
      <w:bookmarkEnd w:id="6"/>
      <w:bookmarkEnd w:id="7"/>
    </w:p>
    <w:p w14:paraId="5826B9C6" w14:textId="5A437D36" w:rsidR="00A84F81" w:rsidRPr="00CB2C74" w:rsidRDefault="00BC5271" w:rsidP="00BC5271">
      <w:pPr>
        <w:pStyle w:val="absatzschattenbericht"/>
        <w:spacing w:after="100" w:line="276" w:lineRule="auto"/>
        <w:rPr>
          <w:rFonts w:eastAsia="Baskerville-SemiBold" w:cs="Baskerville-SemiBold"/>
          <w:color w:val="auto"/>
          <w:lang w:val="en-GB"/>
        </w:rPr>
      </w:pPr>
      <w:r w:rsidRPr="00BC5271">
        <w:rPr>
          <w:rFonts w:eastAsia="Baskerville-SemiBold" w:cs="Baskerville-SemiBold"/>
          <w:b/>
          <w:bCs/>
          <w:color w:val="auto"/>
          <w:lang w:val="en-GB"/>
        </w:rPr>
        <w:t>Despite a new law passed in 2020 (Act No. 154/2020)</w:t>
      </w:r>
      <w:r w:rsidRPr="00BC5271">
        <w:rPr>
          <w:rFonts w:eastAsia="Baskerville-SemiBold" w:cs="Baskerville-SemiBold"/>
          <w:color w:val="auto"/>
          <w:lang w:val="en-GB"/>
        </w:rPr>
        <w:t>, which aims to prohibit some forms of interse</w:t>
      </w:r>
      <w:r>
        <w:rPr>
          <w:rFonts w:eastAsia="Baskerville-SemiBold" w:cs="Baskerville-SemiBold"/>
          <w:color w:val="auto"/>
          <w:lang w:val="en-GB"/>
        </w:rPr>
        <w:t>x</w:t>
      </w:r>
      <w:r w:rsidRPr="00BC5271">
        <w:rPr>
          <w:rFonts w:eastAsia="Baskerville-SemiBold" w:cs="Baskerville-SemiBold"/>
          <w:color w:val="auto"/>
          <w:lang w:val="en-GB"/>
        </w:rPr>
        <w:t xml:space="preserve"> genital mutilation, </w:t>
      </w:r>
      <w:r w:rsidRPr="00BC5271">
        <w:rPr>
          <w:rFonts w:eastAsia="Baskerville-SemiBold" w:cs="Baskerville-SemiBold"/>
          <w:b/>
          <w:bCs/>
          <w:color w:val="auto"/>
          <w:lang w:val="en-GB"/>
        </w:rPr>
        <w:t>all typical forms of IGM practices are still widespread in Iceland</w:t>
      </w:r>
      <w:r w:rsidRPr="00BC5271">
        <w:rPr>
          <w:rFonts w:eastAsia="Baskerville-SemiBold" w:cs="Baskerville-SemiBold"/>
          <w:color w:val="auto"/>
          <w:lang w:val="en-GB"/>
        </w:rPr>
        <w:t xml:space="preserve">, </w:t>
      </w:r>
      <w:r w:rsidR="00A84F81" w:rsidRPr="00CB2C74">
        <w:rPr>
          <w:rFonts w:eastAsia="Baskerville-SemiBold" w:cs="Baskerville-SemiBold"/>
          <w:color w:val="auto"/>
          <w:lang w:val="en-GB"/>
        </w:rPr>
        <w:t xml:space="preserve">facilitated and </w:t>
      </w:r>
      <w:r w:rsidR="00A84F81" w:rsidRPr="00BC5271">
        <w:rPr>
          <w:rFonts w:eastAsia="Baskerville-SemiBold" w:cs="Baskerville-SemiBold"/>
          <w:b/>
          <w:bCs/>
          <w:color w:val="auto"/>
          <w:lang w:val="en-GB"/>
        </w:rPr>
        <w:t>paid for by the State party</w:t>
      </w:r>
      <w:r w:rsidR="00A84F81" w:rsidRPr="00CB2C74">
        <w:rPr>
          <w:rFonts w:eastAsia="Baskerville-SemiBold" w:cs="Baskerville-SemiBold"/>
          <w:color w:val="auto"/>
          <w:lang w:val="en-GB"/>
        </w:rPr>
        <w:t xml:space="preserve"> </w:t>
      </w:r>
      <w:r w:rsidR="00A84F81" w:rsidRPr="00CB2C74">
        <w:rPr>
          <w:rFonts w:eastAsia="Baskerville-SemiBold" w:cs="Times New Roman"/>
          <w:color w:val="auto"/>
          <w:lang w:val="en-GB"/>
        </w:rPr>
        <w:t xml:space="preserve">via the public health care system, and </w:t>
      </w:r>
      <w:r w:rsidR="00A84F81" w:rsidRPr="00CB2C74">
        <w:rPr>
          <w:rFonts w:eastAsia="Baskerville-SemiBold" w:cs="Times New Roman"/>
          <w:b/>
          <w:bCs/>
          <w:color w:val="auto"/>
          <w:lang w:val="en-GB"/>
        </w:rPr>
        <w:t>practiced with impunity</w:t>
      </w:r>
      <w:r w:rsidR="00A84F81" w:rsidRPr="00BC5271">
        <w:rPr>
          <w:rFonts w:eastAsia="Baskerville-SemiBold" w:cs="Times New Roman"/>
          <w:color w:val="auto"/>
          <w:lang w:val="en-GB"/>
        </w:rPr>
        <w:t>.</w:t>
      </w:r>
      <w:r w:rsidR="00A84F81" w:rsidRPr="00CB2C74">
        <w:rPr>
          <w:rFonts w:eastAsia="Baskerville-SemiBold" w:cs="Times New Roman"/>
          <w:color w:val="auto"/>
          <w:lang w:val="en-GB"/>
        </w:rPr>
        <w:t xml:space="preserve"> </w:t>
      </w:r>
      <w:r w:rsidR="00A84F81" w:rsidRPr="00CB2C74">
        <w:rPr>
          <w:rFonts w:eastAsia="Baskerville-SemiBold" w:cs="Baskerville-SemiBold"/>
          <w:color w:val="auto"/>
          <w:lang w:val="en-GB"/>
        </w:rPr>
        <w:t xml:space="preserve">Survivors of IGM continue to be </w:t>
      </w:r>
      <w:r w:rsidR="00A84F81" w:rsidRPr="00CB2C74">
        <w:rPr>
          <w:rFonts w:eastAsia="Baskerville-SemiBold" w:cs="Baskerville-SemiBold"/>
          <w:b/>
          <w:bCs/>
          <w:color w:val="auto"/>
          <w:lang w:val="en-GB"/>
        </w:rPr>
        <w:t>denied access to justice and reparations</w:t>
      </w:r>
      <w:r w:rsidR="00A84F81" w:rsidRPr="00CB2C74">
        <w:rPr>
          <w:rFonts w:eastAsia="Baskerville-SemiBold" w:cs="Baskerville-SemiBold"/>
          <w:color w:val="auto"/>
          <w:lang w:val="en-GB"/>
        </w:rPr>
        <w:t xml:space="preserve"> due to lack of effective legal prohibition and the </w:t>
      </w:r>
      <w:r w:rsidR="00A84F81" w:rsidRPr="00CB2C74">
        <w:rPr>
          <w:rFonts w:eastAsia="Baskerville-SemiBold" w:cs="Baskerville-SemiBold"/>
          <w:b/>
          <w:bCs/>
          <w:color w:val="auto"/>
          <w:lang w:val="en-GB"/>
        </w:rPr>
        <w:t>statutes of limitations</w:t>
      </w:r>
      <w:r w:rsidR="00A84F81" w:rsidRPr="00CB2C74">
        <w:rPr>
          <w:rFonts w:eastAsia="Baskerville-SemiBold" w:cs="Baskerville-SemiBold"/>
          <w:color w:val="auto"/>
          <w:lang w:val="en-GB"/>
        </w:rPr>
        <w:t>.</w:t>
      </w:r>
    </w:p>
    <w:p w14:paraId="2D46E7B0" w14:textId="55B3365D" w:rsidR="00345F0C" w:rsidRPr="00BC5271" w:rsidRDefault="00345F0C" w:rsidP="00345F0C">
      <w:pPr>
        <w:pStyle w:val="absatzschattenbericht"/>
        <w:spacing w:after="40"/>
        <w:rPr>
          <w:lang w:val="en-GB"/>
        </w:rPr>
      </w:pPr>
      <w:r w:rsidRPr="00BC5271">
        <w:rPr>
          <w:rFonts w:eastAsia="Baskerville-SemiBold" w:cs="Baskerville-SemiBold"/>
          <w:b/>
          <w:lang w:val="en-GB"/>
        </w:rPr>
        <w:t xml:space="preserve">Iceland </w:t>
      </w:r>
      <w:r w:rsidRPr="00BC5271">
        <w:rPr>
          <w:rFonts w:eastAsia="Baskerville-SemiBold" w:cs="Baskerville-SemiBold"/>
          <w:lang w:val="en-GB"/>
        </w:rPr>
        <w:t xml:space="preserve">is thus in breach of its </w:t>
      </w:r>
      <w:r w:rsidRPr="00BC5271">
        <w:rPr>
          <w:rFonts w:eastAsia="Baskerville-SemiBold" w:cs="Baskerville-SemiBold"/>
          <w:b/>
          <w:lang w:val="en-GB"/>
        </w:rPr>
        <w:t>obligations</w:t>
      </w:r>
      <w:r w:rsidRPr="00BC5271">
        <w:rPr>
          <w:lang w:val="en-GB"/>
        </w:rPr>
        <w:t xml:space="preserve"> under the Covenant to </w:t>
      </w:r>
      <w:r w:rsidRPr="00BC5271">
        <w:rPr>
          <w:b/>
          <w:lang w:val="en-GB"/>
        </w:rPr>
        <w:t>(a)</w:t>
      </w:r>
      <w:r w:rsidRPr="00BC5271">
        <w:rPr>
          <w:lang w:val="en-GB"/>
        </w:rPr>
        <w:t xml:space="preserve"> take effective legislative, administrative, judicial or other measures to </w:t>
      </w:r>
      <w:r w:rsidRPr="00BC5271">
        <w:rPr>
          <w:b/>
          <w:lang w:val="en-GB"/>
        </w:rPr>
        <w:t xml:space="preserve">prevent inhuman treatment and involuntary experimentation on intersex children </w:t>
      </w:r>
      <w:r w:rsidRPr="00BC5271">
        <w:rPr>
          <w:lang w:val="en-GB"/>
        </w:rPr>
        <w:t xml:space="preserve">causing severe mental and physical pain and suffering of the persons concerned, and </w:t>
      </w:r>
      <w:r w:rsidRPr="00BC5271">
        <w:rPr>
          <w:b/>
          <w:lang w:val="en-GB"/>
        </w:rPr>
        <w:t>(b) ensure equal access to justice and redress</w:t>
      </w:r>
      <w:r w:rsidRPr="00BC5271">
        <w:rPr>
          <w:lang w:val="en-GB"/>
        </w:rPr>
        <w:t xml:space="preserve">, including fair and adequate </w:t>
      </w:r>
      <w:r w:rsidRPr="00BC5271">
        <w:rPr>
          <w:b/>
          <w:lang w:val="en-GB"/>
        </w:rPr>
        <w:t>compensation</w:t>
      </w:r>
      <w:r w:rsidRPr="00BC5271">
        <w:rPr>
          <w:lang w:val="en-GB"/>
        </w:rPr>
        <w:t xml:space="preserve"> and as full as possible </w:t>
      </w:r>
      <w:r w:rsidRPr="00BC5271">
        <w:rPr>
          <w:b/>
          <w:lang w:val="en-GB"/>
        </w:rPr>
        <w:t>rehabilitation</w:t>
      </w:r>
      <w:r w:rsidRPr="00BC5271">
        <w:rPr>
          <w:lang w:val="en-GB"/>
        </w:rPr>
        <w:t xml:space="preserve"> for victims.</w:t>
      </w:r>
    </w:p>
    <w:p w14:paraId="49C8F7D0" w14:textId="1A952EBA" w:rsidR="00E56CA1" w:rsidRPr="00E56CA1" w:rsidRDefault="00E56CA1" w:rsidP="00E56CA1">
      <w:pPr>
        <w:pStyle w:val="absatzschattenbericht"/>
        <w:spacing w:after="60"/>
        <w:rPr>
          <w:lang w:val="en-GB"/>
        </w:rPr>
      </w:pPr>
      <w:r w:rsidRPr="00BC5271">
        <w:rPr>
          <w:b/>
          <w:lang w:val="en-GB"/>
        </w:rPr>
        <w:t xml:space="preserve">This Committee has consistently </w:t>
      </w:r>
      <w:r w:rsidRPr="00BC5271">
        <w:rPr>
          <w:b/>
          <w:bCs/>
          <w:lang w:val="en-GB"/>
        </w:rPr>
        <w:t>recognised</w:t>
      </w:r>
      <w:r w:rsidRPr="00BC5271">
        <w:rPr>
          <w:b/>
          <w:lang w:val="en-GB"/>
        </w:rPr>
        <w:t xml:space="preserve"> IGM practices to constitute inhuman treatment </w:t>
      </w:r>
      <w:r w:rsidRPr="00BC5271">
        <w:rPr>
          <w:lang w:val="en-GB"/>
        </w:rPr>
        <w:t>in Concluding Observations</w:t>
      </w:r>
      <w:r w:rsidRPr="00BC5271">
        <w:rPr>
          <w:bCs/>
          <w:lang w:val="en-GB"/>
        </w:rPr>
        <w:t>,</w:t>
      </w:r>
      <w:r w:rsidRPr="00BC5271">
        <w:rPr>
          <w:lang w:val="en-GB"/>
        </w:rPr>
        <w:t xml:space="preserve"> invoking </w:t>
      </w:r>
      <w:r w:rsidRPr="00BC5271">
        <w:rPr>
          <w:b/>
          <w:bCs/>
          <w:lang w:val="en-GB"/>
        </w:rPr>
        <w:t>Articles 2, 3, 7, 9, 17, 24 and 26</w:t>
      </w:r>
      <w:r w:rsidRPr="00BC5271">
        <w:rPr>
          <w:lang w:val="en-GB"/>
        </w:rPr>
        <w:t>.</w:t>
      </w:r>
      <w:r w:rsidRPr="00AE3251">
        <w:rPr>
          <w:lang w:val="en-GB"/>
        </w:rPr>
        <w:t xml:space="preserve"> </w:t>
      </w:r>
    </w:p>
    <w:p w14:paraId="1B48C698" w14:textId="77777777" w:rsidR="00CA47A5" w:rsidRPr="00BC5271" w:rsidRDefault="00CA47A5" w:rsidP="00CA47A5">
      <w:pPr>
        <w:pStyle w:val="absatzschattenbericht"/>
        <w:spacing w:after="40"/>
        <w:rPr>
          <w:lang w:val="en-GB"/>
        </w:rPr>
      </w:pPr>
      <w:r w:rsidRPr="00BC5271">
        <w:rPr>
          <w:b/>
          <w:lang w:val="en-GB"/>
        </w:rPr>
        <w:t>CRC</w:t>
      </w:r>
      <w:r w:rsidRPr="00BC5271">
        <w:rPr>
          <w:lang w:val="en-GB"/>
        </w:rPr>
        <w:t xml:space="preserve"> has already recognised IGM practices in </w:t>
      </w:r>
      <w:r w:rsidRPr="00CA47A5">
        <w:rPr>
          <w:b/>
          <w:bCs/>
          <w:lang w:val="en-GB"/>
        </w:rPr>
        <w:t>Iceland</w:t>
      </w:r>
      <w:r w:rsidRPr="00BC5271">
        <w:rPr>
          <w:lang w:val="en-GB"/>
        </w:rPr>
        <w:t xml:space="preserve"> to constitute a </w:t>
      </w:r>
      <w:r w:rsidRPr="00BC5271">
        <w:rPr>
          <w:b/>
          <w:lang w:val="en-GB"/>
        </w:rPr>
        <w:t>harmful cultural practice</w:t>
      </w:r>
      <w:r w:rsidRPr="00BC5271">
        <w:rPr>
          <w:lang w:val="en-GB"/>
        </w:rPr>
        <w:t xml:space="preserve"> and called for a </w:t>
      </w:r>
      <w:r w:rsidRPr="00BC5271">
        <w:rPr>
          <w:b/>
          <w:lang w:val="en-GB"/>
        </w:rPr>
        <w:t>prohibition</w:t>
      </w:r>
      <w:r w:rsidRPr="00BC5271">
        <w:rPr>
          <w:lang w:val="en-GB"/>
        </w:rPr>
        <w:t xml:space="preserve"> in Concluding Observations.</w:t>
      </w:r>
    </w:p>
    <w:p w14:paraId="3111137A" w14:textId="03D69E6B" w:rsidR="00345F0C" w:rsidRPr="00AE3251" w:rsidRDefault="00345F0C" w:rsidP="00345F0C">
      <w:pPr>
        <w:pStyle w:val="absatzschattenbericht"/>
        <w:spacing w:after="80" w:line="264" w:lineRule="auto"/>
        <w:rPr>
          <w:color w:val="auto"/>
          <w:lang w:val="en-GB"/>
        </w:rPr>
      </w:pPr>
      <w:r w:rsidRPr="00AE3251">
        <w:rPr>
          <w:color w:val="auto"/>
          <w:lang w:val="en-GB"/>
        </w:rPr>
        <w:t xml:space="preserve">In total, UN treaty bodies </w:t>
      </w:r>
      <w:r w:rsidRPr="00AE3251">
        <w:rPr>
          <w:rFonts w:cs="Times New Roman"/>
          <w:b/>
          <w:color w:val="auto"/>
          <w:lang w:val="en-GB"/>
        </w:rPr>
        <w:t>CCPR</w:t>
      </w:r>
      <w:r w:rsidRPr="00AE3251">
        <w:rPr>
          <w:rFonts w:cs="Times New Roman"/>
          <w:bCs/>
          <w:color w:val="auto"/>
          <w:lang w:val="en-GB"/>
        </w:rPr>
        <w:t xml:space="preserve">, </w:t>
      </w:r>
      <w:r w:rsidRPr="00AE3251">
        <w:rPr>
          <w:rFonts w:cs="Times New Roman"/>
          <w:b/>
          <w:color w:val="auto"/>
          <w:lang w:val="en-GB"/>
        </w:rPr>
        <w:t>CAT</w:t>
      </w:r>
      <w:r w:rsidRPr="00AE3251">
        <w:rPr>
          <w:rFonts w:cs="Times New Roman"/>
          <w:color w:val="auto"/>
          <w:lang w:val="en-GB"/>
        </w:rPr>
        <w:t xml:space="preserve">, </w:t>
      </w:r>
      <w:r w:rsidRPr="00AE3251">
        <w:rPr>
          <w:rFonts w:cs="Times New Roman"/>
          <w:b/>
          <w:color w:val="auto"/>
          <w:lang w:val="en-GB"/>
        </w:rPr>
        <w:t>CRC</w:t>
      </w:r>
      <w:r w:rsidRPr="00AE3251">
        <w:rPr>
          <w:rFonts w:cs="Times New Roman"/>
          <w:bCs/>
          <w:color w:val="auto"/>
          <w:lang w:val="en-GB"/>
        </w:rPr>
        <w:t>,</w:t>
      </w:r>
      <w:r w:rsidRPr="00AE3251">
        <w:rPr>
          <w:rFonts w:cs="Times New Roman"/>
          <w:b/>
          <w:color w:val="auto"/>
          <w:lang w:val="en-GB"/>
        </w:rPr>
        <w:t xml:space="preserve"> CRPD</w:t>
      </w:r>
      <w:r w:rsidRPr="00AE3251">
        <w:rPr>
          <w:rFonts w:cs="Times New Roman"/>
          <w:bCs/>
          <w:color w:val="auto"/>
          <w:lang w:val="en-GB"/>
        </w:rPr>
        <w:t>,</w:t>
      </w:r>
      <w:r w:rsidRPr="00AE3251">
        <w:rPr>
          <w:rFonts w:cs="Times New Roman"/>
          <w:b/>
          <w:color w:val="auto"/>
          <w:lang w:val="en-GB"/>
        </w:rPr>
        <w:t xml:space="preserve"> </w:t>
      </w:r>
      <w:r w:rsidRPr="00AE3251">
        <w:rPr>
          <w:rFonts w:cs="Times New Roman"/>
          <w:bCs/>
          <w:color w:val="auto"/>
          <w:lang w:val="en-GB"/>
        </w:rPr>
        <w:t xml:space="preserve">and </w:t>
      </w:r>
      <w:r w:rsidRPr="00AE3251">
        <w:rPr>
          <w:rFonts w:cs="Times New Roman"/>
          <w:b/>
          <w:color w:val="auto"/>
          <w:lang w:val="en-GB"/>
        </w:rPr>
        <w:t>CEDAW</w:t>
      </w:r>
      <w:r w:rsidRPr="00AE3251">
        <w:rPr>
          <w:color w:val="auto"/>
          <w:lang w:val="en-GB"/>
        </w:rPr>
        <w:t xml:space="preserve"> have so far issued </w:t>
      </w:r>
      <w:r w:rsidRPr="00AE3251">
        <w:rPr>
          <w:b/>
          <w:bCs/>
          <w:color w:val="auto"/>
          <w:lang w:val="en-GB"/>
        </w:rPr>
        <w:t>9</w:t>
      </w:r>
      <w:r w:rsidR="0071436F">
        <w:rPr>
          <w:b/>
          <w:bCs/>
          <w:color w:val="auto"/>
          <w:lang w:val="en-GB"/>
        </w:rPr>
        <w:t>6</w:t>
      </w:r>
      <w:r w:rsidRPr="00AE3251">
        <w:rPr>
          <w:b/>
          <w:bCs/>
          <w:color w:val="auto"/>
          <w:lang w:val="en-GB"/>
        </w:rPr>
        <w:t xml:space="preserve"> Concluding Observations </w:t>
      </w:r>
      <w:r w:rsidRPr="00AE3251">
        <w:rPr>
          <w:color w:val="auto"/>
          <w:lang w:val="en-GB"/>
        </w:rPr>
        <w:t>recognising</w:t>
      </w:r>
      <w:r w:rsidRPr="00AE3251">
        <w:rPr>
          <w:b/>
          <w:bCs/>
          <w:color w:val="auto"/>
          <w:lang w:val="en-GB"/>
        </w:rPr>
        <w:t xml:space="preserve"> IGM </w:t>
      </w:r>
      <w:r w:rsidRPr="00AE3251">
        <w:rPr>
          <w:color w:val="auto"/>
          <w:lang w:val="en-GB"/>
        </w:rPr>
        <w:t>as a</w:t>
      </w:r>
      <w:r w:rsidRPr="00AE3251">
        <w:rPr>
          <w:b/>
          <w:bCs/>
          <w:color w:val="auto"/>
          <w:lang w:val="en-GB"/>
        </w:rPr>
        <w:t xml:space="preserve"> serious violation of non-derogable human rights</w:t>
      </w:r>
      <w:r w:rsidRPr="00AE3251">
        <w:rPr>
          <w:color w:val="auto"/>
          <w:lang w:val="en-GB"/>
        </w:rPr>
        <w:t xml:space="preserve">, typically obliging State parties to </w:t>
      </w:r>
      <w:r w:rsidRPr="00AE3251">
        <w:rPr>
          <w:b/>
          <w:color w:val="auto"/>
          <w:lang w:val="en-GB"/>
        </w:rPr>
        <w:t>enact legislation</w:t>
      </w:r>
      <w:r w:rsidRPr="00AE3251">
        <w:rPr>
          <w:color w:val="auto"/>
          <w:lang w:val="en-GB"/>
        </w:rPr>
        <w:t xml:space="preserve"> to </w:t>
      </w:r>
      <w:r w:rsidRPr="00AE3251">
        <w:rPr>
          <w:b/>
          <w:bCs/>
          <w:color w:val="auto"/>
          <w:lang w:val="en-GB"/>
        </w:rPr>
        <w:t>(a)</w:t>
      </w:r>
      <w:r w:rsidRPr="00AE3251">
        <w:rPr>
          <w:color w:val="auto"/>
          <w:lang w:val="en-GB"/>
        </w:rPr>
        <w:t xml:space="preserve"> end the practice, </w:t>
      </w:r>
      <w:r w:rsidRPr="00AE3251">
        <w:rPr>
          <w:b/>
          <w:bCs/>
          <w:color w:val="auto"/>
          <w:lang w:val="en-GB"/>
        </w:rPr>
        <w:t>(b)</w:t>
      </w:r>
      <w:r w:rsidRPr="00AE3251">
        <w:rPr>
          <w:color w:val="auto"/>
          <w:lang w:val="en-GB"/>
        </w:rPr>
        <w:t xml:space="preserve"> ensure redress and compensation and </w:t>
      </w:r>
      <w:r w:rsidRPr="00AE3251">
        <w:rPr>
          <w:b/>
          <w:bCs/>
          <w:color w:val="auto"/>
          <w:lang w:val="en-GB"/>
        </w:rPr>
        <w:t>(c)</w:t>
      </w:r>
      <w:r w:rsidRPr="00AE3251">
        <w:rPr>
          <w:color w:val="auto"/>
          <w:lang w:val="en-GB"/>
        </w:rPr>
        <w:t xml:space="preserve"> access to free counselling. Also, the UN</w:t>
      </w:r>
      <w:r w:rsidRPr="00AE3251">
        <w:rPr>
          <w:color w:val="auto"/>
          <w:kern w:val="24"/>
          <w:lang w:val="en-GB"/>
        </w:rPr>
        <w:t> </w:t>
      </w:r>
      <w:r w:rsidRPr="00AE3251">
        <w:rPr>
          <w:color w:val="auto"/>
          <w:lang w:val="en-GB"/>
        </w:rPr>
        <w:t>Special Rapporteurs on Torture (</w:t>
      </w:r>
      <w:r w:rsidRPr="00AE3251">
        <w:rPr>
          <w:rStyle w:val="verweis"/>
          <w:rFonts w:ascii="Times New Roman" w:hAnsi="Times New Roman"/>
          <w:color w:val="auto"/>
        </w:rPr>
        <w:t>SRT</w:t>
      </w:r>
      <w:r w:rsidRPr="00AE3251">
        <w:rPr>
          <w:color w:val="auto"/>
          <w:lang w:val="en-GB"/>
        </w:rPr>
        <w:t>) and on Health (</w:t>
      </w:r>
      <w:r w:rsidRPr="00AE3251">
        <w:rPr>
          <w:rStyle w:val="verweis"/>
          <w:rFonts w:ascii="Times New Roman" w:hAnsi="Times New Roman"/>
          <w:color w:val="auto"/>
        </w:rPr>
        <w:t>SRH</w:t>
      </w:r>
      <w:r w:rsidRPr="00AE3251">
        <w:rPr>
          <w:color w:val="auto"/>
          <w:lang w:val="en-GB"/>
        </w:rPr>
        <w:t>), the UN High Commissioner for Human Rights (</w:t>
      </w:r>
      <w:r w:rsidRPr="00AE3251">
        <w:rPr>
          <w:rStyle w:val="verweis"/>
          <w:rFonts w:ascii="Times New Roman" w:hAnsi="Times New Roman"/>
          <w:color w:val="auto"/>
        </w:rPr>
        <w:t>UNHCHR</w:t>
      </w:r>
      <w:r w:rsidRPr="00AE3251">
        <w:rPr>
          <w:color w:val="auto"/>
          <w:lang w:val="en-GB"/>
        </w:rPr>
        <w:t>), the World Health Organisation (</w:t>
      </w:r>
      <w:r w:rsidRPr="00AE3251">
        <w:rPr>
          <w:rStyle w:val="verweis"/>
          <w:rFonts w:ascii="Times New Roman" w:hAnsi="Times New Roman"/>
          <w:color w:val="auto"/>
        </w:rPr>
        <w:t>WHO</w:t>
      </w:r>
      <w:r w:rsidRPr="00AE3251">
        <w:rPr>
          <w:color w:val="auto"/>
          <w:lang w:val="en-GB"/>
        </w:rPr>
        <w:t xml:space="preserve">), </w:t>
      </w:r>
      <w:r w:rsidRPr="00AE3251">
        <w:rPr>
          <w:lang w:val="en-GB"/>
        </w:rPr>
        <w:t>the Inter-American Commission on Human Rights (</w:t>
      </w:r>
      <w:r w:rsidRPr="00AE3251">
        <w:rPr>
          <w:b/>
          <w:lang w:val="en-GB"/>
        </w:rPr>
        <w:t>IACHR</w:t>
      </w:r>
      <w:r w:rsidRPr="00AE3251">
        <w:rPr>
          <w:lang w:val="en-GB"/>
        </w:rPr>
        <w:t>), the African Commission on Human and Peoples’ Rights (</w:t>
      </w:r>
      <w:r w:rsidRPr="00AE3251">
        <w:rPr>
          <w:b/>
          <w:lang w:val="en-GB"/>
        </w:rPr>
        <w:t>ACHPR</w:t>
      </w:r>
      <w:r w:rsidRPr="00AE3251">
        <w:rPr>
          <w:lang w:val="en-GB"/>
        </w:rPr>
        <w:t>)</w:t>
      </w:r>
      <w:r w:rsidRPr="00AE3251">
        <w:rPr>
          <w:color w:val="auto"/>
          <w:lang w:val="en-GB"/>
        </w:rPr>
        <w:t xml:space="preserve"> and the Council of Europe (</w:t>
      </w:r>
      <w:r w:rsidRPr="00AE3251">
        <w:rPr>
          <w:rStyle w:val="verweis"/>
          <w:rFonts w:ascii="Times New Roman" w:hAnsi="Times New Roman"/>
          <w:color w:val="auto"/>
        </w:rPr>
        <w:t>COE</w:t>
      </w:r>
      <w:r w:rsidRPr="00AE3251">
        <w:rPr>
          <w:color w:val="auto"/>
          <w:lang w:val="en-GB"/>
        </w:rPr>
        <w:t xml:space="preserve">) recognise IGM as a </w:t>
      </w:r>
      <w:r w:rsidRPr="00AE3251">
        <w:rPr>
          <w:rFonts w:eastAsia="Baskerville-SemiBold" w:cs="Baskerville-SemiBold"/>
          <w:b/>
          <w:color w:val="auto"/>
          <w:lang w:val="en-GB"/>
        </w:rPr>
        <w:t>serious violation of non-derogable human rights</w:t>
      </w:r>
      <w:r w:rsidRPr="00AE3251">
        <w:rPr>
          <w:b/>
          <w:color w:val="auto"/>
          <w:lang w:val="en-GB"/>
        </w:rPr>
        <w:t>.</w:t>
      </w:r>
    </w:p>
    <w:p w14:paraId="1ADCA4BA" w14:textId="77777777" w:rsidR="00345F0C" w:rsidRPr="00AE3251" w:rsidRDefault="00345F0C" w:rsidP="00345F0C">
      <w:pPr>
        <w:pStyle w:val="absatzschattenbericht"/>
        <w:spacing w:after="80" w:line="264" w:lineRule="auto"/>
        <w:rPr>
          <w:rFonts w:eastAsia="Baskerville-Bold" w:cs="Baskerville-Bold"/>
          <w:b/>
          <w:bCs/>
          <w:lang w:val="en-GB"/>
        </w:rPr>
      </w:pPr>
      <w:r w:rsidRPr="00AE3251">
        <w:rPr>
          <w:rFonts w:eastAsia="Baskerville-Bold" w:cs="Baskerville-Bold"/>
          <w:b/>
          <w:bCs/>
          <w:lang w:val="en-GB"/>
        </w:rPr>
        <w:t>Intersex people</w:t>
      </w:r>
      <w:r w:rsidRPr="00AE3251">
        <w:rPr>
          <w:lang w:val="en-GB"/>
        </w:rPr>
        <w:t xml:space="preserve"> are born with </w:t>
      </w:r>
      <w:r w:rsidRPr="00AE3251">
        <w:rPr>
          <w:rFonts w:eastAsia="Baskerville-Bold" w:cs="Baskerville-Bold"/>
          <w:b/>
          <w:bCs/>
          <w:lang w:val="en-GB"/>
        </w:rPr>
        <w:t>Variations of Reproductive Anatomy</w:t>
      </w:r>
      <w:r w:rsidRPr="00AE3251">
        <w:rPr>
          <w:lang w:val="en-GB"/>
        </w:rPr>
        <w:t xml:space="preserve">, including atypical genitals, atypical sex hormone producing organs, atypical response to sex hormones, atypical genetic make-up, atypical secondary sex markers. While intersex people may face several problems, in the “developed world” the most pressing are the ongoing </w:t>
      </w:r>
      <w:r w:rsidRPr="00AE3251">
        <w:rPr>
          <w:rFonts w:eastAsia="Baskerville-Bold" w:cs="Baskerville-Bold"/>
          <w:b/>
          <w:bCs/>
          <w:lang w:val="en-GB"/>
        </w:rPr>
        <w:t>Intersex Genital Mutilations</w:t>
      </w:r>
      <w:r w:rsidRPr="00AE3251">
        <w:rPr>
          <w:lang w:val="en-GB"/>
        </w:rPr>
        <w:t>, which present a distinct and unique issue constituting significant human rights violations.</w:t>
      </w:r>
    </w:p>
    <w:p w14:paraId="1DA831FD" w14:textId="77777777" w:rsidR="00345F0C" w:rsidRPr="00AE3251" w:rsidRDefault="00345F0C" w:rsidP="00345F0C">
      <w:pPr>
        <w:pStyle w:val="absatzschattenbericht"/>
        <w:spacing w:after="80" w:line="264" w:lineRule="auto"/>
        <w:rPr>
          <w:lang w:val="en-GB"/>
        </w:rPr>
      </w:pPr>
      <w:r w:rsidRPr="00AE3251">
        <w:rPr>
          <w:b/>
          <w:lang w:val="en-GB"/>
        </w:rPr>
        <w:t>IGM practices</w:t>
      </w:r>
      <w:r w:rsidRPr="00AE3251">
        <w:rPr>
          <w:lang w:val="en-GB"/>
        </w:rPr>
        <w:t xml:space="preserve"> include </w:t>
      </w:r>
      <w:r w:rsidRPr="00AE3251">
        <w:rPr>
          <w:b/>
          <w:lang w:val="en-GB"/>
        </w:rPr>
        <w:t>non-consensual, medically unnecessary, irreversible, cosmetic genital surgeries, and/or other harmful medical procedures</w:t>
      </w:r>
      <w:r w:rsidRPr="00AE3251">
        <w:rPr>
          <w:lang w:val="en-GB"/>
        </w:rPr>
        <w:t xml:space="preserve"> that would not be considered for “normal” children, without evidence of benefit for the children concerned.</w:t>
      </w:r>
      <w:r w:rsidRPr="00AE3251">
        <w:rPr>
          <w:rFonts w:eastAsia="Baskerville-SemiBold" w:cs="Baskerville-SemiBold"/>
          <w:lang w:val="en-GB"/>
        </w:rPr>
        <w:t xml:space="preserve"> </w:t>
      </w:r>
      <w:r w:rsidRPr="00AE3251">
        <w:rPr>
          <w:b/>
          <w:lang w:val="en-GB"/>
        </w:rPr>
        <w:t>Typical forms of IGM</w:t>
      </w:r>
      <w:r w:rsidRPr="00AE3251">
        <w:rPr>
          <w:lang w:val="en-GB"/>
        </w:rPr>
        <w:t xml:space="preserve"> include “masculinising” and “feminising”, “corrective” genital surgery, sterilising procedures, imposition of hormones, forced genital exams, vaginal dilations, medical display, involuntary human experimentation and denial of needed health care.</w:t>
      </w:r>
    </w:p>
    <w:p w14:paraId="58927626" w14:textId="77777777" w:rsidR="00345F0C" w:rsidRPr="00AE3251" w:rsidRDefault="00345F0C" w:rsidP="00567B62">
      <w:pPr>
        <w:pStyle w:val="absatzschattenbericht"/>
        <w:spacing w:after="80" w:line="264" w:lineRule="auto"/>
        <w:rPr>
          <w:rFonts w:eastAsia="Baskerville-Bold" w:cs="Baskerville-Bold"/>
          <w:b/>
          <w:bCs/>
          <w:lang w:val="en-GB"/>
        </w:rPr>
      </w:pPr>
      <w:r w:rsidRPr="00AE3251">
        <w:rPr>
          <w:lang w:val="en-GB"/>
        </w:rPr>
        <w:t xml:space="preserve">IGM practices cause known </w:t>
      </w:r>
      <w:r w:rsidRPr="00AE3251">
        <w:rPr>
          <w:rFonts w:eastAsia="Baskerville-Bold" w:cs="Baskerville-Bold"/>
          <w:b/>
          <w:bCs/>
          <w:lang w:val="en-GB"/>
        </w:rPr>
        <w:t>lifelong severe physical and mental pain and suffering</w:t>
      </w:r>
      <w:r w:rsidRPr="00AE3251">
        <w:rPr>
          <w:lang w:val="en-GB"/>
        </w:rPr>
        <w:t>, including loss or impairment of sexual sensation, painful scarring, painful intercourse, incontinence, urethral strictures, impairment or loss of reproductive capabilities, lifelong dependency of artificial hormones, significantly elevated rates of self-harming behaviour and suicidal tendencies, lifelong mental suffering and trauma, increased sexual anxieties, and less sexual activity.</w:t>
      </w:r>
    </w:p>
    <w:p w14:paraId="05CB7556" w14:textId="77777777" w:rsidR="00345F0C" w:rsidRPr="00AE3251" w:rsidRDefault="00345F0C" w:rsidP="00345F0C">
      <w:pPr>
        <w:pStyle w:val="absatzschattenbericht"/>
        <w:spacing w:after="80" w:line="264" w:lineRule="auto"/>
        <w:rPr>
          <w:rFonts w:eastAsia="Baskerville-Bold" w:cs="Baskerville-Bold"/>
          <w:b/>
          <w:bCs/>
          <w:lang w:val="en-GB"/>
        </w:rPr>
      </w:pPr>
      <w:r w:rsidRPr="00AE3251">
        <w:rPr>
          <w:lang w:val="en-GB"/>
        </w:rPr>
        <w:t xml:space="preserve">For </w:t>
      </w:r>
      <w:r w:rsidRPr="00AE3251">
        <w:rPr>
          <w:b/>
          <w:lang w:val="en-GB"/>
        </w:rPr>
        <w:t>30 years</w:t>
      </w:r>
      <w:r w:rsidRPr="00AE3251">
        <w:rPr>
          <w:lang w:val="en-GB"/>
        </w:rPr>
        <w:t xml:space="preserve">, intersex people have denounced IGM as </w:t>
      </w:r>
      <w:r w:rsidRPr="00AE3251">
        <w:rPr>
          <w:b/>
          <w:lang w:val="en-GB"/>
        </w:rPr>
        <w:t>harmful</w:t>
      </w:r>
      <w:r w:rsidRPr="00AE3251">
        <w:rPr>
          <w:lang w:val="en-GB"/>
        </w:rPr>
        <w:t xml:space="preserve"> and </w:t>
      </w:r>
      <w:r w:rsidRPr="00AE3251">
        <w:rPr>
          <w:b/>
          <w:lang w:val="en-GB"/>
        </w:rPr>
        <w:t>traumatising</w:t>
      </w:r>
      <w:r w:rsidRPr="00AE3251">
        <w:rPr>
          <w:lang w:val="en-GB"/>
        </w:rPr>
        <w:t xml:space="preserve">, as western </w:t>
      </w:r>
      <w:r w:rsidRPr="00AE3251">
        <w:rPr>
          <w:b/>
          <w:lang w:val="en-GB"/>
        </w:rPr>
        <w:t>genital</w:t>
      </w:r>
      <w:r w:rsidRPr="00AE3251">
        <w:rPr>
          <w:lang w:val="en-GB"/>
        </w:rPr>
        <w:t xml:space="preserve"> </w:t>
      </w:r>
      <w:r w:rsidRPr="00AE3251">
        <w:rPr>
          <w:b/>
          <w:lang w:val="en-GB"/>
        </w:rPr>
        <w:t>mutilation</w:t>
      </w:r>
      <w:r w:rsidRPr="00AE3251">
        <w:rPr>
          <w:lang w:val="en-GB"/>
        </w:rPr>
        <w:t xml:space="preserve">, as </w:t>
      </w:r>
      <w:r w:rsidRPr="00AE3251">
        <w:rPr>
          <w:b/>
          <w:lang w:val="en-GB"/>
        </w:rPr>
        <w:t>child sexual abuse</w:t>
      </w:r>
      <w:r w:rsidRPr="00AE3251">
        <w:rPr>
          <w:lang w:val="en-GB"/>
        </w:rPr>
        <w:t xml:space="preserve"> and </w:t>
      </w:r>
      <w:r w:rsidRPr="00AE3251">
        <w:rPr>
          <w:b/>
          <w:lang w:val="en-GB"/>
        </w:rPr>
        <w:t>torture</w:t>
      </w:r>
      <w:r w:rsidRPr="00AE3251">
        <w:rPr>
          <w:lang w:val="en-GB"/>
        </w:rPr>
        <w:t xml:space="preserve">, and called for </w:t>
      </w:r>
      <w:r w:rsidRPr="00AE3251">
        <w:rPr>
          <w:b/>
          <w:lang w:val="en-GB"/>
        </w:rPr>
        <w:t>remedies</w:t>
      </w:r>
      <w:r w:rsidRPr="00AE3251">
        <w:rPr>
          <w:lang w:val="en-GB"/>
        </w:rPr>
        <w:t>.</w:t>
      </w:r>
    </w:p>
    <w:p w14:paraId="08701BD2" w14:textId="44419740" w:rsidR="00BF4EE1" w:rsidRPr="00D50FA8" w:rsidRDefault="00345F0C" w:rsidP="00345F0C">
      <w:pPr>
        <w:pStyle w:val="absatzschattenbericht"/>
      </w:pPr>
      <w:r w:rsidRPr="00AE3251">
        <w:rPr>
          <w:lang w:val="en-GB"/>
        </w:rPr>
        <w:t xml:space="preserve">This </w:t>
      </w:r>
      <w:r w:rsidRPr="00AE3251">
        <w:rPr>
          <w:b/>
          <w:lang w:val="en-GB"/>
        </w:rPr>
        <w:t>NGO Report</w:t>
      </w:r>
      <w:r w:rsidRPr="00AE3251">
        <w:rPr>
          <w:lang w:val="en-GB"/>
        </w:rPr>
        <w:t xml:space="preserve"> has been compiled by </w:t>
      </w:r>
      <w:r w:rsidRPr="00AE3251">
        <w:rPr>
          <w:b/>
          <w:lang w:val="en-GB"/>
        </w:rPr>
        <w:t>StopIGM.org / Zwischengeschlecht.org</w:t>
      </w:r>
      <w:r w:rsidRPr="00AE3251">
        <w:rPr>
          <w:lang w:val="en-GB"/>
        </w:rPr>
        <w:t>, an international intersex NGO. It contains</w:t>
      </w:r>
      <w:r w:rsidRPr="00AE3251">
        <w:rPr>
          <w:spacing w:val="10"/>
          <w:kern w:val="24"/>
          <w:lang w:val="en-GB"/>
        </w:rPr>
        <w:t xml:space="preserve"> </w:t>
      </w:r>
      <w:r w:rsidRPr="00AE3251">
        <w:rPr>
          <w:b/>
          <w:spacing w:val="10"/>
          <w:kern w:val="24"/>
          <w:lang w:val="en-GB"/>
        </w:rPr>
        <w:t xml:space="preserve">Suggested </w:t>
      </w:r>
      <w:r>
        <w:rPr>
          <w:b/>
          <w:spacing w:val="10"/>
          <w:kern w:val="24"/>
          <w:lang w:val="en-GB"/>
        </w:rPr>
        <w:t xml:space="preserve">Recommendations </w:t>
      </w:r>
      <w:r w:rsidRPr="00AE3251">
        <w:rPr>
          <w:spacing w:val="10"/>
          <w:kern w:val="24"/>
          <w:lang w:val="en-GB"/>
        </w:rPr>
        <w:t xml:space="preserve">(see p. </w:t>
      </w:r>
      <w:r w:rsidR="00DF4CEF">
        <w:rPr>
          <w:spacing w:val="10"/>
          <w:kern w:val="24"/>
          <w:lang w:val="en-GB"/>
        </w:rPr>
        <w:t>17</w:t>
      </w:r>
      <w:r w:rsidRPr="00AE3251">
        <w:rPr>
          <w:spacing w:val="10"/>
          <w:kern w:val="24"/>
          <w:lang w:val="en-GB"/>
        </w:rPr>
        <w:t>)</w:t>
      </w:r>
      <w:r w:rsidR="009B44FC" w:rsidRPr="00CE61C1">
        <w:rPr>
          <w:spacing w:val="10"/>
          <w:kern w:val="24"/>
        </w:rPr>
        <w:t>.</w:t>
      </w:r>
      <w:r w:rsidR="00BF4EE1" w:rsidRPr="00AF3087">
        <w:rPr>
          <w:rFonts w:ascii="Arial" w:eastAsia="ColossalisBold" w:hAnsi="Arial" w:cs="Arial"/>
          <w:b/>
          <w:bCs/>
          <w:color w:val="5E175E"/>
          <w:spacing w:val="11"/>
          <w:w w:val="95"/>
          <w:lang w:val="en-GB"/>
        </w:rPr>
        <w:br w:type="page"/>
      </w:r>
    </w:p>
    <w:p w14:paraId="696B41C3" w14:textId="16153FD0" w:rsidR="009C68B8" w:rsidRPr="00E3158E" w:rsidRDefault="00C615DA" w:rsidP="004F236E">
      <w:pPr>
        <w:pStyle w:val="EinfacherAbsatz"/>
        <w:jc w:val="center"/>
        <w:rPr>
          <w:rFonts w:ascii="Arial" w:eastAsia="ColossalisBold" w:hAnsi="Arial" w:cs="Arial"/>
          <w:b/>
          <w:bCs/>
          <w:color w:val="5E175E"/>
          <w:spacing w:val="11"/>
          <w:w w:val="95"/>
          <w:sz w:val="26"/>
          <w:szCs w:val="26"/>
          <w:lang w:val="en-GB"/>
        </w:rPr>
      </w:pPr>
      <w:r>
        <w:rPr>
          <w:rFonts w:ascii="Arial" w:eastAsia="ColossalisBold" w:hAnsi="Arial" w:cs="Arial"/>
          <w:b/>
          <w:bCs/>
          <w:color w:val="5E175E"/>
          <w:spacing w:val="11"/>
          <w:w w:val="95"/>
          <w:sz w:val="26"/>
          <w:szCs w:val="26"/>
          <w:lang w:val="en-GB"/>
        </w:rPr>
        <w:lastRenderedPageBreak/>
        <w:t>NGO Report</w:t>
      </w:r>
      <w:r w:rsidR="00EB7A44">
        <w:rPr>
          <w:rFonts w:ascii="Arial" w:eastAsia="ColossalisBold" w:hAnsi="Arial" w:cs="Arial"/>
          <w:b/>
          <w:bCs/>
          <w:color w:val="5E175E"/>
          <w:spacing w:val="11"/>
          <w:w w:val="95"/>
          <w:sz w:val="26"/>
          <w:szCs w:val="26"/>
          <w:lang w:val="en-GB"/>
        </w:rPr>
        <w:t xml:space="preserve"> (</w:t>
      </w:r>
      <w:r w:rsidR="002B3D7B">
        <w:rPr>
          <w:rFonts w:ascii="Arial" w:eastAsia="ColossalisBold" w:hAnsi="Arial" w:cs="Arial"/>
          <w:b/>
          <w:bCs/>
          <w:color w:val="5E175E"/>
          <w:spacing w:val="11"/>
          <w:w w:val="95"/>
          <w:sz w:val="26"/>
          <w:szCs w:val="26"/>
          <w:lang w:val="en-GB"/>
        </w:rPr>
        <w:t xml:space="preserve">for </w:t>
      </w:r>
      <w:r w:rsidR="004F236E">
        <w:rPr>
          <w:rFonts w:ascii="Arial" w:eastAsia="ColossalisBold" w:hAnsi="Arial" w:cs="Arial"/>
          <w:b/>
          <w:bCs/>
          <w:color w:val="5E175E"/>
          <w:spacing w:val="11"/>
          <w:w w:val="95"/>
          <w:sz w:val="26"/>
          <w:szCs w:val="26"/>
          <w:lang w:val="en-GB"/>
        </w:rPr>
        <w:t>Session</w:t>
      </w:r>
      <w:r w:rsidR="00EB7A44">
        <w:rPr>
          <w:rFonts w:ascii="Arial" w:eastAsia="ColossalisBold" w:hAnsi="Arial" w:cs="Arial"/>
          <w:b/>
          <w:bCs/>
          <w:color w:val="5E175E"/>
          <w:spacing w:val="11"/>
          <w:w w:val="95"/>
          <w:sz w:val="26"/>
          <w:szCs w:val="26"/>
          <w:lang w:val="en-GB"/>
        </w:rPr>
        <w:t>)</w:t>
      </w:r>
      <w:r w:rsidR="004F236E">
        <w:rPr>
          <w:rFonts w:ascii="Arial" w:eastAsia="ColossalisBold" w:hAnsi="Arial" w:cs="Arial"/>
          <w:b/>
          <w:bCs/>
          <w:color w:val="5E175E"/>
          <w:spacing w:val="11"/>
          <w:w w:val="95"/>
          <w:sz w:val="26"/>
          <w:szCs w:val="26"/>
          <w:lang w:val="en-GB"/>
        </w:rPr>
        <w:t xml:space="preserve"> </w:t>
      </w:r>
      <w:r w:rsidR="009C68B8" w:rsidRPr="00E3158E">
        <w:rPr>
          <w:rFonts w:ascii="Arial" w:eastAsia="ColossalisBold" w:hAnsi="Arial" w:cs="Arial"/>
          <w:b/>
          <w:bCs/>
          <w:color w:val="5E175E"/>
          <w:spacing w:val="11"/>
          <w:w w:val="95"/>
          <w:sz w:val="26"/>
          <w:szCs w:val="26"/>
          <w:lang w:val="en-GB"/>
        </w:rPr>
        <w:t>to t</w:t>
      </w:r>
      <w:r w:rsidR="00525BD4" w:rsidRPr="00E3158E">
        <w:rPr>
          <w:rFonts w:ascii="Arial" w:eastAsia="ColossalisBold" w:hAnsi="Arial" w:cs="Arial"/>
          <w:b/>
          <w:bCs/>
          <w:color w:val="5E175E"/>
          <w:spacing w:val="11"/>
          <w:w w:val="95"/>
          <w:sz w:val="26"/>
          <w:szCs w:val="26"/>
          <w:lang w:val="en-GB"/>
        </w:rPr>
        <w:t xml:space="preserve">he </w:t>
      </w:r>
      <w:r w:rsidR="0090217F" w:rsidRPr="00E3158E">
        <w:rPr>
          <w:rFonts w:ascii="Arial" w:eastAsia="ColossalisBold" w:hAnsi="Arial" w:cs="Arial"/>
          <w:b/>
          <w:bCs/>
          <w:color w:val="5E175E"/>
          <w:spacing w:val="11"/>
          <w:w w:val="95"/>
          <w:sz w:val="26"/>
          <w:szCs w:val="26"/>
          <w:lang w:val="en-GB"/>
        </w:rPr>
        <w:t>6</w:t>
      </w:r>
      <w:r w:rsidR="0090217F" w:rsidRPr="00E3158E">
        <w:rPr>
          <w:rFonts w:ascii="Arial" w:eastAsia="ColossalisBold" w:hAnsi="Arial" w:cs="Arial"/>
          <w:b/>
          <w:bCs/>
          <w:color w:val="5E175E"/>
          <w:spacing w:val="11"/>
          <w:w w:val="95"/>
          <w:sz w:val="26"/>
          <w:szCs w:val="26"/>
          <w:vertAlign w:val="superscript"/>
          <w:lang w:val="en-GB"/>
        </w:rPr>
        <w:t>th</w:t>
      </w:r>
      <w:r w:rsidR="001611D0" w:rsidRPr="00E3158E">
        <w:rPr>
          <w:rFonts w:ascii="Arial" w:eastAsia="ColossalisBold" w:hAnsi="Arial" w:cs="Arial"/>
          <w:b/>
          <w:bCs/>
          <w:color w:val="5E175E"/>
          <w:spacing w:val="11"/>
          <w:w w:val="95"/>
          <w:sz w:val="26"/>
          <w:szCs w:val="26"/>
          <w:lang w:val="en-GB"/>
        </w:rPr>
        <w:t xml:space="preserve"> Report of </w:t>
      </w:r>
      <w:r w:rsidR="002B3D7B">
        <w:rPr>
          <w:rFonts w:ascii="Arial" w:eastAsia="ColossalisBold" w:hAnsi="Arial" w:cs="Arial"/>
          <w:b/>
          <w:bCs/>
          <w:color w:val="5E175E"/>
          <w:spacing w:val="11"/>
          <w:w w:val="95"/>
          <w:sz w:val="26"/>
          <w:szCs w:val="26"/>
          <w:lang w:val="en-GB"/>
        </w:rPr>
        <w:t>Iceland</w:t>
      </w:r>
      <w:r w:rsidR="0090217F" w:rsidRPr="00E3158E">
        <w:rPr>
          <w:rFonts w:ascii="Arial" w:eastAsia="ColossalisBold" w:hAnsi="Arial" w:cs="Arial"/>
          <w:b/>
          <w:bCs/>
          <w:color w:val="5E175E"/>
          <w:spacing w:val="11"/>
          <w:w w:val="95"/>
          <w:sz w:val="26"/>
          <w:szCs w:val="26"/>
          <w:lang w:val="en-GB"/>
        </w:rPr>
        <w:br/>
      </w:r>
      <w:r w:rsidR="004F236E" w:rsidRPr="004F236E">
        <w:rPr>
          <w:rFonts w:ascii="Arial" w:eastAsia="ColossalisBold" w:hAnsi="Arial" w:cs="Arial"/>
          <w:b/>
          <w:bCs/>
          <w:color w:val="5E175E"/>
          <w:spacing w:val="11"/>
          <w:w w:val="95"/>
          <w:sz w:val="26"/>
          <w:szCs w:val="26"/>
          <w:lang w:val="en-GB"/>
        </w:rPr>
        <w:t>on the</w:t>
      </w:r>
      <w:r w:rsidR="004F236E">
        <w:rPr>
          <w:rFonts w:ascii="Arial" w:eastAsia="ColossalisBold" w:hAnsi="Arial" w:cs="Arial"/>
          <w:b/>
          <w:bCs/>
          <w:color w:val="5E175E"/>
          <w:spacing w:val="11"/>
          <w:w w:val="95"/>
          <w:sz w:val="26"/>
          <w:szCs w:val="26"/>
          <w:lang w:val="en-GB"/>
        </w:rPr>
        <w:t xml:space="preserve"> </w:t>
      </w:r>
      <w:r w:rsidR="004F236E" w:rsidRPr="004F236E">
        <w:rPr>
          <w:rFonts w:ascii="Arial" w:eastAsia="ColossalisBold" w:hAnsi="Arial" w:cs="Arial"/>
          <w:b/>
          <w:bCs/>
          <w:color w:val="5E175E"/>
          <w:spacing w:val="11"/>
          <w:w w:val="95"/>
          <w:sz w:val="26"/>
          <w:szCs w:val="26"/>
          <w:lang w:val="en-GB"/>
        </w:rPr>
        <w:t>International Covenant on Civil and Political Rights</w:t>
      </w:r>
      <w:r w:rsidR="004F236E">
        <w:rPr>
          <w:rFonts w:ascii="Arial" w:eastAsia="ColossalisBold" w:hAnsi="Arial" w:cs="Arial"/>
          <w:b/>
          <w:bCs/>
          <w:color w:val="5E175E"/>
          <w:spacing w:val="11"/>
          <w:w w:val="95"/>
          <w:sz w:val="26"/>
          <w:szCs w:val="26"/>
          <w:lang w:val="en-GB"/>
        </w:rPr>
        <w:t xml:space="preserve"> </w:t>
      </w:r>
      <w:r w:rsidR="004F236E" w:rsidRPr="004F236E">
        <w:rPr>
          <w:rFonts w:ascii="Arial" w:eastAsia="ColossalisBold" w:hAnsi="Arial" w:cs="Arial"/>
          <w:b/>
          <w:bCs/>
          <w:color w:val="5E175E"/>
          <w:spacing w:val="11"/>
          <w:w w:val="95"/>
          <w:sz w:val="26"/>
          <w:szCs w:val="26"/>
          <w:lang w:val="en-GB"/>
        </w:rPr>
        <w:t>(CCPR)</w:t>
      </w:r>
    </w:p>
    <w:p w14:paraId="52C6D777" w14:textId="77777777" w:rsidR="001611D0" w:rsidRPr="00E3158E" w:rsidRDefault="001611D0" w:rsidP="001611D0">
      <w:pPr>
        <w:pStyle w:val="EinfacherAbsatz"/>
        <w:jc w:val="center"/>
        <w:rPr>
          <w:rFonts w:ascii="Arial" w:eastAsia="ColossalisBold" w:hAnsi="Arial" w:cs="Arial"/>
          <w:b/>
          <w:bCs/>
          <w:color w:val="5E175E"/>
          <w:spacing w:val="11"/>
          <w:w w:val="95"/>
          <w:sz w:val="26"/>
          <w:szCs w:val="26"/>
          <w:lang w:val="en-GB"/>
        </w:rPr>
      </w:pPr>
    </w:p>
    <w:p w14:paraId="3144D336" w14:textId="77777777" w:rsidR="00345E3F" w:rsidRPr="00E3158E" w:rsidRDefault="00345E3F" w:rsidP="001611D0">
      <w:pPr>
        <w:pStyle w:val="EinfacherAbsatz"/>
        <w:jc w:val="center"/>
        <w:rPr>
          <w:rFonts w:ascii="Arial" w:eastAsia="ColossalisBold" w:hAnsi="Arial" w:cs="Arial"/>
          <w:b/>
          <w:bCs/>
          <w:color w:val="5E175E"/>
          <w:spacing w:val="11"/>
          <w:w w:val="95"/>
          <w:sz w:val="26"/>
          <w:szCs w:val="26"/>
          <w:lang w:val="en-GB"/>
        </w:rPr>
      </w:pPr>
    </w:p>
    <w:p w14:paraId="3867966F" w14:textId="77777777" w:rsidR="001611D0" w:rsidRPr="00E3158E" w:rsidRDefault="004F7442" w:rsidP="001611D0">
      <w:pPr>
        <w:pStyle w:val="EinfacherAbsatz"/>
        <w:jc w:val="center"/>
        <w:rPr>
          <w:rFonts w:ascii="Arial" w:eastAsia="ColossalisBold" w:hAnsi="Arial" w:cs="Arial"/>
          <w:b/>
          <w:bCs/>
          <w:color w:val="5E175E"/>
          <w:spacing w:val="11"/>
          <w:w w:val="95"/>
          <w:sz w:val="30"/>
          <w:szCs w:val="30"/>
          <w:lang w:val="en-GB"/>
        </w:rPr>
      </w:pPr>
      <w:r w:rsidRPr="00E3158E">
        <w:rPr>
          <w:rFonts w:ascii="Arial" w:eastAsia="ColossalisBold" w:hAnsi="Arial" w:cs="Arial"/>
          <w:b/>
          <w:bCs/>
          <w:color w:val="5E175E"/>
          <w:spacing w:val="11"/>
          <w:w w:val="95"/>
          <w:sz w:val="30"/>
          <w:szCs w:val="30"/>
          <w:lang w:val="en-GB"/>
        </w:rPr>
        <w:t>Table of Contents</w:t>
      </w:r>
      <w:bookmarkStart w:id="8" w:name="Introduction"/>
      <w:bookmarkStart w:id="9" w:name="_Toc453620702"/>
    </w:p>
    <w:p w14:paraId="7902F5AA" w14:textId="77777777" w:rsidR="00345E3F" w:rsidRPr="00E3158E" w:rsidRDefault="00345E3F" w:rsidP="001611D0">
      <w:pPr>
        <w:pStyle w:val="EinfacherAbsatz"/>
        <w:jc w:val="center"/>
        <w:rPr>
          <w:rFonts w:ascii="Arial" w:eastAsia="ColossalisBold" w:hAnsi="Arial" w:cs="Arial"/>
          <w:b/>
          <w:bCs/>
          <w:color w:val="5E175E"/>
          <w:spacing w:val="11"/>
          <w:w w:val="95"/>
          <w:sz w:val="30"/>
          <w:szCs w:val="30"/>
          <w:lang w:val="en-GB"/>
        </w:rPr>
      </w:pPr>
    </w:p>
    <w:p w14:paraId="0D3C30FA" w14:textId="77777777" w:rsidR="00F7351B" w:rsidRPr="00E3158E" w:rsidRDefault="00F7351B" w:rsidP="001611D0">
      <w:pPr>
        <w:pStyle w:val="EinfacherAbsatz"/>
        <w:jc w:val="center"/>
        <w:rPr>
          <w:rFonts w:ascii="Arial" w:eastAsia="ColossalisBold" w:hAnsi="Arial" w:cs="Arial"/>
          <w:b/>
          <w:bCs/>
          <w:color w:val="5E175E"/>
          <w:spacing w:val="11"/>
          <w:w w:val="95"/>
          <w:sz w:val="30"/>
          <w:szCs w:val="30"/>
          <w:lang w:val="en-GB"/>
        </w:rPr>
      </w:pPr>
    </w:p>
    <w:p w14:paraId="0C5B4F09" w14:textId="151A0FF5" w:rsidR="00A00E77" w:rsidRPr="00E3158E" w:rsidRDefault="00A00E77" w:rsidP="001611D0">
      <w:pPr>
        <w:pStyle w:val="EinfacherAbsatz"/>
        <w:jc w:val="center"/>
        <w:rPr>
          <w:rFonts w:ascii="Times New Roman" w:eastAsia="ColossalisBold" w:hAnsi="Times New Roman" w:cs="Times New Roman"/>
          <w:b/>
          <w:bCs/>
          <w:color w:val="5E175E"/>
          <w:spacing w:val="11"/>
          <w:kern w:val="40"/>
          <w:sz w:val="40"/>
          <w:szCs w:val="40"/>
          <w:lang w:val="en-GB"/>
        </w:rPr>
      </w:pPr>
      <w:r w:rsidRPr="00E3158E">
        <w:rPr>
          <w:rFonts w:ascii="Times New Roman" w:eastAsia="ColossalisBold" w:hAnsi="Times New Roman" w:cs="Times New Roman"/>
          <w:b/>
          <w:bCs/>
          <w:color w:val="5E175E"/>
          <w:spacing w:val="11"/>
          <w:kern w:val="40"/>
          <w:sz w:val="40"/>
          <w:szCs w:val="40"/>
          <w:lang w:val="en-GB"/>
        </w:rPr>
        <w:t xml:space="preserve">IGM Practices in </w:t>
      </w:r>
      <w:r w:rsidR="002B3D7B">
        <w:rPr>
          <w:rFonts w:ascii="Times New Roman" w:eastAsia="ColossalisBold" w:hAnsi="Times New Roman" w:cs="Times New Roman"/>
          <w:b/>
          <w:bCs/>
          <w:color w:val="5E175E"/>
          <w:spacing w:val="11"/>
          <w:kern w:val="40"/>
          <w:sz w:val="40"/>
          <w:szCs w:val="40"/>
          <w:lang w:val="en-GB"/>
        </w:rPr>
        <w:t>Iceland</w:t>
      </w:r>
      <w:r w:rsidR="00D03A57">
        <w:rPr>
          <w:rFonts w:ascii="Times New Roman" w:eastAsia="ColossalisBold" w:hAnsi="Times New Roman" w:cs="Times New Roman"/>
          <w:b/>
          <w:bCs/>
          <w:color w:val="5E175E"/>
          <w:spacing w:val="11"/>
          <w:kern w:val="40"/>
          <w:sz w:val="40"/>
          <w:szCs w:val="40"/>
          <w:lang w:val="en-GB"/>
        </w:rPr>
        <w:t xml:space="preserve"> (p. </w:t>
      </w:r>
      <w:r w:rsidR="004F236E">
        <w:rPr>
          <w:rFonts w:ascii="Times New Roman" w:eastAsia="ColossalisBold" w:hAnsi="Times New Roman" w:cs="Times New Roman"/>
          <w:b/>
          <w:bCs/>
          <w:color w:val="5E175E"/>
          <w:spacing w:val="11"/>
          <w:kern w:val="40"/>
          <w:sz w:val="40"/>
          <w:szCs w:val="40"/>
          <w:lang w:val="en-GB"/>
        </w:rPr>
        <w:t>xx-xx</w:t>
      </w:r>
      <w:r w:rsidR="00D03A57">
        <w:rPr>
          <w:rFonts w:ascii="Times New Roman" w:eastAsia="ColossalisBold" w:hAnsi="Times New Roman" w:cs="Times New Roman"/>
          <w:b/>
          <w:bCs/>
          <w:color w:val="5E175E"/>
          <w:spacing w:val="11"/>
          <w:kern w:val="40"/>
          <w:sz w:val="40"/>
          <w:szCs w:val="40"/>
          <w:lang w:val="en-GB"/>
        </w:rPr>
        <w:t>)</w:t>
      </w:r>
    </w:p>
    <w:p w14:paraId="25F3BB67" w14:textId="77777777" w:rsidR="00A00E77" w:rsidRPr="00E3158E" w:rsidRDefault="00A00E77" w:rsidP="001611D0">
      <w:pPr>
        <w:pStyle w:val="EinfacherAbsatz"/>
        <w:jc w:val="center"/>
        <w:rPr>
          <w:rFonts w:ascii="Arial" w:eastAsia="ColossalisBold" w:hAnsi="Arial" w:cs="Arial"/>
          <w:b/>
          <w:bCs/>
          <w:color w:val="5E175E"/>
          <w:spacing w:val="11"/>
          <w:w w:val="95"/>
          <w:sz w:val="30"/>
          <w:szCs w:val="30"/>
          <w:lang w:val="en-GB"/>
        </w:rPr>
      </w:pPr>
    </w:p>
    <w:p w14:paraId="716A146C" w14:textId="7E782497" w:rsidR="00CC1A59" w:rsidRDefault="00B556E9">
      <w:pPr>
        <w:pStyle w:val="Verzeichnis1"/>
        <w:rPr>
          <w:rFonts w:asciiTheme="minorHAnsi" w:eastAsiaTheme="minorEastAsia" w:hAnsiTheme="minorHAnsi" w:cstheme="minorBidi"/>
          <w:b w:val="0"/>
          <w:sz w:val="24"/>
          <w:szCs w:val="24"/>
          <w:lang w:val="de-CH"/>
        </w:rPr>
      </w:pPr>
      <w:r w:rsidRPr="00E3158E">
        <w:rPr>
          <w:rFonts w:ascii="Arial" w:eastAsia="ColossalisBold" w:hAnsi="Arial" w:cs="Arial"/>
          <w:bCs/>
          <w:color w:val="5E175E"/>
          <w:spacing w:val="11"/>
          <w:w w:val="95"/>
          <w:sz w:val="30"/>
          <w:szCs w:val="30"/>
        </w:rPr>
        <w:fldChar w:fldCharType="begin"/>
      </w:r>
      <w:r w:rsidRPr="00E3158E">
        <w:rPr>
          <w:rFonts w:ascii="Arial" w:eastAsia="ColossalisBold" w:hAnsi="Arial" w:cs="Arial"/>
          <w:bCs/>
          <w:color w:val="5E175E"/>
          <w:spacing w:val="11"/>
          <w:w w:val="95"/>
          <w:sz w:val="30"/>
          <w:szCs w:val="30"/>
        </w:rPr>
        <w:instrText xml:space="preserve"> TOC \h \z \t "Title 1;1;Title 2;2;Title 3;3" </w:instrText>
      </w:r>
      <w:r w:rsidRPr="00E3158E">
        <w:rPr>
          <w:rFonts w:ascii="Arial" w:eastAsia="ColossalisBold" w:hAnsi="Arial" w:cs="Arial"/>
          <w:bCs/>
          <w:color w:val="5E175E"/>
          <w:spacing w:val="11"/>
          <w:w w:val="95"/>
          <w:sz w:val="30"/>
          <w:szCs w:val="30"/>
        </w:rPr>
        <w:fldChar w:fldCharType="separate"/>
      </w:r>
      <w:hyperlink w:anchor="_Toc177422556" w:history="1">
        <w:r w:rsidR="00CC1A59" w:rsidRPr="00C87EA3">
          <w:rPr>
            <w:rStyle w:val="Hyperlink"/>
          </w:rPr>
          <w:t>Executive Summary</w:t>
        </w:r>
        <w:r w:rsidR="00CC1A59">
          <w:rPr>
            <w:webHidden/>
          </w:rPr>
          <w:tab/>
        </w:r>
        <w:r w:rsidR="00CC1A59">
          <w:rPr>
            <w:webHidden/>
          </w:rPr>
          <w:fldChar w:fldCharType="begin"/>
        </w:r>
        <w:r w:rsidR="00CC1A59">
          <w:rPr>
            <w:webHidden/>
          </w:rPr>
          <w:instrText xml:space="preserve"> PAGEREF _Toc177422556 \h </w:instrText>
        </w:r>
        <w:r w:rsidR="00CC1A59">
          <w:rPr>
            <w:webHidden/>
          </w:rPr>
        </w:r>
        <w:r w:rsidR="00CC1A59">
          <w:rPr>
            <w:webHidden/>
          </w:rPr>
          <w:fldChar w:fldCharType="separate"/>
        </w:r>
        <w:r w:rsidR="00DF4CEF">
          <w:rPr>
            <w:webHidden/>
          </w:rPr>
          <w:t>3</w:t>
        </w:r>
        <w:r w:rsidR="00CC1A59">
          <w:rPr>
            <w:webHidden/>
          </w:rPr>
          <w:fldChar w:fldCharType="end"/>
        </w:r>
      </w:hyperlink>
    </w:p>
    <w:p w14:paraId="0D9E6DE5" w14:textId="1C250E52" w:rsidR="00CC1A59" w:rsidRDefault="00011BB0">
      <w:pPr>
        <w:pStyle w:val="Verzeichnis1"/>
        <w:rPr>
          <w:rFonts w:asciiTheme="minorHAnsi" w:eastAsiaTheme="minorEastAsia" w:hAnsiTheme="minorHAnsi" w:cstheme="minorBidi"/>
          <w:b w:val="0"/>
          <w:sz w:val="24"/>
          <w:szCs w:val="24"/>
          <w:lang w:val="de-CH"/>
        </w:rPr>
      </w:pPr>
      <w:hyperlink w:anchor="_Toc177422557" w:history="1">
        <w:r w:rsidR="00CC1A59" w:rsidRPr="00C87EA3">
          <w:rPr>
            <w:rStyle w:val="Hyperlink"/>
          </w:rPr>
          <w:t>A.  Introduction</w:t>
        </w:r>
        <w:r w:rsidR="00CC1A59">
          <w:rPr>
            <w:webHidden/>
          </w:rPr>
          <w:tab/>
        </w:r>
        <w:r w:rsidR="00CC1A59">
          <w:rPr>
            <w:webHidden/>
          </w:rPr>
          <w:fldChar w:fldCharType="begin"/>
        </w:r>
        <w:r w:rsidR="00CC1A59">
          <w:rPr>
            <w:webHidden/>
          </w:rPr>
          <w:instrText xml:space="preserve"> PAGEREF _Toc177422557 \h </w:instrText>
        </w:r>
        <w:r w:rsidR="00CC1A59">
          <w:rPr>
            <w:webHidden/>
          </w:rPr>
        </w:r>
        <w:r w:rsidR="00CC1A59">
          <w:rPr>
            <w:webHidden/>
          </w:rPr>
          <w:fldChar w:fldCharType="separate"/>
        </w:r>
        <w:r w:rsidR="00DF4CEF">
          <w:rPr>
            <w:webHidden/>
          </w:rPr>
          <w:t>5</w:t>
        </w:r>
        <w:r w:rsidR="00CC1A59">
          <w:rPr>
            <w:webHidden/>
          </w:rPr>
          <w:fldChar w:fldCharType="end"/>
        </w:r>
      </w:hyperlink>
    </w:p>
    <w:p w14:paraId="11EAAB02" w14:textId="0ED94CDF" w:rsidR="00CC1A59" w:rsidRDefault="00011BB0">
      <w:pPr>
        <w:pStyle w:val="Verzeichnis2"/>
        <w:rPr>
          <w:rFonts w:asciiTheme="minorHAnsi" w:eastAsiaTheme="minorEastAsia" w:hAnsiTheme="minorHAnsi" w:cstheme="minorBidi"/>
          <w:szCs w:val="24"/>
        </w:rPr>
      </w:pPr>
      <w:hyperlink w:anchor="_Toc177422558" w:history="1">
        <w:r w:rsidR="00CC1A59" w:rsidRPr="00C87EA3">
          <w:rPr>
            <w:rStyle w:val="Hyperlink"/>
          </w:rPr>
          <w:t>1.  Iceland: Intersex Human Rights and State Party Report</w:t>
        </w:r>
        <w:r w:rsidR="00CC1A59">
          <w:rPr>
            <w:webHidden/>
          </w:rPr>
          <w:tab/>
        </w:r>
        <w:r w:rsidR="00CC1A59">
          <w:rPr>
            <w:webHidden/>
          </w:rPr>
          <w:fldChar w:fldCharType="begin"/>
        </w:r>
        <w:r w:rsidR="00CC1A59">
          <w:rPr>
            <w:webHidden/>
          </w:rPr>
          <w:instrText xml:space="preserve"> PAGEREF _Toc177422558 \h </w:instrText>
        </w:r>
        <w:r w:rsidR="00CC1A59">
          <w:rPr>
            <w:webHidden/>
          </w:rPr>
        </w:r>
        <w:r w:rsidR="00CC1A59">
          <w:rPr>
            <w:webHidden/>
          </w:rPr>
          <w:fldChar w:fldCharType="separate"/>
        </w:r>
        <w:r w:rsidR="00DF4CEF">
          <w:rPr>
            <w:webHidden/>
          </w:rPr>
          <w:t>5</w:t>
        </w:r>
        <w:r w:rsidR="00CC1A59">
          <w:rPr>
            <w:webHidden/>
          </w:rPr>
          <w:fldChar w:fldCharType="end"/>
        </w:r>
      </w:hyperlink>
    </w:p>
    <w:p w14:paraId="72AF23C5" w14:textId="1C694675" w:rsidR="00CC1A59" w:rsidRDefault="00011BB0">
      <w:pPr>
        <w:pStyle w:val="Verzeichnis2"/>
        <w:rPr>
          <w:rFonts w:asciiTheme="minorHAnsi" w:eastAsiaTheme="minorEastAsia" w:hAnsiTheme="minorHAnsi" w:cstheme="minorBidi"/>
          <w:szCs w:val="24"/>
        </w:rPr>
      </w:pPr>
      <w:hyperlink w:anchor="_Toc177422559" w:history="1">
        <w:r w:rsidR="00CC1A59" w:rsidRPr="00C87EA3">
          <w:rPr>
            <w:rStyle w:val="Hyperlink"/>
          </w:rPr>
          <w:t>2.  About the Rapporteurs</w:t>
        </w:r>
        <w:r w:rsidR="00CC1A59">
          <w:rPr>
            <w:webHidden/>
          </w:rPr>
          <w:tab/>
        </w:r>
        <w:r w:rsidR="00CC1A59">
          <w:rPr>
            <w:webHidden/>
          </w:rPr>
          <w:fldChar w:fldCharType="begin"/>
        </w:r>
        <w:r w:rsidR="00CC1A59">
          <w:rPr>
            <w:webHidden/>
          </w:rPr>
          <w:instrText xml:space="preserve"> PAGEREF _Toc177422559 \h </w:instrText>
        </w:r>
        <w:r w:rsidR="00CC1A59">
          <w:rPr>
            <w:webHidden/>
          </w:rPr>
        </w:r>
        <w:r w:rsidR="00CC1A59">
          <w:rPr>
            <w:webHidden/>
          </w:rPr>
          <w:fldChar w:fldCharType="separate"/>
        </w:r>
        <w:r w:rsidR="00DF4CEF">
          <w:rPr>
            <w:webHidden/>
          </w:rPr>
          <w:t>5</w:t>
        </w:r>
        <w:r w:rsidR="00CC1A59">
          <w:rPr>
            <w:webHidden/>
          </w:rPr>
          <w:fldChar w:fldCharType="end"/>
        </w:r>
      </w:hyperlink>
    </w:p>
    <w:p w14:paraId="43FC37AC" w14:textId="33E9AC7C" w:rsidR="00CC1A59" w:rsidRDefault="00011BB0">
      <w:pPr>
        <w:pStyle w:val="Verzeichnis2"/>
        <w:rPr>
          <w:rFonts w:asciiTheme="minorHAnsi" w:eastAsiaTheme="minorEastAsia" w:hAnsiTheme="minorHAnsi" w:cstheme="minorBidi"/>
          <w:szCs w:val="24"/>
        </w:rPr>
      </w:pPr>
      <w:hyperlink w:anchor="_Toc177422560" w:history="1">
        <w:r w:rsidR="00CC1A59" w:rsidRPr="00C87EA3">
          <w:rPr>
            <w:rStyle w:val="Hyperlink"/>
          </w:rPr>
          <w:t>3.  Methodology</w:t>
        </w:r>
        <w:r w:rsidR="00CC1A59">
          <w:rPr>
            <w:webHidden/>
          </w:rPr>
          <w:tab/>
        </w:r>
        <w:r w:rsidR="00CC1A59">
          <w:rPr>
            <w:webHidden/>
          </w:rPr>
          <w:fldChar w:fldCharType="begin"/>
        </w:r>
        <w:r w:rsidR="00CC1A59">
          <w:rPr>
            <w:webHidden/>
          </w:rPr>
          <w:instrText xml:space="preserve"> PAGEREF _Toc177422560 \h </w:instrText>
        </w:r>
        <w:r w:rsidR="00CC1A59">
          <w:rPr>
            <w:webHidden/>
          </w:rPr>
        </w:r>
        <w:r w:rsidR="00CC1A59">
          <w:rPr>
            <w:webHidden/>
          </w:rPr>
          <w:fldChar w:fldCharType="separate"/>
        </w:r>
        <w:r w:rsidR="00DF4CEF">
          <w:rPr>
            <w:webHidden/>
          </w:rPr>
          <w:t>5</w:t>
        </w:r>
        <w:r w:rsidR="00CC1A59">
          <w:rPr>
            <w:webHidden/>
          </w:rPr>
          <w:fldChar w:fldCharType="end"/>
        </w:r>
      </w:hyperlink>
    </w:p>
    <w:p w14:paraId="3DF0AC1C" w14:textId="399B8110" w:rsidR="00CC1A59" w:rsidRDefault="00011BB0">
      <w:pPr>
        <w:pStyle w:val="Verzeichnis1"/>
        <w:rPr>
          <w:rFonts w:asciiTheme="minorHAnsi" w:eastAsiaTheme="minorEastAsia" w:hAnsiTheme="minorHAnsi" w:cstheme="minorBidi"/>
          <w:b w:val="0"/>
          <w:sz w:val="24"/>
          <w:szCs w:val="24"/>
          <w:lang w:val="de-CH"/>
        </w:rPr>
      </w:pPr>
      <w:hyperlink w:anchor="_Toc177422561" w:history="1">
        <w:r w:rsidR="00CC1A59" w:rsidRPr="00C87EA3">
          <w:rPr>
            <w:rStyle w:val="Hyperlink"/>
            <w:lang w:val="en-US"/>
          </w:rPr>
          <w:t>B.  Precedents</w:t>
        </w:r>
        <w:r w:rsidR="00CC1A59">
          <w:rPr>
            <w:webHidden/>
          </w:rPr>
          <w:tab/>
        </w:r>
        <w:r w:rsidR="00CC1A59">
          <w:rPr>
            <w:webHidden/>
          </w:rPr>
          <w:fldChar w:fldCharType="begin"/>
        </w:r>
        <w:r w:rsidR="00CC1A59">
          <w:rPr>
            <w:webHidden/>
          </w:rPr>
          <w:instrText xml:space="preserve"> PAGEREF _Toc177422561 \h </w:instrText>
        </w:r>
        <w:r w:rsidR="00CC1A59">
          <w:rPr>
            <w:webHidden/>
          </w:rPr>
        </w:r>
        <w:r w:rsidR="00CC1A59">
          <w:rPr>
            <w:webHidden/>
          </w:rPr>
          <w:fldChar w:fldCharType="separate"/>
        </w:r>
        <w:r w:rsidR="00DF4CEF">
          <w:rPr>
            <w:webHidden/>
          </w:rPr>
          <w:t>6</w:t>
        </w:r>
        <w:r w:rsidR="00CC1A59">
          <w:rPr>
            <w:webHidden/>
          </w:rPr>
          <w:fldChar w:fldCharType="end"/>
        </w:r>
      </w:hyperlink>
    </w:p>
    <w:p w14:paraId="550773DB" w14:textId="77EC8C0A" w:rsidR="00CC1A59" w:rsidRDefault="00011BB0">
      <w:pPr>
        <w:pStyle w:val="Verzeichnis2"/>
        <w:rPr>
          <w:rFonts w:asciiTheme="minorHAnsi" w:eastAsiaTheme="minorEastAsia" w:hAnsiTheme="minorHAnsi" w:cstheme="minorBidi"/>
          <w:szCs w:val="24"/>
        </w:rPr>
      </w:pPr>
      <w:hyperlink w:anchor="_Toc177422562" w:history="1">
        <w:r w:rsidR="00CC1A59" w:rsidRPr="00C87EA3">
          <w:rPr>
            <w:rStyle w:val="Hyperlink"/>
          </w:rPr>
          <w:t>1.  Previous Concluding Observations</w:t>
        </w:r>
        <w:r w:rsidR="00CC1A59">
          <w:rPr>
            <w:webHidden/>
          </w:rPr>
          <w:tab/>
        </w:r>
        <w:r w:rsidR="00CC1A59">
          <w:rPr>
            <w:webHidden/>
          </w:rPr>
          <w:fldChar w:fldCharType="begin"/>
        </w:r>
        <w:r w:rsidR="00CC1A59">
          <w:rPr>
            <w:webHidden/>
          </w:rPr>
          <w:instrText xml:space="preserve"> PAGEREF _Toc177422562 \h </w:instrText>
        </w:r>
        <w:r w:rsidR="00CC1A59">
          <w:rPr>
            <w:webHidden/>
          </w:rPr>
        </w:r>
        <w:r w:rsidR="00CC1A59">
          <w:rPr>
            <w:webHidden/>
          </w:rPr>
          <w:fldChar w:fldCharType="separate"/>
        </w:r>
        <w:r w:rsidR="00DF4CEF">
          <w:rPr>
            <w:webHidden/>
          </w:rPr>
          <w:t>6</w:t>
        </w:r>
        <w:r w:rsidR="00CC1A59">
          <w:rPr>
            <w:webHidden/>
          </w:rPr>
          <w:fldChar w:fldCharType="end"/>
        </w:r>
      </w:hyperlink>
    </w:p>
    <w:p w14:paraId="19F46F8E" w14:textId="563014C3" w:rsidR="00CC1A59" w:rsidRDefault="00011BB0">
      <w:pPr>
        <w:pStyle w:val="Verzeichnis3"/>
        <w:tabs>
          <w:tab w:val="right" w:leader="dot" w:pos="9628"/>
        </w:tabs>
        <w:rPr>
          <w:rFonts w:asciiTheme="minorHAnsi" w:eastAsiaTheme="minorEastAsia" w:hAnsiTheme="minorHAnsi" w:cstheme="minorBidi"/>
          <w:noProof/>
          <w:szCs w:val="24"/>
        </w:rPr>
      </w:pPr>
      <w:hyperlink w:anchor="_Toc177422563" w:history="1">
        <w:r w:rsidR="00CC1A59" w:rsidRPr="00C87EA3">
          <w:rPr>
            <w:rStyle w:val="Hyperlink"/>
            <w:noProof/>
          </w:rPr>
          <w:t>a) Harmful Practices: CRC 2022 (CRC/C/ISL/CO/5-6, para 26(b)+(c))</w:t>
        </w:r>
        <w:r w:rsidR="00CC1A59">
          <w:rPr>
            <w:noProof/>
            <w:webHidden/>
          </w:rPr>
          <w:tab/>
        </w:r>
        <w:r w:rsidR="00CC1A59">
          <w:rPr>
            <w:noProof/>
            <w:webHidden/>
          </w:rPr>
          <w:fldChar w:fldCharType="begin"/>
        </w:r>
        <w:r w:rsidR="00CC1A59">
          <w:rPr>
            <w:noProof/>
            <w:webHidden/>
          </w:rPr>
          <w:instrText xml:space="preserve"> PAGEREF _Toc177422563 \h </w:instrText>
        </w:r>
        <w:r w:rsidR="00CC1A59">
          <w:rPr>
            <w:noProof/>
            <w:webHidden/>
          </w:rPr>
        </w:r>
        <w:r w:rsidR="00CC1A59">
          <w:rPr>
            <w:noProof/>
            <w:webHidden/>
          </w:rPr>
          <w:fldChar w:fldCharType="separate"/>
        </w:r>
        <w:r w:rsidR="00DF4CEF">
          <w:rPr>
            <w:noProof/>
            <w:webHidden/>
          </w:rPr>
          <w:t>6</w:t>
        </w:r>
        <w:r w:rsidR="00CC1A59">
          <w:rPr>
            <w:noProof/>
            <w:webHidden/>
          </w:rPr>
          <w:fldChar w:fldCharType="end"/>
        </w:r>
      </w:hyperlink>
    </w:p>
    <w:p w14:paraId="516849A4" w14:textId="4FA4B71D" w:rsidR="00CC1A59" w:rsidRDefault="00011BB0">
      <w:pPr>
        <w:pStyle w:val="Verzeichnis2"/>
        <w:rPr>
          <w:rFonts w:asciiTheme="minorHAnsi" w:eastAsiaTheme="minorEastAsia" w:hAnsiTheme="minorHAnsi" w:cstheme="minorBidi"/>
          <w:szCs w:val="24"/>
        </w:rPr>
      </w:pPr>
      <w:hyperlink w:anchor="_Toc177422564" w:history="1">
        <w:r w:rsidR="00CC1A59" w:rsidRPr="00C87EA3">
          <w:rPr>
            <w:rStyle w:val="Hyperlink"/>
          </w:rPr>
          <w:t>2.  Current 6th CCPR Cycle: LOIPR and State Party Report</w:t>
        </w:r>
        <w:r w:rsidR="00CC1A59">
          <w:rPr>
            <w:webHidden/>
          </w:rPr>
          <w:tab/>
        </w:r>
        <w:r w:rsidR="00CC1A59">
          <w:rPr>
            <w:webHidden/>
          </w:rPr>
          <w:fldChar w:fldCharType="begin"/>
        </w:r>
        <w:r w:rsidR="00CC1A59">
          <w:rPr>
            <w:webHidden/>
          </w:rPr>
          <w:instrText xml:space="preserve"> PAGEREF _Toc177422564 \h </w:instrText>
        </w:r>
        <w:r w:rsidR="00CC1A59">
          <w:rPr>
            <w:webHidden/>
          </w:rPr>
        </w:r>
        <w:r w:rsidR="00CC1A59">
          <w:rPr>
            <w:webHidden/>
          </w:rPr>
          <w:fldChar w:fldCharType="separate"/>
        </w:r>
        <w:r w:rsidR="00DF4CEF">
          <w:rPr>
            <w:webHidden/>
          </w:rPr>
          <w:t>6</w:t>
        </w:r>
        <w:r w:rsidR="00CC1A59">
          <w:rPr>
            <w:webHidden/>
          </w:rPr>
          <w:fldChar w:fldCharType="end"/>
        </w:r>
      </w:hyperlink>
    </w:p>
    <w:p w14:paraId="28DDF51E" w14:textId="2B6E5F74" w:rsidR="00CC1A59" w:rsidRDefault="00011BB0">
      <w:pPr>
        <w:pStyle w:val="Verzeichnis3"/>
        <w:tabs>
          <w:tab w:val="right" w:leader="dot" w:pos="9628"/>
        </w:tabs>
        <w:rPr>
          <w:rFonts w:asciiTheme="minorHAnsi" w:eastAsiaTheme="minorEastAsia" w:hAnsiTheme="minorHAnsi" w:cstheme="minorBidi"/>
          <w:noProof/>
          <w:szCs w:val="24"/>
        </w:rPr>
      </w:pPr>
      <w:hyperlink w:anchor="_Toc177422565" w:history="1">
        <w:r w:rsidR="00CC1A59" w:rsidRPr="00C87EA3">
          <w:rPr>
            <w:rStyle w:val="Hyperlink"/>
            <w:noProof/>
          </w:rPr>
          <w:t>a) 2021 List of Issues (LOIPR) (CCPR/C/ISL/QPR/6, para 11)</w:t>
        </w:r>
        <w:r w:rsidR="00CC1A59">
          <w:rPr>
            <w:noProof/>
            <w:webHidden/>
          </w:rPr>
          <w:tab/>
        </w:r>
        <w:r w:rsidR="00CC1A59">
          <w:rPr>
            <w:noProof/>
            <w:webHidden/>
          </w:rPr>
          <w:fldChar w:fldCharType="begin"/>
        </w:r>
        <w:r w:rsidR="00CC1A59">
          <w:rPr>
            <w:noProof/>
            <w:webHidden/>
          </w:rPr>
          <w:instrText xml:space="preserve"> PAGEREF _Toc177422565 \h </w:instrText>
        </w:r>
        <w:r w:rsidR="00CC1A59">
          <w:rPr>
            <w:noProof/>
            <w:webHidden/>
          </w:rPr>
        </w:r>
        <w:r w:rsidR="00CC1A59">
          <w:rPr>
            <w:noProof/>
            <w:webHidden/>
          </w:rPr>
          <w:fldChar w:fldCharType="separate"/>
        </w:r>
        <w:r w:rsidR="00DF4CEF">
          <w:rPr>
            <w:noProof/>
            <w:webHidden/>
          </w:rPr>
          <w:t>6</w:t>
        </w:r>
        <w:r w:rsidR="00CC1A59">
          <w:rPr>
            <w:noProof/>
            <w:webHidden/>
          </w:rPr>
          <w:fldChar w:fldCharType="end"/>
        </w:r>
      </w:hyperlink>
    </w:p>
    <w:p w14:paraId="66113FE3" w14:textId="6499A472" w:rsidR="00CC1A59" w:rsidRDefault="00011BB0">
      <w:pPr>
        <w:pStyle w:val="Verzeichnis3"/>
        <w:tabs>
          <w:tab w:val="right" w:leader="dot" w:pos="9628"/>
        </w:tabs>
        <w:rPr>
          <w:rFonts w:asciiTheme="minorHAnsi" w:eastAsiaTheme="minorEastAsia" w:hAnsiTheme="minorHAnsi" w:cstheme="minorBidi"/>
          <w:noProof/>
          <w:szCs w:val="24"/>
        </w:rPr>
      </w:pPr>
      <w:hyperlink w:anchor="_Toc177422566" w:history="1">
        <w:r w:rsidR="00CC1A59" w:rsidRPr="00C87EA3">
          <w:rPr>
            <w:rStyle w:val="Hyperlink"/>
            <w:noProof/>
          </w:rPr>
          <w:t>b) 2023 State Party Report under LOIPR (CCPR/C/ISL/6, paras 68-71)</w:t>
        </w:r>
        <w:r w:rsidR="00CC1A59">
          <w:rPr>
            <w:noProof/>
            <w:webHidden/>
          </w:rPr>
          <w:tab/>
        </w:r>
        <w:r w:rsidR="00CC1A59">
          <w:rPr>
            <w:noProof/>
            <w:webHidden/>
          </w:rPr>
          <w:fldChar w:fldCharType="begin"/>
        </w:r>
        <w:r w:rsidR="00CC1A59">
          <w:rPr>
            <w:noProof/>
            <w:webHidden/>
          </w:rPr>
          <w:instrText xml:space="preserve"> PAGEREF _Toc177422566 \h </w:instrText>
        </w:r>
        <w:r w:rsidR="00CC1A59">
          <w:rPr>
            <w:noProof/>
            <w:webHidden/>
          </w:rPr>
        </w:r>
        <w:r w:rsidR="00CC1A59">
          <w:rPr>
            <w:noProof/>
            <w:webHidden/>
          </w:rPr>
          <w:fldChar w:fldCharType="separate"/>
        </w:r>
        <w:r w:rsidR="00DF4CEF">
          <w:rPr>
            <w:noProof/>
            <w:webHidden/>
          </w:rPr>
          <w:t>6</w:t>
        </w:r>
        <w:r w:rsidR="00CC1A59">
          <w:rPr>
            <w:noProof/>
            <w:webHidden/>
          </w:rPr>
          <w:fldChar w:fldCharType="end"/>
        </w:r>
      </w:hyperlink>
    </w:p>
    <w:p w14:paraId="3ECCC5F3" w14:textId="3022C3E3" w:rsidR="00CC1A59" w:rsidRDefault="00011BB0">
      <w:pPr>
        <w:pStyle w:val="Verzeichnis1"/>
        <w:rPr>
          <w:rFonts w:asciiTheme="minorHAnsi" w:eastAsiaTheme="minorEastAsia" w:hAnsiTheme="minorHAnsi" w:cstheme="minorBidi"/>
          <w:b w:val="0"/>
          <w:sz w:val="24"/>
          <w:szCs w:val="24"/>
          <w:lang w:val="de-CH"/>
        </w:rPr>
      </w:pPr>
      <w:hyperlink w:anchor="_Toc177422567" w:history="1">
        <w:r w:rsidR="00CC1A59" w:rsidRPr="00C87EA3">
          <w:rPr>
            <w:rStyle w:val="Hyperlink"/>
          </w:rPr>
          <w:t>C.  IGM in Iceland: State-sponsored and pervasive, Gov fails to act</w:t>
        </w:r>
        <w:r w:rsidR="00CC1A59">
          <w:rPr>
            <w:webHidden/>
          </w:rPr>
          <w:tab/>
        </w:r>
        <w:r w:rsidR="00CC1A59">
          <w:rPr>
            <w:webHidden/>
          </w:rPr>
          <w:fldChar w:fldCharType="begin"/>
        </w:r>
        <w:r w:rsidR="00CC1A59">
          <w:rPr>
            <w:webHidden/>
          </w:rPr>
          <w:instrText xml:space="preserve"> PAGEREF _Toc177422567 \h </w:instrText>
        </w:r>
        <w:r w:rsidR="00CC1A59">
          <w:rPr>
            <w:webHidden/>
          </w:rPr>
        </w:r>
        <w:r w:rsidR="00CC1A59">
          <w:rPr>
            <w:webHidden/>
          </w:rPr>
          <w:fldChar w:fldCharType="separate"/>
        </w:r>
        <w:r w:rsidR="00DF4CEF">
          <w:rPr>
            <w:webHidden/>
          </w:rPr>
          <w:t>8</w:t>
        </w:r>
        <w:r w:rsidR="00CC1A59">
          <w:rPr>
            <w:webHidden/>
          </w:rPr>
          <w:fldChar w:fldCharType="end"/>
        </w:r>
      </w:hyperlink>
    </w:p>
    <w:p w14:paraId="50D2D6FD" w14:textId="5EF6E9CE" w:rsidR="00CC1A59" w:rsidRDefault="00011BB0">
      <w:pPr>
        <w:pStyle w:val="Verzeichnis2"/>
        <w:rPr>
          <w:rFonts w:asciiTheme="minorHAnsi" w:eastAsiaTheme="minorEastAsia" w:hAnsiTheme="minorHAnsi" w:cstheme="minorBidi"/>
          <w:szCs w:val="24"/>
        </w:rPr>
      </w:pPr>
      <w:hyperlink w:anchor="_Toc177422568" w:history="1">
        <w:r w:rsidR="00CC1A59" w:rsidRPr="00C87EA3">
          <w:rPr>
            <w:rStyle w:val="Hyperlink"/>
          </w:rPr>
          <w:t>1.  Overview: IGM practices in Iceland: Pervasive and with impunity</w:t>
        </w:r>
        <w:r w:rsidR="00CC1A59">
          <w:rPr>
            <w:webHidden/>
          </w:rPr>
          <w:tab/>
        </w:r>
        <w:r w:rsidR="00CC1A59">
          <w:rPr>
            <w:webHidden/>
          </w:rPr>
          <w:fldChar w:fldCharType="begin"/>
        </w:r>
        <w:r w:rsidR="00CC1A59">
          <w:rPr>
            <w:webHidden/>
          </w:rPr>
          <w:instrText xml:space="preserve"> PAGEREF _Toc177422568 \h </w:instrText>
        </w:r>
        <w:r w:rsidR="00CC1A59">
          <w:rPr>
            <w:webHidden/>
          </w:rPr>
        </w:r>
        <w:r w:rsidR="00CC1A59">
          <w:rPr>
            <w:webHidden/>
          </w:rPr>
          <w:fldChar w:fldCharType="separate"/>
        </w:r>
        <w:r w:rsidR="00DF4CEF">
          <w:rPr>
            <w:webHidden/>
          </w:rPr>
          <w:t>8</w:t>
        </w:r>
        <w:r w:rsidR="00CC1A59">
          <w:rPr>
            <w:webHidden/>
          </w:rPr>
          <w:fldChar w:fldCharType="end"/>
        </w:r>
      </w:hyperlink>
    </w:p>
    <w:p w14:paraId="438E8E56" w14:textId="2976B94C" w:rsidR="00CC1A59" w:rsidRDefault="00011BB0">
      <w:pPr>
        <w:pStyle w:val="Verzeichnis2"/>
        <w:rPr>
          <w:rFonts w:asciiTheme="minorHAnsi" w:eastAsiaTheme="minorEastAsia" w:hAnsiTheme="minorHAnsi" w:cstheme="minorBidi"/>
          <w:szCs w:val="24"/>
        </w:rPr>
      </w:pPr>
      <w:hyperlink w:anchor="_Toc177422569" w:history="1">
        <w:r w:rsidR="00CC1A59" w:rsidRPr="00C87EA3">
          <w:rPr>
            <w:rStyle w:val="Hyperlink"/>
          </w:rPr>
          <w:t xml:space="preserve">2.  Iceland’s commitment to </w:t>
        </w:r>
        <w:r w:rsidR="00CC1A59" w:rsidRPr="00C87EA3">
          <w:rPr>
            <w:rStyle w:val="Hyperlink"/>
            <w:i/>
          </w:rPr>
          <w:t>“protect intersex children from violence and harmful practices”</w:t>
        </w:r>
        <w:r w:rsidR="00CC1A59">
          <w:rPr>
            <w:webHidden/>
          </w:rPr>
          <w:tab/>
        </w:r>
        <w:r w:rsidR="00CC1A59">
          <w:rPr>
            <w:webHidden/>
          </w:rPr>
          <w:fldChar w:fldCharType="begin"/>
        </w:r>
        <w:r w:rsidR="00CC1A59">
          <w:rPr>
            <w:webHidden/>
          </w:rPr>
          <w:instrText xml:space="preserve"> PAGEREF _Toc177422569 \h </w:instrText>
        </w:r>
        <w:r w:rsidR="00CC1A59">
          <w:rPr>
            <w:webHidden/>
          </w:rPr>
        </w:r>
        <w:r w:rsidR="00CC1A59">
          <w:rPr>
            <w:webHidden/>
          </w:rPr>
          <w:fldChar w:fldCharType="separate"/>
        </w:r>
        <w:r w:rsidR="00DF4CEF">
          <w:rPr>
            <w:webHidden/>
          </w:rPr>
          <w:t>8</w:t>
        </w:r>
        <w:r w:rsidR="00CC1A59">
          <w:rPr>
            <w:webHidden/>
          </w:rPr>
          <w:fldChar w:fldCharType="end"/>
        </w:r>
      </w:hyperlink>
    </w:p>
    <w:p w14:paraId="4EF75EB2" w14:textId="4303AE49" w:rsidR="00CC1A59" w:rsidRDefault="00011BB0">
      <w:pPr>
        <w:pStyle w:val="Verzeichnis3"/>
        <w:tabs>
          <w:tab w:val="right" w:leader="dot" w:pos="9628"/>
        </w:tabs>
        <w:rPr>
          <w:rFonts w:asciiTheme="minorHAnsi" w:eastAsiaTheme="minorEastAsia" w:hAnsiTheme="minorHAnsi" w:cstheme="minorBidi"/>
          <w:noProof/>
          <w:szCs w:val="24"/>
        </w:rPr>
      </w:pPr>
      <w:hyperlink w:anchor="_Toc177422570" w:history="1">
        <w:r w:rsidR="00CC1A59" w:rsidRPr="00C87EA3">
          <w:rPr>
            <w:rStyle w:val="Hyperlink"/>
            <w:noProof/>
          </w:rPr>
          <w:t>a) UNHRC45 Statement, 01.10.2020</w:t>
        </w:r>
        <w:r w:rsidR="00CC1A59">
          <w:rPr>
            <w:noProof/>
            <w:webHidden/>
          </w:rPr>
          <w:tab/>
        </w:r>
        <w:r w:rsidR="00CC1A59">
          <w:rPr>
            <w:noProof/>
            <w:webHidden/>
          </w:rPr>
          <w:fldChar w:fldCharType="begin"/>
        </w:r>
        <w:r w:rsidR="00CC1A59">
          <w:rPr>
            <w:noProof/>
            <w:webHidden/>
          </w:rPr>
          <w:instrText xml:space="preserve"> PAGEREF _Toc177422570 \h </w:instrText>
        </w:r>
        <w:r w:rsidR="00CC1A59">
          <w:rPr>
            <w:noProof/>
            <w:webHidden/>
          </w:rPr>
        </w:r>
        <w:r w:rsidR="00CC1A59">
          <w:rPr>
            <w:noProof/>
            <w:webHidden/>
          </w:rPr>
          <w:fldChar w:fldCharType="separate"/>
        </w:r>
        <w:r w:rsidR="00DF4CEF">
          <w:rPr>
            <w:noProof/>
            <w:webHidden/>
          </w:rPr>
          <w:t>8</w:t>
        </w:r>
        <w:r w:rsidR="00CC1A59">
          <w:rPr>
            <w:noProof/>
            <w:webHidden/>
          </w:rPr>
          <w:fldChar w:fldCharType="end"/>
        </w:r>
      </w:hyperlink>
    </w:p>
    <w:p w14:paraId="02F8AA42" w14:textId="1F6879E0" w:rsidR="00CC1A59" w:rsidRDefault="00011BB0">
      <w:pPr>
        <w:pStyle w:val="Verzeichnis3"/>
        <w:tabs>
          <w:tab w:val="right" w:leader="dot" w:pos="9628"/>
        </w:tabs>
        <w:rPr>
          <w:rFonts w:asciiTheme="minorHAnsi" w:eastAsiaTheme="minorEastAsia" w:hAnsiTheme="minorHAnsi" w:cstheme="minorBidi"/>
          <w:noProof/>
          <w:szCs w:val="24"/>
        </w:rPr>
      </w:pPr>
      <w:hyperlink w:anchor="_Toc177422571" w:history="1">
        <w:r w:rsidR="00CC1A59" w:rsidRPr="00C87EA3">
          <w:rPr>
            <w:rStyle w:val="Hyperlink"/>
            <w:noProof/>
          </w:rPr>
          <w:t>b) UNHRC48 Statement, 04.10.2021</w:t>
        </w:r>
        <w:r w:rsidR="00CC1A59">
          <w:rPr>
            <w:noProof/>
            <w:webHidden/>
          </w:rPr>
          <w:tab/>
        </w:r>
        <w:r w:rsidR="00CC1A59">
          <w:rPr>
            <w:noProof/>
            <w:webHidden/>
          </w:rPr>
          <w:fldChar w:fldCharType="begin"/>
        </w:r>
        <w:r w:rsidR="00CC1A59">
          <w:rPr>
            <w:noProof/>
            <w:webHidden/>
          </w:rPr>
          <w:instrText xml:space="preserve"> PAGEREF _Toc177422571 \h </w:instrText>
        </w:r>
        <w:r w:rsidR="00CC1A59">
          <w:rPr>
            <w:noProof/>
            <w:webHidden/>
          </w:rPr>
        </w:r>
        <w:r w:rsidR="00CC1A59">
          <w:rPr>
            <w:noProof/>
            <w:webHidden/>
          </w:rPr>
          <w:fldChar w:fldCharType="separate"/>
        </w:r>
        <w:r w:rsidR="00DF4CEF">
          <w:rPr>
            <w:noProof/>
            <w:webHidden/>
          </w:rPr>
          <w:t>8</w:t>
        </w:r>
        <w:r w:rsidR="00CC1A59">
          <w:rPr>
            <w:noProof/>
            <w:webHidden/>
          </w:rPr>
          <w:fldChar w:fldCharType="end"/>
        </w:r>
      </w:hyperlink>
    </w:p>
    <w:p w14:paraId="18A8666B" w14:textId="6DA08D23" w:rsidR="00CC1A59" w:rsidRDefault="00011BB0">
      <w:pPr>
        <w:pStyle w:val="Verzeichnis3"/>
        <w:tabs>
          <w:tab w:val="right" w:leader="dot" w:pos="9628"/>
        </w:tabs>
        <w:rPr>
          <w:rFonts w:asciiTheme="minorHAnsi" w:eastAsiaTheme="minorEastAsia" w:hAnsiTheme="minorHAnsi" w:cstheme="minorBidi"/>
          <w:noProof/>
          <w:szCs w:val="24"/>
        </w:rPr>
      </w:pPr>
      <w:hyperlink w:anchor="_Toc177422572" w:history="1">
        <w:r w:rsidR="00CC1A59" w:rsidRPr="00C87EA3">
          <w:rPr>
            <w:rStyle w:val="Hyperlink"/>
            <w:noProof/>
          </w:rPr>
          <w:t>c) UNHRC54 Statement, 04.10.2023</w:t>
        </w:r>
        <w:r w:rsidR="00CC1A59">
          <w:rPr>
            <w:noProof/>
            <w:webHidden/>
          </w:rPr>
          <w:tab/>
        </w:r>
        <w:r w:rsidR="00CC1A59">
          <w:rPr>
            <w:noProof/>
            <w:webHidden/>
          </w:rPr>
          <w:fldChar w:fldCharType="begin"/>
        </w:r>
        <w:r w:rsidR="00CC1A59">
          <w:rPr>
            <w:noProof/>
            <w:webHidden/>
          </w:rPr>
          <w:instrText xml:space="preserve"> PAGEREF _Toc177422572 \h </w:instrText>
        </w:r>
        <w:r w:rsidR="00CC1A59">
          <w:rPr>
            <w:noProof/>
            <w:webHidden/>
          </w:rPr>
        </w:r>
        <w:r w:rsidR="00CC1A59">
          <w:rPr>
            <w:noProof/>
            <w:webHidden/>
          </w:rPr>
          <w:fldChar w:fldCharType="separate"/>
        </w:r>
        <w:r w:rsidR="00DF4CEF">
          <w:rPr>
            <w:noProof/>
            <w:webHidden/>
          </w:rPr>
          <w:t>9</w:t>
        </w:r>
        <w:r w:rsidR="00CC1A59">
          <w:rPr>
            <w:noProof/>
            <w:webHidden/>
          </w:rPr>
          <w:fldChar w:fldCharType="end"/>
        </w:r>
      </w:hyperlink>
    </w:p>
    <w:p w14:paraId="0F6DD272" w14:textId="712FA684" w:rsidR="00CC1A59" w:rsidRDefault="00011BB0">
      <w:pPr>
        <w:pStyle w:val="Verzeichnis3"/>
        <w:tabs>
          <w:tab w:val="right" w:leader="dot" w:pos="9628"/>
        </w:tabs>
        <w:rPr>
          <w:rFonts w:asciiTheme="minorHAnsi" w:eastAsiaTheme="minorEastAsia" w:hAnsiTheme="minorHAnsi" w:cstheme="minorBidi"/>
          <w:noProof/>
          <w:szCs w:val="24"/>
        </w:rPr>
      </w:pPr>
      <w:hyperlink w:anchor="_Toc177422573" w:history="1">
        <w:r w:rsidR="00CC1A59" w:rsidRPr="00C87EA3">
          <w:rPr>
            <w:rStyle w:val="Hyperlink"/>
            <w:noProof/>
          </w:rPr>
          <w:t xml:space="preserve">d) UNHRC55 Intersex Resolution A/HRC/55/L.9 co-sponsored by Iceland, </w:t>
        </w:r>
        <w:r w:rsidR="00CC1A59" w:rsidRPr="00C87EA3">
          <w:rPr>
            <w:rStyle w:val="Hyperlink"/>
            <w:noProof/>
            <w:w w:val="97"/>
          </w:rPr>
          <w:t>21.03.2024</w:t>
        </w:r>
        <w:r w:rsidR="00CC1A59">
          <w:rPr>
            <w:noProof/>
            <w:webHidden/>
          </w:rPr>
          <w:tab/>
        </w:r>
        <w:r w:rsidR="00CC1A59">
          <w:rPr>
            <w:noProof/>
            <w:webHidden/>
          </w:rPr>
          <w:fldChar w:fldCharType="begin"/>
        </w:r>
        <w:r w:rsidR="00CC1A59">
          <w:rPr>
            <w:noProof/>
            <w:webHidden/>
          </w:rPr>
          <w:instrText xml:space="preserve"> PAGEREF _Toc177422573 \h </w:instrText>
        </w:r>
        <w:r w:rsidR="00CC1A59">
          <w:rPr>
            <w:noProof/>
            <w:webHidden/>
          </w:rPr>
        </w:r>
        <w:r w:rsidR="00CC1A59">
          <w:rPr>
            <w:noProof/>
            <w:webHidden/>
          </w:rPr>
          <w:fldChar w:fldCharType="separate"/>
        </w:r>
        <w:r w:rsidR="00DF4CEF">
          <w:rPr>
            <w:noProof/>
            <w:webHidden/>
          </w:rPr>
          <w:t>9</w:t>
        </w:r>
        <w:r w:rsidR="00CC1A59">
          <w:rPr>
            <w:noProof/>
            <w:webHidden/>
          </w:rPr>
          <w:fldChar w:fldCharType="end"/>
        </w:r>
      </w:hyperlink>
    </w:p>
    <w:p w14:paraId="032F130B" w14:textId="382A3F25" w:rsidR="00CC1A59" w:rsidRDefault="00011BB0">
      <w:pPr>
        <w:pStyle w:val="Verzeichnis2"/>
        <w:rPr>
          <w:rFonts w:asciiTheme="minorHAnsi" w:eastAsiaTheme="minorEastAsia" w:hAnsiTheme="minorHAnsi" w:cstheme="minorBidi"/>
          <w:szCs w:val="24"/>
        </w:rPr>
      </w:pPr>
      <w:hyperlink w:anchor="_Toc177422574" w:history="1">
        <w:r w:rsidR="00CC1A59" w:rsidRPr="00C87EA3">
          <w:rPr>
            <w:rStyle w:val="Hyperlink"/>
          </w:rPr>
          <w:t>3.  Most Common IGM Forms advocated by and perpetrated by Iceland</w:t>
        </w:r>
        <w:r w:rsidR="00CC1A59">
          <w:rPr>
            <w:webHidden/>
          </w:rPr>
          <w:tab/>
        </w:r>
        <w:r w:rsidR="00CC1A59">
          <w:rPr>
            <w:webHidden/>
          </w:rPr>
          <w:fldChar w:fldCharType="begin"/>
        </w:r>
        <w:r w:rsidR="00CC1A59">
          <w:rPr>
            <w:webHidden/>
          </w:rPr>
          <w:instrText xml:space="preserve"> PAGEREF _Toc177422574 \h </w:instrText>
        </w:r>
        <w:r w:rsidR="00CC1A59">
          <w:rPr>
            <w:webHidden/>
          </w:rPr>
        </w:r>
        <w:r w:rsidR="00CC1A59">
          <w:rPr>
            <w:webHidden/>
          </w:rPr>
          <w:fldChar w:fldCharType="separate"/>
        </w:r>
        <w:r w:rsidR="00DF4CEF">
          <w:rPr>
            <w:webHidden/>
          </w:rPr>
          <w:t>9</w:t>
        </w:r>
        <w:r w:rsidR="00CC1A59">
          <w:rPr>
            <w:webHidden/>
          </w:rPr>
          <w:fldChar w:fldCharType="end"/>
        </w:r>
      </w:hyperlink>
    </w:p>
    <w:p w14:paraId="3FFA463E" w14:textId="76CBDFD1" w:rsidR="00CC1A59" w:rsidRDefault="00011BB0">
      <w:pPr>
        <w:pStyle w:val="Verzeichnis3"/>
        <w:tabs>
          <w:tab w:val="right" w:leader="dot" w:pos="9628"/>
        </w:tabs>
        <w:rPr>
          <w:rFonts w:asciiTheme="minorHAnsi" w:eastAsiaTheme="minorEastAsia" w:hAnsiTheme="minorHAnsi" w:cstheme="minorBidi"/>
          <w:noProof/>
          <w:szCs w:val="24"/>
        </w:rPr>
      </w:pPr>
      <w:hyperlink w:anchor="_Toc177422575" w:history="1">
        <w:r w:rsidR="00CC1A59" w:rsidRPr="00C87EA3">
          <w:rPr>
            <w:rStyle w:val="Hyperlink"/>
            <w:noProof/>
          </w:rPr>
          <w:t>a) IGM 3 – Sterilising Procedures: Castration / “Gonadectomy” / Hysterectomy</w:t>
        </w:r>
        <w:r w:rsidR="00CC1A59">
          <w:rPr>
            <w:noProof/>
            <w:webHidden/>
          </w:rPr>
          <w:tab/>
        </w:r>
        <w:r w:rsidR="00CC1A59">
          <w:rPr>
            <w:noProof/>
            <w:webHidden/>
          </w:rPr>
          <w:fldChar w:fldCharType="begin"/>
        </w:r>
        <w:r w:rsidR="00CC1A59">
          <w:rPr>
            <w:noProof/>
            <w:webHidden/>
          </w:rPr>
          <w:instrText xml:space="preserve"> PAGEREF _Toc177422575 \h </w:instrText>
        </w:r>
        <w:r w:rsidR="00CC1A59">
          <w:rPr>
            <w:noProof/>
            <w:webHidden/>
          </w:rPr>
        </w:r>
        <w:r w:rsidR="00CC1A59">
          <w:rPr>
            <w:noProof/>
            <w:webHidden/>
          </w:rPr>
          <w:fldChar w:fldCharType="separate"/>
        </w:r>
        <w:r w:rsidR="00DF4CEF">
          <w:rPr>
            <w:noProof/>
            <w:webHidden/>
          </w:rPr>
          <w:t>10</w:t>
        </w:r>
        <w:r w:rsidR="00CC1A59">
          <w:rPr>
            <w:noProof/>
            <w:webHidden/>
          </w:rPr>
          <w:fldChar w:fldCharType="end"/>
        </w:r>
      </w:hyperlink>
    </w:p>
    <w:p w14:paraId="7F6589AB" w14:textId="37159B4B" w:rsidR="00CC1A59" w:rsidRDefault="00011BB0">
      <w:pPr>
        <w:pStyle w:val="Verzeichnis3"/>
        <w:tabs>
          <w:tab w:val="right" w:leader="dot" w:pos="9628"/>
        </w:tabs>
        <w:rPr>
          <w:rFonts w:asciiTheme="minorHAnsi" w:eastAsiaTheme="minorEastAsia" w:hAnsiTheme="minorHAnsi" w:cstheme="minorBidi"/>
          <w:noProof/>
          <w:szCs w:val="24"/>
        </w:rPr>
      </w:pPr>
      <w:hyperlink w:anchor="_Toc177422576" w:history="1">
        <w:r w:rsidR="00CC1A59" w:rsidRPr="00C87EA3">
          <w:rPr>
            <w:rStyle w:val="Hyperlink"/>
            <w:noProof/>
          </w:rPr>
          <w:t>b) IGM 2 – “Feminising Procedures”: Clitoris Amputation/“Reduction”, “Vaginoplasty”</w:t>
        </w:r>
        <w:r w:rsidR="00CC1A59">
          <w:rPr>
            <w:noProof/>
            <w:webHidden/>
          </w:rPr>
          <w:tab/>
        </w:r>
        <w:r w:rsidR="00CC1A59">
          <w:rPr>
            <w:noProof/>
            <w:webHidden/>
          </w:rPr>
          <w:fldChar w:fldCharType="begin"/>
        </w:r>
        <w:r w:rsidR="00CC1A59">
          <w:rPr>
            <w:noProof/>
            <w:webHidden/>
          </w:rPr>
          <w:instrText xml:space="preserve"> PAGEREF _Toc177422576 \h </w:instrText>
        </w:r>
        <w:r w:rsidR="00CC1A59">
          <w:rPr>
            <w:noProof/>
            <w:webHidden/>
          </w:rPr>
        </w:r>
        <w:r w:rsidR="00CC1A59">
          <w:rPr>
            <w:noProof/>
            <w:webHidden/>
          </w:rPr>
          <w:fldChar w:fldCharType="separate"/>
        </w:r>
        <w:r w:rsidR="00DF4CEF">
          <w:rPr>
            <w:noProof/>
            <w:webHidden/>
          </w:rPr>
          <w:t>10</w:t>
        </w:r>
        <w:r w:rsidR="00CC1A59">
          <w:rPr>
            <w:noProof/>
            <w:webHidden/>
          </w:rPr>
          <w:fldChar w:fldCharType="end"/>
        </w:r>
      </w:hyperlink>
    </w:p>
    <w:p w14:paraId="755F7175" w14:textId="5D66D9C2" w:rsidR="00CC1A59" w:rsidRDefault="00011BB0">
      <w:pPr>
        <w:pStyle w:val="Verzeichnis3"/>
        <w:tabs>
          <w:tab w:val="right" w:leader="dot" w:pos="9628"/>
        </w:tabs>
        <w:rPr>
          <w:rFonts w:asciiTheme="minorHAnsi" w:eastAsiaTheme="minorEastAsia" w:hAnsiTheme="minorHAnsi" w:cstheme="minorBidi"/>
          <w:noProof/>
          <w:szCs w:val="24"/>
        </w:rPr>
      </w:pPr>
      <w:hyperlink w:anchor="_Toc177422577" w:history="1">
        <w:r w:rsidR="00CC1A59" w:rsidRPr="00C87EA3">
          <w:rPr>
            <w:rStyle w:val="Hyperlink"/>
            <w:noProof/>
          </w:rPr>
          <w:t>c) IGM 1 – “Masculinising Surgery”: Hypospadias “Repair”</w:t>
        </w:r>
        <w:r w:rsidR="00CC1A59">
          <w:rPr>
            <w:noProof/>
            <w:webHidden/>
          </w:rPr>
          <w:tab/>
        </w:r>
        <w:r w:rsidR="00CC1A59">
          <w:rPr>
            <w:noProof/>
            <w:webHidden/>
          </w:rPr>
          <w:fldChar w:fldCharType="begin"/>
        </w:r>
        <w:r w:rsidR="00CC1A59">
          <w:rPr>
            <w:noProof/>
            <w:webHidden/>
          </w:rPr>
          <w:instrText xml:space="preserve"> PAGEREF _Toc177422577 \h </w:instrText>
        </w:r>
        <w:r w:rsidR="00CC1A59">
          <w:rPr>
            <w:noProof/>
            <w:webHidden/>
          </w:rPr>
        </w:r>
        <w:r w:rsidR="00CC1A59">
          <w:rPr>
            <w:noProof/>
            <w:webHidden/>
          </w:rPr>
          <w:fldChar w:fldCharType="separate"/>
        </w:r>
        <w:r w:rsidR="00DF4CEF">
          <w:rPr>
            <w:noProof/>
            <w:webHidden/>
          </w:rPr>
          <w:t>11</w:t>
        </w:r>
        <w:r w:rsidR="00CC1A59">
          <w:rPr>
            <w:noProof/>
            <w:webHidden/>
          </w:rPr>
          <w:fldChar w:fldCharType="end"/>
        </w:r>
      </w:hyperlink>
    </w:p>
    <w:p w14:paraId="69909DF2" w14:textId="615343ED" w:rsidR="00CC1A59" w:rsidRDefault="00011BB0">
      <w:pPr>
        <w:pStyle w:val="Verzeichnis2"/>
        <w:rPr>
          <w:rFonts w:asciiTheme="minorHAnsi" w:eastAsiaTheme="minorEastAsia" w:hAnsiTheme="minorHAnsi" w:cstheme="minorBidi"/>
          <w:szCs w:val="24"/>
        </w:rPr>
      </w:pPr>
      <w:hyperlink w:anchor="_Toc177422578" w:history="1">
        <w:r w:rsidR="00CC1A59" w:rsidRPr="00C87EA3">
          <w:rPr>
            <w:rStyle w:val="Hyperlink"/>
          </w:rPr>
          <w:t>4.  Lack of independent data collection and monitoring</w:t>
        </w:r>
        <w:r w:rsidR="00CC1A59">
          <w:rPr>
            <w:webHidden/>
          </w:rPr>
          <w:tab/>
        </w:r>
        <w:r w:rsidR="00CC1A59">
          <w:rPr>
            <w:webHidden/>
          </w:rPr>
          <w:fldChar w:fldCharType="begin"/>
        </w:r>
        <w:r w:rsidR="00CC1A59">
          <w:rPr>
            <w:webHidden/>
          </w:rPr>
          <w:instrText xml:space="preserve"> PAGEREF _Toc177422578 \h </w:instrText>
        </w:r>
        <w:r w:rsidR="00CC1A59">
          <w:rPr>
            <w:webHidden/>
          </w:rPr>
        </w:r>
        <w:r w:rsidR="00CC1A59">
          <w:rPr>
            <w:webHidden/>
          </w:rPr>
          <w:fldChar w:fldCharType="separate"/>
        </w:r>
        <w:r w:rsidR="00DF4CEF">
          <w:rPr>
            <w:webHidden/>
          </w:rPr>
          <w:t>12</w:t>
        </w:r>
        <w:r w:rsidR="00CC1A59">
          <w:rPr>
            <w:webHidden/>
          </w:rPr>
          <w:fldChar w:fldCharType="end"/>
        </w:r>
      </w:hyperlink>
    </w:p>
    <w:p w14:paraId="6C084446" w14:textId="0D132293" w:rsidR="00CC1A59" w:rsidRDefault="00011BB0">
      <w:pPr>
        <w:pStyle w:val="Verzeichnis2"/>
        <w:rPr>
          <w:rFonts w:asciiTheme="minorHAnsi" w:eastAsiaTheme="minorEastAsia" w:hAnsiTheme="minorHAnsi" w:cstheme="minorBidi"/>
          <w:szCs w:val="24"/>
        </w:rPr>
      </w:pPr>
      <w:hyperlink w:anchor="_Toc177422579" w:history="1">
        <w:r w:rsidR="00CC1A59" w:rsidRPr="00C87EA3">
          <w:rPr>
            <w:rStyle w:val="Hyperlink"/>
          </w:rPr>
          <w:t>5.  Insufficient new Act No. 154/2020 aimed at prohibiting IGM practices</w:t>
        </w:r>
        <w:r w:rsidR="00CC1A59">
          <w:rPr>
            <w:webHidden/>
          </w:rPr>
          <w:tab/>
        </w:r>
        <w:r w:rsidR="00CC1A59">
          <w:rPr>
            <w:webHidden/>
          </w:rPr>
          <w:fldChar w:fldCharType="begin"/>
        </w:r>
        <w:r w:rsidR="00CC1A59">
          <w:rPr>
            <w:webHidden/>
          </w:rPr>
          <w:instrText xml:space="preserve"> PAGEREF _Toc177422579 \h </w:instrText>
        </w:r>
        <w:r w:rsidR="00CC1A59">
          <w:rPr>
            <w:webHidden/>
          </w:rPr>
        </w:r>
        <w:r w:rsidR="00CC1A59">
          <w:rPr>
            <w:webHidden/>
          </w:rPr>
          <w:fldChar w:fldCharType="separate"/>
        </w:r>
        <w:r w:rsidR="00DF4CEF">
          <w:rPr>
            <w:webHidden/>
          </w:rPr>
          <w:t>12</w:t>
        </w:r>
        <w:r w:rsidR="00CC1A59">
          <w:rPr>
            <w:webHidden/>
          </w:rPr>
          <w:fldChar w:fldCharType="end"/>
        </w:r>
      </w:hyperlink>
    </w:p>
    <w:p w14:paraId="143018D5" w14:textId="5FBBB697" w:rsidR="00CC1A59" w:rsidRDefault="00011BB0">
      <w:pPr>
        <w:pStyle w:val="Verzeichnis1"/>
        <w:rPr>
          <w:rFonts w:asciiTheme="minorHAnsi" w:eastAsiaTheme="minorEastAsia" w:hAnsiTheme="minorHAnsi" w:cstheme="minorBidi"/>
          <w:b w:val="0"/>
          <w:sz w:val="24"/>
          <w:szCs w:val="24"/>
          <w:lang w:val="de-CH"/>
        </w:rPr>
      </w:pPr>
      <w:hyperlink w:anchor="_Toc177422580" w:history="1">
        <w:r w:rsidR="00CC1A59" w:rsidRPr="00C87EA3">
          <w:rPr>
            <w:rStyle w:val="Hyperlink"/>
            <w:lang w:val="en"/>
          </w:rPr>
          <w:t>D.  Suggested Questions for the dialogue</w:t>
        </w:r>
        <w:r w:rsidR="00CC1A59">
          <w:rPr>
            <w:webHidden/>
          </w:rPr>
          <w:tab/>
        </w:r>
        <w:r w:rsidR="00CC1A59">
          <w:rPr>
            <w:webHidden/>
          </w:rPr>
          <w:fldChar w:fldCharType="begin"/>
        </w:r>
        <w:r w:rsidR="00CC1A59">
          <w:rPr>
            <w:webHidden/>
          </w:rPr>
          <w:instrText xml:space="preserve"> PAGEREF _Toc177422580 \h </w:instrText>
        </w:r>
        <w:r w:rsidR="00CC1A59">
          <w:rPr>
            <w:webHidden/>
          </w:rPr>
        </w:r>
        <w:r w:rsidR="00CC1A59">
          <w:rPr>
            <w:webHidden/>
          </w:rPr>
          <w:fldChar w:fldCharType="separate"/>
        </w:r>
        <w:r w:rsidR="00DF4CEF">
          <w:rPr>
            <w:webHidden/>
          </w:rPr>
          <w:t>16</w:t>
        </w:r>
        <w:r w:rsidR="00CC1A59">
          <w:rPr>
            <w:webHidden/>
          </w:rPr>
          <w:fldChar w:fldCharType="end"/>
        </w:r>
      </w:hyperlink>
    </w:p>
    <w:p w14:paraId="14357055" w14:textId="48702D99" w:rsidR="00CC1A59" w:rsidRPr="00CC1A59" w:rsidRDefault="00011BB0">
      <w:pPr>
        <w:pStyle w:val="Verzeichnis1"/>
        <w:rPr>
          <w:rFonts w:asciiTheme="minorHAnsi" w:eastAsiaTheme="minorEastAsia" w:hAnsiTheme="minorHAnsi" w:cstheme="minorBidi"/>
          <w:b w:val="0"/>
          <w:sz w:val="36"/>
          <w:szCs w:val="36"/>
          <w:lang w:val="de-CH"/>
        </w:rPr>
      </w:pPr>
      <w:hyperlink w:anchor="_Toc177422581" w:history="1">
        <w:r w:rsidR="00CC1A59" w:rsidRPr="00CC1A59">
          <w:rPr>
            <w:rStyle w:val="Hyperlink"/>
            <w:sz w:val="36"/>
            <w:szCs w:val="36"/>
            <w:lang w:val="en"/>
          </w:rPr>
          <w:t>E.  Suggested Recommendations</w:t>
        </w:r>
        <w:r w:rsidR="00CC1A59" w:rsidRPr="00CC1A59">
          <w:rPr>
            <w:webHidden/>
            <w:sz w:val="36"/>
            <w:szCs w:val="36"/>
          </w:rPr>
          <w:tab/>
        </w:r>
        <w:r w:rsidR="00CC1A59" w:rsidRPr="00CC1A59">
          <w:rPr>
            <w:webHidden/>
            <w:sz w:val="36"/>
            <w:szCs w:val="36"/>
          </w:rPr>
          <w:fldChar w:fldCharType="begin"/>
        </w:r>
        <w:r w:rsidR="00CC1A59" w:rsidRPr="00CC1A59">
          <w:rPr>
            <w:webHidden/>
            <w:sz w:val="36"/>
            <w:szCs w:val="36"/>
          </w:rPr>
          <w:instrText xml:space="preserve"> PAGEREF _Toc177422581 \h </w:instrText>
        </w:r>
        <w:r w:rsidR="00CC1A59" w:rsidRPr="00CC1A59">
          <w:rPr>
            <w:webHidden/>
            <w:sz w:val="36"/>
            <w:szCs w:val="36"/>
          </w:rPr>
        </w:r>
        <w:r w:rsidR="00CC1A59" w:rsidRPr="00CC1A59">
          <w:rPr>
            <w:webHidden/>
            <w:sz w:val="36"/>
            <w:szCs w:val="36"/>
          </w:rPr>
          <w:fldChar w:fldCharType="separate"/>
        </w:r>
        <w:r w:rsidR="00DF4CEF">
          <w:rPr>
            <w:webHidden/>
            <w:sz w:val="36"/>
            <w:szCs w:val="36"/>
          </w:rPr>
          <w:t>17</w:t>
        </w:r>
        <w:r w:rsidR="00CC1A59" w:rsidRPr="00CC1A59">
          <w:rPr>
            <w:webHidden/>
            <w:sz w:val="36"/>
            <w:szCs w:val="36"/>
          </w:rPr>
          <w:fldChar w:fldCharType="end"/>
        </w:r>
      </w:hyperlink>
    </w:p>
    <w:p w14:paraId="273CF648" w14:textId="06994D78" w:rsidR="00345E3F" w:rsidRPr="00E3158E" w:rsidRDefault="00B556E9" w:rsidP="00A760A8">
      <w:pPr>
        <w:pStyle w:val="EinfacherAbsatz"/>
        <w:rPr>
          <w:rFonts w:ascii="Arial" w:eastAsia="ColossalisBold" w:hAnsi="Arial" w:cs="Arial"/>
          <w:b/>
          <w:bCs/>
          <w:color w:val="5E175E"/>
          <w:spacing w:val="11"/>
          <w:w w:val="95"/>
          <w:sz w:val="30"/>
          <w:szCs w:val="30"/>
          <w:lang w:val="en-GB"/>
        </w:rPr>
      </w:pPr>
      <w:r w:rsidRPr="00E3158E">
        <w:rPr>
          <w:rFonts w:ascii="Arial" w:eastAsia="ColossalisBold" w:hAnsi="Arial" w:cs="Arial"/>
          <w:bCs/>
          <w:noProof/>
          <w:color w:val="5E175E"/>
          <w:spacing w:val="11"/>
          <w:w w:val="95"/>
          <w:sz w:val="30"/>
          <w:szCs w:val="30"/>
          <w:lang w:val="en-GB"/>
        </w:rPr>
        <w:fldChar w:fldCharType="end"/>
      </w:r>
    </w:p>
    <w:p w14:paraId="4D8ADB6C" w14:textId="0BEF8078" w:rsidR="001C58BA" w:rsidRPr="007D13DE" w:rsidRDefault="00444DDB" w:rsidP="005244FB">
      <w:pPr>
        <w:pStyle w:val="Title1"/>
        <w:rPr>
          <w:rFonts w:eastAsia="Baskerville" w:cs="Times New Roman"/>
          <w:spacing w:val="2"/>
          <w:lang w:val="en-GB"/>
        </w:rPr>
      </w:pPr>
      <w:bookmarkStart w:id="10" w:name="_Toc463295398"/>
      <w:bookmarkStart w:id="11" w:name="_Toc472687682"/>
      <w:bookmarkStart w:id="12" w:name="_Toc485093563"/>
      <w:bookmarkStart w:id="13" w:name="_Toc177422557"/>
      <w:r w:rsidRPr="007D13DE">
        <w:rPr>
          <w:lang w:val="en-GB"/>
        </w:rPr>
        <w:lastRenderedPageBreak/>
        <w:t xml:space="preserve">A.  </w:t>
      </w:r>
      <w:r w:rsidR="001515AB" w:rsidRPr="007D13DE">
        <w:rPr>
          <w:lang w:val="en-GB"/>
        </w:rPr>
        <w:t>Introduction</w:t>
      </w:r>
      <w:bookmarkStart w:id="14" w:name="_Toc453620703"/>
      <w:bookmarkStart w:id="15" w:name="_Toc463295399"/>
      <w:bookmarkStart w:id="16" w:name="_Toc472687683"/>
      <w:bookmarkEnd w:id="8"/>
      <w:bookmarkEnd w:id="9"/>
      <w:bookmarkEnd w:id="10"/>
      <w:bookmarkEnd w:id="11"/>
      <w:bookmarkEnd w:id="12"/>
      <w:bookmarkEnd w:id="13"/>
    </w:p>
    <w:p w14:paraId="6310A5C9" w14:textId="3E34F18C" w:rsidR="00141C4F" w:rsidRPr="007D13DE" w:rsidRDefault="00F57504" w:rsidP="00C31717">
      <w:pPr>
        <w:pStyle w:val="Title2"/>
        <w:rPr>
          <w:rFonts w:eastAsia="Baskerville"/>
          <w:szCs w:val="24"/>
        </w:rPr>
      </w:pPr>
      <w:bookmarkStart w:id="17" w:name="_Toc485093564"/>
      <w:bookmarkStart w:id="18" w:name="_Toc177422558"/>
      <w:r w:rsidRPr="007D13DE">
        <w:t xml:space="preserve">1.  </w:t>
      </w:r>
      <w:r w:rsidR="0068309D" w:rsidRPr="007D13DE">
        <w:t>Iceland</w:t>
      </w:r>
      <w:r w:rsidRPr="007D13DE">
        <w:t>: Intersex Human Rights</w:t>
      </w:r>
      <w:r w:rsidR="00141C4F" w:rsidRPr="007D13DE">
        <w:t xml:space="preserve"> and State</w:t>
      </w:r>
      <w:r w:rsidR="00C557F5" w:rsidRPr="007D13DE">
        <w:t xml:space="preserve"> Party</w:t>
      </w:r>
      <w:r w:rsidR="00141C4F" w:rsidRPr="007D13DE">
        <w:t xml:space="preserve"> Report</w:t>
      </w:r>
      <w:bookmarkEnd w:id="14"/>
      <w:bookmarkEnd w:id="15"/>
      <w:bookmarkEnd w:id="16"/>
      <w:bookmarkEnd w:id="17"/>
      <w:bookmarkEnd w:id="18"/>
    </w:p>
    <w:p w14:paraId="1EEDE5ED" w14:textId="60C3B982" w:rsidR="00C557F5" w:rsidRPr="007D13DE" w:rsidRDefault="00C557F5" w:rsidP="00C557F5">
      <w:pPr>
        <w:pStyle w:val="absatzschattenbericht"/>
        <w:spacing w:after="100" w:line="276" w:lineRule="auto"/>
        <w:rPr>
          <w:rFonts w:eastAsia="Baskerville-SemiBold" w:cs="Baskerville-SemiBold"/>
          <w:color w:val="auto"/>
          <w:lang w:val="en-GB"/>
        </w:rPr>
      </w:pPr>
      <w:r w:rsidRPr="007D13DE">
        <w:rPr>
          <w:rFonts w:eastAsia="Baskerville-SemiBold" w:cs="Baskerville-SemiBold"/>
          <w:color w:val="auto"/>
          <w:lang w:val="en-GB"/>
        </w:rPr>
        <w:t>The State Party has to be commended for having passed a</w:t>
      </w:r>
      <w:r w:rsidRPr="007D13DE">
        <w:rPr>
          <w:rFonts w:eastAsia="Baskerville-SemiBold" w:cs="Baskerville-SemiBold"/>
          <w:b/>
          <w:bCs/>
          <w:color w:val="auto"/>
          <w:lang w:val="en-GB"/>
        </w:rPr>
        <w:t xml:space="preserve"> new law in 2020 (Act No. 154/2020)</w:t>
      </w:r>
      <w:r w:rsidRPr="007D13DE">
        <w:rPr>
          <w:rFonts w:eastAsia="Baskerville-SemiBold" w:cs="Baskerville-SemiBold"/>
          <w:color w:val="auto"/>
          <w:lang w:val="en-GB"/>
        </w:rPr>
        <w:t xml:space="preserve">, which </w:t>
      </w:r>
      <w:r w:rsidRPr="007D13DE">
        <w:rPr>
          <w:rFonts w:eastAsia="Baskerville-SemiBold" w:cs="Baskerville-SemiBold"/>
          <w:b/>
          <w:bCs/>
          <w:color w:val="auto"/>
          <w:lang w:val="en-GB"/>
        </w:rPr>
        <w:t>aims to prohibit</w:t>
      </w:r>
      <w:r w:rsidRPr="007D13DE">
        <w:rPr>
          <w:rFonts w:eastAsia="Baskerville-SemiBold" w:cs="Baskerville-SemiBold"/>
          <w:color w:val="auto"/>
          <w:lang w:val="en-GB"/>
        </w:rPr>
        <w:t xml:space="preserve"> some forms of intersex genital mutilation (see also State Party Report, paras 69-71).</w:t>
      </w:r>
    </w:p>
    <w:p w14:paraId="1465CC70" w14:textId="1E762ED7" w:rsidR="007D13DE" w:rsidRPr="007D13DE" w:rsidRDefault="007D13DE" w:rsidP="00C557F5">
      <w:pPr>
        <w:pStyle w:val="absatzschattenbericht"/>
        <w:spacing w:after="100" w:line="276" w:lineRule="auto"/>
        <w:rPr>
          <w:kern w:val="24"/>
        </w:rPr>
      </w:pPr>
      <w:r w:rsidRPr="007D13DE">
        <w:rPr>
          <w:kern w:val="24"/>
        </w:rPr>
        <w:t xml:space="preserve">However, as this NGO Report demonstrates, this new Law is insufficient and not in line with Iceland’s obligations under the Covenant, as it contains </w:t>
      </w:r>
      <w:r w:rsidRPr="007D13DE">
        <w:rPr>
          <w:b/>
          <w:bCs/>
          <w:kern w:val="24"/>
        </w:rPr>
        <w:t>serious loopholes</w:t>
      </w:r>
      <w:r w:rsidRPr="007D13DE">
        <w:rPr>
          <w:kern w:val="24"/>
        </w:rPr>
        <w:t xml:space="preserve">, but </w:t>
      </w:r>
      <w:r w:rsidRPr="007D13DE">
        <w:rPr>
          <w:rFonts w:eastAsia="Baskerville-SemiBold" w:cs="Times New Roman"/>
          <w:b/>
          <w:bCs/>
          <w:lang w:val="en-GB"/>
        </w:rPr>
        <w:t>fails to criminalise or adequately sanction</w:t>
      </w:r>
      <w:r w:rsidRPr="007D13DE">
        <w:rPr>
          <w:rFonts w:eastAsia="Baskerville-SemiBold" w:cs="Times New Roman"/>
          <w:lang w:val="en-GB"/>
        </w:rPr>
        <w:t xml:space="preserve"> IGM practices. In fact, the Law contains </w:t>
      </w:r>
      <w:r w:rsidRPr="007D13DE">
        <w:rPr>
          <w:rFonts w:eastAsia="Baskerville-SemiBold" w:cs="Times New Roman"/>
          <w:b/>
          <w:bCs/>
          <w:lang w:val="en-GB"/>
        </w:rPr>
        <w:t>no sanctions for IGM perpetrators</w:t>
      </w:r>
      <w:r w:rsidRPr="007D13DE">
        <w:rPr>
          <w:rFonts w:eastAsia="Baskerville-SemiBold" w:cs="Times New Roman"/>
          <w:lang w:val="en-GB"/>
        </w:rPr>
        <w:t xml:space="preserve"> at all. Also, the </w:t>
      </w:r>
      <w:r w:rsidRPr="007D13DE">
        <w:rPr>
          <w:rFonts w:eastAsia="Baskerville-SemiBold" w:cs="Times New Roman"/>
          <w:b/>
          <w:bCs/>
          <w:lang w:val="en-GB"/>
        </w:rPr>
        <w:t>statutes of limitations</w:t>
      </w:r>
      <w:r w:rsidRPr="007D13DE">
        <w:rPr>
          <w:rFonts w:eastAsia="Baskerville-SemiBold" w:cs="Times New Roman"/>
          <w:lang w:val="en-GB"/>
        </w:rPr>
        <w:t xml:space="preserve"> are still too short to enable survivors to call a court.</w:t>
      </w:r>
    </w:p>
    <w:p w14:paraId="01DAA93F" w14:textId="55AFBA26" w:rsidR="00C557F5" w:rsidRPr="00CB2C74" w:rsidRDefault="007D13DE" w:rsidP="00220E88">
      <w:pPr>
        <w:pStyle w:val="absatzschattenbericht"/>
        <w:spacing w:line="276" w:lineRule="auto"/>
        <w:rPr>
          <w:rFonts w:eastAsia="Baskerville-SemiBold" w:cs="Baskerville-SemiBold"/>
          <w:color w:val="auto"/>
          <w:lang w:val="en-GB"/>
        </w:rPr>
      </w:pPr>
      <w:r w:rsidRPr="007D13DE">
        <w:rPr>
          <w:rFonts w:eastAsia="Baskerville-SemiBold" w:cs="Baskerville-SemiBold"/>
          <w:color w:val="auto"/>
          <w:lang w:val="en-GB"/>
        </w:rPr>
        <w:t>As a consequence</w:t>
      </w:r>
      <w:r w:rsidR="00C557F5" w:rsidRPr="007D13DE">
        <w:rPr>
          <w:rFonts w:eastAsia="Baskerville-SemiBold" w:cs="Baskerville-SemiBold"/>
          <w:color w:val="auto"/>
          <w:lang w:val="en-GB"/>
        </w:rPr>
        <w:t xml:space="preserve">, </w:t>
      </w:r>
      <w:r w:rsidR="00C557F5" w:rsidRPr="007D13DE">
        <w:rPr>
          <w:rFonts w:eastAsia="Baskerville-SemiBold" w:cs="Baskerville-SemiBold"/>
          <w:b/>
          <w:bCs/>
          <w:color w:val="auto"/>
          <w:lang w:val="en-GB"/>
        </w:rPr>
        <w:t>all typical forms of IGM practices are still widespread in Iceland</w:t>
      </w:r>
      <w:r w:rsidR="00C557F5" w:rsidRPr="007D13DE">
        <w:rPr>
          <w:rFonts w:eastAsia="Baskerville-SemiBold" w:cs="Baskerville-SemiBold"/>
          <w:color w:val="auto"/>
          <w:lang w:val="en-GB"/>
        </w:rPr>
        <w:t xml:space="preserve">, facilitated and </w:t>
      </w:r>
      <w:r w:rsidR="00C557F5" w:rsidRPr="007D13DE">
        <w:rPr>
          <w:rFonts w:eastAsia="Baskerville-SemiBold" w:cs="Baskerville-SemiBold"/>
          <w:b/>
          <w:bCs/>
          <w:color w:val="auto"/>
          <w:lang w:val="en-GB"/>
        </w:rPr>
        <w:t>paid for by the State party</w:t>
      </w:r>
      <w:r w:rsidR="00C557F5" w:rsidRPr="007D13DE">
        <w:rPr>
          <w:rFonts w:eastAsia="Baskerville-SemiBold" w:cs="Baskerville-SemiBold"/>
          <w:color w:val="auto"/>
          <w:lang w:val="en-GB"/>
        </w:rPr>
        <w:t xml:space="preserve"> </w:t>
      </w:r>
      <w:r w:rsidR="00C557F5" w:rsidRPr="007D13DE">
        <w:rPr>
          <w:rFonts w:eastAsia="Baskerville-SemiBold" w:cs="Times New Roman"/>
          <w:color w:val="auto"/>
          <w:lang w:val="en-GB"/>
        </w:rPr>
        <w:t xml:space="preserve">via the public health care system, and </w:t>
      </w:r>
      <w:r w:rsidR="00C557F5" w:rsidRPr="007D13DE">
        <w:rPr>
          <w:rFonts w:eastAsia="Baskerville-SemiBold" w:cs="Times New Roman"/>
          <w:b/>
          <w:bCs/>
          <w:color w:val="auto"/>
          <w:lang w:val="en-GB"/>
        </w:rPr>
        <w:t>practiced with impunity</w:t>
      </w:r>
      <w:r w:rsidR="00C557F5" w:rsidRPr="007D13DE">
        <w:rPr>
          <w:rFonts w:eastAsia="Baskerville-SemiBold" w:cs="Times New Roman"/>
          <w:color w:val="auto"/>
          <w:lang w:val="en-GB"/>
        </w:rPr>
        <w:t xml:space="preserve">. </w:t>
      </w:r>
      <w:r w:rsidR="00C557F5" w:rsidRPr="007D13DE">
        <w:rPr>
          <w:rFonts w:eastAsia="Baskerville-SemiBold" w:cs="Baskerville-SemiBold"/>
          <w:color w:val="auto"/>
          <w:lang w:val="en-GB"/>
        </w:rPr>
        <w:t xml:space="preserve">Survivors of IGM continue to be </w:t>
      </w:r>
      <w:r w:rsidR="00C557F5" w:rsidRPr="007D13DE">
        <w:rPr>
          <w:rFonts w:eastAsia="Baskerville-SemiBold" w:cs="Baskerville-SemiBold"/>
          <w:b/>
          <w:bCs/>
          <w:color w:val="auto"/>
          <w:lang w:val="en-GB"/>
        </w:rPr>
        <w:t>denied access to justice and reparations</w:t>
      </w:r>
      <w:r w:rsidR="00C557F5" w:rsidRPr="007D13DE">
        <w:rPr>
          <w:rFonts w:eastAsia="Baskerville-SemiBold" w:cs="Baskerville-SemiBold"/>
          <w:color w:val="auto"/>
          <w:lang w:val="en-GB"/>
        </w:rPr>
        <w:t xml:space="preserve"> due to lack of effective legal prohibition and the </w:t>
      </w:r>
      <w:r w:rsidR="00C557F5" w:rsidRPr="007D13DE">
        <w:rPr>
          <w:rFonts w:eastAsia="Baskerville-SemiBold" w:cs="Baskerville-SemiBold"/>
          <w:b/>
          <w:bCs/>
          <w:color w:val="auto"/>
          <w:lang w:val="en-GB"/>
        </w:rPr>
        <w:t>statutes of limitations</w:t>
      </w:r>
      <w:r w:rsidR="00C557F5" w:rsidRPr="007D13DE">
        <w:rPr>
          <w:rFonts w:eastAsia="Baskerville-SemiBold" w:cs="Baskerville-SemiBold"/>
          <w:color w:val="auto"/>
          <w:lang w:val="en-GB"/>
        </w:rPr>
        <w:t>.</w:t>
      </w:r>
    </w:p>
    <w:p w14:paraId="3C81A334" w14:textId="77777777" w:rsidR="008D5CC2" w:rsidRPr="00AE3251" w:rsidRDefault="008D5CC2" w:rsidP="008D5CC2">
      <w:pPr>
        <w:pStyle w:val="Title2"/>
        <w:rPr>
          <w:rFonts w:eastAsia="Baskerville-SemiBold"/>
          <w:szCs w:val="24"/>
        </w:rPr>
      </w:pPr>
      <w:bookmarkStart w:id="19" w:name="_Toc453620704"/>
      <w:bookmarkStart w:id="20" w:name="_Toc463295400"/>
      <w:bookmarkStart w:id="21" w:name="_Toc472687684"/>
      <w:bookmarkStart w:id="22" w:name="_Toc485093565"/>
      <w:bookmarkStart w:id="23" w:name="_Toc174919252"/>
      <w:bookmarkStart w:id="24" w:name="_Toc177422559"/>
      <w:r w:rsidRPr="00AE3251">
        <w:t>2.  About the Rapporteurs</w:t>
      </w:r>
      <w:bookmarkEnd w:id="19"/>
      <w:bookmarkEnd w:id="20"/>
      <w:bookmarkEnd w:id="21"/>
      <w:bookmarkEnd w:id="22"/>
      <w:bookmarkEnd w:id="23"/>
      <w:bookmarkEnd w:id="24"/>
    </w:p>
    <w:p w14:paraId="545EDCA1" w14:textId="77777777" w:rsidR="008D5CC2" w:rsidRPr="00AE3251" w:rsidRDefault="008D5CC2" w:rsidP="00770962">
      <w:pPr>
        <w:pStyle w:val="absatzschattenbericht"/>
        <w:rPr>
          <w:i/>
          <w:lang w:val="en-GB"/>
        </w:rPr>
      </w:pPr>
      <w:r w:rsidRPr="00AE3251">
        <w:rPr>
          <w:rFonts w:eastAsia="Baskerville-SemiBold"/>
          <w:lang w:val="en-GB"/>
        </w:rPr>
        <w:t xml:space="preserve">This NGO report </w:t>
      </w:r>
      <w:r w:rsidRPr="00AE3251">
        <w:rPr>
          <w:lang w:val="en-GB"/>
        </w:rPr>
        <w:t xml:space="preserve">has been prepared by the intersex NGO </w:t>
      </w:r>
      <w:r w:rsidRPr="00AE3251">
        <w:rPr>
          <w:rFonts w:eastAsia="Baskerville-Italic"/>
          <w:i/>
          <w:iCs/>
          <w:lang w:val="en-GB"/>
        </w:rPr>
        <w:t>StopIGM.org</w:t>
      </w:r>
      <w:r w:rsidRPr="00AE3251">
        <w:rPr>
          <w:lang w:val="en-GB"/>
        </w:rPr>
        <w:t>:</w:t>
      </w:r>
    </w:p>
    <w:p w14:paraId="5642E50D" w14:textId="5935CDAE" w:rsidR="008D5CC2" w:rsidRPr="00622026" w:rsidRDefault="008D5CC2" w:rsidP="009C4602">
      <w:pPr>
        <w:pStyle w:val="absatzschattenbericht"/>
        <w:numPr>
          <w:ilvl w:val="0"/>
          <w:numId w:val="2"/>
        </w:numPr>
        <w:shd w:val="clear" w:color="auto" w:fill="auto"/>
        <w:ind w:left="425" w:hanging="357"/>
        <w:rPr>
          <w:lang w:val="en-GB"/>
        </w:rPr>
      </w:pPr>
      <w:r w:rsidRPr="00622026">
        <w:rPr>
          <w:rFonts w:eastAsia="Baskerville-SemiBold"/>
          <w:b/>
          <w:bCs/>
          <w:lang w:val="en-GB"/>
        </w:rPr>
        <w:t>StopIGM.org / Zwischengeschlecht.org</w:t>
      </w:r>
      <w:r w:rsidRPr="00622026">
        <w:rPr>
          <w:lang w:val="en-GB"/>
        </w:rPr>
        <w:t xml:space="preserve"> is an international intersex human rights NGO based in Switzerland, working to end IGM practices and other human rights violations perpetrated on intersex people, according to its motto, </w:t>
      </w:r>
      <w:r w:rsidRPr="00622026">
        <w:rPr>
          <w:rFonts w:eastAsia="Baskerville-Italic"/>
          <w:i/>
          <w:iCs/>
          <w:lang w:val="en-GB"/>
        </w:rPr>
        <w:t>“Human Rights for Hermaphrodites, too!”</w:t>
      </w:r>
      <w:r w:rsidRPr="00622026">
        <w:rPr>
          <w:position w:val="6"/>
          <w:lang w:val="en-GB"/>
        </w:rPr>
        <w:t xml:space="preserve"> </w:t>
      </w:r>
      <w:r w:rsidRPr="00622026">
        <w:rPr>
          <w:rStyle w:val="Funotenzeichen1"/>
          <w:lang w:val="en-GB"/>
        </w:rPr>
        <w:footnoteReference w:id="1"/>
      </w:r>
      <w:r w:rsidRPr="00622026">
        <w:rPr>
          <w:lang w:val="en-GB"/>
        </w:rPr>
        <w:t xml:space="preserve"> According to its charter,</w:t>
      </w:r>
      <w:r w:rsidRPr="00622026">
        <w:rPr>
          <w:rStyle w:val="Funotenzeichen1"/>
          <w:lang w:val="en-GB"/>
        </w:rPr>
        <w:footnoteReference w:id="2"/>
      </w:r>
      <w:r w:rsidRPr="00622026">
        <w:rPr>
          <w:lang w:val="en-GB"/>
        </w:rPr>
        <w:t xml:space="preserve"> StopIGM.org works to support persons concerned seeking redress and justice and regularly reports to relevant UN treaty bodies, </w:t>
      </w:r>
      <w:r w:rsidR="00220E88">
        <w:rPr>
          <w:lang w:val="en-GB"/>
        </w:rPr>
        <w:t xml:space="preserve">including on Iceland to CRC (2020, 2022), </w:t>
      </w:r>
      <w:r w:rsidRPr="00622026">
        <w:rPr>
          <w:rFonts w:cs="Times New Roman"/>
          <w:lang w:val="en-GB"/>
        </w:rPr>
        <w:t>often in collaboration with local intersex persons and organisations,</w:t>
      </w:r>
      <w:r w:rsidRPr="00622026">
        <w:rPr>
          <w:rStyle w:val="Funotenzeichen"/>
          <w:rFonts w:cs="Times New Roman"/>
          <w:lang w:val="en-GB"/>
        </w:rPr>
        <w:footnoteReference w:id="3"/>
      </w:r>
      <w:r w:rsidRPr="00622026">
        <w:rPr>
          <w:rFonts w:cs="Times New Roman"/>
          <w:lang w:val="en-GB"/>
        </w:rPr>
        <w:t xml:space="preserve"> substantially contributing to the so far 96 Treaty body Concluding Observations recognising IGM as a serious human rights violation.</w:t>
      </w:r>
      <w:r w:rsidRPr="00622026">
        <w:rPr>
          <w:rStyle w:val="Funotenzeichen"/>
          <w:rFonts w:cs="Times New Roman"/>
          <w:lang w:val="en-GB"/>
        </w:rPr>
        <w:footnoteReference w:id="4"/>
      </w:r>
      <w:r w:rsidRPr="00622026">
        <w:rPr>
          <w:rFonts w:cs="Times New Roman"/>
          <w:lang w:val="en-GB"/>
        </w:rPr>
        <w:t xml:space="preserve"> </w:t>
      </w:r>
    </w:p>
    <w:p w14:paraId="6636A6B6" w14:textId="1A0FA384" w:rsidR="00910986" w:rsidRDefault="00910986" w:rsidP="00770962">
      <w:pPr>
        <w:pStyle w:val="absatzschattenbericht"/>
        <w:rPr>
          <w:rFonts w:cs="Times New Roman"/>
          <w:lang w:val="en-GB"/>
        </w:rPr>
      </w:pPr>
      <w:r w:rsidRPr="007D13DE">
        <w:rPr>
          <w:rFonts w:cs="Times New Roman"/>
          <w:lang w:val="en-GB"/>
        </w:rPr>
        <w:t xml:space="preserve">In addition, the Rapporteurs would like to acknowledge the work of </w:t>
      </w:r>
      <w:r w:rsidRPr="007D13DE">
        <w:rPr>
          <w:rFonts w:cs="Times New Roman"/>
          <w:b/>
          <w:bCs/>
          <w:lang w:val="en-GB"/>
        </w:rPr>
        <w:t>Kitty Anderson</w:t>
      </w:r>
      <w:r w:rsidRPr="007D13DE">
        <w:rPr>
          <w:rStyle w:val="Funotenzeichen"/>
          <w:rFonts w:cs="Times New Roman"/>
          <w:lang w:val="en-GB"/>
        </w:rPr>
        <w:footnoteReference w:id="5"/>
      </w:r>
      <w:r w:rsidR="00F01DE4" w:rsidRPr="007D13DE">
        <w:rPr>
          <w:rFonts w:cs="Times New Roman"/>
          <w:b/>
          <w:bCs/>
          <w:lang w:val="en-GB"/>
        </w:rPr>
        <w:t xml:space="preserve"> </w:t>
      </w:r>
      <w:r w:rsidR="00F01DE4" w:rsidRPr="007D13DE">
        <w:rPr>
          <w:rStyle w:val="Funotenzeichen"/>
          <w:rFonts w:cs="Times New Roman"/>
          <w:lang w:val="en-GB"/>
        </w:rPr>
        <w:footnoteReference w:id="6"/>
      </w:r>
      <w:r w:rsidRPr="007D13DE">
        <w:rPr>
          <w:rFonts w:cs="Times New Roman"/>
          <w:lang w:val="en-GB"/>
        </w:rPr>
        <w:t xml:space="preserve"> and </w:t>
      </w:r>
      <w:r w:rsidRPr="007D13DE">
        <w:rPr>
          <w:rFonts w:cs="Times New Roman"/>
          <w:b/>
          <w:bCs/>
        </w:rPr>
        <w:t>Intersex Ísland</w:t>
      </w:r>
      <w:r w:rsidR="00F01DE4" w:rsidRPr="007D13DE">
        <w:rPr>
          <w:rFonts w:cs="Times New Roman"/>
        </w:rPr>
        <w:t>.</w:t>
      </w:r>
      <w:r w:rsidRPr="007D13DE">
        <w:rPr>
          <w:rStyle w:val="Funotenzeichen"/>
          <w:rFonts w:cs="Times New Roman"/>
          <w:lang w:val="en-GB"/>
        </w:rPr>
        <w:footnoteReference w:id="7"/>
      </w:r>
    </w:p>
    <w:p w14:paraId="5BB6E8D3" w14:textId="23D3C34B" w:rsidR="00141C4F" w:rsidRPr="00E3158E" w:rsidRDefault="00DB50C5" w:rsidP="00C31717">
      <w:pPr>
        <w:pStyle w:val="Title2"/>
        <w:rPr>
          <w:rFonts w:eastAsia="Baskerville"/>
          <w:szCs w:val="24"/>
        </w:rPr>
      </w:pPr>
      <w:bookmarkStart w:id="25" w:name="_Toc453620705"/>
      <w:bookmarkStart w:id="26" w:name="_Toc463295401"/>
      <w:bookmarkStart w:id="27" w:name="_Toc472687685"/>
      <w:bookmarkStart w:id="28" w:name="_Toc485093566"/>
      <w:bookmarkStart w:id="29" w:name="_Toc177422560"/>
      <w:r w:rsidRPr="00E3158E">
        <w:t xml:space="preserve">3.  </w:t>
      </w:r>
      <w:r w:rsidR="00141C4F" w:rsidRPr="00E3158E">
        <w:t>Methodology</w:t>
      </w:r>
      <w:bookmarkEnd w:id="25"/>
      <w:bookmarkEnd w:id="26"/>
      <w:bookmarkEnd w:id="27"/>
      <w:bookmarkEnd w:id="28"/>
      <w:bookmarkEnd w:id="29"/>
    </w:p>
    <w:p w14:paraId="1F697D58" w14:textId="5EB3A801" w:rsidR="00635B44" w:rsidRPr="00770962" w:rsidRDefault="000574A2" w:rsidP="00770962">
      <w:pPr>
        <w:pStyle w:val="absatzschattenbericht"/>
        <w:rPr>
          <w:lang w:val="en-GB"/>
        </w:rPr>
      </w:pPr>
      <w:r w:rsidRPr="007D13DE">
        <w:rPr>
          <w:lang w:val="en-GB"/>
        </w:rPr>
        <w:t xml:space="preserve">This thematic NGO report is based on the </w:t>
      </w:r>
      <w:r w:rsidRPr="007D13DE">
        <w:rPr>
          <w:b/>
          <w:bCs/>
          <w:lang w:val="en-GB"/>
        </w:rPr>
        <w:t>2020 CRC Iceland NGO Report (for LOI)</w:t>
      </w:r>
      <w:r w:rsidRPr="007D13DE">
        <w:rPr>
          <w:rStyle w:val="Funotenzeichen1"/>
          <w:lang w:val="en-GB"/>
        </w:rPr>
        <w:footnoteReference w:id="8"/>
      </w:r>
      <w:r w:rsidRPr="007D13DE">
        <w:rPr>
          <w:b/>
          <w:bCs/>
          <w:lang w:val="en-GB"/>
        </w:rPr>
        <w:t xml:space="preserve"> </w:t>
      </w:r>
      <w:r w:rsidRPr="007D13DE">
        <w:rPr>
          <w:lang w:val="en-GB"/>
        </w:rPr>
        <w:t xml:space="preserve">and the </w:t>
      </w:r>
      <w:r w:rsidRPr="007D13DE">
        <w:rPr>
          <w:b/>
          <w:bCs/>
          <w:lang w:val="en-GB"/>
        </w:rPr>
        <w:t>2022 CRC Iceland NGO Report (for Session)</w:t>
      </w:r>
      <w:r w:rsidRPr="007D13DE">
        <w:rPr>
          <w:rStyle w:val="Funotenzeichen1"/>
          <w:lang w:val="en-GB"/>
        </w:rPr>
        <w:footnoteReference w:id="9"/>
      </w:r>
      <w:r w:rsidRPr="007D13DE">
        <w:rPr>
          <w:b/>
          <w:bCs/>
          <w:lang w:val="en-GB"/>
        </w:rPr>
        <w:t xml:space="preserve"> </w:t>
      </w:r>
      <w:r w:rsidRPr="007D13DE">
        <w:rPr>
          <w:lang w:val="en-GB"/>
        </w:rPr>
        <w:t>by the same Rapporteurs.</w:t>
      </w:r>
    </w:p>
    <w:p w14:paraId="3F092260" w14:textId="07AB76DA" w:rsidR="00635B44" w:rsidRDefault="00635B44" w:rsidP="0069403C">
      <w:pPr>
        <w:pStyle w:val="absatzschattenbericht"/>
      </w:pPr>
    </w:p>
    <w:p w14:paraId="6A439355" w14:textId="125EEDA5" w:rsidR="004F236E" w:rsidRPr="00833C98" w:rsidRDefault="004F236E" w:rsidP="004F236E">
      <w:pPr>
        <w:pStyle w:val="Title1"/>
        <w:rPr>
          <w:iCs w:val="0"/>
          <w:lang w:val="en-US"/>
        </w:rPr>
      </w:pPr>
      <w:bookmarkStart w:id="30" w:name="_Toc111405640"/>
      <w:bookmarkStart w:id="31" w:name="_Toc118158306"/>
      <w:bookmarkStart w:id="32" w:name="_Toc177422561"/>
      <w:bookmarkStart w:id="33" w:name="_Toc171706631"/>
      <w:bookmarkStart w:id="34" w:name="_Toc111405645"/>
      <w:r w:rsidRPr="00833C98">
        <w:rPr>
          <w:iCs w:val="0"/>
          <w:lang w:val="en-US"/>
        </w:rPr>
        <w:lastRenderedPageBreak/>
        <w:t>B.  Precedents</w:t>
      </w:r>
      <w:bookmarkEnd w:id="30"/>
      <w:bookmarkEnd w:id="31"/>
      <w:bookmarkEnd w:id="32"/>
    </w:p>
    <w:p w14:paraId="3D781253" w14:textId="77777777" w:rsidR="004F236E" w:rsidRPr="00E463A0" w:rsidRDefault="004F236E" w:rsidP="004F236E">
      <w:pPr>
        <w:pStyle w:val="Title2"/>
      </w:pPr>
      <w:bookmarkStart w:id="35" w:name="_Toc177422562"/>
      <w:r w:rsidRPr="00E463A0">
        <w:t xml:space="preserve">1.  </w:t>
      </w:r>
      <w:r>
        <w:t>Previous Concluding Observations</w:t>
      </w:r>
      <w:bookmarkEnd w:id="35"/>
    </w:p>
    <w:p w14:paraId="4263C9F3" w14:textId="77777777" w:rsidR="004F236E" w:rsidRDefault="004F236E" w:rsidP="004F236E">
      <w:pPr>
        <w:pStyle w:val="Title3"/>
      </w:pPr>
      <w:bookmarkStart w:id="36" w:name="_Toc177422563"/>
      <w:r w:rsidRPr="0085290C">
        <w:t xml:space="preserve">a) </w:t>
      </w:r>
      <w:r>
        <w:t>Harmful Practices: CRC 2022</w:t>
      </w:r>
      <w:r w:rsidRPr="0085290C">
        <w:t xml:space="preserve"> (</w:t>
      </w:r>
      <w:r w:rsidRPr="008337F3">
        <w:t>CRC/C/</w:t>
      </w:r>
      <w:r>
        <w:t>ISL</w:t>
      </w:r>
      <w:r w:rsidRPr="008337F3">
        <w:t>/CO/5-6, para 2</w:t>
      </w:r>
      <w:r>
        <w:t>6(b)+(c))</w:t>
      </w:r>
      <w:bookmarkEnd w:id="36"/>
    </w:p>
    <w:p w14:paraId="09475A47" w14:textId="77777777" w:rsidR="004F236E" w:rsidRPr="00ED085D" w:rsidRDefault="004F236E" w:rsidP="004F236E">
      <w:pPr>
        <w:pStyle w:val="AbsatzConcludingObs"/>
        <w:rPr>
          <w:b/>
          <w:bCs/>
          <w:lang w:val="en-US"/>
        </w:rPr>
      </w:pPr>
      <w:r w:rsidRPr="00ED085D">
        <w:rPr>
          <w:b/>
          <w:bCs/>
          <w:lang w:val="en-US"/>
        </w:rPr>
        <w:t>Harmful practices</w:t>
      </w:r>
    </w:p>
    <w:p w14:paraId="115F17F5" w14:textId="77777777" w:rsidR="004F236E" w:rsidRPr="00ED085D" w:rsidRDefault="004F236E" w:rsidP="004F236E">
      <w:pPr>
        <w:pStyle w:val="AbsatzConcludingObs"/>
        <w:rPr>
          <w:b/>
          <w:bCs/>
          <w:lang w:val="en-US"/>
        </w:rPr>
      </w:pPr>
      <w:r w:rsidRPr="00ED085D">
        <w:rPr>
          <w:lang w:val="en-US"/>
        </w:rPr>
        <w:t>26.</w:t>
      </w:r>
      <w:r w:rsidRPr="00ED085D">
        <w:rPr>
          <w:lang w:val="en-US"/>
        </w:rPr>
        <w:tab/>
      </w:r>
      <w:r w:rsidRPr="00ED085D">
        <w:rPr>
          <w:b/>
          <w:bCs/>
          <w:lang w:val="en-US"/>
        </w:rPr>
        <w:t xml:space="preserve">Noting with concern that the Act on Sterilization Procedures of 2019 allows for the sterilization of children if it is considered that continued fertility would have negative effects on their lives and health, the Committee recommends that the State party: </w:t>
      </w:r>
    </w:p>
    <w:p w14:paraId="0826D465" w14:textId="77777777" w:rsidR="004F236E" w:rsidRPr="00ED085D" w:rsidRDefault="004F236E" w:rsidP="004F236E">
      <w:pPr>
        <w:pStyle w:val="AbsatzConcludingObs"/>
        <w:rPr>
          <w:lang w:val="en-US"/>
        </w:rPr>
      </w:pPr>
      <w:r w:rsidRPr="00ED085D">
        <w:rPr>
          <w:lang w:val="en-US"/>
        </w:rPr>
        <w:tab/>
        <w:t>[…]</w:t>
      </w:r>
    </w:p>
    <w:p w14:paraId="54AED79E" w14:textId="77777777" w:rsidR="004F236E" w:rsidRPr="00ED085D" w:rsidRDefault="004F236E" w:rsidP="004F236E">
      <w:pPr>
        <w:pStyle w:val="AbsatzConcludingObs"/>
        <w:rPr>
          <w:lang w:val="en-US"/>
        </w:rPr>
      </w:pPr>
      <w:r w:rsidRPr="00ED085D">
        <w:rPr>
          <w:lang w:val="en-US"/>
        </w:rPr>
        <w:tab/>
        <w:t>(b)</w:t>
      </w:r>
      <w:r w:rsidRPr="00ED085D">
        <w:rPr>
          <w:lang w:val="en-US"/>
        </w:rPr>
        <w:tab/>
      </w:r>
      <w:r w:rsidRPr="00ED085D">
        <w:rPr>
          <w:b/>
          <w:bCs/>
          <w:lang w:val="en-US"/>
        </w:rPr>
        <w:t>Ensure that the performance of unnecessary medical or surgical treatment on intersex children is safely deferred until children are able to provide their informed consent, in line with the prohibition of such procedures under the Act on Gender Autonomy, and provide reparations for children who received unnecessary treatment;</w:t>
      </w:r>
      <w:r w:rsidRPr="00ED085D">
        <w:rPr>
          <w:lang w:val="en-US"/>
        </w:rPr>
        <w:t xml:space="preserve"> </w:t>
      </w:r>
    </w:p>
    <w:p w14:paraId="5292B9B0" w14:textId="77777777" w:rsidR="004F236E" w:rsidRPr="00ED085D" w:rsidRDefault="004F236E" w:rsidP="004F236E">
      <w:pPr>
        <w:pStyle w:val="AbsatzConcludingObs"/>
        <w:rPr>
          <w:b/>
          <w:bCs/>
          <w:lang w:val="en-US"/>
        </w:rPr>
      </w:pPr>
      <w:r w:rsidRPr="00ED085D">
        <w:rPr>
          <w:lang w:val="en-US"/>
        </w:rPr>
        <w:tab/>
        <w:t>(c)</w:t>
      </w:r>
      <w:r w:rsidRPr="00ED085D">
        <w:rPr>
          <w:lang w:val="en-US"/>
        </w:rPr>
        <w:tab/>
      </w:r>
      <w:r w:rsidRPr="00ED085D">
        <w:rPr>
          <w:b/>
          <w:bCs/>
          <w:lang w:val="en-US"/>
        </w:rPr>
        <w:t>Provide adequate social, medical and psychological services, counselling and support to intersex children and their families.</w:t>
      </w:r>
    </w:p>
    <w:p w14:paraId="61EA875A" w14:textId="77777777" w:rsidR="004F236E" w:rsidRPr="00E463A0" w:rsidRDefault="004F236E" w:rsidP="004F236E">
      <w:pPr>
        <w:pStyle w:val="absatzschattenbericht"/>
      </w:pPr>
    </w:p>
    <w:p w14:paraId="7D576F8B" w14:textId="77777777" w:rsidR="004F236E" w:rsidRPr="0085290C" w:rsidRDefault="004F236E" w:rsidP="004F236E">
      <w:pPr>
        <w:pStyle w:val="Title2"/>
      </w:pPr>
      <w:bookmarkStart w:id="37" w:name="_Toc177422564"/>
      <w:r>
        <w:t>2</w:t>
      </w:r>
      <w:r w:rsidRPr="0085290C">
        <w:t>.  Current</w:t>
      </w:r>
      <w:r>
        <w:t xml:space="preserve"> 6th</w:t>
      </w:r>
      <w:r w:rsidRPr="0085290C">
        <w:t xml:space="preserve"> </w:t>
      </w:r>
      <w:r>
        <w:t>CCPR</w:t>
      </w:r>
      <w:r w:rsidRPr="0085290C">
        <w:t xml:space="preserve"> Cycle: LOIPR and State Party Report</w:t>
      </w:r>
      <w:bookmarkEnd w:id="33"/>
      <w:bookmarkEnd w:id="37"/>
    </w:p>
    <w:p w14:paraId="1E5F1E43" w14:textId="77777777" w:rsidR="004F236E" w:rsidRPr="0085290C" w:rsidRDefault="004F236E" w:rsidP="004F236E">
      <w:pPr>
        <w:pStyle w:val="Title3"/>
        <w:rPr>
          <w:rFonts w:eastAsia="Baskerville-SemiBold" w:cs="Baskerville-SemiBold"/>
          <w:color w:val="auto"/>
        </w:rPr>
      </w:pPr>
      <w:bookmarkStart w:id="38" w:name="_Toc171706632"/>
      <w:bookmarkStart w:id="39" w:name="_Toc177422565"/>
      <w:r w:rsidRPr="0085290C">
        <w:t xml:space="preserve">a) </w:t>
      </w:r>
      <w:r>
        <w:t>2021</w:t>
      </w:r>
      <w:r w:rsidRPr="0085290C">
        <w:t xml:space="preserve"> List of Issues (LOIPR) (</w:t>
      </w:r>
      <w:bookmarkEnd w:id="34"/>
      <w:bookmarkEnd w:id="38"/>
      <w:r w:rsidRPr="009B3166">
        <w:t>CCPR/C/ISL/QPR/6</w:t>
      </w:r>
      <w:r>
        <w:t>, para 11)</w:t>
      </w:r>
      <w:bookmarkEnd w:id="39"/>
    </w:p>
    <w:p w14:paraId="4218A012" w14:textId="77777777" w:rsidR="004F236E" w:rsidRPr="009B3166" w:rsidRDefault="004F236E" w:rsidP="004F236E">
      <w:pPr>
        <w:pStyle w:val="AbsatzConcludingObs"/>
        <w:rPr>
          <w:b/>
          <w:bCs/>
          <w:lang w:val="en-US"/>
        </w:rPr>
      </w:pPr>
      <w:bookmarkStart w:id="40" w:name="_Toc111405646"/>
      <w:bookmarkStart w:id="41" w:name="_Toc171706633"/>
      <w:r w:rsidRPr="009B3166">
        <w:rPr>
          <w:b/>
          <w:bCs/>
          <w:lang w:val="en-US"/>
        </w:rPr>
        <w:t>Sexual orientation (arts. 2 and 26)</w:t>
      </w:r>
    </w:p>
    <w:p w14:paraId="45C1A110" w14:textId="77777777" w:rsidR="004F236E" w:rsidRPr="00465492" w:rsidRDefault="004F236E" w:rsidP="003D2B87">
      <w:pPr>
        <w:pStyle w:val="AbsatzConcludingObs"/>
        <w:rPr>
          <w:lang w:val="en-US"/>
        </w:rPr>
      </w:pPr>
      <w:r w:rsidRPr="009B3166">
        <w:rPr>
          <w:lang w:val="en-US"/>
        </w:rPr>
        <w:t>11. Considering the reports of the existence of barriers and risks of lifelong physical and psychological damage for people born with sex characteristics that vary in a range from female to male, and the situation of intersex persons being subjected to medically unnecessary surgery due to stigma and discrimination, please outline measures taken to prevent medical acts, especially surgical operations, on intersex children who are not yet capable of giving their free and informed consent, except in cases where such interventions are absolutely necessary for medical reasons. Please provide information about whether the Act on Sexual and Gender Autonomy 2019 protects persons from such medical practices. Please also describe other measures envisaged to ensure the end of non-emergency, invasive and irreversible surgeries on persons born with variations of sex characteristics.</w:t>
      </w:r>
    </w:p>
    <w:p w14:paraId="304CCA71" w14:textId="77777777" w:rsidR="004F236E" w:rsidRPr="0085290C" w:rsidRDefault="004F236E" w:rsidP="004F236E">
      <w:pPr>
        <w:pStyle w:val="Title3"/>
        <w:rPr>
          <w:rFonts w:eastAsia="Baskerville-SemiBold" w:cs="Baskerville-SemiBold"/>
          <w:color w:val="auto"/>
        </w:rPr>
      </w:pPr>
      <w:bookmarkStart w:id="42" w:name="_Toc177422566"/>
      <w:r w:rsidRPr="0085290C">
        <w:t xml:space="preserve">b) </w:t>
      </w:r>
      <w:r>
        <w:t>2023</w:t>
      </w:r>
      <w:r w:rsidRPr="0085290C">
        <w:t xml:space="preserve"> State Party Report under LOIPR (</w:t>
      </w:r>
      <w:r w:rsidRPr="00FA25CC">
        <w:t>CCPR/C/ISL/6</w:t>
      </w:r>
      <w:r>
        <w:t>, paras 68-71</w:t>
      </w:r>
      <w:r w:rsidRPr="0085290C">
        <w:t>)</w:t>
      </w:r>
      <w:bookmarkEnd w:id="40"/>
      <w:bookmarkEnd w:id="41"/>
      <w:bookmarkEnd w:id="42"/>
    </w:p>
    <w:p w14:paraId="0CFF0C8C" w14:textId="77777777" w:rsidR="004F236E" w:rsidRPr="00FA25CC" w:rsidRDefault="004F236E" w:rsidP="004F236E">
      <w:pPr>
        <w:pStyle w:val="AbsatzConcludingObs"/>
        <w:rPr>
          <w:b/>
          <w:lang w:val="en-US"/>
        </w:rPr>
      </w:pPr>
      <w:r>
        <w:rPr>
          <w:b/>
          <w:lang w:val="en-US"/>
        </w:rPr>
        <w:t>K.</w:t>
      </w:r>
      <w:r>
        <w:rPr>
          <w:b/>
          <w:lang w:val="en-US"/>
        </w:rPr>
        <w:tab/>
      </w:r>
      <w:r w:rsidRPr="00FA25CC">
        <w:rPr>
          <w:b/>
          <w:lang w:val="en-US"/>
        </w:rPr>
        <w:t>Reply to paragraph 11 of the list of issues</w:t>
      </w:r>
    </w:p>
    <w:p w14:paraId="2F9112E1" w14:textId="77777777" w:rsidR="004F236E" w:rsidRPr="00FA25CC" w:rsidRDefault="004F236E" w:rsidP="004F236E">
      <w:pPr>
        <w:pStyle w:val="AbsatzConcludingObs"/>
        <w:rPr>
          <w:bCs/>
          <w:lang w:val="en-US"/>
        </w:rPr>
      </w:pPr>
      <w:r w:rsidRPr="00FA25CC">
        <w:rPr>
          <w:bCs/>
          <w:lang w:val="en-US"/>
        </w:rPr>
        <w:t>68.</w:t>
      </w:r>
      <w:r>
        <w:rPr>
          <w:bCs/>
          <w:lang w:val="en-US"/>
        </w:rPr>
        <w:tab/>
      </w:r>
      <w:r w:rsidRPr="00FA25CC">
        <w:rPr>
          <w:bCs/>
          <w:lang w:val="en-US"/>
        </w:rPr>
        <w:t xml:space="preserve">Act on Gender Autonomy No 80/2019 emphasises the general principle of law contained in Act on Patients’ Rights No 74/1997 that no treatment may be carried out without the patient’s consent, and that consent shall as far as possible be provided in writing with respect to permanent changes to a person’s genitals, sex glands, or other sexual characteristics of individuals. The provision provides for stricter requirements to the form of consent, which shall invariably be provided in writing. The plan was to address changes to the sex characteristics of children in the act; however, further scrutiny was considered necessary. Therefore, a temporary provision of the act stipulated that the minister was to appoint a working group tasked with, among other things, addressing matters concerning intersex minors and drafting a bill amending </w:t>
      </w:r>
      <w:r w:rsidRPr="00FA25CC">
        <w:rPr>
          <w:bCs/>
          <w:lang w:val="en-US"/>
        </w:rPr>
        <w:lastRenderedPageBreak/>
        <w:t>the act on gender autonomy, which would lay down the main viewpoints and rules applicable in the future to changes to the sex characteristics of intersex minors.</w:t>
      </w:r>
    </w:p>
    <w:p w14:paraId="6B8E082B" w14:textId="77777777" w:rsidR="004F236E" w:rsidRPr="00FA25CC" w:rsidRDefault="004F236E" w:rsidP="004F236E">
      <w:pPr>
        <w:pStyle w:val="AbsatzConcludingObs"/>
        <w:rPr>
          <w:bCs/>
          <w:lang w:val="en-US"/>
        </w:rPr>
      </w:pPr>
      <w:r w:rsidRPr="00FA25CC">
        <w:rPr>
          <w:bCs/>
          <w:lang w:val="en-US"/>
        </w:rPr>
        <w:t>69.</w:t>
      </w:r>
      <w:r>
        <w:rPr>
          <w:bCs/>
          <w:lang w:val="en-US"/>
        </w:rPr>
        <w:tab/>
      </w:r>
      <w:r w:rsidRPr="00FA25CC">
        <w:rPr>
          <w:bCs/>
          <w:lang w:val="en-US"/>
        </w:rPr>
        <w:t xml:space="preserve">The bill became Act No 154/2020 amending the Act on Gender Autonomy (atypical sex characteristics). After the act entered into force, unnecessary surgical procedures on intersex minors are prohibited. The act now stipulates that carrying out surgical procedures on intersex minors who are unable to provide consent is prohibited unless the operation is completely necessary for medical reasons. Permanent changes to the sex characteristics of children under the age of 16 born with atypical sex characteristics shall only be made in conformity with the will of the child, </w:t>
      </w:r>
      <w:r w:rsidRPr="00B82EAE">
        <w:rPr>
          <w:bCs/>
          <w:i w:val="0"/>
          <w:iCs w:val="0"/>
          <w:lang w:val="en-US"/>
        </w:rPr>
        <w:t>cf.</w:t>
      </w:r>
      <w:r w:rsidRPr="00FA25CC">
        <w:rPr>
          <w:bCs/>
          <w:lang w:val="en-US"/>
        </w:rPr>
        <w:t xml:space="preserve"> paragraphs 2 and 6 of Article 11a of Act No 80/2019. However, if a child is unable to give its consent due to its young age, or is for other reasons unable to express its will, the child’s sex characteristics may be changed if so required for health reasons, following a detailed assessment of the need for such changes, and of their consequences in the short and long term. Social and psychosocial grounds and reasons relating to outer appearance do not qualify as health reasons.</w:t>
      </w:r>
    </w:p>
    <w:p w14:paraId="42DC4FEF" w14:textId="77777777" w:rsidR="004F236E" w:rsidRPr="00FA25CC" w:rsidRDefault="004F236E" w:rsidP="004F236E">
      <w:pPr>
        <w:pStyle w:val="AbsatzConcludingObs"/>
        <w:rPr>
          <w:bCs/>
          <w:lang w:val="en-US"/>
        </w:rPr>
      </w:pPr>
      <w:r w:rsidRPr="00FA25CC">
        <w:rPr>
          <w:bCs/>
          <w:lang w:val="en-US"/>
        </w:rPr>
        <w:t>70.</w:t>
      </w:r>
      <w:r>
        <w:rPr>
          <w:bCs/>
          <w:lang w:val="en-US"/>
        </w:rPr>
        <w:tab/>
      </w:r>
      <w:r w:rsidRPr="00FA25CC">
        <w:rPr>
          <w:bCs/>
          <w:lang w:val="en-US"/>
        </w:rPr>
        <w:t xml:space="preserve">The act also provides that in cases where the child is unable to provide informed consent due to young age, or is, for other reasons, unable to express its will, certain safeguards must be considered when changing sex characteristics of children younger than 16 who are born with atypical sex characteristics, if treatment entails surgical operation due to a short urethra </w:t>
      </w:r>
      <w:r w:rsidRPr="00F53E52">
        <w:rPr>
          <w:bCs/>
          <w:i w:val="0"/>
          <w:iCs w:val="0"/>
          <w:lang w:val="en-US"/>
        </w:rPr>
        <w:t>(hypospadias)</w:t>
      </w:r>
      <w:r w:rsidRPr="00FA25CC">
        <w:rPr>
          <w:bCs/>
          <w:lang w:val="en-US"/>
        </w:rPr>
        <w:t xml:space="preserve">, or medication to treat micropenis. As for any assessment of the need for operations or medication, general rules apply, such as Act on Patients’ Rights No 74/1997. The above-mentioned permanent changes to sex characteristics shall not be performed unless a detailed assessment of possible advantages of their result in the short and long term has been undertaken, including the consequences of not performing a surgical operation, or providing medication or postponing it until the child can express its will, </w:t>
      </w:r>
      <w:r w:rsidRPr="00FA25CC">
        <w:rPr>
          <w:bCs/>
          <w:i w:val="0"/>
          <w:iCs w:val="0"/>
          <w:lang w:val="en-US"/>
        </w:rPr>
        <w:t>cf.</w:t>
      </w:r>
      <w:r w:rsidRPr="00FA25CC">
        <w:rPr>
          <w:bCs/>
          <w:lang w:val="en-US"/>
        </w:rPr>
        <w:t xml:space="preserve"> Article 11a(6).</w:t>
      </w:r>
    </w:p>
    <w:p w14:paraId="18F35679" w14:textId="09F1BE5E" w:rsidR="004F236E" w:rsidRDefault="004F236E" w:rsidP="004F236E">
      <w:pPr>
        <w:pStyle w:val="AbsatzConcludingObs"/>
        <w:rPr>
          <w:bCs/>
          <w:lang w:val="en-US"/>
        </w:rPr>
      </w:pPr>
      <w:r w:rsidRPr="00FA25CC">
        <w:rPr>
          <w:bCs/>
          <w:lang w:val="en-US"/>
        </w:rPr>
        <w:t>71.</w:t>
      </w:r>
      <w:r>
        <w:rPr>
          <w:bCs/>
          <w:lang w:val="en-US"/>
        </w:rPr>
        <w:tab/>
      </w:r>
      <w:r w:rsidRPr="00FA25CC">
        <w:rPr>
          <w:bCs/>
          <w:lang w:val="en-US"/>
        </w:rPr>
        <w:t>The Prime Minister will appoint a working group before the end of 2023 to review the exceptions in the light of the experience gained, and development of research and knowledge and best practice in the field of human rights. The group shall especially provide an assessment of 11a(5), including whether the provision should be deleted.</w:t>
      </w:r>
    </w:p>
    <w:p w14:paraId="1A20D8B1" w14:textId="77777777" w:rsidR="004F236E" w:rsidRDefault="004F236E">
      <w:pPr>
        <w:rPr>
          <w:rFonts w:eastAsia="Baskerville" w:cs="Baskerville"/>
          <w:bCs/>
          <w:i/>
          <w:iCs/>
          <w:color w:val="000000"/>
          <w:spacing w:val="2"/>
          <w:kern w:val="1"/>
          <w:lang w:val="en-US" w:bidi="hi-IN"/>
        </w:rPr>
      </w:pPr>
      <w:r>
        <w:rPr>
          <w:bCs/>
          <w:lang w:val="en-US"/>
        </w:rPr>
        <w:br w:type="page"/>
      </w:r>
    </w:p>
    <w:p w14:paraId="61823732" w14:textId="4AD70794" w:rsidR="00CF600F" w:rsidRPr="00414EFB" w:rsidRDefault="00CF600F" w:rsidP="00CF600F">
      <w:pPr>
        <w:pStyle w:val="Title1"/>
        <w:rPr>
          <w:lang w:val="en-GB"/>
        </w:rPr>
      </w:pPr>
      <w:bookmarkStart w:id="43" w:name="_Toc177422567"/>
      <w:bookmarkStart w:id="44" w:name="_Toc453620708"/>
      <w:bookmarkStart w:id="45" w:name="_Toc463295405"/>
      <w:bookmarkStart w:id="46" w:name="_Toc472687689"/>
      <w:bookmarkStart w:id="47" w:name="_Toc485093570"/>
      <w:bookmarkStart w:id="48" w:name="_Toc516594088"/>
      <w:bookmarkStart w:id="49" w:name="_Toc101000890"/>
      <w:bookmarkStart w:id="50" w:name="_Toc111405648"/>
      <w:bookmarkStart w:id="51" w:name="_Toc165835368"/>
      <w:r w:rsidRPr="00414EFB">
        <w:rPr>
          <w:lang w:val="en-GB"/>
        </w:rPr>
        <w:lastRenderedPageBreak/>
        <w:t>C.  IGM in Iceland: State-sponsored and pervasive, Gov fails to act</w:t>
      </w:r>
      <w:bookmarkEnd w:id="43"/>
      <w:r w:rsidRPr="00414EFB">
        <w:rPr>
          <w:lang w:val="en-GB"/>
        </w:rPr>
        <w:t xml:space="preserve"> </w:t>
      </w:r>
    </w:p>
    <w:p w14:paraId="5B8C539A" w14:textId="4AAFEB96" w:rsidR="00CF600F" w:rsidRPr="00EC2926" w:rsidRDefault="00CF600F" w:rsidP="00CF600F">
      <w:pPr>
        <w:pStyle w:val="Title2"/>
        <w:rPr>
          <w:color w:val="800000"/>
        </w:rPr>
      </w:pPr>
      <w:bookmarkStart w:id="52" w:name="_Toc177422568"/>
      <w:r w:rsidRPr="00414EFB">
        <w:t>1.  Overview: IGM practices in Iceland: Pervasive</w:t>
      </w:r>
      <w:bookmarkEnd w:id="44"/>
      <w:bookmarkEnd w:id="45"/>
      <w:bookmarkEnd w:id="46"/>
      <w:bookmarkEnd w:id="47"/>
      <w:r w:rsidRPr="00414EFB">
        <w:t xml:space="preserve"> and </w:t>
      </w:r>
      <w:r w:rsidR="00414EFB" w:rsidRPr="00414EFB">
        <w:t>with impunity</w:t>
      </w:r>
      <w:bookmarkEnd w:id="52"/>
    </w:p>
    <w:p w14:paraId="037D939C" w14:textId="4466FD99" w:rsidR="003C4537" w:rsidRPr="003C4537" w:rsidRDefault="003F260D" w:rsidP="00770962">
      <w:pPr>
        <w:pStyle w:val="absatzschattenbericht"/>
        <w:rPr>
          <w:rFonts w:cs="Times New Roman"/>
          <w:lang w:val="en-GB"/>
        </w:rPr>
      </w:pPr>
      <w:r w:rsidRPr="003F260D">
        <w:rPr>
          <w:rFonts w:cs="Times New Roman"/>
          <w:lang w:val="en-GB"/>
        </w:rPr>
        <w:t xml:space="preserve">In </w:t>
      </w:r>
      <w:r w:rsidRPr="003F260D">
        <w:rPr>
          <w:rFonts w:eastAsia="Baskerville-SemiBold" w:cs="Times New Roman"/>
          <w:b/>
          <w:bCs/>
          <w:lang w:val="en-GB"/>
        </w:rPr>
        <w:t>Iceland</w:t>
      </w:r>
      <w:r>
        <w:rPr>
          <w:rFonts w:eastAsia="Baskerville-SemiBold" w:cs="Times New Roman"/>
          <w:lang w:val="en-GB"/>
        </w:rPr>
        <w:t xml:space="preserve"> (</w:t>
      </w:r>
      <w:r w:rsidR="001C7913" w:rsidRPr="001C7913">
        <w:rPr>
          <w:rFonts w:eastAsia="Baskerville-SemiBold" w:cs="Times New Roman"/>
          <w:lang w:val="de-CH"/>
        </w:rPr>
        <w:t>CRC/C/ISL/CO/5-6, para 26(b)+(c))</w:t>
      </w:r>
      <w:r>
        <w:rPr>
          <w:rFonts w:eastAsia="Baskerville-SemiBold" w:cs="Times New Roman"/>
          <w:lang w:val="en-GB"/>
        </w:rPr>
        <w:t>)</w:t>
      </w:r>
      <w:r w:rsidRPr="003F260D">
        <w:rPr>
          <w:rFonts w:eastAsia="Baskerville-SemiBold" w:cs="Times New Roman"/>
          <w:bCs/>
          <w:lang w:val="en-GB"/>
        </w:rPr>
        <w:t>,</w:t>
      </w:r>
      <w:r w:rsidRPr="003F260D">
        <w:rPr>
          <w:rFonts w:eastAsia="Baskerville-SemiBold" w:cs="Times New Roman"/>
          <w:b/>
          <w:bCs/>
          <w:lang w:val="en-GB"/>
        </w:rPr>
        <w:t xml:space="preserve"> </w:t>
      </w:r>
      <w:r w:rsidR="00830777" w:rsidRPr="000177FC">
        <w:rPr>
          <w:rFonts w:cs="Times New Roman"/>
          <w:lang w:val="en-GB"/>
        </w:rPr>
        <w:t xml:space="preserve">same as in the </w:t>
      </w:r>
      <w:r w:rsidR="00830777" w:rsidRPr="000177FC">
        <w:rPr>
          <w:rFonts w:cs="Times New Roman"/>
          <w:b/>
          <w:lang w:val="en-GB"/>
        </w:rPr>
        <w:t>fellow Nordic states</w:t>
      </w:r>
      <w:r w:rsidR="00830777" w:rsidRPr="000177FC">
        <w:rPr>
          <w:rFonts w:cs="Times New Roman"/>
          <w:lang w:val="en-GB"/>
        </w:rPr>
        <w:t xml:space="preserve"> of</w:t>
      </w:r>
      <w:r w:rsidR="003C4537">
        <w:rPr>
          <w:rFonts w:cs="Times New Roman"/>
          <w:lang w:val="en-GB"/>
        </w:rPr>
        <w:t xml:space="preserve"> </w:t>
      </w:r>
      <w:r w:rsidR="003C4537" w:rsidRPr="004B1E2E">
        <w:rPr>
          <w:rFonts w:cs="Times New Roman"/>
          <w:i/>
          <w:iCs/>
          <w:lang w:val="en-GB"/>
        </w:rPr>
        <w:t>Denmark</w:t>
      </w:r>
      <w:r w:rsidR="003C4537" w:rsidRPr="004B1E2E">
        <w:rPr>
          <w:rFonts w:cs="Times New Roman"/>
          <w:lang w:val="en-GB"/>
        </w:rPr>
        <w:t xml:space="preserve"> (</w:t>
      </w:r>
      <w:r w:rsidR="003C4537" w:rsidRPr="004B1E2E">
        <w:rPr>
          <w:rFonts w:cs="Times New Roman"/>
          <w:lang w:val="pt-BR"/>
        </w:rPr>
        <w:t xml:space="preserve">CAT/C/DNK/CO/6-7, paras 42-43; </w:t>
      </w:r>
      <w:r w:rsidR="000D1F9F" w:rsidRPr="004B1E2E">
        <w:rPr>
          <w:rFonts w:cs="Times New Roman"/>
          <w:lang w:val="de-CH"/>
        </w:rPr>
        <w:t xml:space="preserve">CRC/C/DNK/CO/5, paras 24+12; </w:t>
      </w:r>
      <w:r w:rsidR="003C4537" w:rsidRPr="004B1E2E">
        <w:rPr>
          <w:rFonts w:cs="Times New Roman"/>
          <w:lang w:val="pt-BR"/>
        </w:rPr>
        <w:t>CAT/C/DNK/CO/8, paras 32+33</w:t>
      </w:r>
      <w:r w:rsidR="003C4537">
        <w:rPr>
          <w:rFonts w:cs="Times New Roman"/>
          <w:lang w:val="pt-BR"/>
        </w:rPr>
        <w:t xml:space="preserve">), </w:t>
      </w:r>
      <w:r w:rsidR="003C4537" w:rsidRPr="00733495">
        <w:rPr>
          <w:rFonts w:cs="Times New Roman"/>
          <w:i/>
          <w:iCs/>
          <w:lang w:val="en-GB"/>
        </w:rPr>
        <w:t>Finland</w:t>
      </w:r>
      <w:r w:rsidR="003C4537">
        <w:rPr>
          <w:rFonts w:cs="Times New Roman"/>
          <w:lang w:val="en-GB"/>
        </w:rPr>
        <w:t xml:space="preserve"> (</w:t>
      </w:r>
      <w:r w:rsidR="003C4537" w:rsidRPr="00733495">
        <w:rPr>
          <w:rFonts w:cs="Times New Roman"/>
          <w:lang w:val="en-GB"/>
        </w:rPr>
        <w:t>CCPR/C/FIN/CO/7, paras 20+21(c);</w:t>
      </w:r>
      <w:r w:rsidR="003C4537">
        <w:rPr>
          <w:rFonts w:cs="Times New Roman"/>
          <w:lang w:val="en-GB"/>
        </w:rPr>
        <w:t xml:space="preserve"> </w:t>
      </w:r>
      <w:r w:rsidR="000D1F9F" w:rsidRPr="00733495">
        <w:rPr>
          <w:lang w:val="de-CH"/>
        </w:rPr>
        <w:t>CAT/C/FIN/CO/8, paras 44+45(b)-(d)</w:t>
      </w:r>
      <w:r w:rsidR="000D1F9F">
        <w:rPr>
          <w:lang w:val="de-CH"/>
        </w:rPr>
        <w:t xml:space="preserve">; </w:t>
      </w:r>
      <w:r w:rsidR="003C4537" w:rsidRPr="00733495">
        <w:rPr>
          <w:rFonts w:cs="Times New Roman"/>
          <w:lang w:val="en-GB"/>
        </w:rPr>
        <w:t>CEDAW/C/FIN/CO/8, paras 21(b)+22(b);</w:t>
      </w:r>
      <w:r w:rsidR="003C4537">
        <w:rPr>
          <w:rFonts w:cs="Times New Roman"/>
          <w:lang w:val="en-GB"/>
        </w:rPr>
        <w:t xml:space="preserve"> </w:t>
      </w:r>
      <w:r w:rsidR="003C4537" w:rsidRPr="00733495">
        <w:rPr>
          <w:rFonts w:cs="Times New Roman"/>
          <w:lang w:val="en-GB"/>
        </w:rPr>
        <w:t>CRC/C/FIN/CO/5-6, paras 24(a)+(b);</w:t>
      </w:r>
      <w:r w:rsidR="003C4537">
        <w:rPr>
          <w:rFonts w:cs="Times New Roman"/>
          <w:lang w:val="en-GB"/>
        </w:rPr>
        <w:t>),</w:t>
      </w:r>
      <w:r w:rsidR="005D68E2">
        <w:rPr>
          <w:rFonts w:cs="Times New Roman"/>
          <w:lang w:val="en-GB"/>
        </w:rPr>
        <w:t xml:space="preserve"> and</w:t>
      </w:r>
      <w:r w:rsidR="003C4537">
        <w:rPr>
          <w:rFonts w:cs="Times New Roman"/>
          <w:lang w:val="en-GB"/>
        </w:rPr>
        <w:t xml:space="preserve"> </w:t>
      </w:r>
      <w:r w:rsidR="003C4537">
        <w:rPr>
          <w:rFonts w:cs="Times New Roman"/>
          <w:i/>
          <w:iCs/>
          <w:lang w:val="en-GB"/>
        </w:rPr>
        <w:t xml:space="preserve">Sweden </w:t>
      </w:r>
      <w:r w:rsidR="003C4537">
        <w:rPr>
          <w:rFonts w:cs="Times New Roman"/>
          <w:lang w:val="en-GB"/>
        </w:rPr>
        <w:t>(</w:t>
      </w:r>
      <w:r w:rsidR="003C4537" w:rsidRPr="00733495">
        <w:rPr>
          <w:rFonts w:cs="Times New Roman"/>
          <w:lang w:val="en-GB"/>
        </w:rPr>
        <w:t>CRC/C/SWE/CO/6-7, para 27(c)-(d); CRPD/C/SWE/CO/2-3, paras 37-38</w:t>
      </w:r>
      <w:r w:rsidR="003C4537">
        <w:rPr>
          <w:rFonts w:cs="Times New Roman"/>
          <w:lang w:val="en-GB"/>
        </w:rPr>
        <w:t>),</w:t>
      </w:r>
      <w:r w:rsidR="00770962">
        <w:rPr>
          <w:rFonts w:cs="Times New Roman"/>
          <w:lang w:val="en-GB"/>
        </w:rPr>
        <w:t xml:space="preserve"> </w:t>
      </w:r>
      <w:r w:rsidR="003C4537" w:rsidRPr="003C4537">
        <w:t>and in</w:t>
      </w:r>
      <w:r w:rsidR="003C4537" w:rsidRPr="003C4537">
        <w:rPr>
          <w:b/>
        </w:rPr>
        <w:t xml:space="preserve"> many more State parties,</w:t>
      </w:r>
      <w:r w:rsidR="003C4537" w:rsidRPr="003C4537">
        <w:rPr>
          <w:rStyle w:val="Funotenzeichen"/>
          <w:bCs/>
        </w:rPr>
        <w:footnoteReference w:id="10"/>
      </w:r>
      <w:r w:rsidR="003C4537" w:rsidRPr="003C4537">
        <w:t xml:space="preserve"> there are</w:t>
      </w:r>
    </w:p>
    <w:p w14:paraId="7FAFFAD4" w14:textId="33877A36" w:rsidR="00733495" w:rsidRPr="000A796F" w:rsidRDefault="00733495" w:rsidP="009C4602">
      <w:pPr>
        <w:pStyle w:val="absatzschattenbericht"/>
        <w:numPr>
          <w:ilvl w:val="0"/>
          <w:numId w:val="3"/>
        </w:numPr>
        <w:ind w:left="714" w:hanging="357"/>
        <w:rPr>
          <w:rFonts w:cs="Times New Roman"/>
          <w:b/>
          <w:iCs/>
          <w:lang w:val="en-GB"/>
        </w:rPr>
      </w:pPr>
      <w:r w:rsidRPr="000A796F">
        <w:rPr>
          <w:rFonts w:eastAsia="Baskerville-Bold" w:cs="Times New Roman"/>
          <w:b/>
          <w:bCs/>
          <w:lang w:val="en-GB"/>
        </w:rPr>
        <w:t xml:space="preserve">no </w:t>
      </w:r>
      <w:r w:rsidR="00C62261">
        <w:rPr>
          <w:rFonts w:eastAsia="Baskerville-Bold" w:cs="Times New Roman"/>
          <w:b/>
          <w:bCs/>
          <w:lang w:val="en-GB"/>
        </w:rPr>
        <w:t xml:space="preserve">effective </w:t>
      </w:r>
      <w:r w:rsidRPr="000A796F">
        <w:rPr>
          <w:rFonts w:eastAsia="Baskerville-Bold" w:cs="Times New Roman"/>
          <w:b/>
          <w:bCs/>
          <w:lang w:val="en-GB"/>
        </w:rPr>
        <w:t>legal or other protections</w:t>
      </w:r>
      <w:r w:rsidRPr="000A796F">
        <w:rPr>
          <w:rFonts w:cs="Times New Roman"/>
          <w:lang w:val="en-GB"/>
        </w:rPr>
        <w:t xml:space="preserve"> in place to ensure the rights of intersex children to physical and mental integrity, autonomy and self-determination, and </w:t>
      </w:r>
      <w:r w:rsidRPr="000A796F">
        <w:rPr>
          <w:rFonts w:cs="Times New Roman"/>
          <w:b/>
          <w:lang w:val="en-GB"/>
        </w:rPr>
        <w:t>to prevent</w:t>
      </w:r>
      <w:r w:rsidRPr="000A796F">
        <w:rPr>
          <w:rFonts w:cs="Times New Roman"/>
          <w:lang w:val="en-GB"/>
        </w:rPr>
        <w:t xml:space="preserve"> </w:t>
      </w:r>
      <w:r w:rsidRPr="000A796F">
        <w:rPr>
          <w:rFonts w:cs="Times New Roman"/>
          <w:b/>
          <w:iCs/>
          <w:lang w:val="en-GB"/>
        </w:rPr>
        <w:t>IGM practices</w:t>
      </w:r>
    </w:p>
    <w:p w14:paraId="1D36A5C2" w14:textId="53505162" w:rsidR="00733495" w:rsidRPr="000A796F" w:rsidRDefault="00733495" w:rsidP="009C4602">
      <w:pPr>
        <w:pStyle w:val="absatzschattenbericht"/>
        <w:numPr>
          <w:ilvl w:val="0"/>
          <w:numId w:val="3"/>
        </w:numPr>
        <w:ind w:left="714" w:hanging="357"/>
        <w:rPr>
          <w:rFonts w:cs="Times New Roman"/>
          <w:iCs/>
          <w:lang w:val="en-GB"/>
        </w:rPr>
      </w:pPr>
      <w:r w:rsidRPr="000A796F">
        <w:rPr>
          <w:rFonts w:cs="Times New Roman"/>
          <w:b/>
          <w:bCs/>
          <w:lang w:val="en-GB"/>
        </w:rPr>
        <w:t xml:space="preserve">no </w:t>
      </w:r>
      <w:r w:rsidR="00C62261">
        <w:rPr>
          <w:rFonts w:cs="Times New Roman"/>
          <w:b/>
          <w:bCs/>
          <w:lang w:val="en-GB"/>
        </w:rPr>
        <w:t xml:space="preserve">effective </w:t>
      </w:r>
      <w:r w:rsidRPr="000A796F">
        <w:rPr>
          <w:rFonts w:cs="Times New Roman"/>
          <w:b/>
          <w:bCs/>
          <w:lang w:val="en-GB"/>
        </w:rPr>
        <w:t>measures</w:t>
      </w:r>
      <w:r w:rsidRPr="000A796F">
        <w:rPr>
          <w:rFonts w:cs="Times New Roman"/>
          <w:lang w:val="en-GB"/>
        </w:rPr>
        <w:t xml:space="preserve"> in place to ensure </w:t>
      </w:r>
      <w:r w:rsidRPr="000A796F">
        <w:rPr>
          <w:rFonts w:cs="Times New Roman"/>
          <w:b/>
          <w:bCs/>
          <w:lang w:val="en-GB"/>
        </w:rPr>
        <w:t>data collection and monitoring</w:t>
      </w:r>
      <w:r w:rsidRPr="000A796F">
        <w:rPr>
          <w:rFonts w:cs="Times New Roman"/>
          <w:lang w:val="en-GB"/>
        </w:rPr>
        <w:t xml:space="preserve"> of IGM practices</w:t>
      </w:r>
    </w:p>
    <w:p w14:paraId="5481B800" w14:textId="77777777" w:rsidR="00733495" w:rsidRPr="000A796F" w:rsidRDefault="00733495" w:rsidP="009C4602">
      <w:pPr>
        <w:pStyle w:val="absatzschattenbericht"/>
        <w:numPr>
          <w:ilvl w:val="0"/>
          <w:numId w:val="3"/>
        </w:numPr>
        <w:ind w:left="714" w:hanging="357"/>
        <w:rPr>
          <w:rFonts w:cs="Times New Roman"/>
          <w:lang w:val="en-GB"/>
        </w:rPr>
      </w:pPr>
      <w:r w:rsidRPr="000A796F">
        <w:rPr>
          <w:rFonts w:cs="Times New Roman"/>
          <w:b/>
          <w:lang w:val="en-GB"/>
        </w:rPr>
        <w:t>no legal or other measures</w:t>
      </w:r>
      <w:r w:rsidRPr="000A796F">
        <w:rPr>
          <w:rFonts w:cs="Times New Roman"/>
          <w:lang w:val="en-GB"/>
        </w:rPr>
        <w:t xml:space="preserve"> in place to ensure the </w:t>
      </w:r>
      <w:r w:rsidRPr="000A796F">
        <w:rPr>
          <w:rFonts w:cs="Times New Roman"/>
          <w:b/>
          <w:lang w:val="en-GB"/>
        </w:rPr>
        <w:t>accountability</w:t>
      </w:r>
      <w:r w:rsidRPr="000A796F">
        <w:rPr>
          <w:rFonts w:cs="Times New Roman"/>
          <w:lang w:val="en-GB"/>
        </w:rPr>
        <w:t xml:space="preserve"> of IGM perpetrators</w:t>
      </w:r>
    </w:p>
    <w:p w14:paraId="0B49DC8B" w14:textId="6B3C412A" w:rsidR="00770962" w:rsidRPr="00414EFB" w:rsidRDefault="00733495" w:rsidP="009C4602">
      <w:pPr>
        <w:pStyle w:val="absatzschattenbericht"/>
        <w:numPr>
          <w:ilvl w:val="0"/>
          <w:numId w:val="3"/>
        </w:numPr>
        <w:ind w:left="714" w:hanging="357"/>
        <w:rPr>
          <w:rFonts w:cs="Times New Roman"/>
          <w:lang w:val="en-GB"/>
        </w:rPr>
      </w:pPr>
      <w:r w:rsidRPr="000A796F">
        <w:rPr>
          <w:rFonts w:cs="Times New Roman"/>
          <w:b/>
          <w:bCs/>
          <w:lang w:val="en-GB"/>
        </w:rPr>
        <w:t xml:space="preserve">no </w:t>
      </w:r>
      <w:r w:rsidR="00C62261">
        <w:rPr>
          <w:rFonts w:cs="Times New Roman"/>
          <w:b/>
          <w:bCs/>
          <w:lang w:val="en-GB"/>
        </w:rPr>
        <w:t xml:space="preserve">effective </w:t>
      </w:r>
      <w:r w:rsidRPr="000A796F">
        <w:rPr>
          <w:rFonts w:cs="Times New Roman"/>
          <w:b/>
          <w:bCs/>
          <w:lang w:val="en-GB"/>
        </w:rPr>
        <w:t>legal or other measures</w:t>
      </w:r>
      <w:r w:rsidRPr="000A796F">
        <w:rPr>
          <w:rFonts w:cs="Times New Roman"/>
          <w:lang w:val="en-GB"/>
        </w:rPr>
        <w:t xml:space="preserve"> in place to ensure </w:t>
      </w:r>
      <w:r w:rsidRPr="000A796F">
        <w:rPr>
          <w:rFonts w:cs="Times New Roman"/>
          <w:b/>
          <w:lang w:val="en-GB"/>
        </w:rPr>
        <w:t>access to redress, justice and rehabilitation</w:t>
      </w:r>
      <w:r w:rsidRPr="000A796F">
        <w:rPr>
          <w:rFonts w:cs="Times New Roman"/>
          <w:lang w:val="en-GB"/>
        </w:rPr>
        <w:t xml:space="preserve"> for adult IGM survivors</w:t>
      </w:r>
    </w:p>
    <w:p w14:paraId="5A3AED43" w14:textId="3A2EB4BA" w:rsidR="004F236E" w:rsidRPr="000A796F" w:rsidRDefault="004F236E" w:rsidP="004F236E">
      <w:pPr>
        <w:pStyle w:val="Title2"/>
      </w:pPr>
      <w:bookmarkStart w:id="53" w:name="_Toc177422569"/>
      <w:r w:rsidRPr="000A796F">
        <w:t xml:space="preserve">2.  </w:t>
      </w:r>
      <w:bookmarkEnd w:id="48"/>
      <w:r>
        <w:t>Iceland’s</w:t>
      </w:r>
      <w:r w:rsidRPr="000A796F">
        <w:t xml:space="preserve"> commitment to </w:t>
      </w:r>
      <w:r w:rsidRPr="000A796F">
        <w:rPr>
          <w:i/>
        </w:rPr>
        <w:t>“protect intersex children from violence and harmful practices”</w:t>
      </w:r>
      <w:r w:rsidRPr="000A796F">
        <w:t xml:space="preserve">, </w:t>
      </w:r>
      <w:r w:rsidRPr="000A796F">
        <w:rPr>
          <w:i/>
        </w:rPr>
        <w:t>“investigate abuses”</w:t>
      </w:r>
      <w:r w:rsidRPr="000A796F">
        <w:t xml:space="preserve">, </w:t>
      </w:r>
      <w:r w:rsidRPr="000A796F">
        <w:rPr>
          <w:i/>
        </w:rPr>
        <w:t>“ensure accountability”</w:t>
      </w:r>
      <w:r w:rsidRPr="000A796F">
        <w:t xml:space="preserve"> and </w:t>
      </w:r>
      <w:r w:rsidRPr="000A796F">
        <w:rPr>
          <w:i/>
        </w:rPr>
        <w:t xml:space="preserve">“access to </w:t>
      </w:r>
      <w:bookmarkEnd w:id="49"/>
      <w:r w:rsidRPr="000A796F">
        <w:rPr>
          <w:i/>
        </w:rPr>
        <w:t>remedy”</w:t>
      </w:r>
      <w:bookmarkEnd w:id="50"/>
      <w:bookmarkEnd w:id="51"/>
      <w:bookmarkEnd w:id="53"/>
    </w:p>
    <w:p w14:paraId="21AD0952" w14:textId="77777777" w:rsidR="004F236E" w:rsidRPr="000A796F" w:rsidRDefault="004F236E" w:rsidP="004F236E">
      <w:pPr>
        <w:pStyle w:val="Title3"/>
      </w:pPr>
      <w:bookmarkStart w:id="54" w:name="_Toc101000891"/>
      <w:bookmarkStart w:id="55" w:name="_Toc111405649"/>
      <w:bookmarkStart w:id="56" w:name="_Toc165835369"/>
      <w:bookmarkStart w:id="57" w:name="_Toc177422570"/>
      <w:r w:rsidRPr="000A796F">
        <w:t>a) UNHRC45 Statement, 01.10.2020</w:t>
      </w:r>
      <w:bookmarkEnd w:id="54"/>
      <w:bookmarkEnd w:id="55"/>
      <w:bookmarkEnd w:id="56"/>
      <w:bookmarkEnd w:id="57"/>
    </w:p>
    <w:p w14:paraId="064B4A70" w14:textId="77777777" w:rsidR="004F236E" w:rsidRPr="000A796F" w:rsidRDefault="004F236E" w:rsidP="004F236E">
      <w:pPr>
        <w:pStyle w:val="absatzschattenbericht"/>
        <w:rPr>
          <w:bCs/>
          <w:lang w:val="en-GB"/>
        </w:rPr>
      </w:pPr>
      <w:r w:rsidRPr="000A796F">
        <w:rPr>
          <w:bCs/>
          <w:lang w:val="en-GB"/>
        </w:rPr>
        <w:t xml:space="preserve">On occasion of the </w:t>
      </w:r>
      <w:r w:rsidRPr="000A796F">
        <w:rPr>
          <w:b/>
          <w:lang w:val="en-GB"/>
        </w:rPr>
        <w:t>45</w:t>
      </w:r>
      <w:r w:rsidRPr="000A796F">
        <w:rPr>
          <w:b/>
          <w:vertAlign w:val="superscript"/>
          <w:lang w:val="en-GB"/>
        </w:rPr>
        <w:t>th</w:t>
      </w:r>
      <w:r w:rsidRPr="000A796F">
        <w:rPr>
          <w:b/>
          <w:lang w:val="en-GB"/>
        </w:rPr>
        <w:t xml:space="preserve"> Session of the Human Rights Council</w:t>
      </w:r>
      <w:r w:rsidRPr="000A796F">
        <w:rPr>
          <w:bCs/>
          <w:lang w:val="en-GB"/>
        </w:rPr>
        <w:t xml:space="preserve"> the </w:t>
      </w:r>
      <w:r w:rsidRPr="000A796F">
        <w:rPr>
          <w:b/>
          <w:lang w:val="en-GB"/>
        </w:rPr>
        <w:t>State party</w:t>
      </w:r>
      <w:r w:rsidRPr="000A796F">
        <w:rPr>
          <w:bCs/>
          <w:lang w:val="en-GB"/>
        </w:rPr>
        <w:t xml:space="preserve"> </w:t>
      </w:r>
      <w:r>
        <w:rPr>
          <w:bCs/>
          <w:lang w:val="en-GB"/>
        </w:rPr>
        <w:t>supported</w:t>
      </w:r>
      <w:r w:rsidRPr="000A796F">
        <w:rPr>
          <w:bCs/>
          <w:lang w:val="en-GB"/>
        </w:rPr>
        <w:t xml:space="preserve"> a public </w:t>
      </w:r>
      <w:r w:rsidRPr="000A796F">
        <w:rPr>
          <w:bCs/>
          <w:i/>
          <w:iCs/>
          <w:lang w:val="en-GB"/>
        </w:rPr>
        <w:t xml:space="preserve">“Joint Statement </w:t>
      </w:r>
      <w:r>
        <w:rPr>
          <w:bCs/>
          <w:i/>
          <w:iCs/>
          <w:lang w:val="en-GB"/>
        </w:rPr>
        <w:t>[...]</w:t>
      </w:r>
      <w:r w:rsidRPr="000A796F">
        <w:rPr>
          <w:bCs/>
          <w:i/>
          <w:iCs/>
          <w:lang w:val="en-GB"/>
        </w:rPr>
        <w:t xml:space="preserve"> on the Rights of Intersex Persons”</w:t>
      </w:r>
      <w:r w:rsidRPr="000A796F">
        <w:rPr>
          <w:bCs/>
          <w:lang w:val="en-GB"/>
        </w:rPr>
        <w:t xml:space="preserve"> calling to </w:t>
      </w:r>
      <w:r w:rsidRPr="000A796F">
        <w:rPr>
          <w:b/>
          <w:i/>
          <w:iCs/>
          <w:lang w:val="en-GB"/>
        </w:rPr>
        <w:t>“protect […] intersex adults and children</w:t>
      </w:r>
      <w:r w:rsidRPr="000A796F">
        <w:rPr>
          <w:bCs/>
          <w:i/>
          <w:iCs/>
          <w:lang w:val="en-GB"/>
        </w:rPr>
        <w:t xml:space="preserve"> […] so that they live free </w:t>
      </w:r>
      <w:r w:rsidRPr="000A796F">
        <w:rPr>
          <w:b/>
          <w:i/>
          <w:iCs/>
          <w:lang w:val="en-GB"/>
        </w:rPr>
        <w:t>from violence and harmful practices</w:t>
      </w:r>
      <w:r w:rsidRPr="000A796F">
        <w:rPr>
          <w:bCs/>
          <w:i/>
          <w:iCs/>
          <w:lang w:val="en-GB"/>
        </w:rPr>
        <w:t xml:space="preserve">. Governments should </w:t>
      </w:r>
      <w:r w:rsidRPr="000A796F">
        <w:rPr>
          <w:b/>
          <w:i/>
          <w:iCs/>
          <w:lang w:val="en-GB"/>
        </w:rPr>
        <w:t>investigate human rights violations and abuses</w:t>
      </w:r>
      <w:r w:rsidRPr="000A796F">
        <w:rPr>
          <w:bCs/>
          <w:i/>
          <w:iCs/>
          <w:lang w:val="en-GB"/>
        </w:rPr>
        <w:t xml:space="preserve"> against intersex people, </w:t>
      </w:r>
      <w:r w:rsidRPr="000A796F">
        <w:rPr>
          <w:b/>
          <w:i/>
          <w:iCs/>
          <w:lang w:val="en-GB"/>
        </w:rPr>
        <w:t>ensure accountability</w:t>
      </w:r>
      <w:r w:rsidRPr="000A796F">
        <w:rPr>
          <w:bCs/>
          <w:i/>
          <w:iCs/>
          <w:lang w:val="en-GB"/>
        </w:rPr>
        <w:t xml:space="preserve">, […] and </w:t>
      </w:r>
      <w:r w:rsidRPr="000A796F">
        <w:rPr>
          <w:b/>
          <w:i/>
          <w:iCs/>
          <w:lang w:val="en-GB"/>
        </w:rPr>
        <w:t>provide victims with access to remedy.”</w:t>
      </w:r>
      <w:r w:rsidRPr="000A796F">
        <w:rPr>
          <w:bCs/>
          <w:lang w:val="en-GB"/>
        </w:rPr>
        <w:t xml:space="preserve"> </w:t>
      </w:r>
      <w:r w:rsidRPr="000A796F">
        <w:rPr>
          <w:rStyle w:val="Funotenanker"/>
          <w:lang w:val="en-GB"/>
        </w:rPr>
        <w:footnoteReference w:id="11"/>
      </w:r>
    </w:p>
    <w:p w14:paraId="11734E48" w14:textId="77777777" w:rsidR="004F236E" w:rsidRPr="000A796F" w:rsidRDefault="004F236E" w:rsidP="004F236E">
      <w:pPr>
        <w:pStyle w:val="Title3"/>
      </w:pPr>
      <w:bookmarkStart w:id="58" w:name="_Toc101000892"/>
      <w:bookmarkStart w:id="59" w:name="_Toc111405650"/>
      <w:bookmarkStart w:id="60" w:name="_Toc165835370"/>
      <w:bookmarkStart w:id="61" w:name="_Toc177422571"/>
      <w:r w:rsidRPr="000A796F">
        <w:t>b) UNHRC48 Statement, 04.10.2021</w:t>
      </w:r>
      <w:bookmarkEnd w:id="58"/>
      <w:bookmarkEnd w:id="59"/>
      <w:bookmarkEnd w:id="60"/>
      <w:bookmarkEnd w:id="61"/>
    </w:p>
    <w:p w14:paraId="0F8EDE5A" w14:textId="77777777" w:rsidR="004F236E" w:rsidRPr="000A796F" w:rsidRDefault="004F236E" w:rsidP="004F236E">
      <w:pPr>
        <w:pStyle w:val="absatzschattenbericht"/>
        <w:rPr>
          <w:bCs/>
          <w:lang w:val="en-GB"/>
        </w:rPr>
      </w:pPr>
      <w:r w:rsidRPr="000A796F">
        <w:rPr>
          <w:bCs/>
          <w:lang w:val="en-GB"/>
        </w:rPr>
        <w:t xml:space="preserve">On occasion of the </w:t>
      </w:r>
      <w:r w:rsidRPr="000A796F">
        <w:rPr>
          <w:b/>
          <w:lang w:val="en-GB"/>
        </w:rPr>
        <w:t>48</w:t>
      </w:r>
      <w:r w:rsidRPr="000A796F">
        <w:rPr>
          <w:b/>
          <w:vertAlign w:val="superscript"/>
          <w:lang w:val="en-GB"/>
        </w:rPr>
        <w:t>th</w:t>
      </w:r>
      <w:r w:rsidRPr="000A796F">
        <w:rPr>
          <w:b/>
          <w:lang w:val="en-GB"/>
        </w:rPr>
        <w:t xml:space="preserve"> Session of the Human Rights Council</w:t>
      </w:r>
      <w:r w:rsidRPr="000A796F">
        <w:rPr>
          <w:bCs/>
          <w:lang w:val="en-GB"/>
        </w:rPr>
        <w:t xml:space="preserve"> the </w:t>
      </w:r>
      <w:r w:rsidRPr="000A796F">
        <w:rPr>
          <w:b/>
          <w:lang w:val="en-GB"/>
        </w:rPr>
        <w:t>State party</w:t>
      </w:r>
      <w:r w:rsidRPr="000A796F">
        <w:rPr>
          <w:bCs/>
          <w:lang w:val="en-GB"/>
        </w:rPr>
        <w:t xml:space="preserve"> supported a public follow-up statement reiterating the call to end harmful practices and ensure access to justice:</w:t>
      </w:r>
    </w:p>
    <w:p w14:paraId="76F4CD07" w14:textId="77777777" w:rsidR="004F236E" w:rsidRPr="000A796F" w:rsidRDefault="004F236E" w:rsidP="004F236E">
      <w:pPr>
        <w:pStyle w:val="absatzschattenbericht"/>
        <w:ind w:left="284"/>
        <w:rPr>
          <w:rFonts w:eastAsia="Baskerville-SemiBold" w:cs="Baskerville-SemiBold"/>
          <w:bCs/>
          <w:i/>
          <w:iCs/>
          <w:lang w:val="en-GB"/>
        </w:rPr>
      </w:pPr>
      <w:r w:rsidRPr="000A796F">
        <w:rPr>
          <w:rFonts w:eastAsia="Baskerville-SemiBold" w:cs="Baskerville-SemiBold"/>
          <w:bCs/>
          <w:i/>
          <w:iCs/>
          <w:lang w:val="en-GB"/>
        </w:rPr>
        <w:t xml:space="preserve">“Intersex persons also need to be protected from </w:t>
      </w:r>
      <w:r w:rsidRPr="000A796F">
        <w:rPr>
          <w:rFonts w:eastAsia="Baskerville-SemiBold" w:cs="Baskerville-SemiBold"/>
          <w:b/>
          <w:bCs/>
          <w:i/>
          <w:iCs/>
          <w:lang w:val="en-GB"/>
        </w:rPr>
        <w:t>violence</w:t>
      </w:r>
      <w:r w:rsidRPr="000A796F">
        <w:rPr>
          <w:rFonts w:eastAsia="Baskerville-SemiBold" w:cs="Baskerville-SemiBold"/>
          <w:bCs/>
          <w:i/>
          <w:iCs/>
          <w:lang w:val="en-GB"/>
        </w:rPr>
        <w:t xml:space="preserve"> and States must </w:t>
      </w:r>
      <w:r w:rsidRPr="000A796F">
        <w:rPr>
          <w:rFonts w:eastAsia="Baskerville-SemiBold" w:cs="Baskerville-SemiBold"/>
          <w:b/>
          <w:i/>
          <w:iCs/>
          <w:lang w:val="en-GB"/>
        </w:rPr>
        <w:t>ensure accountability</w:t>
      </w:r>
      <w:r w:rsidRPr="000A796F">
        <w:rPr>
          <w:rFonts w:eastAsia="Baskerville-SemiBold" w:cs="Baskerville-SemiBold"/>
          <w:bCs/>
          <w:i/>
          <w:iCs/>
          <w:lang w:val="en-GB"/>
        </w:rPr>
        <w:t xml:space="preserve"> for these acts. […]</w:t>
      </w:r>
    </w:p>
    <w:p w14:paraId="286A7770" w14:textId="77777777" w:rsidR="004F236E" w:rsidRPr="000A796F" w:rsidRDefault="004F236E" w:rsidP="004F236E">
      <w:pPr>
        <w:pStyle w:val="absatzschattenbericht"/>
        <w:ind w:left="284"/>
        <w:rPr>
          <w:rFonts w:eastAsia="Baskerville-SemiBold" w:cs="Baskerville-SemiBold"/>
          <w:bCs/>
          <w:i/>
          <w:iCs/>
          <w:lang w:val="en-GB"/>
        </w:rPr>
      </w:pPr>
      <w:r w:rsidRPr="000A796F">
        <w:rPr>
          <w:rFonts w:eastAsia="Baskerville-SemiBold" w:cs="Baskerville-SemiBold"/>
          <w:bCs/>
          <w:i/>
          <w:iCs/>
          <w:lang w:val="en-GB"/>
        </w:rPr>
        <w:t xml:space="preserve">Furthermore, there is also a need to take measures to protect the </w:t>
      </w:r>
      <w:r w:rsidRPr="000A796F">
        <w:rPr>
          <w:rFonts w:eastAsia="Baskerville-SemiBold" w:cs="Baskerville-SemiBold"/>
          <w:b/>
          <w:bCs/>
          <w:i/>
          <w:iCs/>
          <w:lang w:val="en-GB"/>
        </w:rPr>
        <w:t>autonomy</w:t>
      </w:r>
      <w:r w:rsidRPr="000A796F">
        <w:rPr>
          <w:rFonts w:eastAsia="Baskerville-SemiBold" w:cs="Baskerville-SemiBold"/>
          <w:bCs/>
          <w:i/>
          <w:iCs/>
          <w:lang w:val="en-GB"/>
        </w:rPr>
        <w:t xml:space="preserve"> of intersex children and adults and their rights to health and to </w:t>
      </w:r>
      <w:r w:rsidRPr="000A796F">
        <w:rPr>
          <w:rFonts w:eastAsia="Baskerville-SemiBold" w:cs="Baskerville-SemiBold"/>
          <w:b/>
          <w:i/>
          <w:iCs/>
          <w:lang w:val="en-GB"/>
        </w:rPr>
        <w:t>physical and mental integrity</w:t>
      </w:r>
      <w:r w:rsidRPr="000A796F">
        <w:rPr>
          <w:rFonts w:eastAsia="Baskerville-SemiBold" w:cs="Baskerville-SemiBold"/>
          <w:bCs/>
          <w:i/>
          <w:iCs/>
          <w:lang w:val="en-GB"/>
        </w:rPr>
        <w:t xml:space="preserve"> so that they live </w:t>
      </w:r>
      <w:r w:rsidRPr="000A796F">
        <w:rPr>
          <w:rFonts w:eastAsia="Baskerville-SemiBold" w:cs="Baskerville-SemiBold"/>
          <w:b/>
          <w:i/>
          <w:iCs/>
          <w:lang w:val="en-GB"/>
        </w:rPr>
        <w:t>free from violence and harmful practices</w:t>
      </w:r>
      <w:r w:rsidRPr="000A796F">
        <w:rPr>
          <w:rFonts w:eastAsia="Baskerville-SemiBold" w:cs="Baskerville-SemiBold"/>
          <w:bCs/>
          <w:i/>
          <w:iCs/>
          <w:lang w:val="en-GB"/>
        </w:rPr>
        <w:t xml:space="preserve">. Medically unnecessary surgeries, hormonal treatments and other invasive or irreversible non-vital medical procedures without their free, </w:t>
      </w:r>
      <w:r w:rsidRPr="000A796F">
        <w:rPr>
          <w:rFonts w:eastAsia="Baskerville-SemiBold" w:cs="Baskerville-SemiBold"/>
          <w:bCs/>
          <w:i/>
          <w:iCs/>
          <w:lang w:val="en-GB"/>
        </w:rPr>
        <w:lastRenderedPageBreak/>
        <w:t xml:space="preserve">prior, full and informed consent are </w:t>
      </w:r>
      <w:r w:rsidRPr="000A796F">
        <w:rPr>
          <w:rFonts w:eastAsia="Baskerville-SemiBold" w:cs="Baskerville-SemiBold"/>
          <w:b/>
          <w:i/>
          <w:iCs/>
          <w:lang w:val="en-GB"/>
        </w:rPr>
        <w:t>harmful to the full enjoyment of the human rights</w:t>
      </w:r>
      <w:r w:rsidRPr="000A796F">
        <w:rPr>
          <w:rFonts w:eastAsia="Baskerville-SemiBold" w:cs="Baskerville-SemiBold"/>
          <w:bCs/>
          <w:i/>
          <w:iCs/>
          <w:lang w:val="en-GB"/>
        </w:rPr>
        <w:t xml:space="preserve"> of intersex persons. </w:t>
      </w:r>
    </w:p>
    <w:p w14:paraId="1774BAC3" w14:textId="77777777" w:rsidR="004F236E" w:rsidRPr="000A796F" w:rsidRDefault="004F236E" w:rsidP="004F236E">
      <w:pPr>
        <w:pStyle w:val="absatzschattenbericht"/>
        <w:ind w:left="284"/>
        <w:rPr>
          <w:rFonts w:eastAsia="Baskerville-SemiBold" w:cs="Baskerville-SemiBold"/>
          <w:bCs/>
          <w:i/>
          <w:iCs/>
          <w:lang w:val="en-GB"/>
        </w:rPr>
      </w:pPr>
      <w:r w:rsidRPr="000A796F">
        <w:rPr>
          <w:rFonts w:eastAsia="Baskerville-SemiBold" w:cs="Baskerville-SemiBold"/>
          <w:bCs/>
          <w:i/>
          <w:iCs/>
          <w:lang w:val="en-GB"/>
        </w:rPr>
        <w:t xml:space="preserve">We call on all member states to take measures to combat violence and discrimination against intersex persons, develop policies in close consultations with those affected, </w:t>
      </w:r>
      <w:r w:rsidRPr="000A796F">
        <w:rPr>
          <w:rFonts w:eastAsia="Baskerville-SemiBold" w:cs="Baskerville-SemiBold"/>
          <w:b/>
          <w:i/>
          <w:iCs/>
          <w:lang w:val="en-GB"/>
        </w:rPr>
        <w:t>ensure accountability</w:t>
      </w:r>
      <w:r w:rsidRPr="000A796F">
        <w:rPr>
          <w:rFonts w:eastAsia="Baskerville-SemiBold" w:cs="Baskerville-SemiBold"/>
          <w:bCs/>
          <w:i/>
          <w:iCs/>
          <w:lang w:val="en-GB"/>
        </w:rPr>
        <w:t xml:space="preserve">, reverse discriminatory laws and </w:t>
      </w:r>
      <w:r w:rsidRPr="000A796F">
        <w:rPr>
          <w:rFonts w:eastAsia="Baskerville-SemiBold" w:cs="Baskerville-SemiBold"/>
          <w:b/>
          <w:i/>
          <w:iCs/>
          <w:lang w:val="en-GB"/>
        </w:rPr>
        <w:t>provide victims with access to remedy</w:t>
      </w:r>
      <w:r w:rsidRPr="000A796F">
        <w:rPr>
          <w:rFonts w:eastAsia="Baskerville-SemiBold" w:cs="Baskerville-SemiBold"/>
          <w:bCs/>
          <w:i/>
          <w:iCs/>
          <w:lang w:val="en-GB"/>
        </w:rPr>
        <w:t xml:space="preserve">.” </w:t>
      </w:r>
      <w:r w:rsidRPr="000A796F">
        <w:rPr>
          <w:rStyle w:val="Funotenanker"/>
          <w:lang w:val="en-GB"/>
        </w:rPr>
        <w:footnoteReference w:id="12"/>
      </w:r>
    </w:p>
    <w:p w14:paraId="742D91B8" w14:textId="77777777" w:rsidR="004F236E" w:rsidRPr="000A796F" w:rsidRDefault="004F236E" w:rsidP="004F236E">
      <w:pPr>
        <w:pStyle w:val="Title3"/>
      </w:pPr>
      <w:bookmarkStart w:id="62" w:name="_Toc165835371"/>
      <w:bookmarkStart w:id="63" w:name="_Toc177422572"/>
      <w:r w:rsidRPr="000A796F">
        <w:t>c) UNHRC54 Statement, 04.10.2023</w:t>
      </w:r>
      <w:bookmarkEnd w:id="62"/>
      <w:bookmarkEnd w:id="63"/>
    </w:p>
    <w:p w14:paraId="133C399B" w14:textId="77777777" w:rsidR="004F236E" w:rsidRPr="000A796F" w:rsidRDefault="004F236E" w:rsidP="004F236E">
      <w:pPr>
        <w:pStyle w:val="absatzschattenbericht"/>
        <w:rPr>
          <w:bCs/>
          <w:lang w:val="en-GB"/>
        </w:rPr>
      </w:pPr>
      <w:r w:rsidRPr="000A796F">
        <w:rPr>
          <w:bCs/>
          <w:lang w:val="en-GB"/>
        </w:rPr>
        <w:t xml:space="preserve">On occasion of the </w:t>
      </w:r>
      <w:r w:rsidRPr="000A796F">
        <w:rPr>
          <w:b/>
          <w:lang w:val="en-GB"/>
        </w:rPr>
        <w:t>54</w:t>
      </w:r>
      <w:r w:rsidRPr="000A796F">
        <w:rPr>
          <w:b/>
          <w:vertAlign w:val="superscript"/>
          <w:lang w:val="en-GB"/>
        </w:rPr>
        <w:t>th</w:t>
      </w:r>
      <w:r w:rsidRPr="000A796F">
        <w:rPr>
          <w:b/>
          <w:lang w:val="en-GB"/>
        </w:rPr>
        <w:t xml:space="preserve"> Session of the Human Rights Council</w:t>
      </w:r>
      <w:r w:rsidRPr="000A796F">
        <w:rPr>
          <w:bCs/>
          <w:lang w:val="en-GB"/>
        </w:rPr>
        <w:t xml:space="preserve"> the </w:t>
      </w:r>
      <w:r w:rsidRPr="000A796F">
        <w:rPr>
          <w:b/>
          <w:lang w:val="en-GB"/>
        </w:rPr>
        <w:t>State party</w:t>
      </w:r>
      <w:r w:rsidRPr="000A796F">
        <w:rPr>
          <w:bCs/>
          <w:lang w:val="en-GB"/>
        </w:rPr>
        <w:t xml:space="preserve"> supported a public follow-up statement reiterating the call to prohibit harmful practices and inhuman treatment and to ensure access to justice:</w:t>
      </w:r>
    </w:p>
    <w:p w14:paraId="087AA93B" w14:textId="77777777" w:rsidR="004F236E" w:rsidRPr="000A796F" w:rsidRDefault="004F236E" w:rsidP="004F236E">
      <w:pPr>
        <w:pStyle w:val="absatzschattenbericht"/>
        <w:ind w:left="284"/>
        <w:rPr>
          <w:bCs/>
          <w:i/>
          <w:iCs/>
          <w:lang w:val="en-GB"/>
        </w:rPr>
      </w:pPr>
      <w:r w:rsidRPr="000A796F">
        <w:rPr>
          <w:bCs/>
          <w:i/>
          <w:iCs/>
          <w:lang w:val="en-GB"/>
        </w:rPr>
        <w:t xml:space="preserve">“4. Because their bodies are perceived as different, intersex persons, including children, face stigma, misconception and </w:t>
      </w:r>
      <w:r w:rsidRPr="000A796F">
        <w:rPr>
          <w:b/>
          <w:i/>
          <w:iCs/>
          <w:lang w:val="en-GB"/>
        </w:rPr>
        <w:t>violence, such as forced, coercive, irreversible and non-vital medical interventions.</w:t>
      </w:r>
      <w:r w:rsidRPr="000A796F">
        <w:rPr>
          <w:bCs/>
          <w:i/>
          <w:iCs/>
          <w:lang w:val="en-GB"/>
        </w:rPr>
        <w:t xml:space="preserve"> These include so-called “normalising” surgeries that can have </w:t>
      </w:r>
      <w:r w:rsidRPr="000A796F">
        <w:rPr>
          <w:b/>
          <w:i/>
          <w:iCs/>
          <w:lang w:val="en-GB"/>
        </w:rPr>
        <w:t>life-long negative impacts on their physical and mental health.</w:t>
      </w:r>
      <w:r w:rsidRPr="000A796F">
        <w:rPr>
          <w:bCs/>
          <w:i/>
          <w:iCs/>
          <w:lang w:val="en-GB"/>
        </w:rPr>
        <w:t xml:space="preserve"> These harmful practices </w:t>
      </w:r>
      <w:r w:rsidRPr="000A796F">
        <w:rPr>
          <w:b/>
          <w:i/>
          <w:iCs/>
          <w:lang w:val="en-GB"/>
        </w:rPr>
        <w:t>should be urgently stopped.</w:t>
      </w:r>
      <w:r w:rsidRPr="000A796F">
        <w:rPr>
          <w:bCs/>
          <w:i/>
          <w:iCs/>
          <w:lang w:val="en-GB"/>
        </w:rPr>
        <w:t xml:space="preserve"> Human rights of intersex persons need to be respected, so that they can </w:t>
      </w:r>
      <w:r w:rsidRPr="000A796F">
        <w:rPr>
          <w:b/>
          <w:i/>
          <w:iCs/>
          <w:lang w:val="en-GB"/>
        </w:rPr>
        <w:t>live free from violence, cruel, inhuman, or degrading treatment and harmful practices.</w:t>
      </w:r>
      <w:r w:rsidRPr="000A796F">
        <w:rPr>
          <w:bCs/>
          <w:i/>
          <w:iCs/>
          <w:lang w:val="en-GB"/>
        </w:rPr>
        <w:t xml:space="preserve"> [...]</w:t>
      </w:r>
    </w:p>
    <w:p w14:paraId="64BAFF91" w14:textId="77777777" w:rsidR="004F236E" w:rsidRPr="000A796F" w:rsidRDefault="004F236E" w:rsidP="004F236E">
      <w:pPr>
        <w:pStyle w:val="absatzschattenbericht"/>
        <w:ind w:left="284"/>
        <w:rPr>
          <w:bCs/>
          <w:i/>
          <w:iCs/>
          <w:lang w:val="en-GB"/>
        </w:rPr>
      </w:pPr>
      <w:r w:rsidRPr="000A796F">
        <w:rPr>
          <w:bCs/>
          <w:i/>
          <w:iCs/>
          <w:lang w:val="en-GB"/>
        </w:rPr>
        <w:t xml:space="preserve">8. We call on all States to increase efforts to combat violence, harmful practices and discrimination on the basis of sex characteristics, address their root causes, and </w:t>
      </w:r>
      <w:r w:rsidRPr="000A796F">
        <w:rPr>
          <w:b/>
          <w:i/>
          <w:iCs/>
          <w:lang w:val="en-GB"/>
        </w:rPr>
        <w:t xml:space="preserve">implement protective laws and policies in close consultations with those affected, </w:t>
      </w:r>
      <w:r w:rsidRPr="000A796F">
        <w:rPr>
          <w:bCs/>
          <w:i/>
          <w:iCs/>
          <w:lang w:val="en-GB"/>
        </w:rPr>
        <w:t>in order to ensure the full realization of human rights of intersex persons.”</w:t>
      </w:r>
      <w:r w:rsidRPr="000A796F">
        <w:rPr>
          <w:rStyle w:val="Funotenanker"/>
          <w:lang w:val="en-GB"/>
        </w:rPr>
        <w:footnoteReference w:id="13"/>
      </w:r>
    </w:p>
    <w:p w14:paraId="74EB5449" w14:textId="77777777" w:rsidR="004F236E" w:rsidRPr="000A796F" w:rsidRDefault="004F236E" w:rsidP="004F236E">
      <w:pPr>
        <w:pStyle w:val="Title3"/>
      </w:pPr>
      <w:bookmarkStart w:id="64" w:name="_Toc165835372"/>
      <w:bookmarkStart w:id="65" w:name="_Toc177422573"/>
      <w:r w:rsidRPr="000A796F">
        <w:t xml:space="preserve">d) UNHRC55 Intersex Resolution A/HRC/55/L.9 </w:t>
      </w:r>
      <w:r>
        <w:t>co-sponsored</w:t>
      </w:r>
      <w:r w:rsidRPr="000A796F">
        <w:t xml:space="preserve"> by </w:t>
      </w:r>
      <w:r>
        <w:t>Iceland</w:t>
      </w:r>
      <w:r w:rsidRPr="000A796F">
        <w:t xml:space="preserve">, </w:t>
      </w:r>
      <w:r w:rsidRPr="001C0AA0">
        <w:rPr>
          <w:bCs w:val="0"/>
          <w:w w:val="97"/>
        </w:rPr>
        <w:t>21.03.2024</w:t>
      </w:r>
      <w:bookmarkEnd w:id="64"/>
      <w:bookmarkEnd w:id="65"/>
    </w:p>
    <w:p w14:paraId="57FB2AFD" w14:textId="53E613AF" w:rsidR="00635B44" w:rsidRPr="00DB0711" w:rsidRDefault="004F236E" w:rsidP="00DB0711">
      <w:pPr>
        <w:pStyle w:val="absatzschattenbericht"/>
        <w:rPr>
          <w:bCs/>
          <w:lang w:val="en-GB"/>
        </w:rPr>
      </w:pPr>
      <w:r w:rsidRPr="000A796F">
        <w:rPr>
          <w:bCs/>
          <w:lang w:val="en-GB"/>
        </w:rPr>
        <w:t xml:space="preserve">On occasion of the </w:t>
      </w:r>
      <w:r w:rsidRPr="000A796F">
        <w:rPr>
          <w:b/>
          <w:lang w:val="en-GB"/>
        </w:rPr>
        <w:t>55</w:t>
      </w:r>
      <w:r w:rsidRPr="000A796F">
        <w:rPr>
          <w:b/>
          <w:vertAlign w:val="superscript"/>
          <w:lang w:val="en-GB"/>
        </w:rPr>
        <w:t>th</w:t>
      </w:r>
      <w:r w:rsidRPr="000A796F">
        <w:rPr>
          <w:b/>
          <w:lang w:val="en-GB"/>
        </w:rPr>
        <w:t xml:space="preserve"> Session of the Human Rights Council</w:t>
      </w:r>
      <w:r w:rsidRPr="000A796F">
        <w:rPr>
          <w:bCs/>
          <w:lang w:val="en-GB"/>
        </w:rPr>
        <w:t xml:space="preserve">, HRC adopted a Resolution promoted by </w:t>
      </w:r>
      <w:r>
        <w:rPr>
          <w:bCs/>
          <w:lang w:val="en-GB"/>
        </w:rPr>
        <w:t>Iceland</w:t>
      </w:r>
      <w:r w:rsidRPr="000A796F">
        <w:rPr>
          <w:bCs/>
          <w:lang w:val="en-GB"/>
        </w:rPr>
        <w:t xml:space="preserve"> </w:t>
      </w:r>
      <w:r w:rsidRPr="000A796F">
        <w:rPr>
          <w:b/>
          <w:lang w:val="en-GB"/>
        </w:rPr>
        <w:t xml:space="preserve">recognising </w:t>
      </w:r>
      <w:r w:rsidRPr="000A796F">
        <w:rPr>
          <w:b/>
          <w:i/>
          <w:iCs/>
          <w:lang w:val="en-GB"/>
        </w:rPr>
        <w:t>“violence and harmful practices</w:t>
      </w:r>
      <w:r w:rsidRPr="000A796F">
        <w:rPr>
          <w:bCs/>
          <w:i/>
          <w:iCs/>
          <w:lang w:val="en-GB"/>
        </w:rPr>
        <w:t xml:space="preserve"> against intersex persons [...] including </w:t>
      </w:r>
      <w:r w:rsidRPr="000A796F">
        <w:rPr>
          <w:b/>
          <w:i/>
          <w:iCs/>
          <w:lang w:val="en-GB"/>
        </w:rPr>
        <w:t xml:space="preserve">medically unnecessary or deferrable interventions </w:t>
      </w:r>
      <w:r w:rsidRPr="000A796F">
        <w:rPr>
          <w:bCs/>
          <w:i/>
          <w:iCs/>
          <w:lang w:val="en-GB"/>
        </w:rPr>
        <w:t>[...] performed without the full, free and informed consent of the person”</w:t>
      </w:r>
      <w:r w:rsidRPr="000A796F">
        <w:rPr>
          <w:bCs/>
          <w:lang w:val="en-GB"/>
        </w:rPr>
        <w:t xml:space="preserve">, and urging States to </w:t>
      </w:r>
      <w:r w:rsidRPr="000A796F">
        <w:rPr>
          <w:b/>
          <w:i/>
          <w:iCs/>
          <w:lang w:val="en-GB"/>
        </w:rPr>
        <w:t>“combat”</w:t>
      </w:r>
      <w:r w:rsidRPr="000A796F">
        <w:rPr>
          <w:b/>
          <w:lang w:val="en-GB"/>
        </w:rPr>
        <w:t xml:space="preserve"> such </w:t>
      </w:r>
      <w:r w:rsidRPr="000A796F">
        <w:rPr>
          <w:b/>
          <w:i/>
          <w:iCs/>
          <w:lang w:val="en-GB"/>
        </w:rPr>
        <w:t>“violence”</w:t>
      </w:r>
      <w:r w:rsidRPr="000A796F">
        <w:rPr>
          <w:bCs/>
          <w:lang w:val="en-GB"/>
        </w:rPr>
        <w:t>.</w:t>
      </w:r>
      <w:r w:rsidRPr="003806F6">
        <w:rPr>
          <w:rStyle w:val="Funotenanker"/>
          <w:lang w:val="en-GB"/>
        </w:rPr>
        <w:footnoteReference w:id="14"/>
      </w:r>
    </w:p>
    <w:p w14:paraId="31FBF88B" w14:textId="5846D8D4" w:rsidR="003C2D61" w:rsidRDefault="00CF600F" w:rsidP="003C2D61">
      <w:pPr>
        <w:pStyle w:val="Title2"/>
      </w:pPr>
      <w:bookmarkStart w:id="66" w:name="_Toc177422574"/>
      <w:bookmarkStart w:id="67" w:name="_Toc453620714"/>
      <w:bookmarkStart w:id="68" w:name="_Toc463295414"/>
      <w:bookmarkStart w:id="69" w:name="_Toc472687698"/>
      <w:bookmarkStart w:id="70" w:name="_Toc485093575"/>
      <w:r>
        <w:t>3</w:t>
      </w:r>
      <w:r w:rsidR="003C2D61">
        <w:t>.  Most Common IGM Forms advocated by and perpetrated by Iceland</w:t>
      </w:r>
      <w:bookmarkEnd w:id="66"/>
    </w:p>
    <w:p w14:paraId="41293929" w14:textId="45FE1018" w:rsidR="003C2D61" w:rsidRPr="0071621C" w:rsidRDefault="003C2D61" w:rsidP="00C6192C">
      <w:pPr>
        <w:pStyle w:val="absatzschattenbericht"/>
        <w:rPr>
          <w:rFonts w:cs="Times New Roman"/>
          <w:lang w:val="en-GB"/>
        </w:rPr>
      </w:pPr>
      <w:r w:rsidRPr="0071621C">
        <w:rPr>
          <w:rFonts w:cs="Times New Roman"/>
          <w:bCs/>
          <w:lang w:val="en-GB"/>
        </w:rPr>
        <w:t xml:space="preserve">Despite above mentioned </w:t>
      </w:r>
      <w:r w:rsidR="00C6192C" w:rsidRPr="0071621C">
        <w:rPr>
          <w:rFonts w:cs="Times New Roman"/>
          <w:bCs/>
          <w:lang w:val="en-GB"/>
        </w:rPr>
        <w:t>commitments</w:t>
      </w:r>
      <w:r w:rsidR="00C6192C" w:rsidRPr="0071621C">
        <w:rPr>
          <w:rFonts w:cs="Times New Roman"/>
          <w:lang w:val="en-GB"/>
        </w:rPr>
        <w:t xml:space="preserve"> </w:t>
      </w:r>
      <w:r w:rsidRPr="0071621C">
        <w:rPr>
          <w:rFonts w:cs="Times New Roman"/>
          <w:bCs/>
          <w:lang w:val="en-GB"/>
        </w:rPr>
        <w:t xml:space="preserve">and the new Law </w:t>
      </w:r>
      <w:r w:rsidR="00C6192C" w:rsidRPr="0071621C">
        <w:rPr>
          <w:rFonts w:cs="Times New Roman"/>
          <w:bCs/>
          <w:lang w:val="en-GB"/>
        </w:rPr>
        <w:t>(</w:t>
      </w:r>
      <w:r w:rsidR="00C6192C" w:rsidRPr="0071621C">
        <w:rPr>
          <w:lang w:val="en-GB"/>
        </w:rPr>
        <w:t xml:space="preserve">Act No. 154/2020) </w:t>
      </w:r>
      <w:r w:rsidRPr="0071621C">
        <w:rPr>
          <w:rFonts w:cs="Times New Roman"/>
          <w:bCs/>
          <w:lang w:val="en-GB"/>
        </w:rPr>
        <w:t xml:space="preserve">aimed </w:t>
      </w:r>
      <w:r w:rsidR="00C6192C" w:rsidRPr="0071621C">
        <w:rPr>
          <w:rFonts w:cs="Times New Roman"/>
          <w:bCs/>
          <w:lang w:val="en-GB"/>
        </w:rPr>
        <w:t xml:space="preserve">to prohibit </w:t>
      </w:r>
      <w:r w:rsidRPr="0071621C">
        <w:rPr>
          <w:rFonts w:cs="Times New Roman"/>
          <w:bCs/>
          <w:lang w:val="en-GB"/>
        </w:rPr>
        <w:t xml:space="preserve">some forms of IGM (see below p. </w:t>
      </w:r>
      <w:r w:rsidR="005478CA">
        <w:rPr>
          <w:rFonts w:cs="Times New Roman"/>
          <w:bCs/>
          <w:lang w:val="en-GB"/>
        </w:rPr>
        <w:t>12</w:t>
      </w:r>
      <w:r w:rsidRPr="0071621C">
        <w:rPr>
          <w:rFonts w:cs="Times New Roman"/>
          <w:bCs/>
          <w:lang w:val="en-GB"/>
        </w:rPr>
        <w:t>-</w:t>
      </w:r>
      <w:r w:rsidR="005478CA">
        <w:rPr>
          <w:rFonts w:cs="Times New Roman"/>
          <w:bCs/>
          <w:lang w:val="en-GB"/>
        </w:rPr>
        <w:t>15</w:t>
      </w:r>
      <w:r w:rsidRPr="0071621C">
        <w:rPr>
          <w:rFonts w:cs="Times New Roman"/>
          <w:bCs/>
          <w:lang w:val="en-GB"/>
        </w:rPr>
        <w:t xml:space="preserve">), </w:t>
      </w:r>
      <w:r w:rsidRPr="0071621C">
        <w:rPr>
          <w:rFonts w:cs="Times New Roman"/>
          <w:b/>
          <w:lang w:val="en-GB"/>
        </w:rPr>
        <w:t xml:space="preserve">to this day, in Iceland all forms of </w:t>
      </w:r>
      <w:r w:rsidRPr="0071621C">
        <w:rPr>
          <w:rFonts w:eastAsia="Baskerville-Bold" w:cs="Times New Roman"/>
          <w:b/>
          <w:bCs/>
          <w:lang w:val="en-GB"/>
        </w:rPr>
        <w:t>IGM practices remain widespread and ongoing</w:t>
      </w:r>
      <w:r w:rsidRPr="0071621C">
        <w:rPr>
          <w:rFonts w:cs="Times New Roman"/>
          <w:lang w:val="en-GB"/>
        </w:rPr>
        <w:t xml:space="preserve">, persistently </w:t>
      </w:r>
      <w:r w:rsidRPr="0071621C">
        <w:rPr>
          <w:rFonts w:cs="Times New Roman"/>
          <w:b/>
          <w:lang w:val="en-GB"/>
        </w:rPr>
        <w:t>advocated, prescribed and perpetrated</w:t>
      </w:r>
      <w:r w:rsidRPr="0071621C">
        <w:rPr>
          <w:rFonts w:cs="Times New Roman"/>
          <w:lang w:val="en-GB"/>
        </w:rPr>
        <w:t xml:space="preserve"> by the state funded </w:t>
      </w:r>
      <w:r w:rsidRPr="0071621C">
        <w:rPr>
          <w:rFonts w:cs="Times New Roman"/>
          <w:b/>
          <w:bCs/>
          <w:lang w:val="en-GB"/>
        </w:rPr>
        <w:t>National University Hospital “Landspítali”</w:t>
      </w:r>
      <w:r w:rsidRPr="0071621C">
        <w:rPr>
          <w:rFonts w:cs="Times New Roman"/>
          <w:lang w:val="en-GB"/>
        </w:rPr>
        <w:t xml:space="preserve">, </w:t>
      </w:r>
      <w:r w:rsidRPr="0071621C">
        <w:rPr>
          <w:rFonts w:cs="Times New Roman"/>
          <w:bCs/>
          <w:lang w:val="en-GB"/>
        </w:rPr>
        <w:t>and</w:t>
      </w:r>
      <w:r w:rsidRPr="0071621C">
        <w:rPr>
          <w:rFonts w:cs="Times New Roman"/>
          <w:b/>
          <w:lang w:val="en-GB"/>
        </w:rPr>
        <w:t xml:space="preserve"> paid for by the State</w:t>
      </w:r>
      <w:r w:rsidRPr="0071621C">
        <w:rPr>
          <w:rFonts w:cs="Times New Roman"/>
          <w:lang w:val="en-GB"/>
        </w:rPr>
        <w:t xml:space="preserve"> via the public health system.</w:t>
      </w:r>
    </w:p>
    <w:p w14:paraId="5F226867" w14:textId="1D92E290" w:rsidR="003C2D61" w:rsidRPr="00DF5151" w:rsidRDefault="003C2D61" w:rsidP="003C2D61">
      <w:pPr>
        <w:pStyle w:val="absatzschattenbericht"/>
        <w:rPr>
          <w:rFonts w:cs="Times New Roman"/>
          <w:lang w:val="en-GB"/>
        </w:rPr>
      </w:pPr>
      <w:r w:rsidRPr="0071621C">
        <w:rPr>
          <w:rFonts w:cs="Times New Roman"/>
          <w:lang w:val="en-GB"/>
        </w:rPr>
        <w:t xml:space="preserve">In addition, also in 2024 </w:t>
      </w:r>
      <w:r w:rsidRPr="0071621C">
        <w:rPr>
          <w:rFonts w:cs="Times New Roman"/>
          <w:b/>
          <w:bCs/>
          <w:lang w:val="en-GB"/>
        </w:rPr>
        <w:t>Icelandic medical bodies continue to endorse</w:t>
      </w:r>
      <w:r w:rsidRPr="0071621C">
        <w:rPr>
          <w:rFonts w:cs="Times New Roman"/>
          <w:lang w:val="en-GB"/>
        </w:rPr>
        <w:t xml:space="preserve"> international medical guidelines prescribing all forms of IGM practices (see below).</w:t>
      </w:r>
    </w:p>
    <w:p w14:paraId="460C2171" w14:textId="77777777" w:rsidR="003C2D61" w:rsidRPr="00DF5151" w:rsidRDefault="003C2D61" w:rsidP="003C2D61">
      <w:pPr>
        <w:pStyle w:val="absatzschattenbericht"/>
        <w:rPr>
          <w:rFonts w:cs="Times New Roman"/>
          <w:b/>
          <w:lang w:val="en-GB"/>
        </w:rPr>
      </w:pPr>
      <w:r w:rsidRPr="00DF5151">
        <w:rPr>
          <w:rFonts w:cs="Times New Roman"/>
          <w:b/>
          <w:lang w:val="en-GB"/>
        </w:rPr>
        <w:t xml:space="preserve">Currently practiced forms of IGM in </w:t>
      </w:r>
      <w:r>
        <w:rPr>
          <w:rFonts w:cs="Times New Roman"/>
          <w:b/>
          <w:lang w:val="en-GB"/>
        </w:rPr>
        <w:t>Iceland</w:t>
      </w:r>
      <w:r w:rsidRPr="00DF5151">
        <w:rPr>
          <w:rFonts w:cs="Times New Roman"/>
          <w:b/>
          <w:lang w:val="en-GB"/>
        </w:rPr>
        <w:t xml:space="preserve"> include:</w:t>
      </w:r>
    </w:p>
    <w:p w14:paraId="5A6BC6B6" w14:textId="77777777" w:rsidR="003C2D61" w:rsidRPr="006203CD" w:rsidRDefault="003C2D61" w:rsidP="003C2D61">
      <w:pPr>
        <w:pStyle w:val="Title3"/>
        <w:rPr>
          <w:rFonts w:eastAsia="Times New Roman"/>
        </w:rPr>
      </w:pPr>
      <w:bookmarkStart w:id="71" w:name="_Toc507786410"/>
      <w:bookmarkStart w:id="72" w:name="_Toc19465687"/>
      <w:bookmarkStart w:id="73" w:name="_Toc64836450"/>
      <w:bookmarkStart w:id="74" w:name="_Toc65413937"/>
      <w:bookmarkStart w:id="75" w:name="_Toc177422575"/>
      <w:r w:rsidRPr="006203CD">
        <w:lastRenderedPageBreak/>
        <w:t>a) IGM 3 – Sterilising Procedures:</w:t>
      </w:r>
      <w:r w:rsidRPr="006203CD">
        <w:br/>
        <w:t xml:space="preserve">    Castration / “Gonadectomy” / Hysterectomy /</w:t>
      </w:r>
      <w:r w:rsidRPr="006203CD">
        <w:br/>
        <w:t xml:space="preserve">    Removal of “Discordant Reproductive Structures” / (Secondary) Sterilisation</w:t>
      </w:r>
      <w:r w:rsidRPr="006203CD">
        <w:br/>
        <w:t xml:space="preserve">    Plus arbitrary imposition of hormones </w:t>
      </w:r>
      <w:r w:rsidRPr="006203CD">
        <w:rPr>
          <w:rStyle w:val="Funotenzeichen3"/>
          <w:b w:val="0"/>
          <w:bCs w:val="0"/>
        </w:rPr>
        <w:footnoteReference w:id="15"/>
      </w:r>
      <w:bookmarkEnd w:id="71"/>
      <w:bookmarkEnd w:id="72"/>
      <w:bookmarkEnd w:id="73"/>
      <w:bookmarkEnd w:id="74"/>
      <w:bookmarkEnd w:id="75"/>
    </w:p>
    <w:p w14:paraId="73B32C13" w14:textId="77777777" w:rsidR="003C2D61" w:rsidRPr="00855927" w:rsidRDefault="003C2D61" w:rsidP="003C2D61">
      <w:pPr>
        <w:pStyle w:val="absatzschattenbericht"/>
        <w:rPr>
          <w:b/>
          <w:bCs/>
          <w:lang w:val="en-GB"/>
        </w:rPr>
      </w:pPr>
      <w:r w:rsidRPr="00071F3E">
        <w:rPr>
          <w:lang w:val="en-GB"/>
        </w:rPr>
        <w:t xml:space="preserve">The </w:t>
      </w:r>
      <w:r>
        <w:rPr>
          <w:lang w:val="en-GB"/>
        </w:rPr>
        <w:t>“</w:t>
      </w:r>
      <w:r w:rsidRPr="00DC6D98">
        <w:rPr>
          <w:b/>
          <w:bCs/>
          <w:lang w:val="en-GB"/>
        </w:rPr>
        <w:t>Icelandic Urological Association</w:t>
      </w:r>
      <w:r>
        <w:rPr>
          <w:b/>
          <w:bCs/>
          <w:lang w:val="en-GB"/>
        </w:rPr>
        <w:t>”</w:t>
      </w:r>
      <w:r w:rsidRPr="00DC6D98">
        <w:rPr>
          <w:b/>
          <w:bCs/>
          <w:lang w:val="en-GB"/>
        </w:rPr>
        <w:t xml:space="preserve"> </w:t>
      </w:r>
      <w:r w:rsidRPr="00035E76">
        <w:rPr>
          <w:b/>
          <w:bCs/>
          <w:lang w:val="en-GB"/>
        </w:rPr>
        <w:t>(</w:t>
      </w:r>
      <w:r w:rsidRPr="00DC6D98">
        <w:rPr>
          <w:b/>
          <w:bCs/>
          <w:lang w:val="en-GB"/>
        </w:rPr>
        <w:t>Islands Urologförening</w:t>
      </w:r>
      <w:r>
        <w:rPr>
          <w:b/>
          <w:bCs/>
          <w:lang w:val="en-GB"/>
        </w:rPr>
        <w:t xml:space="preserve">) </w:t>
      </w:r>
      <w:r w:rsidRPr="00071F3E">
        <w:rPr>
          <w:lang w:val="en-GB"/>
        </w:rPr>
        <w:t xml:space="preserve">endorses the current </w:t>
      </w:r>
      <w:r>
        <w:rPr>
          <w:b/>
          <w:lang w:val="en-GB"/>
        </w:rPr>
        <w:t>2024</w:t>
      </w:r>
      <w:r w:rsidRPr="00071F3E">
        <w:rPr>
          <w:b/>
          <w:lang w:val="en-GB"/>
        </w:rPr>
        <w:t xml:space="preserve"> Guidelines of the European Association of Urology (EAU)</w:t>
      </w:r>
      <w:r w:rsidRPr="00071F3E">
        <w:rPr>
          <w:bCs/>
          <w:lang w:val="en-GB"/>
        </w:rPr>
        <w:t>,</w:t>
      </w:r>
      <w:r w:rsidRPr="00071F3E">
        <w:rPr>
          <w:rStyle w:val="Funotenzeichen"/>
        </w:rPr>
        <w:footnoteReference w:id="16"/>
      </w:r>
      <w:r w:rsidRPr="00071F3E">
        <w:rPr>
          <w:bCs/>
          <w:lang w:val="en-GB"/>
        </w:rPr>
        <w:t xml:space="preserve"> which include the current </w:t>
      </w:r>
      <w:r w:rsidRPr="00071F3E">
        <w:rPr>
          <w:b/>
          <w:lang w:val="en-GB"/>
        </w:rPr>
        <w:t xml:space="preserve">ESPU/EAU </w:t>
      </w:r>
      <w:r w:rsidRPr="00071F3E">
        <w:rPr>
          <w:b/>
          <w:i/>
          <w:lang w:val="en-GB"/>
        </w:rPr>
        <w:t xml:space="preserve">“Paediatric Urology” </w:t>
      </w:r>
      <w:r w:rsidRPr="00071F3E">
        <w:rPr>
          <w:b/>
          <w:lang w:val="en-GB"/>
        </w:rPr>
        <w:t xml:space="preserve">Guidelines </w:t>
      </w:r>
      <w:r>
        <w:rPr>
          <w:b/>
          <w:lang w:val="en-GB"/>
        </w:rPr>
        <w:t>2024</w:t>
      </w:r>
      <w:r w:rsidRPr="00071F3E">
        <w:rPr>
          <w:rStyle w:val="Funotenzeichen"/>
        </w:rPr>
        <w:footnoteReference w:id="17"/>
      </w:r>
      <w:r w:rsidRPr="00071F3E">
        <w:rPr>
          <w:lang w:val="en-GB"/>
        </w:rPr>
        <w:t xml:space="preserve"> of the European Society for Paediatric Urology (ESPU) and the European Association of Urology (EAU) which stress:</w:t>
      </w:r>
      <w:r w:rsidRPr="00071F3E">
        <w:rPr>
          <w:rStyle w:val="Funotenzeichen"/>
        </w:rPr>
        <w:footnoteReference w:id="18"/>
      </w:r>
    </w:p>
    <w:p w14:paraId="3BAECDB0" w14:textId="77777777" w:rsidR="003C2D61" w:rsidRDefault="003C2D61" w:rsidP="003C2D61">
      <w:pPr>
        <w:pStyle w:val="absatzschattenbericht"/>
        <w:ind w:left="284"/>
        <w:rPr>
          <w:i/>
          <w:iCs/>
          <w:lang w:val="en-GB"/>
        </w:rPr>
      </w:pPr>
      <w:r>
        <w:rPr>
          <w:i/>
          <w:iCs/>
          <w:lang w:val="en-GB"/>
        </w:rPr>
        <w:t>“</w:t>
      </w:r>
      <w:r w:rsidRPr="00A76827">
        <w:rPr>
          <w:i/>
          <w:iCs/>
          <w:lang w:val="en-GB"/>
        </w:rPr>
        <w:t>The issue of whether gonads should be removed and the timining of such surgery remains controversial and has been altogether questioned in some forms of DSD. Patients with, for example, CAIS benefit from the presence of testicles and the resultant aromatisation of the naturally occuring testosterone to oestrogens. The risk of malignant gonadal transformation in this subcategory is low (1.5%) with cases of malignancy first appearing after the second decade of life, thus allowing for the safe deferal of gonadectomy until after puberty [1279, 1280].</w:t>
      </w:r>
      <w:r>
        <w:rPr>
          <w:i/>
          <w:iCs/>
          <w:lang w:val="en-GB"/>
        </w:rPr>
        <w:t>”</w:t>
      </w:r>
    </w:p>
    <w:p w14:paraId="3C15AB49" w14:textId="77777777" w:rsidR="003C2D61" w:rsidRPr="006203CD" w:rsidRDefault="003C2D61" w:rsidP="003C2D61">
      <w:pPr>
        <w:pStyle w:val="absatzschattenbericht"/>
        <w:rPr>
          <w:lang w:val="en-GB"/>
        </w:rPr>
      </w:pPr>
      <w:r w:rsidRPr="006203CD">
        <w:rPr>
          <w:lang w:val="en-GB"/>
        </w:rPr>
        <w:t xml:space="preserve">Further, regarding </w:t>
      </w:r>
      <w:r w:rsidRPr="006203CD">
        <w:rPr>
          <w:i/>
          <w:iCs/>
          <w:lang w:val="en-GB"/>
        </w:rPr>
        <w:t>“</w:t>
      </w:r>
      <w:r>
        <w:rPr>
          <w:i/>
          <w:iCs/>
          <w:lang w:val="en-GB"/>
        </w:rPr>
        <w:t>when</w:t>
      </w:r>
      <w:r w:rsidRPr="006203CD">
        <w:rPr>
          <w:i/>
          <w:iCs/>
          <w:lang w:val="en-GB"/>
        </w:rPr>
        <w:t xml:space="preserve"> and </w:t>
      </w:r>
      <w:r>
        <w:rPr>
          <w:i/>
          <w:iCs/>
          <w:lang w:val="en-GB"/>
        </w:rPr>
        <w:t>whether</w:t>
      </w:r>
      <w:r w:rsidRPr="006203CD">
        <w:rPr>
          <w:i/>
          <w:iCs/>
          <w:lang w:val="en-GB"/>
        </w:rPr>
        <w:t xml:space="preserve"> to pursue gonadal or genital surgery”</w:t>
      </w:r>
      <w:r w:rsidRPr="006203CD">
        <w:rPr>
          <w:lang w:val="en-GB"/>
        </w:rPr>
        <w:t>,</w:t>
      </w:r>
      <w:r w:rsidRPr="003020B8">
        <w:rPr>
          <w:rStyle w:val="Funotenzeichen"/>
        </w:rPr>
        <w:footnoteReference w:id="19"/>
      </w:r>
      <w:r w:rsidRPr="006203CD">
        <w:rPr>
          <w:lang w:val="en-GB"/>
        </w:rPr>
        <w:t xml:space="preserve"> the Guidelines refer to the </w:t>
      </w:r>
      <w:r w:rsidRPr="006203CD">
        <w:rPr>
          <w:rFonts w:eastAsia="Baskerville-SemiBoldItalic"/>
          <w:b/>
          <w:bCs/>
          <w:i/>
          <w:iCs/>
          <w:lang w:val="en-GB"/>
        </w:rPr>
        <w:t>“ESPU/SPU standpoint on the surgical management of Disorders of Sex Development (DSD)”</w:t>
      </w:r>
      <w:r w:rsidRPr="006203CD">
        <w:rPr>
          <w:rFonts w:eastAsia="Baskerville-SemiBoldItalic"/>
          <w:lang w:val="en-GB"/>
        </w:rPr>
        <w:t>,</w:t>
      </w:r>
      <w:r w:rsidRPr="006203CD">
        <w:rPr>
          <w:rStyle w:val="Funotenzeichen"/>
          <w:rFonts w:cs="Times New Roman"/>
        </w:rPr>
        <w:footnoteReference w:id="20"/>
      </w:r>
      <w:r w:rsidRPr="006203CD">
        <w:rPr>
          <w:lang w:val="en-GB"/>
        </w:rPr>
        <w:t xml:space="preserve"> which advocates “gonadectomies”:</w:t>
      </w:r>
    </w:p>
    <w:p w14:paraId="2658DAE6" w14:textId="77777777" w:rsidR="003C2D61" w:rsidRPr="00530E7D" w:rsidRDefault="003C2D61" w:rsidP="003C2D61">
      <w:pPr>
        <w:pStyle w:val="absatzschattenbericht"/>
        <w:ind w:left="284" w:right="-1"/>
        <w:rPr>
          <w:i/>
          <w:lang w:val="en-GB"/>
        </w:rPr>
      </w:pPr>
      <w:r w:rsidRPr="00530E7D">
        <w:rPr>
          <w:rFonts w:eastAsia="Baskerville-SemiBoldItalic"/>
          <w:b/>
          <w:bCs/>
          <w:i/>
          <w:lang w:val="en-GB"/>
        </w:rPr>
        <w:t>“Testes are</w:t>
      </w:r>
      <w:r w:rsidRPr="00530E7D">
        <w:rPr>
          <w:i/>
          <w:lang w:val="en-GB"/>
        </w:rPr>
        <w:t xml:space="preserve"> either brought down in boys or </w:t>
      </w:r>
      <w:r w:rsidRPr="00530E7D">
        <w:rPr>
          <w:rFonts w:eastAsia="Baskerville-SemiBoldItalic"/>
          <w:b/>
          <w:bCs/>
          <w:i/>
          <w:lang w:val="en-GB"/>
        </w:rPr>
        <w:t>removed</w:t>
      </w:r>
      <w:r w:rsidRPr="00530E7D">
        <w:rPr>
          <w:i/>
          <w:lang w:val="en-GB"/>
        </w:rPr>
        <w:t xml:space="preserve"> if dysgenetic with tumour risk or </w:t>
      </w:r>
      <w:r w:rsidRPr="00530E7D">
        <w:rPr>
          <w:rFonts w:eastAsia="Baskerville-SemiBoldItalic"/>
          <w:b/>
          <w:bCs/>
          <w:i/>
          <w:lang w:val="en-GB"/>
        </w:rPr>
        <w:t xml:space="preserve">in complete androgen insensitivity syndrome or 5 alpha reductase deficiency. </w:t>
      </w:r>
      <w:r w:rsidRPr="00530E7D">
        <w:rPr>
          <w:i/>
          <w:lang w:val="en-GB"/>
        </w:rPr>
        <w:t>Testicular prostheses can be inserted at puberty at the patient’s request.</w:t>
      </w:r>
      <w:r w:rsidRPr="00CF600F">
        <w:rPr>
          <w:rFonts w:eastAsia="Baskerville-SemiBoldItalic"/>
          <w:i/>
          <w:lang w:val="en-GB"/>
        </w:rPr>
        <w:t>”</w:t>
      </w:r>
    </w:p>
    <w:p w14:paraId="77CDE84D" w14:textId="77777777" w:rsidR="003C2D61" w:rsidRPr="006203CD" w:rsidRDefault="003C2D61" w:rsidP="003C2D61">
      <w:pPr>
        <w:pStyle w:val="Title3"/>
        <w:rPr>
          <w:rFonts w:eastAsia="Times New Roman"/>
        </w:rPr>
      </w:pPr>
      <w:bookmarkStart w:id="76" w:name="_Toc475924597"/>
      <w:bookmarkStart w:id="77" w:name="_Toc475924774"/>
      <w:bookmarkStart w:id="78" w:name="_Toc475924926"/>
      <w:bookmarkStart w:id="79" w:name="_Toc507786411"/>
      <w:bookmarkStart w:id="80" w:name="_Toc19465688"/>
      <w:bookmarkStart w:id="81" w:name="_Toc64836451"/>
      <w:bookmarkStart w:id="82" w:name="_Toc65413938"/>
      <w:bookmarkStart w:id="83" w:name="_Toc177422576"/>
      <w:r w:rsidRPr="006203CD">
        <w:t>b) IGM 2 – “Feminising Procedures”: Clitoris Amputation/“Reduction”,</w:t>
      </w:r>
      <w:r w:rsidRPr="006203CD">
        <w:br/>
        <w:t xml:space="preserve">    “Vaginoplasty”, “Labiaplasty”, Dilation</w:t>
      </w:r>
      <w:r w:rsidRPr="006203CD">
        <w:rPr>
          <w:rStyle w:val="Funotenzeichen3"/>
        </w:rPr>
        <w:footnoteReference w:id="21"/>
      </w:r>
      <w:bookmarkEnd w:id="76"/>
      <w:bookmarkEnd w:id="77"/>
      <w:bookmarkEnd w:id="78"/>
      <w:bookmarkEnd w:id="79"/>
      <w:bookmarkEnd w:id="80"/>
      <w:bookmarkEnd w:id="81"/>
      <w:bookmarkEnd w:id="82"/>
      <w:bookmarkEnd w:id="83"/>
    </w:p>
    <w:p w14:paraId="3155BED8" w14:textId="77777777" w:rsidR="003C2D61" w:rsidRPr="006203CD" w:rsidRDefault="003C2D61" w:rsidP="003C2D61">
      <w:pPr>
        <w:pStyle w:val="absatzschattenbericht"/>
        <w:rPr>
          <w:lang w:val="en-GB"/>
        </w:rPr>
      </w:pPr>
      <w:r w:rsidRPr="00764B51">
        <w:rPr>
          <w:lang w:val="en-GB"/>
        </w:rPr>
        <w:t>The</w:t>
      </w:r>
      <w:r>
        <w:rPr>
          <w:lang w:val="en-GB"/>
        </w:rPr>
        <w:t xml:space="preserve"> “</w:t>
      </w:r>
      <w:r w:rsidRPr="00DC6D98">
        <w:rPr>
          <w:b/>
          <w:bCs/>
          <w:lang w:val="en-GB"/>
        </w:rPr>
        <w:t>Icelandic Urological Association</w:t>
      </w:r>
      <w:r>
        <w:rPr>
          <w:b/>
          <w:bCs/>
          <w:lang w:val="en-GB"/>
        </w:rPr>
        <w:t>”</w:t>
      </w:r>
      <w:r w:rsidRPr="00DC6D98">
        <w:rPr>
          <w:b/>
          <w:bCs/>
          <w:lang w:val="en-GB"/>
        </w:rPr>
        <w:t xml:space="preserve"> </w:t>
      </w:r>
      <w:r w:rsidRPr="00035E76">
        <w:rPr>
          <w:b/>
          <w:bCs/>
          <w:lang w:val="en-GB"/>
        </w:rPr>
        <w:t>(</w:t>
      </w:r>
      <w:r w:rsidRPr="00DC6D98">
        <w:rPr>
          <w:b/>
          <w:bCs/>
          <w:lang w:val="en-GB"/>
        </w:rPr>
        <w:t>Islands Urologförening</w:t>
      </w:r>
      <w:r>
        <w:rPr>
          <w:b/>
          <w:bCs/>
          <w:lang w:val="en-GB"/>
        </w:rPr>
        <w:t xml:space="preserve">) </w:t>
      </w:r>
      <w:r w:rsidRPr="00764B51">
        <w:rPr>
          <w:lang w:val="en-GB"/>
        </w:rPr>
        <w:t>endorses the</w:t>
      </w:r>
      <w:r>
        <w:rPr>
          <w:lang w:val="en-GB"/>
        </w:rPr>
        <w:t xml:space="preserve"> current</w:t>
      </w:r>
      <w:r w:rsidRPr="00764B51">
        <w:rPr>
          <w:lang w:val="en-GB"/>
        </w:rPr>
        <w:t xml:space="preserve"> </w:t>
      </w:r>
      <w:r>
        <w:rPr>
          <w:b/>
          <w:lang w:val="en-GB"/>
        </w:rPr>
        <w:t>2024</w:t>
      </w:r>
      <w:r w:rsidRPr="00764B51">
        <w:rPr>
          <w:b/>
          <w:lang w:val="en-GB"/>
        </w:rPr>
        <w:t xml:space="preserve"> Guidelines of the European Association of Urology (EAU)</w:t>
      </w:r>
      <w:r w:rsidRPr="00764B51">
        <w:rPr>
          <w:bCs/>
          <w:lang w:val="en-GB"/>
        </w:rPr>
        <w:t>,</w:t>
      </w:r>
      <w:r w:rsidRPr="00764B51">
        <w:rPr>
          <w:rStyle w:val="Funotenzeichen"/>
        </w:rPr>
        <w:footnoteReference w:id="22"/>
      </w:r>
      <w:r w:rsidRPr="00764B51">
        <w:rPr>
          <w:bCs/>
          <w:lang w:val="en-GB"/>
        </w:rPr>
        <w:t xml:space="preserve"> which include the current </w:t>
      </w:r>
      <w:r w:rsidRPr="00764B51">
        <w:rPr>
          <w:b/>
          <w:lang w:val="en-GB"/>
        </w:rPr>
        <w:t xml:space="preserve">ESPU/EAU </w:t>
      </w:r>
      <w:r w:rsidRPr="00764B51">
        <w:rPr>
          <w:b/>
          <w:i/>
          <w:lang w:val="en-GB"/>
        </w:rPr>
        <w:t xml:space="preserve">“Paediatric Urology” </w:t>
      </w:r>
      <w:r w:rsidRPr="00764B51">
        <w:rPr>
          <w:b/>
          <w:lang w:val="en-GB"/>
        </w:rPr>
        <w:t>Guidelines</w:t>
      </w:r>
      <w:r>
        <w:rPr>
          <w:b/>
          <w:lang w:val="en-GB"/>
        </w:rPr>
        <w:t xml:space="preserve"> 2024</w:t>
      </w:r>
      <w:r w:rsidRPr="00764B51">
        <w:rPr>
          <w:rStyle w:val="Funotenzeichen"/>
        </w:rPr>
        <w:footnoteReference w:id="23"/>
      </w:r>
      <w:r w:rsidRPr="00764B51">
        <w:rPr>
          <w:lang w:val="en-GB"/>
        </w:rPr>
        <w:t xml:space="preserve"> of the European Society for Paediatric Urology (ESPU) and the European Association of Urology (EAU). In </w:t>
      </w:r>
      <w:r w:rsidRPr="00764B51">
        <w:rPr>
          <w:b/>
          <w:bCs/>
          <w:lang w:val="en-GB"/>
        </w:rPr>
        <w:t>chapter 3.1</w:t>
      </w:r>
      <w:r>
        <w:rPr>
          <w:b/>
          <w:bCs/>
          <w:lang w:val="en-GB"/>
        </w:rPr>
        <w:t>8</w:t>
      </w:r>
      <w:r w:rsidRPr="00764B51">
        <w:rPr>
          <w:b/>
          <w:bCs/>
          <w:lang w:val="en-GB"/>
        </w:rPr>
        <w:t xml:space="preserve"> </w:t>
      </w:r>
      <w:r w:rsidRPr="00764B51">
        <w:rPr>
          <w:b/>
          <w:bCs/>
          <w:i/>
          <w:iCs/>
          <w:lang w:val="en-GB"/>
        </w:rPr>
        <w:t>“</w:t>
      </w:r>
      <w:r w:rsidRPr="00380CF0">
        <w:rPr>
          <w:b/>
          <w:bCs/>
          <w:i/>
          <w:iCs/>
          <w:lang w:val="en-GB"/>
        </w:rPr>
        <w:t>Disorders/Differences of sex development</w:t>
      </w:r>
      <w:r w:rsidRPr="00764B51">
        <w:rPr>
          <w:b/>
          <w:bCs/>
          <w:i/>
          <w:iCs/>
          <w:lang w:val="en-GB"/>
        </w:rPr>
        <w:t>”</w:t>
      </w:r>
      <w:r w:rsidRPr="00764B51">
        <w:rPr>
          <w:lang w:val="en-GB"/>
        </w:rPr>
        <w:t>,</w:t>
      </w:r>
      <w:r w:rsidRPr="00764B51">
        <w:rPr>
          <w:rStyle w:val="Funotenzeichen"/>
        </w:rPr>
        <w:footnoteReference w:id="24"/>
      </w:r>
      <w:r w:rsidRPr="00764B51">
        <w:rPr>
          <w:lang w:val="en-GB"/>
        </w:rPr>
        <w:t xml:space="preserve"> </w:t>
      </w:r>
      <w:r w:rsidRPr="00764B51">
        <w:rPr>
          <w:rFonts w:cs="Times New Roman"/>
          <w:lang w:val="en-GB"/>
        </w:rPr>
        <w:t xml:space="preserve">despite admitting that </w:t>
      </w:r>
      <w:r w:rsidRPr="00764B51">
        <w:rPr>
          <w:rFonts w:cs="Times New Roman"/>
          <w:i/>
          <w:lang w:val="en-GB"/>
        </w:rPr>
        <w:t>“</w:t>
      </w:r>
      <w:r w:rsidRPr="00380CF0">
        <w:rPr>
          <w:rFonts w:cs="Times New Roman"/>
          <w:i/>
          <w:lang w:val="en-GB"/>
        </w:rPr>
        <w:t>Surgery that alters appearance is not considered urgent</w:t>
      </w:r>
      <w:r w:rsidRPr="00764B51">
        <w:rPr>
          <w:rFonts w:cs="Times New Roman"/>
          <w:i/>
          <w:lang w:val="en-GB"/>
        </w:rPr>
        <w:t>”</w:t>
      </w:r>
      <w:r w:rsidRPr="00764B51">
        <w:rPr>
          <w:rFonts w:cs="Times New Roman"/>
          <w:lang w:val="en-GB"/>
        </w:rPr>
        <w:t xml:space="preserve"> </w:t>
      </w:r>
      <w:r w:rsidRPr="00764B51">
        <w:rPr>
          <w:rStyle w:val="Funotenzeichen"/>
        </w:rPr>
        <w:footnoteReference w:id="25"/>
      </w:r>
      <w:r w:rsidRPr="00764B51">
        <w:rPr>
          <w:rFonts w:cs="Times New Roman"/>
          <w:lang w:val="en-GB"/>
        </w:rPr>
        <w:t xml:space="preserve"> and that </w:t>
      </w:r>
      <w:r w:rsidRPr="00764B51">
        <w:rPr>
          <w:rFonts w:cs="Times New Roman"/>
          <w:i/>
          <w:lang w:val="en-GB"/>
        </w:rPr>
        <w:t xml:space="preserve">“adverse outcomes have led to </w:t>
      </w:r>
      <w:r w:rsidRPr="00764B51">
        <w:rPr>
          <w:rFonts w:cs="Times New Roman"/>
          <w:i/>
          <w:lang w:val="en-GB"/>
        </w:rPr>
        <w:lastRenderedPageBreak/>
        <w:t>recommendations to delay unnecessary [clitoral] surgery to an age when the patient can give inform</w:t>
      </w:r>
      <w:r>
        <w:rPr>
          <w:rFonts w:cs="Times New Roman"/>
          <w:i/>
          <w:lang w:val="en-GB"/>
        </w:rPr>
        <w:t>ed</w:t>
      </w:r>
      <w:r w:rsidRPr="00764B51">
        <w:rPr>
          <w:rFonts w:cs="Times New Roman"/>
          <w:i/>
          <w:lang w:val="en-GB"/>
        </w:rPr>
        <w:t xml:space="preserve"> consent”</w:t>
      </w:r>
      <w:r w:rsidRPr="00764B51">
        <w:rPr>
          <w:rFonts w:cs="Times New Roman"/>
          <w:lang w:val="en-GB"/>
        </w:rPr>
        <w:t>,</w:t>
      </w:r>
      <w:r w:rsidRPr="00764B51">
        <w:rPr>
          <w:rStyle w:val="Funotenzeichen"/>
          <w:rFonts w:cs="Times New Roman"/>
        </w:rPr>
        <w:footnoteReference w:id="26"/>
      </w:r>
      <w:r w:rsidRPr="00764B51">
        <w:rPr>
          <w:rFonts w:cs="Times New Roman"/>
          <w:lang w:val="en-GB"/>
        </w:rPr>
        <w:t xml:space="preserve"> the ESPU/EAU Guidelines nonetheless explicitly </w:t>
      </w:r>
      <w:r w:rsidRPr="00764B51">
        <w:rPr>
          <w:rFonts w:cs="Times New Roman"/>
          <w:b/>
          <w:bCs/>
          <w:lang w:val="en-GB"/>
        </w:rPr>
        <w:t>refuse to postpone non-emergency surgery</w:t>
      </w:r>
      <w:r w:rsidRPr="00764B51">
        <w:rPr>
          <w:rFonts w:cs="Times New Roman"/>
          <w:lang w:val="en-GB"/>
        </w:rPr>
        <w:t xml:space="preserve">, but in contrary </w:t>
      </w:r>
      <w:r w:rsidRPr="00764B51">
        <w:rPr>
          <w:rFonts w:cs="Times New Roman"/>
          <w:b/>
          <w:bCs/>
          <w:lang w:val="en-GB"/>
        </w:rPr>
        <w:t>insist to continue with non-emergency genital surgery</w:t>
      </w:r>
      <w:r w:rsidRPr="00764B51">
        <w:rPr>
          <w:rFonts w:cs="Times New Roman"/>
          <w:lang w:val="en-GB"/>
        </w:rPr>
        <w:t xml:space="preserve"> (including partial clitoris amputation) on young children based on </w:t>
      </w:r>
      <w:r w:rsidRPr="00764B51">
        <w:rPr>
          <w:rFonts w:cs="Times New Roman"/>
          <w:b/>
          <w:bCs/>
          <w:i/>
          <w:iCs/>
          <w:lang w:val="en-GB"/>
        </w:rPr>
        <w:t>“social and emotional conditions”</w:t>
      </w:r>
      <w:r w:rsidRPr="00764B51">
        <w:rPr>
          <w:rFonts w:cs="Times New Roman"/>
          <w:lang w:val="en-GB"/>
        </w:rPr>
        <w:t xml:space="preserve"> and </w:t>
      </w:r>
      <w:r w:rsidRPr="00764B51">
        <w:rPr>
          <w:rFonts w:cs="Times New Roman"/>
          <w:b/>
          <w:bCs/>
          <w:lang w:val="en-GB"/>
        </w:rPr>
        <w:t>substituted decision-making</w:t>
      </w:r>
      <w:r w:rsidRPr="00764B51">
        <w:rPr>
          <w:rFonts w:cs="Times New Roman"/>
          <w:b/>
          <w:bCs/>
          <w:i/>
          <w:iCs/>
          <w:lang w:val="en-GB"/>
        </w:rPr>
        <w:t xml:space="preserve"> </w:t>
      </w:r>
      <w:r w:rsidRPr="00764B51">
        <w:rPr>
          <w:rFonts w:cs="Times New Roman"/>
          <w:b/>
          <w:bCs/>
          <w:lang w:val="en-GB"/>
        </w:rPr>
        <w:t xml:space="preserve">by </w:t>
      </w:r>
      <w:r w:rsidRPr="00764B51">
        <w:rPr>
          <w:rFonts w:cs="Times New Roman"/>
          <w:b/>
          <w:bCs/>
          <w:i/>
          <w:iCs/>
          <w:lang w:val="en-GB"/>
        </w:rPr>
        <w:t>“parents and caregivers</w:t>
      </w:r>
      <w:r w:rsidRPr="00764B51">
        <w:rPr>
          <w:rFonts w:cs="Times New Roman"/>
          <w:i/>
          <w:iCs/>
          <w:lang w:val="en-GB"/>
        </w:rPr>
        <w:t xml:space="preserve"> implicitly act[ing] in the best interest of their children”</w:t>
      </w:r>
      <w:r w:rsidRPr="0044286B">
        <w:rPr>
          <w:rStyle w:val="Funotenzeichen"/>
          <w:rFonts w:cs="Times New Roman"/>
        </w:rPr>
        <w:t xml:space="preserve"> </w:t>
      </w:r>
      <w:r w:rsidRPr="00764B51">
        <w:rPr>
          <w:rStyle w:val="Funotenzeichen"/>
          <w:rFonts w:cs="Times New Roman"/>
        </w:rPr>
        <w:footnoteReference w:id="27"/>
      </w:r>
      <w:r w:rsidRPr="00764B51">
        <w:rPr>
          <w:rFonts w:cs="Times New Roman"/>
          <w:i/>
          <w:iCs/>
          <w:lang w:val="en-GB"/>
        </w:rPr>
        <w:t xml:space="preserve"> </w:t>
      </w:r>
      <w:r w:rsidRPr="00764B51">
        <w:rPr>
          <w:rFonts w:cs="Times New Roman"/>
          <w:lang w:val="en-GB"/>
        </w:rPr>
        <w:t xml:space="preserve">and making </w:t>
      </w:r>
      <w:r w:rsidRPr="00764B51">
        <w:rPr>
          <w:rFonts w:cs="Times New Roman"/>
          <w:i/>
          <w:iCs/>
          <w:lang w:val="en-GB"/>
        </w:rPr>
        <w:t>“well-informed decisions […] on their behalf”</w:t>
      </w:r>
      <w:r w:rsidRPr="00764B51">
        <w:rPr>
          <w:rFonts w:cs="Times New Roman"/>
          <w:lang w:val="en-GB"/>
        </w:rPr>
        <w:t xml:space="preserve">, and further </w:t>
      </w:r>
      <w:r w:rsidRPr="00764B51">
        <w:rPr>
          <w:rFonts w:cs="Times New Roman"/>
          <w:b/>
          <w:bCs/>
          <w:lang w:val="en-GB"/>
        </w:rPr>
        <w:t xml:space="preserve">explicitly refusing </w:t>
      </w:r>
      <w:r w:rsidRPr="00764B51">
        <w:rPr>
          <w:rFonts w:cs="Times New Roman"/>
          <w:b/>
          <w:bCs/>
          <w:i/>
          <w:iCs/>
          <w:lang w:val="en-GB"/>
        </w:rPr>
        <w:t>“prohibition regulations”</w:t>
      </w:r>
      <w:r w:rsidRPr="00764B51">
        <w:rPr>
          <w:rFonts w:cs="Times New Roman"/>
          <w:i/>
          <w:iCs/>
          <w:lang w:val="en-GB"/>
        </w:rPr>
        <w:t xml:space="preserve"> </w:t>
      </w:r>
      <w:r w:rsidRPr="00764B51">
        <w:rPr>
          <w:rFonts w:cs="Times New Roman"/>
          <w:lang w:val="en-GB"/>
        </w:rPr>
        <w:t>of unnecessary early surgery,</w:t>
      </w:r>
      <w:r w:rsidRPr="00764B51">
        <w:rPr>
          <w:rStyle w:val="Funotenzeichen"/>
          <w:rFonts w:cs="Times New Roman"/>
        </w:rPr>
        <w:footnoteReference w:id="28"/>
      </w:r>
      <w:r w:rsidRPr="00764B51">
        <w:rPr>
          <w:rFonts w:cs="Times New Roman"/>
          <w:lang w:val="en-GB"/>
        </w:rPr>
        <w:t xml:space="preserve"> referring to the 2018 ESPU Open Letter to the Council of Europe (COE),</w:t>
      </w:r>
      <w:r w:rsidRPr="00764B51">
        <w:rPr>
          <w:rStyle w:val="Funotenzeichen"/>
          <w:rFonts w:cs="Times New Roman"/>
        </w:rPr>
        <w:footnoteReference w:id="29"/>
      </w:r>
      <w:r w:rsidRPr="00764B51">
        <w:rPr>
          <w:rFonts w:cs="Times New Roman"/>
          <w:lang w:val="en-GB"/>
        </w:rPr>
        <w:t xml:space="preserve"> which further invokes </w:t>
      </w:r>
      <w:r w:rsidRPr="00764B51">
        <w:rPr>
          <w:rFonts w:cs="Times New Roman"/>
          <w:b/>
          <w:bCs/>
          <w:lang w:val="en-GB"/>
        </w:rPr>
        <w:t xml:space="preserve">parents’ </w:t>
      </w:r>
      <w:r w:rsidRPr="00764B51">
        <w:rPr>
          <w:rFonts w:cs="Times New Roman"/>
          <w:b/>
          <w:bCs/>
          <w:i/>
          <w:iCs/>
          <w:lang w:val="en-GB"/>
        </w:rPr>
        <w:t xml:space="preserve">“social, and cultural considerations” </w:t>
      </w:r>
      <w:r w:rsidRPr="00764B51">
        <w:rPr>
          <w:rFonts w:cs="Times New Roman"/>
          <w:lang w:val="en-GB"/>
        </w:rPr>
        <w:t>as justifications for early surgery (p. 2).</w:t>
      </w:r>
    </w:p>
    <w:p w14:paraId="6752DE0A" w14:textId="1298464D" w:rsidR="003C2D61" w:rsidRPr="005A1E64" w:rsidRDefault="004338B0" w:rsidP="005A1E64">
      <w:pPr>
        <w:pStyle w:val="absatzschattenbericht"/>
        <w:rPr>
          <w:rFonts w:cs="Times New Roman"/>
          <w:lang w:val="en-GB"/>
        </w:rPr>
      </w:pPr>
      <w:bookmarkStart w:id="84" w:name="_Toc507786412"/>
      <w:bookmarkStart w:id="85" w:name="_Toc19465689"/>
      <w:bookmarkStart w:id="86" w:name="_Toc64836452"/>
      <w:r w:rsidRPr="00C6192C">
        <w:rPr>
          <w:rFonts w:cs="Times New Roman"/>
          <w:lang w:val="en-GB"/>
        </w:rPr>
        <w:t>Accordingly, the Government-funde</w:t>
      </w:r>
      <w:r w:rsidR="00BC0832" w:rsidRPr="00C6192C">
        <w:rPr>
          <w:rFonts w:cs="Times New Roman"/>
          <w:lang w:val="en-GB"/>
        </w:rPr>
        <w:t>d</w:t>
      </w:r>
      <w:r w:rsidRPr="00C6192C">
        <w:rPr>
          <w:rStyle w:val="Funotenzeichen"/>
          <w:lang w:val="en-GB"/>
        </w:rPr>
        <w:footnoteReference w:id="30"/>
      </w:r>
      <w:r w:rsidRPr="00C6192C">
        <w:rPr>
          <w:rFonts w:cs="Times New Roman"/>
          <w:lang w:val="en-GB"/>
        </w:rPr>
        <w:t xml:space="preserve"> </w:t>
      </w:r>
      <w:r w:rsidRPr="00C6192C">
        <w:rPr>
          <w:rFonts w:cs="Times New Roman"/>
          <w:b/>
          <w:bCs/>
          <w:lang w:val="en-GB"/>
        </w:rPr>
        <w:t>National University Hospital “Landspítali”</w:t>
      </w:r>
      <w:r w:rsidRPr="00C6192C">
        <w:rPr>
          <w:rFonts w:cs="Times New Roman"/>
          <w:lang w:val="en-GB"/>
        </w:rPr>
        <w:t xml:space="preserve"> in Reykjavik still states on its homepage that </w:t>
      </w:r>
      <w:r w:rsidRPr="00C6192C">
        <w:rPr>
          <w:rFonts w:cs="Times New Roman"/>
          <w:b/>
          <w:bCs/>
          <w:lang w:val="en-GB"/>
        </w:rPr>
        <w:t>treatment for Congenital Adrenal Hyperplasia (CAH)</w:t>
      </w:r>
      <w:r w:rsidRPr="00C6192C">
        <w:rPr>
          <w:rFonts w:cs="Times New Roman"/>
          <w:lang w:val="en-GB"/>
        </w:rPr>
        <w:t xml:space="preserve">, an intersex diagnosis associated with genital variations (“enlarged” clitoris and “insufficiently small” vagina), </w:t>
      </w:r>
      <w:r w:rsidRPr="00C6192C">
        <w:rPr>
          <w:rFonts w:cs="Times New Roman"/>
          <w:b/>
          <w:bCs/>
          <w:lang w:val="en-GB"/>
        </w:rPr>
        <w:t xml:space="preserve">includes </w:t>
      </w:r>
      <w:r w:rsidRPr="00C6192C">
        <w:rPr>
          <w:rFonts w:cs="Times New Roman"/>
          <w:b/>
          <w:bCs/>
          <w:i/>
          <w:iCs/>
          <w:lang w:val="en-GB"/>
        </w:rPr>
        <w:t>“difficult surgery”</w:t>
      </w:r>
      <w:r w:rsidRPr="00C6192C">
        <w:rPr>
          <w:rFonts w:cs="Times New Roman"/>
          <w:lang w:val="en-GB"/>
        </w:rPr>
        <w:t xml:space="preserve"> (i.e. partial clitoris amputation and “vaginoplasty”).</w:t>
      </w:r>
      <w:r w:rsidRPr="00C6192C">
        <w:rPr>
          <w:rStyle w:val="Funotenzeichen"/>
          <w:lang w:val="en-GB"/>
        </w:rPr>
        <w:footnoteReference w:id="31"/>
      </w:r>
      <w:r w:rsidRPr="00C6192C">
        <w:rPr>
          <w:rFonts w:cs="Times New Roman"/>
          <w:lang w:val="en-GB"/>
        </w:rPr>
        <w:t xml:space="preserve"> </w:t>
      </w:r>
      <w:r w:rsidR="00513510" w:rsidRPr="00C6192C">
        <w:rPr>
          <w:rFonts w:cs="Times New Roman"/>
          <w:lang w:val="en-GB"/>
        </w:rPr>
        <w:t>This was also reported in the media.</w:t>
      </w:r>
      <w:r w:rsidR="00513510" w:rsidRPr="00C6192C">
        <w:rPr>
          <w:rStyle w:val="Funotenzeichen"/>
          <w:rFonts w:cs="Times New Roman"/>
          <w:lang w:val="en-GB"/>
        </w:rPr>
        <w:footnoteReference w:id="32"/>
      </w:r>
      <w:r w:rsidR="00513510" w:rsidRPr="00C6192C">
        <w:rPr>
          <w:rFonts w:cs="Times New Roman"/>
          <w:lang w:val="en-GB"/>
        </w:rPr>
        <w:t xml:space="preserve"> </w:t>
      </w:r>
      <w:r w:rsidR="00513510" w:rsidRPr="00C6192C">
        <w:rPr>
          <w:rStyle w:val="Funotenzeichen"/>
          <w:rFonts w:cs="Times New Roman"/>
          <w:lang w:val="en-GB"/>
        </w:rPr>
        <w:footnoteReference w:id="33"/>
      </w:r>
    </w:p>
    <w:p w14:paraId="711D2396" w14:textId="77777777" w:rsidR="003C2D61" w:rsidRPr="006203CD" w:rsidRDefault="003C2D61" w:rsidP="003C2D61">
      <w:pPr>
        <w:pStyle w:val="Title3"/>
      </w:pPr>
      <w:bookmarkStart w:id="87" w:name="_Toc65413939"/>
      <w:bookmarkStart w:id="88" w:name="_Toc177422577"/>
      <w:r w:rsidRPr="006203CD">
        <w:t>c) IGM 1 – “Masculinising Surgery”: Hypospadias “Repair”</w:t>
      </w:r>
      <w:r w:rsidRPr="006203CD">
        <w:rPr>
          <w:rStyle w:val="Funotenzeichen3"/>
        </w:rPr>
        <w:footnoteReference w:id="34"/>
      </w:r>
      <w:bookmarkEnd w:id="84"/>
      <w:bookmarkEnd w:id="85"/>
      <w:bookmarkEnd w:id="86"/>
      <w:bookmarkEnd w:id="87"/>
      <w:bookmarkEnd w:id="88"/>
    </w:p>
    <w:p w14:paraId="05EB184C" w14:textId="77777777" w:rsidR="003C2D61" w:rsidRPr="0037281A" w:rsidRDefault="003C2D61" w:rsidP="003C2D61">
      <w:pPr>
        <w:pStyle w:val="absatzschattenbericht"/>
        <w:spacing w:after="60"/>
        <w:rPr>
          <w:lang w:val="en-GB"/>
        </w:rPr>
      </w:pPr>
      <w:r w:rsidRPr="00764B51">
        <w:rPr>
          <w:lang w:val="en-GB"/>
        </w:rPr>
        <w:t xml:space="preserve">The </w:t>
      </w:r>
      <w:r>
        <w:rPr>
          <w:lang w:val="en-GB"/>
        </w:rPr>
        <w:t>“</w:t>
      </w:r>
      <w:r w:rsidRPr="00DC6D98">
        <w:rPr>
          <w:b/>
          <w:bCs/>
          <w:lang w:val="en-GB"/>
        </w:rPr>
        <w:t>Icelandic Urological Association</w:t>
      </w:r>
      <w:r>
        <w:rPr>
          <w:b/>
          <w:bCs/>
          <w:lang w:val="en-GB"/>
        </w:rPr>
        <w:t>”</w:t>
      </w:r>
      <w:r w:rsidRPr="00DC6D98">
        <w:rPr>
          <w:b/>
          <w:bCs/>
          <w:lang w:val="en-GB"/>
        </w:rPr>
        <w:t xml:space="preserve"> </w:t>
      </w:r>
      <w:r w:rsidRPr="00035E76">
        <w:rPr>
          <w:b/>
          <w:bCs/>
          <w:lang w:val="en-GB"/>
        </w:rPr>
        <w:t>(</w:t>
      </w:r>
      <w:r w:rsidRPr="00DC6D98">
        <w:rPr>
          <w:b/>
          <w:bCs/>
          <w:lang w:val="en-GB"/>
        </w:rPr>
        <w:t>Islands Urologförening</w:t>
      </w:r>
      <w:r>
        <w:rPr>
          <w:b/>
          <w:bCs/>
          <w:lang w:val="en-GB"/>
        </w:rPr>
        <w:t xml:space="preserve">) </w:t>
      </w:r>
      <w:r w:rsidRPr="00764B51">
        <w:rPr>
          <w:lang w:val="en-GB"/>
        </w:rPr>
        <w:t>endorses the</w:t>
      </w:r>
      <w:r>
        <w:rPr>
          <w:lang w:val="en-GB"/>
        </w:rPr>
        <w:t xml:space="preserve"> current</w:t>
      </w:r>
      <w:r w:rsidRPr="00764B51">
        <w:rPr>
          <w:lang w:val="en-GB"/>
        </w:rPr>
        <w:t xml:space="preserve"> </w:t>
      </w:r>
      <w:r>
        <w:rPr>
          <w:b/>
          <w:lang w:val="en-GB"/>
        </w:rPr>
        <w:t>2024</w:t>
      </w:r>
      <w:r w:rsidRPr="00764B51">
        <w:rPr>
          <w:b/>
          <w:lang w:val="en-GB"/>
        </w:rPr>
        <w:t xml:space="preserve"> Guidelines of the European Association of Urology (EAU)</w:t>
      </w:r>
      <w:r w:rsidRPr="00764B51">
        <w:rPr>
          <w:bCs/>
          <w:lang w:val="en-GB"/>
        </w:rPr>
        <w:t>,</w:t>
      </w:r>
      <w:r w:rsidRPr="00764B51">
        <w:rPr>
          <w:rStyle w:val="Funotenzeichen"/>
        </w:rPr>
        <w:footnoteReference w:id="35"/>
      </w:r>
      <w:r w:rsidRPr="00764B51">
        <w:rPr>
          <w:bCs/>
          <w:lang w:val="en-GB"/>
        </w:rPr>
        <w:t xml:space="preserve"> which include the current </w:t>
      </w:r>
      <w:r w:rsidRPr="00764B51">
        <w:rPr>
          <w:b/>
          <w:lang w:val="en-GB"/>
        </w:rPr>
        <w:t xml:space="preserve">ESPU/EAU </w:t>
      </w:r>
      <w:r w:rsidRPr="00764B51">
        <w:rPr>
          <w:b/>
          <w:i/>
          <w:lang w:val="en-GB"/>
        </w:rPr>
        <w:t xml:space="preserve">“Paediatric Urology” </w:t>
      </w:r>
      <w:r w:rsidRPr="00764B51">
        <w:rPr>
          <w:b/>
          <w:lang w:val="en-GB"/>
        </w:rPr>
        <w:t>Guidelines</w:t>
      </w:r>
      <w:r>
        <w:rPr>
          <w:b/>
          <w:lang w:val="en-GB"/>
        </w:rPr>
        <w:t xml:space="preserve"> 2024</w:t>
      </w:r>
      <w:r w:rsidRPr="00764B51">
        <w:rPr>
          <w:rStyle w:val="Funotenzeichen"/>
        </w:rPr>
        <w:footnoteReference w:id="36"/>
      </w:r>
      <w:r w:rsidRPr="00764B51">
        <w:rPr>
          <w:lang w:val="en-GB"/>
        </w:rPr>
        <w:t xml:space="preserve"> of the European Society for Paediatric Urology (ESPU) and the European Association of Urology (EAU).</w:t>
      </w:r>
      <w:r>
        <w:rPr>
          <w:lang w:val="en-GB"/>
        </w:rPr>
        <w:t xml:space="preserve"> </w:t>
      </w:r>
      <w:r w:rsidRPr="00764DD7">
        <w:rPr>
          <w:lang w:val="en-GB"/>
        </w:rPr>
        <w:t xml:space="preserve">In </w:t>
      </w:r>
      <w:r w:rsidRPr="00764DD7">
        <w:rPr>
          <w:b/>
          <w:bCs/>
          <w:lang w:val="en-GB"/>
        </w:rPr>
        <w:t>chapter 3.</w:t>
      </w:r>
      <w:r>
        <w:rPr>
          <w:b/>
          <w:bCs/>
          <w:lang w:val="en-GB"/>
        </w:rPr>
        <w:t>7</w:t>
      </w:r>
      <w:r w:rsidRPr="00764DD7">
        <w:rPr>
          <w:b/>
          <w:bCs/>
          <w:lang w:val="en-GB"/>
        </w:rPr>
        <w:t xml:space="preserve"> </w:t>
      </w:r>
      <w:r w:rsidRPr="00764DD7">
        <w:rPr>
          <w:b/>
          <w:bCs/>
          <w:i/>
          <w:iCs/>
          <w:lang w:val="en-GB"/>
        </w:rPr>
        <w:t>“Hypospadias”</w:t>
      </w:r>
      <w:r w:rsidRPr="00764DD7">
        <w:rPr>
          <w:lang w:val="en-GB"/>
        </w:rPr>
        <w:t>,</w:t>
      </w:r>
      <w:r w:rsidRPr="00764DD7">
        <w:rPr>
          <w:rStyle w:val="Funotenzeichen"/>
        </w:rPr>
        <w:footnoteReference w:id="37"/>
      </w:r>
      <w:r w:rsidRPr="00764DD7">
        <w:rPr>
          <w:lang w:val="en-GB"/>
        </w:rPr>
        <w:t xml:space="preserve"> </w:t>
      </w:r>
      <w:r w:rsidRPr="00764DD7">
        <w:rPr>
          <w:rFonts w:cs="Times New Roman"/>
          <w:lang w:val="en-GB"/>
        </w:rPr>
        <w:t xml:space="preserve">the ESPU/EAU Guidelines’ </w:t>
      </w:r>
      <w:r w:rsidRPr="00764DD7">
        <w:rPr>
          <w:rFonts w:cs="Times New Roman"/>
          <w:b/>
          <w:bCs/>
          <w:lang w:val="en-GB"/>
        </w:rPr>
        <w:t>section 3.</w:t>
      </w:r>
      <w:r>
        <w:rPr>
          <w:rFonts w:cs="Times New Roman"/>
          <w:b/>
          <w:bCs/>
          <w:lang w:val="en-GB"/>
        </w:rPr>
        <w:t>7</w:t>
      </w:r>
      <w:r w:rsidRPr="00764DD7">
        <w:rPr>
          <w:rFonts w:cs="Times New Roman"/>
          <w:b/>
          <w:bCs/>
          <w:lang w:val="en-GB"/>
        </w:rPr>
        <w:t xml:space="preserve">.5.3 </w:t>
      </w:r>
      <w:r w:rsidRPr="00764DD7">
        <w:rPr>
          <w:rFonts w:cs="Times New Roman"/>
          <w:b/>
          <w:bCs/>
          <w:i/>
          <w:iCs/>
          <w:lang w:val="en-GB"/>
        </w:rPr>
        <w:t>“Age at surgery”</w:t>
      </w:r>
      <w:r w:rsidRPr="00764DD7">
        <w:rPr>
          <w:rFonts w:cs="Times New Roman"/>
          <w:i/>
          <w:iCs/>
          <w:lang w:val="en-GB"/>
        </w:rPr>
        <w:t xml:space="preserve"> </w:t>
      </w:r>
      <w:r w:rsidRPr="00764DD7">
        <w:rPr>
          <w:rFonts w:cs="Times New Roman"/>
          <w:lang w:val="en-GB"/>
        </w:rPr>
        <w:t xml:space="preserve">explicitly promotes, </w:t>
      </w:r>
      <w:r w:rsidRPr="00764DD7">
        <w:rPr>
          <w:rFonts w:cs="Times New Roman"/>
          <w:b/>
          <w:bCs/>
          <w:i/>
          <w:iCs/>
          <w:lang w:val="en-GB"/>
        </w:rPr>
        <w:t>“The age at surgery for primary hypospadias repair is usually 6-18 (24) months.”</w:t>
      </w:r>
      <w:r w:rsidRPr="00764DD7">
        <w:rPr>
          <w:rStyle w:val="Funotenzeichen"/>
        </w:rPr>
        <w:t xml:space="preserve"> </w:t>
      </w:r>
      <w:r w:rsidRPr="00764DD7">
        <w:rPr>
          <w:rStyle w:val="Funotenzeichen"/>
        </w:rPr>
        <w:footnoteReference w:id="38"/>
      </w:r>
      <w:r w:rsidRPr="00764DD7">
        <w:rPr>
          <w:lang w:val="en-GB"/>
        </w:rPr>
        <w:t xml:space="preserve"> – </w:t>
      </w:r>
      <w:r w:rsidRPr="00764DD7">
        <w:rPr>
          <w:rFonts w:cs="Times New Roman"/>
          <w:lang w:val="en-GB"/>
        </w:rPr>
        <w:t xml:space="preserve">despite admitting to the </w:t>
      </w:r>
      <w:r w:rsidRPr="00764DD7">
        <w:rPr>
          <w:rFonts w:cs="Times New Roman"/>
          <w:i/>
          <w:lang w:val="en-GB"/>
        </w:rPr>
        <w:t>“risk of complications”</w:t>
      </w:r>
      <w:r w:rsidRPr="00764DD7">
        <w:rPr>
          <w:rFonts w:cs="Times New Roman"/>
          <w:lang w:val="en-GB"/>
        </w:rPr>
        <w:t xml:space="preserve"> </w:t>
      </w:r>
      <w:r w:rsidRPr="00764DD7">
        <w:rPr>
          <w:rStyle w:val="Funotenzeichen"/>
        </w:rPr>
        <w:footnoteReference w:id="39"/>
      </w:r>
      <w:r w:rsidRPr="00764DD7">
        <w:rPr>
          <w:rFonts w:cs="Times New Roman"/>
          <w:lang w:val="en-GB"/>
        </w:rPr>
        <w:t xml:space="preserve"> and </w:t>
      </w:r>
      <w:r w:rsidRPr="00764DD7">
        <w:rPr>
          <w:rFonts w:cs="Times New Roman"/>
          <w:i/>
          <w:lang w:val="en-GB"/>
        </w:rPr>
        <w:t xml:space="preserve">“aesthetic[…]” </w:t>
      </w:r>
      <w:r w:rsidRPr="00764DD7">
        <w:rPr>
          <w:rFonts w:cs="Times New Roman"/>
          <w:iCs/>
          <w:lang w:val="en-GB"/>
        </w:rPr>
        <w:t xml:space="preserve">and </w:t>
      </w:r>
      <w:r w:rsidRPr="00764DD7">
        <w:rPr>
          <w:rFonts w:cs="Times New Roman"/>
          <w:i/>
          <w:lang w:val="en-GB"/>
        </w:rPr>
        <w:t xml:space="preserve">“cosmetic” </w:t>
      </w:r>
      <w:r w:rsidRPr="00764DD7">
        <w:rPr>
          <w:rFonts w:cs="Times New Roman"/>
          <w:iCs/>
          <w:lang w:val="en-GB"/>
        </w:rPr>
        <w:t>justifications.</w:t>
      </w:r>
      <w:r w:rsidRPr="00764DD7">
        <w:rPr>
          <w:rStyle w:val="Funotenzeichen"/>
          <w:rFonts w:cs="Times New Roman"/>
        </w:rPr>
        <w:footnoteReference w:id="40"/>
      </w:r>
    </w:p>
    <w:bookmarkEnd w:id="67"/>
    <w:bookmarkEnd w:id="68"/>
    <w:bookmarkEnd w:id="69"/>
    <w:bookmarkEnd w:id="70"/>
    <w:p w14:paraId="3AEBB908" w14:textId="093EF6E7" w:rsidR="004338B0" w:rsidRPr="00C6192C" w:rsidRDefault="004338B0" w:rsidP="004338B0">
      <w:pPr>
        <w:pStyle w:val="absatzschattenbericht"/>
        <w:rPr>
          <w:rFonts w:cs="Times New Roman"/>
          <w:lang w:val="en-GB"/>
        </w:rPr>
      </w:pPr>
      <w:r w:rsidRPr="00C6192C">
        <w:rPr>
          <w:rFonts w:cs="Times New Roman"/>
          <w:lang w:val="en-GB"/>
        </w:rPr>
        <w:lastRenderedPageBreak/>
        <w:t>Accordingly, the Government-funded</w:t>
      </w:r>
      <w:r w:rsidRPr="00C6192C">
        <w:rPr>
          <w:rStyle w:val="Funotenzeichen"/>
          <w:lang w:val="en-GB"/>
        </w:rPr>
        <w:footnoteReference w:id="41"/>
      </w:r>
      <w:r w:rsidRPr="00C6192C">
        <w:rPr>
          <w:rFonts w:cs="Times New Roman"/>
          <w:lang w:val="en-GB"/>
        </w:rPr>
        <w:t xml:space="preserve"> </w:t>
      </w:r>
      <w:r w:rsidRPr="00C6192C">
        <w:rPr>
          <w:rFonts w:cs="Times New Roman"/>
          <w:b/>
          <w:bCs/>
          <w:lang w:val="en-GB"/>
        </w:rPr>
        <w:t>National University Hospital “Landspítali”</w:t>
      </w:r>
      <w:r w:rsidRPr="00C6192C">
        <w:rPr>
          <w:rFonts w:cs="Times New Roman"/>
          <w:lang w:val="en-GB"/>
        </w:rPr>
        <w:t xml:space="preserve"> in Reykjavik still states on its homepage under </w:t>
      </w:r>
      <w:r w:rsidRPr="00C6192C">
        <w:rPr>
          <w:rFonts w:cs="Times New Roman"/>
          <w:i/>
          <w:iCs/>
          <w:lang w:val="en-GB"/>
        </w:rPr>
        <w:t xml:space="preserve">“educational resources” </w:t>
      </w:r>
      <w:r w:rsidRPr="00C6192C">
        <w:rPr>
          <w:rFonts w:cs="Times New Roman"/>
          <w:lang w:val="en-GB"/>
        </w:rPr>
        <w:t xml:space="preserve">on </w:t>
      </w:r>
      <w:r w:rsidRPr="00C6192C">
        <w:rPr>
          <w:rFonts w:cs="Times New Roman"/>
          <w:b/>
          <w:bCs/>
          <w:i/>
          <w:iCs/>
          <w:lang w:val="en-GB"/>
        </w:rPr>
        <w:t>“Hypospadias”</w:t>
      </w:r>
      <w:r w:rsidRPr="00C6192C">
        <w:rPr>
          <w:rFonts w:cs="Times New Roman"/>
          <w:lang w:val="en-GB"/>
        </w:rPr>
        <w:t>:</w:t>
      </w:r>
      <w:r w:rsidRPr="00C6192C">
        <w:rPr>
          <w:rStyle w:val="Funotenzeichen"/>
          <w:lang w:val="en-GB"/>
        </w:rPr>
        <w:footnoteReference w:id="42"/>
      </w:r>
    </w:p>
    <w:p w14:paraId="002634A3" w14:textId="77777777" w:rsidR="004338B0" w:rsidRPr="00C6192C" w:rsidRDefault="004338B0" w:rsidP="004338B0">
      <w:pPr>
        <w:pStyle w:val="absatzschattenbericht"/>
        <w:spacing w:after="60"/>
        <w:ind w:left="284"/>
        <w:rPr>
          <w:b/>
          <w:bCs/>
          <w:i/>
          <w:iCs/>
          <w:lang w:val="en"/>
        </w:rPr>
      </w:pPr>
      <w:r w:rsidRPr="00C6192C">
        <w:rPr>
          <w:i/>
          <w:iCs/>
          <w:lang w:val="en"/>
        </w:rPr>
        <w:t>“</w:t>
      </w:r>
      <w:r w:rsidRPr="00C6192C">
        <w:rPr>
          <w:b/>
          <w:bCs/>
          <w:i/>
          <w:iCs/>
          <w:lang w:val="en"/>
        </w:rPr>
        <w:t>Treatment</w:t>
      </w:r>
    </w:p>
    <w:p w14:paraId="54BE04B1" w14:textId="77777777" w:rsidR="004338B0" w:rsidRPr="00C6192C" w:rsidRDefault="004338B0" w:rsidP="004338B0">
      <w:pPr>
        <w:pStyle w:val="absatzschattenbericht"/>
        <w:spacing w:after="60"/>
        <w:ind w:left="284"/>
        <w:rPr>
          <w:i/>
          <w:iCs/>
          <w:lang w:val="en"/>
        </w:rPr>
      </w:pPr>
      <w:r w:rsidRPr="00C6192C">
        <w:rPr>
          <w:i/>
          <w:iCs/>
          <w:lang w:val="en"/>
        </w:rPr>
        <w:t>The only treatment available is surgery</w:t>
      </w:r>
    </w:p>
    <w:p w14:paraId="18C6CBFA" w14:textId="77777777" w:rsidR="004338B0" w:rsidRPr="00C6192C" w:rsidRDefault="004338B0" w:rsidP="004338B0">
      <w:pPr>
        <w:pStyle w:val="absatzschattenbericht"/>
        <w:spacing w:after="60"/>
        <w:ind w:left="284"/>
        <w:rPr>
          <w:i/>
          <w:iCs/>
          <w:lang w:val="en"/>
        </w:rPr>
      </w:pPr>
      <w:r w:rsidRPr="00C6192C">
        <w:rPr>
          <w:i/>
          <w:iCs/>
          <w:lang w:val="en"/>
        </w:rPr>
        <w:t>In this way, the urethra can be moved to the right place by extending the urethra, correct the penis and adjusting the foreskin.</w:t>
      </w:r>
    </w:p>
    <w:p w14:paraId="1D8BF73C" w14:textId="429A1984" w:rsidR="004338B0" w:rsidRPr="00C6192C" w:rsidRDefault="004338B0" w:rsidP="004338B0">
      <w:pPr>
        <w:pStyle w:val="absatzschattenbericht"/>
        <w:spacing w:after="60" w:line="360" w:lineRule="auto"/>
        <w:ind w:left="284"/>
        <w:rPr>
          <w:i/>
          <w:iCs/>
          <w:lang w:val="en"/>
        </w:rPr>
      </w:pPr>
      <w:r w:rsidRPr="00C6192C">
        <w:rPr>
          <w:i/>
          <w:iCs/>
          <w:lang w:val="en"/>
        </w:rPr>
        <w:t>In more severe cases, more than one operation is sometimes required […]”</w:t>
      </w:r>
    </w:p>
    <w:p w14:paraId="5345FB65" w14:textId="6A9BA347" w:rsidR="00C244D5" w:rsidRPr="00DF54B6" w:rsidRDefault="00C244D5" w:rsidP="00C244D5">
      <w:pPr>
        <w:pStyle w:val="Title2"/>
        <w:tabs>
          <w:tab w:val="left" w:pos="7689"/>
        </w:tabs>
        <w:rPr>
          <w:rFonts w:eastAsia="Baskerville"/>
          <w:szCs w:val="24"/>
        </w:rPr>
      </w:pPr>
      <w:bookmarkStart w:id="89" w:name="_Toc516594093"/>
      <w:bookmarkStart w:id="90" w:name="_Toc101000897"/>
      <w:bookmarkStart w:id="91" w:name="_Toc177422578"/>
      <w:r w:rsidRPr="00DF54B6">
        <w:t>4.  Lack of independent data collection and monitoring</w:t>
      </w:r>
      <w:bookmarkEnd w:id="89"/>
      <w:bookmarkEnd w:id="90"/>
      <w:bookmarkEnd w:id="91"/>
    </w:p>
    <w:p w14:paraId="3ECA3B91" w14:textId="5BD959F2" w:rsidR="00C244D5" w:rsidRPr="00DF54B6" w:rsidRDefault="00414EFB" w:rsidP="00C244D5">
      <w:pPr>
        <w:pStyle w:val="absatzschattenbericht"/>
        <w:rPr>
          <w:lang w:val="en-GB"/>
        </w:rPr>
      </w:pPr>
      <w:r>
        <w:rPr>
          <w:lang w:val="en-GB"/>
        </w:rPr>
        <w:t>A</w:t>
      </w:r>
      <w:r w:rsidR="00C244D5" w:rsidRPr="00DF54B6">
        <w:rPr>
          <w:lang w:val="en-GB"/>
        </w:rPr>
        <w:t xml:space="preserve"> new Law (</w:t>
      </w:r>
      <w:r w:rsidRPr="00414EFB">
        <w:rPr>
          <w:lang w:val="en-GB"/>
        </w:rPr>
        <w:t>Act No. 154/2020</w:t>
      </w:r>
      <w:r>
        <w:rPr>
          <w:lang w:val="en-GB"/>
        </w:rPr>
        <w:t>,</w:t>
      </w:r>
      <w:r w:rsidRPr="00414EFB">
        <w:rPr>
          <w:lang w:val="en-GB"/>
        </w:rPr>
        <w:t xml:space="preserve"> </w:t>
      </w:r>
      <w:r w:rsidR="00C244D5" w:rsidRPr="00DF54B6">
        <w:rPr>
          <w:lang w:val="en-GB"/>
        </w:rPr>
        <w:t xml:space="preserve">see below, p. </w:t>
      </w:r>
      <w:r w:rsidR="005478CA">
        <w:rPr>
          <w:lang w:val="en-GB"/>
        </w:rPr>
        <w:t>12</w:t>
      </w:r>
      <w:r>
        <w:rPr>
          <w:lang w:val="en-GB"/>
        </w:rPr>
        <w:t>-</w:t>
      </w:r>
      <w:r w:rsidR="005478CA">
        <w:rPr>
          <w:lang w:val="en-GB"/>
        </w:rPr>
        <w:t>15</w:t>
      </w:r>
      <w:r w:rsidR="00C244D5" w:rsidRPr="00DF54B6">
        <w:rPr>
          <w:lang w:val="en-GB"/>
        </w:rPr>
        <w:t xml:space="preserve">) stipulates that irreversible treatments on intersex children must be </w:t>
      </w:r>
      <w:r w:rsidR="00C244D5" w:rsidRPr="00DF54B6">
        <w:rPr>
          <w:b/>
          <w:bCs/>
          <w:lang w:val="en-GB"/>
        </w:rPr>
        <w:t>recorded and reported to the Director of Health:</w:t>
      </w:r>
    </w:p>
    <w:p w14:paraId="6F5BF666" w14:textId="77777777" w:rsidR="00C244D5" w:rsidRPr="00DF54B6" w:rsidRDefault="00C244D5" w:rsidP="00C244D5">
      <w:pPr>
        <w:pStyle w:val="absatzschattenbericht"/>
        <w:ind w:left="284"/>
        <w:rPr>
          <w:lang w:val="en-GB"/>
        </w:rPr>
      </w:pPr>
      <w:r w:rsidRPr="00DF54B6">
        <w:rPr>
          <w:i/>
          <w:iCs/>
          <w:lang w:val="en-GB"/>
        </w:rPr>
        <w:t xml:space="preserve">“Health care professionals who provide treatment that permanently changes sex characteristics of children pursuant to this Article shall enter information on the treatment into the health record and provide the Director of Health with information on the number and nature of surgical operations and medication and the age of those who undergo these changes.” </w:t>
      </w:r>
      <w:r w:rsidRPr="00DF54B6">
        <w:rPr>
          <w:rStyle w:val="Funotenzeichen"/>
          <w:lang w:val="en-GB"/>
        </w:rPr>
        <w:footnoteReference w:id="43"/>
      </w:r>
    </w:p>
    <w:p w14:paraId="3608A742" w14:textId="77777777" w:rsidR="00C244D5" w:rsidRPr="00DF54B6" w:rsidRDefault="00C244D5" w:rsidP="00C244D5">
      <w:pPr>
        <w:pStyle w:val="absatzschattenbericht"/>
        <w:rPr>
          <w:lang w:val="en-GB"/>
        </w:rPr>
      </w:pPr>
      <w:r w:rsidRPr="00DF54B6">
        <w:rPr>
          <w:lang w:val="en-GB"/>
        </w:rPr>
        <w:t xml:space="preserve">The Government’s comment on the Law further states that the health care professionals shall report these cases to the Director of Health at least </w:t>
      </w:r>
      <w:r w:rsidRPr="00DF54B6">
        <w:rPr>
          <w:b/>
          <w:bCs/>
          <w:i/>
          <w:iCs/>
          <w:lang w:val="en-GB"/>
        </w:rPr>
        <w:t>“annually”</w:t>
      </w:r>
      <w:r w:rsidRPr="00DF54B6">
        <w:rPr>
          <w:lang w:val="en-GB"/>
        </w:rPr>
        <w:t>.</w:t>
      </w:r>
      <w:r w:rsidRPr="00DF54B6">
        <w:rPr>
          <w:rStyle w:val="Funotenzeichen"/>
          <w:lang w:val="en-GB"/>
        </w:rPr>
        <w:footnoteReference w:id="44"/>
      </w:r>
    </w:p>
    <w:p w14:paraId="050560BA" w14:textId="50943AFC" w:rsidR="00C244D5" w:rsidRPr="00DF54B6" w:rsidRDefault="00C244D5" w:rsidP="00C244D5">
      <w:pPr>
        <w:pStyle w:val="absatzschattenbericht"/>
        <w:rPr>
          <w:lang w:val="en-GB"/>
        </w:rPr>
      </w:pPr>
      <w:r w:rsidRPr="00DF54B6">
        <w:rPr>
          <w:lang w:val="en-GB"/>
        </w:rPr>
        <w:t xml:space="preserve">Since the Law entered into force on 18 December 2020, by now the Director of Health should have </w:t>
      </w:r>
      <w:r w:rsidRPr="00DF54B6">
        <w:rPr>
          <w:b/>
          <w:bCs/>
          <w:lang w:val="en-GB"/>
        </w:rPr>
        <w:t>received the relevant figures for 2021</w:t>
      </w:r>
      <w:r w:rsidR="00414EFB">
        <w:rPr>
          <w:b/>
          <w:bCs/>
          <w:lang w:val="en-GB"/>
        </w:rPr>
        <w:t>-2023</w:t>
      </w:r>
      <w:r w:rsidRPr="00414EFB">
        <w:rPr>
          <w:lang w:val="en-GB"/>
        </w:rPr>
        <w:t>.</w:t>
      </w:r>
      <w:r w:rsidRPr="00DF54B6">
        <w:rPr>
          <w:lang w:val="en-GB"/>
        </w:rPr>
        <w:t xml:space="preserve"> However, so far,</w:t>
      </w:r>
      <w:r w:rsidR="00414EFB">
        <w:rPr>
          <w:lang w:val="en-GB"/>
        </w:rPr>
        <w:t xml:space="preserve"> apparently</w:t>
      </w:r>
      <w:r w:rsidRPr="00DF54B6">
        <w:rPr>
          <w:lang w:val="en-GB"/>
        </w:rPr>
        <w:t xml:space="preserve"> </w:t>
      </w:r>
      <w:r w:rsidRPr="00DF54B6">
        <w:rPr>
          <w:b/>
          <w:bCs/>
          <w:lang w:val="en-GB"/>
        </w:rPr>
        <w:t>no statistics have been publicly disclosed</w:t>
      </w:r>
      <w:r w:rsidRPr="00DF54B6">
        <w:rPr>
          <w:lang w:val="en-GB"/>
        </w:rPr>
        <w:t xml:space="preserve">. Therefore, the failure of the State party to disclose relevant disaggregated data </w:t>
      </w:r>
      <w:r w:rsidRPr="00DF54B6">
        <w:rPr>
          <w:b/>
          <w:bCs/>
          <w:lang w:val="en-GB"/>
        </w:rPr>
        <w:t>persists</w:t>
      </w:r>
      <w:r w:rsidRPr="00DF54B6">
        <w:rPr>
          <w:lang w:val="en-GB"/>
        </w:rPr>
        <w:t>.</w:t>
      </w:r>
    </w:p>
    <w:p w14:paraId="3A5C7991" w14:textId="0789AD2D" w:rsidR="00C244D5" w:rsidRPr="00DF54B6" w:rsidRDefault="00C244D5" w:rsidP="00C244D5">
      <w:pPr>
        <w:pStyle w:val="Title2"/>
      </w:pPr>
      <w:bookmarkStart w:id="92" w:name="_Toc177422579"/>
      <w:r w:rsidRPr="00DF54B6">
        <w:t xml:space="preserve">5.  Insufficient new </w:t>
      </w:r>
      <w:r w:rsidR="00414EFB" w:rsidRPr="00414EFB">
        <w:t xml:space="preserve">Act No. 154/2020 </w:t>
      </w:r>
      <w:r w:rsidRPr="00DF54B6">
        <w:t>aimed at prohibiting IGM practices</w:t>
      </w:r>
      <w:bookmarkEnd w:id="92"/>
    </w:p>
    <w:p w14:paraId="08B079C9" w14:textId="689DC67F" w:rsidR="00C244D5" w:rsidRPr="00393BAD" w:rsidRDefault="00C244D5" w:rsidP="00C244D5">
      <w:pPr>
        <w:pStyle w:val="absatzschattenbericht"/>
        <w:rPr>
          <w:lang w:val="en-GB"/>
        </w:rPr>
      </w:pPr>
      <w:r w:rsidRPr="00DF54B6">
        <w:rPr>
          <w:rFonts w:eastAsia="Baskerville-SemiBold" w:cs="Times New Roman"/>
          <w:lang w:val="en-GB"/>
        </w:rPr>
        <w:t xml:space="preserve">On 18 December 2020, the Icelandic Parliament passed </w:t>
      </w:r>
      <w:r w:rsidRPr="00DF54B6">
        <w:rPr>
          <w:rFonts w:eastAsia="Baskerville-SemiBold" w:cs="Times New Roman"/>
          <w:b/>
          <w:bCs/>
          <w:lang w:val="en-GB"/>
        </w:rPr>
        <w:t>Act No. 154/2020 amending the Act on Gender Autonomy No. 80/2019</w:t>
      </w:r>
      <w:r w:rsidRPr="00DF54B6">
        <w:rPr>
          <w:rFonts w:eastAsia="Baskerville-SemiBold" w:cs="Times New Roman"/>
          <w:lang w:val="en-GB"/>
        </w:rPr>
        <w:t xml:space="preserve">, entering into force immediately, which </w:t>
      </w:r>
      <w:r w:rsidRPr="00DF54B6">
        <w:rPr>
          <w:rFonts w:eastAsia="Baskerville-SemiBold" w:cs="Times New Roman"/>
          <w:b/>
          <w:bCs/>
          <w:lang w:val="en-GB"/>
        </w:rPr>
        <w:t xml:space="preserve">aims </w:t>
      </w:r>
      <w:r w:rsidR="00414EFB">
        <w:rPr>
          <w:rFonts w:eastAsia="Baskerville-SemiBold" w:cs="Times New Roman"/>
          <w:b/>
          <w:bCs/>
          <w:lang w:val="en-GB"/>
        </w:rPr>
        <w:t>to</w:t>
      </w:r>
      <w:r w:rsidRPr="00DF54B6">
        <w:rPr>
          <w:rFonts w:eastAsia="Baskerville-SemiBold" w:cs="Times New Roman"/>
          <w:b/>
          <w:bCs/>
          <w:lang w:val="en-GB"/>
        </w:rPr>
        <w:t xml:space="preserve"> </w:t>
      </w:r>
      <w:r w:rsidR="00414EFB">
        <w:rPr>
          <w:rFonts w:eastAsia="Baskerville-SemiBold" w:cs="Times New Roman"/>
          <w:b/>
          <w:bCs/>
          <w:lang w:val="en-GB"/>
        </w:rPr>
        <w:t>prohibit</w:t>
      </w:r>
      <w:r w:rsidRPr="00DF54B6">
        <w:rPr>
          <w:rFonts w:eastAsia="Baskerville-SemiBold" w:cs="Times New Roman"/>
          <w:b/>
          <w:bCs/>
          <w:lang w:val="en-GB"/>
        </w:rPr>
        <w:t xml:space="preserve"> IGM practices</w:t>
      </w:r>
      <w:r w:rsidRPr="00DF54B6">
        <w:rPr>
          <w:rStyle w:val="Funotenzeichen"/>
          <w:lang w:val="en-GB"/>
        </w:rPr>
        <w:t xml:space="preserve"> </w:t>
      </w:r>
      <w:r w:rsidRPr="00DF54B6">
        <w:rPr>
          <w:rStyle w:val="Funotenzeichen"/>
          <w:lang w:val="en-GB"/>
        </w:rPr>
        <w:footnoteReference w:id="45"/>
      </w:r>
      <w:r w:rsidRPr="00DF54B6">
        <w:rPr>
          <w:lang w:val="en-GB"/>
        </w:rPr>
        <w:t xml:space="preserve"> </w:t>
      </w:r>
      <w:r w:rsidRPr="00DF54B6">
        <w:rPr>
          <w:rStyle w:val="Funotenzeichen"/>
          <w:lang w:val="en-GB"/>
        </w:rPr>
        <w:footnoteReference w:id="46"/>
      </w:r>
      <w:r w:rsidRPr="00DF54B6">
        <w:rPr>
          <w:lang w:val="en-GB"/>
        </w:rPr>
        <w:t xml:space="preserve"> </w:t>
      </w:r>
      <w:r w:rsidR="00393BAD">
        <w:rPr>
          <w:lang w:val="en-GB"/>
        </w:rPr>
        <w:t>(s</w:t>
      </w:r>
      <w:r w:rsidR="00393BAD" w:rsidRPr="00393BAD">
        <w:rPr>
          <w:lang w:val="en-GB"/>
        </w:rPr>
        <w:t>ee</w:t>
      </w:r>
      <w:r w:rsidR="00393BAD">
        <w:rPr>
          <w:lang w:val="en-GB"/>
        </w:rPr>
        <w:t xml:space="preserve"> also</w:t>
      </w:r>
      <w:r w:rsidR="00393BAD">
        <w:rPr>
          <w:b/>
          <w:bCs/>
          <w:lang w:val="en-GB"/>
        </w:rPr>
        <w:t xml:space="preserve"> </w:t>
      </w:r>
      <w:r w:rsidR="00393BAD" w:rsidRPr="005705F1">
        <w:rPr>
          <w:b/>
          <w:bCs/>
          <w:lang w:val="en-GB"/>
        </w:rPr>
        <w:t>State Party Report</w:t>
      </w:r>
      <w:r w:rsidR="00393BAD" w:rsidRPr="005705F1">
        <w:rPr>
          <w:lang w:val="en-GB"/>
        </w:rPr>
        <w:t>, par</w:t>
      </w:r>
      <w:r w:rsidR="005705F1" w:rsidRPr="005705F1">
        <w:rPr>
          <w:lang w:val="en-GB"/>
        </w:rPr>
        <w:t>as 69-71</w:t>
      </w:r>
      <w:r w:rsidR="00393BAD" w:rsidRPr="005705F1">
        <w:rPr>
          <w:lang w:val="en-GB"/>
        </w:rPr>
        <w:t xml:space="preserve">: </w:t>
      </w:r>
      <w:r w:rsidR="00393BAD" w:rsidRPr="005705F1">
        <w:rPr>
          <w:i/>
          <w:iCs/>
          <w:lang w:val="en-GB"/>
        </w:rPr>
        <w:t>“</w:t>
      </w:r>
      <w:r w:rsidR="005705F1" w:rsidRPr="005705F1">
        <w:rPr>
          <w:i/>
          <w:iCs/>
          <w:lang w:val="en-GB"/>
        </w:rPr>
        <w:t>carrying out surgical procedures on intersex minors who are unable to provide consent is prohibited unless the operation is completely necessary for medical reasons</w:t>
      </w:r>
      <w:r w:rsidR="00393BAD" w:rsidRPr="005705F1">
        <w:rPr>
          <w:i/>
          <w:iCs/>
          <w:lang w:val="en-GB"/>
        </w:rPr>
        <w:t>”</w:t>
      </w:r>
      <w:r w:rsidR="00393BAD" w:rsidRPr="005705F1">
        <w:rPr>
          <w:lang w:val="en-GB"/>
        </w:rPr>
        <w:t>)</w:t>
      </w:r>
      <w:r w:rsidR="00E86CFF">
        <w:rPr>
          <w:lang w:val="en-GB"/>
        </w:rPr>
        <w:t>.</w:t>
      </w:r>
    </w:p>
    <w:p w14:paraId="35B01C7A" w14:textId="77777777" w:rsidR="00C244D5" w:rsidRPr="00DF54B6" w:rsidRDefault="00C244D5" w:rsidP="00C244D5">
      <w:pPr>
        <w:pStyle w:val="absatzschattenbericht"/>
        <w:rPr>
          <w:lang w:val="en-GB"/>
        </w:rPr>
      </w:pPr>
      <w:r w:rsidRPr="00DF54B6">
        <w:rPr>
          <w:lang w:val="en-GB"/>
        </w:rPr>
        <w:t xml:space="preserve">This new Law includes </w:t>
      </w:r>
      <w:r w:rsidRPr="00DF54B6">
        <w:rPr>
          <w:b/>
          <w:bCs/>
          <w:lang w:val="en-GB"/>
        </w:rPr>
        <w:t>several commendable aspects</w:t>
      </w:r>
      <w:r w:rsidRPr="00DF54B6">
        <w:rPr>
          <w:lang w:val="en-GB"/>
        </w:rPr>
        <w:t>, namely:</w:t>
      </w:r>
    </w:p>
    <w:p w14:paraId="404140AC" w14:textId="77777777" w:rsidR="00C244D5" w:rsidRPr="00DF54B6" w:rsidRDefault="00C244D5" w:rsidP="009C4602">
      <w:pPr>
        <w:pStyle w:val="absatzschattenbericht"/>
        <w:numPr>
          <w:ilvl w:val="0"/>
          <w:numId w:val="14"/>
        </w:numPr>
        <w:shd w:val="clear" w:color="auto" w:fill="auto"/>
        <w:rPr>
          <w:lang w:val="en-GB"/>
        </w:rPr>
      </w:pPr>
      <w:r w:rsidRPr="00DF54B6">
        <w:rPr>
          <w:i/>
          <w:lang w:val="en-GB"/>
        </w:rPr>
        <w:t xml:space="preserve">“Permanent changes to genitals, gonads or other sex characteristics of persons 16 years of age or older are prohibited without their written consent. […] Permanent changes include inter alia surgical operations, medication and other irreversible medical </w:t>
      </w:r>
      <w:r w:rsidRPr="00DF54B6">
        <w:rPr>
          <w:i/>
          <w:lang w:val="en-GB"/>
        </w:rPr>
        <w:lastRenderedPageBreak/>
        <w:t xml:space="preserve">interventions.” </w:t>
      </w:r>
      <w:r w:rsidRPr="00DF54B6">
        <w:rPr>
          <w:iCs/>
          <w:lang w:val="en-GB"/>
        </w:rPr>
        <w:t>(Article 11(1))</w:t>
      </w:r>
    </w:p>
    <w:p w14:paraId="225AE3D9" w14:textId="77777777" w:rsidR="00C244D5" w:rsidRPr="00DF54B6" w:rsidRDefault="00C244D5" w:rsidP="009C4602">
      <w:pPr>
        <w:pStyle w:val="absatzschattenbericht"/>
        <w:numPr>
          <w:ilvl w:val="0"/>
          <w:numId w:val="14"/>
        </w:numPr>
        <w:shd w:val="clear" w:color="auto" w:fill="auto"/>
        <w:rPr>
          <w:lang w:val="en-GB"/>
        </w:rPr>
      </w:pPr>
      <w:r w:rsidRPr="00DF54B6">
        <w:rPr>
          <w:i/>
          <w:iCs/>
          <w:lang w:val="en-GB"/>
        </w:rPr>
        <w:t xml:space="preserve">“Children born with atypical sex characteristics shall have the right to physical integrity in relation to their sex characteristics and the right to receive the best health care available at any given time. In implementing the Act, care shall be taken to respect their right to self- determination regarding personal matters.” </w:t>
      </w:r>
      <w:r w:rsidRPr="00DF54B6">
        <w:rPr>
          <w:lang w:val="en-GB"/>
        </w:rPr>
        <w:t>(Article 11a(1))</w:t>
      </w:r>
    </w:p>
    <w:p w14:paraId="13E3BBC0" w14:textId="77777777" w:rsidR="00C244D5" w:rsidRPr="00DF54B6" w:rsidRDefault="00C244D5" w:rsidP="009C4602">
      <w:pPr>
        <w:pStyle w:val="absatzschattenbericht"/>
        <w:numPr>
          <w:ilvl w:val="0"/>
          <w:numId w:val="14"/>
        </w:numPr>
        <w:shd w:val="clear" w:color="auto" w:fill="auto"/>
        <w:rPr>
          <w:lang w:val="en-GB"/>
        </w:rPr>
      </w:pPr>
      <w:r w:rsidRPr="00DF54B6">
        <w:rPr>
          <w:i/>
          <w:iCs/>
          <w:lang w:val="en-GB"/>
        </w:rPr>
        <w:t xml:space="preserve">“[…] if a child [under the age of 16 born with atypical sex characteristics] is unable to give its consent due to its young age or is for other reasons unable to express its will, the child’s sex characteristics may be changed if so required for health reasons, following a detailed assessment of the need for such changes and of their consequences in the short and long term. Social, psychosocial and appearance-related reasons shall not be regarded as health reasons. Permanent changes pursuant to the first and second sentence include inter alia surgical operations, medication and other irreversible medical interventions.” </w:t>
      </w:r>
      <w:r w:rsidRPr="00DF54B6">
        <w:rPr>
          <w:lang w:val="en-GB"/>
        </w:rPr>
        <w:t>(Article 11a(2))</w:t>
      </w:r>
    </w:p>
    <w:p w14:paraId="22A665E8" w14:textId="77777777" w:rsidR="00C244D5" w:rsidRPr="00DF54B6" w:rsidRDefault="00C244D5" w:rsidP="009C4602">
      <w:pPr>
        <w:pStyle w:val="absatzschattenbericht"/>
        <w:numPr>
          <w:ilvl w:val="0"/>
          <w:numId w:val="14"/>
        </w:numPr>
        <w:shd w:val="clear" w:color="auto" w:fill="auto"/>
        <w:rPr>
          <w:i/>
          <w:iCs/>
          <w:lang w:val="en-GB"/>
        </w:rPr>
      </w:pPr>
      <w:r w:rsidRPr="00DF54B6">
        <w:rPr>
          <w:i/>
          <w:iCs/>
          <w:lang w:val="en-GB"/>
        </w:rPr>
        <w:t xml:space="preserve">“In the decision-making process, the child and its guardians shall receive counselling and support from a team on the issue of children born with atypical sex characteristics pursuant to Article 13a. In every case, a reasoned position shall be taken as to the possibility of postponing any permanent changes until the child is able to give its consent, and deal with any health issues in a different and less invasive manner. Furthermore, the child and its guardians shall be invited to seek expert opinion outside the team on the necessity of such treatment, free of charge.” </w:t>
      </w:r>
      <w:r w:rsidRPr="00DF54B6">
        <w:rPr>
          <w:lang w:val="en-GB"/>
        </w:rPr>
        <w:t>(Article 11a(3))</w:t>
      </w:r>
    </w:p>
    <w:p w14:paraId="64A02EC0" w14:textId="5146F321" w:rsidR="00C244D5" w:rsidRPr="00900769" w:rsidRDefault="00C244D5" w:rsidP="009C4602">
      <w:pPr>
        <w:pStyle w:val="absatzschattenbericht"/>
        <w:numPr>
          <w:ilvl w:val="0"/>
          <w:numId w:val="14"/>
        </w:numPr>
        <w:shd w:val="clear" w:color="auto" w:fill="auto"/>
        <w:rPr>
          <w:i/>
          <w:iCs/>
          <w:lang w:val="en-GB"/>
        </w:rPr>
      </w:pPr>
      <w:r w:rsidRPr="00DF54B6">
        <w:rPr>
          <w:i/>
          <w:iCs/>
          <w:lang w:val="en-GB"/>
        </w:rPr>
        <w:t xml:space="preserve">“The team shall guide its clients to appropriate peer-to-peer counselling of people with atypical sex characteristics and their representative associations. The team provides services in cases where atypical sex characteristics have been permanently changed, as well as in cases where no changes have taken place or have been postponed.” </w:t>
      </w:r>
      <w:r w:rsidRPr="00DF54B6">
        <w:rPr>
          <w:lang w:val="en-GB"/>
        </w:rPr>
        <w:t>(Article 13a(2))</w:t>
      </w:r>
    </w:p>
    <w:p w14:paraId="29EA1ED1" w14:textId="7AC830F9" w:rsidR="00900769" w:rsidRPr="00900769" w:rsidRDefault="00900769" w:rsidP="009C4602">
      <w:pPr>
        <w:pStyle w:val="absatzschattenbericht"/>
        <w:numPr>
          <w:ilvl w:val="0"/>
          <w:numId w:val="14"/>
        </w:numPr>
        <w:shd w:val="clear" w:color="auto" w:fill="auto"/>
        <w:rPr>
          <w:i/>
          <w:iCs/>
          <w:lang w:val="en-GB"/>
        </w:rPr>
      </w:pPr>
      <w:r w:rsidRPr="00DF54B6">
        <w:rPr>
          <w:i/>
          <w:iCs/>
          <w:lang w:val="en-GB"/>
        </w:rPr>
        <w:t xml:space="preserve">“Health care professionals who provide treatment that permanently changes sex characteristics of children pursuant to this Article shall enter information on the treatment into the health record and provide the Director of Health with information on the number and nature of surgical operations and medication and the age of those who undergo these changes.” </w:t>
      </w:r>
      <w:r w:rsidRPr="00DF54B6">
        <w:rPr>
          <w:lang w:val="en-GB"/>
        </w:rPr>
        <w:t>(Article 11a(7))</w:t>
      </w:r>
    </w:p>
    <w:p w14:paraId="2EAA3CD2" w14:textId="61A7AD96" w:rsidR="00900769" w:rsidRPr="00DF54B6" w:rsidRDefault="00900769" w:rsidP="00900769">
      <w:pPr>
        <w:pStyle w:val="absatzschattenbericht"/>
        <w:ind w:left="360"/>
        <w:rPr>
          <w:lang w:val="en-GB"/>
        </w:rPr>
      </w:pPr>
      <w:r>
        <w:rPr>
          <w:lang w:val="en-GB"/>
        </w:rPr>
        <w:t>While</w:t>
      </w:r>
      <w:r w:rsidRPr="00DF54B6">
        <w:rPr>
          <w:lang w:val="en-GB"/>
        </w:rPr>
        <w:t xml:space="preserve"> </w:t>
      </w:r>
      <w:r>
        <w:rPr>
          <w:lang w:val="en-GB"/>
        </w:rPr>
        <w:t xml:space="preserve">the </w:t>
      </w:r>
      <w:r w:rsidRPr="00DF54B6">
        <w:rPr>
          <w:lang w:val="en-GB"/>
        </w:rPr>
        <w:t xml:space="preserve">new Law </w:t>
      </w:r>
      <w:r>
        <w:rPr>
          <w:lang w:val="en-GB"/>
        </w:rPr>
        <w:t xml:space="preserve">also </w:t>
      </w:r>
      <w:r w:rsidRPr="00DF54B6">
        <w:rPr>
          <w:lang w:val="en-GB"/>
        </w:rPr>
        <w:t>includes</w:t>
      </w:r>
      <w:r>
        <w:rPr>
          <w:lang w:val="en-GB"/>
        </w:rPr>
        <w:t xml:space="preserve"> serious loopholes, namely Article 11a, which inter alia excludes the most frequent IGM procedure IGM  1: hypospadias “repair” (see below), at least the Government has to be </w:t>
      </w:r>
      <w:r w:rsidRPr="00900769">
        <w:rPr>
          <w:b/>
          <w:bCs/>
          <w:lang w:val="en-GB"/>
        </w:rPr>
        <w:t>further</w:t>
      </w:r>
      <w:r>
        <w:rPr>
          <w:lang w:val="en-GB"/>
        </w:rPr>
        <w:t xml:space="preserve"> </w:t>
      </w:r>
      <w:r w:rsidRPr="00DF54B6">
        <w:rPr>
          <w:b/>
          <w:bCs/>
          <w:lang w:val="en-GB"/>
        </w:rPr>
        <w:t>commend</w:t>
      </w:r>
      <w:r>
        <w:rPr>
          <w:b/>
          <w:bCs/>
          <w:lang w:val="en-GB"/>
        </w:rPr>
        <w:t>ed</w:t>
      </w:r>
      <w:r w:rsidRPr="00DF54B6">
        <w:rPr>
          <w:lang w:val="en-GB"/>
        </w:rPr>
        <w:t xml:space="preserve"> </w:t>
      </w:r>
      <w:r w:rsidR="00072E9F">
        <w:rPr>
          <w:lang w:val="en-GB"/>
        </w:rPr>
        <w:t>for committing to review this exemption – although so far</w:t>
      </w:r>
      <w:r w:rsidR="00414EFB">
        <w:rPr>
          <w:lang w:val="en-GB"/>
        </w:rPr>
        <w:t>,</w:t>
      </w:r>
      <w:r w:rsidR="00072E9F">
        <w:rPr>
          <w:lang w:val="en-GB"/>
        </w:rPr>
        <w:t xml:space="preserve"> no reports of progress could be found</w:t>
      </w:r>
      <w:r w:rsidRPr="00DF54B6">
        <w:rPr>
          <w:lang w:val="en-GB"/>
        </w:rPr>
        <w:t>:</w:t>
      </w:r>
    </w:p>
    <w:p w14:paraId="3E6ADE73" w14:textId="6D0BB21F" w:rsidR="00C244D5" w:rsidRPr="00DF54B6" w:rsidRDefault="00C244D5" w:rsidP="009C4602">
      <w:pPr>
        <w:pStyle w:val="absatzschattenbericht"/>
        <w:numPr>
          <w:ilvl w:val="0"/>
          <w:numId w:val="14"/>
        </w:numPr>
        <w:shd w:val="clear" w:color="auto" w:fill="auto"/>
        <w:spacing w:after="0"/>
        <w:ind w:left="714" w:hanging="357"/>
        <w:rPr>
          <w:i/>
          <w:iCs/>
          <w:lang w:val="en-GB"/>
        </w:rPr>
      </w:pPr>
      <w:r w:rsidRPr="00DF54B6">
        <w:rPr>
          <w:i/>
          <w:iCs/>
          <w:lang w:val="en-GB"/>
        </w:rPr>
        <w:t>“Within three years of the entry into force of Article 11a</w:t>
      </w:r>
      <w:r w:rsidR="00900769">
        <w:rPr>
          <w:i/>
          <w:iCs/>
          <w:lang w:val="en-GB"/>
        </w:rPr>
        <w:t xml:space="preserve"> </w:t>
      </w:r>
      <w:r w:rsidR="00900769">
        <w:rPr>
          <w:lang w:val="en-GB"/>
        </w:rPr>
        <w:t>[see below under loopholes: hypospadias “repair” and “micropenis”]</w:t>
      </w:r>
      <w:r w:rsidRPr="00DF54B6">
        <w:rPr>
          <w:i/>
          <w:iCs/>
          <w:lang w:val="en-GB"/>
        </w:rPr>
        <w:t>, the Minister will appoint a working group to review the provision with respect to practical experience and development of research and knowledge and best practice in the field of human rights. In particular, the group must assess Article 11a(5), including whether the provision should be deleted. The working group shall submit its proposals to the Minister as soon as possible after it commences its work.</w:t>
      </w:r>
    </w:p>
    <w:p w14:paraId="24E4A7B0" w14:textId="77777777" w:rsidR="00C244D5" w:rsidRPr="00DF54B6" w:rsidRDefault="00C244D5" w:rsidP="00C244D5">
      <w:pPr>
        <w:pStyle w:val="absatzschattenbericht"/>
        <w:ind w:left="720"/>
        <w:rPr>
          <w:i/>
          <w:iCs/>
          <w:lang w:val="en-GB"/>
        </w:rPr>
      </w:pPr>
      <w:r w:rsidRPr="00DF54B6">
        <w:rPr>
          <w:i/>
          <w:iCs/>
          <w:lang w:val="en-GB"/>
        </w:rPr>
        <w:lastRenderedPageBreak/>
        <w:t xml:space="preserve">The group shall be comprised of a paediatric surgeon, a paediatric endocrinologist, a child psychologist, appointed by the Minister of Health, a representative of Intersex Iceland, a representative of Samtökin ‘78, the National Queer Association of Iceland, a sexologist appointed by the University Level Collaboration Committee, an ethicist appointed by University of Iceland’s Center for Ethics and two lawyers, one with expert knowledge of children’s rights issues and the other with expert knowledge of human rights, appointed without nomination, as well as a chairperson, appointed without nomination.” </w:t>
      </w:r>
      <w:r w:rsidRPr="00DF54B6">
        <w:rPr>
          <w:lang w:val="en-GB"/>
        </w:rPr>
        <w:t>(Article 18(1-2))</w:t>
      </w:r>
    </w:p>
    <w:p w14:paraId="7301D078" w14:textId="6DDA3C30" w:rsidR="00C244D5" w:rsidRPr="00DF54B6" w:rsidRDefault="00C244D5" w:rsidP="00C244D5">
      <w:pPr>
        <w:pStyle w:val="absatzschattenbericht"/>
        <w:rPr>
          <w:lang w:val="en-GB"/>
        </w:rPr>
      </w:pPr>
      <w:r w:rsidRPr="00DF54B6">
        <w:rPr>
          <w:rFonts w:eastAsia="Baskerville-SemiBold" w:cs="Times New Roman"/>
          <w:lang w:val="en-GB"/>
        </w:rPr>
        <w:t xml:space="preserve">However, the new Law also contains several </w:t>
      </w:r>
      <w:r w:rsidR="00900769" w:rsidRPr="00900769">
        <w:rPr>
          <w:rFonts w:eastAsia="Baskerville-SemiBold" w:cs="Times New Roman"/>
          <w:b/>
          <w:bCs/>
          <w:lang w:val="en-GB"/>
        </w:rPr>
        <w:t>serious</w:t>
      </w:r>
      <w:r w:rsidR="00900769">
        <w:rPr>
          <w:rFonts w:eastAsia="Baskerville-SemiBold" w:cs="Times New Roman"/>
          <w:lang w:val="en-GB"/>
        </w:rPr>
        <w:t xml:space="preserve"> </w:t>
      </w:r>
      <w:r w:rsidRPr="00DF54B6">
        <w:rPr>
          <w:rFonts w:eastAsia="Baskerville-SemiBold" w:cs="Times New Roman"/>
          <w:b/>
          <w:bCs/>
          <w:lang w:val="en-GB"/>
        </w:rPr>
        <w:t xml:space="preserve">loopholes and shortcomings </w:t>
      </w:r>
      <w:r w:rsidRPr="00BA1679">
        <w:rPr>
          <w:rFonts w:eastAsia="Baskerville-SemiBold" w:cs="Times New Roman"/>
          <w:lang w:val="en-GB"/>
        </w:rPr>
        <w:t xml:space="preserve">which </w:t>
      </w:r>
      <w:r w:rsidR="00BA1679">
        <w:rPr>
          <w:rFonts w:eastAsia="Baskerville-SemiBold" w:cs="Times New Roman"/>
          <w:lang w:val="en-GB"/>
        </w:rPr>
        <w:t xml:space="preserve">clearly </w:t>
      </w:r>
      <w:r w:rsidRPr="00BA1679">
        <w:rPr>
          <w:rFonts w:eastAsia="Baskerville-SemiBold" w:cs="Times New Roman"/>
          <w:lang w:val="en-GB"/>
        </w:rPr>
        <w:t>make</w:t>
      </w:r>
      <w:r w:rsidRPr="00DF54B6">
        <w:rPr>
          <w:rFonts w:eastAsia="Baskerville-SemiBold" w:cs="Times New Roman"/>
          <w:b/>
          <w:bCs/>
          <w:lang w:val="en-GB"/>
        </w:rPr>
        <w:t xml:space="preserve"> </w:t>
      </w:r>
      <w:r w:rsidRPr="00BA1679">
        <w:rPr>
          <w:rFonts w:eastAsia="Baskerville-SemiBold" w:cs="Times New Roman"/>
          <w:lang w:val="en-GB"/>
        </w:rPr>
        <w:t>it</w:t>
      </w:r>
      <w:r w:rsidRPr="00DF54B6">
        <w:rPr>
          <w:rFonts w:eastAsia="Baskerville-SemiBold" w:cs="Times New Roman"/>
          <w:b/>
          <w:bCs/>
          <w:lang w:val="en-GB"/>
        </w:rPr>
        <w:t xml:space="preserve"> incompatible with </w:t>
      </w:r>
      <w:r w:rsidR="005B6657">
        <w:rPr>
          <w:rFonts w:eastAsia="Baskerville-SemiBold" w:cs="Times New Roman"/>
          <w:b/>
          <w:bCs/>
          <w:lang w:val="en-GB"/>
        </w:rPr>
        <w:t xml:space="preserve">CCPR arts. </w:t>
      </w:r>
      <w:r w:rsidR="005B6657" w:rsidRPr="00562C98">
        <w:rPr>
          <w:rFonts w:eastAsia="Baskerville-SemiBold" w:cs="Times New Roman"/>
          <w:b/>
          <w:bCs/>
          <w:lang w:val="en-GB"/>
        </w:rPr>
        <w:t>2, 3, 7, 9, 17, 24 and 26</w:t>
      </w:r>
      <w:r w:rsidR="005B6657">
        <w:rPr>
          <w:rFonts w:eastAsia="Baskerville-SemiBold" w:cs="Times New Roman"/>
          <w:lang w:val="en-GB"/>
        </w:rPr>
        <w:t>.</w:t>
      </w:r>
    </w:p>
    <w:p w14:paraId="27A77B04" w14:textId="7F4FC0EF" w:rsidR="00C244D5" w:rsidRPr="00DF54B6" w:rsidRDefault="00542C20" w:rsidP="009C4602">
      <w:pPr>
        <w:pStyle w:val="absatzschattenbericht"/>
        <w:numPr>
          <w:ilvl w:val="0"/>
          <w:numId w:val="15"/>
        </w:numPr>
        <w:shd w:val="clear" w:color="auto" w:fill="auto"/>
        <w:rPr>
          <w:rFonts w:eastAsia="Baskerville-SemiBold" w:cs="Times New Roman"/>
          <w:lang w:val="en-GB"/>
        </w:rPr>
      </w:pPr>
      <w:r>
        <w:rPr>
          <w:rFonts w:eastAsia="Baskerville-SemiBold" w:cs="Times New Roman"/>
          <w:lang w:val="en-GB"/>
        </w:rPr>
        <w:t>The Law</w:t>
      </w:r>
      <w:r w:rsidR="00C244D5" w:rsidRPr="00DF54B6">
        <w:rPr>
          <w:rFonts w:eastAsia="Baskerville-SemiBold" w:cs="Times New Roman"/>
          <w:lang w:val="en-GB"/>
        </w:rPr>
        <w:t xml:space="preserve"> </w:t>
      </w:r>
      <w:r w:rsidR="00C244D5" w:rsidRPr="00DF54B6">
        <w:rPr>
          <w:rFonts w:eastAsia="Baskerville-SemiBold" w:cs="Times New Roman"/>
          <w:b/>
          <w:bCs/>
          <w:lang w:val="en-GB"/>
        </w:rPr>
        <w:t>fails to criminalise or adequately sanction</w:t>
      </w:r>
      <w:r w:rsidR="00C244D5" w:rsidRPr="00DF54B6">
        <w:rPr>
          <w:rFonts w:eastAsia="Baskerville-SemiBold" w:cs="Times New Roman"/>
          <w:lang w:val="en-GB"/>
        </w:rPr>
        <w:t xml:space="preserve"> IGM practices. In fact, the Law contains </w:t>
      </w:r>
      <w:r w:rsidR="00C244D5" w:rsidRPr="00DF54B6">
        <w:rPr>
          <w:rFonts w:eastAsia="Baskerville-SemiBold" w:cs="Times New Roman"/>
          <w:b/>
          <w:bCs/>
          <w:lang w:val="en-GB"/>
        </w:rPr>
        <w:t>no sanctions for IGM perpetrators</w:t>
      </w:r>
      <w:r w:rsidR="00C244D5" w:rsidRPr="00DF54B6">
        <w:rPr>
          <w:rFonts w:eastAsia="Baskerville-SemiBold" w:cs="Times New Roman"/>
          <w:lang w:val="en-GB"/>
        </w:rPr>
        <w:t xml:space="preserve"> at all.</w:t>
      </w:r>
    </w:p>
    <w:p w14:paraId="5F26FFD3" w14:textId="77F05569" w:rsidR="00C244D5" w:rsidRPr="00DF54B6" w:rsidRDefault="00C244D5" w:rsidP="009C4602">
      <w:pPr>
        <w:pStyle w:val="absatzschattenbericht"/>
        <w:numPr>
          <w:ilvl w:val="0"/>
          <w:numId w:val="15"/>
        </w:numPr>
        <w:shd w:val="clear" w:color="auto" w:fill="auto"/>
        <w:rPr>
          <w:rFonts w:eastAsia="Baskerville-SemiBold" w:cs="Times New Roman"/>
          <w:lang w:val="en-GB"/>
        </w:rPr>
      </w:pPr>
      <w:r w:rsidRPr="00DF54B6">
        <w:rPr>
          <w:rFonts w:eastAsia="Baskerville-SemiBold" w:cs="Times New Roman"/>
          <w:lang w:val="en-GB"/>
        </w:rPr>
        <w:t xml:space="preserve">While the Law has to be commended for addressing the </w:t>
      </w:r>
      <w:r w:rsidRPr="00DF54B6">
        <w:rPr>
          <w:rFonts w:eastAsia="Baskerville-SemiBold" w:cs="Times New Roman"/>
          <w:b/>
          <w:bCs/>
          <w:lang w:val="en-GB"/>
        </w:rPr>
        <w:t>statutes of limitations</w:t>
      </w:r>
      <w:r w:rsidRPr="00DF54B6">
        <w:rPr>
          <w:rFonts w:eastAsia="Baskerville-SemiBold" w:cs="Times New Roman"/>
          <w:lang w:val="en-GB"/>
        </w:rPr>
        <w:t xml:space="preserve"> for claims for damages: </w:t>
      </w:r>
      <w:r w:rsidRPr="00DF54B6">
        <w:rPr>
          <w:rFonts w:eastAsia="Baskerville-SemiBold" w:cs="Times New Roman"/>
          <w:i/>
          <w:iCs/>
          <w:lang w:val="en-GB"/>
        </w:rPr>
        <w:t>“</w:t>
      </w:r>
      <w:r w:rsidRPr="00DF54B6">
        <w:rPr>
          <w:rFonts w:eastAsia="Baskerville-SemiBold" w:cs="Times New Roman"/>
          <w:b/>
          <w:bCs/>
          <w:i/>
          <w:iCs/>
          <w:lang w:val="en-GB"/>
        </w:rPr>
        <w:t>The limitation period</w:t>
      </w:r>
      <w:r w:rsidRPr="00DF54B6">
        <w:rPr>
          <w:rFonts w:eastAsia="Baskerville-SemiBold" w:cs="Times New Roman"/>
          <w:i/>
          <w:iCs/>
          <w:lang w:val="en-GB"/>
        </w:rPr>
        <w:t xml:space="preserve"> for claims for damages established due to violations of this Act where the injured party is under the age of </w:t>
      </w:r>
      <w:r w:rsidRPr="00DF54B6">
        <w:rPr>
          <w:rFonts w:eastAsia="Baskerville-SemiBold" w:cs="Times New Roman"/>
          <w:b/>
          <w:bCs/>
          <w:i/>
          <w:iCs/>
          <w:lang w:val="en-GB"/>
        </w:rPr>
        <w:t>18 shall start on the day the injured party reaches the age of 18</w:t>
      </w:r>
      <w:r w:rsidRPr="00DF54B6">
        <w:rPr>
          <w:rFonts w:eastAsia="Baskerville-SemiBold" w:cs="Times New Roman"/>
          <w:i/>
          <w:iCs/>
          <w:lang w:val="en-GB"/>
        </w:rPr>
        <w:t xml:space="preserve">.” </w:t>
      </w:r>
      <w:r w:rsidRPr="00DF54B6">
        <w:rPr>
          <w:rFonts w:eastAsia="Baskerville-SemiBold" w:cs="Times New Roman"/>
          <w:lang w:val="en-GB"/>
        </w:rPr>
        <w:t xml:space="preserve">(Article 15(3)), however, as according to the Government’s comment on the Law: </w:t>
      </w:r>
      <w:r w:rsidRPr="00DF54B6">
        <w:rPr>
          <w:rFonts w:eastAsia="Baskerville-SemiBold" w:cs="Times New Roman"/>
          <w:i/>
          <w:iCs/>
          <w:lang w:val="en-GB"/>
        </w:rPr>
        <w:t xml:space="preserve">“Limitation period for claims for bodily injury, incl. for non-pecuniary damage, is </w:t>
      </w:r>
      <w:r w:rsidRPr="00DF54B6">
        <w:rPr>
          <w:rFonts w:eastAsia="Baskerville-SemiBold" w:cs="Times New Roman"/>
          <w:b/>
          <w:bCs/>
          <w:i/>
          <w:iCs/>
          <w:lang w:val="en-GB"/>
        </w:rPr>
        <w:t>ten years</w:t>
      </w:r>
      <w:r w:rsidRPr="00DF54B6">
        <w:rPr>
          <w:rFonts w:eastAsia="Baskerville-SemiBold" w:cs="Times New Roman"/>
          <w:i/>
          <w:iCs/>
          <w:lang w:val="en-GB"/>
        </w:rPr>
        <w:t xml:space="preserve">, cf. Article 9 Act on Limitation of Claims, no. 150/2007”, </w:t>
      </w:r>
      <w:r w:rsidRPr="00DF54B6">
        <w:rPr>
          <w:rFonts w:eastAsia="Baskerville-SemiBold" w:cs="Times New Roman"/>
          <w:b/>
          <w:bCs/>
          <w:lang w:val="en-GB"/>
        </w:rPr>
        <w:t>this is still insufficient</w:t>
      </w:r>
      <w:r w:rsidRPr="00DF54B6">
        <w:rPr>
          <w:rFonts w:eastAsia="Baskerville-SemiBold" w:cs="Times New Roman"/>
          <w:lang w:val="en-GB"/>
        </w:rPr>
        <w:t xml:space="preserve">, </w:t>
      </w:r>
      <w:r w:rsidRPr="00DF54B6">
        <w:rPr>
          <w:rFonts w:cs="Times New Roman"/>
          <w:lang w:val="en-GB"/>
        </w:rPr>
        <w:t xml:space="preserve">because persons concerned often </w:t>
      </w:r>
      <w:r w:rsidRPr="00DF54B6">
        <w:rPr>
          <w:rFonts w:eastAsia="Baskerville-SemiBold" w:cs="Times New Roman"/>
          <w:b/>
          <w:bCs/>
          <w:lang w:val="en-GB"/>
        </w:rPr>
        <w:t>do not find out</w:t>
      </w:r>
      <w:r w:rsidRPr="00DF54B6">
        <w:rPr>
          <w:rFonts w:cs="Times New Roman"/>
          <w:lang w:val="en-GB"/>
        </w:rPr>
        <w:t xml:space="preserve"> about their medical history until much later in life, and </w:t>
      </w:r>
      <w:r w:rsidRPr="00DF54B6">
        <w:rPr>
          <w:rFonts w:eastAsia="Baskerville-SemiBold" w:cs="Times New Roman"/>
          <w:b/>
          <w:bCs/>
          <w:lang w:val="en-GB"/>
        </w:rPr>
        <w:t>severe trauma</w:t>
      </w:r>
      <w:r w:rsidRPr="00DF54B6">
        <w:rPr>
          <w:rFonts w:cs="Times New Roman"/>
          <w:lang w:val="en-GB"/>
        </w:rPr>
        <w:t xml:space="preserve"> caused by IGM practices often prohibits them to act in time once they do.</w:t>
      </w:r>
    </w:p>
    <w:p w14:paraId="76312468" w14:textId="36645718" w:rsidR="00C244D5" w:rsidRPr="00DF54B6" w:rsidRDefault="00C244D5" w:rsidP="009C4602">
      <w:pPr>
        <w:pStyle w:val="absatzschattenbericht"/>
        <w:numPr>
          <w:ilvl w:val="0"/>
          <w:numId w:val="15"/>
        </w:numPr>
        <w:shd w:val="clear" w:color="auto" w:fill="auto"/>
        <w:rPr>
          <w:rFonts w:eastAsia="Baskerville-SemiBold" w:cs="Times New Roman"/>
          <w:lang w:val="en-GB"/>
        </w:rPr>
      </w:pPr>
      <w:r w:rsidRPr="00DF54B6">
        <w:rPr>
          <w:rFonts w:cs="Times New Roman"/>
          <w:lang w:val="en-GB"/>
        </w:rPr>
        <w:t xml:space="preserve">The Law </w:t>
      </w:r>
      <w:r w:rsidRPr="00DF54B6">
        <w:rPr>
          <w:rFonts w:cs="Times New Roman"/>
          <w:b/>
          <w:bCs/>
          <w:lang w:val="en-GB"/>
        </w:rPr>
        <w:t>explicitly excludes IGM 1: hypospadias “repair”</w:t>
      </w:r>
      <w:r w:rsidRPr="00DF54B6">
        <w:rPr>
          <w:rFonts w:cs="Times New Roman"/>
          <w:lang w:val="en-GB"/>
        </w:rPr>
        <w:t xml:space="preserve">, the most frequent IGM practice, from prohibition (Article 11a(5)), despite that the Government in its comment on the Law openly admits that hypospadias surgery </w:t>
      </w:r>
      <w:r w:rsidRPr="00DF54B6">
        <w:rPr>
          <w:rFonts w:cs="Times New Roman"/>
          <w:b/>
          <w:bCs/>
          <w:i/>
          <w:iCs/>
          <w:lang w:val="en-GB"/>
        </w:rPr>
        <w:t>“falls under the bill’s definition</w:t>
      </w:r>
      <w:r w:rsidRPr="00DF54B6">
        <w:rPr>
          <w:rFonts w:cs="Times New Roman"/>
          <w:i/>
          <w:iCs/>
          <w:lang w:val="en-GB"/>
        </w:rPr>
        <w:t xml:space="preserve"> of atypical sex characteristics”</w:t>
      </w:r>
      <w:r w:rsidRPr="00DF54B6">
        <w:rPr>
          <w:rFonts w:cs="Times New Roman"/>
          <w:lang w:val="en-GB"/>
        </w:rPr>
        <w:t xml:space="preserve"> and is </w:t>
      </w:r>
      <w:r w:rsidRPr="00DF54B6">
        <w:rPr>
          <w:rFonts w:cs="Times New Roman"/>
          <w:b/>
          <w:bCs/>
          <w:lang w:val="en-GB"/>
        </w:rPr>
        <w:t>not medically necessary</w:t>
      </w:r>
      <w:r w:rsidRPr="00DF54B6">
        <w:rPr>
          <w:rFonts w:cs="Times New Roman"/>
          <w:lang w:val="en-GB"/>
        </w:rPr>
        <w:t xml:space="preserve"> but </w:t>
      </w:r>
      <w:r w:rsidRPr="00DF54B6">
        <w:rPr>
          <w:rFonts w:cs="Times New Roman"/>
          <w:b/>
          <w:bCs/>
          <w:i/>
          <w:iCs/>
          <w:lang w:val="en-GB"/>
        </w:rPr>
        <w:t>“performed due to social, psychosocial and appearance-related reasons</w:t>
      </w:r>
      <w:r w:rsidRPr="00DF54B6">
        <w:rPr>
          <w:rFonts w:cs="Times New Roman"/>
          <w:i/>
          <w:iCs/>
          <w:lang w:val="en-GB"/>
        </w:rPr>
        <w:t xml:space="preserve"> and accepted ideas about typical sex characteristics, i.e. the elements that the bill is intended to prevent as justification for changes in the sex characteristics of children with atypical sex characteristics”, </w:t>
      </w:r>
      <w:r w:rsidRPr="00DF54B6">
        <w:rPr>
          <w:rFonts w:cs="Times New Roman"/>
          <w:lang w:val="en-GB"/>
        </w:rPr>
        <w:t>further explicit</w:t>
      </w:r>
      <w:r w:rsidR="00B740A9">
        <w:rPr>
          <w:rFonts w:cs="Times New Roman"/>
          <w:lang w:val="en-GB"/>
        </w:rPr>
        <w:t>l</w:t>
      </w:r>
      <w:r w:rsidRPr="00DF54B6">
        <w:rPr>
          <w:rFonts w:cs="Times New Roman"/>
          <w:lang w:val="en-GB"/>
        </w:rPr>
        <w:t xml:space="preserve">y referring to </w:t>
      </w:r>
      <w:r w:rsidRPr="00DF54B6">
        <w:rPr>
          <w:rFonts w:cs="Times New Roman"/>
          <w:b/>
          <w:bCs/>
          <w:i/>
          <w:iCs/>
          <w:lang w:val="en-GB"/>
        </w:rPr>
        <w:t>“psychosocial factors (e.g. protecting children from bullying)”</w:t>
      </w:r>
      <w:r w:rsidRPr="00DF54B6">
        <w:rPr>
          <w:rFonts w:cs="Times New Roman"/>
          <w:lang w:val="en-GB"/>
        </w:rPr>
        <w:t xml:space="preserve">. However, the Government decided that hypospadias should be excluded from the Law because </w:t>
      </w:r>
      <w:r w:rsidRPr="00DF54B6">
        <w:rPr>
          <w:rFonts w:cs="Times New Roman"/>
          <w:i/>
          <w:lang w:val="en-GB"/>
        </w:rPr>
        <w:t xml:space="preserve">“views were expressed that experience of operations in this country was good and the benefits of doing them early, ie. before the age of 18 months or thereabouts” </w:t>
      </w:r>
      <w:r w:rsidRPr="00DF54B6">
        <w:rPr>
          <w:rFonts w:cs="Times New Roman"/>
          <w:iCs/>
          <w:lang w:val="en-GB"/>
        </w:rPr>
        <w:t xml:space="preserve">(indicating IGM 1 is frequently performed in Iceland), further referring to undisclosed </w:t>
      </w:r>
      <w:r w:rsidRPr="00DF54B6">
        <w:rPr>
          <w:rFonts w:cs="Times New Roman"/>
          <w:i/>
          <w:lang w:val="en-GB"/>
        </w:rPr>
        <w:t xml:space="preserve">“studies show[ing] e.g. that those who do </w:t>
      </w:r>
      <w:r w:rsidRPr="00DF54B6">
        <w:rPr>
          <w:rFonts w:cs="Times New Roman"/>
          <w:b/>
          <w:bCs/>
          <w:i/>
          <w:lang w:val="en-GB"/>
        </w:rPr>
        <w:t>not remember the operation are more likely to have a positive image of their body</w:t>
      </w:r>
      <w:r w:rsidRPr="00DF54B6">
        <w:rPr>
          <w:rFonts w:cs="Times New Roman"/>
          <w:i/>
          <w:lang w:val="en-GB"/>
        </w:rPr>
        <w:t>, compared to those who remember it”</w:t>
      </w:r>
      <w:r w:rsidRPr="00DF54B6">
        <w:rPr>
          <w:rFonts w:cs="Times New Roman"/>
          <w:iCs/>
          <w:lang w:val="en-GB"/>
        </w:rPr>
        <w:t xml:space="preserve">, i.e. the </w:t>
      </w:r>
      <w:r w:rsidRPr="00DF54B6">
        <w:rPr>
          <w:rFonts w:cs="Times New Roman"/>
          <w:b/>
          <w:bCs/>
          <w:iCs/>
          <w:lang w:val="en-GB"/>
        </w:rPr>
        <w:t>typical medical excuses</w:t>
      </w:r>
      <w:r w:rsidRPr="00DF54B6">
        <w:rPr>
          <w:rFonts w:cs="Times New Roman"/>
          <w:iCs/>
          <w:lang w:val="en-GB"/>
        </w:rPr>
        <w:t xml:space="preserve"> to justify unnecessary hypospadias surgery while deliberately </w:t>
      </w:r>
      <w:r w:rsidRPr="00DF54B6">
        <w:rPr>
          <w:rFonts w:cs="Times New Roman"/>
          <w:b/>
          <w:bCs/>
          <w:iCs/>
          <w:lang w:val="en-GB"/>
        </w:rPr>
        <w:t>ignoring the severe physical and mental pain and suffering</w:t>
      </w:r>
      <w:r w:rsidRPr="00DF54B6">
        <w:rPr>
          <w:rFonts w:cs="Times New Roman"/>
          <w:iCs/>
          <w:lang w:val="en-GB"/>
        </w:rPr>
        <w:t xml:space="preserve"> caused by the admittedly high complication and reoperation rates. </w:t>
      </w:r>
    </w:p>
    <w:p w14:paraId="564E930E" w14:textId="71F12CCC" w:rsidR="00C244D5" w:rsidRPr="00DF54B6" w:rsidRDefault="00C244D5" w:rsidP="009C4602">
      <w:pPr>
        <w:pStyle w:val="absatzschattenbericht"/>
        <w:numPr>
          <w:ilvl w:val="0"/>
          <w:numId w:val="15"/>
        </w:numPr>
        <w:shd w:val="clear" w:color="auto" w:fill="auto"/>
        <w:rPr>
          <w:rFonts w:eastAsia="Baskerville-SemiBold" w:cs="Times New Roman"/>
          <w:lang w:val="en-GB"/>
        </w:rPr>
      </w:pPr>
      <w:r w:rsidRPr="00DF54B6">
        <w:rPr>
          <w:rFonts w:cs="Times New Roman"/>
          <w:iCs/>
          <w:lang w:val="en-GB"/>
        </w:rPr>
        <w:t xml:space="preserve">The Law further </w:t>
      </w:r>
      <w:r w:rsidRPr="00DF54B6">
        <w:rPr>
          <w:rFonts w:cs="Times New Roman"/>
          <w:b/>
          <w:bCs/>
          <w:iCs/>
          <w:lang w:val="en-GB"/>
        </w:rPr>
        <w:t>explicitly excludes</w:t>
      </w:r>
      <w:r w:rsidRPr="00DF54B6">
        <w:rPr>
          <w:rFonts w:cs="Times New Roman"/>
          <w:iCs/>
          <w:lang w:val="en-GB"/>
        </w:rPr>
        <w:t xml:space="preserve"> hormonal treatments for </w:t>
      </w:r>
      <w:r w:rsidRPr="00DF54B6">
        <w:rPr>
          <w:rFonts w:cs="Times New Roman"/>
          <w:b/>
          <w:bCs/>
          <w:i/>
          <w:lang w:val="en-GB"/>
        </w:rPr>
        <w:t>“micropenis”</w:t>
      </w:r>
      <w:r w:rsidRPr="00DF54B6">
        <w:rPr>
          <w:rFonts w:cs="Times New Roman"/>
          <w:iCs/>
          <w:lang w:val="en-GB"/>
        </w:rPr>
        <w:t xml:space="preserve"> (</w:t>
      </w:r>
      <w:r w:rsidRPr="00DF54B6">
        <w:rPr>
          <w:rFonts w:cs="Times New Roman"/>
          <w:lang w:val="en-GB"/>
        </w:rPr>
        <w:t xml:space="preserve">Article 11a(5)), again explicitly referring to the </w:t>
      </w:r>
      <w:r w:rsidRPr="00DF54B6">
        <w:rPr>
          <w:rFonts w:cs="Times New Roman"/>
          <w:b/>
          <w:bCs/>
          <w:i/>
          <w:iCs/>
          <w:lang w:val="en-GB"/>
        </w:rPr>
        <w:t>“[foreseeable] negative social and psychosocial consequences</w:t>
      </w:r>
      <w:r w:rsidRPr="00DF54B6">
        <w:rPr>
          <w:rFonts w:cs="Times New Roman"/>
          <w:i/>
          <w:iCs/>
          <w:lang w:val="en-GB"/>
        </w:rPr>
        <w:t xml:space="preserve"> of insufficient penile growth”</w:t>
      </w:r>
      <w:r w:rsidRPr="00DF54B6">
        <w:rPr>
          <w:rFonts w:cs="Times New Roman"/>
          <w:lang w:val="en-GB"/>
        </w:rPr>
        <w:t xml:space="preserve"> despite admitting </w:t>
      </w:r>
      <w:r w:rsidRPr="00DF54B6">
        <w:rPr>
          <w:rFonts w:cs="Times New Roman"/>
          <w:i/>
          <w:iCs/>
          <w:lang w:val="en-GB"/>
        </w:rPr>
        <w:t>“</w:t>
      </w:r>
      <w:r w:rsidRPr="00DF54B6">
        <w:rPr>
          <w:rFonts w:cs="Times New Roman"/>
          <w:i/>
          <w:iCs/>
        </w:rPr>
        <w:t>the societal goal that a small penis does not lead to a negative quality of life could be set</w:t>
      </w:r>
      <w:r w:rsidRPr="00DF54B6">
        <w:rPr>
          <w:rFonts w:cs="Times New Roman"/>
          <w:i/>
          <w:iCs/>
          <w:lang w:val="en-GB"/>
        </w:rPr>
        <w:t>”</w:t>
      </w:r>
      <w:r w:rsidRPr="00DF54B6">
        <w:rPr>
          <w:rFonts w:cs="Times New Roman"/>
          <w:lang w:val="en-GB"/>
        </w:rPr>
        <w:t xml:space="preserve">, again </w:t>
      </w:r>
      <w:r w:rsidRPr="00DF54B6">
        <w:rPr>
          <w:rFonts w:cs="Times New Roman"/>
          <w:lang w:val="en-GB"/>
        </w:rPr>
        <w:lastRenderedPageBreak/>
        <w:t xml:space="preserve">further referring to </w:t>
      </w:r>
      <w:r w:rsidRPr="00DF54B6">
        <w:rPr>
          <w:rFonts w:cs="Times New Roman"/>
          <w:i/>
          <w:iCs/>
          <w:lang w:val="en-GB"/>
        </w:rPr>
        <w:t xml:space="preserve">“a </w:t>
      </w:r>
      <w:r w:rsidRPr="00DF54B6">
        <w:rPr>
          <w:rFonts w:cs="Times New Roman"/>
          <w:b/>
          <w:bCs/>
          <w:i/>
          <w:iCs/>
          <w:lang w:val="en-GB"/>
        </w:rPr>
        <w:t>long and positive experience of the treatment in Iceland</w:t>
      </w:r>
      <w:r w:rsidRPr="00DF54B6">
        <w:rPr>
          <w:rFonts w:cs="Times New Roman"/>
          <w:i/>
          <w:iCs/>
          <w:lang w:val="en-GB"/>
        </w:rPr>
        <w:t xml:space="preserve"> and abroad, as it has been carried out for several decades”</w:t>
      </w:r>
      <w:r w:rsidRPr="00DF54B6">
        <w:rPr>
          <w:rFonts w:cs="Times New Roman"/>
          <w:lang w:val="en-GB"/>
        </w:rPr>
        <w:t xml:space="preserve"> (again indicating frequent treatment</w:t>
      </w:r>
      <w:r w:rsidR="004E54EE">
        <w:rPr>
          <w:rFonts w:cs="Times New Roman"/>
          <w:lang w:val="en-GB"/>
        </w:rPr>
        <w:t>s</w:t>
      </w:r>
      <w:r w:rsidRPr="00DF54B6">
        <w:rPr>
          <w:rFonts w:cs="Times New Roman"/>
          <w:lang w:val="en-GB"/>
        </w:rPr>
        <w:t xml:space="preserve"> justified by psychosocial indications).</w:t>
      </w:r>
    </w:p>
    <w:p w14:paraId="7CDF0D53" w14:textId="17FA7A41" w:rsidR="00562C98" w:rsidRDefault="00C244D5" w:rsidP="00C244D5">
      <w:pPr>
        <w:pStyle w:val="absatzschattenbericht"/>
        <w:rPr>
          <w:rFonts w:eastAsia="Baskerville-SemiBold" w:cs="Times New Roman"/>
          <w:lang w:val="en-GB"/>
        </w:rPr>
      </w:pPr>
      <w:bookmarkStart w:id="93" w:name="_Toc463295416"/>
      <w:bookmarkStart w:id="94" w:name="_Toc472687700"/>
      <w:bookmarkStart w:id="95" w:name="_Toc485093577"/>
      <w:r w:rsidRPr="00DF54B6">
        <w:rPr>
          <w:rFonts w:eastAsia="Baskerville-SemiBold" w:cs="Times New Roman"/>
          <w:b/>
          <w:bCs/>
          <w:lang w:val="en-GB"/>
        </w:rPr>
        <w:t>Conclusion:</w:t>
      </w:r>
      <w:r w:rsidRPr="00DF54B6">
        <w:rPr>
          <w:rFonts w:eastAsia="Baskerville-SemiBold" w:cs="Times New Roman"/>
          <w:lang w:val="en-GB"/>
        </w:rPr>
        <w:t xml:space="preserve"> Similar to recent insufficient Laws aimed at prohibiting IGM practices in </w:t>
      </w:r>
      <w:r w:rsidR="004E54EE" w:rsidRPr="00DF54B6">
        <w:rPr>
          <w:rFonts w:eastAsia="Baskerville-SemiBold" w:cs="Times New Roman"/>
          <w:b/>
          <w:bCs/>
          <w:lang w:val="en-GB"/>
        </w:rPr>
        <w:t>Germany</w:t>
      </w:r>
      <w:r w:rsidR="004E54EE" w:rsidRPr="00DF54B6">
        <w:rPr>
          <w:rFonts w:eastAsia="Baskerville-SemiBold" w:cs="Times New Roman"/>
          <w:lang w:val="en-GB"/>
        </w:rPr>
        <w:t xml:space="preserve"> (CCPR/C/DEU/CO/7, paras 20+</w:t>
      </w:r>
      <w:r w:rsidR="004E54EE" w:rsidRPr="004E54EE">
        <w:rPr>
          <w:rFonts w:eastAsia="Baskerville-SemiBold" w:cs="Times New Roman"/>
          <w:lang w:val="en-GB"/>
        </w:rPr>
        <w:t>21</w:t>
      </w:r>
      <w:r w:rsidR="00562C98">
        <w:rPr>
          <w:rFonts w:eastAsia="Baskerville-SemiBold" w:cs="Times New Roman"/>
          <w:lang w:val="en-GB"/>
        </w:rPr>
        <w:t xml:space="preserve">; </w:t>
      </w:r>
      <w:r w:rsidR="00562C98" w:rsidRPr="00562C98">
        <w:rPr>
          <w:rFonts w:eastAsia="Baskerville-SemiBold" w:cs="Times New Roman"/>
          <w:lang w:val="en-GB"/>
        </w:rPr>
        <w:t>CRC/C/DEU/CO/5-6, para 24(c)</w:t>
      </w:r>
      <w:r w:rsidR="00562C98">
        <w:rPr>
          <w:rFonts w:eastAsia="Baskerville-SemiBold" w:cs="Times New Roman"/>
          <w:lang w:val="en-GB"/>
        </w:rPr>
        <w:t xml:space="preserve">; </w:t>
      </w:r>
      <w:r w:rsidR="00562C98" w:rsidRPr="00562C98">
        <w:rPr>
          <w:rFonts w:eastAsia="Baskerville-SemiBold" w:cs="Times New Roman"/>
          <w:lang w:val="en-GB"/>
        </w:rPr>
        <w:t>CRPD/C/DEU/CO/2-3, paras 39-40</w:t>
      </w:r>
      <w:r w:rsidR="004E54EE">
        <w:rPr>
          <w:rFonts w:eastAsia="Baskerville-SemiBold" w:cs="Times New Roman"/>
          <w:lang w:val="en-GB"/>
        </w:rPr>
        <w:t>),</w:t>
      </w:r>
      <w:r w:rsidR="00562C98">
        <w:rPr>
          <w:rFonts w:eastAsia="Baskerville-SemiBold" w:cs="Times New Roman"/>
          <w:lang w:val="en-GB"/>
        </w:rPr>
        <w:t xml:space="preserve"> </w:t>
      </w:r>
      <w:r w:rsidR="00562C98" w:rsidRPr="00DF54B6">
        <w:rPr>
          <w:rFonts w:eastAsia="Baskerville-SemiBold" w:cs="Times New Roman"/>
          <w:b/>
          <w:bCs/>
          <w:lang w:val="en-GB"/>
        </w:rPr>
        <w:t>Portugal</w:t>
      </w:r>
      <w:r w:rsidR="00562C98" w:rsidRPr="00DF54B6">
        <w:rPr>
          <w:rFonts w:eastAsia="Baskerville-SemiBold" w:cs="Times New Roman"/>
          <w:lang w:val="en-GB"/>
        </w:rPr>
        <w:t xml:space="preserve"> (CCPR/C/PRT/CO/5, paras 16-17</w:t>
      </w:r>
      <w:r w:rsidR="00562C98">
        <w:rPr>
          <w:rFonts w:eastAsia="Baskerville-SemiBold" w:cs="Times New Roman"/>
          <w:lang w:val="en-GB"/>
        </w:rPr>
        <w:t xml:space="preserve">; </w:t>
      </w:r>
      <w:r w:rsidR="00562C98" w:rsidRPr="00DF54B6">
        <w:rPr>
          <w:rFonts w:eastAsia="Baskerville-SemiBold" w:cs="Times New Roman"/>
          <w:lang w:val="en-GB"/>
        </w:rPr>
        <w:t>CRC/C/PRT/CO/5-6, para 28(b))</w:t>
      </w:r>
      <w:r w:rsidR="00562C98">
        <w:rPr>
          <w:rFonts w:eastAsia="Baskerville-SemiBold" w:cs="Times New Roman"/>
          <w:lang w:val="en-GB"/>
        </w:rPr>
        <w:t>, and</w:t>
      </w:r>
      <w:r w:rsidR="004E54EE">
        <w:rPr>
          <w:rFonts w:eastAsia="Baskerville-SemiBold" w:cs="Times New Roman"/>
          <w:lang w:val="en-GB"/>
        </w:rPr>
        <w:t xml:space="preserve"> </w:t>
      </w:r>
      <w:r w:rsidRPr="004E54EE">
        <w:rPr>
          <w:rFonts w:eastAsia="Baskerville-SemiBold" w:cs="Times New Roman"/>
          <w:b/>
          <w:bCs/>
          <w:lang w:val="en-GB"/>
        </w:rPr>
        <w:t>Malta</w:t>
      </w:r>
      <w:r w:rsidRPr="00DF54B6">
        <w:rPr>
          <w:rFonts w:eastAsia="Baskerville-SemiBold" w:cs="Times New Roman"/>
          <w:lang w:val="en-GB"/>
        </w:rPr>
        <w:t xml:space="preserve"> (CRC/C/MLT/CO/3-6, paras 28(b)+29(d)+(e)), also the </w:t>
      </w:r>
      <w:r w:rsidRPr="00DF54B6">
        <w:rPr>
          <w:rFonts w:eastAsia="Baskerville-SemiBold" w:cs="Times New Roman"/>
          <w:b/>
          <w:bCs/>
          <w:lang w:val="en-GB"/>
        </w:rPr>
        <w:t xml:space="preserve">insufficient new Icelandic Law </w:t>
      </w:r>
      <w:r w:rsidR="00AE4062">
        <w:rPr>
          <w:rFonts w:eastAsia="Baskerville-SemiBold" w:cs="Times New Roman"/>
          <w:b/>
          <w:bCs/>
          <w:lang w:val="en-GB"/>
        </w:rPr>
        <w:t>(</w:t>
      </w:r>
      <w:r w:rsidR="00AE4062" w:rsidRPr="00DF54B6">
        <w:rPr>
          <w:rFonts w:eastAsia="Baskerville-SemiBold" w:cs="Times New Roman"/>
          <w:b/>
          <w:bCs/>
          <w:lang w:val="en-GB"/>
        </w:rPr>
        <w:t>Act No. 154/2020</w:t>
      </w:r>
      <w:r w:rsidR="00AE4062">
        <w:rPr>
          <w:rFonts w:eastAsia="Baskerville-SemiBold" w:cs="Times New Roman"/>
          <w:b/>
          <w:bCs/>
          <w:lang w:val="en-GB"/>
        </w:rPr>
        <w:t xml:space="preserve">) </w:t>
      </w:r>
      <w:r w:rsidRPr="00393BAD">
        <w:rPr>
          <w:rFonts w:eastAsia="Baskerville-SemiBold" w:cs="Times New Roman"/>
          <w:lang w:val="en-GB"/>
        </w:rPr>
        <w:t>urgently needs to be</w:t>
      </w:r>
      <w:r w:rsidRPr="00DF54B6">
        <w:rPr>
          <w:rFonts w:eastAsia="Baskerville-SemiBold" w:cs="Times New Roman"/>
          <w:b/>
          <w:bCs/>
          <w:lang w:val="en-GB"/>
        </w:rPr>
        <w:t xml:space="preserve"> amended in line with</w:t>
      </w:r>
      <w:r w:rsidR="00562C98">
        <w:rPr>
          <w:rFonts w:eastAsia="Baskerville-SemiBold" w:cs="Times New Roman"/>
          <w:b/>
          <w:bCs/>
          <w:lang w:val="en-GB"/>
        </w:rPr>
        <w:t xml:space="preserve"> CCPR arts. </w:t>
      </w:r>
      <w:r w:rsidR="00562C98" w:rsidRPr="00562C98">
        <w:rPr>
          <w:rFonts w:eastAsia="Baskerville-SemiBold" w:cs="Times New Roman"/>
          <w:b/>
          <w:bCs/>
          <w:lang w:val="en-GB"/>
        </w:rPr>
        <w:t>2, 3, 7, 9, 17, 24 and 26</w:t>
      </w:r>
      <w:r w:rsidR="00562C98">
        <w:rPr>
          <w:rFonts w:eastAsia="Baskerville-SemiBold" w:cs="Times New Roman"/>
          <w:lang w:val="en-GB"/>
        </w:rPr>
        <w:t>.</w:t>
      </w:r>
    </w:p>
    <w:bookmarkEnd w:id="93"/>
    <w:bookmarkEnd w:id="94"/>
    <w:bookmarkEnd w:id="95"/>
    <w:p w14:paraId="4854D843" w14:textId="124F4A7A" w:rsidR="003F2462" w:rsidRDefault="003F2462" w:rsidP="004338B0">
      <w:pPr>
        <w:pStyle w:val="absatzschattenbericht"/>
        <w:spacing w:after="60" w:line="360" w:lineRule="auto"/>
        <w:rPr>
          <w:lang w:val="en"/>
        </w:rPr>
      </w:pPr>
    </w:p>
    <w:p w14:paraId="06E8DBDA" w14:textId="5ED576E8" w:rsidR="007D13DE" w:rsidRDefault="007D13DE" w:rsidP="007D13DE">
      <w:pPr>
        <w:pStyle w:val="Title1"/>
        <w:rPr>
          <w:lang w:val="en"/>
        </w:rPr>
      </w:pPr>
      <w:bookmarkStart w:id="96" w:name="_Toc177422580"/>
      <w:r>
        <w:rPr>
          <w:lang w:val="en"/>
        </w:rPr>
        <w:lastRenderedPageBreak/>
        <w:t>D.  Suggested Questions for the dialogue</w:t>
      </w:r>
      <w:bookmarkEnd w:id="96"/>
    </w:p>
    <w:p w14:paraId="6B55210F" w14:textId="77777777" w:rsidR="00A36A15" w:rsidRPr="00C81F32" w:rsidRDefault="00A36A15" w:rsidP="00A36A15">
      <w:pPr>
        <w:pStyle w:val="absatzschattenbericht"/>
        <w:rPr>
          <w:b/>
          <w:i/>
          <w:iCs/>
          <w:sz w:val="28"/>
          <w:szCs w:val="28"/>
          <w:lang w:val="en-GB"/>
        </w:rPr>
      </w:pPr>
    </w:p>
    <w:p w14:paraId="781E0F1C" w14:textId="28DFFB2D" w:rsidR="007D13DE" w:rsidRPr="00C81F32" w:rsidRDefault="007D13DE" w:rsidP="007D13DE">
      <w:pPr>
        <w:pStyle w:val="absatzschattenbericht"/>
        <w:rPr>
          <w:b/>
          <w:sz w:val="28"/>
          <w:szCs w:val="28"/>
          <w:lang w:val="en-GB"/>
        </w:rPr>
      </w:pPr>
      <w:r w:rsidRPr="00C81F32">
        <w:rPr>
          <w:b/>
          <w:sz w:val="28"/>
          <w:szCs w:val="28"/>
          <w:lang w:val="en-GB"/>
        </w:rPr>
        <w:t xml:space="preserve">Intersex </w:t>
      </w:r>
      <w:r w:rsidR="00AE4062" w:rsidRPr="00C81F32">
        <w:rPr>
          <w:b/>
          <w:sz w:val="28"/>
          <w:szCs w:val="28"/>
          <w:lang w:val="en-GB"/>
        </w:rPr>
        <w:t>g</w:t>
      </w:r>
      <w:r w:rsidRPr="00C81F32">
        <w:rPr>
          <w:b/>
          <w:sz w:val="28"/>
          <w:szCs w:val="28"/>
          <w:lang w:val="en-GB"/>
        </w:rPr>
        <w:t xml:space="preserve">enital </w:t>
      </w:r>
      <w:r w:rsidR="00AE4062" w:rsidRPr="00C81F32">
        <w:rPr>
          <w:b/>
          <w:sz w:val="28"/>
          <w:szCs w:val="28"/>
          <w:lang w:val="en-GB"/>
        </w:rPr>
        <w:t>m</w:t>
      </w:r>
      <w:r w:rsidRPr="00C81F32">
        <w:rPr>
          <w:b/>
          <w:sz w:val="28"/>
          <w:szCs w:val="28"/>
          <w:lang w:val="en-GB"/>
        </w:rPr>
        <w:t>utilation</w:t>
      </w:r>
    </w:p>
    <w:p w14:paraId="3436A0CE" w14:textId="77777777" w:rsidR="007D13DE" w:rsidRPr="00C81F32" w:rsidRDefault="007D13DE" w:rsidP="009C4602">
      <w:pPr>
        <w:pStyle w:val="absatzschattenbericht"/>
        <w:numPr>
          <w:ilvl w:val="0"/>
          <w:numId w:val="16"/>
        </w:numPr>
        <w:shd w:val="clear" w:color="auto" w:fill="auto"/>
        <w:rPr>
          <w:b/>
          <w:sz w:val="28"/>
          <w:szCs w:val="28"/>
          <w:lang w:val="en-GB"/>
        </w:rPr>
      </w:pPr>
      <w:r w:rsidRPr="00C81F32">
        <w:rPr>
          <w:b/>
          <w:sz w:val="28"/>
          <w:szCs w:val="28"/>
          <w:lang w:val="en-GB"/>
        </w:rPr>
        <w:t>Please provide data on irreversible medical or surgical treatment of intersex children, disaggregated by type of intervention and age at intervention, including on hypospadias “repair”.</w:t>
      </w:r>
    </w:p>
    <w:p w14:paraId="2EC3CD96" w14:textId="417CF34B" w:rsidR="007D13DE" w:rsidRPr="00C81F32" w:rsidRDefault="007D13DE" w:rsidP="009C4602">
      <w:pPr>
        <w:pStyle w:val="absatzschattenbericht"/>
        <w:numPr>
          <w:ilvl w:val="0"/>
          <w:numId w:val="16"/>
        </w:numPr>
        <w:shd w:val="clear" w:color="auto" w:fill="auto"/>
        <w:rPr>
          <w:rFonts w:eastAsia="Baskerville-SemiBold" w:cs="Times New Roman"/>
          <w:sz w:val="28"/>
          <w:szCs w:val="28"/>
          <w:lang w:val="en-GB"/>
        </w:rPr>
      </w:pPr>
      <w:r w:rsidRPr="00C81F32">
        <w:rPr>
          <w:b/>
          <w:sz w:val="28"/>
          <w:szCs w:val="28"/>
          <w:lang w:val="en-GB"/>
        </w:rPr>
        <w:t xml:space="preserve">Which criminal or civil remedies are available for intersex people who have undergone involuntary sterilising procedures or unnecessary and irreversible medical or surgical treatment when they were children, and </w:t>
      </w:r>
      <w:r w:rsidR="00AE4062" w:rsidRPr="00C81F32">
        <w:rPr>
          <w:b/>
          <w:sz w:val="28"/>
          <w:szCs w:val="28"/>
          <w:lang w:val="en-GB"/>
        </w:rPr>
        <w:t>are</w:t>
      </w:r>
      <w:r w:rsidRPr="00C81F32">
        <w:rPr>
          <w:b/>
          <w:sz w:val="28"/>
          <w:szCs w:val="28"/>
          <w:lang w:val="en-GB"/>
        </w:rPr>
        <w:t xml:space="preserve"> these remedies subject to any statute of limitations?</w:t>
      </w:r>
    </w:p>
    <w:p w14:paraId="718E598D" w14:textId="0DEF619B" w:rsidR="00AE4062" w:rsidRPr="00C81F32" w:rsidRDefault="00AE4062" w:rsidP="009C4602">
      <w:pPr>
        <w:pStyle w:val="absatzschattenbericht"/>
        <w:numPr>
          <w:ilvl w:val="0"/>
          <w:numId w:val="16"/>
        </w:numPr>
        <w:shd w:val="clear" w:color="auto" w:fill="auto"/>
        <w:rPr>
          <w:rFonts w:eastAsia="Baskerville-SemiBold" w:cs="Times New Roman"/>
          <w:sz w:val="28"/>
          <w:szCs w:val="28"/>
          <w:lang w:val="en-GB"/>
        </w:rPr>
      </w:pPr>
      <w:r w:rsidRPr="00C81F32">
        <w:rPr>
          <w:b/>
          <w:sz w:val="28"/>
          <w:szCs w:val="28"/>
          <w:lang w:val="en-GB"/>
        </w:rPr>
        <w:t xml:space="preserve">Please provide an update on the progress of the working group convened to review </w:t>
      </w:r>
      <w:r w:rsidR="00A36A15" w:rsidRPr="00C81F32">
        <w:rPr>
          <w:rFonts w:eastAsia="Baskerville-SemiBold" w:cs="Times New Roman"/>
          <w:b/>
          <w:bCs/>
          <w:sz w:val="28"/>
          <w:szCs w:val="28"/>
          <w:lang w:val="en-GB"/>
        </w:rPr>
        <w:t>Act No. 154/2020 amending the Act on Gender Autonomy No. 80/2019</w:t>
      </w:r>
      <w:r w:rsidRPr="00C81F32">
        <w:rPr>
          <w:b/>
          <w:sz w:val="28"/>
          <w:szCs w:val="28"/>
          <w:lang w:val="en-GB"/>
        </w:rPr>
        <w:t>, in particular Article 11a(5).</w:t>
      </w:r>
    </w:p>
    <w:p w14:paraId="72778CE3" w14:textId="0E829054" w:rsidR="007D13DE" w:rsidRDefault="007D13DE" w:rsidP="004338B0">
      <w:pPr>
        <w:pStyle w:val="absatzschattenbericht"/>
        <w:spacing w:after="60" w:line="360" w:lineRule="auto"/>
        <w:rPr>
          <w:lang w:val="en"/>
        </w:rPr>
      </w:pPr>
    </w:p>
    <w:p w14:paraId="41E7B0EB" w14:textId="707B0F5E" w:rsidR="00AE4062" w:rsidRDefault="00AE4062" w:rsidP="004338B0">
      <w:pPr>
        <w:pStyle w:val="absatzschattenbericht"/>
        <w:spacing w:after="60" w:line="360" w:lineRule="auto"/>
        <w:rPr>
          <w:lang w:val="en"/>
        </w:rPr>
      </w:pPr>
    </w:p>
    <w:p w14:paraId="3C098DD9" w14:textId="55938BAE" w:rsidR="00AE4062" w:rsidRDefault="00AE4062" w:rsidP="004338B0">
      <w:pPr>
        <w:pStyle w:val="absatzschattenbericht"/>
        <w:spacing w:after="60" w:line="360" w:lineRule="auto"/>
        <w:rPr>
          <w:lang w:val="en"/>
        </w:rPr>
      </w:pPr>
    </w:p>
    <w:p w14:paraId="1702706B" w14:textId="50ED8C3D" w:rsidR="00AE4062" w:rsidRDefault="00AE4062" w:rsidP="00AE4062">
      <w:pPr>
        <w:pStyle w:val="Title1"/>
        <w:rPr>
          <w:lang w:val="en"/>
        </w:rPr>
      </w:pPr>
      <w:bookmarkStart w:id="97" w:name="_Toc177422581"/>
      <w:r>
        <w:rPr>
          <w:lang w:val="en"/>
        </w:rPr>
        <w:lastRenderedPageBreak/>
        <w:t>E.  Suggested Recommendations</w:t>
      </w:r>
      <w:bookmarkEnd w:id="97"/>
    </w:p>
    <w:p w14:paraId="167FBE2B" w14:textId="4AA04D0A" w:rsidR="00AE4062" w:rsidRDefault="00AE4062" w:rsidP="00AE4062">
      <w:pPr>
        <w:pStyle w:val="absatzschattenbericht"/>
        <w:rPr>
          <w:i/>
          <w:iCs/>
          <w:sz w:val="26"/>
          <w:szCs w:val="26"/>
          <w:lang w:val="en-GB"/>
        </w:rPr>
      </w:pPr>
      <w:r w:rsidRPr="00AE4062">
        <w:rPr>
          <w:i/>
          <w:iCs/>
          <w:sz w:val="26"/>
          <w:szCs w:val="26"/>
          <w:lang w:val="en-GB"/>
        </w:rPr>
        <w:t>The Rapporteurs respectfully suggest that, with respect to the treatment of intersex persons in Iceland, the Committee includes the following measures in their recommendations to the Icelandic Government (in line with this Committee’s previous recommendations on IGM practices).</w:t>
      </w:r>
    </w:p>
    <w:p w14:paraId="02B862CF" w14:textId="77777777" w:rsidR="00A36A15" w:rsidRPr="00AE4062" w:rsidRDefault="00A36A15" w:rsidP="00AE4062">
      <w:pPr>
        <w:pStyle w:val="absatzschattenbericht"/>
        <w:rPr>
          <w:b/>
          <w:i/>
          <w:iCs/>
          <w:sz w:val="26"/>
          <w:szCs w:val="26"/>
          <w:lang w:val="en-GB"/>
        </w:rPr>
      </w:pPr>
    </w:p>
    <w:p w14:paraId="0A4E892F" w14:textId="77777777" w:rsidR="00AE4062" w:rsidRPr="009A43AF" w:rsidRDefault="00AE4062" w:rsidP="00AE4062">
      <w:pPr>
        <w:pStyle w:val="absatzschattenbericht"/>
        <w:rPr>
          <w:rFonts w:cs="Times New Roman"/>
          <w:b/>
          <w:bCs/>
          <w:sz w:val="28"/>
          <w:szCs w:val="28"/>
          <w:lang w:val="en-GB"/>
        </w:rPr>
      </w:pPr>
      <w:r w:rsidRPr="009A43AF">
        <w:rPr>
          <w:rFonts w:cs="Times New Roman"/>
          <w:b/>
          <w:bCs/>
          <w:sz w:val="28"/>
          <w:szCs w:val="28"/>
          <w:lang w:val="en-GB"/>
        </w:rPr>
        <w:t>Intersex genital mutilation</w:t>
      </w:r>
    </w:p>
    <w:p w14:paraId="01F175B1" w14:textId="49BDC665" w:rsidR="00AE4062" w:rsidRPr="009A43AF" w:rsidRDefault="00AE4062" w:rsidP="00AE4062">
      <w:pPr>
        <w:pStyle w:val="absatzschattenbericht"/>
        <w:rPr>
          <w:rFonts w:cs="Times New Roman"/>
          <w:sz w:val="28"/>
          <w:szCs w:val="28"/>
          <w:lang w:val="en-GB"/>
        </w:rPr>
      </w:pPr>
      <w:r w:rsidRPr="009A43AF">
        <w:rPr>
          <w:rFonts w:cs="Times New Roman"/>
          <w:sz w:val="28"/>
          <w:szCs w:val="28"/>
          <w:lang w:val="en-GB"/>
        </w:rPr>
        <w:t xml:space="preserve">The Committee </w:t>
      </w:r>
      <w:r>
        <w:rPr>
          <w:rFonts w:cs="Times New Roman"/>
          <w:sz w:val="28"/>
          <w:szCs w:val="28"/>
          <w:lang w:val="en-GB"/>
        </w:rPr>
        <w:t xml:space="preserve">welcomes the passing of </w:t>
      </w:r>
      <w:r w:rsidRPr="00AE4062">
        <w:rPr>
          <w:rFonts w:cs="Times New Roman"/>
          <w:sz w:val="28"/>
          <w:szCs w:val="28"/>
          <w:lang w:val="en-GB"/>
        </w:rPr>
        <w:t>Act No. 154/2020</w:t>
      </w:r>
      <w:r>
        <w:rPr>
          <w:rFonts w:cs="Times New Roman"/>
          <w:sz w:val="28"/>
          <w:szCs w:val="28"/>
          <w:lang w:val="en-GB"/>
        </w:rPr>
        <w:t xml:space="preserve">. It </w:t>
      </w:r>
      <w:r w:rsidRPr="009A43AF">
        <w:rPr>
          <w:rFonts w:cs="Times New Roman"/>
          <w:sz w:val="28"/>
          <w:szCs w:val="28"/>
          <w:lang w:val="en-GB"/>
        </w:rPr>
        <w:t>remains concerned</w:t>
      </w:r>
      <w:r>
        <w:rPr>
          <w:rFonts w:cs="Times New Roman"/>
          <w:sz w:val="28"/>
          <w:szCs w:val="28"/>
          <w:lang w:val="en-GB"/>
        </w:rPr>
        <w:t>, however,</w:t>
      </w:r>
      <w:r w:rsidRPr="009A43AF">
        <w:rPr>
          <w:rFonts w:cs="Times New Roman"/>
          <w:sz w:val="28"/>
          <w:szCs w:val="28"/>
          <w:lang w:val="en-GB"/>
        </w:rPr>
        <w:t xml:space="preserve"> about reports of </w:t>
      </w:r>
      <w:r w:rsidRPr="009A43AF">
        <w:rPr>
          <w:bCs/>
          <w:sz w:val="28"/>
          <w:szCs w:val="28"/>
          <w:lang w:val="en-GB"/>
        </w:rPr>
        <w:t>non-urgent surgical and other medical treatmen</w:t>
      </w:r>
      <w:r w:rsidRPr="009A43AF">
        <w:rPr>
          <w:rFonts w:cs="Times New Roman"/>
          <w:sz w:val="28"/>
          <w:szCs w:val="28"/>
          <w:lang w:val="en-GB"/>
        </w:rPr>
        <w:t xml:space="preserve">t on intersex children without their informed consent, which can cause severe suffering, and the lack of redress and compensation in such cases </w:t>
      </w:r>
      <w:r w:rsidRPr="009A43AF">
        <w:rPr>
          <w:bCs/>
          <w:sz w:val="28"/>
          <w:szCs w:val="28"/>
          <w:lang w:val="en-GB"/>
        </w:rPr>
        <w:t>(arts. 2, 3, 7, 17, 24 and 26).</w:t>
      </w:r>
    </w:p>
    <w:p w14:paraId="273CC1D2" w14:textId="77777777" w:rsidR="00AE4062" w:rsidRPr="009A43AF" w:rsidRDefault="00AE4062" w:rsidP="00AE4062">
      <w:pPr>
        <w:pStyle w:val="absatzschattenbericht"/>
        <w:rPr>
          <w:b/>
          <w:sz w:val="28"/>
          <w:szCs w:val="28"/>
          <w:lang w:val="en-GB"/>
        </w:rPr>
      </w:pPr>
      <w:r w:rsidRPr="009A43AF">
        <w:rPr>
          <w:b/>
          <w:sz w:val="28"/>
          <w:szCs w:val="28"/>
          <w:lang w:val="en-GB"/>
        </w:rPr>
        <w:t>The State party should:</w:t>
      </w:r>
    </w:p>
    <w:p w14:paraId="60E469CF" w14:textId="354075DD" w:rsidR="00AE4062" w:rsidRPr="009A43AF" w:rsidRDefault="00A36A15" w:rsidP="009C4602">
      <w:pPr>
        <w:pStyle w:val="absatzschattenbericht"/>
        <w:numPr>
          <w:ilvl w:val="0"/>
          <w:numId w:val="17"/>
        </w:numPr>
        <w:rPr>
          <w:b/>
          <w:sz w:val="28"/>
          <w:szCs w:val="28"/>
          <w:lang w:val="en-GB"/>
        </w:rPr>
      </w:pPr>
      <w:r w:rsidRPr="00A36A15">
        <w:rPr>
          <w:b/>
          <w:sz w:val="28"/>
          <w:szCs w:val="28"/>
          <w:lang w:val="en-GB"/>
        </w:rPr>
        <w:t>Strengthen the measures to prohibit the performance of unnecessary medical or surgical treatment on intersex children where those procedures may be safely deferred until children are able to provide their informed consent, and provide reparations for intersex persons who received unnecessary treatment, including by abolishing the statute of limitations. This should include the consideration of amendments to the Act No. 154/2020 amending the Act on Gender Autonomy No. 80/2019</w:t>
      </w:r>
      <w:r>
        <w:rPr>
          <w:b/>
          <w:sz w:val="28"/>
          <w:szCs w:val="28"/>
          <w:lang w:val="en-GB"/>
        </w:rPr>
        <w:t>, including deleting Article 11a(5)</w:t>
      </w:r>
      <w:r w:rsidR="00AE4062" w:rsidRPr="009A43AF">
        <w:rPr>
          <w:b/>
          <w:sz w:val="28"/>
          <w:szCs w:val="28"/>
          <w:lang w:val="en-GB"/>
        </w:rPr>
        <w:t>;</w:t>
      </w:r>
    </w:p>
    <w:p w14:paraId="35BC16D9" w14:textId="3351EC32" w:rsidR="00AE4062" w:rsidRDefault="00A36A15" w:rsidP="009C4602">
      <w:pPr>
        <w:pStyle w:val="absatzschattenbericht"/>
        <w:numPr>
          <w:ilvl w:val="0"/>
          <w:numId w:val="17"/>
        </w:numPr>
        <w:rPr>
          <w:b/>
          <w:sz w:val="28"/>
          <w:szCs w:val="28"/>
          <w:lang w:val="en-GB"/>
        </w:rPr>
      </w:pPr>
      <w:r>
        <w:rPr>
          <w:b/>
          <w:sz w:val="28"/>
          <w:szCs w:val="28"/>
          <w:lang w:val="en-GB"/>
        </w:rPr>
        <w:t>P</w:t>
      </w:r>
      <w:r w:rsidR="00AE4062" w:rsidRPr="009A43AF">
        <w:rPr>
          <w:b/>
          <w:sz w:val="28"/>
          <w:szCs w:val="28"/>
          <w:lang w:val="en-GB"/>
        </w:rPr>
        <w:t>rovide families with intersex children with adequate counselling and community-based psychosocial and peer support;</w:t>
      </w:r>
    </w:p>
    <w:p w14:paraId="6104CFEE" w14:textId="68DF1281" w:rsidR="00A36A15" w:rsidRPr="009A43AF" w:rsidRDefault="00A36A15" w:rsidP="009C4602">
      <w:pPr>
        <w:pStyle w:val="absatzschattenbericht"/>
        <w:numPr>
          <w:ilvl w:val="0"/>
          <w:numId w:val="17"/>
        </w:numPr>
        <w:rPr>
          <w:b/>
          <w:sz w:val="28"/>
          <w:szCs w:val="28"/>
          <w:lang w:val="en-GB"/>
        </w:rPr>
      </w:pPr>
      <w:r w:rsidRPr="00A36A15">
        <w:rPr>
          <w:b/>
          <w:sz w:val="28"/>
          <w:szCs w:val="28"/>
          <w:lang w:val="en-GB"/>
        </w:rPr>
        <w:t>Provide adequate health care and psychosocial support to intersex persons who have been subjected to intersex genital mutilation</w:t>
      </w:r>
    </w:p>
    <w:p w14:paraId="0BC544D9" w14:textId="7842FBE0" w:rsidR="00AE4062" w:rsidRDefault="00A36A15" w:rsidP="009C4602">
      <w:pPr>
        <w:pStyle w:val="absatzschattenbericht"/>
        <w:numPr>
          <w:ilvl w:val="0"/>
          <w:numId w:val="17"/>
        </w:numPr>
        <w:rPr>
          <w:b/>
          <w:sz w:val="28"/>
          <w:szCs w:val="28"/>
          <w:lang w:val="en-GB"/>
        </w:rPr>
      </w:pPr>
      <w:r>
        <w:rPr>
          <w:b/>
          <w:sz w:val="28"/>
          <w:szCs w:val="28"/>
          <w:lang w:val="en-GB"/>
        </w:rPr>
        <w:t>S</w:t>
      </w:r>
      <w:r w:rsidR="00AE4062" w:rsidRPr="009A43AF">
        <w:rPr>
          <w:b/>
          <w:sz w:val="28"/>
          <w:szCs w:val="28"/>
          <w:lang w:val="en-GB"/>
        </w:rPr>
        <w:t>ystematically collect</w:t>
      </w:r>
      <w:r w:rsidR="00AE4062">
        <w:rPr>
          <w:b/>
          <w:sz w:val="28"/>
          <w:szCs w:val="28"/>
          <w:lang w:val="en-GB"/>
        </w:rPr>
        <w:t xml:space="preserve"> and disseminate</w:t>
      </w:r>
      <w:r w:rsidR="00AE4062" w:rsidRPr="009A43AF">
        <w:rPr>
          <w:b/>
          <w:sz w:val="28"/>
          <w:szCs w:val="28"/>
          <w:lang w:val="en-GB"/>
        </w:rPr>
        <w:t xml:space="preserve"> disaggregated data on surgical and other medical treatment on intersex children.</w:t>
      </w:r>
    </w:p>
    <w:p w14:paraId="0E3E6251" w14:textId="77777777" w:rsidR="00AE4062" w:rsidRPr="004338B0" w:rsidRDefault="00AE4062" w:rsidP="004338B0">
      <w:pPr>
        <w:pStyle w:val="absatzschattenbericht"/>
        <w:spacing w:after="60" w:line="360" w:lineRule="auto"/>
        <w:rPr>
          <w:lang w:val="en"/>
        </w:rPr>
      </w:pPr>
    </w:p>
    <w:sectPr w:rsidR="00AE4062" w:rsidRPr="004338B0" w:rsidSect="007018B7">
      <w:headerReference w:type="even" r:id="rId13"/>
      <w:headerReference w:type="default" r:id="rId14"/>
      <w:footerReference w:type="even" r:id="rId15"/>
      <w:footerReference w:type="default" r:id="rId16"/>
      <w:headerReference w:type="first" r:id="rId17"/>
      <w:footerReference w:type="first" r:id="rId18"/>
      <w:pgSz w:w="11906" w:h="16838"/>
      <w:pgMar w:top="1134" w:right="1134" w:bottom="1134" w:left="1134" w:header="720" w:footer="62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EB6104" w14:textId="77777777" w:rsidR="00011BB0" w:rsidRDefault="00011BB0">
      <w:r>
        <w:separator/>
      </w:r>
    </w:p>
  </w:endnote>
  <w:endnote w:type="continuationSeparator" w:id="0">
    <w:p w14:paraId="6768F043" w14:textId="77777777" w:rsidR="00011BB0" w:rsidRDefault="00011B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1"/>
    <w:family w:val="roman"/>
    <w:pitch w:val="variable"/>
    <w:sig w:usb0="0000A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Baskerville">
    <w:altName w:val="Baskerville"/>
    <w:panose1 w:val="02020502070401020303"/>
    <w:charset w:val="00"/>
    <w:family w:val="roman"/>
    <w:pitch w:val="variable"/>
    <w:sig w:usb0="80000067" w:usb1="02000000" w:usb2="00000000" w:usb3="00000000" w:csb0="0000019F" w:csb1="00000000"/>
  </w:font>
  <w:font w:name="Baskerville-Bold">
    <w:panose1 w:val="02020802070401020303"/>
    <w:charset w:val="00"/>
    <w:family w:val="roman"/>
    <w:pitch w:val="variable"/>
    <w:sig w:usb0="00000001" w:usb1="02000000" w:usb2="00000000" w:usb3="00000000" w:csb0="0000019F" w:csb1="00000000"/>
  </w:font>
  <w:font w:name="OpenSymbol">
    <w:altName w:val="Arial Unicode MS"/>
    <w:panose1 w:val="020B0604020202020204"/>
    <w:charset w:val="80"/>
    <w:family w:val="auto"/>
    <w:pitch w:val="default"/>
  </w:font>
  <w:font w:name="Baskerville-SemiBold">
    <w:altName w:val="Cambria Math"/>
    <w:panose1 w:val="02020702070400020203"/>
    <w:charset w:val="00"/>
    <w:family w:val="auto"/>
    <w:pitch w:val="default"/>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inionPro-Regular">
    <w:altName w:val="MS Mincho"/>
    <w:panose1 w:val="020B0604020202020204"/>
    <w:charset w:val="80"/>
    <w:family w:val="auto"/>
    <w:pitch w:val="default"/>
  </w:font>
  <w:font w:name="Helvetica-Bold">
    <w:altName w:val="Yu Gothic"/>
    <w:panose1 w:val="00000000000000000000"/>
    <w:charset w:val="00"/>
    <w:family w:val="auto"/>
    <w:pitch w:val="variable"/>
    <w:sig w:usb0="E00002FF" w:usb1="5000785B" w:usb2="00000000" w:usb3="00000000" w:csb0="0000019F" w:csb1="00000000"/>
  </w:font>
  <w:font w:name="Baskerville-Italic">
    <w:altName w:val="MS Mincho"/>
    <w:panose1 w:val="02020502070401020303"/>
    <w:charset w:val="00"/>
    <w:family w:val="roman"/>
    <w:pitch w:val="variable"/>
    <w:sig w:usb0="80000067" w:usb1="02000000" w:usb2="00000000" w:usb3="00000000" w:csb0="0000019F" w:csb1="00000000"/>
  </w:font>
  <w:font w:name="Arial-BoldMT">
    <w:altName w:val="MS Mincho"/>
    <w:panose1 w:val="020B0604020202020204"/>
    <w:charset w:val="80"/>
    <w:family w:val="swiss"/>
    <w:pitch w:val="default"/>
  </w:font>
  <w:font w:name="Times">
    <w:panose1 w:val="00000500000000020000"/>
    <w:charset w:val="00"/>
    <w:family w:val="auto"/>
    <w:pitch w:val="variable"/>
    <w:sig w:usb0="E00002FF" w:usb1="5000205A"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ColossalisBold">
    <w:altName w:val="MS Mincho"/>
    <w:panose1 w:val="020B0604020202020204"/>
    <w:charset w:val="80"/>
    <w:family w:val="auto"/>
    <w:pitch w:val="default"/>
  </w:font>
  <w:font w:name="ArialMT">
    <w:altName w:val="Arial Unicode MS"/>
    <w:panose1 w:val="020B0604020202020204"/>
    <w:charset w:val="80"/>
    <w:family w:val="swiss"/>
    <w:pitch w:val="default"/>
    <w:sig w:usb0="00000003" w:usb1="00000000" w:usb2="00000000" w:usb3="00000000" w:csb0="00000001" w:csb1="00000000"/>
  </w:font>
  <w:font w:name="Baskerville-SemiBoldItalic">
    <w:panose1 w:val="02020702070400090203"/>
    <w:charset w:val="00"/>
    <w:family w:val="roman"/>
    <w:pitch w:val="variable"/>
    <w:sig w:usb0="80000067" w:usb1="02000040"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E8E5F2" w14:textId="77777777" w:rsidR="00AE4062" w:rsidRDefault="00AE4062">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996F68" w14:textId="77777777" w:rsidR="00AE4062" w:rsidRPr="007018B7" w:rsidRDefault="00AE4062" w:rsidP="007018B7">
    <w:pPr>
      <w:pStyle w:val="Fuzeile"/>
      <w:jc w:val="center"/>
      <w:rPr>
        <w:b/>
      </w:rPr>
    </w:pPr>
    <w:r w:rsidRPr="007018B7">
      <w:rPr>
        <w:b/>
      </w:rPr>
      <w:fldChar w:fldCharType="begin"/>
    </w:r>
    <w:r>
      <w:rPr>
        <w:b/>
      </w:rPr>
      <w:instrText>PAGE</w:instrText>
    </w:r>
    <w:r w:rsidRPr="007018B7">
      <w:rPr>
        <w:b/>
      </w:rPr>
      <w:instrText xml:space="preserve">   \* MERGEFORMAT</w:instrText>
    </w:r>
    <w:r w:rsidRPr="007018B7">
      <w:rPr>
        <w:b/>
      </w:rPr>
      <w:fldChar w:fldCharType="separate"/>
    </w:r>
    <w:r w:rsidRPr="000815B5">
      <w:rPr>
        <w:b/>
        <w:noProof/>
        <w:lang w:val="de-DE"/>
      </w:rPr>
      <w:t>9</w:t>
    </w:r>
    <w:r w:rsidRPr="007018B7">
      <w:rPr>
        <w:b/>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8062B7" w14:textId="77777777" w:rsidR="00AE4062" w:rsidRDefault="00AE4062">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9E5129" w14:textId="77777777" w:rsidR="00011BB0" w:rsidRDefault="00011BB0">
      <w:r>
        <w:separator/>
      </w:r>
    </w:p>
  </w:footnote>
  <w:footnote w:type="continuationSeparator" w:id="0">
    <w:p w14:paraId="4AAF8818" w14:textId="77777777" w:rsidR="00011BB0" w:rsidRDefault="00011BB0">
      <w:r>
        <w:continuationSeparator/>
      </w:r>
    </w:p>
  </w:footnote>
  <w:footnote w:id="1">
    <w:p w14:paraId="5F5A1862" w14:textId="77777777" w:rsidR="00AE4062" w:rsidRPr="00017E29" w:rsidRDefault="00AE4062" w:rsidP="008D5CC2">
      <w:pPr>
        <w:pStyle w:val="fussnoteschattenbericht"/>
        <w:spacing w:line="240" w:lineRule="auto"/>
      </w:pPr>
      <w:r w:rsidRPr="00017E29">
        <w:rPr>
          <w:rStyle w:val="FootnoteSymbol"/>
        </w:rPr>
        <w:footnoteRef/>
      </w:r>
      <w:r w:rsidRPr="00017E29">
        <w:tab/>
      </w:r>
      <w:hyperlink r:id="rId1" w:history="1">
        <w:r w:rsidRPr="00017E29">
          <w:rPr>
            <w:rStyle w:val="Hyperlink"/>
            <w:rFonts w:eastAsia="Arial Unicode MS"/>
            <w:spacing w:val="0"/>
          </w:rPr>
          <w:t>https://Zwischengeschlecht.org/</w:t>
        </w:r>
      </w:hyperlink>
      <w:r w:rsidRPr="00017E29">
        <w:rPr>
          <w:rStyle w:val="Hyperlink"/>
          <w:rFonts w:eastAsia="Arial Unicode MS"/>
          <w:spacing w:val="0"/>
        </w:rPr>
        <w:t xml:space="preserve"> </w:t>
      </w:r>
      <w:r w:rsidRPr="00017E29">
        <w:t xml:space="preserve"> English homepage: </w:t>
      </w:r>
      <w:hyperlink r:id="rId2" w:history="1">
        <w:r w:rsidRPr="00017E29">
          <w:rPr>
            <w:rStyle w:val="Hyperlink"/>
            <w:rFonts w:eastAsia="Arial Unicode MS"/>
            <w:spacing w:val="0"/>
          </w:rPr>
          <w:t>https://StopIGM.org</w:t>
        </w:r>
      </w:hyperlink>
      <w:r w:rsidRPr="00017E29">
        <w:t xml:space="preserve"> </w:t>
      </w:r>
    </w:p>
  </w:footnote>
  <w:footnote w:id="2">
    <w:p w14:paraId="1E6660B0" w14:textId="77777777" w:rsidR="00AE4062" w:rsidRPr="00017E29" w:rsidRDefault="00AE4062" w:rsidP="008D5CC2">
      <w:pPr>
        <w:pStyle w:val="fussnoteschattenbericht"/>
        <w:spacing w:line="240" w:lineRule="auto"/>
      </w:pPr>
      <w:r w:rsidRPr="00017E29">
        <w:rPr>
          <w:rStyle w:val="FootnoteSymbol"/>
        </w:rPr>
        <w:footnoteRef/>
      </w:r>
      <w:r w:rsidRPr="00017E29">
        <w:tab/>
      </w:r>
      <w:hyperlink r:id="rId3" w:history="1">
        <w:r w:rsidRPr="00017E29">
          <w:rPr>
            <w:rStyle w:val="Hyperlink"/>
            <w:rFonts w:eastAsia="Arial Unicode MS"/>
            <w:spacing w:val="0"/>
          </w:rPr>
          <w:t>https://zwischengeschlecht.org/post/Statuten</w:t>
        </w:r>
      </w:hyperlink>
      <w:r w:rsidRPr="00017E29">
        <w:rPr>
          <w:rStyle w:val="Hyperlink"/>
          <w:rFonts w:eastAsia="Arial Unicode MS"/>
          <w:spacing w:val="0"/>
        </w:rPr>
        <w:t xml:space="preserve"> </w:t>
      </w:r>
    </w:p>
  </w:footnote>
  <w:footnote w:id="3">
    <w:p w14:paraId="589807CB" w14:textId="77777777" w:rsidR="00AE4062" w:rsidRPr="00017E29" w:rsidRDefault="00AE4062" w:rsidP="008D5CC2">
      <w:pPr>
        <w:pStyle w:val="fussnoteschattenbericht"/>
        <w:spacing w:line="240" w:lineRule="auto"/>
      </w:pPr>
      <w:r w:rsidRPr="00017E29">
        <w:rPr>
          <w:rStyle w:val="Funotenzeichen"/>
          <w:vertAlign w:val="baseline"/>
        </w:rPr>
        <w:footnoteRef/>
      </w:r>
      <w:r w:rsidRPr="00017E29">
        <w:rPr>
          <w:rStyle w:val="Funotenzeichen"/>
          <w:vertAlign w:val="baseline"/>
        </w:rPr>
        <w:t xml:space="preserve"> </w:t>
      </w:r>
      <w:r w:rsidRPr="00017E29">
        <w:tab/>
      </w:r>
      <w:hyperlink r:id="rId4" w:history="1">
        <w:r w:rsidRPr="00017E29">
          <w:rPr>
            <w:rStyle w:val="Hyperlink"/>
            <w:lang w:eastAsia="en-US"/>
          </w:rPr>
          <w:t>https://intersex.shadowreport.org</w:t>
        </w:r>
      </w:hyperlink>
    </w:p>
  </w:footnote>
  <w:footnote w:id="4">
    <w:p w14:paraId="5B6FD800" w14:textId="77777777" w:rsidR="00AE4062" w:rsidRPr="00017E29" w:rsidRDefault="00AE4062" w:rsidP="008D5CC2">
      <w:pPr>
        <w:pStyle w:val="fussnoteschattenbericht"/>
        <w:spacing w:line="240" w:lineRule="auto"/>
      </w:pPr>
      <w:r w:rsidRPr="00017E29">
        <w:rPr>
          <w:rStyle w:val="Funotenzeichen"/>
          <w:vertAlign w:val="baseline"/>
        </w:rPr>
        <w:footnoteRef/>
      </w:r>
      <w:r w:rsidRPr="00017E29">
        <w:rPr>
          <w:rStyle w:val="Funotenzeichen"/>
          <w:vertAlign w:val="baseline"/>
        </w:rPr>
        <w:t xml:space="preserve"> </w:t>
      </w:r>
      <w:r w:rsidRPr="00017E29">
        <w:tab/>
      </w:r>
      <w:hyperlink r:id="rId5" w:history="1">
        <w:r w:rsidRPr="00017E29">
          <w:rPr>
            <w:rStyle w:val="Hyperlink"/>
          </w:rPr>
          <w:t>https://stopigm.org/post/IAD-2016-Soon-20-UN-Reprimands-for-Intersex-Genital-Mutilations</w:t>
        </w:r>
      </w:hyperlink>
      <w:r w:rsidRPr="00017E29">
        <w:t xml:space="preserve"> </w:t>
      </w:r>
    </w:p>
  </w:footnote>
  <w:footnote w:id="5">
    <w:p w14:paraId="5CC2BE07" w14:textId="15BC3186" w:rsidR="00AE4062" w:rsidRPr="00781B24" w:rsidRDefault="00AE4062" w:rsidP="00910986">
      <w:pPr>
        <w:pStyle w:val="fussnoteschattenbericht"/>
        <w:rPr>
          <w:lang w:val="fr-CH"/>
        </w:rPr>
      </w:pPr>
      <w:r w:rsidRPr="00F01DE4">
        <w:rPr>
          <w:rStyle w:val="Funotenzeichen1"/>
          <w:vertAlign w:val="baseline"/>
        </w:rPr>
        <w:footnoteRef/>
      </w:r>
      <w:r w:rsidRPr="00781B24">
        <w:rPr>
          <w:lang w:val="fr-CH"/>
        </w:rPr>
        <w:tab/>
      </w:r>
      <w:hyperlink r:id="rId6" w:history="1">
        <w:r w:rsidRPr="00781B24">
          <w:rPr>
            <w:rStyle w:val="Hyperlink"/>
            <w:lang w:val="fr-CH"/>
          </w:rPr>
          <w:t>https://www.interfaceproject.org/kitty-anderson</w:t>
        </w:r>
      </w:hyperlink>
      <w:r>
        <w:rPr>
          <w:lang w:val="fr-CH"/>
        </w:rPr>
        <w:br/>
      </w:r>
      <w:r w:rsidRPr="00781B24">
        <w:rPr>
          <w:lang w:val="fr-CH"/>
        </w:rPr>
        <w:t xml:space="preserve">transcript: </w:t>
      </w:r>
      <w:hyperlink r:id="rId7" w:history="1">
        <w:r w:rsidRPr="00781B24">
          <w:rPr>
            <w:rStyle w:val="Hyperlink"/>
            <w:lang w:val="fr-CH"/>
          </w:rPr>
          <w:t>https://www.interfaceproject.org/transcript-kitty-anderson</w:t>
        </w:r>
      </w:hyperlink>
      <w:r w:rsidRPr="00781B24">
        <w:rPr>
          <w:lang w:val="fr-CH"/>
        </w:rPr>
        <w:t xml:space="preserve"> </w:t>
      </w:r>
    </w:p>
  </w:footnote>
  <w:footnote w:id="6">
    <w:p w14:paraId="654A24DF" w14:textId="49D6C539" w:rsidR="00AE4062" w:rsidRPr="00781B24" w:rsidRDefault="00AE4062" w:rsidP="00F01DE4">
      <w:pPr>
        <w:pStyle w:val="fussnoteschattenbericht"/>
        <w:rPr>
          <w:lang w:val="fr-CH"/>
        </w:rPr>
      </w:pPr>
      <w:r w:rsidRPr="00F01DE4">
        <w:rPr>
          <w:rStyle w:val="Funotenzeichen1"/>
          <w:vertAlign w:val="baseline"/>
        </w:rPr>
        <w:footnoteRef/>
      </w:r>
      <w:r w:rsidRPr="00781B24">
        <w:rPr>
          <w:lang w:val="fr-CH"/>
        </w:rPr>
        <w:tab/>
      </w:r>
      <w:hyperlink r:id="rId8" w:history="1">
        <w:r w:rsidRPr="00781B24">
          <w:rPr>
            <w:rStyle w:val="Hyperlink"/>
            <w:lang w:val="fr-CH"/>
          </w:rPr>
          <w:t>https://gayiceland.is/2019/will-not-put-iceland-in-the-front-when-it-comes-to-lgbti-issues/</w:t>
        </w:r>
      </w:hyperlink>
      <w:r w:rsidRPr="00781B24">
        <w:rPr>
          <w:lang w:val="fr-CH"/>
        </w:rPr>
        <w:t xml:space="preserve"> </w:t>
      </w:r>
    </w:p>
  </w:footnote>
  <w:footnote w:id="7">
    <w:p w14:paraId="644B29B9" w14:textId="047A5A2D" w:rsidR="00AE4062" w:rsidRPr="00781B24" w:rsidRDefault="00AE4062" w:rsidP="00910986">
      <w:pPr>
        <w:pStyle w:val="fussnoteschattenbericht"/>
        <w:rPr>
          <w:lang w:val="fr-CH"/>
        </w:rPr>
      </w:pPr>
      <w:r w:rsidRPr="00910986">
        <w:rPr>
          <w:rStyle w:val="Funotenzeichen1"/>
          <w:vertAlign w:val="baseline"/>
        </w:rPr>
        <w:footnoteRef/>
      </w:r>
      <w:r w:rsidRPr="00781B24">
        <w:rPr>
          <w:lang w:val="fr-CH"/>
        </w:rPr>
        <w:tab/>
      </w:r>
      <w:hyperlink r:id="rId9" w:history="1">
        <w:r w:rsidRPr="00781B24">
          <w:rPr>
            <w:rStyle w:val="Hyperlink"/>
            <w:lang w:val="fr-CH"/>
          </w:rPr>
          <w:t>https://intersex.samtokin78.is/</w:t>
        </w:r>
      </w:hyperlink>
      <w:r w:rsidRPr="00781B24">
        <w:rPr>
          <w:lang w:val="fr-CH"/>
        </w:rPr>
        <w:t xml:space="preserve"> </w:t>
      </w:r>
    </w:p>
  </w:footnote>
  <w:footnote w:id="8">
    <w:p w14:paraId="0E10EE97" w14:textId="1E2DF09C" w:rsidR="00AE4062" w:rsidRPr="00017E29" w:rsidRDefault="00AE4062" w:rsidP="000574A2">
      <w:pPr>
        <w:pStyle w:val="fussnoteschattenbericht"/>
        <w:spacing w:line="240" w:lineRule="auto"/>
      </w:pPr>
      <w:r w:rsidRPr="00B72153">
        <w:rPr>
          <w:rStyle w:val="FootnoteSymbol"/>
        </w:rPr>
        <w:footnoteRef/>
      </w:r>
      <w:r w:rsidRPr="00B72153">
        <w:tab/>
      </w:r>
      <w:hyperlink r:id="rId10" w:history="1">
        <w:r w:rsidRPr="00301E2D">
          <w:rPr>
            <w:rStyle w:val="Hyperlink"/>
          </w:rPr>
          <w:t>http://intersex.shadowreport.org/public/2020-CRC-Iceland-NGO-Zwischengeschlecht-Intersex-IGM.pdf</w:t>
        </w:r>
      </w:hyperlink>
      <w:r>
        <w:t xml:space="preserve"> </w:t>
      </w:r>
    </w:p>
  </w:footnote>
  <w:footnote w:id="9">
    <w:p w14:paraId="27E1372B" w14:textId="5170B68D" w:rsidR="00AE4062" w:rsidRPr="00017E29" w:rsidRDefault="00AE4062" w:rsidP="000574A2">
      <w:pPr>
        <w:pStyle w:val="fussnoteschattenbericht"/>
        <w:spacing w:line="240" w:lineRule="auto"/>
      </w:pPr>
      <w:r w:rsidRPr="00B72153">
        <w:rPr>
          <w:rStyle w:val="FootnoteSymbol"/>
        </w:rPr>
        <w:footnoteRef/>
      </w:r>
      <w:r w:rsidRPr="00B72153">
        <w:tab/>
      </w:r>
      <w:hyperlink r:id="rId11" w:history="1">
        <w:r w:rsidRPr="00301E2D">
          <w:rPr>
            <w:rStyle w:val="Hyperlink"/>
          </w:rPr>
          <w:t>https://intersex.shadowreport.org/public/2022-CRC-Iceland-NGO-Intersex-StopIGM.pdf</w:t>
        </w:r>
      </w:hyperlink>
      <w:r>
        <w:t xml:space="preserve"> </w:t>
      </w:r>
    </w:p>
  </w:footnote>
  <w:footnote w:id="10">
    <w:p w14:paraId="2999CCDC" w14:textId="77777777" w:rsidR="00AE4062" w:rsidRPr="005B1858" w:rsidRDefault="00AE4062" w:rsidP="003C4537">
      <w:pPr>
        <w:pStyle w:val="fussnoteschattenbericht"/>
      </w:pPr>
      <w:r w:rsidRPr="008864FD">
        <w:rPr>
          <w:rStyle w:val="Funotenzeichen"/>
          <w:vertAlign w:val="baseline"/>
        </w:rPr>
        <w:footnoteRef/>
      </w:r>
      <w:r w:rsidRPr="008864FD">
        <w:rPr>
          <w:rStyle w:val="Funotenzeichen"/>
          <w:vertAlign w:val="baseline"/>
        </w:rPr>
        <w:t xml:space="preserve"> </w:t>
      </w:r>
      <w:r>
        <w:tab/>
        <w:t xml:space="preserve">Currently we count </w:t>
      </w:r>
      <w:r>
        <w:rPr>
          <w:b/>
        </w:rPr>
        <w:t>96</w:t>
      </w:r>
      <w:r w:rsidRPr="00F43B3C">
        <w:rPr>
          <w:b/>
        </w:rPr>
        <w:t xml:space="preserve"> UN Treaty body Concluding Observations</w:t>
      </w:r>
      <w:r>
        <w:t xml:space="preserve"> explicitly condemning IGM practices as a </w:t>
      </w:r>
      <w:r w:rsidRPr="00F43B3C">
        <w:rPr>
          <w:b/>
        </w:rPr>
        <w:t>serious violation of non-derogable human rights</w:t>
      </w:r>
      <w:r>
        <w:t xml:space="preserve">, see: </w:t>
      </w:r>
      <w:r>
        <w:br/>
      </w:r>
      <w:hyperlink r:id="rId12" w:history="1">
        <w:r w:rsidRPr="00345E98">
          <w:rPr>
            <w:rStyle w:val="Hyperlink"/>
          </w:rPr>
          <w:t>http://stop.genitalmutilation.org/post/IAD-2016-Soon-20-UN-Reprimands-for-Intersex-Genital-Mutilations</w:t>
        </w:r>
      </w:hyperlink>
      <w:r>
        <w:t xml:space="preserve">  </w:t>
      </w:r>
    </w:p>
  </w:footnote>
  <w:footnote w:id="11">
    <w:p w14:paraId="466E7EC9" w14:textId="77777777" w:rsidR="00AE4062" w:rsidRDefault="00AE4062" w:rsidP="004F236E">
      <w:pPr>
        <w:pStyle w:val="fussnoteschattenbericht"/>
      </w:pPr>
      <w:r w:rsidRPr="007B1662">
        <w:footnoteRef/>
      </w:r>
      <w:r w:rsidRPr="007B1662">
        <w:tab/>
        <w:t xml:space="preserve">Statement </w:t>
      </w:r>
      <w:r>
        <w:t xml:space="preserve">supported by Iceland </w:t>
      </w:r>
      <w:r w:rsidRPr="007B1662">
        <w:t xml:space="preserve">(and </w:t>
      </w:r>
      <w:r>
        <w:t xml:space="preserve">by </w:t>
      </w:r>
      <w:r w:rsidRPr="007B1662">
        <w:t>34 other States) during the 45</w:t>
      </w:r>
      <w:r w:rsidRPr="007B1662">
        <w:rPr>
          <w:vertAlign w:val="superscript"/>
        </w:rPr>
        <w:t>th</w:t>
      </w:r>
      <w:r w:rsidRPr="007B1662">
        <w:t xml:space="preserve"> Session of the Human Rights Council on 1 October 2020, </w:t>
      </w:r>
      <w:hyperlink r:id="rId13" w:history="1">
        <w:r w:rsidRPr="007B1662">
          <w:rPr>
            <w:rStyle w:val="Hyperlink"/>
          </w:rPr>
          <w:t>https://www.dfat.gov.au/international-relations/themes/human-rights/hrc-statements/45th-session-human-rights-council/joint-statement-led-austria-rights-intersex-persons</w:t>
        </w:r>
      </w:hyperlink>
      <w:r>
        <w:t xml:space="preserve"> </w:t>
      </w:r>
    </w:p>
  </w:footnote>
  <w:footnote w:id="12">
    <w:p w14:paraId="1802B5F2" w14:textId="77777777" w:rsidR="00AE4062" w:rsidRPr="00FC7C49" w:rsidRDefault="00AE4062" w:rsidP="004F236E">
      <w:pPr>
        <w:pStyle w:val="fussnoteschattenbericht"/>
        <w:rPr>
          <w:rStyle w:val="Hyperlink"/>
        </w:rPr>
      </w:pPr>
      <w:r>
        <w:footnoteRef/>
      </w:r>
      <w:r>
        <w:tab/>
        <w:t>Statement supported by Iceland (and 52 other States) during the 48</w:t>
      </w:r>
      <w:r w:rsidRPr="00C04579">
        <w:rPr>
          <w:vertAlign w:val="superscript"/>
        </w:rPr>
        <w:t>th</w:t>
      </w:r>
      <w:r>
        <w:t xml:space="preserve"> Session of the Human Rights Council on 4 October 2021, </w:t>
      </w:r>
      <w:hyperlink r:id="rId14" w:history="1">
        <w:r w:rsidRPr="007041EF">
          <w:rPr>
            <w:rStyle w:val="Hyperlink"/>
          </w:rPr>
          <w:t>https://www.bmeia.gv.at/oev-genf/speeches/alle/2021/10/united-nations-human-rights-council-48th-session-joint-statement-on-the-human-rights-of-intersex-persons/</w:t>
        </w:r>
      </w:hyperlink>
      <w:r>
        <w:t xml:space="preserve"> </w:t>
      </w:r>
    </w:p>
  </w:footnote>
  <w:footnote w:id="13">
    <w:p w14:paraId="3B0ABEFC" w14:textId="77777777" w:rsidR="00AE4062" w:rsidRDefault="00AE4062" w:rsidP="004F236E">
      <w:pPr>
        <w:pStyle w:val="fussnoteschattenbericht"/>
      </w:pPr>
      <w:r w:rsidRPr="007B1662">
        <w:footnoteRef/>
      </w:r>
      <w:r w:rsidRPr="007B1662">
        <w:tab/>
      </w:r>
      <w:r>
        <w:t>Statement supported by Iceland (and 55 other States) during the 54</w:t>
      </w:r>
      <w:r w:rsidRPr="00C04579">
        <w:rPr>
          <w:vertAlign w:val="superscript"/>
        </w:rPr>
        <w:t>th</w:t>
      </w:r>
      <w:r>
        <w:t xml:space="preserve"> Session of the Human Rights Council on 4 October 2023</w:t>
      </w:r>
      <w:r w:rsidRPr="007B1662">
        <w:t xml:space="preserve">, </w:t>
      </w:r>
      <w:hyperlink r:id="rId15" w:history="1">
        <w:r w:rsidRPr="000B41E3">
          <w:rPr>
            <w:rStyle w:val="Hyperlink"/>
          </w:rPr>
          <w:t>https://finlandabroad.fi/web/geneve/current-affairs/-/asset_publisher/h5w4iTUJhNne/content/general-debate-item-8/384951</w:t>
        </w:r>
      </w:hyperlink>
      <w:r>
        <w:t xml:space="preserve"> </w:t>
      </w:r>
    </w:p>
  </w:footnote>
  <w:footnote w:id="14">
    <w:p w14:paraId="264D9A9F" w14:textId="77777777" w:rsidR="00AE4062" w:rsidRDefault="00AE4062" w:rsidP="004F236E">
      <w:pPr>
        <w:pStyle w:val="fussnoteschattenbericht"/>
      </w:pPr>
      <w:r w:rsidRPr="003806F6">
        <w:footnoteRef/>
      </w:r>
      <w:r w:rsidRPr="003806F6">
        <w:tab/>
      </w:r>
      <w:hyperlink r:id="rId16" w:history="1">
        <w:r w:rsidRPr="003806F6">
          <w:rPr>
            <w:rStyle w:val="Hyperlink"/>
          </w:rPr>
          <w:t>https://undocs.org/A/HRC/55/L.9</w:t>
        </w:r>
      </w:hyperlink>
    </w:p>
  </w:footnote>
  <w:footnote w:id="15">
    <w:p w14:paraId="7EACC9F6" w14:textId="77777777" w:rsidR="00AE4062" w:rsidRPr="00C153F5" w:rsidRDefault="00AE4062" w:rsidP="003C2D61">
      <w:pPr>
        <w:pStyle w:val="fussnoteschattenbericht"/>
      </w:pPr>
      <w:r w:rsidRPr="00DB0711">
        <w:rPr>
          <w:rStyle w:val="Funotenzeichen"/>
          <w:vertAlign w:val="baseline"/>
        </w:rPr>
        <w:footnoteRef/>
      </w:r>
      <w:r w:rsidRPr="00C153F5">
        <w:rPr>
          <w:rStyle w:val="FootnoteSymbol"/>
          <w:rFonts w:eastAsia="Times New Roman"/>
        </w:rPr>
        <w:tab/>
      </w:r>
      <w:r w:rsidRPr="00C153F5">
        <w:t xml:space="preserve">For general information, see 2016 CEDAW NGO Report France, p. 47. </w:t>
      </w:r>
      <w:hyperlink r:id="rId17" w:history="1">
        <w:r w:rsidRPr="001B3353">
          <w:rPr>
            <w:rStyle w:val="Hyperlink"/>
          </w:rPr>
          <w:t>https://intersex.shadowreport.org/public/2016-CEDAW-France-NGO-Zwischengeschlecht-Intersex-IGM.pdf</w:t>
        </w:r>
      </w:hyperlink>
    </w:p>
  </w:footnote>
  <w:footnote w:id="16">
    <w:p w14:paraId="45CCCDD0" w14:textId="77777777" w:rsidR="00AE4062" w:rsidRPr="00C153F5" w:rsidRDefault="00AE4062" w:rsidP="003C2D61">
      <w:pPr>
        <w:pStyle w:val="fussnoteschattenbericht"/>
      </w:pPr>
      <w:r w:rsidRPr="00DB0711">
        <w:rPr>
          <w:rStyle w:val="Funotenzeichen"/>
          <w:vertAlign w:val="baseline"/>
        </w:rPr>
        <w:footnoteRef/>
      </w:r>
      <w:r w:rsidRPr="00DB0711">
        <w:rPr>
          <w:rStyle w:val="Funotenzeichen"/>
          <w:vertAlign w:val="baseline"/>
        </w:rPr>
        <w:t xml:space="preserve"> </w:t>
      </w:r>
      <w:r w:rsidRPr="00C153F5">
        <w:tab/>
      </w:r>
      <w:hyperlink r:id="rId18" w:history="1">
        <w:r w:rsidRPr="00530BE6">
          <w:rPr>
            <w:rStyle w:val="Hyperlink"/>
          </w:rPr>
          <w:t>https://uroweb.org/guidelines/endorsement/</w:t>
        </w:r>
      </w:hyperlink>
      <w:r>
        <w:t xml:space="preserve"> </w:t>
      </w:r>
    </w:p>
  </w:footnote>
  <w:footnote w:id="17">
    <w:p w14:paraId="5D0090AF" w14:textId="77777777" w:rsidR="00AE4062" w:rsidRPr="00C153F5" w:rsidRDefault="00AE4062" w:rsidP="003C2D61">
      <w:pPr>
        <w:pStyle w:val="fussnoteschattenbericht"/>
      </w:pPr>
      <w:r w:rsidRPr="00FE7116">
        <w:rPr>
          <w:rStyle w:val="Funotenzeichen"/>
          <w:vertAlign w:val="baseline"/>
        </w:rPr>
        <w:footnoteRef/>
      </w:r>
      <w:r w:rsidRPr="00FE7116">
        <w:rPr>
          <w:rStyle w:val="Funotenzeichen"/>
          <w:vertAlign w:val="baseline"/>
        </w:rPr>
        <w:t xml:space="preserve"> </w:t>
      </w:r>
      <w:r w:rsidRPr="00FE7116">
        <w:tab/>
      </w:r>
      <w:hyperlink r:id="rId19" w:history="1">
        <w:r w:rsidRPr="00547820">
          <w:rPr>
            <w:rStyle w:val="Hyperlink"/>
            <w:sz w:val="19"/>
            <w:szCs w:val="19"/>
          </w:rPr>
          <w:t>https://d56bochluxqnz.cloudfront.net/documents/full-guideline/EAU-Guidelines-on-Paediatric-Urology-2024.pdf</w:t>
        </w:r>
      </w:hyperlink>
      <w:r>
        <w:rPr>
          <w:sz w:val="19"/>
          <w:szCs w:val="19"/>
        </w:rPr>
        <w:t xml:space="preserve"> </w:t>
      </w:r>
    </w:p>
  </w:footnote>
  <w:footnote w:id="18">
    <w:p w14:paraId="79BB6788" w14:textId="77777777" w:rsidR="00AE4062" w:rsidRPr="00B306CF" w:rsidRDefault="00AE4062" w:rsidP="003C2D61">
      <w:pPr>
        <w:pStyle w:val="fussnoteschattenbericht"/>
      </w:pPr>
      <w:r w:rsidRPr="00FE7116">
        <w:rPr>
          <w:rStyle w:val="Funotenzeichen"/>
          <w:vertAlign w:val="baseline"/>
        </w:rPr>
        <w:footnoteRef/>
      </w:r>
      <w:r w:rsidRPr="00FE7116">
        <w:rPr>
          <w:rStyle w:val="Funotenzeichen"/>
          <w:vertAlign w:val="baseline"/>
        </w:rPr>
        <w:t xml:space="preserve"> </w:t>
      </w:r>
      <w:r w:rsidRPr="00B306CF">
        <w:tab/>
        <w:t>Ibid., p. 96</w:t>
      </w:r>
    </w:p>
  </w:footnote>
  <w:footnote w:id="19">
    <w:p w14:paraId="257FC412" w14:textId="77777777" w:rsidR="00AE4062" w:rsidRPr="00C153F5" w:rsidRDefault="00AE4062" w:rsidP="003C2D61">
      <w:pPr>
        <w:pStyle w:val="fussnoteschattenbericht"/>
      </w:pPr>
      <w:r w:rsidRPr="00FE7116">
        <w:rPr>
          <w:rStyle w:val="Funotenzeichen"/>
          <w:vertAlign w:val="baseline"/>
        </w:rPr>
        <w:footnoteRef/>
      </w:r>
      <w:r w:rsidRPr="00FE7116">
        <w:rPr>
          <w:rStyle w:val="Funotenzeichen"/>
          <w:vertAlign w:val="baseline"/>
        </w:rPr>
        <w:t xml:space="preserve"> </w:t>
      </w:r>
      <w:r w:rsidRPr="00B306CF">
        <w:tab/>
        <w:t>Ibid., p. 95</w:t>
      </w:r>
    </w:p>
  </w:footnote>
  <w:footnote w:id="20">
    <w:p w14:paraId="31919D2A" w14:textId="77777777" w:rsidR="00AE4062" w:rsidRPr="00C153F5" w:rsidRDefault="00AE4062" w:rsidP="003C2D61">
      <w:pPr>
        <w:pStyle w:val="fussnoteschattenbericht"/>
        <w:rPr>
          <w:rStyle w:val="Hyperlink"/>
        </w:rPr>
      </w:pPr>
      <w:r w:rsidRPr="00FE7116">
        <w:rPr>
          <w:rStyle w:val="Funotenzeichen"/>
          <w:vertAlign w:val="baseline"/>
        </w:rPr>
        <w:footnoteRef/>
      </w:r>
      <w:r w:rsidRPr="00C153F5">
        <w:tab/>
        <w:t>P. Mouriquand, A. Caldamone, P. Malone, J.D. Frank, P. Hoebeke, “The ESPU/SPU standpoint on the surgical management of Disorders of Sex Development (DSD)”, Journal of Pediatric Urology vol. 10, no. 1 (2014), p. 8-10,</w:t>
      </w:r>
      <w:r w:rsidRPr="00C153F5">
        <w:rPr>
          <w:w w:val="99"/>
        </w:rPr>
        <w:t xml:space="preserve"> </w:t>
      </w:r>
      <w:r w:rsidRPr="00C153F5">
        <w:rPr>
          <w:rStyle w:val="Hyperlink"/>
        </w:rPr>
        <w:t>http://www.jpurol.com/article/S1477-5131(13)00313-6/pdf</w:t>
      </w:r>
    </w:p>
  </w:footnote>
  <w:footnote w:id="21">
    <w:p w14:paraId="3A298632" w14:textId="77777777" w:rsidR="00AE4062" w:rsidRPr="00C153F5" w:rsidRDefault="00AE4062" w:rsidP="003C2D61">
      <w:pPr>
        <w:pStyle w:val="fussnoteschattenbericht"/>
      </w:pPr>
      <w:r w:rsidRPr="00FE7116">
        <w:rPr>
          <w:rStyle w:val="Funotenzeichen"/>
          <w:vertAlign w:val="baseline"/>
        </w:rPr>
        <w:footnoteRef/>
      </w:r>
      <w:r w:rsidRPr="00C153F5">
        <w:rPr>
          <w:rStyle w:val="FootnoteSymbol"/>
          <w:rFonts w:eastAsia="Times New Roman"/>
        </w:rPr>
        <w:tab/>
      </w:r>
      <w:r w:rsidRPr="00C153F5">
        <w:t xml:space="preserve">For general information, see 2016 CEDAW NGO Report France, p. 48. </w:t>
      </w:r>
      <w:hyperlink r:id="rId20" w:history="1">
        <w:r w:rsidRPr="001B3353">
          <w:rPr>
            <w:rStyle w:val="Hyperlink"/>
          </w:rPr>
          <w:t>https://intersex.shadowreport.org/public/2016-CEDAW-France-NGO-Zwischengeschlecht-Intersex-IGM.pdf</w:t>
        </w:r>
      </w:hyperlink>
    </w:p>
  </w:footnote>
  <w:footnote w:id="22">
    <w:p w14:paraId="660DFD76" w14:textId="77777777" w:rsidR="00AE4062" w:rsidRPr="00C153F5" w:rsidRDefault="00AE4062" w:rsidP="003C2D61">
      <w:pPr>
        <w:pStyle w:val="fussnoteschattenbericht"/>
      </w:pPr>
      <w:r w:rsidRPr="00FE7116">
        <w:rPr>
          <w:rStyle w:val="Funotenzeichen"/>
          <w:vertAlign w:val="baseline"/>
        </w:rPr>
        <w:footnoteRef/>
      </w:r>
      <w:r w:rsidRPr="00FE7116">
        <w:rPr>
          <w:rStyle w:val="Funotenzeichen"/>
          <w:vertAlign w:val="baseline"/>
        </w:rPr>
        <w:t xml:space="preserve"> </w:t>
      </w:r>
      <w:r w:rsidRPr="00C153F5">
        <w:tab/>
      </w:r>
      <w:hyperlink r:id="rId21" w:history="1">
        <w:r w:rsidRPr="00505ABD">
          <w:rPr>
            <w:rStyle w:val="Hyperlink"/>
          </w:rPr>
          <w:t>https://uroweb.org/guidelines/endorsement/</w:t>
        </w:r>
      </w:hyperlink>
      <w:r>
        <w:t xml:space="preserve"> </w:t>
      </w:r>
    </w:p>
  </w:footnote>
  <w:footnote w:id="23">
    <w:p w14:paraId="41C174C7" w14:textId="77777777" w:rsidR="00AE4062" w:rsidRPr="00C153F5" w:rsidRDefault="00AE4062" w:rsidP="003C2D61">
      <w:pPr>
        <w:pStyle w:val="fussnoteschattenbericht"/>
      </w:pPr>
      <w:r w:rsidRPr="00FE7116">
        <w:rPr>
          <w:rStyle w:val="Funotenzeichen"/>
          <w:vertAlign w:val="baseline"/>
        </w:rPr>
        <w:footnoteRef/>
      </w:r>
      <w:r w:rsidRPr="00FE7116">
        <w:rPr>
          <w:rStyle w:val="Funotenzeichen"/>
          <w:vertAlign w:val="baseline"/>
        </w:rPr>
        <w:t xml:space="preserve"> </w:t>
      </w:r>
      <w:r w:rsidRPr="00C153F5">
        <w:tab/>
      </w:r>
      <w:hyperlink r:id="rId22" w:history="1">
        <w:r w:rsidRPr="00547820">
          <w:rPr>
            <w:rStyle w:val="Hyperlink"/>
            <w:sz w:val="19"/>
            <w:szCs w:val="19"/>
          </w:rPr>
          <w:t>https://d56bochluxqnz.cloudfront.net/documents/full-guideline/EAU-Guidelines-on-Paediatric-Urology-2024.pdf</w:t>
        </w:r>
      </w:hyperlink>
    </w:p>
  </w:footnote>
  <w:footnote w:id="24">
    <w:p w14:paraId="35A9D920" w14:textId="77777777" w:rsidR="00AE4062" w:rsidRPr="00C153F5" w:rsidRDefault="00AE4062" w:rsidP="003C2D61">
      <w:pPr>
        <w:pStyle w:val="fussnoteschattenbericht"/>
      </w:pPr>
      <w:r w:rsidRPr="00FE7116">
        <w:rPr>
          <w:rStyle w:val="Funotenzeichen"/>
          <w:vertAlign w:val="baseline"/>
        </w:rPr>
        <w:footnoteRef/>
      </w:r>
      <w:r w:rsidRPr="00FE7116">
        <w:rPr>
          <w:rStyle w:val="Funotenzeichen"/>
          <w:vertAlign w:val="baseline"/>
        </w:rPr>
        <w:t xml:space="preserve"> </w:t>
      </w:r>
      <w:r w:rsidRPr="00C153F5">
        <w:tab/>
      </w:r>
      <w:r>
        <w:t>Ibid., p. 91</w:t>
      </w:r>
    </w:p>
  </w:footnote>
  <w:footnote w:id="25">
    <w:p w14:paraId="4FFB6A81" w14:textId="77777777" w:rsidR="00AE4062" w:rsidRPr="00C153F5" w:rsidRDefault="00AE4062" w:rsidP="003C2D61">
      <w:pPr>
        <w:pStyle w:val="fussnoteschattenbericht"/>
      </w:pPr>
      <w:r w:rsidRPr="00FE7116">
        <w:rPr>
          <w:rStyle w:val="Funotenzeichen"/>
          <w:vertAlign w:val="baseline"/>
        </w:rPr>
        <w:footnoteRef/>
      </w:r>
      <w:r w:rsidRPr="00FE7116">
        <w:rPr>
          <w:rStyle w:val="Funotenzeichen"/>
          <w:vertAlign w:val="baseline"/>
        </w:rPr>
        <w:t xml:space="preserve"> </w:t>
      </w:r>
      <w:r w:rsidRPr="00C153F5">
        <w:tab/>
      </w:r>
      <w:r>
        <w:t>Ibid., p. 95</w:t>
      </w:r>
    </w:p>
  </w:footnote>
  <w:footnote w:id="26">
    <w:p w14:paraId="7B31B472" w14:textId="77777777" w:rsidR="00AE4062" w:rsidRPr="00C153F5" w:rsidRDefault="00AE4062" w:rsidP="003C2D61">
      <w:pPr>
        <w:pStyle w:val="fussnoteschattenbericht"/>
      </w:pPr>
      <w:r w:rsidRPr="00FE7116">
        <w:rPr>
          <w:rStyle w:val="Funotenzeichen"/>
          <w:vertAlign w:val="baseline"/>
        </w:rPr>
        <w:footnoteRef/>
      </w:r>
      <w:r w:rsidRPr="00FE7116">
        <w:rPr>
          <w:rStyle w:val="Funotenzeichen"/>
          <w:vertAlign w:val="baseline"/>
        </w:rPr>
        <w:t xml:space="preserve"> </w:t>
      </w:r>
      <w:r w:rsidRPr="00FE7116">
        <w:tab/>
      </w:r>
      <w:r w:rsidRPr="00C153F5">
        <w:t>Ibid.</w:t>
      </w:r>
      <w:r>
        <w:t>,</w:t>
      </w:r>
      <w:r w:rsidRPr="00C153F5">
        <w:t xml:space="preserve"> </w:t>
      </w:r>
      <w:r>
        <w:t>p. 95</w:t>
      </w:r>
    </w:p>
  </w:footnote>
  <w:footnote w:id="27">
    <w:p w14:paraId="3CE47499" w14:textId="77777777" w:rsidR="00AE4062" w:rsidRPr="00C153F5" w:rsidRDefault="00AE4062" w:rsidP="003C2D61">
      <w:pPr>
        <w:pStyle w:val="fussnoteschattenbericht"/>
      </w:pPr>
      <w:r w:rsidRPr="00FE7116">
        <w:rPr>
          <w:rStyle w:val="Funotenzeichen"/>
          <w:vertAlign w:val="baseline"/>
        </w:rPr>
        <w:footnoteRef/>
      </w:r>
      <w:r w:rsidRPr="00FE7116">
        <w:rPr>
          <w:rStyle w:val="Funotenzeichen"/>
          <w:vertAlign w:val="baseline"/>
        </w:rPr>
        <w:t xml:space="preserve"> </w:t>
      </w:r>
      <w:r w:rsidRPr="00C153F5">
        <w:tab/>
        <w:t>Ibid.</w:t>
      </w:r>
      <w:r>
        <w:t>, p. 95-96</w:t>
      </w:r>
    </w:p>
  </w:footnote>
  <w:footnote w:id="28">
    <w:p w14:paraId="2359DCBD" w14:textId="77777777" w:rsidR="00AE4062" w:rsidRPr="00C153F5" w:rsidRDefault="00AE4062" w:rsidP="003C2D61">
      <w:pPr>
        <w:pStyle w:val="fussnoteschattenbericht"/>
      </w:pPr>
      <w:r w:rsidRPr="00FE7116">
        <w:rPr>
          <w:rStyle w:val="Funotenzeichen"/>
          <w:vertAlign w:val="baseline"/>
        </w:rPr>
        <w:footnoteRef/>
      </w:r>
      <w:r w:rsidRPr="00FE7116">
        <w:rPr>
          <w:rStyle w:val="Funotenzeichen"/>
          <w:vertAlign w:val="baseline"/>
        </w:rPr>
        <w:t xml:space="preserve"> </w:t>
      </w:r>
      <w:r w:rsidRPr="00FE7116">
        <w:rPr>
          <w:rStyle w:val="Funotenzeichen"/>
          <w:vertAlign w:val="baseline"/>
        </w:rPr>
        <w:tab/>
      </w:r>
      <w:r w:rsidRPr="00C153F5">
        <w:t>Ibid.</w:t>
      </w:r>
      <w:r>
        <w:t>, p. 96</w:t>
      </w:r>
    </w:p>
  </w:footnote>
  <w:footnote w:id="29">
    <w:p w14:paraId="4975F941" w14:textId="77777777" w:rsidR="00AE4062" w:rsidRPr="00C153F5" w:rsidRDefault="00AE4062" w:rsidP="003C2D61">
      <w:pPr>
        <w:pStyle w:val="fussnoteschattenbericht"/>
      </w:pPr>
      <w:r w:rsidRPr="00FE7116">
        <w:rPr>
          <w:rStyle w:val="Funotenzeichen"/>
          <w:vertAlign w:val="baseline"/>
        </w:rPr>
        <w:footnoteRef/>
      </w:r>
      <w:r w:rsidRPr="00FE7116">
        <w:rPr>
          <w:rStyle w:val="Funotenzeichen"/>
          <w:vertAlign w:val="baseline"/>
        </w:rPr>
        <w:t xml:space="preserve"> </w:t>
      </w:r>
      <w:r w:rsidRPr="00C153F5">
        <w:tab/>
      </w:r>
      <w:hyperlink r:id="rId23" w:history="1">
        <w:r w:rsidRPr="00C153F5">
          <w:rPr>
            <w:rStyle w:val="Hyperlink"/>
          </w:rPr>
          <w:t>https://www.espu.org/images/documents/ESPU_Open_Letter_to_COE_2018-01-26.pdf</w:t>
        </w:r>
      </w:hyperlink>
      <w:r w:rsidRPr="00C153F5">
        <w:t xml:space="preserve"> </w:t>
      </w:r>
    </w:p>
  </w:footnote>
  <w:footnote w:id="30">
    <w:p w14:paraId="285F8635" w14:textId="2223C8B9" w:rsidR="00AE4062" w:rsidRPr="00D0288B" w:rsidRDefault="00AE4062" w:rsidP="004338B0">
      <w:pPr>
        <w:pStyle w:val="fussnoteschattenbericht"/>
      </w:pPr>
      <w:r w:rsidRPr="004338B0">
        <w:rPr>
          <w:rStyle w:val="Funotenzeichen"/>
          <w:vertAlign w:val="baseline"/>
        </w:rPr>
        <w:footnoteRef/>
      </w:r>
      <w:r w:rsidRPr="004338B0">
        <w:rPr>
          <w:rStyle w:val="Funotenzeichen"/>
          <w:vertAlign w:val="baseline"/>
        </w:rPr>
        <w:t xml:space="preserve"> </w:t>
      </w:r>
      <w:r w:rsidRPr="00D0288B">
        <w:tab/>
      </w:r>
      <w:r w:rsidRPr="00D0288B">
        <w:rPr>
          <w:i/>
          <w:iCs/>
        </w:rPr>
        <w:t xml:space="preserve">“Landspitali </w:t>
      </w:r>
      <w:r>
        <w:rPr>
          <w:i/>
          <w:iCs/>
        </w:rPr>
        <w:t>[…]</w:t>
      </w:r>
      <w:r w:rsidRPr="00D0288B">
        <w:rPr>
          <w:i/>
          <w:iCs/>
        </w:rPr>
        <w:t xml:space="preserve"> is funded by the Ministry of Welfare, supervised by the Directorate of Health and provides specialised and general care </w:t>
      </w:r>
      <w:r>
        <w:rPr>
          <w:i/>
          <w:iCs/>
        </w:rPr>
        <w:t>[…]</w:t>
      </w:r>
      <w:r w:rsidRPr="00D0288B">
        <w:rPr>
          <w:i/>
          <w:iCs/>
        </w:rPr>
        <w:t>”</w:t>
      </w:r>
      <w:r w:rsidRPr="00D0288B">
        <w:t xml:space="preserve">, </w:t>
      </w:r>
      <w:r w:rsidRPr="00D0288B">
        <w:br/>
      </w:r>
      <w:hyperlink r:id="rId24" w:history="1">
        <w:r w:rsidRPr="00301E2D">
          <w:rPr>
            <w:rStyle w:val="Hyperlink"/>
          </w:rPr>
          <w:t>https://www.landspitali.is/default.aspx?pageid=deac0479-05aa-11e8-90f1-005056be0005</w:t>
        </w:r>
      </w:hyperlink>
      <w:r>
        <w:t xml:space="preserve"> </w:t>
      </w:r>
    </w:p>
  </w:footnote>
  <w:footnote w:id="31">
    <w:p w14:paraId="73AC635C" w14:textId="7286CC40" w:rsidR="00AE4062" w:rsidRPr="00D0288B" w:rsidRDefault="00AE4062" w:rsidP="004338B0">
      <w:pPr>
        <w:pStyle w:val="fussnoteschattenbericht"/>
      </w:pPr>
      <w:r w:rsidRPr="004338B0">
        <w:rPr>
          <w:rStyle w:val="Funotenzeichen"/>
          <w:vertAlign w:val="baseline"/>
        </w:rPr>
        <w:footnoteRef/>
      </w:r>
      <w:r w:rsidRPr="004338B0">
        <w:rPr>
          <w:rStyle w:val="Funotenzeichen"/>
          <w:vertAlign w:val="baseline"/>
        </w:rPr>
        <w:t xml:space="preserve"> </w:t>
      </w:r>
      <w:r w:rsidRPr="00D0288B">
        <w:tab/>
      </w:r>
      <w:r w:rsidRPr="00622FEE">
        <w:rPr>
          <w:i/>
          <w:iCs/>
        </w:rPr>
        <w:t>“Neonatal screening for congenital adrenal hyperplasia begins January 1”</w:t>
      </w:r>
      <w:r>
        <w:t xml:space="preserve">, </w:t>
      </w:r>
      <w:hyperlink r:id="rId25" w:history="1">
        <w:r w:rsidRPr="00301E2D">
          <w:rPr>
            <w:rStyle w:val="Hyperlink"/>
          </w:rPr>
          <w:t>https://www.landspitali.is/um-landspitala/fjolmidlatorg/frettir/stok-frett/2017/12/29/Nyburaskimun-fyrir-medfaeddum-nyrnahettuofvexti-hefst-1.-januar/</w:t>
        </w:r>
      </w:hyperlink>
      <w:r>
        <w:t xml:space="preserve"> </w:t>
      </w:r>
    </w:p>
  </w:footnote>
  <w:footnote w:id="32">
    <w:p w14:paraId="69E0DE65" w14:textId="77777777" w:rsidR="00AE4062" w:rsidRPr="00D0288B" w:rsidRDefault="00AE4062" w:rsidP="00513510">
      <w:pPr>
        <w:pStyle w:val="fussnoteschattenbericht"/>
      </w:pPr>
      <w:r w:rsidRPr="00D0288B">
        <w:rPr>
          <w:rStyle w:val="Funotenzeichen"/>
          <w:vertAlign w:val="baseline"/>
        </w:rPr>
        <w:footnoteRef/>
      </w:r>
      <w:r w:rsidRPr="00D0288B">
        <w:rPr>
          <w:rStyle w:val="Funotenzeichen"/>
          <w:vertAlign w:val="baseline"/>
        </w:rPr>
        <w:t xml:space="preserve"> </w:t>
      </w:r>
      <w:r w:rsidRPr="00D0288B">
        <w:tab/>
      </w:r>
      <w:r w:rsidRPr="007777D1">
        <w:t xml:space="preserve">Interview with Dr Leifur Franzson, project manager for neonatal screening at Landspitali (02.01.2018), </w:t>
      </w:r>
      <w:hyperlink r:id="rId26" w:history="1">
        <w:r w:rsidRPr="00134325">
          <w:rPr>
            <w:rStyle w:val="Hyperlink"/>
          </w:rPr>
          <w:t>https://www.visir.is/g/2018180109940/audveldara-ad-greina-stulkur-en-drengi?fbclid=IwAR0-w4VLuwfSMJByTTAy5KnJNK6qpWE</w:t>
        </w:r>
      </w:hyperlink>
      <w:r>
        <w:t xml:space="preserve"> </w:t>
      </w:r>
    </w:p>
  </w:footnote>
  <w:footnote w:id="33">
    <w:p w14:paraId="72C0C179" w14:textId="77777777" w:rsidR="00AE4062" w:rsidRPr="00D0288B" w:rsidRDefault="00AE4062" w:rsidP="00513510">
      <w:pPr>
        <w:pStyle w:val="fussnoteschattenbericht"/>
      </w:pPr>
      <w:r w:rsidRPr="00D0288B">
        <w:rPr>
          <w:rStyle w:val="Funotenzeichen"/>
          <w:vertAlign w:val="baseline"/>
        </w:rPr>
        <w:footnoteRef/>
      </w:r>
      <w:r w:rsidRPr="00D0288B">
        <w:rPr>
          <w:rStyle w:val="Funotenzeichen"/>
          <w:vertAlign w:val="baseline"/>
        </w:rPr>
        <w:t xml:space="preserve"> </w:t>
      </w:r>
      <w:r w:rsidRPr="00D0288B">
        <w:tab/>
      </w:r>
      <w:r>
        <w:t>Same i</w:t>
      </w:r>
      <w:r w:rsidRPr="007777D1">
        <w:t>nterview with Dr Leifur Franzson</w:t>
      </w:r>
      <w:r>
        <w:t xml:space="preserve"> (02.01.2018),</w:t>
      </w:r>
      <w:r>
        <w:br/>
      </w:r>
      <w:hyperlink r:id="rId27" w:history="1">
        <w:r w:rsidRPr="00301E2D">
          <w:rPr>
            <w:rStyle w:val="Hyperlink"/>
          </w:rPr>
          <w:t>https://dagmamma.is/audveldara-ad-greina-stulkur-en-drengi/</w:t>
        </w:r>
      </w:hyperlink>
      <w:r>
        <w:t xml:space="preserve"> </w:t>
      </w:r>
    </w:p>
  </w:footnote>
  <w:footnote w:id="34">
    <w:p w14:paraId="5AD1118C" w14:textId="77777777" w:rsidR="00AE4062" w:rsidRPr="00C153F5" w:rsidRDefault="00AE4062" w:rsidP="003C2D61">
      <w:pPr>
        <w:pStyle w:val="fussnoteschattenbericht"/>
      </w:pPr>
      <w:r w:rsidRPr="00FE7116">
        <w:rPr>
          <w:rStyle w:val="Funotenzeichen"/>
          <w:vertAlign w:val="baseline"/>
        </w:rPr>
        <w:footnoteRef/>
      </w:r>
      <w:r w:rsidRPr="00C153F5">
        <w:rPr>
          <w:rStyle w:val="FootnoteSymbol"/>
          <w:rFonts w:eastAsia="Times New Roman"/>
        </w:rPr>
        <w:tab/>
      </w:r>
      <w:r w:rsidRPr="00C153F5">
        <w:t>For general information, see 2016 CEDAW NGO Report France, p. 48-49</w:t>
      </w:r>
      <w:r>
        <w:t>,</w:t>
      </w:r>
      <w:r w:rsidRPr="00C153F5">
        <w:t xml:space="preserve"> </w:t>
      </w:r>
      <w:hyperlink r:id="rId28" w:history="1">
        <w:r w:rsidRPr="00530BE6">
          <w:rPr>
            <w:rStyle w:val="Hyperlink"/>
          </w:rPr>
          <w:t>https://intersex.shadowreport.org/public/2016-CEDAW-France-NGO-Zwischengeschlecht-Intersex-IGM.pdf</w:t>
        </w:r>
      </w:hyperlink>
      <w:r>
        <w:t xml:space="preserve"> </w:t>
      </w:r>
    </w:p>
  </w:footnote>
  <w:footnote w:id="35">
    <w:p w14:paraId="219AFE54" w14:textId="77777777" w:rsidR="00AE4062" w:rsidRPr="00C153F5" w:rsidRDefault="00AE4062" w:rsidP="003C2D61">
      <w:pPr>
        <w:pStyle w:val="fussnoteschattenbericht"/>
      </w:pPr>
      <w:r w:rsidRPr="00FE7116">
        <w:rPr>
          <w:rStyle w:val="Funotenzeichen"/>
          <w:vertAlign w:val="baseline"/>
        </w:rPr>
        <w:footnoteRef/>
      </w:r>
      <w:r w:rsidRPr="00FE7116">
        <w:rPr>
          <w:rStyle w:val="Funotenzeichen"/>
          <w:vertAlign w:val="baseline"/>
        </w:rPr>
        <w:t xml:space="preserve"> </w:t>
      </w:r>
      <w:r w:rsidRPr="00C153F5">
        <w:tab/>
      </w:r>
      <w:hyperlink r:id="rId29" w:history="1">
        <w:r w:rsidRPr="00530BE6">
          <w:rPr>
            <w:rStyle w:val="Hyperlink"/>
          </w:rPr>
          <w:t>https://uroweb.org/guidelines/endorsement/</w:t>
        </w:r>
      </w:hyperlink>
      <w:r>
        <w:t xml:space="preserve"> </w:t>
      </w:r>
    </w:p>
  </w:footnote>
  <w:footnote w:id="36">
    <w:p w14:paraId="521BA785" w14:textId="77777777" w:rsidR="00AE4062" w:rsidRPr="00C153F5" w:rsidRDefault="00AE4062" w:rsidP="003C2D61">
      <w:pPr>
        <w:pStyle w:val="fussnoteschattenbericht"/>
      </w:pPr>
      <w:r w:rsidRPr="00FE7116">
        <w:rPr>
          <w:rStyle w:val="Funotenzeichen"/>
          <w:vertAlign w:val="baseline"/>
        </w:rPr>
        <w:footnoteRef/>
      </w:r>
      <w:r w:rsidRPr="00FE7116">
        <w:rPr>
          <w:rStyle w:val="Funotenzeichen"/>
          <w:vertAlign w:val="baseline"/>
        </w:rPr>
        <w:t xml:space="preserve"> </w:t>
      </w:r>
      <w:r w:rsidRPr="00C153F5">
        <w:tab/>
      </w:r>
      <w:hyperlink r:id="rId30" w:history="1">
        <w:r w:rsidRPr="00547820">
          <w:rPr>
            <w:rStyle w:val="Hyperlink"/>
            <w:sz w:val="19"/>
            <w:szCs w:val="19"/>
          </w:rPr>
          <w:t>https://d56bochluxqnz.cloudfront.net/documents/full-guideline/EAU-Guidelines-on-Paediatric-Urology-2024.pdf</w:t>
        </w:r>
      </w:hyperlink>
      <w:r>
        <w:rPr>
          <w:sz w:val="19"/>
          <w:szCs w:val="19"/>
        </w:rPr>
        <w:t xml:space="preserve"> </w:t>
      </w:r>
    </w:p>
  </w:footnote>
  <w:footnote w:id="37">
    <w:p w14:paraId="09F66C57" w14:textId="77777777" w:rsidR="00AE4062" w:rsidRPr="00A7399C" w:rsidRDefault="00AE4062" w:rsidP="003C2D61">
      <w:pPr>
        <w:pStyle w:val="fussnoteschattenbericht"/>
      </w:pPr>
      <w:r w:rsidRPr="00FE7116">
        <w:rPr>
          <w:rStyle w:val="Funotenzeichen"/>
          <w:vertAlign w:val="baseline"/>
        </w:rPr>
        <w:footnoteRef/>
      </w:r>
      <w:r w:rsidRPr="00FE7116">
        <w:rPr>
          <w:rStyle w:val="Funotenzeichen"/>
          <w:vertAlign w:val="baseline"/>
        </w:rPr>
        <w:t xml:space="preserve"> </w:t>
      </w:r>
      <w:r w:rsidRPr="00A7399C">
        <w:tab/>
        <w:t>Ibid., p. 2</w:t>
      </w:r>
      <w:r>
        <w:t>9</w:t>
      </w:r>
    </w:p>
  </w:footnote>
  <w:footnote w:id="38">
    <w:p w14:paraId="4DA702F9" w14:textId="77777777" w:rsidR="00AE4062" w:rsidRPr="00A7399C" w:rsidRDefault="00AE4062" w:rsidP="003C2D61">
      <w:pPr>
        <w:pStyle w:val="fussnoteschattenbericht"/>
      </w:pPr>
      <w:r w:rsidRPr="00FE7116">
        <w:rPr>
          <w:rStyle w:val="Funotenzeichen"/>
          <w:vertAlign w:val="baseline"/>
        </w:rPr>
        <w:footnoteRef/>
      </w:r>
      <w:r w:rsidRPr="00FE7116">
        <w:rPr>
          <w:rStyle w:val="Funotenzeichen"/>
          <w:vertAlign w:val="baseline"/>
        </w:rPr>
        <w:t xml:space="preserve"> </w:t>
      </w:r>
      <w:r w:rsidRPr="00A7399C">
        <w:tab/>
        <w:t xml:space="preserve">Ibid., p. </w:t>
      </w:r>
      <w:r>
        <w:t>31</w:t>
      </w:r>
    </w:p>
  </w:footnote>
  <w:footnote w:id="39">
    <w:p w14:paraId="1B29DB3B" w14:textId="77777777" w:rsidR="00AE4062" w:rsidRPr="00A7399C" w:rsidRDefault="00AE4062" w:rsidP="003C2D61">
      <w:pPr>
        <w:pStyle w:val="fussnoteschattenbericht"/>
      </w:pPr>
      <w:r w:rsidRPr="00FE7116">
        <w:rPr>
          <w:rStyle w:val="Funotenzeichen"/>
          <w:vertAlign w:val="baseline"/>
        </w:rPr>
        <w:footnoteRef/>
      </w:r>
      <w:r w:rsidRPr="00FE7116">
        <w:rPr>
          <w:rStyle w:val="Funotenzeichen"/>
          <w:vertAlign w:val="baseline"/>
        </w:rPr>
        <w:t xml:space="preserve"> </w:t>
      </w:r>
      <w:r w:rsidRPr="00A7399C">
        <w:tab/>
        <w:t xml:space="preserve">Ibid., p. </w:t>
      </w:r>
      <w:r>
        <w:t>31</w:t>
      </w:r>
    </w:p>
  </w:footnote>
  <w:footnote w:id="40">
    <w:p w14:paraId="2FCC38EE" w14:textId="77777777" w:rsidR="00AE4062" w:rsidRPr="00C153F5" w:rsidRDefault="00AE4062" w:rsidP="003C2D61">
      <w:pPr>
        <w:pStyle w:val="fussnoteschattenbericht"/>
      </w:pPr>
      <w:r w:rsidRPr="00FE7116">
        <w:rPr>
          <w:rStyle w:val="Funotenzeichen"/>
          <w:vertAlign w:val="baseline"/>
        </w:rPr>
        <w:footnoteRef/>
      </w:r>
      <w:r w:rsidRPr="00FE7116">
        <w:rPr>
          <w:rStyle w:val="Funotenzeichen"/>
          <w:vertAlign w:val="baseline"/>
        </w:rPr>
        <w:t xml:space="preserve"> </w:t>
      </w:r>
      <w:r w:rsidRPr="00A7399C">
        <w:tab/>
        <w:t xml:space="preserve">Ibid., p. </w:t>
      </w:r>
      <w:r>
        <w:t>30-31</w:t>
      </w:r>
    </w:p>
  </w:footnote>
  <w:footnote w:id="41">
    <w:p w14:paraId="1D98823B" w14:textId="6E4BFE97" w:rsidR="00AE4062" w:rsidRPr="00D0288B" w:rsidRDefault="00AE4062" w:rsidP="004338B0">
      <w:pPr>
        <w:pStyle w:val="fussnoteschattenbericht"/>
      </w:pPr>
      <w:r w:rsidRPr="005D6BA4">
        <w:rPr>
          <w:rStyle w:val="Funotenzeichen"/>
          <w:vertAlign w:val="baseline"/>
        </w:rPr>
        <w:footnoteRef/>
      </w:r>
      <w:r w:rsidRPr="005D6BA4">
        <w:rPr>
          <w:rStyle w:val="Funotenzeichen"/>
          <w:vertAlign w:val="baseline"/>
        </w:rPr>
        <w:t xml:space="preserve"> </w:t>
      </w:r>
      <w:r w:rsidRPr="00D0288B">
        <w:tab/>
      </w:r>
      <w:r w:rsidRPr="00D0288B">
        <w:rPr>
          <w:i/>
          <w:iCs/>
        </w:rPr>
        <w:t xml:space="preserve">“Landspitali </w:t>
      </w:r>
      <w:r>
        <w:rPr>
          <w:i/>
          <w:iCs/>
        </w:rPr>
        <w:t>[…]</w:t>
      </w:r>
      <w:r w:rsidRPr="00D0288B">
        <w:rPr>
          <w:i/>
          <w:iCs/>
        </w:rPr>
        <w:t xml:space="preserve"> is funded by the Ministry of Welfare, supervised by the Directorate of Health and provides specialised and general care </w:t>
      </w:r>
      <w:r>
        <w:rPr>
          <w:i/>
          <w:iCs/>
        </w:rPr>
        <w:t>[…]</w:t>
      </w:r>
      <w:r w:rsidRPr="00D0288B">
        <w:rPr>
          <w:i/>
          <w:iCs/>
        </w:rPr>
        <w:t>”</w:t>
      </w:r>
      <w:r w:rsidRPr="00D0288B">
        <w:t xml:space="preserve">, </w:t>
      </w:r>
      <w:r w:rsidRPr="00D0288B">
        <w:br/>
      </w:r>
      <w:hyperlink r:id="rId31" w:history="1">
        <w:r w:rsidRPr="00301E2D">
          <w:rPr>
            <w:rStyle w:val="Hyperlink"/>
          </w:rPr>
          <w:t>https://www.landspitali.is/default.aspx?pageid=deac0479-05aa-11e8-90f1-005056be0005</w:t>
        </w:r>
      </w:hyperlink>
      <w:r>
        <w:t xml:space="preserve"> </w:t>
      </w:r>
    </w:p>
  </w:footnote>
  <w:footnote w:id="42">
    <w:p w14:paraId="7EC8C535" w14:textId="77777777" w:rsidR="00AE4062" w:rsidRPr="00D0288B" w:rsidRDefault="00AE4062" w:rsidP="004338B0">
      <w:pPr>
        <w:pStyle w:val="fussnoteschattenbericht"/>
      </w:pPr>
      <w:r w:rsidRPr="005D6BA4">
        <w:rPr>
          <w:rStyle w:val="Funotenzeichen"/>
          <w:vertAlign w:val="baseline"/>
        </w:rPr>
        <w:footnoteRef/>
      </w:r>
      <w:r w:rsidRPr="005D6BA4">
        <w:rPr>
          <w:rStyle w:val="Funotenzeichen"/>
          <w:vertAlign w:val="baseline"/>
        </w:rPr>
        <w:t xml:space="preserve"> </w:t>
      </w:r>
      <w:r w:rsidRPr="00D0288B">
        <w:tab/>
      </w:r>
      <w:hyperlink r:id="rId32" w:history="1">
        <w:r w:rsidRPr="00134325">
          <w:rPr>
            <w:rStyle w:val="Hyperlink"/>
          </w:rPr>
          <w:t>https://www.landspitali.is/sjuklingar-adstandendur/fraedsluefni/hypospadias-of-stutt-thvagras/</w:t>
        </w:r>
      </w:hyperlink>
      <w:r>
        <w:t xml:space="preserve"> </w:t>
      </w:r>
    </w:p>
  </w:footnote>
  <w:footnote w:id="43">
    <w:p w14:paraId="7B4EC199" w14:textId="77777777" w:rsidR="00AE4062" w:rsidRPr="003C0E9E" w:rsidRDefault="00AE4062" w:rsidP="00C244D5">
      <w:pPr>
        <w:pStyle w:val="fussnoteschattenbericht"/>
        <w:rPr>
          <w:rStyle w:val="Hyperlink"/>
        </w:rPr>
      </w:pPr>
      <w:r w:rsidRPr="00DF54B6">
        <w:rPr>
          <w:rStyle w:val="Funotenzeichen"/>
          <w:vertAlign w:val="baseline"/>
        </w:rPr>
        <w:footnoteRef/>
      </w:r>
      <w:r w:rsidRPr="00DF54B6">
        <w:rPr>
          <w:rStyle w:val="Funotenzeichen"/>
          <w:vertAlign w:val="baseline"/>
        </w:rPr>
        <w:t xml:space="preserve"> </w:t>
      </w:r>
      <w:r w:rsidRPr="00D0288B">
        <w:tab/>
      </w:r>
      <w:r>
        <w:t xml:space="preserve">Act on Gender Autonomy No 80 /2019 as amended by Act No. 154/2020, in force since 18.12.2020, Article 11a(3), </w:t>
      </w:r>
      <w:hyperlink r:id="rId33" w:history="1">
        <w:r w:rsidRPr="002032E2">
          <w:rPr>
            <w:rStyle w:val="Hyperlink"/>
            <w:sz w:val="18"/>
            <w:szCs w:val="18"/>
          </w:rPr>
          <w:t>https://www.government.is/library/04-Legislation/Act%20on%20Gender%20Autonomy%20No%2080_2019.pdf</w:t>
        </w:r>
      </w:hyperlink>
      <w:r w:rsidRPr="006D7AEA">
        <w:rPr>
          <w:sz w:val="19"/>
          <w:szCs w:val="19"/>
        </w:rPr>
        <w:t xml:space="preserve"> </w:t>
      </w:r>
    </w:p>
  </w:footnote>
  <w:footnote w:id="44">
    <w:p w14:paraId="1766113B" w14:textId="77777777" w:rsidR="00AE4062" w:rsidRPr="00D0288B" w:rsidRDefault="00AE4062" w:rsidP="00C244D5">
      <w:pPr>
        <w:pStyle w:val="fussnoteschattenbericht"/>
      </w:pPr>
      <w:r w:rsidRPr="00DF54B6">
        <w:rPr>
          <w:rStyle w:val="Funotenzeichen"/>
          <w:vertAlign w:val="baseline"/>
        </w:rPr>
        <w:footnoteRef/>
      </w:r>
      <w:r w:rsidRPr="00DF54B6">
        <w:rPr>
          <w:rStyle w:val="Funotenzeichen"/>
          <w:vertAlign w:val="baseline"/>
        </w:rPr>
        <w:t xml:space="preserve"> </w:t>
      </w:r>
      <w:r w:rsidRPr="00D0288B">
        <w:tab/>
      </w:r>
      <w:hyperlink r:id="rId34" w:history="1">
        <w:r w:rsidRPr="00505ABD">
          <w:rPr>
            <w:rStyle w:val="Hyperlink"/>
          </w:rPr>
          <w:t>https://www.althingi.is/altext/151/s/0022.html</w:t>
        </w:r>
      </w:hyperlink>
      <w:r>
        <w:t xml:space="preserve"> </w:t>
      </w:r>
    </w:p>
  </w:footnote>
  <w:footnote w:id="45">
    <w:p w14:paraId="41AFC7A5" w14:textId="77777777" w:rsidR="00AE4062" w:rsidRPr="00D0288B" w:rsidRDefault="00AE4062" w:rsidP="00C244D5">
      <w:pPr>
        <w:pStyle w:val="fussnoteschattenbericht"/>
      </w:pPr>
      <w:r w:rsidRPr="00DF54B6">
        <w:rPr>
          <w:rStyle w:val="Funotenzeichen"/>
          <w:vertAlign w:val="baseline"/>
        </w:rPr>
        <w:footnoteRef/>
      </w:r>
      <w:r w:rsidRPr="00DF54B6">
        <w:rPr>
          <w:rStyle w:val="Funotenzeichen"/>
          <w:vertAlign w:val="baseline"/>
        </w:rPr>
        <w:t xml:space="preserve"> </w:t>
      </w:r>
      <w:r w:rsidRPr="00D0288B">
        <w:tab/>
      </w:r>
      <w:r>
        <w:t xml:space="preserve">Act on Gender Autonomy No 80 /2019 as amended by Act No. 154/2020, in force since 18.12.2020, Article 11a(3), </w:t>
      </w:r>
      <w:hyperlink r:id="rId35" w:history="1">
        <w:r w:rsidRPr="002032E2">
          <w:rPr>
            <w:rStyle w:val="Hyperlink"/>
            <w:sz w:val="18"/>
            <w:szCs w:val="18"/>
          </w:rPr>
          <w:t>https://www.government.is/library/04-Legislation/Act%20on%20Gender%20Autonomy%20No%2080_2019.pdf</w:t>
        </w:r>
      </w:hyperlink>
      <w:r w:rsidRPr="006D7AEA">
        <w:rPr>
          <w:sz w:val="19"/>
          <w:szCs w:val="19"/>
        </w:rPr>
        <w:t xml:space="preserve"> </w:t>
      </w:r>
    </w:p>
  </w:footnote>
  <w:footnote w:id="46">
    <w:p w14:paraId="0F8ADC29" w14:textId="77777777" w:rsidR="00AE4062" w:rsidRPr="00D0288B" w:rsidRDefault="00AE4062" w:rsidP="00C244D5">
      <w:pPr>
        <w:pStyle w:val="fussnoteschattenbericht"/>
      </w:pPr>
      <w:r w:rsidRPr="00DF54B6">
        <w:rPr>
          <w:rStyle w:val="Funotenzeichen"/>
          <w:vertAlign w:val="baseline"/>
        </w:rPr>
        <w:footnoteRef/>
      </w:r>
      <w:r w:rsidRPr="00DF54B6">
        <w:rPr>
          <w:rStyle w:val="Funotenzeichen"/>
          <w:vertAlign w:val="baseline"/>
        </w:rPr>
        <w:t xml:space="preserve"> </w:t>
      </w:r>
      <w:r w:rsidRPr="00D0288B">
        <w:tab/>
      </w:r>
      <w:r>
        <w:t xml:space="preserve">Government’s comment on Act No. 154/2020, </w:t>
      </w:r>
      <w:hyperlink r:id="rId36" w:history="1">
        <w:r w:rsidRPr="00505ABD">
          <w:rPr>
            <w:rStyle w:val="Hyperlink"/>
          </w:rPr>
          <w:t>https://www.althingi.is/altext/151/s/0022.html</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35715C" w14:textId="77777777" w:rsidR="00AE4062" w:rsidRDefault="00AE4062">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CE242D" w14:textId="77777777" w:rsidR="00AE4062" w:rsidRDefault="00AE4062">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84ED37" w14:textId="77777777" w:rsidR="00AE4062" w:rsidRDefault="00AE406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73FC2F66"/>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1F4CFDD2"/>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7794F9C6"/>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E6E22926"/>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CB8EABC2"/>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B2A7DAE"/>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DC044C4"/>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60297FC"/>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5E8EA44"/>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B9FEE3C0"/>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0000002"/>
    <w:multiLevelType w:val="multilevel"/>
    <w:tmpl w:val="00000002"/>
    <w:name w:val="WW8Num1"/>
    <w:lvl w:ilvl="0">
      <w:start w:val="1"/>
      <w:numFmt w:val="none"/>
      <w:pStyle w:val="berschrift1"/>
      <w:suff w:val="nothing"/>
      <w:lvlText w:val=""/>
      <w:lvlJc w:val="left"/>
      <w:pPr>
        <w:tabs>
          <w:tab w:val="num" w:pos="0"/>
        </w:tabs>
        <w:ind w:left="432" w:hanging="432"/>
      </w:pPr>
    </w:lvl>
    <w:lvl w:ilvl="1">
      <w:start w:val="1"/>
      <w:numFmt w:val="none"/>
      <w:pStyle w:val="berschrift2"/>
      <w:suff w:val="nothing"/>
      <w:lvlText w:val=""/>
      <w:lvlJc w:val="left"/>
      <w:pPr>
        <w:tabs>
          <w:tab w:val="num" w:pos="0"/>
        </w:tabs>
        <w:ind w:left="576" w:hanging="576"/>
      </w:pPr>
    </w:lvl>
    <w:lvl w:ilvl="2">
      <w:start w:val="1"/>
      <w:numFmt w:val="none"/>
      <w:pStyle w:val="berschrift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1" w15:restartNumberingAfterBreak="0">
    <w:nsid w:val="00000003"/>
    <w:multiLevelType w:val="singleLevel"/>
    <w:tmpl w:val="00000003"/>
    <w:name w:val="WW8Num2"/>
    <w:lvl w:ilvl="0">
      <w:start w:val="1"/>
      <w:numFmt w:val="bullet"/>
      <w:lvlText w:val=""/>
      <w:lvlJc w:val="left"/>
      <w:pPr>
        <w:tabs>
          <w:tab w:val="num" w:pos="0"/>
        </w:tabs>
        <w:ind w:left="720" w:hanging="360"/>
      </w:pPr>
      <w:rPr>
        <w:rFonts w:ascii="Symbol" w:hAnsi="Symbol" w:cs="Symbol" w:hint="default"/>
        <w:color w:val="000000"/>
        <w:spacing w:val="2"/>
        <w:lang w:val="en-GB"/>
      </w:rPr>
    </w:lvl>
  </w:abstractNum>
  <w:abstractNum w:abstractNumId="12" w15:restartNumberingAfterBreak="0">
    <w:nsid w:val="00000004"/>
    <w:multiLevelType w:val="singleLevel"/>
    <w:tmpl w:val="00000004"/>
    <w:name w:val="WW8Num3"/>
    <w:lvl w:ilvl="0">
      <w:start w:val="1"/>
      <w:numFmt w:val="bullet"/>
      <w:lvlText w:val=""/>
      <w:lvlJc w:val="left"/>
      <w:pPr>
        <w:tabs>
          <w:tab w:val="num" w:pos="0"/>
        </w:tabs>
        <w:ind w:left="720" w:hanging="360"/>
      </w:pPr>
      <w:rPr>
        <w:rFonts w:ascii="Symbol" w:hAnsi="Symbol" w:cs="Symbol" w:hint="default"/>
        <w:color w:val="000000"/>
        <w:spacing w:val="2"/>
        <w:lang w:val="en-GB"/>
      </w:rPr>
    </w:lvl>
  </w:abstractNum>
  <w:abstractNum w:abstractNumId="13" w15:restartNumberingAfterBreak="0">
    <w:nsid w:val="00000005"/>
    <w:multiLevelType w:val="singleLevel"/>
    <w:tmpl w:val="00000005"/>
    <w:name w:val="WW8Num4"/>
    <w:lvl w:ilvl="0">
      <w:start w:val="1"/>
      <w:numFmt w:val="bullet"/>
      <w:lvlText w:val=""/>
      <w:lvlJc w:val="left"/>
      <w:pPr>
        <w:tabs>
          <w:tab w:val="num" w:pos="0"/>
        </w:tabs>
        <w:ind w:left="720" w:hanging="360"/>
      </w:pPr>
      <w:rPr>
        <w:rFonts w:ascii="Symbol" w:hAnsi="Symbol" w:cs="Symbol" w:hint="default"/>
        <w:color w:val="000000"/>
        <w:spacing w:val="2"/>
        <w:lang w:val="en-GB"/>
      </w:rPr>
    </w:lvl>
  </w:abstractNum>
  <w:abstractNum w:abstractNumId="14" w15:restartNumberingAfterBreak="0">
    <w:nsid w:val="00000006"/>
    <w:multiLevelType w:val="singleLevel"/>
    <w:tmpl w:val="00000006"/>
    <w:name w:val="WW8Num5"/>
    <w:lvl w:ilvl="0">
      <w:start w:val="1"/>
      <w:numFmt w:val="bullet"/>
      <w:lvlText w:val=""/>
      <w:lvlJc w:val="left"/>
      <w:pPr>
        <w:tabs>
          <w:tab w:val="num" w:pos="0"/>
        </w:tabs>
        <w:ind w:left="720" w:hanging="360"/>
      </w:pPr>
      <w:rPr>
        <w:rFonts w:ascii="Symbol" w:hAnsi="Symbol" w:cs="Symbol" w:hint="default"/>
        <w:color w:val="000000"/>
        <w:spacing w:val="2"/>
        <w:lang w:val="en-GB"/>
      </w:rPr>
    </w:lvl>
  </w:abstractNum>
  <w:abstractNum w:abstractNumId="15" w15:restartNumberingAfterBreak="0">
    <w:nsid w:val="00000007"/>
    <w:multiLevelType w:val="singleLevel"/>
    <w:tmpl w:val="00000007"/>
    <w:name w:val="WW8Num6"/>
    <w:lvl w:ilvl="0">
      <w:start w:val="1"/>
      <w:numFmt w:val="bullet"/>
      <w:lvlText w:val=""/>
      <w:lvlJc w:val="left"/>
      <w:pPr>
        <w:tabs>
          <w:tab w:val="num" w:pos="0"/>
        </w:tabs>
        <w:ind w:left="720" w:hanging="360"/>
      </w:pPr>
      <w:rPr>
        <w:rFonts w:ascii="Symbol" w:hAnsi="Symbol" w:cs="Symbol" w:hint="default"/>
        <w:color w:val="000000"/>
        <w:spacing w:val="2"/>
        <w:lang w:val="en-GB"/>
      </w:rPr>
    </w:lvl>
  </w:abstractNum>
  <w:abstractNum w:abstractNumId="16" w15:restartNumberingAfterBreak="0">
    <w:nsid w:val="00000008"/>
    <w:multiLevelType w:val="singleLevel"/>
    <w:tmpl w:val="00000008"/>
    <w:name w:val="WW8Num7"/>
    <w:lvl w:ilvl="0">
      <w:start w:val="1"/>
      <w:numFmt w:val="bullet"/>
      <w:lvlText w:val=""/>
      <w:lvlJc w:val="left"/>
      <w:pPr>
        <w:tabs>
          <w:tab w:val="num" w:pos="0"/>
        </w:tabs>
        <w:ind w:left="720" w:hanging="360"/>
      </w:pPr>
      <w:rPr>
        <w:rFonts w:ascii="Symbol" w:hAnsi="Symbol" w:cs="Symbol" w:hint="default"/>
      </w:rPr>
    </w:lvl>
  </w:abstractNum>
  <w:abstractNum w:abstractNumId="17" w15:restartNumberingAfterBreak="0">
    <w:nsid w:val="00000009"/>
    <w:multiLevelType w:val="singleLevel"/>
    <w:tmpl w:val="00000009"/>
    <w:name w:val="WW8Num8"/>
    <w:lvl w:ilvl="0">
      <w:start w:val="1"/>
      <w:numFmt w:val="bullet"/>
      <w:lvlText w:val=""/>
      <w:lvlJc w:val="left"/>
      <w:pPr>
        <w:tabs>
          <w:tab w:val="num" w:pos="0"/>
        </w:tabs>
        <w:ind w:left="720" w:hanging="360"/>
      </w:pPr>
      <w:rPr>
        <w:rFonts w:ascii="Symbol" w:hAnsi="Symbol" w:cs="Symbol" w:hint="default"/>
      </w:rPr>
    </w:lvl>
  </w:abstractNum>
  <w:abstractNum w:abstractNumId="18" w15:restartNumberingAfterBreak="0">
    <w:nsid w:val="0000000A"/>
    <w:multiLevelType w:val="singleLevel"/>
    <w:tmpl w:val="0000000A"/>
    <w:name w:val="WW8Num9"/>
    <w:lvl w:ilvl="0">
      <w:start w:val="1"/>
      <w:numFmt w:val="bullet"/>
      <w:lvlText w:val=""/>
      <w:lvlJc w:val="left"/>
      <w:pPr>
        <w:tabs>
          <w:tab w:val="num" w:pos="0"/>
        </w:tabs>
        <w:ind w:left="720" w:hanging="360"/>
      </w:pPr>
      <w:rPr>
        <w:rFonts w:ascii="Symbol" w:hAnsi="Symbol" w:cs="Symbol" w:hint="default"/>
        <w:sz w:val="24"/>
        <w:szCs w:val="24"/>
      </w:rPr>
    </w:lvl>
  </w:abstractNum>
  <w:abstractNum w:abstractNumId="19" w15:restartNumberingAfterBreak="0">
    <w:nsid w:val="0000000B"/>
    <w:multiLevelType w:val="singleLevel"/>
    <w:tmpl w:val="0000000B"/>
    <w:name w:val="WW8Num11"/>
    <w:lvl w:ilvl="0">
      <w:start w:val="1"/>
      <w:numFmt w:val="bullet"/>
      <w:lvlText w:val=""/>
      <w:lvlJc w:val="left"/>
      <w:pPr>
        <w:tabs>
          <w:tab w:val="num" w:pos="0"/>
        </w:tabs>
        <w:ind w:left="720" w:hanging="360"/>
      </w:pPr>
      <w:rPr>
        <w:rFonts w:ascii="Symbol" w:hAnsi="Symbol" w:cs="Symbol" w:hint="default"/>
        <w:sz w:val="24"/>
        <w:szCs w:val="24"/>
      </w:rPr>
    </w:lvl>
  </w:abstractNum>
  <w:abstractNum w:abstractNumId="20" w15:restartNumberingAfterBreak="0">
    <w:nsid w:val="0000000C"/>
    <w:multiLevelType w:val="singleLevel"/>
    <w:tmpl w:val="0000000C"/>
    <w:name w:val="WW8Num12"/>
    <w:lvl w:ilvl="0">
      <w:start w:val="1"/>
      <w:numFmt w:val="bullet"/>
      <w:lvlText w:val=""/>
      <w:lvlJc w:val="left"/>
      <w:pPr>
        <w:tabs>
          <w:tab w:val="num" w:pos="0"/>
        </w:tabs>
        <w:ind w:left="720" w:hanging="360"/>
      </w:pPr>
      <w:rPr>
        <w:rFonts w:ascii="Symbol" w:hAnsi="Symbol" w:cs="Symbol" w:hint="default"/>
        <w:color w:val="000000"/>
        <w:spacing w:val="2"/>
        <w:lang w:val="en-GB"/>
      </w:rPr>
    </w:lvl>
  </w:abstractNum>
  <w:abstractNum w:abstractNumId="21" w15:restartNumberingAfterBreak="0">
    <w:nsid w:val="0000000D"/>
    <w:multiLevelType w:val="singleLevel"/>
    <w:tmpl w:val="0000000D"/>
    <w:name w:val="WW8Num13"/>
    <w:lvl w:ilvl="0">
      <w:start w:val="1"/>
      <w:numFmt w:val="bullet"/>
      <w:lvlText w:val=""/>
      <w:lvlJc w:val="left"/>
      <w:pPr>
        <w:tabs>
          <w:tab w:val="num" w:pos="0"/>
        </w:tabs>
        <w:ind w:left="720" w:hanging="360"/>
      </w:pPr>
      <w:rPr>
        <w:rFonts w:ascii="Symbol" w:hAnsi="Symbol" w:cs="Symbol" w:hint="default"/>
        <w:color w:val="000000"/>
        <w:spacing w:val="2"/>
        <w:lang w:val="en-GB"/>
      </w:rPr>
    </w:lvl>
  </w:abstractNum>
  <w:abstractNum w:abstractNumId="22" w15:restartNumberingAfterBreak="0">
    <w:nsid w:val="1E303C83"/>
    <w:multiLevelType w:val="hybridMultilevel"/>
    <w:tmpl w:val="38DA51B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20E53185"/>
    <w:multiLevelType w:val="hybridMultilevel"/>
    <w:tmpl w:val="DEE21EC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2E61690C"/>
    <w:multiLevelType w:val="hybridMultilevel"/>
    <w:tmpl w:val="837A3DF2"/>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5" w15:restartNumberingAfterBreak="0">
    <w:nsid w:val="30A312AF"/>
    <w:multiLevelType w:val="hybridMultilevel"/>
    <w:tmpl w:val="FF18E2F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6" w15:restartNumberingAfterBreak="0">
    <w:nsid w:val="33587FAE"/>
    <w:multiLevelType w:val="hybridMultilevel"/>
    <w:tmpl w:val="1278037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15:restartNumberingAfterBreak="0">
    <w:nsid w:val="4278307A"/>
    <w:multiLevelType w:val="hybridMultilevel"/>
    <w:tmpl w:val="8EBAD8E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0"/>
  </w:num>
  <w:num w:numId="2">
    <w:abstractNumId w:val="24"/>
  </w:num>
  <w:num w:numId="3">
    <w:abstractNumId w:val="25"/>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23"/>
  </w:num>
  <w:num w:numId="15">
    <w:abstractNumId w:val="26"/>
  </w:num>
  <w:num w:numId="16">
    <w:abstractNumId w:val="27"/>
  </w:num>
  <w:num w:numId="17">
    <w:abstractNumId w:val="2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isplayBackgroundShape/>
  <w:embedSystemFonts/>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9"/>
  <w:hyphenationZone w:val="425"/>
  <w:defaultTableStyle w:val="Standard"/>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MacDisableGlyphATSUI" w:val="0"/>
  </w:docVars>
  <w:rsids>
    <w:rsidRoot w:val="0044223A"/>
    <w:rsid w:val="00000745"/>
    <w:rsid w:val="00000A65"/>
    <w:rsid w:val="00002068"/>
    <w:rsid w:val="00003920"/>
    <w:rsid w:val="00004522"/>
    <w:rsid w:val="00004599"/>
    <w:rsid w:val="00010215"/>
    <w:rsid w:val="00011BB0"/>
    <w:rsid w:val="000127B9"/>
    <w:rsid w:val="00016C6C"/>
    <w:rsid w:val="00020626"/>
    <w:rsid w:val="0002138B"/>
    <w:rsid w:val="00022924"/>
    <w:rsid w:val="00023B28"/>
    <w:rsid w:val="00023CDB"/>
    <w:rsid w:val="00025342"/>
    <w:rsid w:val="000254D7"/>
    <w:rsid w:val="00026928"/>
    <w:rsid w:val="00026C09"/>
    <w:rsid w:val="00030C2B"/>
    <w:rsid w:val="000316A2"/>
    <w:rsid w:val="00031D9E"/>
    <w:rsid w:val="00032ED8"/>
    <w:rsid w:val="000344B8"/>
    <w:rsid w:val="0003470E"/>
    <w:rsid w:val="00034BE0"/>
    <w:rsid w:val="00035606"/>
    <w:rsid w:val="0003737D"/>
    <w:rsid w:val="00043CF1"/>
    <w:rsid w:val="000445BD"/>
    <w:rsid w:val="000451F8"/>
    <w:rsid w:val="000522F3"/>
    <w:rsid w:val="00052EF6"/>
    <w:rsid w:val="00053C1D"/>
    <w:rsid w:val="00053F06"/>
    <w:rsid w:val="000560C2"/>
    <w:rsid w:val="0005624B"/>
    <w:rsid w:val="000574A2"/>
    <w:rsid w:val="00060085"/>
    <w:rsid w:val="000630F4"/>
    <w:rsid w:val="0006399F"/>
    <w:rsid w:val="00064D03"/>
    <w:rsid w:val="00066168"/>
    <w:rsid w:val="000669FD"/>
    <w:rsid w:val="00067D35"/>
    <w:rsid w:val="00070AF3"/>
    <w:rsid w:val="00071EFF"/>
    <w:rsid w:val="0007296D"/>
    <w:rsid w:val="00072ABF"/>
    <w:rsid w:val="00072E9F"/>
    <w:rsid w:val="000730DD"/>
    <w:rsid w:val="00074118"/>
    <w:rsid w:val="00075D23"/>
    <w:rsid w:val="0007614D"/>
    <w:rsid w:val="000764BE"/>
    <w:rsid w:val="00076936"/>
    <w:rsid w:val="00077728"/>
    <w:rsid w:val="00077FAB"/>
    <w:rsid w:val="000815B5"/>
    <w:rsid w:val="00083002"/>
    <w:rsid w:val="00085947"/>
    <w:rsid w:val="00085FA9"/>
    <w:rsid w:val="00086CC9"/>
    <w:rsid w:val="00086F89"/>
    <w:rsid w:val="00090028"/>
    <w:rsid w:val="00090214"/>
    <w:rsid w:val="000925F2"/>
    <w:rsid w:val="0009339B"/>
    <w:rsid w:val="00096C1E"/>
    <w:rsid w:val="00097513"/>
    <w:rsid w:val="00097F73"/>
    <w:rsid w:val="000A0D22"/>
    <w:rsid w:val="000A0F1E"/>
    <w:rsid w:val="000A2D58"/>
    <w:rsid w:val="000A5761"/>
    <w:rsid w:val="000A5A49"/>
    <w:rsid w:val="000A5D1D"/>
    <w:rsid w:val="000B47C0"/>
    <w:rsid w:val="000B5043"/>
    <w:rsid w:val="000B526E"/>
    <w:rsid w:val="000B57F6"/>
    <w:rsid w:val="000B6CA2"/>
    <w:rsid w:val="000B79BF"/>
    <w:rsid w:val="000B7F2B"/>
    <w:rsid w:val="000C0414"/>
    <w:rsid w:val="000C1804"/>
    <w:rsid w:val="000C2080"/>
    <w:rsid w:val="000C2B6F"/>
    <w:rsid w:val="000C3B0F"/>
    <w:rsid w:val="000C487B"/>
    <w:rsid w:val="000C598F"/>
    <w:rsid w:val="000C6267"/>
    <w:rsid w:val="000D1F9F"/>
    <w:rsid w:val="000D74FF"/>
    <w:rsid w:val="000D76A9"/>
    <w:rsid w:val="000E048A"/>
    <w:rsid w:val="000E4A33"/>
    <w:rsid w:val="000E4CCA"/>
    <w:rsid w:val="000E5FB5"/>
    <w:rsid w:val="000E682C"/>
    <w:rsid w:val="000E6875"/>
    <w:rsid w:val="000F08FC"/>
    <w:rsid w:val="000F19F2"/>
    <w:rsid w:val="000F446D"/>
    <w:rsid w:val="000F4D51"/>
    <w:rsid w:val="000F757C"/>
    <w:rsid w:val="000F79C1"/>
    <w:rsid w:val="00101DB9"/>
    <w:rsid w:val="001059B9"/>
    <w:rsid w:val="0010640A"/>
    <w:rsid w:val="00106440"/>
    <w:rsid w:val="001064D0"/>
    <w:rsid w:val="00106661"/>
    <w:rsid w:val="00111A65"/>
    <w:rsid w:val="00111D2A"/>
    <w:rsid w:val="001127B6"/>
    <w:rsid w:val="001132B5"/>
    <w:rsid w:val="001137C1"/>
    <w:rsid w:val="001139B2"/>
    <w:rsid w:val="00114F2F"/>
    <w:rsid w:val="001207DD"/>
    <w:rsid w:val="0012479C"/>
    <w:rsid w:val="00125267"/>
    <w:rsid w:val="00125A29"/>
    <w:rsid w:val="00126A73"/>
    <w:rsid w:val="001306AF"/>
    <w:rsid w:val="00131195"/>
    <w:rsid w:val="00131FE9"/>
    <w:rsid w:val="00133421"/>
    <w:rsid w:val="00133504"/>
    <w:rsid w:val="00133B3D"/>
    <w:rsid w:val="00133F29"/>
    <w:rsid w:val="00134D36"/>
    <w:rsid w:val="00135AF6"/>
    <w:rsid w:val="00137D98"/>
    <w:rsid w:val="00141C4F"/>
    <w:rsid w:val="00141FBA"/>
    <w:rsid w:val="0014244C"/>
    <w:rsid w:val="00143AC5"/>
    <w:rsid w:val="001455A8"/>
    <w:rsid w:val="001515AB"/>
    <w:rsid w:val="0015396F"/>
    <w:rsid w:val="001556D2"/>
    <w:rsid w:val="00155DF0"/>
    <w:rsid w:val="00156F86"/>
    <w:rsid w:val="00157EF0"/>
    <w:rsid w:val="00160B32"/>
    <w:rsid w:val="001611D0"/>
    <w:rsid w:val="001629D3"/>
    <w:rsid w:val="001650FA"/>
    <w:rsid w:val="00166E99"/>
    <w:rsid w:val="00167168"/>
    <w:rsid w:val="00170581"/>
    <w:rsid w:val="00171861"/>
    <w:rsid w:val="00173DB8"/>
    <w:rsid w:val="00175061"/>
    <w:rsid w:val="00176249"/>
    <w:rsid w:val="00176D4C"/>
    <w:rsid w:val="00180060"/>
    <w:rsid w:val="001865DD"/>
    <w:rsid w:val="00187F9B"/>
    <w:rsid w:val="001904F6"/>
    <w:rsid w:val="00190729"/>
    <w:rsid w:val="00190873"/>
    <w:rsid w:val="00191381"/>
    <w:rsid w:val="001915B1"/>
    <w:rsid w:val="0019163D"/>
    <w:rsid w:val="00192652"/>
    <w:rsid w:val="00193D4A"/>
    <w:rsid w:val="001942F1"/>
    <w:rsid w:val="00197CDB"/>
    <w:rsid w:val="001A0171"/>
    <w:rsid w:val="001A1507"/>
    <w:rsid w:val="001A20FE"/>
    <w:rsid w:val="001A2649"/>
    <w:rsid w:val="001A3991"/>
    <w:rsid w:val="001A6583"/>
    <w:rsid w:val="001A7866"/>
    <w:rsid w:val="001B0A4A"/>
    <w:rsid w:val="001B1264"/>
    <w:rsid w:val="001B271D"/>
    <w:rsid w:val="001B31A7"/>
    <w:rsid w:val="001B37CB"/>
    <w:rsid w:val="001B3996"/>
    <w:rsid w:val="001B644D"/>
    <w:rsid w:val="001C0CEB"/>
    <w:rsid w:val="001C0D9E"/>
    <w:rsid w:val="001C0DC8"/>
    <w:rsid w:val="001C1238"/>
    <w:rsid w:val="001C2514"/>
    <w:rsid w:val="001C25E6"/>
    <w:rsid w:val="001C327C"/>
    <w:rsid w:val="001C58BA"/>
    <w:rsid w:val="001C6227"/>
    <w:rsid w:val="001C7913"/>
    <w:rsid w:val="001D3AD3"/>
    <w:rsid w:val="001D40ED"/>
    <w:rsid w:val="001D7DBA"/>
    <w:rsid w:val="001E464A"/>
    <w:rsid w:val="001E5598"/>
    <w:rsid w:val="001E7535"/>
    <w:rsid w:val="001E7E43"/>
    <w:rsid w:val="001F0BDD"/>
    <w:rsid w:val="001F19CD"/>
    <w:rsid w:val="001F29C6"/>
    <w:rsid w:val="001F2A06"/>
    <w:rsid w:val="001F2E29"/>
    <w:rsid w:val="001F3A50"/>
    <w:rsid w:val="001F3ACD"/>
    <w:rsid w:val="001F5A68"/>
    <w:rsid w:val="001F6891"/>
    <w:rsid w:val="001F695A"/>
    <w:rsid w:val="001F6AF6"/>
    <w:rsid w:val="0020104F"/>
    <w:rsid w:val="00201A78"/>
    <w:rsid w:val="0020390A"/>
    <w:rsid w:val="00203D95"/>
    <w:rsid w:val="002045FB"/>
    <w:rsid w:val="00204A07"/>
    <w:rsid w:val="00207015"/>
    <w:rsid w:val="0020701E"/>
    <w:rsid w:val="00210149"/>
    <w:rsid w:val="00210B32"/>
    <w:rsid w:val="00212742"/>
    <w:rsid w:val="00212935"/>
    <w:rsid w:val="00213E37"/>
    <w:rsid w:val="002145CF"/>
    <w:rsid w:val="00216202"/>
    <w:rsid w:val="00220E88"/>
    <w:rsid w:val="00225EEE"/>
    <w:rsid w:val="00226140"/>
    <w:rsid w:val="00226276"/>
    <w:rsid w:val="002308B8"/>
    <w:rsid w:val="002311DE"/>
    <w:rsid w:val="0023123B"/>
    <w:rsid w:val="002313AE"/>
    <w:rsid w:val="0023209F"/>
    <w:rsid w:val="002333C0"/>
    <w:rsid w:val="002346C7"/>
    <w:rsid w:val="002360BC"/>
    <w:rsid w:val="00237CE6"/>
    <w:rsid w:val="00237D01"/>
    <w:rsid w:val="00241CCE"/>
    <w:rsid w:val="0024389F"/>
    <w:rsid w:val="00245C65"/>
    <w:rsid w:val="00246A31"/>
    <w:rsid w:val="002473F3"/>
    <w:rsid w:val="002506F5"/>
    <w:rsid w:val="002516B1"/>
    <w:rsid w:val="002530F3"/>
    <w:rsid w:val="00253728"/>
    <w:rsid w:val="0025476C"/>
    <w:rsid w:val="002565C9"/>
    <w:rsid w:val="00256B6E"/>
    <w:rsid w:val="002612BB"/>
    <w:rsid w:val="00261622"/>
    <w:rsid w:val="00262DA9"/>
    <w:rsid w:val="002631B0"/>
    <w:rsid w:val="002635D2"/>
    <w:rsid w:val="0026785F"/>
    <w:rsid w:val="00270455"/>
    <w:rsid w:val="002704D8"/>
    <w:rsid w:val="002710B2"/>
    <w:rsid w:val="002730DE"/>
    <w:rsid w:val="00273BEC"/>
    <w:rsid w:val="00274323"/>
    <w:rsid w:val="00275BCC"/>
    <w:rsid w:val="00276218"/>
    <w:rsid w:val="00277BBE"/>
    <w:rsid w:val="00277C99"/>
    <w:rsid w:val="002806DE"/>
    <w:rsid w:val="00281521"/>
    <w:rsid w:val="00281CDA"/>
    <w:rsid w:val="00290D21"/>
    <w:rsid w:val="0029151A"/>
    <w:rsid w:val="002916C6"/>
    <w:rsid w:val="00292A13"/>
    <w:rsid w:val="00293E17"/>
    <w:rsid w:val="002945B5"/>
    <w:rsid w:val="00294E21"/>
    <w:rsid w:val="0029548F"/>
    <w:rsid w:val="002A29F6"/>
    <w:rsid w:val="002A5D7B"/>
    <w:rsid w:val="002A5EF8"/>
    <w:rsid w:val="002B1604"/>
    <w:rsid w:val="002B3D7B"/>
    <w:rsid w:val="002B47D0"/>
    <w:rsid w:val="002B587D"/>
    <w:rsid w:val="002B7164"/>
    <w:rsid w:val="002C05E1"/>
    <w:rsid w:val="002C178D"/>
    <w:rsid w:val="002C1A26"/>
    <w:rsid w:val="002C60DA"/>
    <w:rsid w:val="002C6115"/>
    <w:rsid w:val="002C7A32"/>
    <w:rsid w:val="002D05B5"/>
    <w:rsid w:val="002D19F2"/>
    <w:rsid w:val="002D1ED2"/>
    <w:rsid w:val="002D2091"/>
    <w:rsid w:val="002D38B3"/>
    <w:rsid w:val="002D4F3C"/>
    <w:rsid w:val="002D5BCA"/>
    <w:rsid w:val="002D6B7B"/>
    <w:rsid w:val="002E11A3"/>
    <w:rsid w:val="002E1B41"/>
    <w:rsid w:val="002E1C55"/>
    <w:rsid w:val="002E1D21"/>
    <w:rsid w:val="002E3915"/>
    <w:rsid w:val="002E5702"/>
    <w:rsid w:val="002E62F0"/>
    <w:rsid w:val="002E6D56"/>
    <w:rsid w:val="002F142F"/>
    <w:rsid w:val="002F2C3E"/>
    <w:rsid w:val="002F3391"/>
    <w:rsid w:val="002F380F"/>
    <w:rsid w:val="002F4564"/>
    <w:rsid w:val="002F766E"/>
    <w:rsid w:val="002F797E"/>
    <w:rsid w:val="003010CF"/>
    <w:rsid w:val="0030110A"/>
    <w:rsid w:val="00301761"/>
    <w:rsid w:val="00301B29"/>
    <w:rsid w:val="0030340A"/>
    <w:rsid w:val="00303428"/>
    <w:rsid w:val="00304186"/>
    <w:rsid w:val="0030433B"/>
    <w:rsid w:val="00306544"/>
    <w:rsid w:val="00307B71"/>
    <w:rsid w:val="00307C09"/>
    <w:rsid w:val="003113DC"/>
    <w:rsid w:val="0031198C"/>
    <w:rsid w:val="00311F7A"/>
    <w:rsid w:val="003142A3"/>
    <w:rsid w:val="003148AE"/>
    <w:rsid w:val="00315570"/>
    <w:rsid w:val="00316998"/>
    <w:rsid w:val="00320BF3"/>
    <w:rsid w:val="00324CAE"/>
    <w:rsid w:val="00325A43"/>
    <w:rsid w:val="003268B1"/>
    <w:rsid w:val="003277EB"/>
    <w:rsid w:val="00331C19"/>
    <w:rsid w:val="00333315"/>
    <w:rsid w:val="0033394C"/>
    <w:rsid w:val="00333E9D"/>
    <w:rsid w:val="0033487E"/>
    <w:rsid w:val="00336317"/>
    <w:rsid w:val="0033659D"/>
    <w:rsid w:val="00337DA5"/>
    <w:rsid w:val="00340B2C"/>
    <w:rsid w:val="003412C8"/>
    <w:rsid w:val="00341F1E"/>
    <w:rsid w:val="003424A1"/>
    <w:rsid w:val="00343B29"/>
    <w:rsid w:val="00345870"/>
    <w:rsid w:val="00345E3F"/>
    <w:rsid w:val="00345F0C"/>
    <w:rsid w:val="00346603"/>
    <w:rsid w:val="00346750"/>
    <w:rsid w:val="00346D2B"/>
    <w:rsid w:val="00353384"/>
    <w:rsid w:val="00353C79"/>
    <w:rsid w:val="00355501"/>
    <w:rsid w:val="003569DD"/>
    <w:rsid w:val="00356D62"/>
    <w:rsid w:val="00356E39"/>
    <w:rsid w:val="0036185A"/>
    <w:rsid w:val="00362B1D"/>
    <w:rsid w:val="0036301C"/>
    <w:rsid w:val="00365212"/>
    <w:rsid w:val="00365379"/>
    <w:rsid w:val="00366508"/>
    <w:rsid w:val="00366C81"/>
    <w:rsid w:val="003673DE"/>
    <w:rsid w:val="003702EF"/>
    <w:rsid w:val="00373BD3"/>
    <w:rsid w:val="00374DEA"/>
    <w:rsid w:val="003762A2"/>
    <w:rsid w:val="00380A23"/>
    <w:rsid w:val="003814AE"/>
    <w:rsid w:val="00383088"/>
    <w:rsid w:val="00384C87"/>
    <w:rsid w:val="003854D6"/>
    <w:rsid w:val="00387787"/>
    <w:rsid w:val="00387DC5"/>
    <w:rsid w:val="00390BC0"/>
    <w:rsid w:val="00393BAD"/>
    <w:rsid w:val="00393FD7"/>
    <w:rsid w:val="00394319"/>
    <w:rsid w:val="00395FC1"/>
    <w:rsid w:val="0039706A"/>
    <w:rsid w:val="00397211"/>
    <w:rsid w:val="00397AFC"/>
    <w:rsid w:val="003A1CCB"/>
    <w:rsid w:val="003A2415"/>
    <w:rsid w:val="003A6808"/>
    <w:rsid w:val="003B03DC"/>
    <w:rsid w:val="003B135F"/>
    <w:rsid w:val="003B58E1"/>
    <w:rsid w:val="003C054A"/>
    <w:rsid w:val="003C221E"/>
    <w:rsid w:val="003C2D61"/>
    <w:rsid w:val="003C2E05"/>
    <w:rsid w:val="003C4537"/>
    <w:rsid w:val="003C7B65"/>
    <w:rsid w:val="003D26E6"/>
    <w:rsid w:val="003D2B87"/>
    <w:rsid w:val="003D2E16"/>
    <w:rsid w:val="003D478B"/>
    <w:rsid w:val="003D6E92"/>
    <w:rsid w:val="003D75CD"/>
    <w:rsid w:val="003E0D2A"/>
    <w:rsid w:val="003E1A55"/>
    <w:rsid w:val="003E365B"/>
    <w:rsid w:val="003E4CA3"/>
    <w:rsid w:val="003E5D91"/>
    <w:rsid w:val="003E60E4"/>
    <w:rsid w:val="003F2462"/>
    <w:rsid w:val="003F260D"/>
    <w:rsid w:val="003F2B98"/>
    <w:rsid w:val="003F3EB3"/>
    <w:rsid w:val="003F3FCA"/>
    <w:rsid w:val="003F5766"/>
    <w:rsid w:val="003F633D"/>
    <w:rsid w:val="003F7289"/>
    <w:rsid w:val="003F731E"/>
    <w:rsid w:val="003F7480"/>
    <w:rsid w:val="00401A4E"/>
    <w:rsid w:val="00403BE5"/>
    <w:rsid w:val="0040470F"/>
    <w:rsid w:val="00405FD2"/>
    <w:rsid w:val="00407637"/>
    <w:rsid w:val="00412FEA"/>
    <w:rsid w:val="00414EFB"/>
    <w:rsid w:val="00420AF2"/>
    <w:rsid w:val="004242FC"/>
    <w:rsid w:val="00425857"/>
    <w:rsid w:val="004262C8"/>
    <w:rsid w:val="00427BDA"/>
    <w:rsid w:val="0043006B"/>
    <w:rsid w:val="00433171"/>
    <w:rsid w:val="0043328F"/>
    <w:rsid w:val="004338B0"/>
    <w:rsid w:val="00433CB0"/>
    <w:rsid w:val="0043445E"/>
    <w:rsid w:val="004358F9"/>
    <w:rsid w:val="00436403"/>
    <w:rsid w:val="004370DD"/>
    <w:rsid w:val="00437B2E"/>
    <w:rsid w:val="004409A4"/>
    <w:rsid w:val="00440A66"/>
    <w:rsid w:val="00440BE2"/>
    <w:rsid w:val="004418FC"/>
    <w:rsid w:val="0044223A"/>
    <w:rsid w:val="00443C41"/>
    <w:rsid w:val="0044498E"/>
    <w:rsid w:val="00444DDB"/>
    <w:rsid w:val="004459AE"/>
    <w:rsid w:val="004510D4"/>
    <w:rsid w:val="00452580"/>
    <w:rsid w:val="004540BB"/>
    <w:rsid w:val="00455021"/>
    <w:rsid w:val="00457DC4"/>
    <w:rsid w:val="0046037D"/>
    <w:rsid w:val="00460B3F"/>
    <w:rsid w:val="0046157C"/>
    <w:rsid w:val="00461794"/>
    <w:rsid w:val="00462892"/>
    <w:rsid w:val="0046331A"/>
    <w:rsid w:val="00465AFC"/>
    <w:rsid w:val="004665A2"/>
    <w:rsid w:val="00466BA2"/>
    <w:rsid w:val="00471F5F"/>
    <w:rsid w:val="00473100"/>
    <w:rsid w:val="00473768"/>
    <w:rsid w:val="004746B4"/>
    <w:rsid w:val="00480710"/>
    <w:rsid w:val="004809AF"/>
    <w:rsid w:val="004811F0"/>
    <w:rsid w:val="004835E0"/>
    <w:rsid w:val="0048722A"/>
    <w:rsid w:val="004908F2"/>
    <w:rsid w:val="00492A74"/>
    <w:rsid w:val="00492FB3"/>
    <w:rsid w:val="00493BD1"/>
    <w:rsid w:val="004960E1"/>
    <w:rsid w:val="00497377"/>
    <w:rsid w:val="004A09CC"/>
    <w:rsid w:val="004A237B"/>
    <w:rsid w:val="004A2518"/>
    <w:rsid w:val="004A47F6"/>
    <w:rsid w:val="004A5CA5"/>
    <w:rsid w:val="004A6B0A"/>
    <w:rsid w:val="004B0470"/>
    <w:rsid w:val="004B0B09"/>
    <w:rsid w:val="004B1E2E"/>
    <w:rsid w:val="004B2180"/>
    <w:rsid w:val="004B37B9"/>
    <w:rsid w:val="004B5364"/>
    <w:rsid w:val="004B6D57"/>
    <w:rsid w:val="004B7347"/>
    <w:rsid w:val="004C6508"/>
    <w:rsid w:val="004C7A48"/>
    <w:rsid w:val="004D1070"/>
    <w:rsid w:val="004D3E75"/>
    <w:rsid w:val="004D4B71"/>
    <w:rsid w:val="004D5B08"/>
    <w:rsid w:val="004D5E6F"/>
    <w:rsid w:val="004D5E93"/>
    <w:rsid w:val="004D6A0F"/>
    <w:rsid w:val="004D7648"/>
    <w:rsid w:val="004D7B91"/>
    <w:rsid w:val="004E1013"/>
    <w:rsid w:val="004E1599"/>
    <w:rsid w:val="004E2944"/>
    <w:rsid w:val="004E54EE"/>
    <w:rsid w:val="004F07C5"/>
    <w:rsid w:val="004F21DF"/>
    <w:rsid w:val="004F236E"/>
    <w:rsid w:val="004F3317"/>
    <w:rsid w:val="004F63C7"/>
    <w:rsid w:val="004F7442"/>
    <w:rsid w:val="005028BA"/>
    <w:rsid w:val="0050347C"/>
    <w:rsid w:val="00503A4B"/>
    <w:rsid w:val="00504000"/>
    <w:rsid w:val="00504375"/>
    <w:rsid w:val="005048AC"/>
    <w:rsid w:val="00505AB1"/>
    <w:rsid w:val="00505B60"/>
    <w:rsid w:val="00506288"/>
    <w:rsid w:val="00507076"/>
    <w:rsid w:val="00512D60"/>
    <w:rsid w:val="00513510"/>
    <w:rsid w:val="0051400C"/>
    <w:rsid w:val="005143C1"/>
    <w:rsid w:val="00514E5E"/>
    <w:rsid w:val="00514F6D"/>
    <w:rsid w:val="00516B00"/>
    <w:rsid w:val="005211FD"/>
    <w:rsid w:val="0052198A"/>
    <w:rsid w:val="00521E13"/>
    <w:rsid w:val="00522806"/>
    <w:rsid w:val="0052284E"/>
    <w:rsid w:val="00522B0F"/>
    <w:rsid w:val="00522FA7"/>
    <w:rsid w:val="005244FB"/>
    <w:rsid w:val="005246B1"/>
    <w:rsid w:val="00525BD4"/>
    <w:rsid w:val="00526058"/>
    <w:rsid w:val="00531446"/>
    <w:rsid w:val="00531695"/>
    <w:rsid w:val="00533C7D"/>
    <w:rsid w:val="00534DF0"/>
    <w:rsid w:val="00535067"/>
    <w:rsid w:val="00537CB2"/>
    <w:rsid w:val="00537DC7"/>
    <w:rsid w:val="00541DE6"/>
    <w:rsid w:val="00542C20"/>
    <w:rsid w:val="005459EC"/>
    <w:rsid w:val="0054618B"/>
    <w:rsid w:val="0054715C"/>
    <w:rsid w:val="005478CA"/>
    <w:rsid w:val="00547BAB"/>
    <w:rsid w:val="00547E67"/>
    <w:rsid w:val="005511CF"/>
    <w:rsid w:val="005536B2"/>
    <w:rsid w:val="00555256"/>
    <w:rsid w:val="005563AE"/>
    <w:rsid w:val="0055648F"/>
    <w:rsid w:val="00561944"/>
    <w:rsid w:val="00561B09"/>
    <w:rsid w:val="00562C98"/>
    <w:rsid w:val="00563BF2"/>
    <w:rsid w:val="005643C2"/>
    <w:rsid w:val="00564439"/>
    <w:rsid w:val="00567AF6"/>
    <w:rsid w:val="00567B62"/>
    <w:rsid w:val="005705F1"/>
    <w:rsid w:val="005727E6"/>
    <w:rsid w:val="005735FC"/>
    <w:rsid w:val="0057453F"/>
    <w:rsid w:val="00574905"/>
    <w:rsid w:val="00574C69"/>
    <w:rsid w:val="0057679E"/>
    <w:rsid w:val="00577C1F"/>
    <w:rsid w:val="00580960"/>
    <w:rsid w:val="00583572"/>
    <w:rsid w:val="005846BC"/>
    <w:rsid w:val="00585FA4"/>
    <w:rsid w:val="00586365"/>
    <w:rsid w:val="00590910"/>
    <w:rsid w:val="00591005"/>
    <w:rsid w:val="00591852"/>
    <w:rsid w:val="00591A49"/>
    <w:rsid w:val="00594F30"/>
    <w:rsid w:val="00595E7C"/>
    <w:rsid w:val="00596DBC"/>
    <w:rsid w:val="005A166B"/>
    <w:rsid w:val="005A1E64"/>
    <w:rsid w:val="005A3F86"/>
    <w:rsid w:val="005A4AB7"/>
    <w:rsid w:val="005A6631"/>
    <w:rsid w:val="005A6C71"/>
    <w:rsid w:val="005A720A"/>
    <w:rsid w:val="005A77CC"/>
    <w:rsid w:val="005A7A58"/>
    <w:rsid w:val="005B00C8"/>
    <w:rsid w:val="005B1858"/>
    <w:rsid w:val="005B2C27"/>
    <w:rsid w:val="005B458A"/>
    <w:rsid w:val="005B6657"/>
    <w:rsid w:val="005C078B"/>
    <w:rsid w:val="005C0BBB"/>
    <w:rsid w:val="005C27AF"/>
    <w:rsid w:val="005C3CD4"/>
    <w:rsid w:val="005C3E79"/>
    <w:rsid w:val="005C5128"/>
    <w:rsid w:val="005D1DA6"/>
    <w:rsid w:val="005D339C"/>
    <w:rsid w:val="005D377D"/>
    <w:rsid w:val="005D4CC0"/>
    <w:rsid w:val="005D51D0"/>
    <w:rsid w:val="005D5935"/>
    <w:rsid w:val="005D68E2"/>
    <w:rsid w:val="005D6BA4"/>
    <w:rsid w:val="005D79B5"/>
    <w:rsid w:val="005E350C"/>
    <w:rsid w:val="005E35BE"/>
    <w:rsid w:val="005E3D0F"/>
    <w:rsid w:val="005E4089"/>
    <w:rsid w:val="005E6751"/>
    <w:rsid w:val="005E6C70"/>
    <w:rsid w:val="005F1D18"/>
    <w:rsid w:val="005F2F54"/>
    <w:rsid w:val="005F5041"/>
    <w:rsid w:val="005F5476"/>
    <w:rsid w:val="005F7824"/>
    <w:rsid w:val="00600430"/>
    <w:rsid w:val="0060103F"/>
    <w:rsid w:val="00601834"/>
    <w:rsid w:val="006021F4"/>
    <w:rsid w:val="00605487"/>
    <w:rsid w:val="00607684"/>
    <w:rsid w:val="006078B1"/>
    <w:rsid w:val="006125B5"/>
    <w:rsid w:val="006135E0"/>
    <w:rsid w:val="006159E1"/>
    <w:rsid w:val="00615A0D"/>
    <w:rsid w:val="00617DC9"/>
    <w:rsid w:val="00617FBF"/>
    <w:rsid w:val="006209F9"/>
    <w:rsid w:val="00622026"/>
    <w:rsid w:val="00622FEE"/>
    <w:rsid w:val="006230D0"/>
    <w:rsid w:val="0062541A"/>
    <w:rsid w:val="006275EE"/>
    <w:rsid w:val="00632525"/>
    <w:rsid w:val="00633054"/>
    <w:rsid w:val="00635B44"/>
    <w:rsid w:val="006365FA"/>
    <w:rsid w:val="0064099A"/>
    <w:rsid w:val="00640DA7"/>
    <w:rsid w:val="00640E59"/>
    <w:rsid w:val="00640EAB"/>
    <w:rsid w:val="00641580"/>
    <w:rsid w:val="00641B12"/>
    <w:rsid w:val="00641C4C"/>
    <w:rsid w:val="00641D1E"/>
    <w:rsid w:val="00643169"/>
    <w:rsid w:val="00644745"/>
    <w:rsid w:val="00644C70"/>
    <w:rsid w:val="006461FF"/>
    <w:rsid w:val="0065296B"/>
    <w:rsid w:val="006545AC"/>
    <w:rsid w:val="0065710D"/>
    <w:rsid w:val="00660009"/>
    <w:rsid w:val="00662604"/>
    <w:rsid w:val="00662F9B"/>
    <w:rsid w:val="0066565E"/>
    <w:rsid w:val="0066603B"/>
    <w:rsid w:val="00666728"/>
    <w:rsid w:val="00667DED"/>
    <w:rsid w:val="00672528"/>
    <w:rsid w:val="00673E93"/>
    <w:rsid w:val="006742D6"/>
    <w:rsid w:val="00674850"/>
    <w:rsid w:val="00675E03"/>
    <w:rsid w:val="0067622A"/>
    <w:rsid w:val="00677546"/>
    <w:rsid w:val="006806DC"/>
    <w:rsid w:val="00681130"/>
    <w:rsid w:val="00681948"/>
    <w:rsid w:val="0068309D"/>
    <w:rsid w:val="0068512A"/>
    <w:rsid w:val="0069061D"/>
    <w:rsid w:val="00691051"/>
    <w:rsid w:val="0069403C"/>
    <w:rsid w:val="00694728"/>
    <w:rsid w:val="00694AAB"/>
    <w:rsid w:val="00697352"/>
    <w:rsid w:val="006A0F0A"/>
    <w:rsid w:val="006A255D"/>
    <w:rsid w:val="006A3956"/>
    <w:rsid w:val="006A3DA9"/>
    <w:rsid w:val="006A5AFF"/>
    <w:rsid w:val="006A6AA2"/>
    <w:rsid w:val="006A6C1C"/>
    <w:rsid w:val="006A7D3C"/>
    <w:rsid w:val="006B00E5"/>
    <w:rsid w:val="006B050F"/>
    <w:rsid w:val="006B145E"/>
    <w:rsid w:val="006B22D9"/>
    <w:rsid w:val="006B32A8"/>
    <w:rsid w:val="006B4171"/>
    <w:rsid w:val="006B6F41"/>
    <w:rsid w:val="006B7071"/>
    <w:rsid w:val="006B740C"/>
    <w:rsid w:val="006B7E2E"/>
    <w:rsid w:val="006C018F"/>
    <w:rsid w:val="006C0B63"/>
    <w:rsid w:val="006C17C2"/>
    <w:rsid w:val="006C22DD"/>
    <w:rsid w:val="006D014E"/>
    <w:rsid w:val="006D2BE7"/>
    <w:rsid w:val="006D32BA"/>
    <w:rsid w:val="006D3FB1"/>
    <w:rsid w:val="006D4B75"/>
    <w:rsid w:val="006D5D4E"/>
    <w:rsid w:val="006D6AD3"/>
    <w:rsid w:val="006D6F32"/>
    <w:rsid w:val="006E2373"/>
    <w:rsid w:val="006E3967"/>
    <w:rsid w:val="006E3E77"/>
    <w:rsid w:val="006E5320"/>
    <w:rsid w:val="006E7512"/>
    <w:rsid w:val="006F1009"/>
    <w:rsid w:val="006F135F"/>
    <w:rsid w:val="006F2B82"/>
    <w:rsid w:val="006F44F1"/>
    <w:rsid w:val="006F46F2"/>
    <w:rsid w:val="006F47A1"/>
    <w:rsid w:val="006F47BA"/>
    <w:rsid w:val="006F53CD"/>
    <w:rsid w:val="006F7769"/>
    <w:rsid w:val="007018B7"/>
    <w:rsid w:val="00703F1D"/>
    <w:rsid w:val="0070408F"/>
    <w:rsid w:val="007119AB"/>
    <w:rsid w:val="0071436F"/>
    <w:rsid w:val="0071602E"/>
    <w:rsid w:val="0071621C"/>
    <w:rsid w:val="00716A3C"/>
    <w:rsid w:val="007208F1"/>
    <w:rsid w:val="00720D57"/>
    <w:rsid w:val="00722235"/>
    <w:rsid w:val="007224E0"/>
    <w:rsid w:val="007231F8"/>
    <w:rsid w:val="0072420B"/>
    <w:rsid w:val="0072580E"/>
    <w:rsid w:val="00725DEE"/>
    <w:rsid w:val="00731A94"/>
    <w:rsid w:val="007320C9"/>
    <w:rsid w:val="00732CB8"/>
    <w:rsid w:val="00733495"/>
    <w:rsid w:val="0073434C"/>
    <w:rsid w:val="00734E51"/>
    <w:rsid w:val="00735D9C"/>
    <w:rsid w:val="00736A68"/>
    <w:rsid w:val="007378EE"/>
    <w:rsid w:val="00740CE4"/>
    <w:rsid w:val="00742250"/>
    <w:rsid w:val="0074339D"/>
    <w:rsid w:val="007433D6"/>
    <w:rsid w:val="007438E3"/>
    <w:rsid w:val="007447D8"/>
    <w:rsid w:val="0074588B"/>
    <w:rsid w:val="00750886"/>
    <w:rsid w:val="00756FFD"/>
    <w:rsid w:val="007615D2"/>
    <w:rsid w:val="00761E02"/>
    <w:rsid w:val="007630DA"/>
    <w:rsid w:val="00765076"/>
    <w:rsid w:val="00765320"/>
    <w:rsid w:val="00767DA3"/>
    <w:rsid w:val="00770962"/>
    <w:rsid w:val="007717F8"/>
    <w:rsid w:val="0077192A"/>
    <w:rsid w:val="00771F93"/>
    <w:rsid w:val="00773928"/>
    <w:rsid w:val="00773CC3"/>
    <w:rsid w:val="0077598F"/>
    <w:rsid w:val="00775A36"/>
    <w:rsid w:val="007777D1"/>
    <w:rsid w:val="00780B68"/>
    <w:rsid w:val="00781076"/>
    <w:rsid w:val="00781B24"/>
    <w:rsid w:val="00782A09"/>
    <w:rsid w:val="00783182"/>
    <w:rsid w:val="00783737"/>
    <w:rsid w:val="007855C3"/>
    <w:rsid w:val="007861BB"/>
    <w:rsid w:val="007864A2"/>
    <w:rsid w:val="007904FD"/>
    <w:rsid w:val="00790F0C"/>
    <w:rsid w:val="00791B28"/>
    <w:rsid w:val="007926F9"/>
    <w:rsid w:val="00793FF4"/>
    <w:rsid w:val="007960C4"/>
    <w:rsid w:val="007A0011"/>
    <w:rsid w:val="007A27B6"/>
    <w:rsid w:val="007A5914"/>
    <w:rsid w:val="007A619D"/>
    <w:rsid w:val="007A7690"/>
    <w:rsid w:val="007B0EE1"/>
    <w:rsid w:val="007B17FE"/>
    <w:rsid w:val="007B3398"/>
    <w:rsid w:val="007B3A17"/>
    <w:rsid w:val="007B4222"/>
    <w:rsid w:val="007B4993"/>
    <w:rsid w:val="007B5C3D"/>
    <w:rsid w:val="007B5F16"/>
    <w:rsid w:val="007C0470"/>
    <w:rsid w:val="007C0EC2"/>
    <w:rsid w:val="007C20EF"/>
    <w:rsid w:val="007C279A"/>
    <w:rsid w:val="007C3EB1"/>
    <w:rsid w:val="007C4D6B"/>
    <w:rsid w:val="007D13DE"/>
    <w:rsid w:val="007D2202"/>
    <w:rsid w:val="007D7E1C"/>
    <w:rsid w:val="007E2BEE"/>
    <w:rsid w:val="007E313A"/>
    <w:rsid w:val="007E442F"/>
    <w:rsid w:val="007E4810"/>
    <w:rsid w:val="007E48BD"/>
    <w:rsid w:val="007E6019"/>
    <w:rsid w:val="007E633E"/>
    <w:rsid w:val="007E7E63"/>
    <w:rsid w:val="007F0149"/>
    <w:rsid w:val="007F0AF1"/>
    <w:rsid w:val="007F0F88"/>
    <w:rsid w:val="007F1583"/>
    <w:rsid w:val="007F1D68"/>
    <w:rsid w:val="008013F3"/>
    <w:rsid w:val="00801719"/>
    <w:rsid w:val="008031FB"/>
    <w:rsid w:val="008040DC"/>
    <w:rsid w:val="00804185"/>
    <w:rsid w:val="00806CD8"/>
    <w:rsid w:val="008071D7"/>
    <w:rsid w:val="00807854"/>
    <w:rsid w:val="00807C53"/>
    <w:rsid w:val="00807D5B"/>
    <w:rsid w:val="0081170C"/>
    <w:rsid w:val="00811B78"/>
    <w:rsid w:val="00811C52"/>
    <w:rsid w:val="00812054"/>
    <w:rsid w:val="00812A5A"/>
    <w:rsid w:val="00812F45"/>
    <w:rsid w:val="00816048"/>
    <w:rsid w:val="00816C33"/>
    <w:rsid w:val="008176DC"/>
    <w:rsid w:val="0081793A"/>
    <w:rsid w:val="00817A07"/>
    <w:rsid w:val="008216A3"/>
    <w:rsid w:val="0082171D"/>
    <w:rsid w:val="008246A0"/>
    <w:rsid w:val="00824D2C"/>
    <w:rsid w:val="008256CE"/>
    <w:rsid w:val="0082782C"/>
    <w:rsid w:val="00827CA3"/>
    <w:rsid w:val="00830777"/>
    <w:rsid w:val="008330E2"/>
    <w:rsid w:val="0083496B"/>
    <w:rsid w:val="00837EB5"/>
    <w:rsid w:val="00842555"/>
    <w:rsid w:val="00843D72"/>
    <w:rsid w:val="00844C8E"/>
    <w:rsid w:val="00845AF0"/>
    <w:rsid w:val="0084614D"/>
    <w:rsid w:val="00847355"/>
    <w:rsid w:val="00847B9E"/>
    <w:rsid w:val="0085134B"/>
    <w:rsid w:val="00855D2A"/>
    <w:rsid w:val="00856252"/>
    <w:rsid w:val="00856811"/>
    <w:rsid w:val="00856B6A"/>
    <w:rsid w:val="00856F76"/>
    <w:rsid w:val="008573A1"/>
    <w:rsid w:val="008646CD"/>
    <w:rsid w:val="00867CF5"/>
    <w:rsid w:val="008700D4"/>
    <w:rsid w:val="00871610"/>
    <w:rsid w:val="0087225D"/>
    <w:rsid w:val="0087234F"/>
    <w:rsid w:val="00874057"/>
    <w:rsid w:val="008753F9"/>
    <w:rsid w:val="00876A6D"/>
    <w:rsid w:val="00876D72"/>
    <w:rsid w:val="008772F1"/>
    <w:rsid w:val="00877FE9"/>
    <w:rsid w:val="00881CD9"/>
    <w:rsid w:val="00881D2E"/>
    <w:rsid w:val="00883A7A"/>
    <w:rsid w:val="00883D21"/>
    <w:rsid w:val="00884027"/>
    <w:rsid w:val="008855F0"/>
    <w:rsid w:val="008858F9"/>
    <w:rsid w:val="00887767"/>
    <w:rsid w:val="00891553"/>
    <w:rsid w:val="00891706"/>
    <w:rsid w:val="00891C11"/>
    <w:rsid w:val="008966E8"/>
    <w:rsid w:val="00896AF8"/>
    <w:rsid w:val="00896FED"/>
    <w:rsid w:val="008A0F44"/>
    <w:rsid w:val="008A119C"/>
    <w:rsid w:val="008A243D"/>
    <w:rsid w:val="008A34C3"/>
    <w:rsid w:val="008A5AC2"/>
    <w:rsid w:val="008A65BF"/>
    <w:rsid w:val="008A7F25"/>
    <w:rsid w:val="008B0019"/>
    <w:rsid w:val="008B0AD4"/>
    <w:rsid w:val="008B3FF9"/>
    <w:rsid w:val="008B513B"/>
    <w:rsid w:val="008B5299"/>
    <w:rsid w:val="008B5CB2"/>
    <w:rsid w:val="008B7DE6"/>
    <w:rsid w:val="008C04E6"/>
    <w:rsid w:val="008C172F"/>
    <w:rsid w:val="008C2887"/>
    <w:rsid w:val="008C2E61"/>
    <w:rsid w:val="008C57B9"/>
    <w:rsid w:val="008C6B22"/>
    <w:rsid w:val="008C7E1A"/>
    <w:rsid w:val="008D215E"/>
    <w:rsid w:val="008D3B7E"/>
    <w:rsid w:val="008D5189"/>
    <w:rsid w:val="008D59E4"/>
    <w:rsid w:val="008D5CC2"/>
    <w:rsid w:val="008D725C"/>
    <w:rsid w:val="008D774D"/>
    <w:rsid w:val="008E1557"/>
    <w:rsid w:val="008E2917"/>
    <w:rsid w:val="008E2A8E"/>
    <w:rsid w:val="008E313E"/>
    <w:rsid w:val="008E3AF1"/>
    <w:rsid w:val="008E3E8A"/>
    <w:rsid w:val="008E5360"/>
    <w:rsid w:val="008E6B9E"/>
    <w:rsid w:val="008E756B"/>
    <w:rsid w:val="008F02AF"/>
    <w:rsid w:val="008F0984"/>
    <w:rsid w:val="008F1578"/>
    <w:rsid w:val="008F2BD8"/>
    <w:rsid w:val="008F7567"/>
    <w:rsid w:val="00900769"/>
    <w:rsid w:val="0090217F"/>
    <w:rsid w:val="00902628"/>
    <w:rsid w:val="00902716"/>
    <w:rsid w:val="00904641"/>
    <w:rsid w:val="00905031"/>
    <w:rsid w:val="009061E8"/>
    <w:rsid w:val="0090764A"/>
    <w:rsid w:val="00910986"/>
    <w:rsid w:val="0091118F"/>
    <w:rsid w:val="0091212D"/>
    <w:rsid w:val="00915051"/>
    <w:rsid w:val="00917D7A"/>
    <w:rsid w:val="009206E1"/>
    <w:rsid w:val="0092125A"/>
    <w:rsid w:val="009224F3"/>
    <w:rsid w:val="009232DE"/>
    <w:rsid w:val="00927361"/>
    <w:rsid w:val="00927470"/>
    <w:rsid w:val="00932386"/>
    <w:rsid w:val="0093360F"/>
    <w:rsid w:val="00934B5A"/>
    <w:rsid w:val="00936006"/>
    <w:rsid w:val="00937955"/>
    <w:rsid w:val="00942AFB"/>
    <w:rsid w:val="00942B7F"/>
    <w:rsid w:val="00945087"/>
    <w:rsid w:val="00946A1C"/>
    <w:rsid w:val="00951A6A"/>
    <w:rsid w:val="00952426"/>
    <w:rsid w:val="00952B53"/>
    <w:rsid w:val="00952BCB"/>
    <w:rsid w:val="00952E1D"/>
    <w:rsid w:val="0095320F"/>
    <w:rsid w:val="00954256"/>
    <w:rsid w:val="0096134E"/>
    <w:rsid w:val="00961D87"/>
    <w:rsid w:val="00964035"/>
    <w:rsid w:val="009659E4"/>
    <w:rsid w:val="009664EA"/>
    <w:rsid w:val="009667C4"/>
    <w:rsid w:val="0096744E"/>
    <w:rsid w:val="0097270E"/>
    <w:rsid w:val="009728A5"/>
    <w:rsid w:val="0097350C"/>
    <w:rsid w:val="00973BA2"/>
    <w:rsid w:val="009751F2"/>
    <w:rsid w:val="00976E90"/>
    <w:rsid w:val="00977170"/>
    <w:rsid w:val="00977758"/>
    <w:rsid w:val="00977CC5"/>
    <w:rsid w:val="009804EE"/>
    <w:rsid w:val="009806C5"/>
    <w:rsid w:val="00980B34"/>
    <w:rsid w:val="0098301C"/>
    <w:rsid w:val="009838F7"/>
    <w:rsid w:val="00983DC3"/>
    <w:rsid w:val="00983E9F"/>
    <w:rsid w:val="0098451B"/>
    <w:rsid w:val="00984D41"/>
    <w:rsid w:val="00985A88"/>
    <w:rsid w:val="00986480"/>
    <w:rsid w:val="00987A14"/>
    <w:rsid w:val="00987CB0"/>
    <w:rsid w:val="009918DA"/>
    <w:rsid w:val="0099312D"/>
    <w:rsid w:val="009A1175"/>
    <w:rsid w:val="009A25E9"/>
    <w:rsid w:val="009A327B"/>
    <w:rsid w:val="009A3CDC"/>
    <w:rsid w:val="009A3F59"/>
    <w:rsid w:val="009A4578"/>
    <w:rsid w:val="009A570E"/>
    <w:rsid w:val="009A6399"/>
    <w:rsid w:val="009A69C5"/>
    <w:rsid w:val="009A6E48"/>
    <w:rsid w:val="009A7BCA"/>
    <w:rsid w:val="009A7EC5"/>
    <w:rsid w:val="009B0E73"/>
    <w:rsid w:val="009B3798"/>
    <w:rsid w:val="009B44FC"/>
    <w:rsid w:val="009B4C2F"/>
    <w:rsid w:val="009B5CD9"/>
    <w:rsid w:val="009B77A6"/>
    <w:rsid w:val="009C1C1A"/>
    <w:rsid w:val="009C4602"/>
    <w:rsid w:val="009C4F2E"/>
    <w:rsid w:val="009C5EC8"/>
    <w:rsid w:val="009C5F29"/>
    <w:rsid w:val="009C68B8"/>
    <w:rsid w:val="009D01DF"/>
    <w:rsid w:val="009D124E"/>
    <w:rsid w:val="009D17EE"/>
    <w:rsid w:val="009D4EB7"/>
    <w:rsid w:val="009D54AF"/>
    <w:rsid w:val="009E04B4"/>
    <w:rsid w:val="009E11D5"/>
    <w:rsid w:val="009E237E"/>
    <w:rsid w:val="009E320A"/>
    <w:rsid w:val="009E4158"/>
    <w:rsid w:val="009E48D9"/>
    <w:rsid w:val="009E50EF"/>
    <w:rsid w:val="009E520C"/>
    <w:rsid w:val="009E63C9"/>
    <w:rsid w:val="009E786E"/>
    <w:rsid w:val="009F0B46"/>
    <w:rsid w:val="009F13E7"/>
    <w:rsid w:val="009F2390"/>
    <w:rsid w:val="009F29C9"/>
    <w:rsid w:val="009F2F74"/>
    <w:rsid w:val="009F318F"/>
    <w:rsid w:val="009F4B26"/>
    <w:rsid w:val="00A008B4"/>
    <w:rsid w:val="00A00BE3"/>
    <w:rsid w:val="00A00E77"/>
    <w:rsid w:val="00A01868"/>
    <w:rsid w:val="00A051C3"/>
    <w:rsid w:val="00A113C9"/>
    <w:rsid w:val="00A1186C"/>
    <w:rsid w:val="00A1201F"/>
    <w:rsid w:val="00A144DD"/>
    <w:rsid w:val="00A1529E"/>
    <w:rsid w:val="00A17B93"/>
    <w:rsid w:val="00A217D6"/>
    <w:rsid w:val="00A25E9B"/>
    <w:rsid w:val="00A26A53"/>
    <w:rsid w:val="00A304ED"/>
    <w:rsid w:val="00A30698"/>
    <w:rsid w:val="00A30D9D"/>
    <w:rsid w:val="00A3105F"/>
    <w:rsid w:val="00A3225C"/>
    <w:rsid w:val="00A33928"/>
    <w:rsid w:val="00A33DF6"/>
    <w:rsid w:val="00A346BF"/>
    <w:rsid w:val="00A36A15"/>
    <w:rsid w:val="00A40089"/>
    <w:rsid w:val="00A43466"/>
    <w:rsid w:val="00A44A8F"/>
    <w:rsid w:val="00A468BD"/>
    <w:rsid w:val="00A46F08"/>
    <w:rsid w:val="00A47281"/>
    <w:rsid w:val="00A50287"/>
    <w:rsid w:val="00A50AD1"/>
    <w:rsid w:val="00A51274"/>
    <w:rsid w:val="00A5128D"/>
    <w:rsid w:val="00A524D2"/>
    <w:rsid w:val="00A529BC"/>
    <w:rsid w:val="00A52AD2"/>
    <w:rsid w:val="00A5394A"/>
    <w:rsid w:val="00A55449"/>
    <w:rsid w:val="00A57BBC"/>
    <w:rsid w:val="00A635EC"/>
    <w:rsid w:val="00A63E4C"/>
    <w:rsid w:val="00A63E85"/>
    <w:rsid w:val="00A6707A"/>
    <w:rsid w:val="00A674E5"/>
    <w:rsid w:val="00A67A78"/>
    <w:rsid w:val="00A67DB8"/>
    <w:rsid w:val="00A7041C"/>
    <w:rsid w:val="00A710ED"/>
    <w:rsid w:val="00A72859"/>
    <w:rsid w:val="00A72EAD"/>
    <w:rsid w:val="00A737A6"/>
    <w:rsid w:val="00A75F9A"/>
    <w:rsid w:val="00A760A8"/>
    <w:rsid w:val="00A7698A"/>
    <w:rsid w:val="00A76EC3"/>
    <w:rsid w:val="00A77CE0"/>
    <w:rsid w:val="00A82BB9"/>
    <w:rsid w:val="00A837F4"/>
    <w:rsid w:val="00A838B8"/>
    <w:rsid w:val="00A84F81"/>
    <w:rsid w:val="00A85760"/>
    <w:rsid w:val="00A86647"/>
    <w:rsid w:val="00A87429"/>
    <w:rsid w:val="00A925E6"/>
    <w:rsid w:val="00A934B7"/>
    <w:rsid w:val="00A96740"/>
    <w:rsid w:val="00A9680E"/>
    <w:rsid w:val="00A97A82"/>
    <w:rsid w:val="00AA02F2"/>
    <w:rsid w:val="00AA108F"/>
    <w:rsid w:val="00AA1A4E"/>
    <w:rsid w:val="00AA2CE6"/>
    <w:rsid w:val="00AA2FF7"/>
    <w:rsid w:val="00AA3292"/>
    <w:rsid w:val="00AA409C"/>
    <w:rsid w:val="00AA57F8"/>
    <w:rsid w:val="00AA7011"/>
    <w:rsid w:val="00AA7331"/>
    <w:rsid w:val="00AB03C2"/>
    <w:rsid w:val="00AB100E"/>
    <w:rsid w:val="00AB1C9B"/>
    <w:rsid w:val="00AB57F6"/>
    <w:rsid w:val="00AB5B71"/>
    <w:rsid w:val="00AC0891"/>
    <w:rsid w:val="00AC17AF"/>
    <w:rsid w:val="00AC2394"/>
    <w:rsid w:val="00AC307E"/>
    <w:rsid w:val="00AC483E"/>
    <w:rsid w:val="00AC75A5"/>
    <w:rsid w:val="00AD1B85"/>
    <w:rsid w:val="00AD2254"/>
    <w:rsid w:val="00AD2CF0"/>
    <w:rsid w:val="00AD3CED"/>
    <w:rsid w:val="00AD5436"/>
    <w:rsid w:val="00AD5932"/>
    <w:rsid w:val="00AD78DF"/>
    <w:rsid w:val="00AD7998"/>
    <w:rsid w:val="00AE4062"/>
    <w:rsid w:val="00AE562C"/>
    <w:rsid w:val="00AE5A0C"/>
    <w:rsid w:val="00AE6406"/>
    <w:rsid w:val="00AE7309"/>
    <w:rsid w:val="00AF1C5D"/>
    <w:rsid w:val="00AF3087"/>
    <w:rsid w:val="00AF3AC3"/>
    <w:rsid w:val="00AF545F"/>
    <w:rsid w:val="00AF6802"/>
    <w:rsid w:val="00AF6F66"/>
    <w:rsid w:val="00AF7290"/>
    <w:rsid w:val="00AF75D9"/>
    <w:rsid w:val="00AF7EAD"/>
    <w:rsid w:val="00B0030D"/>
    <w:rsid w:val="00B0138C"/>
    <w:rsid w:val="00B02E43"/>
    <w:rsid w:val="00B03393"/>
    <w:rsid w:val="00B0347F"/>
    <w:rsid w:val="00B03544"/>
    <w:rsid w:val="00B04EB7"/>
    <w:rsid w:val="00B106F0"/>
    <w:rsid w:val="00B10E43"/>
    <w:rsid w:val="00B11975"/>
    <w:rsid w:val="00B11F98"/>
    <w:rsid w:val="00B12071"/>
    <w:rsid w:val="00B1269C"/>
    <w:rsid w:val="00B146BC"/>
    <w:rsid w:val="00B14E27"/>
    <w:rsid w:val="00B15113"/>
    <w:rsid w:val="00B17254"/>
    <w:rsid w:val="00B20937"/>
    <w:rsid w:val="00B20EAB"/>
    <w:rsid w:val="00B227F5"/>
    <w:rsid w:val="00B22C5C"/>
    <w:rsid w:val="00B23BAF"/>
    <w:rsid w:val="00B2417B"/>
    <w:rsid w:val="00B24426"/>
    <w:rsid w:val="00B251FA"/>
    <w:rsid w:val="00B2558E"/>
    <w:rsid w:val="00B30B5D"/>
    <w:rsid w:val="00B344D3"/>
    <w:rsid w:val="00B364A9"/>
    <w:rsid w:val="00B40658"/>
    <w:rsid w:val="00B40BD5"/>
    <w:rsid w:val="00B42173"/>
    <w:rsid w:val="00B4250D"/>
    <w:rsid w:val="00B458E3"/>
    <w:rsid w:val="00B4618D"/>
    <w:rsid w:val="00B46A43"/>
    <w:rsid w:val="00B46AB5"/>
    <w:rsid w:val="00B51AC7"/>
    <w:rsid w:val="00B5240E"/>
    <w:rsid w:val="00B524E3"/>
    <w:rsid w:val="00B52519"/>
    <w:rsid w:val="00B52E68"/>
    <w:rsid w:val="00B5391B"/>
    <w:rsid w:val="00B53B4F"/>
    <w:rsid w:val="00B556E9"/>
    <w:rsid w:val="00B56F12"/>
    <w:rsid w:val="00B576D5"/>
    <w:rsid w:val="00B61E3A"/>
    <w:rsid w:val="00B62E73"/>
    <w:rsid w:val="00B63930"/>
    <w:rsid w:val="00B65D7E"/>
    <w:rsid w:val="00B66825"/>
    <w:rsid w:val="00B72772"/>
    <w:rsid w:val="00B740A9"/>
    <w:rsid w:val="00B742F1"/>
    <w:rsid w:val="00B74E15"/>
    <w:rsid w:val="00B74EA8"/>
    <w:rsid w:val="00B7674A"/>
    <w:rsid w:val="00B80CFF"/>
    <w:rsid w:val="00B810FF"/>
    <w:rsid w:val="00B8118F"/>
    <w:rsid w:val="00B81E92"/>
    <w:rsid w:val="00B84210"/>
    <w:rsid w:val="00B86659"/>
    <w:rsid w:val="00B9284F"/>
    <w:rsid w:val="00B943EB"/>
    <w:rsid w:val="00B95176"/>
    <w:rsid w:val="00B951C6"/>
    <w:rsid w:val="00BA04A0"/>
    <w:rsid w:val="00BA081D"/>
    <w:rsid w:val="00BA1679"/>
    <w:rsid w:val="00BA2873"/>
    <w:rsid w:val="00BA39D4"/>
    <w:rsid w:val="00BA4BFD"/>
    <w:rsid w:val="00BA5EBF"/>
    <w:rsid w:val="00BA64E0"/>
    <w:rsid w:val="00BA72FD"/>
    <w:rsid w:val="00BB1BCE"/>
    <w:rsid w:val="00BB27C9"/>
    <w:rsid w:val="00BB295F"/>
    <w:rsid w:val="00BB4A2B"/>
    <w:rsid w:val="00BB55CD"/>
    <w:rsid w:val="00BB5C6A"/>
    <w:rsid w:val="00BC0832"/>
    <w:rsid w:val="00BC296D"/>
    <w:rsid w:val="00BC4E9D"/>
    <w:rsid w:val="00BC5271"/>
    <w:rsid w:val="00BD1491"/>
    <w:rsid w:val="00BD2BDD"/>
    <w:rsid w:val="00BD2D8E"/>
    <w:rsid w:val="00BD30A9"/>
    <w:rsid w:val="00BD33CA"/>
    <w:rsid w:val="00BD3EDB"/>
    <w:rsid w:val="00BD4973"/>
    <w:rsid w:val="00BD4A23"/>
    <w:rsid w:val="00BD5548"/>
    <w:rsid w:val="00BD60DD"/>
    <w:rsid w:val="00BD6630"/>
    <w:rsid w:val="00BD7BD6"/>
    <w:rsid w:val="00BD7FB3"/>
    <w:rsid w:val="00BE030C"/>
    <w:rsid w:val="00BE219D"/>
    <w:rsid w:val="00BE25AC"/>
    <w:rsid w:val="00BE2F2A"/>
    <w:rsid w:val="00BE4B32"/>
    <w:rsid w:val="00BE4D65"/>
    <w:rsid w:val="00BE7537"/>
    <w:rsid w:val="00BF0B58"/>
    <w:rsid w:val="00BF1F3F"/>
    <w:rsid w:val="00BF2150"/>
    <w:rsid w:val="00BF30D9"/>
    <w:rsid w:val="00BF390C"/>
    <w:rsid w:val="00BF3E95"/>
    <w:rsid w:val="00BF4895"/>
    <w:rsid w:val="00BF4EE1"/>
    <w:rsid w:val="00BF5C7E"/>
    <w:rsid w:val="00BF5DF3"/>
    <w:rsid w:val="00BF6947"/>
    <w:rsid w:val="00BF7E30"/>
    <w:rsid w:val="00C00EC1"/>
    <w:rsid w:val="00C02D37"/>
    <w:rsid w:val="00C0376E"/>
    <w:rsid w:val="00C07217"/>
    <w:rsid w:val="00C11A7B"/>
    <w:rsid w:val="00C12C45"/>
    <w:rsid w:val="00C14496"/>
    <w:rsid w:val="00C1522E"/>
    <w:rsid w:val="00C15AA7"/>
    <w:rsid w:val="00C20FE3"/>
    <w:rsid w:val="00C21D02"/>
    <w:rsid w:val="00C21FEC"/>
    <w:rsid w:val="00C22916"/>
    <w:rsid w:val="00C244D5"/>
    <w:rsid w:val="00C24AC0"/>
    <w:rsid w:val="00C24E89"/>
    <w:rsid w:val="00C25C0A"/>
    <w:rsid w:val="00C27EF1"/>
    <w:rsid w:val="00C302EC"/>
    <w:rsid w:val="00C30646"/>
    <w:rsid w:val="00C31717"/>
    <w:rsid w:val="00C31A58"/>
    <w:rsid w:val="00C31E78"/>
    <w:rsid w:val="00C321D2"/>
    <w:rsid w:val="00C347E1"/>
    <w:rsid w:val="00C36C3F"/>
    <w:rsid w:val="00C40ACD"/>
    <w:rsid w:val="00C40F71"/>
    <w:rsid w:val="00C413F3"/>
    <w:rsid w:val="00C416C9"/>
    <w:rsid w:val="00C429F0"/>
    <w:rsid w:val="00C43579"/>
    <w:rsid w:val="00C438FF"/>
    <w:rsid w:val="00C45043"/>
    <w:rsid w:val="00C46B28"/>
    <w:rsid w:val="00C515D0"/>
    <w:rsid w:val="00C51E6A"/>
    <w:rsid w:val="00C52174"/>
    <w:rsid w:val="00C5262A"/>
    <w:rsid w:val="00C52A27"/>
    <w:rsid w:val="00C52D39"/>
    <w:rsid w:val="00C5347F"/>
    <w:rsid w:val="00C5356D"/>
    <w:rsid w:val="00C543FA"/>
    <w:rsid w:val="00C5508C"/>
    <w:rsid w:val="00C557F5"/>
    <w:rsid w:val="00C56DC6"/>
    <w:rsid w:val="00C56E72"/>
    <w:rsid w:val="00C571FF"/>
    <w:rsid w:val="00C6021A"/>
    <w:rsid w:val="00C615DA"/>
    <w:rsid w:val="00C6192C"/>
    <w:rsid w:val="00C61D8F"/>
    <w:rsid w:val="00C62261"/>
    <w:rsid w:val="00C638F7"/>
    <w:rsid w:val="00C6420C"/>
    <w:rsid w:val="00C645D1"/>
    <w:rsid w:val="00C66DCB"/>
    <w:rsid w:val="00C67435"/>
    <w:rsid w:val="00C70564"/>
    <w:rsid w:val="00C70CE1"/>
    <w:rsid w:val="00C71B0E"/>
    <w:rsid w:val="00C733EB"/>
    <w:rsid w:val="00C73C56"/>
    <w:rsid w:val="00C743EF"/>
    <w:rsid w:val="00C747C1"/>
    <w:rsid w:val="00C75329"/>
    <w:rsid w:val="00C75751"/>
    <w:rsid w:val="00C76DED"/>
    <w:rsid w:val="00C77CE9"/>
    <w:rsid w:val="00C801E6"/>
    <w:rsid w:val="00C81126"/>
    <w:rsid w:val="00C81F32"/>
    <w:rsid w:val="00C838B4"/>
    <w:rsid w:val="00C838C3"/>
    <w:rsid w:val="00C856DE"/>
    <w:rsid w:val="00C85807"/>
    <w:rsid w:val="00C858FE"/>
    <w:rsid w:val="00C86262"/>
    <w:rsid w:val="00C90676"/>
    <w:rsid w:val="00C90F5C"/>
    <w:rsid w:val="00C921ED"/>
    <w:rsid w:val="00C94412"/>
    <w:rsid w:val="00C94CF0"/>
    <w:rsid w:val="00C95182"/>
    <w:rsid w:val="00C95590"/>
    <w:rsid w:val="00C96374"/>
    <w:rsid w:val="00C971BA"/>
    <w:rsid w:val="00CA0B21"/>
    <w:rsid w:val="00CA1C5F"/>
    <w:rsid w:val="00CA2922"/>
    <w:rsid w:val="00CA3F9A"/>
    <w:rsid w:val="00CA4418"/>
    <w:rsid w:val="00CA4596"/>
    <w:rsid w:val="00CA46F5"/>
    <w:rsid w:val="00CA47A5"/>
    <w:rsid w:val="00CA521F"/>
    <w:rsid w:val="00CA602A"/>
    <w:rsid w:val="00CA650B"/>
    <w:rsid w:val="00CA68FD"/>
    <w:rsid w:val="00CB064B"/>
    <w:rsid w:val="00CB14C0"/>
    <w:rsid w:val="00CB1537"/>
    <w:rsid w:val="00CB220A"/>
    <w:rsid w:val="00CB41E7"/>
    <w:rsid w:val="00CB6699"/>
    <w:rsid w:val="00CB7615"/>
    <w:rsid w:val="00CC053B"/>
    <w:rsid w:val="00CC1A59"/>
    <w:rsid w:val="00CC1FE2"/>
    <w:rsid w:val="00CC202A"/>
    <w:rsid w:val="00CC47D8"/>
    <w:rsid w:val="00CC571B"/>
    <w:rsid w:val="00CC5747"/>
    <w:rsid w:val="00CC5D71"/>
    <w:rsid w:val="00CC6195"/>
    <w:rsid w:val="00CC77E6"/>
    <w:rsid w:val="00CD3767"/>
    <w:rsid w:val="00CD5D06"/>
    <w:rsid w:val="00CD6E30"/>
    <w:rsid w:val="00CE153B"/>
    <w:rsid w:val="00CE2976"/>
    <w:rsid w:val="00CE34B7"/>
    <w:rsid w:val="00CE3F7A"/>
    <w:rsid w:val="00CE697C"/>
    <w:rsid w:val="00CE76FB"/>
    <w:rsid w:val="00CF0616"/>
    <w:rsid w:val="00CF0DAB"/>
    <w:rsid w:val="00CF19F0"/>
    <w:rsid w:val="00CF2111"/>
    <w:rsid w:val="00CF41C8"/>
    <w:rsid w:val="00CF57CB"/>
    <w:rsid w:val="00CF57E6"/>
    <w:rsid w:val="00CF600F"/>
    <w:rsid w:val="00CF72B1"/>
    <w:rsid w:val="00D0288B"/>
    <w:rsid w:val="00D03A57"/>
    <w:rsid w:val="00D03FE3"/>
    <w:rsid w:val="00D042CD"/>
    <w:rsid w:val="00D049EE"/>
    <w:rsid w:val="00D050A6"/>
    <w:rsid w:val="00D051EF"/>
    <w:rsid w:val="00D06A71"/>
    <w:rsid w:val="00D077BB"/>
    <w:rsid w:val="00D106A1"/>
    <w:rsid w:val="00D11E2D"/>
    <w:rsid w:val="00D12EE8"/>
    <w:rsid w:val="00D15D80"/>
    <w:rsid w:val="00D16A92"/>
    <w:rsid w:val="00D16D9D"/>
    <w:rsid w:val="00D205B6"/>
    <w:rsid w:val="00D2104F"/>
    <w:rsid w:val="00D21BF9"/>
    <w:rsid w:val="00D22CD8"/>
    <w:rsid w:val="00D23F87"/>
    <w:rsid w:val="00D248DC"/>
    <w:rsid w:val="00D25B09"/>
    <w:rsid w:val="00D26F8F"/>
    <w:rsid w:val="00D27BB5"/>
    <w:rsid w:val="00D3050B"/>
    <w:rsid w:val="00D31399"/>
    <w:rsid w:val="00D34E73"/>
    <w:rsid w:val="00D3559A"/>
    <w:rsid w:val="00D35A76"/>
    <w:rsid w:val="00D401BB"/>
    <w:rsid w:val="00D4084B"/>
    <w:rsid w:val="00D40BDF"/>
    <w:rsid w:val="00D40D3E"/>
    <w:rsid w:val="00D42397"/>
    <w:rsid w:val="00D42C19"/>
    <w:rsid w:val="00D42F4E"/>
    <w:rsid w:val="00D4403E"/>
    <w:rsid w:val="00D4571A"/>
    <w:rsid w:val="00D459DD"/>
    <w:rsid w:val="00D468C9"/>
    <w:rsid w:val="00D50FA8"/>
    <w:rsid w:val="00D5228B"/>
    <w:rsid w:val="00D540C9"/>
    <w:rsid w:val="00D54B1A"/>
    <w:rsid w:val="00D55C16"/>
    <w:rsid w:val="00D562C0"/>
    <w:rsid w:val="00D56D59"/>
    <w:rsid w:val="00D57660"/>
    <w:rsid w:val="00D57B66"/>
    <w:rsid w:val="00D637B4"/>
    <w:rsid w:val="00D64F3C"/>
    <w:rsid w:val="00D6508D"/>
    <w:rsid w:val="00D65FA4"/>
    <w:rsid w:val="00D660D6"/>
    <w:rsid w:val="00D67B93"/>
    <w:rsid w:val="00D70A68"/>
    <w:rsid w:val="00D71226"/>
    <w:rsid w:val="00D72854"/>
    <w:rsid w:val="00D744D4"/>
    <w:rsid w:val="00D7569B"/>
    <w:rsid w:val="00D757AA"/>
    <w:rsid w:val="00D77EBD"/>
    <w:rsid w:val="00D82062"/>
    <w:rsid w:val="00D83A54"/>
    <w:rsid w:val="00D844B1"/>
    <w:rsid w:val="00D85061"/>
    <w:rsid w:val="00D85899"/>
    <w:rsid w:val="00D85CCB"/>
    <w:rsid w:val="00D86156"/>
    <w:rsid w:val="00D87525"/>
    <w:rsid w:val="00D91F52"/>
    <w:rsid w:val="00D93A60"/>
    <w:rsid w:val="00D96FBF"/>
    <w:rsid w:val="00DA068E"/>
    <w:rsid w:val="00DA0E97"/>
    <w:rsid w:val="00DA16EE"/>
    <w:rsid w:val="00DA2082"/>
    <w:rsid w:val="00DB05A5"/>
    <w:rsid w:val="00DB0711"/>
    <w:rsid w:val="00DB08AB"/>
    <w:rsid w:val="00DB0954"/>
    <w:rsid w:val="00DB50C5"/>
    <w:rsid w:val="00DB54A5"/>
    <w:rsid w:val="00DB5A47"/>
    <w:rsid w:val="00DB6135"/>
    <w:rsid w:val="00DB7848"/>
    <w:rsid w:val="00DC055F"/>
    <w:rsid w:val="00DC52E7"/>
    <w:rsid w:val="00DC6875"/>
    <w:rsid w:val="00DC6CD5"/>
    <w:rsid w:val="00DC6D98"/>
    <w:rsid w:val="00DC77E4"/>
    <w:rsid w:val="00DC7998"/>
    <w:rsid w:val="00DD05AE"/>
    <w:rsid w:val="00DD09EC"/>
    <w:rsid w:val="00DD4D74"/>
    <w:rsid w:val="00DD7CC7"/>
    <w:rsid w:val="00DE0B13"/>
    <w:rsid w:val="00DE0B30"/>
    <w:rsid w:val="00DE0C63"/>
    <w:rsid w:val="00DE39C7"/>
    <w:rsid w:val="00DE3E04"/>
    <w:rsid w:val="00DE4950"/>
    <w:rsid w:val="00DE6CC4"/>
    <w:rsid w:val="00DE741B"/>
    <w:rsid w:val="00DE7CD9"/>
    <w:rsid w:val="00DF0215"/>
    <w:rsid w:val="00DF1BD1"/>
    <w:rsid w:val="00DF2A1C"/>
    <w:rsid w:val="00DF4CEF"/>
    <w:rsid w:val="00DF53F5"/>
    <w:rsid w:val="00DF54B6"/>
    <w:rsid w:val="00DF776F"/>
    <w:rsid w:val="00E019D7"/>
    <w:rsid w:val="00E053C5"/>
    <w:rsid w:val="00E071CC"/>
    <w:rsid w:val="00E11047"/>
    <w:rsid w:val="00E114A0"/>
    <w:rsid w:val="00E1169C"/>
    <w:rsid w:val="00E12FAE"/>
    <w:rsid w:val="00E140A8"/>
    <w:rsid w:val="00E153AB"/>
    <w:rsid w:val="00E17213"/>
    <w:rsid w:val="00E17C23"/>
    <w:rsid w:val="00E20E9A"/>
    <w:rsid w:val="00E21B0D"/>
    <w:rsid w:val="00E2696B"/>
    <w:rsid w:val="00E3158E"/>
    <w:rsid w:val="00E31F49"/>
    <w:rsid w:val="00E35291"/>
    <w:rsid w:val="00E3691D"/>
    <w:rsid w:val="00E36A34"/>
    <w:rsid w:val="00E3700C"/>
    <w:rsid w:val="00E37491"/>
    <w:rsid w:val="00E4182D"/>
    <w:rsid w:val="00E41A1C"/>
    <w:rsid w:val="00E42179"/>
    <w:rsid w:val="00E425D5"/>
    <w:rsid w:val="00E428AA"/>
    <w:rsid w:val="00E47815"/>
    <w:rsid w:val="00E47DBA"/>
    <w:rsid w:val="00E505D2"/>
    <w:rsid w:val="00E51625"/>
    <w:rsid w:val="00E547A2"/>
    <w:rsid w:val="00E54B4B"/>
    <w:rsid w:val="00E56CA1"/>
    <w:rsid w:val="00E57664"/>
    <w:rsid w:val="00E64CF2"/>
    <w:rsid w:val="00E64F0A"/>
    <w:rsid w:val="00E6644B"/>
    <w:rsid w:val="00E66D58"/>
    <w:rsid w:val="00E6735C"/>
    <w:rsid w:val="00E67DA8"/>
    <w:rsid w:val="00E727A6"/>
    <w:rsid w:val="00E72C4A"/>
    <w:rsid w:val="00E76E63"/>
    <w:rsid w:val="00E76EDC"/>
    <w:rsid w:val="00E7739C"/>
    <w:rsid w:val="00E7753A"/>
    <w:rsid w:val="00E813AE"/>
    <w:rsid w:val="00E820DA"/>
    <w:rsid w:val="00E82344"/>
    <w:rsid w:val="00E838CC"/>
    <w:rsid w:val="00E86CFF"/>
    <w:rsid w:val="00E91D9A"/>
    <w:rsid w:val="00E92A91"/>
    <w:rsid w:val="00E92B42"/>
    <w:rsid w:val="00E92E97"/>
    <w:rsid w:val="00E9316B"/>
    <w:rsid w:val="00E934CF"/>
    <w:rsid w:val="00E96400"/>
    <w:rsid w:val="00E968BF"/>
    <w:rsid w:val="00E96F9F"/>
    <w:rsid w:val="00EA3108"/>
    <w:rsid w:val="00EA311F"/>
    <w:rsid w:val="00EB06EF"/>
    <w:rsid w:val="00EB212F"/>
    <w:rsid w:val="00EB3B01"/>
    <w:rsid w:val="00EB5381"/>
    <w:rsid w:val="00EB7A44"/>
    <w:rsid w:val="00EB7E1A"/>
    <w:rsid w:val="00EC08A3"/>
    <w:rsid w:val="00EC1BFD"/>
    <w:rsid w:val="00EC2926"/>
    <w:rsid w:val="00EC2CC0"/>
    <w:rsid w:val="00EC3131"/>
    <w:rsid w:val="00EC3AEB"/>
    <w:rsid w:val="00EC5097"/>
    <w:rsid w:val="00EC7D5B"/>
    <w:rsid w:val="00ED0680"/>
    <w:rsid w:val="00ED1445"/>
    <w:rsid w:val="00ED3948"/>
    <w:rsid w:val="00ED7FA1"/>
    <w:rsid w:val="00EE0190"/>
    <w:rsid w:val="00EE0918"/>
    <w:rsid w:val="00EE2442"/>
    <w:rsid w:val="00EE5129"/>
    <w:rsid w:val="00EE5C22"/>
    <w:rsid w:val="00EE63AA"/>
    <w:rsid w:val="00EF0EB8"/>
    <w:rsid w:val="00EF2207"/>
    <w:rsid w:val="00EF4B11"/>
    <w:rsid w:val="00EF4FCD"/>
    <w:rsid w:val="00EF5972"/>
    <w:rsid w:val="00EF5D59"/>
    <w:rsid w:val="00EF7031"/>
    <w:rsid w:val="00EF7089"/>
    <w:rsid w:val="00EF7C2E"/>
    <w:rsid w:val="00F01DE4"/>
    <w:rsid w:val="00F0249C"/>
    <w:rsid w:val="00F030A8"/>
    <w:rsid w:val="00F05BF6"/>
    <w:rsid w:val="00F102AE"/>
    <w:rsid w:val="00F10ED8"/>
    <w:rsid w:val="00F1131E"/>
    <w:rsid w:val="00F1254F"/>
    <w:rsid w:val="00F134A9"/>
    <w:rsid w:val="00F1560D"/>
    <w:rsid w:val="00F175F4"/>
    <w:rsid w:val="00F17FA9"/>
    <w:rsid w:val="00F205F8"/>
    <w:rsid w:val="00F2243F"/>
    <w:rsid w:val="00F226AC"/>
    <w:rsid w:val="00F22CD3"/>
    <w:rsid w:val="00F2332E"/>
    <w:rsid w:val="00F256C6"/>
    <w:rsid w:val="00F2642C"/>
    <w:rsid w:val="00F26A9D"/>
    <w:rsid w:val="00F26D34"/>
    <w:rsid w:val="00F27440"/>
    <w:rsid w:val="00F303B2"/>
    <w:rsid w:val="00F30A08"/>
    <w:rsid w:val="00F31F0F"/>
    <w:rsid w:val="00F32372"/>
    <w:rsid w:val="00F343F7"/>
    <w:rsid w:val="00F345C0"/>
    <w:rsid w:val="00F355B5"/>
    <w:rsid w:val="00F361EE"/>
    <w:rsid w:val="00F4084A"/>
    <w:rsid w:val="00F41A3D"/>
    <w:rsid w:val="00F43B3C"/>
    <w:rsid w:val="00F43C06"/>
    <w:rsid w:val="00F43C8B"/>
    <w:rsid w:val="00F4758E"/>
    <w:rsid w:val="00F516CE"/>
    <w:rsid w:val="00F53290"/>
    <w:rsid w:val="00F53E52"/>
    <w:rsid w:val="00F54E93"/>
    <w:rsid w:val="00F54FFD"/>
    <w:rsid w:val="00F55CD7"/>
    <w:rsid w:val="00F56869"/>
    <w:rsid w:val="00F57504"/>
    <w:rsid w:val="00F57790"/>
    <w:rsid w:val="00F60EEF"/>
    <w:rsid w:val="00F62A7B"/>
    <w:rsid w:val="00F67D72"/>
    <w:rsid w:val="00F711E1"/>
    <w:rsid w:val="00F7351B"/>
    <w:rsid w:val="00F75794"/>
    <w:rsid w:val="00F7774C"/>
    <w:rsid w:val="00F80D4C"/>
    <w:rsid w:val="00F821A8"/>
    <w:rsid w:val="00F823BE"/>
    <w:rsid w:val="00F82768"/>
    <w:rsid w:val="00F82B62"/>
    <w:rsid w:val="00F83269"/>
    <w:rsid w:val="00F85A48"/>
    <w:rsid w:val="00F8779C"/>
    <w:rsid w:val="00F95D71"/>
    <w:rsid w:val="00F9680A"/>
    <w:rsid w:val="00F96EAF"/>
    <w:rsid w:val="00F97BE1"/>
    <w:rsid w:val="00FA1A85"/>
    <w:rsid w:val="00FA43A5"/>
    <w:rsid w:val="00FA572F"/>
    <w:rsid w:val="00FA5CD5"/>
    <w:rsid w:val="00FA643E"/>
    <w:rsid w:val="00FA6803"/>
    <w:rsid w:val="00FA6F27"/>
    <w:rsid w:val="00FA702B"/>
    <w:rsid w:val="00FB1A6C"/>
    <w:rsid w:val="00FB331E"/>
    <w:rsid w:val="00FB333B"/>
    <w:rsid w:val="00FC008F"/>
    <w:rsid w:val="00FC1C34"/>
    <w:rsid w:val="00FC1E56"/>
    <w:rsid w:val="00FC295C"/>
    <w:rsid w:val="00FC6E3D"/>
    <w:rsid w:val="00FC7298"/>
    <w:rsid w:val="00FD07A4"/>
    <w:rsid w:val="00FD0AD3"/>
    <w:rsid w:val="00FD3548"/>
    <w:rsid w:val="00FD4358"/>
    <w:rsid w:val="00FD6264"/>
    <w:rsid w:val="00FD6579"/>
    <w:rsid w:val="00FE01F2"/>
    <w:rsid w:val="00FE2D5D"/>
    <w:rsid w:val="00FE3384"/>
    <w:rsid w:val="00FE3536"/>
    <w:rsid w:val="00FE54D7"/>
    <w:rsid w:val="00FE5CAE"/>
    <w:rsid w:val="00FE5E40"/>
    <w:rsid w:val="00FE66E3"/>
    <w:rsid w:val="00FE7116"/>
    <w:rsid w:val="00FF007B"/>
    <w:rsid w:val="00FF0F6C"/>
    <w:rsid w:val="00FF13D5"/>
    <w:rsid w:val="00FF1A66"/>
    <w:rsid w:val="00FF277A"/>
    <w:rsid w:val="00FF3468"/>
    <w:rsid w:val="00FF6620"/>
    <w:rsid w:val="00FF7B51"/>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oNotEmbedSmartTags/>
  <w:decimalSymbol w:val="."/>
  <w:listSeparator w:val=";"/>
  <w14:docId w14:val="78FC6801"/>
  <w15:docId w15:val="{47A04F5D-F5E3-6346-AE93-59497AB97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DC52E7"/>
    <w:rPr>
      <w:rFonts w:eastAsia="Times New Roman"/>
      <w:sz w:val="24"/>
      <w:szCs w:val="24"/>
      <w:lang w:val="de-CH" w:eastAsia="zh-CN"/>
    </w:rPr>
  </w:style>
  <w:style w:type="paragraph" w:styleId="berschrift1">
    <w:name w:val="heading 1"/>
    <w:basedOn w:val="berschrift"/>
    <w:next w:val="Textkrper"/>
    <w:qFormat/>
    <w:pPr>
      <w:numPr>
        <w:numId w:val="1"/>
      </w:numPr>
      <w:outlineLvl w:val="0"/>
    </w:pPr>
    <w:rPr>
      <w:b/>
      <w:bCs/>
      <w:sz w:val="36"/>
      <w:szCs w:val="36"/>
    </w:rPr>
  </w:style>
  <w:style w:type="paragraph" w:styleId="berschrift2">
    <w:name w:val="heading 2"/>
    <w:basedOn w:val="berschrift"/>
    <w:next w:val="Textkrper"/>
    <w:qFormat/>
    <w:pPr>
      <w:numPr>
        <w:ilvl w:val="1"/>
        <w:numId w:val="1"/>
      </w:numPr>
      <w:spacing w:before="200"/>
      <w:outlineLvl w:val="1"/>
    </w:pPr>
    <w:rPr>
      <w:b/>
      <w:bCs/>
      <w:sz w:val="32"/>
      <w:szCs w:val="32"/>
    </w:rPr>
  </w:style>
  <w:style w:type="paragraph" w:styleId="berschrift3">
    <w:name w:val="heading 3"/>
    <w:basedOn w:val="berschrift"/>
    <w:next w:val="Textkrper"/>
    <w:qFormat/>
    <w:pPr>
      <w:numPr>
        <w:ilvl w:val="2"/>
        <w:numId w:val="1"/>
      </w:numPr>
      <w:spacing w:before="140"/>
      <w:outlineLvl w:val="2"/>
    </w:pPr>
    <w:rPr>
      <w:b/>
      <w:bCs/>
      <w:color w:val="808080"/>
    </w:rPr>
  </w:style>
  <w:style w:type="paragraph" w:styleId="berschrift4">
    <w:name w:val="heading 4"/>
    <w:basedOn w:val="Standard"/>
    <w:next w:val="Standard"/>
    <w:link w:val="berschrift4Zchn"/>
    <w:uiPriority w:val="9"/>
    <w:semiHidden/>
    <w:unhideWhenUsed/>
    <w:qFormat/>
    <w:rsid w:val="00AC483E"/>
    <w:pPr>
      <w:keepNext/>
      <w:spacing w:before="240" w:after="60"/>
      <w:outlineLvl w:val="3"/>
    </w:pPr>
    <w:rPr>
      <w:rFonts w:ascii="Calibri" w:hAnsi="Calibri" w:cs="Mangal"/>
      <w:b/>
      <w:bCs/>
      <w:sz w:val="28"/>
      <w:szCs w:val="25"/>
    </w:rPr>
  </w:style>
  <w:style w:type="paragraph" w:styleId="berschrift5">
    <w:name w:val="heading 5"/>
    <w:basedOn w:val="Standard"/>
    <w:next w:val="Standard"/>
    <w:link w:val="berschrift5Zchn"/>
    <w:uiPriority w:val="9"/>
    <w:semiHidden/>
    <w:unhideWhenUsed/>
    <w:qFormat/>
    <w:rsid w:val="00AC483E"/>
    <w:pPr>
      <w:spacing w:before="240" w:after="60"/>
      <w:outlineLvl w:val="4"/>
    </w:pPr>
    <w:rPr>
      <w:rFonts w:ascii="Calibri" w:hAnsi="Calibri" w:cs="Mangal"/>
      <w:b/>
      <w:bCs/>
      <w:i/>
      <w:iCs/>
      <w:sz w:val="26"/>
      <w:szCs w:val="23"/>
    </w:rPr>
  </w:style>
  <w:style w:type="paragraph" w:styleId="berschrift6">
    <w:name w:val="heading 6"/>
    <w:basedOn w:val="Standard"/>
    <w:next w:val="Standard"/>
    <w:link w:val="berschrift6Zchn"/>
    <w:uiPriority w:val="9"/>
    <w:semiHidden/>
    <w:unhideWhenUsed/>
    <w:qFormat/>
    <w:rsid w:val="00AC483E"/>
    <w:pPr>
      <w:spacing w:before="240" w:after="60"/>
      <w:outlineLvl w:val="5"/>
    </w:pPr>
    <w:rPr>
      <w:rFonts w:ascii="Calibri" w:hAnsi="Calibri" w:cs="Mangal"/>
      <w:b/>
      <w:bCs/>
      <w:sz w:val="22"/>
      <w:szCs w:val="20"/>
    </w:rPr>
  </w:style>
  <w:style w:type="paragraph" w:styleId="berschrift7">
    <w:name w:val="heading 7"/>
    <w:basedOn w:val="Standard"/>
    <w:next w:val="Standard"/>
    <w:link w:val="berschrift7Zchn"/>
    <w:uiPriority w:val="9"/>
    <w:semiHidden/>
    <w:unhideWhenUsed/>
    <w:qFormat/>
    <w:rsid w:val="00AC483E"/>
    <w:pPr>
      <w:spacing w:before="240" w:after="60"/>
      <w:outlineLvl w:val="6"/>
    </w:pPr>
    <w:rPr>
      <w:rFonts w:ascii="Calibri" w:hAnsi="Calibri" w:cs="Mangal"/>
      <w:szCs w:val="21"/>
    </w:rPr>
  </w:style>
  <w:style w:type="paragraph" w:styleId="berschrift8">
    <w:name w:val="heading 8"/>
    <w:basedOn w:val="Standard"/>
    <w:next w:val="Standard"/>
    <w:link w:val="berschrift8Zchn"/>
    <w:uiPriority w:val="9"/>
    <w:semiHidden/>
    <w:unhideWhenUsed/>
    <w:qFormat/>
    <w:rsid w:val="00AC483E"/>
    <w:pPr>
      <w:spacing w:before="240" w:after="60"/>
      <w:outlineLvl w:val="7"/>
    </w:pPr>
    <w:rPr>
      <w:rFonts w:ascii="Calibri" w:hAnsi="Calibri" w:cs="Mangal"/>
      <w:i/>
      <w:iCs/>
      <w:szCs w:val="21"/>
    </w:rPr>
  </w:style>
  <w:style w:type="paragraph" w:styleId="berschrift9">
    <w:name w:val="heading 9"/>
    <w:basedOn w:val="Standard"/>
    <w:next w:val="Standard"/>
    <w:link w:val="berschrift9Zchn"/>
    <w:uiPriority w:val="9"/>
    <w:semiHidden/>
    <w:unhideWhenUsed/>
    <w:qFormat/>
    <w:rsid w:val="00AC483E"/>
    <w:pPr>
      <w:spacing w:before="240" w:after="60"/>
      <w:outlineLvl w:val="8"/>
    </w:pPr>
    <w:rPr>
      <w:rFonts w:ascii="Cambria" w:hAnsi="Cambria" w:cs="Mangal"/>
      <w:sz w:val="22"/>
      <w:szCs w:val="20"/>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color w:val="000000"/>
      <w:spacing w:val="2"/>
      <w:lang w:val="en-GB"/>
    </w:rPr>
  </w:style>
  <w:style w:type="character" w:customStyle="1" w:styleId="WW8Num3z0">
    <w:name w:val="WW8Num3z0"/>
    <w:rPr>
      <w:rFonts w:ascii="Symbol" w:hAnsi="Symbol" w:cs="Symbol" w:hint="default"/>
      <w:color w:val="000000"/>
      <w:spacing w:val="2"/>
      <w:lang w:val="en-GB"/>
    </w:rPr>
  </w:style>
  <w:style w:type="character" w:customStyle="1" w:styleId="WW8Num4z0">
    <w:name w:val="WW8Num4z0"/>
    <w:rPr>
      <w:rFonts w:ascii="Symbol" w:eastAsia="Baskerville" w:hAnsi="Symbol" w:cs="Symbol" w:hint="default"/>
      <w:color w:val="000000"/>
      <w:spacing w:val="2"/>
      <w:lang w:val="en-GB"/>
    </w:rPr>
  </w:style>
  <w:style w:type="character" w:customStyle="1" w:styleId="WW8Num5z0">
    <w:name w:val="WW8Num5z0"/>
    <w:rPr>
      <w:rFonts w:ascii="Symbol" w:eastAsia="Baskerville" w:hAnsi="Symbol" w:cs="Symbol" w:hint="default"/>
      <w:color w:val="000000"/>
      <w:spacing w:val="2"/>
      <w:lang w:val="en-GB"/>
    </w:rPr>
  </w:style>
  <w:style w:type="character" w:customStyle="1" w:styleId="WW8Num6z0">
    <w:name w:val="WW8Num6z0"/>
    <w:rPr>
      <w:rFonts w:ascii="Symbol" w:hAnsi="Symbol" w:cs="Symbol" w:hint="default"/>
      <w:color w:val="000000"/>
      <w:spacing w:val="2"/>
      <w:lang w:val="en-GB"/>
    </w:rPr>
  </w:style>
  <w:style w:type="character" w:customStyle="1" w:styleId="WW8Num7z0">
    <w:name w:val="WW8Num7z0"/>
    <w:rPr>
      <w:rFonts w:ascii="Symbol" w:hAnsi="Symbol" w:cs="Symbol" w:hint="default"/>
    </w:rPr>
  </w:style>
  <w:style w:type="character" w:customStyle="1" w:styleId="WW8Num8z0">
    <w:name w:val="WW8Num8z0"/>
    <w:rPr>
      <w:rFonts w:ascii="Symbol" w:hAnsi="Symbol" w:cs="Symbol" w:hint="default"/>
    </w:rPr>
  </w:style>
  <w:style w:type="character" w:customStyle="1" w:styleId="WW8Num9z0">
    <w:name w:val="WW8Num9z0"/>
    <w:rPr>
      <w:rFonts w:ascii="Symbol" w:eastAsia="Baskerville-Bold" w:hAnsi="Symbol" w:cs="Symbol" w:hint="default"/>
      <w:sz w:val="24"/>
      <w:szCs w:val="24"/>
    </w:rPr>
  </w:style>
  <w:style w:type="character" w:customStyle="1" w:styleId="WW8Num10z0">
    <w:name w:val="WW8Num10z0"/>
    <w:rPr>
      <w:rFonts w:ascii="Symbol" w:hAnsi="Symbol" w:cs="Symbol" w:hint="default"/>
    </w:rPr>
  </w:style>
  <w:style w:type="character" w:customStyle="1" w:styleId="WW8Num11z0">
    <w:name w:val="WW8Num11z0"/>
    <w:rPr>
      <w:rFonts w:ascii="Symbol" w:eastAsia="Baskerville-Bold" w:hAnsi="Symbol" w:cs="Symbol" w:hint="default"/>
      <w:sz w:val="24"/>
      <w:szCs w:val="24"/>
    </w:rPr>
  </w:style>
  <w:style w:type="character" w:customStyle="1" w:styleId="WW8Num12z0">
    <w:name w:val="WW8Num12z0"/>
    <w:rPr>
      <w:rFonts w:ascii="Symbol" w:eastAsia="Baskerville" w:hAnsi="Symbol" w:cs="Symbol" w:hint="default"/>
      <w:color w:val="000000"/>
      <w:spacing w:val="2"/>
      <w:lang w:val="en-GB"/>
    </w:rPr>
  </w:style>
  <w:style w:type="character" w:customStyle="1" w:styleId="WW8Num13z0">
    <w:name w:val="WW8Num13z0"/>
    <w:rPr>
      <w:rFonts w:ascii="Symbol" w:hAnsi="Symbol" w:cs="Symbol" w:hint="default"/>
      <w:color w:val="000000"/>
      <w:spacing w:val="2"/>
      <w:lang w:val="en-GB"/>
    </w:rPr>
  </w:style>
  <w:style w:type="character" w:customStyle="1" w:styleId="Absatz-Standardschriftart2">
    <w:name w:val="Absatz-Standardschriftart2"/>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4z0">
    <w:name w:val="WW8Num14z0"/>
    <w:rPr>
      <w:rFonts w:ascii="Symbol" w:eastAsia="Baskerville" w:hAnsi="Symbol" w:cs="Symbol" w:hint="default"/>
      <w:color w:val="000000"/>
      <w:spacing w:val="2"/>
      <w:lang w:val="en-GB"/>
    </w:rPr>
  </w:style>
  <w:style w:type="character" w:customStyle="1" w:styleId="WW8Num14z1">
    <w:name w:val="WW8Num14z1"/>
    <w:rPr>
      <w:rFonts w:ascii="Courier New" w:hAnsi="Courier New" w:cs="Courier New" w:hint="default"/>
    </w:rPr>
  </w:style>
  <w:style w:type="character" w:customStyle="1" w:styleId="WW8Num14z2">
    <w:name w:val="WW8Num14z2"/>
    <w:rPr>
      <w:rFonts w:ascii="Wingdings" w:hAnsi="Wingdings" w:cs="Wingdings" w:hint="default"/>
    </w:rPr>
  </w:style>
  <w:style w:type="character" w:customStyle="1" w:styleId="WW8Num15z0">
    <w:name w:val="WW8Num15z0"/>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6z0">
    <w:name w:val="WW8Num16z0"/>
    <w:rPr>
      <w:rFonts w:ascii="Symbol" w:hAnsi="Symbol" w:cs="Symbol" w:hint="default"/>
    </w:rPr>
  </w:style>
  <w:style w:type="character" w:customStyle="1" w:styleId="WW8Num16z1">
    <w:name w:val="WW8Num16z1"/>
    <w:rPr>
      <w:rFonts w:ascii="Courier New" w:hAnsi="Courier New" w:cs="Courier New" w:hint="default"/>
    </w:rPr>
  </w:style>
  <w:style w:type="character" w:customStyle="1" w:styleId="WW8Num16z2">
    <w:name w:val="WW8Num16z2"/>
    <w:rPr>
      <w:rFonts w:ascii="Wingdings" w:hAnsi="Wingdings" w:cs="Wingdings" w:hint="default"/>
    </w:rPr>
  </w:style>
  <w:style w:type="character" w:customStyle="1" w:styleId="WW8Num17z0">
    <w:name w:val="WW8Num17z0"/>
    <w:rPr>
      <w:rFonts w:ascii="OpenSymbol" w:eastAsia="OpenSymbol" w:hAnsi="OpenSymbol" w:cs="OpenSymbol"/>
    </w:rPr>
  </w:style>
  <w:style w:type="character" w:customStyle="1" w:styleId="WW8Num18z0">
    <w:name w:val="WW8Num18z0"/>
    <w:rPr>
      <w:rFonts w:ascii="Symbol" w:hAnsi="Symbol" w:cs="Symbol" w:hint="default"/>
    </w:rPr>
  </w:style>
  <w:style w:type="character" w:customStyle="1" w:styleId="WW8Num18z1">
    <w:name w:val="WW8Num18z1"/>
    <w:rPr>
      <w:rFonts w:ascii="Courier New" w:hAnsi="Courier New" w:cs="Courier New" w:hint="default"/>
    </w:rPr>
  </w:style>
  <w:style w:type="character" w:customStyle="1" w:styleId="WW8Num18z2">
    <w:name w:val="WW8Num18z2"/>
    <w:rPr>
      <w:rFonts w:ascii="Wingdings" w:hAnsi="Wingdings" w:cs="Wingdings" w:hint="default"/>
    </w:rPr>
  </w:style>
  <w:style w:type="character" w:customStyle="1" w:styleId="WW8Num19z0">
    <w:name w:val="WW8Num19z0"/>
    <w:rPr>
      <w:rFonts w:ascii="Symbol" w:hAnsi="Symbol" w:cs="Symbol"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20z0">
    <w:name w:val="WW8Num20z0"/>
    <w:rPr>
      <w:rFonts w:ascii="OpenSymbol" w:eastAsia="OpenSymbol" w:hAnsi="OpenSymbol" w:cs="OpenSymbol"/>
    </w:rPr>
  </w:style>
  <w:style w:type="character" w:customStyle="1" w:styleId="WW8Num21z0">
    <w:name w:val="WW8Num21z0"/>
    <w:rPr>
      <w:rFonts w:ascii="OpenSymbol" w:eastAsia="OpenSymbol" w:hAnsi="OpenSymbol" w:cs="OpenSymbol"/>
    </w:rPr>
  </w:style>
  <w:style w:type="character" w:customStyle="1" w:styleId="WW8Num22z0">
    <w:name w:val="WW8Num22z0"/>
    <w:rPr>
      <w:rFonts w:ascii="OpenSymbol" w:eastAsia="OpenSymbol" w:hAnsi="OpenSymbol" w:cs="OpenSymbol"/>
    </w:rPr>
  </w:style>
  <w:style w:type="character" w:customStyle="1" w:styleId="WW8Num23z0">
    <w:name w:val="WW8Num23z0"/>
    <w:rPr>
      <w:rFonts w:ascii="OpenSymbol" w:eastAsia="OpenSymbol" w:hAnsi="OpenSymbol" w:cs="OpenSymbol"/>
    </w:rPr>
  </w:style>
  <w:style w:type="character" w:customStyle="1" w:styleId="WW8Num24z0">
    <w:name w:val="WW8Num24z0"/>
    <w:rPr>
      <w:rFonts w:ascii="OpenSymbol" w:eastAsia="OpenSymbol" w:hAnsi="OpenSymbol" w:cs="OpenSymbol"/>
    </w:rPr>
  </w:style>
  <w:style w:type="character" w:customStyle="1" w:styleId="WW8Num25z0">
    <w:name w:val="WW8Num25z0"/>
    <w:rPr>
      <w:rFonts w:ascii="Symbol" w:hAnsi="Symbol" w:cs="Symbol" w:hint="default"/>
    </w:rPr>
  </w:style>
  <w:style w:type="character" w:customStyle="1" w:styleId="WW8Num25z1">
    <w:name w:val="WW8Num25z1"/>
    <w:rPr>
      <w:rFonts w:ascii="Courier New" w:hAnsi="Courier New" w:cs="Courier New" w:hint="default"/>
    </w:rPr>
  </w:style>
  <w:style w:type="character" w:customStyle="1" w:styleId="WW8Num25z2">
    <w:name w:val="WW8Num25z2"/>
    <w:rPr>
      <w:rFonts w:ascii="Wingdings" w:hAnsi="Wingdings" w:cs="Wingdings" w:hint="default"/>
    </w:rPr>
  </w:style>
  <w:style w:type="character" w:customStyle="1" w:styleId="WW8Num26z0">
    <w:name w:val="WW8Num26z0"/>
    <w:rPr>
      <w:rFonts w:ascii="OpenSymbol" w:eastAsia="OpenSymbol" w:hAnsi="OpenSymbol" w:cs="OpenSymbol"/>
    </w:rPr>
  </w:style>
  <w:style w:type="character" w:customStyle="1" w:styleId="WW8Num27z0">
    <w:name w:val="WW8Num27z0"/>
    <w:rPr>
      <w:rFonts w:ascii="Symbol" w:eastAsia="Baskerville" w:hAnsi="Symbol" w:cs="Symbol" w:hint="default"/>
      <w:color w:val="000000"/>
      <w:spacing w:val="2"/>
      <w:lang w:val="en-GB"/>
    </w:rPr>
  </w:style>
  <w:style w:type="character" w:customStyle="1" w:styleId="WW8Num27z1">
    <w:name w:val="WW8Num27z1"/>
    <w:rPr>
      <w:rFonts w:ascii="Courier New" w:hAnsi="Courier New" w:cs="Courier New" w:hint="default"/>
    </w:rPr>
  </w:style>
  <w:style w:type="character" w:customStyle="1" w:styleId="WW8Num27z2">
    <w:name w:val="WW8Num27z2"/>
    <w:rPr>
      <w:rFonts w:ascii="Wingdings" w:hAnsi="Wingdings" w:cs="Wingdings" w:hint="default"/>
    </w:rPr>
  </w:style>
  <w:style w:type="character" w:customStyle="1" w:styleId="WW8Num28z0">
    <w:name w:val="WW8Num28z0"/>
    <w:rPr>
      <w:rFonts w:ascii="OpenSymbol" w:eastAsia="OpenSymbol" w:hAnsi="OpenSymbol" w:cs="OpenSymbol"/>
    </w:rPr>
  </w:style>
  <w:style w:type="character" w:customStyle="1" w:styleId="WW8Num29z0">
    <w:name w:val="WW8Num29z0"/>
    <w:rPr>
      <w:rFonts w:ascii="Symbol" w:eastAsia="Baskerville" w:hAnsi="Symbol" w:cs="Symbol" w:hint="default"/>
      <w:color w:val="000000"/>
      <w:spacing w:val="2"/>
      <w:lang w:val="en-GB"/>
    </w:rPr>
  </w:style>
  <w:style w:type="character" w:customStyle="1" w:styleId="WW8Num29z1">
    <w:name w:val="WW8Num29z1"/>
    <w:rPr>
      <w:rFonts w:ascii="Courier New" w:hAnsi="Courier New" w:cs="Courier New" w:hint="default"/>
    </w:rPr>
  </w:style>
  <w:style w:type="character" w:customStyle="1" w:styleId="WW8Num29z2">
    <w:name w:val="WW8Num29z2"/>
    <w:rPr>
      <w:rFonts w:ascii="Wingdings" w:hAnsi="Wingdings" w:cs="Wingdings" w:hint="default"/>
    </w:rPr>
  </w:style>
  <w:style w:type="character" w:customStyle="1" w:styleId="Absatz-Standardschriftart1">
    <w:name w:val="Absatz-Standardschriftart1"/>
  </w:style>
  <w:style w:type="character" w:customStyle="1" w:styleId="url">
    <w:name w:val="url"/>
    <w:rPr>
      <w:color w:val="394B96"/>
      <w:u w:val="thick"/>
      <w14:textOutline w14:w="0" w14:cap="rnd" w14:cmpd="sng" w14:algn="ctr">
        <w14:noFill/>
        <w14:prstDash w14:val="solid"/>
        <w14:bevel/>
      </w14:textOutline>
    </w:rPr>
  </w:style>
  <w:style w:type="character" w:customStyle="1" w:styleId="verweis">
    <w:name w:val="verweis"/>
    <w:rPr>
      <w:rFonts w:ascii="Baskerville-SemiBold" w:eastAsia="Baskerville-SemiBold" w:hAnsi="Baskerville-SemiBold" w:cs="Baskerville-SemiBold"/>
      <w:b/>
      <w:bCs/>
      <w:i w:val="0"/>
      <w:iCs w:val="0"/>
      <w:color w:val="361A34"/>
      <w:lang w:val="en-GB"/>
      <w14:textOutline w14:w="0" w14:cap="rnd" w14:cmpd="sng" w14:algn="ctr">
        <w14:noFill/>
        <w14:prstDash w14:val="solid"/>
        <w14:bevel/>
      </w14:textOutline>
    </w:rPr>
  </w:style>
  <w:style w:type="character" w:customStyle="1" w:styleId="FootnoteSymbol">
    <w:name w:val="Footnote Symbol"/>
    <w:rsid w:val="00B524E3"/>
    <w:rPr>
      <w:rFonts w:ascii="Times New Roman" w:hAnsi="Times New Roman"/>
      <w:sz w:val="20"/>
    </w:rPr>
  </w:style>
  <w:style w:type="character" w:customStyle="1" w:styleId="Footnoteanchor">
    <w:name w:val="Footnote anchor"/>
    <w:rPr>
      <w:vertAlign w:val="superscript"/>
    </w:rPr>
  </w:style>
  <w:style w:type="character" w:customStyle="1" w:styleId="NumberingSymbols">
    <w:name w:val="Numbering Symbols"/>
  </w:style>
  <w:style w:type="character" w:customStyle="1" w:styleId="Internetlink">
    <w:name w:val="Internet link"/>
    <w:rPr>
      <w:color w:val="000080"/>
      <w:u w:val="single"/>
    </w:rPr>
  </w:style>
  <w:style w:type="character" w:customStyle="1" w:styleId="VisitedInternetLink">
    <w:name w:val="Visited Internet Link"/>
    <w:rPr>
      <w:color w:val="800000"/>
      <w:u w:val="single"/>
    </w:rPr>
  </w:style>
  <w:style w:type="character" w:customStyle="1" w:styleId="BulletSymbols">
    <w:name w:val="Bullet Symbols"/>
    <w:rPr>
      <w:rFonts w:ascii="OpenSymbol" w:eastAsia="OpenSymbol" w:hAnsi="OpenSymbol" w:cs="OpenSymbol"/>
    </w:rPr>
  </w:style>
  <w:style w:type="character" w:customStyle="1" w:styleId="Funotenzeichen1">
    <w:name w:val="Fußnotenzeichen1"/>
    <w:rPr>
      <w:vertAlign w:val="superscript"/>
    </w:rPr>
  </w:style>
  <w:style w:type="character" w:customStyle="1" w:styleId="SprechblasentextZchn">
    <w:name w:val="Sprechblasentext Zchn"/>
    <w:rPr>
      <w:rFonts w:ascii="Tahoma" w:hAnsi="Tahoma" w:cs="Mangal"/>
      <w:sz w:val="16"/>
      <w:szCs w:val="14"/>
    </w:rPr>
  </w:style>
  <w:style w:type="character" w:styleId="Hyperlink">
    <w:name w:val="Hyperlink"/>
    <w:uiPriority w:val="99"/>
    <w:qFormat/>
    <w:rPr>
      <w:color w:val="0000FF"/>
      <w:u w:val="single"/>
    </w:rPr>
  </w:style>
  <w:style w:type="character" w:styleId="BesuchterLink">
    <w:name w:val="FollowedHyperlink"/>
    <w:rsid w:val="008F02AF"/>
    <w:rPr>
      <w:color w:val="0070C0"/>
      <w:u w:val="single"/>
    </w:rPr>
  </w:style>
  <w:style w:type="character" w:customStyle="1" w:styleId="Funotenzeichen2">
    <w:name w:val="Fußnotenzeichen2"/>
    <w:qFormat/>
    <w:rPr>
      <w:vertAlign w:val="superscript"/>
    </w:rPr>
  </w:style>
  <w:style w:type="character" w:customStyle="1" w:styleId="Endnotenzeichen2">
    <w:name w:val="Endnotenzeichen2"/>
    <w:rPr>
      <w:vertAlign w:val="superscript"/>
    </w:rPr>
  </w:style>
  <w:style w:type="character" w:customStyle="1" w:styleId="Endnotenzeichen1">
    <w:name w:val="Endnotenzeichen1"/>
  </w:style>
  <w:style w:type="character" w:customStyle="1" w:styleId="Nummerierungszeichen">
    <w:name w:val="Nummerierungszeichen"/>
  </w:style>
  <w:style w:type="character" w:customStyle="1" w:styleId="KopfzeileZchn">
    <w:name w:val="Kopfzeile Zchn"/>
    <w:rPr>
      <w:rFonts w:eastAsia="Arial Unicode MS" w:cs="Mangal"/>
      <w:kern w:val="1"/>
      <w:sz w:val="24"/>
      <w:szCs w:val="21"/>
      <w:lang w:eastAsia="zh-CN" w:bidi="hi-IN"/>
    </w:rPr>
  </w:style>
  <w:style w:type="character" w:customStyle="1" w:styleId="FuzeileZchn">
    <w:name w:val="Fußzeile Zchn"/>
    <w:uiPriority w:val="99"/>
    <w:rPr>
      <w:rFonts w:eastAsia="Arial Unicode MS" w:cs="Mangal"/>
      <w:kern w:val="1"/>
      <w:sz w:val="24"/>
      <w:szCs w:val="21"/>
      <w:lang w:eastAsia="zh-CN" w:bidi="hi-IN"/>
    </w:rPr>
  </w:style>
  <w:style w:type="character" w:styleId="Funotenzeichen">
    <w:name w:val="footnote reference"/>
    <w:aliases w:val="Fußnotenzeichen ECHR"/>
    <w:qFormat/>
    <w:rPr>
      <w:vertAlign w:val="superscript"/>
    </w:rPr>
  </w:style>
  <w:style w:type="character" w:styleId="Endnotenzeichen">
    <w:name w:val="endnote reference"/>
    <w:rPr>
      <w:vertAlign w:val="superscript"/>
    </w:rPr>
  </w:style>
  <w:style w:type="paragraph" w:customStyle="1" w:styleId="berschrift">
    <w:name w:val="Überschrift"/>
    <w:basedOn w:val="Standard"/>
    <w:next w:val="Textkrper"/>
    <w:pPr>
      <w:keepNext/>
      <w:spacing w:before="240" w:after="120"/>
    </w:pPr>
    <w:rPr>
      <w:rFonts w:ascii="Arial" w:hAnsi="Arial"/>
      <w:sz w:val="28"/>
      <w:szCs w:val="28"/>
    </w:rPr>
  </w:style>
  <w:style w:type="paragraph" w:styleId="Textkrper">
    <w:name w:val="Body Text"/>
    <w:basedOn w:val="Standard"/>
    <w:link w:val="TextkrperZchn"/>
    <w:pPr>
      <w:spacing w:after="140" w:line="288" w:lineRule="auto"/>
    </w:pPr>
  </w:style>
  <w:style w:type="paragraph" w:styleId="Liste">
    <w:name w:val="List"/>
    <w:basedOn w:val="Textbody"/>
  </w:style>
  <w:style w:type="paragraph" w:styleId="Beschriftung">
    <w:name w:val="caption"/>
    <w:basedOn w:val="Standard"/>
    <w:qFormat/>
    <w:pPr>
      <w:suppressLineNumbers/>
      <w:spacing w:before="120" w:after="120"/>
    </w:pPr>
    <w:rPr>
      <w:i/>
      <w:iCs/>
    </w:rPr>
  </w:style>
  <w:style w:type="paragraph" w:customStyle="1" w:styleId="Verzeichnis">
    <w:name w:val="Verzeichnis"/>
    <w:basedOn w:val="Standard"/>
    <w:pPr>
      <w:suppressLineNumbers/>
    </w:pPr>
  </w:style>
  <w:style w:type="paragraph" w:customStyle="1" w:styleId="Textbody">
    <w:name w:val="Text body"/>
    <w:basedOn w:val="Standard"/>
    <w:pPr>
      <w:spacing w:after="120"/>
    </w:pPr>
  </w:style>
  <w:style w:type="paragraph" w:customStyle="1" w:styleId="Heading">
    <w:name w:val="Heading"/>
    <w:basedOn w:val="Standard"/>
    <w:next w:val="Textbody"/>
    <w:pPr>
      <w:keepNext/>
      <w:spacing w:before="240" w:after="120"/>
    </w:pPr>
    <w:rPr>
      <w:rFonts w:ascii="Arial" w:hAnsi="Arial" w:cs="Arial"/>
      <w:sz w:val="28"/>
      <w:szCs w:val="28"/>
    </w:rPr>
  </w:style>
  <w:style w:type="paragraph" w:customStyle="1" w:styleId="Index">
    <w:name w:val="Index"/>
    <w:basedOn w:val="Standard"/>
    <w:pPr>
      <w:suppressLineNumbers/>
    </w:pPr>
  </w:style>
  <w:style w:type="paragraph" w:customStyle="1" w:styleId="KeinAbsatzformat">
    <w:name w:val="[Kein Absatzformat]"/>
    <w:pPr>
      <w:widowControl w:val="0"/>
      <w:suppressAutoHyphens/>
      <w:autoSpaceDE w:val="0"/>
      <w:spacing w:line="288" w:lineRule="auto"/>
      <w:textAlignment w:val="center"/>
    </w:pPr>
    <w:rPr>
      <w:rFonts w:ascii="MinionPro-Regular" w:eastAsia="MinionPro-Regular" w:hAnsi="MinionPro-Regular" w:cs="MinionPro-Regular"/>
      <w:color w:val="000000"/>
      <w:kern w:val="1"/>
      <w:sz w:val="24"/>
      <w:szCs w:val="24"/>
      <w:lang w:eastAsia="zh-CN" w:bidi="hi-IN"/>
    </w:rPr>
  </w:style>
  <w:style w:type="paragraph" w:customStyle="1" w:styleId="EinfacherAbsatz">
    <w:name w:val="[Einfacher Absatz]"/>
    <w:basedOn w:val="KeinAbsatzformat"/>
  </w:style>
  <w:style w:type="paragraph" w:customStyle="1" w:styleId="Text">
    <w:name w:val="Text"/>
    <w:basedOn w:val="Beschriftung"/>
  </w:style>
  <w:style w:type="paragraph" w:customStyle="1" w:styleId="Title1">
    <w:name w:val="Title 1"/>
    <w:basedOn w:val="Text"/>
    <w:autoRedefine/>
    <w:rsid w:val="00C31717"/>
    <w:pPr>
      <w:pageBreakBefore/>
    </w:pPr>
    <w:rPr>
      <w:rFonts w:ascii="Arial" w:eastAsia="Helvetica-Bold" w:hAnsi="Arial" w:cs="Helvetica-Bold"/>
      <w:b/>
      <w:bCs/>
      <w:i w:val="0"/>
      <w:color w:val="5E175E"/>
      <w:spacing w:val="3"/>
      <w:kern w:val="28"/>
      <w:sz w:val="28"/>
      <w:szCs w:val="28"/>
    </w:rPr>
  </w:style>
  <w:style w:type="paragraph" w:customStyle="1" w:styleId="Title2">
    <w:name w:val="Title 2"/>
    <w:basedOn w:val="Text"/>
    <w:autoRedefine/>
    <w:rsid w:val="00C31717"/>
    <w:pPr>
      <w:autoSpaceDE w:val="0"/>
      <w:spacing w:before="0" w:after="113" w:line="288" w:lineRule="atLeast"/>
      <w:textAlignment w:val="center"/>
    </w:pPr>
    <w:rPr>
      <w:rFonts w:ascii="Arial" w:eastAsia="Helvetica-Bold" w:hAnsi="Arial" w:cs="Arial"/>
      <w:b/>
      <w:bCs/>
      <w:i w:val="0"/>
      <w:color w:val="5E175E"/>
      <w:spacing w:val="2"/>
      <w:kern w:val="24"/>
      <w:szCs w:val="28"/>
      <w:lang w:val="en-GB"/>
    </w:rPr>
  </w:style>
  <w:style w:type="paragraph" w:customStyle="1" w:styleId="Title3">
    <w:name w:val="Title 3"/>
    <w:basedOn w:val="Title2"/>
    <w:autoRedefine/>
    <w:rsid w:val="00734E51"/>
    <w:pPr>
      <w:spacing w:before="28" w:after="85"/>
    </w:pPr>
    <w:rPr>
      <w:color w:val="232657"/>
      <w:szCs w:val="24"/>
    </w:rPr>
  </w:style>
  <w:style w:type="paragraph" w:customStyle="1" w:styleId="TextQuote">
    <w:name w:val="Text Quote"/>
    <w:basedOn w:val="KeinAbsatzformat"/>
    <w:pPr>
      <w:spacing w:after="57"/>
      <w:jc w:val="both"/>
    </w:pPr>
    <w:rPr>
      <w:rFonts w:ascii="Baskerville-Italic" w:eastAsia="Baskerville-Italic" w:hAnsi="Baskerville-Italic" w:cs="Baskerville-Italic"/>
      <w:i/>
      <w:iCs/>
      <w:spacing w:val="2"/>
      <w:sz w:val="22"/>
      <w:szCs w:val="22"/>
      <w:lang w:val="en-GB"/>
    </w:rPr>
  </w:style>
  <w:style w:type="paragraph" w:customStyle="1" w:styleId="Footnoteuser">
    <w:name w:val="Footnote (user)"/>
    <w:basedOn w:val="KeinAbsatzformat"/>
    <w:pPr>
      <w:ind w:left="454" w:hanging="450"/>
      <w:jc w:val="both"/>
    </w:pPr>
    <w:rPr>
      <w:rFonts w:ascii="Baskerville" w:eastAsia="Baskerville" w:hAnsi="Baskerville" w:cs="Baskerville"/>
      <w:spacing w:val="2"/>
      <w:sz w:val="22"/>
      <w:szCs w:val="22"/>
      <w:lang w:val="en-GB"/>
    </w:rPr>
  </w:style>
  <w:style w:type="paragraph" w:customStyle="1" w:styleId="Footnote">
    <w:name w:val="Footnote"/>
    <w:basedOn w:val="Standard"/>
    <w:pPr>
      <w:suppressLineNumbers/>
      <w:ind w:left="283" w:hanging="283"/>
    </w:pPr>
    <w:rPr>
      <w:sz w:val="20"/>
      <w:szCs w:val="20"/>
    </w:rPr>
  </w:style>
  <w:style w:type="paragraph" w:styleId="Sprechblasentext">
    <w:name w:val="Balloon Text"/>
    <w:basedOn w:val="Standard"/>
    <w:rPr>
      <w:rFonts w:ascii="Tahoma" w:hAnsi="Tahoma" w:cs="Mangal"/>
      <w:sz w:val="16"/>
      <w:szCs w:val="14"/>
    </w:rPr>
  </w:style>
  <w:style w:type="paragraph" w:styleId="Funotentext">
    <w:name w:val="footnote text"/>
    <w:basedOn w:val="Standard"/>
    <w:link w:val="FunotentextZchn"/>
    <w:pPr>
      <w:suppressLineNumbers/>
      <w:ind w:left="339" w:hanging="339"/>
    </w:pPr>
    <w:rPr>
      <w:sz w:val="20"/>
      <w:szCs w:val="20"/>
    </w:rPr>
  </w:style>
  <w:style w:type="paragraph" w:styleId="Titel">
    <w:name w:val="Title"/>
    <w:basedOn w:val="berschrift"/>
    <w:next w:val="Textkrper"/>
    <w:qFormat/>
    <w:pPr>
      <w:jc w:val="center"/>
    </w:pPr>
    <w:rPr>
      <w:b/>
      <w:bCs/>
      <w:sz w:val="56"/>
      <w:szCs w:val="56"/>
    </w:rPr>
  </w:style>
  <w:style w:type="paragraph" w:styleId="Untertitel">
    <w:name w:val="Subtitle"/>
    <w:basedOn w:val="berschrift"/>
    <w:next w:val="Textkrper"/>
    <w:qFormat/>
    <w:pPr>
      <w:spacing w:before="60"/>
      <w:jc w:val="center"/>
    </w:pPr>
    <w:rPr>
      <w:sz w:val="36"/>
      <w:szCs w:val="36"/>
    </w:rPr>
  </w:style>
  <w:style w:type="paragraph" w:styleId="Kopfzeile">
    <w:name w:val="header"/>
    <w:basedOn w:val="Standard"/>
    <w:pPr>
      <w:tabs>
        <w:tab w:val="center" w:pos="4536"/>
        <w:tab w:val="right" w:pos="9072"/>
      </w:tabs>
    </w:pPr>
    <w:rPr>
      <w:rFonts w:cs="Mangal"/>
      <w:szCs w:val="21"/>
    </w:rPr>
  </w:style>
  <w:style w:type="paragraph" w:styleId="Fuzeile">
    <w:name w:val="footer"/>
    <w:basedOn w:val="Standard"/>
    <w:uiPriority w:val="99"/>
    <w:pPr>
      <w:tabs>
        <w:tab w:val="center" w:pos="4536"/>
        <w:tab w:val="right" w:pos="9072"/>
      </w:tabs>
    </w:pPr>
    <w:rPr>
      <w:rFonts w:cs="Mangal"/>
      <w:szCs w:val="21"/>
    </w:rPr>
  </w:style>
  <w:style w:type="paragraph" w:customStyle="1" w:styleId="absatzschattenbericht">
    <w:name w:val="absatz schattenbericht"/>
    <w:basedOn w:val="KeinAbsatzformat"/>
    <w:rsid w:val="00325A43"/>
    <w:pPr>
      <w:shd w:val="clear" w:color="auto" w:fill="FFFFFF"/>
      <w:spacing w:after="113"/>
      <w:jc w:val="both"/>
    </w:pPr>
    <w:rPr>
      <w:rFonts w:ascii="Times New Roman" w:eastAsia="Baskerville" w:hAnsi="Times New Roman" w:cs="Baskerville"/>
      <w:spacing w:val="2"/>
      <w:lang w:val="en-US"/>
    </w:rPr>
  </w:style>
  <w:style w:type="paragraph" w:customStyle="1" w:styleId="titel0schattenbericht">
    <w:name w:val="titel0 schattenbericht"/>
    <w:basedOn w:val="absatzschattenbericht"/>
    <w:pPr>
      <w:jc w:val="left"/>
    </w:pPr>
    <w:rPr>
      <w:rFonts w:ascii="Helvetica-Bold" w:eastAsia="Helvetica-Bold" w:hAnsi="Helvetica-Bold" w:cs="Helvetica-Bold"/>
      <w:b/>
      <w:bCs/>
      <w:spacing w:val="3"/>
      <w:sz w:val="28"/>
      <w:szCs w:val="28"/>
    </w:rPr>
  </w:style>
  <w:style w:type="paragraph" w:customStyle="1" w:styleId="Quotations">
    <w:name w:val="Quotations"/>
    <w:basedOn w:val="Standard"/>
    <w:pPr>
      <w:spacing w:after="283"/>
      <w:ind w:left="567" w:right="567"/>
    </w:pPr>
  </w:style>
  <w:style w:type="paragraph" w:customStyle="1" w:styleId="fussnoteschattenbericht">
    <w:name w:val="fussnote schattenbericht"/>
    <w:basedOn w:val="Standard"/>
    <w:autoRedefine/>
    <w:rsid w:val="002313AE"/>
    <w:pPr>
      <w:autoSpaceDE w:val="0"/>
      <w:spacing w:line="288" w:lineRule="auto"/>
      <w:ind w:left="454" w:hanging="450"/>
      <w:textAlignment w:val="center"/>
    </w:pPr>
    <w:rPr>
      <w:rFonts w:eastAsia="Baskerville"/>
      <w:color w:val="000000"/>
      <w:spacing w:val="2"/>
      <w:sz w:val="20"/>
      <w:szCs w:val="20"/>
      <w:lang w:val="en-GB"/>
    </w:rPr>
  </w:style>
  <w:style w:type="paragraph" w:customStyle="1" w:styleId="titel2schattenbericht">
    <w:name w:val="titel2 schattenbericht"/>
    <w:basedOn w:val="absatzschattenbericht"/>
    <w:rsid w:val="00F516CE"/>
    <w:pPr>
      <w:spacing w:line="288" w:lineRule="atLeast"/>
      <w:jc w:val="left"/>
    </w:pPr>
    <w:rPr>
      <w:rFonts w:ascii="Arial-BoldMT" w:eastAsia="Arial-BoldMT" w:hAnsi="Arial-BoldMT" w:cs="Arial-BoldMT"/>
      <w:b/>
      <w:bCs/>
      <w:sz w:val="23"/>
      <w:szCs w:val="23"/>
    </w:rPr>
  </w:style>
  <w:style w:type="character" w:customStyle="1" w:styleId="FunotentextZchn">
    <w:name w:val="Fußnotentext Zchn"/>
    <w:link w:val="Funotentext"/>
    <w:rsid w:val="00537CB2"/>
    <w:rPr>
      <w:rFonts w:eastAsia="Arial Unicode MS" w:cs="Arial Unicode MS"/>
      <w:kern w:val="1"/>
      <w:lang w:eastAsia="zh-CN" w:bidi="hi-IN"/>
    </w:rPr>
  </w:style>
  <w:style w:type="paragraph" w:customStyle="1" w:styleId="titel3schattenbericht">
    <w:name w:val="titel3 schattenbericht"/>
    <w:basedOn w:val="titel2schattenbericht"/>
    <w:rsid w:val="00B02E43"/>
    <w:pPr>
      <w:spacing w:before="28" w:after="85"/>
    </w:pPr>
    <w:rPr>
      <w:color w:val="232657"/>
      <w:sz w:val="22"/>
      <w:szCs w:val="22"/>
      <w:lang w:eastAsia="hi-IN"/>
    </w:rPr>
  </w:style>
  <w:style w:type="paragraph" w:styleId="Verzeichnis1">
    <w:name w:val="toc 1"/>
    <w:basedOn w:val="Standard"/>
    <w:next w:val="Standard"/>
    <w:autoRedefine/>
    <w:uiPriority w:val="39"/>
    <w:unhideWhenUsed/>
    <w:rsid w:val="00781B24"/>
    <w:pPr>
      <w:tabs>
        <w:tab w:val="right" w:leader="dot" w:pos="9628"/>
      </w:tabs>
    </w:pPr>
    <w:rPr>
      <w:rFonts w:cs="Mangal"/>
      <w:b/>
      <w:noProof/>
      <w:sz w:val="28"/>
      <w:szCs w:val="28"/>
      <w:lang w:val="en-GB"/>
    </w:rPr>
  </w:style>
  <w:style w:type="paragraph" w:styleId="Verzeichnis2">
    <w:name w:val="toc 2"/>
    <w:basedOn w:val="Standard"/>
    <w:next w:val="Standard"/>
    <w:autoRedefine/>
    <w:uiPriority w:val="39"/>
    <w:unhideWhenUsed/>
    <w:rsid w:val="00781B24"/>
    <w:pPr>
      <w:tabs>
        <w:tab w:val="right" w:leader="dot" w:pos="9628"/>
      </w:tabs>
      <w:ind w:left="240"/>
    </w:pPr>
    <w:rPr>
      <w:rFonts w:cs="Mangal"/>
      <w:noProof/>
      <w:szCs w:val="21"/>
    </w:rPr>
  </w:style>
  <w:style w:type="paragraph" w:styleId="Verzeichnis3">
    <w:name w:val="toc 3"/>
    <w:basedOn w:val="Standard"/>
    <w:next w:val="Standard"/>
    <w:autoRedefine/>
    <w:uiPriority w:val="39"/>
    <w:unhideWhenUsed/>
    <w:rsid w:val="007F0AF1"/>
    <w:pPr>
      <w:ind w:left="480"/>
    </w:pPr>
    <w:rPr>
      <w:rFonts w:cs="Mangal"/>
      <w:szCs w:val="21"/>
    </w:rPr>
  </w:style>
  <w:style w:type="paragraph" w:styleId="Inhaltsverzeichnisberschrift">
    <w:name w:val="TOC Heading"/>
    <w:basedOn w:val="berschrift1"/>
    <w:next w:val="Standard"/>
    <w:uiPriority w:val="39"/>
    <w:semiHidden/>
    <w:unhideWhenUsed/>
    <w:qFormat/>
    <w:rsid w:val="00A760A8"/>
    <w:pPr>
      <w:keepLines/>
      <w:numPr>
        <w:numId w:val="0"/>
      </w:numPr>
      <w:spacing w:before="480" w:after="0" w:line="276" w:lineRule="auto"/>
      <w:outlineLvl w:val="9"/>
    </w:pPr>
    <w:rPr>
      <w:rFonts w:ascii="Cambria" w:hAnsi="Cambria"/>
      <w:color w:val="365F91"/>
      <w:sz w:val="28"/>
      <w:szCs w:val="28"/>
      <w:lang w:eastAsia="de-CH"/>
    </w:rPr>
  </w:style>
  <w:style w:type="paragraph" w:customStyle="1" w:styleId="NormaleWeb">
    <w:name w:val="Normale (Web)"/>
    <w:basedOn w:val="Standard"/>
    <w:rsid w:val="00CB064B"/>
    <w:pPr>
      <w:spacing w:before="280" w:after="144" w:line="288" w:lineRule="auto"/>
    </w:pPr>
    <w:rPr>
      <w:rFonts w:ascii="Times" w:eastAsia="MS Mincho" w:hAnsi="Times"/>
      <w:sz w:val="20"/>
      <w:szCs w:val="20"/>
      <w:lang w:val="it-IT"/>
    </w:rPr>
  </w:style>
  <w:style w:type="character" w:customStyle="1" w:styleId="highlight">
    <w:name w:val="highlight"/>
    <w:rsid w:val="00294E21"/>
  </w:style>
  <w:style w:type="character" w:styleId="Fett">
    <w:name w:val="Strong"/>
    <w:uiPriority w:val="22"/>
    <w:qFormat/>
    <w:rsid w:val="003F633D"/>
    <w:rPr>
      <w:b/>
      <w:bCs/>
    </w:rPr>
  </w:style>
  <w:style w:type="character" w:customStyle="1" w:styleId="figpopup-sensitive-area">
    <w:name w:val="figpopup-sensitive-area"/>
    <w:rsid w:val="005F1D18"/>
  </w:style>
  <w:style w:type="paragraph" w:styleId="Abbildungsverzeichnis">
    <w:name w:val="table of figures"/>
    <w:basedOn w:val="Standard"/>
    <w:next w:val="Standard"/>
    <w:uiPriority w:val="99"/>
    <w:semiHidden/>
    <w:unhideWhenUsed/>
    <w:rsid w:val="00AC483E"/>
    <w:rPr>
      <w:rFonts w:cs="Mangal"/>
      <w:szCs w:val="21"/>
    </w:rPr>
  </w:style>
  <w:style w:type="paragraph" w:styleId="Anrede">
    <w:name w:val="Salutation"/>
    <w:basedOn w:val="Standard"/>
    <w:next w:val="Standard"/>
    <w:link w:val="AnredeZchn"/>
    <w:uiPriority w:val="99"/>
    <w:semiHidden/>
    <w:unhideWhenUsed/>
    <w:rsid w:val="00AC483E"/>
    <w:rPr>
      <w:rFonts w:cs="Mangal"/>
      <w:szCs w:val="21"/>
    </w:rPr>
  </w:style>
  <w:style w:type="character" w:customStyle="1" w:styleId="AnredeZchn">
    <w:name w:val="Anrede Zchn"/>
    <w:link w:val="Anrede"/>
    <w:uiPriority w:val="99"/>
    <w:semiHidden/>
    <w:rsid w:val="00AC483E"/>
    <w:rPr>
      <w:rFonts w:eastAsia="Arial Unicode MS" w:cs="Mangal"/>
      <w:kern w:val="1"/>
      <w:sz w:val="24"/>
      <w:szCs w:val="21"/>
      <w:lang w:eastAsia="zh-CN" w:bidi="hi-IN"/>
    </w:rPr>
  </w:style>
  <w:style w:type="paragraph" w:styleId="Aufzhlungszeichen">
    <w:name w:val="List Bullet"/>
    <w:basedOn w:val="Standard"/>
    <w:uiPriority w:val="99"/>
    <w:semiHidden/>
    <w:unhideWhenUsed/>
    <w:rsid w:val="00AC483E"/>
    <w:pPr>
      <w:numPr>
        <w:numId w:val="4"/>
      </w:numPr>
      <w:contextualSpacing/>
    </w:pPr>
    <w:rPr>
      <w:rFonts w:cs="Mangal"/>
      <w:szCs w:val="21"/>
    </w:rPr>
  </w:style>
  <w:style w:type="paragraph" w:styleId="Aufzhlungszeichen2">
    <w:name w:val="List Bullet 2"/>
    <w:basedOn w:val="Standard"/>
    <w:uiPriority w:val="99"/>
    <w:semiHidden/>
    <w:unhideWhenUsed/>
    <w:rsid w:val="00AC483E"/>
    <w:pPr>
      <w:numPr>
        <w:numId w:val="5"/>
      </w:numPr>
      <w:contextualSpacing/>
    </w:pPr>
    <w:rPr>
      <w:rFonts w:cs="Mangal"/>
      <w:szCs w:val="21"/>
    </w:rPr>
  </w:style>
  <w:style w:type="paragraph" w:styleId="Aufzhlungszeichen3">
    <w:name w:val="List Bullet 3"/>
    <w:basedOn w:val="Standard"/>
    <w:uiPriority w:val="99"/>
    <w:semiHidden/>
    <w:unhideWhenUsed/>
    <w:rsid w:val="00AC483E"/>
    <w:pPr>
      <w:numPr>
        <w:numId w:val="6"/>
      </w:numPr>
      <w:contextualSpacing/>
    </w:pPr>
    <w:rPr>
      <w:rFonts w:cs="Mangal"/>
      <w:szCs w:val="21"/>
    </w:rPr>
  </w:style>
  <w:style w:type="paragraph" w:styleId="Aufzhlungszeichen4">
    <w:name w:val="List Bullet 4"/>
    <w:basedOn w:val="Standard"/>
    <w:uiPriority w:val="99"/>
    <w:semiHidden/>
    <w:unhideWhenUsed/>
    <w:rsid w:val="00AC483E"/>
    <w:pPr>
      <w:numPr>
        <w:numId w:val="7"/>
      </w:numPr>
      <w:contextualSpacing/>
    </w:pPr>
    <w:rPr>
      <w:rFonts w:cs="Mangal"/>
      <w:szCs w:val="21"/>
    </w:rPr>
  </w:style>
  <w:style w:type="paragraph" w:styleId="Aufzhlungszeichen5">
    <w:name w:val="List Bullet 5"/>
    <w:basedOn w:val="Standard"/>
    <w:uiPriority w:val="99"/>
    <w:semiHidden/>
    <w:unhideWhenUsed/>
    <w:rsid w:val="00AC483E"/>
    <w:pPr>
      <w:numPr>
        <w:numId w:val="8"/>
      </w:numPr>
      <w:contextualSpacing/>
    </w:pPr>
    <w:rPr>
      <w:rFonts w:cs="Mangal"/>
      <w:szCs w:val="21"/>
    </w:rPr>
  </w:style>
  <w:style w:type="paragraph" w:styleId="Blocktext">
    <w:name w:val="Block Text"/>
    <w:basedOn w:val="Standard"/>
    <w:uiPriority w:val="99"/>
    <w:semiHidden/>
    <w:unhideWhenUsed/>
    <w:rsid w:val="00AC483E"/>
    <w:pPr>
      <w:spacing w:after="120"/>
      <w:ind w:left="1440" w:right="1440"/>
    </w:pPr>
    <w:rPr>
      <w:rFonts w:cs="Mangal"/>
      <w:szCs w:val="21"/>
    </w:rPr>
  </w:style>
  <w:style w:type="paragraph" w:styleId="Datum">
    <w:name w:val="Date"/>
    <w:basedOn w:val="Standard"/>
    <w:next w:val="Standard"/>
    <w:link w:val="DatumZchn"/>
    <w:uiPriority w:val="99"/>
    <w:semiHidden/>
    <w:unhideWhenUsed/>
    <w:rsid w:val="00AC483E"/>
    <w:rPr>
      <w:rFonts w:cs="Mangal"/>
      <w:szCs w:val="21"/>
    </w:rPr>
  </w:style>
  <w:style w:type="character" w:customStyle="1" w:styleId="DatumZchn">
    <w:name w:val="Datum Zchn"/>
    <w:link w:val="Datum"/>
    <w:uiPriority w:val="99"/>
    <w:semiHidden/>
    <w:rsid w:val="00AC483E"/>
    <w:rPr>
      <w:rFonts w:eastAsia="Arial Unicode MS" w:cs="Mangal"/>
      <w:kern w:val="1"/>
      <w:sz w:val="24"/>
      <w:szCs w:val="21"/>
      <w:lang w:eastAsia="zh-CN" w:bidi="hi-IN"/>
    </w:rPr>
  </w:style>
  <w:style w:type="paragraph" w:styleId="Dokumentstruktur">
    <w:name w:val="Document Map"/>
    <w:basedOn w:val="Standard"/>
    <w:link w:val="DokumentstrukturZchn"/>
    <w:uiPriority w:val="99"/>
    <w:semiHidden/>
    <w:unhideWhenUsed/>
    <w:rsid w:val="00AC483E"/>
    <w:rPr>
      <w:rFonts w:ascii="Tahoma" w:hAnsi="Tahoma" w:cs="Mangal"/>
      <w:sz w:val="16"/>
      <w:szCs w:val="14"/>
    </w:rPr>
  </w:style>
  <w:style w:type="character" w:customStyle="1" w:styleId="DokumentstrukturZchn">
    <w:name w:val="Dokumentstruktur Zchn"/>
    <w:link w:val="Dokumentstruktur"/>
    <w:uiPriority w:val="99"/>
    <w:semiHidden/>
    <w:rsid w:val="00AC483E"/>
    <w:rPr>
      <w:rFonts w:ascii="Tahoma" w:eastAsia="Arial Unicode MS" w:hAnsi="Tahoma" w:cs="Mangal"/>
      <w:kern w:val="1"/>
      <w:sz w:val="16"/>
      <w:szCs w:val="14"/>
      <w:lang w:eastAsia="zh-CN" w:bidi="hi-IN"/>
    </w:rPr>
  </w:style>
  <w:style w:type="paragraph" w:styleId="E-Mail-Signatur">
    <w:name w:val="E-mail Signature"/>
    <w:basedOn w:val="Standard"/>
    <w:link w:val="E-Mail-SignaturZchn"/>
    <w:uiPriority w:val="99"/>
    <w:semiHidden/>
    <w:unhideWhenUsed/>
    <w:rsid w:val="00AC483E"/>
    <w:rPr>
      <w:rFonts w:cs="Mangal"/>
      <w:szCs w:val="21"/>
    </w:rPr>
  </w:style>
  <w:style w:type="character" w:customStyle="1" w:styleId="E-Mail-SignaturZchn">
    <w:name w:val="E-Mail-Signatur Zchn"/>
    <w:link w:val="E-Mail-Signatur"/>
    <w:uiPriority w:val="99"/>
    <w:semiHidden/>
    <w:rsid w:val="00AC483E"/>
    <w:rPr>
      <w:rFonts w:eastAsia="Arial Unicode MS" w:cs="Mangal"/>
      <w:kern w:val="1"/>
      <w:sz w:val="24"/>
      <w:szCs w:val="21"/>
      <w:lang w:eastAsia="zh-CN" w:bidi="hi-IN"/>
    </w:rPr>
  </w:style>
  <w:style w:type="paragraph" w:styleId="Endnotentext">
    <w:name w:val="endnote text"/>
    <w:basedOn w:val="Standard"/>
    <w:link w:val="EndnotentextZchn"/>
    <w:uiPriority w:val="99"/>
    <w:semiHidden/>
    <w:unhideWhenUsed/>
    <w:rsid w:val="00AC483E"/>
    <w:rPr>
      <w:rFonts w:cs="Mangal"/>
      <w:sz w:val="20"/>
      <w:szCs w:val="18"/>
    </w:rPr>
  </w:style>
  <w:style w:type="character" w:customStyle="1" w:styleId="EndnotentextZchn">
    <w:name w:val="Endnotentext Zchn"/>
    <w:link w:val="Endnotentext"/>
    <w:uiPriority w:val="99"/>
    <w:semiHidden/>
    <w:rsid w:val="00AC483E"/>
    <w:rPr>
      <w:rFonts w:eastAsia="Arial Unicode MS" w:cs="Mangal"/>
      <w:kern w:val="1"/>
      <w:szCs w:val="18"/>
      <w:lang w:eastAsia="zh-CN" w:bidi="hi-IN"/>
    </w:rPr>
  </w:style>
  <w:style w:type="paragraph" w:styleId="Fu-Endnotenberschrift">
    <w:name w:val="Note Heading"/>
    <w:basedOn w:val="Standard"/>
    <w:next w:val="Standard"/>
    <w:link w:val="Fu-EndnotenberschriftZchn"/>
    <w:uiPriority w:val="99"/>
    <w:semiHidden/>
    <w:unhideWhenUsed/>
    <w:rsid w:val="00AC483E"/>
    <w:rPr>
      <w:rFonts w:cs="Mangal"/>
      <w:szCs w:val="21"/>
    </w:rPr>
  </w:style>
  <w:style w:type="character" w:customStyle="1" w:styleId="Fu-EndnotenberschriftZchn">
    <w:name w:val="Fuß/-Endnotenüberschrift Zchn"/>
    <w:link w:val="Fu-Endnotenberschrift"/>
    <w:uiPriority w:val="99"/>
    <w:semiHidden/>
    <w:rsid w:val="00AC483E"/>
    <w:rPr>
      <w:rFonts w:eastAsia="Arial Unicode MS" w:cs="Mangal"/>
      <w:kern w:val="1"/>
      <w:sz w:val="24"/>
      <w:szCs w:val="21"/>
      <w:lang w:eastAsia="zh-CN" w:bidi="hi-IN"/>
    </w:rPr>
  </w:style>
  <w:style w:type="paragraph" w:styleId="Gruformel">
    <w:name w:val="Closing"/>
    <w:basedOn w:val="Standard"/>
    <w:link w:val="GruformelZchn"/>
    <w:uiPriority w:val="99"/>
    <w:semiHidden/>
    <w:unhideWhenUsed/>
    <w:rsid w:val="00AC483E"/>
    <w:pPr>
      <w:ind w:left="4252"/>
    </w:pPr>
    <w:rPr>
      <w:rFonts w:cs="Mangal"/>
      <w:szCs w:val="21"/>
    </w:rPr>
  </w:style>
  <w:style w:type="character" w:customStyle="1" w:styleId="GruformelZchn">
    <w:name w:val="Grußformel Zchn"/>
    <w:link w:val="Gruformel"/>
    <w:uiPriority w:val="99"/>
    <w:semiHidden/>
    <w:rsid w:val="00AC483E"/>
    <w:rPr>
      <w:rFonts w:eastAsia="Arial Unicode MS" w:cs="Mangal"/>
      <w:kern w:val="1"/>
      <w:sz w:val="24"/>
      <w:szCs w:val="21"/>
      <w:lang w:eastAsia="zh-CN" w:bidi="hi-IN"/>
    </w:rPr>
  </w:style>
  <w:style w:type="paragraph" w:styleId="HTMLAdresse">
    <w:name w:val="HTML Address"/>
    <w:basedOn w:val="Standard"/>
    <w:link w:val="HTMLAdresseZchn"/>
    <w:uiPriority w:val="99"/>
    <w:semiHidden/>
    <w:unhideWhenUsed/>
    <w:rsid w:val="00AC483E"/>
    <w:rPr>
      <w:rFonts w:cs="Mangal"/>
      <w:i/>
      <w:iCs/>
      <w:szCs w:val="21"/>
    </w:rPr>
  </w:style>
  <w:style w:type="character" w:customStyle="1" w:styleId="HTMLAdresseZchn">
    <w:name w:val="HTML Adresse Zchn"/>
    <w:link w:val="HTMLAdresse"/>
    <w:uiPriority w:val="99"/>
    <w:semiHidden/>
    <w:rsid w:val="00AC483E"/>
    <w:rPr>
      <w:rFonts w:eastAsia="Arial Unicode MS" w:cs="Mangal"/>
      <w:i/>
      <w:iCs/>
      <w:kern w:val="1"/>
      <w:sz w:val="24"/>
      <w:szCs w:val="21"/>
      <w:lang w:eastAsia="zh-CN" w:bidi="hi-IN"/>
    </w:rPr>
  </w:style>
  <w:style w:type="paragraph" w:styleId="HTMLVorformatiert">
    <w:name w:val="HTML Preformatted"/>
    <w:basedOn w:val="Standard"/>
    <w:link w:val="HTMLVorformatiertZchn"/>
    <w:uiPriority w:val="99"/>
    <w:semiHidden/>
    <w:unhideWhenUsed/>
    <w:rsid w:val="00AC483E"/>
    <w:rPr>
      <w:rFonts w:ascii="Courier New" w:hAnsi="Courier New" w:cs="Mangal"/>
      <w:sz w:val="20"/>
      <w:szCs w:val="18"/>
    </w:rPr>
  </w:style>
  <w:style w:type="character" w:customStyle="1" w:styleId="HTMLVorformatiertZchn">
    <w:name w:val="HTML Vorformatiert Zchn"/>
    <w:link w:val="HTMLVorformatiert"/>
    <w:uiPriority w:val="99"/>
    <w:semiHidden/>
    <w:rsid w:val="00AC483E"/>
    <w:rPr>
      <w:rFonts w:ascii="Courier New" w:eastAsia="Arial Unicode MS" w:hAnsi="Courier New" w:cs="Mangal"/>
      <w:kern w:val="1"/>
      <w:szCs w:val="18"/>
      <w:lang w:eastAsia="zh-CN" w:bidi="hi-IN"/>
    </w:rPr>
  </w:style>
  <w:style w:type="paragraph" w:styleId="Index1">
    <w:name w:val="index 1"/>
    <w:basedOn w:val="Standard"/>
    <w:next w:val="Standard"/>
    <w:autoRedefine/>
    <w:uiPriority w:val="99"/>
    <w:semiHidden/>
    <w:unhideWhenUsed/>
    <w:rsid w:val="00AC483E"/>
    <w:pPr>
      <w:ind w:left="240" w:hanging="240"/>
    </w:pPr>
    <w:rPr>
      <w:rFonts w:cs="Mangal"/>
      <w:szCs w:val="21"/>
    </w:rPr>
  </w:style>
  <w:style w:type="paragraph" w:styleId="Index2">
    <w:name w:val="index 2"/>
    <w:basedOn w:val="Standard"/>
    <w:next w:val="Standard"/>
    <w:autoRedefine/>
    <w:uiPriority w:val="99"/>
    <w:semiHidden/>
    <w:unhideWhenUsed/>
    <w:rsid w:val="00AC483E"/>
    <w:pPr>
      <w:ind w:left="480" w:hanging="240"/>
    </w:pPr>
    <w:rPr>
      <w:rFonts w:cs="Mangal"/>
      <w:szCs w:val="21"/>
    </w:rPr>
  </w:style>
  <w:style w:type="paragraph" w:styleId="Index3">
    <w:name w:val="index 3"/>
    <w:basedOn w:val="Standard"/>
    <w:next w:val="Standard"/>
    <w:autoRedefine/>
    <w:uiPriority w:val="99"/>
    <w:semiHidden/>
    <w:unhideWhenUsed/>
    <w:rsid w:val="00AC483E"/>
    <w:pPr>
      <w:ind w:left="720" w:hanging="240"/>
    </w:pPr>
    <w:rPr>
      <w:rFonts w:cs="Mangal"/>
      <w:szCs w:val="21"/>
    </w:rPr>
  </w:style>
  <w:style w:type="paragraph" w:styleId="Index4">
    <w:name w:val="index 4"/>
    <w:basedOn w:val="Standard"/>
    <w:next w:val="Standard"/>
    <w:autoRedefine/>
    <w:uiPriority w:val="99"/>
    <w:semiHidden/>
    <w:unhideWhenUsed/>
    <w:rsid w:val="00AC483E"/>
    <w:pPr>
      <w:ind w:left="960" w:hanging="240"/>
    </w:pPr>
    <w:rPr>
      <w:rFonts w:cs="Mangal"/>
      <w:szCs w:val="21"/>
    </w:rPr>
  </w:style>
  <w:style w:type="paragraph" w:styleId="Index5">
    <w:name w:val="index 5"/>
    <w:basedOn w:val="Standard"/>
    <w:next w:val="Standard"/>
    <w:autoRedefine/>
    <w:uiPriority w:val="99"/>
    <w:semiHidden/>
    <w:unhideWhenUsed/>
    <w:rsid w:val="00AC483E"/>
    <w:pPr>
      <w:ind w:left="1200" w:hanging="240"/>
    </w:pPr>
    <w:rPr>
      <w:rFonts w:cs="Mangal"/>
      <w:szCs w:val="21"/>
    </w:rPr>
  </w:style>
  <w:style w:type="paragraph" w:styleId="Index6">
    <w:name w:val="index 6"/>
    <w:basedOn w:val="Standard"/>
    <w:next w:val="Standard"/>
    <w:autoRedefine/>
    <w:uiPriority w:val="99"/>
    <w:semiHidden/>
    <w:unhideWhenUsed/>
    <w:rsid w:val="00AC483E"/>
    <w:pPr>
      <w:ind w:left="1440" w:hanging="240"/>
    </w:pPr>
    <w:rPr>
      <w:rFonts w:cs="Mangal"/>
      <w:szCs w:val="21"/>
    </w:rPr>
  </w:style>
  <w:style w:type="paragraph" w:styleId="Index7">
    <w:name w:val="index 7"/>
    <w:basedOn w:val="Standard"/>
    <w:next w:val="Standard"/>
    <w:autoRedefine/>
    <w:uiPriority w:val="99"/>
    <w:semiHidden/>
    <w:unhideWhenUsed/>
    <w:rsid w:val="00AC483E"/>
    <w:pPr>
      <w:ind w:left="1680" w:hanging="240"/>
    </w:pPr>
    <w:rPr>
      <w:rFonts w:cs="Mangal"/>
      <w:szCs w:val="21"/>
    </w:rPr>
  </w:style>
  <w:style w:type="paragraph" w:styleId="Index8">
    <w:name w:val="index 8"/>
    <w:basedOn w:val="Standard"/>
    <w:next w:val="Standard"/>
    <w:autoRedefine/>
    <w:uiPriority w:val="99"/>
    <w:semiHidden/>
    <w:unhideWhenUsed/>
    <w:rsid w:val="00AC483E"/>
    <w:pPr>
      <w:ind w:left="1920" w:hanging="240"/>
    </w:pPr>
    <w:rPr>
      <w:rFonts w:cs="Mangal"/>
      <w:szCs w:val="21"/>
    </w:rPr>
  </w:style>
  <w:style w:type="paragraph" w:styleId="Index9">
    <w:name w:val="index 9"/>
    <w:basedOn w:val="Standard"/>
    <w:next w:val="Standard"/>
    <w:autoRedefine/>
    <w:uiPriority w:val="99"/>
    <w:semiHidden/>
    <w:unhideWhenUsed/>
    <w:rsid w:val="00AC483E"/>
    <w:pPr>
      <w:ind w:left="2160" w:hanging="240"/>
    </w:pPr>
    <w:rPr>
      <w:rFonts w:cs="Mangal"/>
      <w:szCs w:val="21"/>
    </w:rPr>
  </w:style>
  <w:style w:type="paragraph" w:styleId="Indexberschrift">
    <w:name w:val="index heading"/>
    <w:basedOn w:val="Standard"/>
    <w:next w:val="Index1"/>
    <w:uiPriority w:val="99"/>
    <w:semiHidden/>
    <w:unhideWhenUsed/>
    <w:rsid w:val="00AC483E"/>
    <w:rPr>
      <w:rFonts w:ascii="Cambria" w:hAnsi="Cambria" w:cs="Mangal"/>
      <w:b/>
      <w:bCs/>
      <w:szCs w:val="21"/>
    </w:rPr>
  </w:style>
  <w:style w:type="paragraph" w:styleId="IntensivesZitat">
    <w:name w:val="Intense Quote"/>
    <w:basedOn w:val="Standard"/>
    <w:next w:val="Standard"/>
    <w:link w:val="IntensivesZitatZchn"/>
    <w:uiPriority w:val="30"/>
    <w:qFormat/>
    <w:rsid w:val="00AC483E"/>
    <w:pPr>
      <w:pBdr>
        <w:bottom w:val="single" w:sz="4" w:space="4" w:color="4F81BD"/>
      </w:pBdr>
      <w:spacing w:before="200" w:after="280"/>
      <w:ind w:left="936" w:right="936"/>
    </w:pPr>
    <w:rPr>
      <w:rFonts w:cs="Mangal"/>
      <w:b/>
      <w:bCs/>
      <w:i/>
      <w:iCs/>
      <w:color w:val="4F81BD"/>
      <w:szCs w:val="21"/>
    </w:rPr>
  </w:style>
  <w:style w:type="character" w:customStyle="1" w:styleId="IntensivesZitatZchn">
    <w:name w:val="Intensives Zitat Zchn"/>
    <w:link w:val="IntensivesZitat"/>
    <w:uiPriority w:val="30"/>
    <w:rsid w:val="00AC483E"/>
    <w:rPr>
      <w:rFonts w:eastAsia="Arial Unicode MS" w:cs="Mangal"/>
      <w:b/>
      <w:bCs/>
      <w:i/>
      <w:iCs/>
      <w:color w:val="4F81BD"/>
      <w:kern w:val="1"/>
      <w:sz w:val="24"/>
      <w:szCs w:val="21"/>
      <w:lang w:eastAsia="zh-CN" w:bidi="hi-IN"/>
    </w:rPr>
  </w:style>
  <w:style w:type="paragraph" w:styleId="KeinLeerraum">
    <w:name w:val="No Spacing"/>
    <w:uiPriority w:val="1"/>
    <w:qFormat/>
    <w:rsid w:val="00AC483E"/>
    <w:pPr>
      <w:widowControl w:val="0"/>
      <w:suppressAutoHyphens/>
      <w:textAlignment w:val="baseline"/>
    </w:pPr>
    <w:rPr>
      <w:rFonts w:eastAsia="Arial Unicode MS" w:cs="Mangal"/>
      <w:kern w:val="1"/>
      <w:sz w:val="24"/>
      <w:szCs w:val="21"/>
      <w:lang w:val="de-CH" w:eastAsia="zh-CN" w:bidi="hi-IN"/>
    </w:rPr>
  </w:style>
  <w:style w:type="paragraph" w:styleId="Kommentartext">
    <w:name w:val="annotation text"/>
    <w:basedOn w:val="Standard"/>
    <w:link w:val="KommentartextZchn"/>
    <w:uiPriority w:val="99"/>
    <w:semiHidden/>
    <w:unhideWhenUsed/>
    <w:rsid w:val="00AC483E"/>
    <w:rPr>
      <w:rFonts w:cs="Mangal"/>
      <w:sz w:val="20"/>
      <w:szCs w:val="18"/>
    </w:rPr>
  </w:style>
  <w:style w:type="character" w:customStyle="1" w:styleId="KommentartextZchn">
    <w:name w:val="Kommentartext Zchn"/>
    <w:link w:val="Kommentartext"/>
    <w:uiPriority w:val="99"/>
    <w:semiHidden/>
    <w:rsid w:val="00AC483E"/>
    <w:rPr>
      <w:rFonts w:eastAsia="Arial Unicode MS" w:cs="Mangal"/>
      <w:kern w:val="1"/>
      <w:szCs w:val="18"/>
      <w:lang w:eastAsia="zh-CN" w:bidi="hi-IN"/>
    </w:rPr>
  </w:style>
  <w:style w:type="paragraph" w:styleId="Kommentarthema">
    <w:name w:val="annotation subject"/>
    <w:basedOn w:val="Kommentartext"/>
    <w:next w:val="Kommentartext"/>
    <w:link w:val="KommentarthemaZchn"/>
    <w:uiPriority w:val="99"/>
    <w:semiHidden/>
    <w:unhideWhenUsed/>
    <w:rsid w:val="00AC483E"/>
    <w:rPr>
      <w:b/>
      <w:bCs/>
    </w:rPr>
  </w:style>
  <w:style w:type="character" w:customStyle="1" w:styleId="KommentarthemaZchn">
    <w:name w:val="Kommentarthema Zchn"/>
    <w:link w:val="Kommentarthema"/>
    <w:uiPriority w:val="99"/>
    <w:semiHidden/>
    <w:rsid w:val="00AC483E"/>
    <w:rPr>
      <w:rFonts w:eastAsia="Arial Unicode MS" w:cs="Mangal"/>
      <w:b/>
      <w:bCs/>
      <w:kern w:val="1"/>
      <w:szCs w:val="18"/>
      <w:lang w:eastAsia="zh-CN" w:bidi="hi-IN"/>
    </w:rPr>
  </w:style>
  <w:style w:type="paragraph" w:styleId="Liste2">
    <w:name w:val="List 2"/>
    <w:basedOn w:val="Standard"/>
    <w:uiPriority w:val="99"/>
    <w:semiHidden/>
    <w:unhideWhenUsed/>
    <w:rsid w:val="00AC483E"/>
    <w:pPr>
      <w:ind w:left="566" w:hanging="283"/>
      <w:contextualSpacing/>
    </w:pPr>
    <w:rPr>
      <w:rFonts w:cs="Mangal"/>
      <w:szCs w:val="21"/>
    </w:rPr>
  </w:style>
  <w:style w:type="paragraph" w:styleId="Liste3">
    <w:name w:val="List 3"/>
    <w:basedOn w:val="Standard"/>
    <w:uiPriority w:val="99"/>
    <w:semiHidden/>
    <w:unhideWhenUsed/>
    <w:rsid w:val="00AC483E"/>
    <w:pPr>
      <w:ind w:left="849" w:hanging="283"/>
      <w:contextualSpacing/>
    </w:pPr>
    <w:rPr>
      <w:rFonts w:cs="Mangal"/>
      <w:szCs w:val="21"/>
    </w:rPr>
  </w:style>
  <w:style w:type="paragraph" w:styleId="Liste4">
    <w:name w:val="List 4"/>
    <w:basedOn w:val="Standard"/>
    <w:uiPriority w:val="99"/>
    <w:semiHidden/>
    <w:unhideWhenUsed/>
    <w:rsid w:val="00AC483E"/>
    <w:pPr>
      <w:ind w:left="1132" w:hanging="283"/>
      <w:contextualSpacing/>
    </w:pPr>
    <w:rPr>
      <w:rFonts w:cs="Mangal"/>
      <w:szCs w:val="21"/>
    </w:rPr>
  </w:style>
  <w:style w:type="paragraph" w:styleId="Liste5">
    <w:name w:val="List 5"/>
    <w:basedOn w:val="Standard"/>
    <w:uiPriority w:val="99"/>
    <w:semiHidden/>
    <w:unhideWhenUsed/>
    <w:rsid w:val="00AC483E"/>
    <w:pPr>
      <w:ind w:left="1415" w:hanging="283"/>
      <w:contextualSpacing/>
    </w:pPr>
    <w:rPr>
      <w:rFonts w:cs="Mangal"/>
      <w:szCs w:val="21"/>
    </w:rPr>
  </w:style>
  <w:style w:type="paragraph" w:styleId="Listenabsatz">
    <w:name w:val="List Paragraph"/>
    <w:basedOn w:val="Standard"/>
    <w:uiPriority w:val="34"/>
    <w:qFormat/>
    <w:rsid w:val="00AC483E"/>
    <w:pPr>
      <w:ind w:left="709"/>
    </w:pPr>
    <w:rPr>
      <w:rFonts w:cs="Mangal"/>
      <w:szCs w:val="21"/>
    </w:rPr>
  </w:style>
  <w:style w:type="paragraph" w:styleId="Listenfortsetzung">
    <w:name w:val="List Continue"/>
    <w:basedOn w:val="Standard"/>
    <w:uiPriority w:val="99"/>
    <w:semiHidden/>
    <w:unhideWhenUsed/>
    <w:rsid w:val="00AC483E"/>
    <w:pPr>
      <w:spacing w:after="120"/>
      <w:ind w:left="283"/>
      <w:contextualSpacing/>
    </w:pPr>
    <w:rPr>
      <w:rFonts w:cs="Mangal"/>
      <w:szCs w:val="21"/>
    </w:rPr>
  </w:style>
  <w:style w:type="paragraph" w:styleId="Listenfortsetzung2">
    <w:name w:val="List Continue 2"/>
    <w:basedOn w:val="Standard"/>
    <w:uiPriority w:val="99"/>
    <w:semiHidden/>
    <w:unhideWhenUsed/>
    <w:rsid w:val="00AC483E"/>
    <w:pPr>
      <w:spacing w:after="120"/>
      <w:ind w:left="566"/>
      <w:contextualSpacing/>
    </w:pPr>
    <w:rPr>
      <w:rFonts w:cs="Mangal"/>
      <w:szCs w:val="21"/>
    </w:rPr>
  </w:style>
  <w:style w:type="paragraph" w:styleId="Listenfortsetzung3">
    <w:name w:val="List Continue 3"/>
    <w:basedOn w:val="Standard"/>
    <w:uiPriority w:val="99"/>
    <w:semiHidden/>
    <w:unhideWhenUsed/>
    <w:rsid w:val="00AC483E"/>
    <w:pPr>
      <w:spacing w:after="120"/>
      <w:ind w:left="849"/>
      <w:contextualSpacing/>
    </w:pPr>
    <w:rPr>
      <w:rFonts w:cs="Mangal"/>
      <w:szCs w:val="21"/>
    </w:rPr>
  </w:style>
  <w:style w:type="paragraph" w:styleId="Listenfortsetzung4">
    <w:name w:val="List Continue 4"/>
    <w:basedOn w:val="Standard"/>
    <w:uiPriority w:val="99"/>
    <w:semiHidden/>
    <w:unhideWhenUsed/>
    <w:rsid w:val="00AC483E"/>
    <w:pPr>
      <w:spacing w:after="120"/>
      <w:ind w:left="1132"/>
      <w:contextualSpacing/>
    </w:pPr>
    <w:rPr>
      <w:rFonts w:cs="Mangal"/>
      <w:szCs w:val="21"/>
    </w:rPr>
  </w:style>
  <w:style w:type="paragraph" w:styleId="Listenfortsetzung5">
    <w:name w:val="List Continue 5"/>
    <w:basedOn w:val="Standard"/>
    <w:uiPriority w:val="99"/>
    <w:semiHidden/>
    <w:unhideWhenUsed/>
    <w:rsid w:val="00AC483E"/>
    <w:pPr>
      <w:spacing w:after="120"/>
      <w:ind w:left="1415"/>
      <w:contextualSpacing/>
    </w:pPr>
    <w:rPr>
      <w:rFonts w:cs="Mangal"/>
      <w:szCs w:val="21"/>
    </w:rPr>
  </w:style>
  <w:style w:type="paragraph" w:styleId="Listennummer">
    <w:name w:val="List Number"/>
    <w:basedOn w:val="Standard"/>
    <w:uiPriority w:val="99"/>
    <w:semiHidden/>
    <w:unhideWhenUsed/>
    <w:rsid w:val="00AC483E"/>
    <w:pPr>
      <w:numPr>
        <w:numId w:val="9"/>
      </w:numPr>
      <w:contextualSpacing/>
    </w:pPr>
    <w:rPr>
      <w:rFonts w:cs="Mangal"/>
      <w:szCs w:val="21"/>
    </w:rPr>
  </w:style>
  <w:style w:type="paragraph" w:styleId="Listennummer2">
    <w:name w:val="List Number 2"/>
    <w:basedOn w:val="Standard"/>
    <w:uiPriority w:val="99"/>
    <w:semiHidden/>
    <w:unhideWhenUsed/>
    <w:rsid w:val="00AC483E"/>
    <w:pPr>
      <w:numPr>
        <w:numId w:val="10"/>
      </w:numPr>
      <w:contextualSpacing/>
    </w:pPr>
    <w:rPr>
      <w:rFonts w:cs="Mangal"/>
      <w:szCs w:val="21"/>
    </w:rPr>
  </w:style>
  <w:style w:type="paragraph" w:styleId="Listennummer3">
    <w:name w:val="List Number 3"/>
    <w:basedOn w:val="Standard"/>
    <w:uiPriority w:val="99"/>
    <w:semiHidden/>
    <w:unhideWhenUsed/>
    <w:rsid w:val="00AC483E"/>
    <w:pPr>
      <w:numPr>
        <w:numId w:val="11"/>
      </w:numPr>
      <w:contextualSpacing/>
    </w:pPr>
    <w:rPr>
      <w:rFonts w:cs="Mangal"/>
      <w:szCs w:val="21"/>
    </w:rPr>
  </w:style>
  <w:style w:type="paragraph" w:styleId="Listennummer4">
    <w:name w:val="List Number 4"/>
    <w:basedOn w:val="Standard"/>
    <w:uiPriority w:val="99"/>
    <w:semiHidden/>
    <w:unhideWhenUsed/>
    <w:rsid w:val="00AC483E"/>
    <w:pPr>
      <w:numPr>
        <w:numId w:val="12"/>
      </w:numPr>
      <w:contextualSpacing/>
    </w:pPr>
    <w:rPr>
      <w:rFonts w:cs="Mangal"/>
      <w:szCs w:val="21"/>
    </w:rPr>
  </w:style>
  <w:style w:type="paragraph" w:styleId="Listennummer5">
    <w:name w:val="List Number 5"/>
    <w:basedOn w:val="Standard"/>
    <w:uiPriority w:val="99"/>
    <w:semiHidden/>
    <w:unhideWhenUsed/>
    <w:rsid w:val="00AC483E"/>
    <w:pPr>
      <w:numPr>
        <w:numId w:val="13"/>
      </w:numPr>
      <w:contextualSpacing/>
    </w:pPr>
    <w:rPr>
      <w:rFonts w:cs="Mangal"/>
      <w:szCs w:val="21"/>
    </w:rPr>
  </w:style>
  <w:style w:type="paragraph" w:styleId="Literaturverzeichnis">
    <w:name w:val="Bibliography"/>
    <w:basedOn w:val="Standard"/>
    <w:next w:val="Standard"/>
    <w:uiPriority w:val="37"/>
    <w:semiHidden/>
    <w:unhideWhenUsed/>
    <w:rsid w:val="00AC483E"/>
    <w:rPr>
      <w:rFonts w:cs="Mangal"/>
      <w:szCs w:val="21"/>
    </w:rPr>
  </w:style>
  <w:style w:type="paragraph" w:styleId="Makrotext">
    <w:name w:val="macro"/>
    <w:link w:val="MakrotextZchn"/>
    <w:uiPriority w:val="99"/>
    <w:semiHidden/>
    <w:unhideWhenUsed/>
    <w:rsid w:val="00AC483E"/>
    <w:pPr>
      <w:widowControl w:val="0"/>
      <w:tabs>
        <w:tab w:val="left" w:pos="480"/>
        <w:tab w:val="left" w:pos="960"/>
        <w:tab w:val="left" w:pos="1440"/>
        <w:tab w:val="left" w:pos="1920"/>
        <w:tab w:val="left" w:pos="2400"/>
        <w:tab w:val="left" w:pos="2880"/>
        <w:tab w:val="left" w:pos="3360"/>
        <w:tab w:val="left" w:pos="3840"/>
        <w:tab w:val="left" w:pos="4320"/>
      </w:tabs>
      <w:suppressAutoHyphens/>
      <w:textAlignment w:val="baseline"/>
    </w:pPr>
    <w:rPr>
      <w:rFonts w:ascii="Courier New" w:eastAsia="Arial Unicode MS" w:hAnsi="Courier New" w:cs="Mangal"/>
      <w:kern w:val="1"/>
      <w:szCs w:val="18"/>
      <w:lang w:val="de-CH" w:eastAsia="zh-CN" w:bidi="hi-IN"/>
    </w:rPr>
  </w:style>
  <w:style w:type="character" w:customStyle="1" w:styleId="MakrotextZchn">
    <w:name w:val="Makrotext Zchn"/>
    <w:link w:val="Makrotext"/>
    <w:uiPriority w:val="99"/>
    <w:semiHidden/>
    <w:rsid w:val="00AC483E"/>
    <w:rPr>
      <w:rFonts w:ascii="Courier New" w:eastAsia="Arial Unicode MS" w:hAnsi="Courier New" w:cs="Mangal"/>
      <w:kern w:val="1"/>
      <w:szCs w:val="18"/>
      <w:lang w:eastAsia="zh-CN" w:bidi="hi-IN"/>
    </w:rPr>
  </w:style>
  <w:style w:type="paragraph" w:styleId="Nachrichtenkopf">
    <w:name w:val="Message Header"/>
    <w:basedOn w:val="Standard"/>
    <w:link w:val="NachrichtenkopfZchn"/>
    <w:uiPriority w:val="99"/>
    <w:semiHidden/>
    <w:unhideWhenUsed/>
    <w:rsid w:val="00AC483E"/>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cs="Mangal"/>
      <w:szCs w:val="21"/>
    </w:rPr>
  </w:style>
  <w:style w:type="character" w:customStyle="1" w:styleId="NachrichtenkopfZchn">
    <w:name w:val="Nachrichtenkopf Zchn"/>
    <w:link w:val="Nachrichtenkopf"/>
    <w:uiPriority w:val="99"/>
    <w:semiHidden/>
    <w:rsid w:val="00AC483E"/>
    <w:rPr>
      <w:rFonts w:ascii="Cambria" w:eastAsia="Times New Roman" w:hAnsi="Cambria" w:cs="Mangal"/>
      <w:kern w:val="1"/>
      <w:sz w:val="24"/>
      <w:szCs w:val="21"/>
      <w:shd w:val="pct20" w:color="auto" w:fill="auto"/>
      <w:lang w:eastAsia="zh-CN" w:bidi="hi-IN"/>
    </w:rPr>
  </w:style>
  <w:style w:type="paragraph" w:styleId="NurText">
    <w:name w:val="Plain Text"/>
    <w:basedOn w:val="Standard"/>
    <w:link w:val="NurTextZchn"/>
    <w:uiPriority w:val="99"/>
    <w:semiHidden/>
    <w:unhideWhenUsed/>
    <w:rsid w:val="00AC483E"/>
    <w:rPr>
      <w:rFonts w:ascii="Courier New" w:hAnsi="Courier New" w:cs="Mangal"/>
      <w:sz w:val="20"/>
      <w:szCs w:val="18"/>
    </w:rPr>
  </w:style>
  <w:style w:type="character" w:customStyle="1" w:styleId="NurTextZchn">
    <w:name w:val="Nur Text Zchn"/>
    <w:link w:val="NurText"/>
    <w:uiPriority w:val="99"/>
    <w:semiHidden/>
    <w:rsid w:val="00AC483E"/>
    <w:rPr>
      <w:rFonts w:ascii="Courier New" w:eastAsia="Arial Unicode MS" w:hAnsi="Courier New" w:cs="Mangal"/>
      <w:kern w:val="1"/>
      <w:szCs w:val="18"/>
      <w:lang w:eastAsia="zh-CN" w:bidi="hi-IN"/>
    </w:rPr>
  </w:style>
  <w:style w:type="paragraph" w:styleId="Rechtsgrundlagenverzeichnis">
    <w:name w:val="table of authorities"/>
    <w:basedOn w:val="Standard"/>
    <w:next w:val="Standard"/>
    <w:uiPriority w:val="99"/>
    <w:semiHidden/>
    <w:unhideWhenUsed/>
    <w:rsid w:val="00AC483E"/>
    <w:pPr>
      <w:ind w:left="240" w:hanging="240"/>
    </w:pPr>
    <w:rPr>
      <w:rFonts w:cs="Mangal"/>
      <w:szCs w:val="21"/>
    </w:rPr>
  </w:style>
  <w:style w:type="paragraph" w:styleId="RGV-berschrift">
    <w:name w:val="toa heading"/>
    <w:basedOn w:val="Standard"/>
    <w:next w:val="Standard"/>
    <w:uiPriority w:val="99"/>
    <w:semiHidden/>
    <w:unhideWhenUsed/>
    <w:rsid w:val="00AC483E"/>
    <w:pPr>
      <w:spacing w:before="120"/>
    </w:pPr>
    <w:rPr>
      <w:rFonts w:ascii="Cambria" w:hAnsi="Cambria" w:cs="Mangal"/>
      <w:b/>
      <w:bCs/>
      <w:szCs w:val="21"/>
    </w:rPr>
  </w:style>
  <w:style w:type="paragraph" w:styleId="StandardWeb">
    <w:name w:val="Normal (Web)"/>
    <w:basedOn w:val="Standard"/>
    <w:uiPriority w:val="99"/>
    <w:semiHidden/>
    <w:unhideWhenUsed/>
    <w:rsid w:val="00AC483E"/>
    <w:rPr>
      <w:rFonts w:cs="Mangal"/>
      <w:szCs w:val="21"/>
    </w:rPr>
  </w:style>
  <w:style w:type="paragraph" w:styleId="Standardeinzug">
    <w:name w:val="Normal Indent"/>
    <w:basedOn w:val="Standard"/>
    <w:uiPriority w:val="99"/>
    <w:semiHidden/>
    <w:unhideWhenUsed/>
    <w:rsid w:val="00AC483E"/>
    <w:pPr>
      <w:ind w:left="709"/>
    </w:pPr>
    <w:rPr>
      <w:rFonts w:cs="Mangal"/>
      <w:szCs w:val="21"/>
    </w:rPr>
  </w:style>
  <w:style w:type="paragraph" w:styleId="Textkrper2">
    <w:name w:val="Body Text 2"/>
    <w:basedOn w:val="Standard"/>
    <w:link w:val="Textkrper2Zchn"/>
    <w:uiPriority w:val="99"/>
    <w:semiHidden/>
    <w:unhideWhenUsed/>
    <w:rsid w:val="00AC483E"/>
    <w:pPr>
      <w:spacing w:after="120" w:line="480" w:lineRule="auto"/>
    </w:pPr>
    <w:rPr>
      <w:rFonts w:cs="Mangal"/>
      <w:szCs w:val="21"/>
    </w:rPr>
  </w:style>
  <w:style w:type="character" w:customStyle="1" w:styleId="Textkrper2Zchn">
    <w:name w:val="Textkörper 2 Zchn"/>
    <w:link w:val="Textkrper2"/>
    <w:uiPriority w:val="99"/>
    <w:semiHidden/>
    <w:rsid w:val="00AC483E"/>
    <w:rPr>
      <w:rFonts w:eastAsia="Arial Unicode MS" w:cs="Mangal"/>
      <w:kern w:val="1"/>
      <w:sz w:val="24"/>
      <w:szCs w:val="21"/>
      <w:lang w:eastAsia="zh-CN" w:bidi="hi-IN"/>
    </w:rPr>
  </w:style>
  <w:style w:type="paragraph" w:styleId="Textkrper3">
    <w:name w:val="Body Text 3"/>
    <w:basedOn w:val="Standard"/>
    <w:link w:val="Textkrper3Zchn"/>
    <w:uiPriority w:val="99"/>
    <w:semiHidden/>
    <w:unhideWhenUsed/>
    <w:rsid w:val="00AC483E"/>
    <w:pPr>
      <w:spacing w:after="120"/>
    </w:pPr>
    <w:rPr>
      <w:rFonts w:cs="Mangal"/>
      <w:sz w:val="16"/>
      <w:szCs w:val="14"/>
    </w:rPr>
  </w:style>
  <w:style w:type="character" w:customStyle="1" w:styleId="Textkrper3Zchn">
    <w:name w:val="Textkörper 3 Zchn"/>
    <w:link w:val="Textkrper3"/>
    <w:uiPriority w:val="99"/>
    <w:semiHidden/>
    <w:rsid w:val="00AC483E"/>
    <w:rPr>
      <w:rFonts w:eastAsia="Arial Unicode MS" w:cs="Mangal"/>
      <w:kern w:val="1"/>
      <w:sz w:val="16"/>
      <w:szCs w:val="14"/>
      <w:lang w:eastAsia="zh-CN" w:bidi="hi-IN"/>
    </w:rPr>
  </w:style>
  <w:style w:type="paragraph" w:styleId="Textkrper-Einzug2">
    <w:name w:val="Body Text Indent 2"/>
    <w:basedOn w:val="Standard"/>
    <w:link w:val="Textkrper-Einzug2Zchn"/>
    <w:uiPriority w:val="99"/>
    <w:semiHidden/>
    <w:unhideWhenUsed/>
    <w:rsid w:val="00AC483E"/>
    <w:pPr>
      <w:spacing w:after="120" w:line="480" w:lineRule="auto"/>
      <w:ind w:left="283"/>
    </w:pPr>
    <w:rPr>
      <w:rFonts w:cs="Mangal"/>
      <w:szCs w:val="21"/>
    </w:rPr>
  </w:style>
  <w:style w:type="character" w:customStyle="1" w:styleId="Textkrper-Einzug2Zchn">
    <w:name w:val="Textkörper-Einzug 2 Zchn"/>
    <w:link w:val="Textkrper-Einzug2"/>
    <w:uiPriority w:val="99"/>
    <w:semiHidden/>
    <w:rsid w:val="00AC483E"/>
    <w:rPr>
      <w:rFonts w:eastAsia="Arial Unicode MS" w:cs="Mangal"/>
      <w:kern w:val="1"/>
      <w:sz w:val="24"/>
      <w:szCs w:val="21"/>
      <w:lang w:eastAsia="zh-CN" w:bidi="hi-IN"/>
    </w:rPr>
  </w:style>
  <w:style w:type="paragraph" w:styleId="Textkrper-Einzug3">
    <w:name w:val="Body Text Indent 3"/>
    <w:basedOn w:val="Standard"/>
    <w:link w:val="Textkrper-Einzug3Zchn"/>
    <w:uiPriority w:val="99"/>
    <w:semiHidden/>
    <w:unhideWhenUsed/>
    <w:rsid w:val="00AC483E"/>
    <w:pPr>
      <w:spacing w:after="120"/>
      <w:ind w:left="283"/>
    </w:pPr>
    <w:rPr>
      <w:rFonts w:cs="Mangal"/>
      <w:sz w:val="16"/>
      <w:szCs w:val="14"/>
    </w:rPr>
  </w:style>
  <w:style w:type="character" w:customStyle="1" w:styleId="Textkrper-Einzug3Zchn">
    <w:name w:val="Textkörper-Einzug 3 Zchn"/>
    <w:link w:val="Textkrper-Einzug3"/>
    <w:uiPriority w:val="99"/>
    <w:semiHidden/>
    <w:rsid w:val="00AC483E"/>
    <w:rPr>
      <w:rFonts w:eastAsia="Arial Unicode MS" w:cs="Mangal"/>
      <w:kern w:val="1"/>
      <w:sz w:val="16"/>
      <w:szCs w:val="14"/>
      <w:lang w:eastAsia="zh-CN" w:bidi="hi-IN"/>
    </w:rPr>
  </w:style>
  <w:style w:type="paragraph" w:styleId="Textkrper-Erstzeileneinzug">
    <w:name w:val="Body Text First Indent"/>
    <w:basedOn w:val="Textkrper"/>
    <w:link w:val="Textkrper-ErstzeileneinzugZchn"/>
    <w:uiPriority w:val="99"/>
    <w:semiHidden/>
    <w:unhideWhenUsed/>
    <w:rsid w:val="00AC483E"/>
    <w:pPr>
      <w:spacing w:after="120" w:line="240" w:lineRule="auto"/>
      <w:ind w:firstLine="210"/>
    </w:pPr>
    <w:rPr>
      <w:rFonts w:cs="Mangal"/>
      <w:szCs w:val="21"/>
    </w:rPr>
  </w:style>
  <w:style w:type="character" w:customStyle="1" w:styleId="TextkrperZchn">
    <w:name w:val="Textkörper Zchn"/>
    <w:link w:val="Textkrper"/>
    <w:rsid w:val="00AC483E"/>
    <w:rPr>
      <w:rFonts w:eastAsia="Arial Unicode MS" w:cs="Arial Unicode MS"/>
      <w:kern w:val="1"/>
      <w:sz w:val="24"/>
      <w:szCs w:val="24"/>
      <w:lang w:eastAsia="zh-CN" w:bidi="hi-IN"/>
    </w:rPr>
  </w:style>
  <w:style w:type="character" w:customStyle="1" w:styleId="Textkrper-ErstzeileneinzugZchn">
    <w:name w:val="Textkörper-Erstzeileneinzug Zchn"/>
    <w:link w:val="Textkrper-Erstzeileneinzug"/>
    <w:uiPriority w:val="99"/>
    <w:semiHidden/>
    <w:rsid w:val="00AC483E"/>
    <w:rPr>
      <w:rFonts w:eastAsia="Arial Unicode MS" w:cs="Mangal"/>
      <w:kern w:val="1"/>
      <w:sz w:val="24"/>
      <w:szCs w:val="21"/>
      <w:lang w:eastAsia="zh-CN" w:bidi="hi-IN"/>
    </w:rPr>
  </w:style>
  <w:style w:type="paragraph" w:styleId="Textkrper-Zeileneinzug">
    <w:name w:val="Body Text Indent"/>
    <w:basedOn w:val="Standard"/>
    <w:link w:val="Textkrper-ZeileneinzugZchn"/>
    <w:uiPriority w:val="99"/>
    <w:semiHidden/>
    <w:unhideWhenUsed/>
    <w:rsid w:val="00AC483E"/>
    <w:pPr>
      <w:spacing w:after="120"/>
      <w:ind w:left="283"/>
    </w:pPr>
    <w:rPr>
      <w:rFonts w:cs="Mangal"/>
      <w:szCs w:val="21"/>
    </w:rPr>
  </w:style>
  <w:style w:type="character" w:customStyle="1" w:styleId="Textkrper-ZeileneinzugZchn">
    <w:name w:val="Textkörper-Zeileneinzug Zchn"/>
    <w:link w:val="Textkrper-Zeileneinzug"/>
    <w:uiPriority w:val="99"/>
    <w:semiHidden/>
    <w:rsid w:val="00AC483E"/>
    <w:rPr>
      <w:rFonts w:eastAsia="Arial Unicode MS" w:cs="Mangal"/>
      <w:kern w:val="1"/>
      <w:sz w:val="24"/>
      <w:szCs w:val="21"/>
      <w:lang w:eastAsia="zh-CN" w:bidi="hi-IN"/>
    </w:rPr>
  </w:style>
  <w:style w:type="paragraph" w:styleId="Textkrper-Erstzeileneinzug2">
    <w:name w:val="Body Text First Indent 2"/>
    <w:basedOn w:val="Textkrper-Zeileneinzug"/>
    <w:link w:val="Textkrper-Erstzeileneinzug2Zchn"/>
    <w:uiPriority w:val="99"/>
    <w:semiHidden/>
    <w:unhideWhenUsed/>
    <w:rsid w:val="00AC483E"/>
    <w:pPr>
      <w:ind w:firstLine="210"/>
    </w:pPr>
  </w:style>
  <w:style w:type="character" w:customStyle="1" w:styleId="Textkrper-Erstzeileneinzug2Zchn">
    <w:name w:val="Textkörper-Erstzeileneinzug 2 Zchn"/>
    <w:basedOn w:val="Textkrper-ZeileneinzugZchn"/>
    <w:link w:val="Textkrper-Erstzeileneinzug2"/>
    <w:uiPriority w:val="99"/>
    <w:semiHidden/>
    <w:rsid w:val="00AC483E"/>
    <w:rPr>
      <w:rFonts w:eastAsia="Arial Unicode MS" w:cs="Mangal"/>
      <w:kern w:val="1"/>
      <w:sz w:val="24"/>
      <w:szCs w:val="21"/>
      <w:lang w:eastAsia="zh-CN" w:bidi="hi-IN"/>
    </w:rPr>
  </w:style>
  <w:style w:type="character" w:customStyle="1" w:styleId="berschrift4Zchn">
    <w:name w:val="Überschrift 4 Zchn"/>
    <w:link w:val="berschrift4"/>
    <w:uiPriority w:val="9"/>
    <w:semiHidden/>
    <w:rsid w:val="00AC483E"/>
    <w:rPr>
      <w:rFonts w:ascii="Calibri" w:eastAsia="Times New Roman" w:hAnsi="Calibri" w:cs="Mangal"/>
      <w:b/>
      <w:bCs/>
      <w:kern w:val="1"/>
      <w:sz w:val="28"/>
      <w:szCs w:val="25"/>
      <w:lang w:eastAsia="zh-CN" w:bidi="hi-IN"/>
    </w:rPr>
  </w:style>
  <w:style w:type="character" w:customStyle="1" w:styleId="berschrift5Zchn">
    <w:name w:val="Überschrift 5 Zchn"/>
    <w:link w:val="berschrift5"/>
    <w:uiPriority w:val="9"/>
    <w:semiHidden/>
    <w:rsid w:val="00AC483E"/>
    <w:rPr>
      <w:rFonts w:ascii="Calibri" w:eastAsia="Times New Roman" w:hAnsi="Calibri" w:cs="Mangal"/>
      <w:b/>
      <w:bCs/>
      <w:i/>
      <w:iCs/>
      <w:kern w:val="1"/>
      <w:sz w:val="26"/>
      <w:szCs w:val="23"/>
      <w:lang w:eastAsia="zh-CN" w:bidi="hi-IN"/>
    </w:rPr>
  </w:style>
  <w:style w:type="character" w:customStyle="1" w:styleId="berschrift6Zchn">
    <w:name w:val="Überschrift 6 Zchn"/>
    <w:link w:val="berschrift6"/>
    <w:uiPriority w:val="9"/>
    <w:semiHidden/>
    <w:rsid w:val="00AC483E"/>
    <w:rPr>
      <w:rFonts w:ascii="Calibri" w:eastAsia="Times New Roman" w:hAnsi="Calibri" w:cs="Mangal"/>
      <w:b/>
      <w:bCs/>
      <w:kern w:val="1"/>
      <w:sz w:val="22"/>
      <w:lang w:eastAsia="zh-CN" w:bidi="hi-IN"/>
    </w:rPr>
  </w:style>
  <w:style w:type="character" w:customStyle="1" w:styleId="berschrift7Zchn">
    <w:name w:val="Überschrift 7 Zchn"/>
    <w:link w:val="berschrift7"/>
    <w:uiPriority w:val="9"/>
    <w:semiHidden/>
    <w:rsid w:val="00AC483E"/>
    <w:rPr>
      <w:rFonts w:ascii="Calibri" w:eastAsia="Times New Roman" w:hAnsi="Calibri" w:cs="Mangal"/>
      <w:kern w:val="1"/>
      <w:sz w:val="24"/>
      <w:szCs w:val="21"/>
      <w:lang w:eastAsia="zh-CN" w:bidi="hi-IN"/>
    </w:rPr>
  </w:style>
  <w:style w:type="character" w:customStyle="1" w:styleId="berschrift8Zchn">
    <w:name w:val="Überschrift 8 Zchn"/>
    <w:link w:val="berschrift8"/>
    <w:uiPriority w:val="9"/>
    <w:semiHidden/>
    <w:rsid w:val="00AC483E"/>
    <w:rPr>
      <w:rFonts w:ascii="Calibri" w:eastAsia="Times New Roman" w:hAnsi="Calibri" w:cs="Mangal"/>
      <w:i/>
      <w:iCs/>
      <w:kern w:val="1"/>
      <w:sz w:val="24"/>
      <w:szCs w:val="21"/>
      <w:lang w:eastAsia="zh-CN" w:bidi="hi-IN"/>
    </w:rPr>
  </w:style>
  <w:style w:type="character" w:customStyle="1" w:styleId="berschrift9Zchn">
    <w:name w:val="Überschrift 9 Zchn"/>
    <w:link w:val="berschrift9"/>
    <w:uiPriority w:val="9"/>
    <w:semiHidden/>
    <w:rsid w:val="00AC483E"/>
    <w:rPr>
      <w:rFonts w:ascii="Cambria" w:eastAsia="Times New Roman" w:hAnsi="Cambria" w:cs="Mangal"/>
      <w:kern w:val="1"/>
      <w:sz w:val="22"/>
      <w:lang w:eastAsia="zh-CN" w:bidi="hi-IN"/>
    </w:rPr>
  </w:style>
  <w:style w:type="paragraph" w:styleId="Umschlagabsenderadresse">
    <w:name w:val="envelope return"/>
    <w:basedOn w:val="Standard"/>
    <w:uiPriority w:val="99"/>
    <w:semiHidden/>
    <w:unhideWhenUsed/>
    <w:rsid w:val="00AC483E"/>
    <w:rPr>
      <w:rFonts w:ascii="Cambria" w:hAnsi="Cambria" w:cs="Mangal"/>
      <w:sz w:val="20"/>
      <w:szCs w:val="18"/>
    </w:rPr>
  </w:style>
  <w:style w:type="paragraph" w:styleId="Umschlagadresse">
    <w:name w:val="envelope address"/>
    <w:basedOn w:val="Standard"/>
    <w:uiPriority w:val="99"/>
    <w:semiHidden/>
    <w:unhideWhenUsed/>
    <w:rsid w:val="00AC483E"/>
    <w:pPr>
      <w:framePr w:w="4320" w:h="2160" w:hRule="exact" w:hSpace="141" w:wrap="auto" w:hAnchor="page" w:xAlign="center" w:yAlign="bottom"/>
      <w:ind w:left="1"/>
    </w:pPr>
    <w:rPr>
      <w:rFonts w:ascii="Cambria" w:hAnsi="Cambria" w:cs="Mangal"/>
      <w:szCs w:val="21"/>
    </w:rPr>
  </w:style>
  <w:style w:type="paragraph" w:styleId="Unterschrift">
    <w:name w:val="Signature"/>
    <w:basedOn w:val="Standard"/>
    <w:link w:val="UnterschriftZchn"/>
    <w:uiPriority w:val="99"/>
    <w:semiHidden/>
    <w:unhideWhenUsed/>
    <w:rsid w:val="00AC483E"/>
    <w:pPr>
      <w:ind w:left="4252"/>
    </w:pPr>
    <w:rPr>
      <w:rFonts w:cs="Mangal"/>
      <w:szCs w:val="21"/>
    </w:rPr>
  </w:style>
  <w:style w:type="character" w:customStyle="1" w:styleId="UnterschriftZchn">
    <w:name w:val="Unterschrift Zchn"/>
    <w:link w:val="Unterschrift"/>
    <w:uiPriority w:val="99"/>
    <w:semiHidden/>
    <w:rsid w:val="00AC483E"/>
    <w:rPr>
      <w:rFonts w:eastAsia="Arial Unicode MS" w:cs="Mangal"/>
      <w:kern w:val="1"/>
      <w:sz w:val="24"/>
      <w:szCs w:val="21"/>
      <w:lang w:eastAsia="zh-CN" w:bidi="hi-IN"/>
    </w:rPr>
  </w:style>
  <w:style w:type="paragraph" w:styleId="Verzeichnis4">
    <w:name w:val="toc 4"/>
    <w:basedOn w:val="Standard"/>
    <w:next w:val="Standard"/>
    <w:autoRedefine/>
    <w:uiPriority w:val="39"/>
    <w:semiHidden/>
    <w:unhideWhenUsed/>
    <w:rsid w:val="00AC483E"/>
    <w:pPr>
      <w:ind w:left="720"/>
    </w:pPr>
    <w:rPr>
      <w:rFonts w:cs="Mangal"/>
      <w:szCs w:val="21"/>
    </w:rPr>
  </w:style>
  <w:style w:type="paragraph" w:styleId="Verzeichnis5">
    <w:name w:val="toc 5"/>
    <w:basedOn w:val="Standard"/>
    <w:next w:val="Standard"/>
    <w:autoRedefine/>
    <w:uiPriority w:val="39"/>
    <w:semiHidden/>
    <w:unhideWhenUsed/>
    <w:rsid w:val="00AC483E"/>
    <w:pPr>
      <w:ind w:left="960"/>
    </w:pPr>
    <w:rPr>
      <w:rFonts w:cs="Mangal"/>
      <w:szCs w:val="21"/>
    </w:rPr>
  </w:style>
  <w:style w:type="paragraph" w:styleId="Verzeichnis6">
    <w:name w:val="toc 6"/>
    <w:basedOn w:val="Standard"/>
    <w:next w:val="Standard"/>
    <w:autoRedefine/>
    <w:uiPriority w:val="39"/>
    <w:semiHidden/>
    <w:unhideWhenUsed/>
    <w:rsid w:val="00AC483E"/>
    <w:pPr>
      <w:ind w:left="1200"/>
    </w:pPr>
    <w:rPr>
      <w:rFonts w:cs="Mangal"/>
      <w:szCs w:val="21"/>
    </w:rPr>
  </w:style>
  <w:style w:type="paragraph" w:styleId="Verzeichnis7">
    <w:name w:val="toc 7"/>
    <w:basedOn w:val="Standard"/>
    <w:next w:val="Standard"/>
    <w:autoRedefine/>
    <w:uiPriority w:val="39"/>
    <w:semiHidden/>
    <w:unhideWhenUsed/>
    <w:rsid w:val="00AC483E"/>
    <w:pPr>
      <w:ind w:left="1440"/>
    </w:pPr>
    <w:rPr>
      <w:rFonts w:cs="Mangal"/>
      <w:szCs w:val="21"/>
    </w:rPr>
  </w:style>
  <w:style w:type="paragraph" w:styleId="Verzeichnis8">
    <w:name w:val="toc 8"/>
    <w:basedOn w:val="Standard"/>
    <w:next w:val="Standard"/>
    <w:autoRedefine/>
    <w:uiPriority w:val="39"/>
    <w:semiHidden/>
    <w:unhideWhenUsed/>
    <w:rsid w:val="00AC483E"/>
    <w:pPr>
      <w:ind w:left="1680"/>
    </w:pPr>
    <w:rPr>
      <w:rFonts w:cs="Mangal"/>
      <w:szCs w:val="21"/>
    </w:rPr>
  </w:style>
  <w:style w:type="paragraph" w:styleId="Verzeichnis9">
    <w:name w:val="toc 9"/>
    <w:basedOn w:val="Standard"/>
    <w:next w:val="Standard"/>
    <w:autoRedefine/>
    <w:uiPriority w:val="39"/>
    <w:semiHidden/>
    <w:unhideWhenUsed/>
    <w:rsid w:val="00AC483E"/>
    <w:pPr>
      <w:ind w:left="1920"/>
    </w:pPr>
    <w:rPr>
      <w:rFonts w:cs="Mangal"/>
      <w:szCs w:val="21"/>
    </w:rPr>
  </w:style>
  <w:style w:type="paragraph" w:styleId="Zitat">
    <w:name w:val="Quote"/>
    <w:basedOn w:val="Standard"/>
    <w:next w:val="Standard"/>
    <w:link w:val="ZitatZchn"/>
    <w:uiPriority w:val="29"/>
    <w:qFormat/>
    <w:rsid w:val="00AC483E"/>
    <w:rPr>
      <w:rFonts w:cs="Mangal"/>
      <w:i/>
      <w:iCs/>
      <w:color w:val="000000"/>
      <w:szCs w:val="21"/>
    </w:rPr>
  </w:style>
  <w:style w:type="character" w:customStyle="1" w:styleId="ZitatZchn">
    <w:name w:val="Zitat Zchn"/>
    <w:link w:val="Zitat"/>
    <w:uiPriority w:val="29"/>
    <w:rsid w:val="00AC483E"/>
    <w:rPr>
      <w:rFonts w:eastAsia="Arial Unicode MS" w:cs="Mangal"/>
      <w:i/>
      <w:iCs/>
      <w:color w:val="000000"/>
      <w:kern w:val="1"/>
      <w:sz w:val="24"/>
      <w:szCs w:val="21"/>
      <w:lang w:eastAsia="zh-CN" w:bidi="hi-IN"/>
    </w:rPr>
  </w:style>
  <w:style w:type="character" w:customStyle="1" w:styleId="Funotenzeichen3">
    <w:name w:val="Fußnotenzeichen3"/>
    <w:rsid w:val="00FC7298"/>
    <w:rPr>
      <w:vertAlign w:val="superscript"/>
    </w:rPr>
  </w:style>
  <w:style w:type="table" w:styleId="HelleListe-Akzent3">
    <w:name w:val="Light List Accent 3"/>
    <w:basedOn w:val="NormaleTabelle"/>
    <w:uiPriority w:val="70"/>
    <w:rsid w:val="00EF0EB8"/>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character" w:customStyle="1" w:styleId="NichtaufgelsteErwhnung1">
    <w:name w:val="Nicht aufgelöste Erwähnung1"/>
    <w:basedOn w:val="Absatz-Standardschriftart"/>
    <w:uiPriority w:val="99"/>
    <w:semiHidden/>
    <w:unhideWhenUsed/>
    <w:rsid w:val="00E053C5"/>
    <w:rPr>
      <w:color w:val="605E5C"/>
      <w:shd w:val="clear" w:color="auto" w:fill="E1DFDD"/>
    </w:rPr>
  </w:style>
  <w:style w:type="character" w:customStyle="1" w:styleId="NichtaufgelsteErwhnung2">
    <w:name w:val="Nicht aufgelöste Erwähnung2"/>
    <w:basedOn w:val="Absatz-Standardschriftart"/>
    <w:uiPriority w:val="99"/>
    <w:semiHidden/>
    <w:unhideWhenUsed/>
    <w:rsid w:val="00633054"/>
    <w:rPr>
      <w:color w:val="605E5C"/>
      <w:shd w:val="clear" w:color="auto" w:fill="E1DFDD"/>
    </w:rPr>
  </w:style>
  <w:style w:type="character" w:styleId="NichtaufgelsteErwhnung">
    <w:name w:val="Unresolved Mention"/>
    <w:basedOn w:val="Absatz-Standardschriftart"/>
    <w:uiPriority w:val="99"/>
    <w:semiHidden/>
    <w:unhideWhenUsed/>
    <w:rsid w:val="00635B44"/>
    <w:rPr>
      <w:color w:val="605E5C"/>
      <w:shd w:val="clear" w:color="auto" w:fill="E1DFDD"/>
    </w:rPr>
  </w:style>
  <w:style w:type="paragraph" w:customStyle="1" w:styleId="AbsatzConcludingObs">
    <w:name w:val="Absatz Concluding Obs"/>
    <w:basedOn w:val="absatzschattenbericht"/>
    <w:qFormat/>
    <w:rsid w:val="004F236E"/>
    <w:pPr>
      <w:shd w:val="clear" w:color="auto" w:fill="auto"/>
      <w:tabs>
        <w:tab w:val="left" w:pos="567"/>
        <w:tab w:val="left" w:pos="1134"/>
      </w:tabs>
    </w:pPr>
    <w:rPr>
      <w:i/>
      <w:iCs/>
      <w:lang w:val="fr-FR"/>
    </w:rPr>
  </w:style>
  <w:style w:type="character" w:customStyle="1" w:styleId="Funotenanker">
    <w:name w:val="Fußnotenanker"/>
    <w:rsid w:val="004F236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61471">
      <w:bodyDiv w:val="1"/>
      <w:marLeft w:val="0"/>
      <w:marRight w:val="0"/>
      <w:marTop w:val="0"/>
      <w:marBottom w:val="0"/>
      <w:divBdr>
        <w:top w:val="none" w:sz="0" w:space="0" w:color="auto"/>
        <w:left w:val="none" w:sz="0" w:space="0" w:color="auto"/>
        <w:bottom w:val="none" w:sz="0" w:space="0" w:color="auto"/>
        <w:right w:val="none" w:sz="0" w:space="0" w:color="auto"/>
      </w:divBdr>
    </w:div>
    <w:div w:id="15692644">
      <w:bodyDiv w:val="1"/>
      <w:marLeft w:val="0"/>
      <w:marRight w:val="0"/>
      <w:marTop w:val="0"/>
      <w:marBottom w:val="0"/>
      <w:divBdr>
        <w:top w:val="none" w:sz="0" w:space="0" w:color="auto"/>
        <w:left w:val="none" w:sz="0" w:space="0" w:color="auto"/>
        <w:bottom w:val="none" w:sz="0" w:space="0" w:color="auto"/>
        <w:right w:val="none" w:sz="0" w:space="0" w:color="auto"/>
      </w:divBdr>
      <w:divsChild>
        <w:div w:id="277419213">
          <w:marLeft w:val="0"/>
          <w:marRight w:val="0"/>
          <w:marTop w:val="0"/>
          <w:marBottom w:val="0"/>
          <w:divBdr>
            <w:top w:val="none" w:sz="0" w:space="0" w:color="auto"/>
            <w:left w:val="none" w:sz="0" w:space="0" w:color="auto"/>
            <w:bottom w:val="none" w:sz="0" w:space="0" w:color="auto"/>
            <w:right w:val="none" w:sz="0" w:space="0" w:color="auto"/>
          </w:divBdr>
          <w:divsChild>
            <w:div w:id="1728412254">
              <w:marLeft w:val="0"/>
              <w:marRight w:val="0"/>
              <w:marTop w:val="0"/>
              <w:marBottom w:val="0"/>
              <w:divBdr>
                <w:top w:val="none" w:sz="0" w:space="0" w:color="auto"/>
                <w:left w:val="none" w:sz="0" w:space="0" w:color="auto"/>
                <w:bottom w:val="none" w:sz="0" w:space="0" w:color="auto"/>
                <w:right w:val="none" w:sz="0" w:space="0" w:color="auto"/>
              </w:divBdr>
              <w:divsChild>
                <w:div w:id="1174301319">
                  <w:marLeft w:val="0"/>
                  <w:marRight w:val="0"/>
                  <w:marTop w:val="0"/>
                  <w:marBottom w:val="0"/>
                  <w:divBdr>
                    <w:top w:val="none" w:sz="0" w:space="0" w:color="auto"/>
                    <w:left w:val="none" w:sz="0" w:space="0" w:color="auto"/>
                    <w:bottom w:val="none" w:sz="0" w:space="0" w:color="auto"/>
                    <w:right w:val="none" w:sz="0" w:space="0" w:color="auto"/>
                  </w:divBdr>
                  <w:divsChild>
                    <w:div w:id="938172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990642">
      <w:bodyDiv w:val="1"/>
      <w:marLeft w:val="0"/>
      <w:marRight w:val="0"/>
      <w:marTop w:val="0"/>
      <w:marBottom w:val="0"/>
      <w:divBdr>
        <w:top w:val="none" w:sz="0" w:space="0" w:color="auto"/>
        <w:left w:val="none" w:sz="0" w:space="0" w:color="auto"/>
        <w:bottom w:val="none" w:sz="0" w:space="0" w:color="auto"/>
        <w:right w:val="none" w:sz="0" w:space="0" w:color="auto"/>
      </w:divBdr>
    </w:div>
    <w:div w:id="69667260">
      <w:bodyDiv w:val="1"/>
      <w:marLeft w:val="0"/>
      <w:marRight w:val="0"/>
      <w:marTop w:val="0"/>
      <w:marBottom w:val="0"/>
      <w:divBdr>
        <w:top w:val="none" w:sz="0" w:space="0" w:color="auto"/>
        <w:left w:val="none" w:sz="0" w:space="0" w:color="auto"/>
        <w:bottom w:val="none" w:sz="0" w:space="0" w:color="auto"/>
        <w:right w:val="none" w:sz="0" w:space="0" w:color="auto"/>
      </w:divBdr>
    </w:div>
    <w:div w:id="77991909">
      <w:bodyDiv w:val="1"/>
      <w:marLeft w:val="0"/>
      <w:marRight w:val="0"/>
      <w:marTop w:val="0"/>
      <w:marBottom w:val="0"/>
      <w:divBdr>
        <w:top w:val="none" w:sz="0" w:space="0" w:color="auto"/>
        <w:left w:val="none" w:sz="0" w:space="0" w:color="auto"/>
        <w:bottom w:val="none" w:sz="0" w:space="0" w:color="auto"/>
        <w:right w:val="none" w:sz="0" w:space="0" w:color="auto"/>
      </w:divBdr>
      <w:divsChild>
        <w:div w:id="1944650976">
          <w:marLeft w:val="0"/>
          <w:marRight w:val="0"/>
          <w:marTop w:val="0"/>
          <w:marBottom w:val="0"/>
          <w:divBdr>
            <w:top w:val="none" w:sz="0" w:space="0" w:color="auto"/>
            <w:left w:val="none" w:sz="0" w:space="0" w:color="auto"/>
            <w:bottom w:val="none" w:sz="0" w:space="0" w:color="auto"/>
            <w:right w:val="none" w:sz="0" w:space="0" w:color="auto"/>
          </w:divBdr>
          <w:divsChild>
            <w:div w:id="515733168">
              <w:marLeft w:val="0"/>
              <w:marRight w:val="0"/>
              <w:marTop w:val="0"/>
              <w:marBottom w:val="0"/>
              <w:divBdr>
                <w:top w:val="none" w:sz="0" w:space="0" w:color="auto"/>
                <w:left w:val="none" w:sz="0" w:space="0" w:color="auto"/>
                <w:bottom w:val="none" w:sz="0" w:space="0" w:color="auto"/>
                <w:right w:val="none" w:sz="0" w:space="0" w:color="auto"/>
              </w:divBdr>
              <w:divsChild>
                <w:div w:id="994454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885072">
      <w:bodyDiv w:val="1"/>
      <w:marLeft w:val="0"/>
      <w:marRight w:val="0"/>
      <w:marTop w:val="0"/>
      <w:marBottom w:val="0"/>
      <w:divBdr>
        <w:top w:val="none" w:sz="0" w:space="0" w:color="auto"/>
        <w:left w:val="none" w:sz="0" w:space="0" w:color="auto"/>
        <w:bottom w:val="none" w:sz="0" w:space="0" w:color="auto"/>
        <w:right w:val="none" w:sz="0" w:space="0" w:color="auto"/>
      </w:divBdr>
    </w:div>
    <w:div w:id="135150544">
      <w:bodyDiv w:val="1"/>
      <w:marLeft w:val="0"/>
      <w:marRight w:val="0"/>
      <w:marTop w:val="0"/>
      <w:marBottom w:val="0"/>
      <w:divBdr>
        <w:top w:val="none" w:sz="0" w:space="0" w:color="auto"/>
        <w:left w:val="none" w:sz="0" w:space="0" w:color="auto"/>
        <w:bottom w:val="none" w:sz="0" w:space="0" w:color="auto"/>
        <w:right w:val="none" w:sz="0" w:space="0" w:color="auto"/>
      </w:divBdr>
    </w:div>
    <w:div w:id="168831911">
      <w:bodyDiv w:val="1"/>
      <w:marLeft w:val="0"/>
      <w:marRight w:val="0"/>
      <w:marTop w:val="0"/>
      <w:marBottom w:val="0"/>
      <w:divBdr>
        <w:top w:val="none" w:sz="0" w:space="0" w:color="auto"/>
        <w:left w:val="none" w:sz="0" w:space="0" w:color="auto"/>
        <w:bottom w:val="none" w:sz="0" w:space="0" w:color="auto"/>
        <w:right w:val="none" w:sz="0" w:space="0" w:color="auto"/>
      </w:divBdr>
      <w:divsChild>
        <w:div w:id="567804294">
          <w:marLeft w:val="0"/>
          <w:marRight w:val="0"/>
          <w:marTop w:val="0"/>
          <w:marBottom w:val="0"/>
          <w:divBdr>
            <w:top w:val="none" w:sz="0" w:space="0" w:color="auto"/>
            <w:left w:val="none" w:sz="0" w:space="0" w:color="auto"/>
            <w:bottom w:val="none" w:sz="0" w:space="0" w:color="auto"/>
            <w:right w:val="none" w:sz="0" w:space="0" w:color="auto"/>
          </w:divBdr>
          <w:divsChild>
            <w:div w:id="1493251337">
              <w:marLeft w:val="0"/>
              <w:marRight w:val="0"/>
              <w:marTop w:val="0"/>
              <w:marBottom w:val="0"/>
              <w:divBdr>
                <w:top w:val="none" w:sz="0" w:space="0" w:color="auto"/>
                <w:left w:val="none" w:sz="0" w:space="0" w:color="auto"/>
                <w:bottom w:val="none" w:sz="0" w:space="0" w:color="auto"/>
                <w:right w:val="none" w:sz="0" w:space="0" w:color="auto"/>
              </w:divBdr>
              <w:divsChild>
                <w:div w:id="172236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706178">
      <w:bodyDiv w:val="1"/>
      <w:marLeft w:val="0"/>
      <w:marRight w:val="0"/>
      <w:marTop w:val="0"/>
      <w:marBottom w:val="0"/>
      <w:divBdr>
        <w:top w:val="none" w:sz="0" w:space="0" w:color="auto"/>
        <w:left w:val="none" w:sz="0" w:space="0" w:color="auto"/>
        <w:bottom w:val="none" w:sz="0" w:space="0" w:color="auto"/>
        <w:right w:val="none" w:sz="0" w:space="0" w:color="auto"/>
      </w:divBdr>
      <w:divsChild>
        <w:div w:id="390884793">
          <w:marLeft w:val="0"/>
          <w:marRight w:val="0"/>
          <w:marTop w:val="0"/>
          <w:marBottom w:val="0"/>
          <w:divBdr>
            <w:top w:val="none" w:sz="0" w:space="0" w:color="auto"/>
            <w:left w:val="none" w:sz="0" w:space="0" w:color="auto"/>
            <w:bottom w:val="none" w:sz="0" w:space="0" w:color="auto"/>
            <w:right w:val="none" w:sz="0" w:space="0" w:color="auto"/>
          </w:divBdr>
          <w:divsChild>
            <w:div w:id="897323577">
              <w:marLeft w:val="0"/>
              <w:marRight w:val="0"/>
              <w:marTop w:val="0"/>
              <w:marBottom w:val="0"/>
              <w:divBdr>
                <w:top w:val="none" w:sz="0" w:space="0" w:color="auto"/>
                <w:left w:val="none" w:sz="0" w:space="0" w:color="auto"/>
                <w:bottom w:val="none" w:sz="0" w:space="0" w:color="auto"/>
                <w:right w:val="none" w:sz="0" w:space="0" w:color="auto"/>
              </w:divBdr>
              <w:divsChild>
                <w:div w:id="1022586909">
                  <w:marLeft w:val="0"/>
                  <w:marRight w:val="0"/>
                  <w:marTop w:val="0"/>
                  <w:marBottom w:val="0"/>
                  <w:divBdr>
                    <w:top w:val="none" w:sz="0" w:space="0" w:color="auto"/>
                    <w:left w:val="none" w:sz="0" w:space="0" w:color="auto"/>
                    <w:bottom w:val="none" w:sz="0" w:space="0" w:color="auto"/>
                    <w:right w:val="none" w:sz="0" w:space="0" w:color="auto"/>
                  </w:divBdr>
                  <w:divsChild>
                    <w:div w:id="1862470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409426">
      <w:bodyDiv w:val="1"/>
      <w:marLeft w:val="0"/>
      <w:marRight w:val="0"/>
      <w:marTop w:val="0"/>
      <w:marBottom w:val="0"/>
      <w:divBdr>
        <w:top w:val="none" w:sz="0" w:space="0" w:color="auto"/>
        <w:left w:val="none" w:sz="0" w:space="0" w:color="auto"/>
        <w:bottom w:val="none" w:sz="0" w:space="0" w:color="auto"/>
        <w:right w:val="none" w:sz="0" w:space="0" w:color="auto"/>
      </w:divBdr>
      <w:divsChild>
        <w:div w:id="132909374">
          <w:marLeft w:val="0"/>
          <w:marRight w:val="0"/>
          <w:marTop w:val="0"/>
          <w:marBottom w:val="0"/>
          <w:divBdr>
            <w:top w:val="none" w:sz="0" w:space="0" w:color="auto"/>
            <w:left w:val="none" w:sz="0" w:space="0" w:color="auto"/>
            <w:bottom w:val="none" w:sz="0" w:space="0" w:color="auto"/>
            <w:right w:val="none" w:sz="0" w:space="0" w:color="auto"/>
          </w:divBdr>
          <w:divsChild>
            <w:div w:id="1752267291">
              <w:marLeft w:val="0"/>
              <w:marRight w:val="0"/>
              <w:marTop w:val="0"/>
              <w:marBottom w:val="0"/>
              <w:divBdr>
                <w:top w:val="none" w:sz="0" w:space="0" w:color="auto"/>
                <w:left w:val="none" w:sz="0" w:space="0" w:color="auto"/>
                <w:bottom w:val="none" w:sz="0" w:space="0" w:color="auto"/>
                <w:right w:val="none" w:sz="0" w:space="0" w:color="auto"/>
              </w:divBdr>
              <w:divsChild>
                <w:div w:id="199712023">
                  <w:marLeft w:val="0"/>
                  <w:marRight w:val="0"/>
                  <w:marTop w:val="0"/>
                  <w:marBottom w:val="0"/>
                  <w:divBdr>
                    <w:top w:val="none" w:sz="0" w:space="0" w:color="auto"/>
                    <w:left w:val="none" w:sz="0" w:space="0" w:color="auto"/>
                    <w:bottom w:val="none" w:sz="0" w:space="0" w:color="auto"/>
                    <w:right w:val="none" w:sz="0" w:space="0" w:color="auto"/>
                  </w:divBdr>
                  <w:divsChild>
                    <w:div w:id="380979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661438">
      <w:bodyDiv w:val="1"/>
      <w:marLeft w:val="0"/>
      <w:marRight w:val="0"/>
      <w:marTop w:val="0"/>
      <w:marBottom w:val="0"/>
      <w:divBdr>
        <w:top w:val="none" w:sz="0" w:space="0" w:color="auto"/>
        <w:left w:val="none" w:sz="0" w:space="0" w:color="auto"/>
        <w:bottom w:val="none" w:sz="0" w:space="0" w:color="auto"/>
        <w:right w:val="none" w:sz="0" w:space="0" w:color="auto"/>
      </w:divBdr>
      <w:divsChild>
        <w:div w:id="1074934548">
          <w:marLeft w:val="0"/>
          <w:marRight w:val="0"/>
          <w:marTop w:val="0"/>
          <w:marBottom w:val="0"/>
          <w:divBdr>
            <w:top w:val="none" w:sz="0" w:space="0" w:color="auto"/>
            <w:left w:val="none" w:sz="0" w:space="0" w:color="auto"/>
            <w:bottom w:val="none" w:sz="0" w:space="0" w:color="auto"/>
            <w:right w:val="none" w:sz="0" w:space="0" w:color="auto"/>
          </w:divBdr>
          <w:divsChild>
            <w:div w:id="1145701735">
              <w:marLeft w:val="0"/>
              <w:marRight w:val="0"/>
              <w:marTop w:val="0"/>
              <w:marBottom w:val="0"/>
              <w:divBdr>
                <w:top w:val="none" w:sz="0" w:space="0" w:color="auto"/>
                <w:left w:val="none" w:sz="0" w:space="0" w:color="auto"/>
                <w:bottom w:val="none" w:sz="0" w:space="0" w:color="auto"/>
                <w:right w:val="none" w:sz="0" w:space="0" w:color="auto"/>
              </w:divBdr>
              <w:divsChild>
                <w:div w:id="1751582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7324775">
      <w:bodyDiv w:val="1"/>
      <w:marLeft w:val="0"/>
      <w:marRight w:val="0"/>
      <w:marTop w:val="0"/>
      <w:marBottom w:val="0"/>
      <w:divBdr>
        <w:top w:val="none" w:sz="0" w:space="0" w:color="auto"/>
        <w:left w:val="none" w:sz="0" w:space="0" w:color="auto"/>
        <w:bottom w:val="none" w:sz="0" w:space="0" w:color="auto"/>
        <w:right w:val="none" w:sz="0" w:space="0" w:color="auto"/>
      </w:divBdr>
    </w:div>
    <w:div w:id="226379520">
      <w:bodyDiv w:val="1"/>
      <w:marLeft w:val="0"/>
      <w:marRight w:val="0"/>
      <w:marTop w:val="0"/>
      <w:marBottom w:val="0"/>
      <w:divBdr>
        <w:top w:val="none" w:sz="0" w:space="0" w:color="auto"/>
        <w:left w:val="none" w:sz="0" w:space="0" w:color="auto"/>
        <w:bottom w:val="none" w:sz="0" w:space="0" w:color="auto"/>
        <w:right w:val="none" w:sz="0" w:space="0" w:color="auto"/>
      </w:divBdr>
    </w:div>
    <w:div w:id="265771430">
      <w:bodyDiv w:val="1"/>
      <w:marLeft w:val="0"/>
      <w:marRight w:val="0"/>
      <w:marTop w:val="0"/>
      <w:marBottom w:val="0"/>
      <w:divBdr>
        <w:top w:val="none" w:sz="0" w:space="0" w:color="auto"/>
        <w:left w:val="none" w:sz="0" w:space="0" w:color="auto"/>
        <w:bottom w:val="none" w:sz="0" w:space="0" w:color="auto"/>
        <w:right w:val="none" w:sz="0" w:space="0" w:color="auto"/>
      </w:divBdr>
      <w:divsChild>
        <w:div w:id="1580555050">
          <w:marLeft w:val="0"/>
          <w:marRight w:val="0"/>
          <w:marTop w:val="0"/>
          <w:marBottom w:val="0"/>
          <w:divBdr>
            <w:top w:val="none" w:sz="0" w:space="0" w:color="auto"/>
            <w:left w:val="none" w:sz="0" w:space="0" w:color="auto"/>
            <w:bottom w:val="none" w:sz="0" w:space="0" w:color="auto"/>
            <w:right w:val="none" w:sz="0" w:space="0" w:color="auto"/>
          </w:divBdr>
          <w:divsChild>
            <w:div w:id="994525541">
              <w:marLeft w:val="0"/>
              <w:marRight w:val="0"/>
              <w:marTop w:val="0"/>
              <w:marBottom w:val="0"/>
              <w:divBdr>
                <w:top w:val="none" w:sz="0" w:space="0" w:color="auto"/>
                <w:left w:val="none" w:sz="0" w:space="0" w:color="auto"/>
                <w:bottom w:val="none" w:sz="0" w:space="0" w:color="auto"/>
                <w:right w:val="none" w:sz="0" w:space="0" w:color="auto"/>
              </w:divBdr>
              <w:divsChild>
                <w:div w:id="2018968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8677611">
      <w:bodyDiv w:val="1"/>
      <w:marLeft w:val="0"/>
      <w:marRight w:val="0"/>
      <w:marTop w:val="0"/>
      <w:marBottom w:val="0"/>
      <w:divBdr>
        <w:top w:val="none" w:sz="0" w:space="0" w:color="auto"/>
        <w:left w:val="none" w:sz="0" w:space="0" w:color="auto"/>
        <w:bottom w:val="none" w:sz="0" w:space="0" w:color="auto"/>
        <w:right w:val="none" w:sz="0" w:space="0" w:color="auto"/>
      </w:divBdr>
    </w:div>
    <w:div w:id="310598374">
      <w:bodyDiv w:val="1"/>
      <w:marLeft w:val="0"/>
      <w:marRight w:val="0"/>
      <w:marTop w:val="0"/>
      <w:marBottom w:val="0"/>
      <w:divBdr>
        <w:top w:val="none" w:sz="0" w:space="0" w:color="auto"/>
        <w:left w:val="none" w:sz="0" w:space="0" w:color="auto"/>
        <w:bottom w:val="none" w:sz="0" w:space="0" w:color="auto"/>
        <w:right w:val="none" w:sz="0" w:space="0" w:color="auto"/>
      </w:divBdr>
      <w:divsChild>
        <w:div w:id="436558825">
          <w:marLeft w:val="0"/>
          <w:marRight w:val="0"/>
          <w:marTop w:val="0"/>
          <w:marBottom w:val="0"/>
          <w:divBdr>
            <w:top w:val="none" w:sz="0" w:space="0" w:color="auto"/>
            <w:left w:val="none" w:sz="0" w:space="0" w:color="auto"/>
            <w:bottom w:val="none" w:sz="0" w:space="0" w:color="auto"/>
            <w:right w:val="none" w:sz="0" w:space="0" w:color="auto"/>
          </w:divBdr>
          <w:divsChild>
            <w:div w:id="1729105468">
              <w:marLeft w:val="0"/>
              <w:marRight w:val="0"/>
              <w:marTop w:val="0"/>
              <w:marBottom w:val="0"/>
              <w:divBdr>
                <w:top w:val="none" w:sz="0" w:space="0" w:color="auto"/>
                <w:left w:val="none" w:sz="0" w:space="0" w:color="auto"/>
                <w:bottom w:val="none" w:sz="0" w:space="0" w:color="auto"/>
                <w:right w:val="none" w:sz="0" w:space="0" w:color="auto"/>
              </w:divBdr>
              <w:divsChild>
                <w:div w:id="1437753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2485676">
      <w:bodyDiv w:val="1"/>
      <w:marLeft w:val="0"/>
      <w:marRight w:val="0"/>
      <w:marTop w:val="0"/>
      <w:marBottom w:val="0"/>
      <w:divBdr>
        <w:top w:val="none" w:sz="0" w:space="0" w:color="auto"/>
        <w:left w:val="none" w:sz="0" w:space="0" w:color="auto"/>
        <w:bottom w:val="none" w:sz="0" w:space="0" w:color="auto"/>
        <w:right w:val="none" w:sz="0" w:space="0" w:color="auto"/>
      </w:divBdr>
      <w:divsChild>
        <w:div w:id="2002923113">
          <w:marLeft w:val="0"/>
          <w:marRight w:val="0"/>
          <w:marTop w:val="0"/>
          <w:marBottom w:val="0"/>
          <w:divBdr>
            <w:top w:val="none" w:sz="0" w:space="0" w:color="auto"/>
            <w:left w:val="none" w:sz="0" w:space="0" w:color="auto"/>
            <w:bottom w:val="none" w:sz="0" w:space="0" w:color="auto"/>
            <w:right w:val="none" w:sz="0" w:space="0" w:color="auto"/>
          </w:divBdr>
          <w:divsChild>
            <w:div w:id="1432698891">
              <w:marLeft w:val="0"/>
              <w:marRight w:val="0"/>
              <w:marTop w:val="0"/>
              <w:marBottom w:val="0"/>
              <w:divBdr>
                <w:top w:val="none" w:sz="0" w:space="0" w:color="auto"/>
                <w:left w:val="none" w:sz="0" w:space="0" w:color="auto"/>
                <w:bottom w:val="none" w:sz="0" w:space="0" w:color="auto"/>
                <w:right w:val="none" w:sz="0" w:space="0" w:color="auto"/>
              </w:divBdr>
              <w:divsChild>
                <w:div w:id="465127928">
                  <w:marLeft w:val="0"/>
                  <w:marRight w:val="0"/>
                  <w:marTop w:val="0"/>
                  <w:marBottom w:val="0"/>
                  <w:divBdr>
                    <w:top w:val="none" w:sz="0" w:space="0" w:color="auto"/>
                    <w:left w:val="none" w:sz="0" w:space="0" w:color="auto"/>
                    <w:bottom w:val="none" w:sz="0" w:space="0" w:color="auto"/>
                    <w:right w:val="none" w:sz="0" w:space="0" w:color="auto"/>
                  </w:divBdr>
                  <w:divsChild>
                    <w:div w:id="185488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4186038">
      <w:bodyDiv w:val="1"/>
      <w:marLeft w:val="0"/>
      <w:marRight w:val="0"/>
      <w:marTop w:val="0"/>
      <w:marBottom w:val="0"/>
      <w:divBdr>
        <w:top w:val="none" w:sz="0" w:space="0" w:color="auto"/>
        <w:left w:val="none" w:sz="0" w:space="0" w:color="auto"/>
        <w:bottom w:val="none" w:sz="0" w:space="0" w:color="auto"/>
        <w:right w:val="none" w:sz="0" w:space="0" w:color="auto"/>
      </w:divBdr>
      <w:divsChild>
        <w:div w:id="510682483">
          <w:marLeft w:val="0"/>
          <w:marRight w:val="0"/>
          <w:marTop w:val="0"/>
          <w:marBottom w:val="0"/>
          <w:divBdr>
            <w:top w:val="none" w:sz="0" w:space="0" w:color="auto"/>
            <w:left w:val="none" w:sz="0" w:space="0" w:color="auto"/>
            <w:bottom w:val="none" w:sz="0" w:space="0" w:color="auto"/>
            <w:right w:val="none" w:sz="0" w:space="0" w:color="auto"/>
          </w:divBdr>
          <w:divsChild>
            <w:div w:id="211885436">
              <w:marLeft w:val="0"/>
              <w:marRight w:val="0"/>
              <w:marTop w:val="0"/>
              <w:marBottom w:val="0"/>
              <w:divBdr>
                <w:top w:val="none" w:sz="0" w:space="0" w:color="auto"/>
                <w:left w:val="none" w:sz="0" w:space="0" w:color="auto"/>
                <w:bottom w:val="none" w:sz="0" w:space="0" w:color="auto"/>
                <w:right w:val="none" w:sz="0" w:space="0" w:color="auto"/>
              </w:divBdr>
              <w:divsChild>
                <w:div w:id="168756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5522266">
      <w:bodyDiv w:val="1"/>
      <w:marLeft w:val="0"/>
      <w:marRight w:val="0"/>
      <w:marTop w:val="0"/>
      <w:marBottom w:val="0"/>
      <w:divBdr>
        <w:top w:val="none" w:sz="0" w:space="0" w:color="auto"/>
        <w:left w:val="none" w:sz="0" w:space="0" w:color="auto"/>
        <w:bottom w:val="none" w:sz="0" w:space="0" w:color="auto"/>
        <w:right w:val="none" w:sz="0" w:space="0" w:color="auto"/>
      </w:divBdr>
      <w:divsChild>
        <w:div w:id="1836188065">
          <w:marLeft w:val="0"/>
          <w:marRight w:val="0"/>
          <w:marTop w:val="0"/>
          <w:marBottom w:val="0"/>
          <w:divBdr>
            <w:top w:val="none" w:sz="0" w:space="0" w:color="auto"/>
            <w:left w:val="none" w:sz="0" w:space="0" w:color="auto"/>
            <w:bottom w:val="none" w:sz="0" w:space="0" w:color="auto"/>
            <w:right w:val="none" w:sz="0" w:space="0" w:color="auto"/>
          </w:divBdr>
          <w:divsChild>
            <w:div w:id="732890032">
              <w:marLeft w:val="0"/>
              <w:marRight w:val="0"/>
              <w:marTop w:val="0"/>
              <w:marBottom w:val="0"/>
              <w:divBdr>
                <w:top w:val="none" w:sz="0" w:space="0" w:color="auto"/>
                <w:left w:val="none" w:sz="0" w:space="0" w:color="auto"/>
                <w:bottom w:val="none" w:sz="0" w:space="0" w:color="auto"/>
                <w:right w:val="none" w:sz="0" w:space="0" w:color="auto"/>
              </w:divBdr>
              <w:divsChild>
                <w:div w:id="1348562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541775">
      <w:bodyDiv w:val="1"/>
      <w:marLeft w:val="0"/>
      <w:marRight w:val="0"/>
      <w:marTop w:val="0"/>
      <w:marBottom w:val="0"/>
      <w:divBdr>
        <w:top w:val="none" w:sz="0" w:space="0" w:color="auto"/>
        <w:left w:val="none" w:sz="0" w:space="0" w:color="auto"/>
        <w:bottom w:val="none" w:sz="0" w:space="0" w:color="auto"/>
        <w:right w:val="none" w:sz="0" w:space="0" w:color="auto"/>
      </w:divBdr>
      <w:divsChild>
        <w:div w:id="382801051">
          <w:marLeft w:val="0"/>
          <w:marRight w:val="0"/>
          <w:marTop w:val="0"/>
          <w:marBottom w:val="0"/>
          <w:divBdr>
            <w:top w:val="none" w:sz="0" w:space="0" w:color="auto"/>
            <w:left w:val="none" w:sz="0" w:space="0" w:color="auto"/>
            <w:bottom w:val="none" w:sz="0" w:space="0" w:color="auto"/>
            <w:right w:val="none" w:sz="0" w:space="0" w:color="auto"/>
          </w:divBdr>
          <w:divsChild>
            <w:div w:id="1506481841">
              <w:marLeft w:val="0"/>
              <w:marRight w:val="0"/>
              <w:marTop w:val="0"/>
              <w:marBottom w:val="0"/>
              <w:divBdr>
                <w:top w:val="none" w:sz="0" w:space="0" w:color="auto"/>
                <w:left w:val="none" w:sz="0" w:space="0" w:color="auto"/>
                <w:bottom w:val="none" w:sz="0" w:space="0" w:color="auto"/>
                <w:right w:val="none" w:sz="0" w:space="0" w:color="auto"/>
              </w:divBdr>
              <w:divsChild>
                <w:div w:id="1694302600">
                  <w:marLeft w:val="0"/>
                  <w:marRight w:val="0"/>
                  <w:marTop w:val="0"/>
                  <w:marBottom w:val="0"/>
                  <w:divBdr>
                    <w:top w:val="none" w:sz="0" w:space="0" w:color="auto"/>
                    <w:left w:val="none" w:sz="0" w:space="0" w:color="auto"/>
                    <w:bottom w:val="none" w:sz="0" w:space="0" w:color="auto"/>
                    <w:right w:val="none" w:sz="0" w:space="0" w:color="auto"/>
                  </w:divBdr>
                  <w:divsChild>
                    <w:div w:id="147476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5781737">
      <w:bodyDiv w:val="1"/>
      <w:marLeft w:val="0"/>
      <w:marRight w:val="0"/>
      <w:marTop w:val="0"/>
      <w:marBottom w:val="0"/>
      <w:divBdr>
        <w:top w:val="none" w:sz="0" w:space="0" w:color="auto"/>
        <w:left w:val="none" w:sz="0" w:space="0" w:color="auto"/>
        <w:bottom w:val="none" w:sz="0" w:space="0" w:color="auto"/>
        <w:right w:val="none" w:sz="0" w:space="0" w:color="auto"/>
      </w:divBdr>
    </w:div>
    <w:div w:id="422261307">
      <w:bodyDiv w:val="1"/>
      <w:marLeft w:val="0"/>
      <w:marRight w:val="0"/>
      <w:marTop w:val="0"/>
      <w:marBottom w:val="0"/>
      <w:divBdr>
        <w:top w:val="none" w:sz="0" w:space="0" w:color="auto"/>
        <w:left w:val="none" w:sz="0" w:space="0" w:color="auto"/>
        <w:bottom w:val="none" w:sz="0" w:space="0" w:color="auto"/>
        <w:right w:val="none" w:sz="0" w:space="0" w:color="auto"/>
      </w:divBdr>
    </w:div>
    <w:div w:id="433787414">
      <w:bodyDiv w:val="1"/>
      <w:marLeft w:val="0"/>
      <w:marRight w:val="0"/>
      <w:marTop w:val="0"/>
      <w:marBottom w:val="0"/>
      <w:divBdr>
        <w:top w:val="none" w:sz="0" w:space="0" w:color="auto"/>
        <w:left w:val="none" w:sz="0" w:space="0" w:color="auto"/>
        <w:bottom w:val="none" w:sz="0" w:space="0" w:color="auto"/>
        <w:right w:val="none" w:sz="0" w:space="0" w:color="auto"/>
      </w:divBdr>
    </w:div>
    <w:div w:id="434597764">
      <w:bodyDiv w:val="1"/>
      <w:marLeft w:val="0"/>
      <w:marRight w:val="0"/>
      <w:marTop w:val="0"/>
      <w:marBottom w:val="0"/>
      <w:divBdr>
        <w:top w:val="none" w:sz="0" w:space="0" w:color="auto"/>
        <w:left w:val="none" w:sz="0" w:space="0" w:color="auto"/>
        <w:bottom w:val="none" w:sz="0" w:space="0" w:color="auto"/>
        <w:right w:val="none" w:sz="0" w:space="0" w:color="auto"/>
      </w:divBdr>
    </w:div>
    <w:div w:id="445317955">
      <w:bodyDiv w:val="1"/>
      <w:marLeft w:val="0"/>
      <w:marRight w:val="0"/>
      <w:marTop w:val="0"/>
      <w:marBottom w:val="0"/>
      <w:divBdr>
        <w:top w:val="none" w:sz="0" w:space="0" w:color="auto"/>
        <w:left w:val="none" w:sz="0" w:space="0" w:color="auto"/>
        <w:bottom w:val="none" w:sz="0" w:space="0" w:color="auto"/>
        <w:right w:val="none" w:sz="0" w:space="0" w:color="auto"/>
      </w:divBdr>
    </w:div>
    <w:div w:id="469054487">
      <w:bodyDiv w:val="1"/>
      <w:marLeft w:val="0"/>
      <w:marRight w:val="0"/>
      <w:marTop w:val="0"/>
      <w:marBottom w:val="0"/>
      <w:divBdr>
        <w:top w:val="none" w:sz="0" w:space="0" w:color="auto"/>
        <w:left w:val="none" w:sz="0" w:space="0" w:color="auto"/>
        <w:bottom w:val="none" w:sz="0" w:space="0" w:color="auto"/>
        <w:right w:val="none" w:sz="0" w:space="0" w:color="auto"/>
      </w:divBdr>
    </w:div>
    <w:div w:id="492113839">
      <w:bodyDiv w:val="1"/>
      <w:marLeft w:val="0"/>
      <w:marRight w:val="0"/>
      <w:marTop w:val="0"/>
      <w:marBottom w:val="0"/>
      <w:divBdr>
        <w:top w:val="none" w:sz="0" w:space="0" w:color="auto"/>
        <w:left w:val="none" w:sz="0" w:space="0" w:color="auto"/>
        <w:bottom w:val="none" w:sz="0" w:space="0" w:color="auto"/>
        <w:right w:val="none" w:sz="0" w:space="0" w:color="auto"/>
      </w:divBdr>
      <w:divsChild>
        <w:div w:id="1631007772">
          <w:marLeft w:val="0"/>
          <w:marRight w:val="0"/>
          <w:marTop w:val="0"/>
          <w:marBottom w:val="0"/>
          <w:divBdr>
            <w:top w:val="none" w:sz="0" w:space="0" w:color="auto"/>
            <w:left w:val="none" w:sz="0" w:space="0" w:color="auto"/>
            <w:bottom w:val="none" w:sz="0" w:space="0" w:color="auto"/>
            <w:right w:val="none" w:sz="0" w:space="0" w:color="auto"/>
          </w:divBdr>
          <w:divsChild>
            <w:div w:id="423651982">
              <w:marLeft w:val="0"/>
              <w:marRight w:val="0"/>
              <w:marTop w:val="0"/>
              <w:marBottom w:val="0"/>
              <w:divBdr>
                <w:top w:val="none" w:sz="0" w:space="0" w:color="auto"/>
                <w:left w:val="none" w:sz="0" w:space="0" w:color="auto"/>
                <w:bottom w:val="none" w:sz="0" w:space="0" w:color="auto"/>
                <w:right w:val="none" w:sz="0" w:space="0" w:color="auto"/>
              </w:divBdr>
              <w:divsChild>
                <w:div w:id="696586212">
                  <w:marLeft w:val="0"/>
                  <w:marRight w:val="0"/>
                  <w:marTop w:val="0"/>
                  <w:marBottom w:val="0"/>
                  <w:divBdr>
                    <w:top w:val="none" w:sz="0" w:space="0" w:color="auto"/>
                    <w:left w:val="none" w:sz="0" w:space="0" w:color="auto"/>
                    <w:bottom w:val="none" w:sz="0" w:space="0" w:color="auto"/>
                    <w:right w:val="none" w:sz="0" w:space="0" w:color="auto"/>
                  </w:divBdr>
                  <w:divsChild>
                    <w:div w:id="1249923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4536521">
      <w:bodyDiv w:val="1"/>
      <w:marLeft w:val="0"/>
      <w:marRight w:val="0"/>
      <w:marTop w:val="0"/>
      <w:marBottom w:val="0"/>
      <w:divBdr>
        <w:top w:val="none" w:sz="0" w:space="0" w:color="auto"/>
        <w:left w:val="none" w:sz="0" w:space="0" w:color="auto"/>
        <w:bottom w:val="none" w:sz="0" w:space="0" w:color="auto"/>
        <w:right w:val="none" w:sz="0" w:space="0" w:color="auto"/>
      </w:divBdr>
    </w:div>
    <w:div w:id="535318973">
      <w:bodyDiv w:val="1"/>
      <w:marLeft w:val="0"/>
      <w:marRight w:val="0"/>
      <w:marTop w:val="0"/>
      <w:marBottom w:val="0"/>
      <w:divBdr>
        <w:top w:val="none" w:sz="0" w:space="0" w:color="auto"/>
        <w:left w:val="none" w:sz="0" w:space="0" w:color="auto"/>
        <w:bottom w:val="none" w:sz="0" w:space="0" w:color="auto"/>
        <w:right w:val="none" w:sz="0" w:space="0" w:color="auto"/>
      </w:divBdr>
    </w:div>
    <w:div w:id="614751871">
      <w:bodyDiv w:val="1"/>
      <w:marLeft w:val="0"/>
      <w:marRight w:val="0"/>
      <w:marTop w:val="0"/>
      <w:marBottom w:val="0"/>
      <w:divBdr>
        <w:top w:val="none" w:sz="0" w:space="0" w:color="auto"/>
        <w:left w:val="none" w:sz="0" w:space="0" w:color="auto"/>
        <w:bottom w:val="none" w:sz="0" w:space="0" w:color="auto"/>
        <w:right w:val="none" w:sz="0" w:space="0" w:color="auto"/>
      </w:divBdr>
    </w:div>
    <w:div w:id="657197332">
      <w:bodyDiv w:val="1"/>
      <w:marLeft w:val="0"/>
      <w:marRight w:val="0"/>
      <w:marTop w:val="0"/>
      <w:marBottom w:val="0"/>
      <w:divBdr>
        <w:top w:val="none" w:sz="0" w:space="0" w:color="auto"/>
        <w:left w:val="none" w:sz="0" w:space="0" w:color="auto"/>
        <w:bottom w:val="none" w:sz="0" w:space="0" w:color="auto"/>
        <w:right w:val="none" w:sz="0" w:space="0" w:color="auto"/>
      </w:divBdr>
      <w:divsChild>
        <w:div w:id="13116262">
          <w:marLeft w:val="0"/>
          <w:marRight w:val="0"/>
          <w:marTop w:val="0"/>
          <w:marBottom w:val="0"/>
          <w:divBdr>
            <w:top w:val="none" w:sz="0" w:space="0" w:color="auto"/>
            <w:left w:val="none" w:sz="0" w:space="0" w:color="auto"/>
            <w:bottom w:val="none" w:sz="0" w:space="0" w:color="auto"/>
            <w:right w:val="none" w:sz="0" w:space="0" w:color="auto"/>
          </w:divBdr>
        </w:div>
        <w:div w:id="312754400">
          <w:marLeft w:val="0"/>
          <w:marRight w:val="0"/>
          <w:marTop w:val="0"/>
          <w:marBottom w:val="0"/>
          <w:divBdr>
            <w:top w:val="none" w:sz="0" w:space="0" w:color="auto"/>
            <w:left w:val="none" w:sz="0" w:space="0" w:color="auto"/>
            <w:bottom w:val="none" w:sz="0" w:space="0" w:color="auto"/>
            <w:right w:val="none" w:sz="0" w:space="0" w:color="auto"/>
          </w:divBdr>
        </w:div>
        <w:div w:id="319693047">
          <w:marLeft w:val="0"/>
          <w:marRight w:val="0"/>
          <w:marTop w:val="0"/>
          <w:marBottom w:val="0"/>
          <w:divBdr>
            <w:top w:val="none" w:sz="0" w:space="0" w:color="auto"/>
            <w:left w:val="none" w:sz="0" w:space="0" w:color="auto"/>
            <w:bottom w:val="none" w:sz="0" w:space="0" w:color="auto"/>
            <w:right w:val="none" w:sz="0" w:space="0" w:color="auto"/>
          </w:divBdr>
        </w:div>
        <w:div w:id="922572389">
          <w:marLeft w:val="0"/>
          <w:marRight w:val="0"/>
          <w:marTop w:val="0"/>
          <w:marBottom w:val="0"/>
          <w:divBdr>
            <w:top w:val="none" w:sz="0" w:space="0" w:color="auto"/>
            <w:left w:val="none" w:sz="0" w:space="0" w:color="auto"/>
            <w:bottom w:val="none" w:sz="0" w:space="0" w:color="auto"/>
            <w:right w:val="none" w:sz="0" w:space="0" w:color="auto"/>
          </w:divBdr>
        </w:div>
        <w:div w:id="1108743569">
          <w:marLeft w:val="0"/>
          <w:marRight w:val="0"/>
          <w:marTop w:val="0"/>
          <w:marBottom w:val="0"/>
          <w:divBdr>
            <w:top w:val="none" w:sz="0" w:space="0" w:color="auto"/>
            <w:left w:val="none" w:sz="0" w:space="0" w:color="auto"/>
            <w:bottom w:val="none" w:sz="0" w:space="0" w:color="auto"/>
            <w:right w:val="none" w:sz="0" w:space="0" w:color="auto"/>
          </w:divBdr>
        </w:div>
        <w:div w:id="1871993577">
          <w:marLeft w:val="0"/>
          <w:marRight w:val="0"/>
          <w:marTop w:val="0"/>
          <w:marBottom w:val="0"/>
          <w:divBdr>
            <w:top w:val="none" w:sz="0" w:space="0" w:color="auto"/>
            <w:left w:val="none" w:sz="0" w:space="0" w:color="auto"/>
            <w:bottom w:val="none" w:sz="0" w:space="0" w:color="auto"/>
            <w:right w:val="none" w:sz="0" w:space="0" w:color="auto"/>
          </w:divBdr>
        </w:div>
        <w:div w:id="1970818828">
          <w:marLeft w:val="0"/>
          <w:marRight w:val="0"/>
          <w:marTop w:val="0"/>
          <w:marBottom w:val="0"/>
          <w:divBdr>
            <w:top w:val="none" w:sz="0" w:space="0" w:color="auto"/>
            <w:left w:val="none" w:sz="0" w:space="0" w:color="auto"/>
            <w:bottom w:val="none" w:sz="0" w:space="0" w:color="auto"/>
            <w:right w:val="none" w:sz="0" w:space="0" w:color="auto"/>
          </w:divBdr>
        </w:div>
        <w:div w:id="2057656820">
          <w:marLeft w:val="0"/>
          <w:marRight w:val="0"/>
          <w:marTop w:val="0"/>
          <w:marBottom w:val="0"/>
          <w:divBdr>
            <w:top w:val="none" w:sz="0" w:space="0" w:color="auto"/>
            <w:left w:val="none" w:sz="0" w:space="0" w:color="auto"/>
            <w:bottom w:val="none" w:sz="0" w:space="0" w:color="auto"/>
            <w:right w:val="none" w:sz="0" w:space="0" w:color="auto"/>
          </w:divBdr>
        </w:div>
        <w:div w:id="2092584158">
          <w:marLeft w:val="0"/>
          <w:marRight w:val="0"/>
          <w:marTop w:val="0"/>
          <w:marBottom w:val="0"/>
          <w:divBdr>
            <w:top w:val="none" w:sz="0" w:space="0" w:color="auto"/>
            <w:left w:val="none" w:sz="0" w:space="0" w:color="auto"/>
            <w:bottom w:val="none" w:sz="0" w:space="0" w:color="auto"/>
            <w:right w:val="none" w:sz="0" w:space="0" w:color="auto"/>
          </w:divBdr>
        </w:div>
      </w:divsChild>
    </w:div>
    <w:div w:id="701126802">
      <w:bodyDiv w:val="1"/>
      <w:marLeft w:val="0"/>
      <w:marRight w:val="0"/>
      <w:marTop w:val="0"/>
      <w:marBottom w:val="0"/>
      <w:divBdr>
        <w:top w:val="none" w:sz="0" w:space="0" w:color="auto"/>
        <w:left w:val="none" w:sz="0" w:space="0" w:color="auto"/>
        <w:bottom w:val="none" w:sz="0" w:space="0" w:color="auto"/>
        <w:right w:val="none" w:sz="0" w:space="0" w:color="auto"/>
      </w:divBdr>
      <w:divsChild>
        <w:div w:id="2035614184">
          <w:marLeft w:val="0"/>
          <w:marRight w:val="0"/>
          <w:marTop w:val="0"/>
          <w:marBottom w:val="0"/>
          <w:divBdr>
            <w:top w:val="none" w:sz="0" w:space="0" w:color="auto"/>
            <w:left w:val="none" w:sz="0" w:space="0" w:color="auto"/>
            <w:bottom w:val="none" w:sz="0" w:space="0" w:color="auto"/>
            <w:right w:val="none" w:sz="0" w:space="0" w:color="auto"/>
          </w:divBdr>
          <w:divsChild>
            <w:div w:id="999233407">
              <w:marLeft w:val="0"/>
              <w:marRight w:val="0"/>
              <w:marTop w:val="0"/>
              <w:marBottom w:val="0"/>
              <w:divBdr>
                <w:top w:val="none" w:sz="0" w:space="0" w:color="auto"/>
                <w:left w:val="none" w:sz="0" w:space="0" w:color="auto"/>
                <w:bottom w:val="none" w:sz="0" w:space="0" w:color="auto"/>
                <w:right w:val="none" w:sz="0" w:space="0" w:color="auto"/>
              </w:divBdr>
              <w:divsChild>
                <w:div w:id="625352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268686">
      <w:bodyDiv w:val="1"/>
      <w:marLeft w:val="0"/>
      <w:marRight w:val="0"/>
      <w:marTop w:val="0"/>
      <w:marBottom w:val="0"/>
      <w:divBdr>
        <w:top w:val="none" w:sz="0" w:space="0" w:color="auto"/>
        <w:left w:val="none" w:sz="0" w:space="0" w:color="auto"/>
        <w:bottom w:val="none" w:sz="0" w:space="0" w:color="auto"/>
        <w:right w:val="none" w:sz="0" w:space="0" w:color="auto"/>
      </w:divBdr>
    </w:div>
    <w:div w:id="753282085">
      <w:bodyDiv w:val="1"/>
      <w:marLeft w:val="0"/>
      <w:marRight w:val="0"/>
      <w:marTop w:val="0"/>
      <w:marBottom w:val="0"/>
      <w:divBdr>
        <w:top w:val="none" w:sz="0" w:space="0" w:color="auto"/>
        <w:left w:val="none" w:sz="0" w:space="0" w:color="auto"/>
        <w:bottom w:val="none" w:sz="0" w:space="0" w:color="auto"/>
        <w:right w:val="none" w:sz="0" w:space="0" w:color="auto"/>
      </w:divBdr>
      <w:divsChild>
        <w:div w:id="2077506685">
          <w:marLeft w:val="0"/>
          <w:marRight w:val="0"/>
          <w:marTop w:val="0"/>
          <w:marBottom w:val="0"/>
          <w:divBdr>
            <w:top w:val="none" w:sz="0" w:space="0" w:color="auto"/>
            <w:left w:val="none" w:sz="0" w:space="0" w:color="auto"/>
            <w:bottom w:val="none" w:sz="0" w:space="0" w:color="auto"/>
            <w:right w:val="none" w:sz="0" w:space="0" w:color="auto"/>
          </w:divBdr>
          <w:divsChild>
            <w:div w:id="383990624">
              <w:marLeft w:val="0"/>
              <w:marRight w:val="0"/>
              <w:marTop w:val="0"/>
              <w:marBottom w:val="0"/>
              <w:divBdr>
                <w:top w:val="none" w:sz="0" w:space="0" w:color="auto"/>
                <w:left w:val="none" w:sz="0" w:space="0" w:color="auto"/>
                <w:bottom w:val="none" w:sz="0" w:space="0" w:color="auto"/>
                <w:right w:val="none" w:sz="0" w:space="0" w:color="auto"/>
              </w:divBdr>
              <w:divsChild>
                <w:div w:id="1483044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3743520">
      <w:bodyDiv w:val="1"/>
      <w:marLeft w:val="0"/>
      <w:marRight w:val="0"/>
      <w:marTop w:val="0"/>
      <w:marBottom w:val="0"/>
      <w:divBdr>
        <w:top w:val="none" w:sz="0" w:space="0" w:color="auto"/>
        <w:left w:val="none" w:sz="0" w:space="0" w:color="auto"/>
        <w:bottom w:val="none" w:sz="0" w:space="0" w:color="auto"/>
        <w:right w:val="none" w:sz="0" w:space="0" w:color="auto"/>
      </w:divBdr>
      <w:divsChild>
        <w:div w:id="1381397957">
          <w:marLeft w:val="0"/>
          <w:marRight w:val="0"/>
          <w:marTop w:val="0"/>
          <w:marBottom w:val="0"/>
          <w:divBdr>
            <w:top w:val="none" w:sz="0" w:space="0" w:color="auto"/>
            <w:left w:val="none" w:sz="0" w:space="0" w:color="auto"/>
            <w:bottom w:val="none" w:sz="0" w:space="0" w:color="auto"/>
            <w:right w:val="none" w:sz="0" w:space="0" w:color="auto"/>
          </w:divBdr>
          <w:divsChild>
            <w:div w:id="55082772">
              <w:marLeft w:val="0"/>
              <w:marRight w:val="0"/>
              <w:marTop w:val="0"/>
              <w:marBottom w:val="0"/>
              <w:divBdr>
                <w:top w:val="none" w:sz="0" w:space="0" w:color="auto"/>
                <w:left w:val="none" w:sz="0" w:space="0" w:color="auto"/>
                <w:bottom w:val="none" w:sz="0" w:space="0" w:color="auto"/>
                <w:right w:val="none" w:sz="0" w:space="0" w:color="auto"/>
              </w:divBdr>
              <w:divsChild>
                <w:div w:id="1787701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924081">
      <w:bodyDiv w:val="1"/>
      <w:marLeft w:val="0"/>
      <w:marRight w:val="0"/>
      <w:marTop w:val="0"/>
      <w:marBottom w:val="0"/>
      <w:divBdr>
        <w:top w:val="none" w:sz="0" w:space="0" w:color="auto"/>
        <w:left w:val="none" w:sz="0" w:space="0" w:color="auto"/>
        <w:bottom w:val="none" w:sz="0" w:space="0" w:color="auto"/>
        <w:right w:val="none" w:sz="0" w:space="0" w:color="auto"/>
      </w:divBdr>
      <w:divsChild>
        <w:div w:id="880017596">
          <w:marLeft w:val="0"/>
          <w:marRight w:val="0"/>
          <w:marTop w:val="0"/>
          <w:marBottom w:val="0"/>
          <w:divBdr>
            <w:top w:val="none" w:sz="0" w:space="0" w:color="auto"/>
            <w:left w:val="none" w:sz="0" w:space="0" w:color="auto"/>
            <w:bottom w:val="none" w:sz="0" w:space="0" w:color="auto"/>
            <w:right w:val="none" w:sz="0" w:space="0" w:color="auto"/>
          </w:divBdr>
          <w:divsChild>
            <w:div w:id="479081991">
              <w:marLeft w:val="0"/>
              <w:marRight w:val="0"/>
              <w:marTop w:val="0"/>
              <w:marBottom w:val="0"/>
              <w:divBdr>
                <w:top w:val="none" w:sz="0" w:space="0" w:color="auto"/>
                <w:left w:val="none" w:sz="0" w:space="0" w:color="auto"/>
                <w:bottom w:val="none" w:sz="0" w:space="0" w:color="auto"/>
                <w:right w:val="none" w:sz="0" w:space="0" w:color="auto"/>
              </w:divBdr>
              <w:divsChild>
                <w:div w:id="2076002607">
                  <w:marLeft w:val="0"/>
                  <w:marRight w:val="0"/>
                  <w:marTop w:val="0"/>
                  <w:marBottom w:val="0"/>
                  <w:divBdr>
                    <w:top w:val="none" w:sz="0" w:space="0" w:color="auto"/>
                    <w:left w:val="none" w:sz="0" w:space="0" w:color="auto"/>
                    <w:bottom w:val="none" w:sz="0" w:space="0" w:color="auto"/>
                    <w:right w:val="none" w:sz="0" w:space="0" w:color="auto"/>
                  </w:divBdr>
                  <w:divsChild>
                    <w:div w:id="316080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7723520">
      <w:bodyDiv w:val="1"/>
      <w:marLeft w:val="0"/>
      <w:marRight w:val="0"/>
      <w:marTop w:val="0"/>
      <w:marBottom w:val="0"/>
      <w:divBdr>
        <w:top w:val="none" w:sz="0" w:space="0" w:color="auto"/>
        <w:left w:val="none" w:sz="0" w:space="0" w:color="auto"/>
        <w:bottom w:val="none" w:sz="0" w:space="0" w:color="auto"/>
        <w:right w:val="none" w:sz="0" w:space="0" w:color="auto"/>
      </w:divBdr>
      <w:divsChild>
        <w:div w:id="739328419">
          <w:marLeft w:val="0"/>
          <w:marRight w:val="0"/>
          <w:marTop w:val="0"/>
          <w:marBottom w:val="0"/>
          <w:divBdr>
            <w:top w:val="none" w:sz="0" w:space="0" w:color="auto"/>
            <w:left w:val="none" w:sz="0" w:space="0" w:color="auto"/>
            <w:bottom w:val="none" w:sz="0" w:space="0" w:color="auto"/>
            <w:right w:val="none" w:sz="0" w:space="0" w:color="auto"/>
          </w:divBdr>
          <w:divsChild>
            <w:div w:id="2051493938">
              <w:marLeft w:val="0"/>
              <w:marRight w:val="0"/>
              <w:marTop w:val="0"/>
              <w:marBottom w:val="0"/>
              <w:divBdr>
                <w:top w:val="none" w:sz="0" w:space="0" w:color="auto"/>
                <w:left w:val="none" w:sz="0" w:space="0" w:color="auto"/>
                <w:bottom w:val="none" w:sz="0" w:space="0" w:color="auto"/>
                <w:right w:val="none" w:sz="0" w:space="0" w:color="auto"/>
              </w:divBdr>
              <w:divsChild>
                <w:div w:id="1372416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3006356">
      <w:bodyDiv w:val="1"/>
      <w:marLeft w:val="0"/>
      <w:marRight w:val="0"/>
      <w:marTop w:val="0"/>
      <w:marBottom w:val="0"/>
      <w:divBdr>
        <w:top w:val="none" w:sz="0" w:space="0" w:color="auto"/>
        <w:left w:val="none" w:sz="0" w:space="0" w:color="auto"/>
        <w:bottom w:val="none" w:sz="0" w:space="0" w:color="auto"/>
        <w:right w:val="none" w:sz="0" w:space="0" w:color="auto"/>
      </w:divBdr>
    </w:div>
    <w:div w:id="888999783">
      <w:bodyDiv w:val="1"/>
      <w:marLeft w:val="0"/>
      <w:marRight w:val="0"/>
      <w:marTop w:val="0"/>
      <w:marBottom w:val="0"/>
      <w:divBdr>
        <w:top w:val="none" w:sz="0" w:space="0" w:color="auto"/>
        <w:left w:val="none" w:sz="0" w:space="0" w:color="auto"/>
        <w:bottom w:val="none" w:sz="0" w:space="0" w:color="auto"/>
        <w:right w:val="none" w:sz="0" w:space="0" w:color="auto"/>
      </w:divBdr>
    </w:div>
    <w:div w:id="904992508">
      <w:bodyDiv w:val="1"/>
      <w:marLeft w:val="0"/>
      <w:marRight w:val="0"/>
      <w:marTop w:val="0"/>
      <w:marBottom w:val="0"/>
      <w:divBdr>
        <w:top w:val="none" w:sz="0" w:space="0" w:color="auto"/>
        <w:left w:val="none" w:sz="0" w:space="0" w:color="auto"/>
        <w:bottom w:val="none" w:sz="0" w:space="0" w:color="auto"/>
        <w:right w:val="none" w:sz="0" w:space="0" w:color="auto"/>
      </w:divBdr>
    </w:div>
    <w:div w:id="905608216">
      <w:bodyDiv w:val="1"/>
      <w:marLeft w:val="0"/>
      <w:marRight w:val="0"/>
      <w:marTop w:val="0"/>
      <w:marBottom w:val="0"/>
      <w:divBdr>
        <w:top w:val="none" w:sz="0" w:space="0" w:color="auto"/>
        <w:left w:val="none" w:sz="0" w:space="0" w:color="auto"/>
        <w:bottom w:val="none" w:sz="0" w:space="0" w:color="auto"/>
        <w:right w:val="none" w:sz="0" w:space="0" w:color="auto"/>
      </w:divBdr>
    </w:div>
    <w:div w:id="916326213">
      <w:bodyDiv w:val="1"/>
      <w:marLeft w:val="0"/>
      <w:marRight w:val="0"/>
      <w:marTop w:val="0"/>
      <w:marBottom w:val="0"/>
      <w:divBdr>
        <w:top w:val="none" w:sz="0" w:space="0" w:color="auto"/>
        <w:left w:val="none" w:sz="0" w:space="0" w:color="auto"/>
        <w:bottom w:val="none" w:sz="0" w:space="0" w:color="auto"/>
        <w:right w:val="none" w:sz="0" w:space="0" w:color="auto"/>
      </w:divBdr>
      <w:divsChild>
        <w:div w:id="608707448">
          <w:marLeft w:val="0"/>
          <w:marRight w:val="0"/>
          <w:marTop w:val="0"/>
          <w:marBottom w:val="0"/>
          <w:divBdr>
            <w:top w:val="none" w:sz="0" w:space="0" w:color="auto"/>
            <w:left w:val="none" w:sz="0" w:space="0" w:color="auto"/>
            <w:bottom w:val="none" w:sz="0" w:space="0" w:color="auto"/>
            <w:right w:val="none" w:sz="0" w:space="0" w:color="auto"/>
          </w:divBdr>
          <w:divsChild>
            <w:div w:id="979378673">
              <w:marLeft w:val="0"/>
              <w:marRight w:val="0"/>
              <w:marTop w:val="0"/>
              <w:marBottom w:val="0"/>
              <w:divBdr>
                <w:top w:val="none" w:sz="0" w:space="0" w:color="auto"/>
                <w:left w:val="none" w:sz="0" w:space="0" w:color="auto"/>
                <w:bottom w:val="none" w:sz="0" w:space="0" w:color="auto"/>
                <w:right w:val="none" w:sz="0" w:space="0" w:color="auto"/>
              </w:divBdr>
              <w:divsChild>
                <w:div w:id="1470439591">
                  <w:marLeft w:val="0"/>
                  <w:marRight w:val="0"/>
                  <w:marTop w:val="0"/>
                  <w:marBottom w:val="0"/>
                  <w:divBdr>
                    <w:top w:val="none" w:sz="0" w:space="0" w:color="auto"/>
                    <w:left w:val="none" w:sz="0" w:space="0" w:color="auto"/>
                    <w:bottom w:val="none" w:sz="0" w:space="0" w:color="auto"/>
                    <w:right w:val="none" w:sz="0" w:space="0" w:color="auto"/>
                  </w:divBdr>
                  <w:divsChild>
                    <w:div w:id="428699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2028917">
      <w:bodyDiv w:val="1"/>
      <w:marLeft w:val="0"/>
      <w:marRight w:val="0"/>
      <w:marTop w:val="0"/>
      <w:marBottom w:val="0"/>
      <w:divBdr>
        <w:top w:val="none" w:sz="0" w:space="0" w:color="auto"/>
        <w:left w:val="none" w:sz="0" w:space="0" w:color="auto"/>
        <w:bottom w:val="none" w:sz="0" w:space="0" w:color="auto"/>
        <w:right w:val="none" w:sz="0" w:space="0" w:color="auto"/>
      </w:divBdr>
      <w:divsChild>
        <w:div w:id="1004279297">
          <w:marLeft w:val="0"/>
          <w:marRight w:val="0"/>
          <w:marTop w:val="0"/>
          <w:marBottom w:val="0"/>
          <w:divBdr>
            <w:top w:val="none" w:sz="0" w:space="0" w:color="auto"/>
            <w:left w:val="none" w:sz="0" w:space="0" w:color="auto"/>
            <w:bottom w:val="none" w:sz="0" w:space="0" w:color="auto"/>
            <w:right w:val="none" w:sz="0" w:space="0" w:color="auto"/>
          </w:divBdr>
          <w:divsChild>
            <w:div w:id="528759270">
              <w:marLeft w:val="0"/>
              <w:marRight w:val="0"/>
              <w:marTop w:val="0"/>
              <w:marBottom w:val="0"/>
              <w:divBdr>
                <w:top w:val="none" w:sz="0" w:space="0" w:color="auto"/>
                <w:left w:val="none" w:sz="0" w:space="0" w:color="auto"/>
                <w:bottom w:val="none" w:sz="0" w:space="0" w:color="auto"/>
                <w:right w:val="none" w:sz="0" w:space="0" w:color="auto"/>
              </w:divBdr>
              <w:divsChild>
                <w:div w:id="1369793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8389805">
      <w:bodyDiv w:val="1"/>
      <w:marLeft w:val="0"/>
      <w:marRight w:val="0"/>
      <w:marTop w:val="0"/>
      <w:marBottom w:val="0"/>
      <w:divBdr>
        <w:top w:val="none" w:sz="0" w:space="0" w:color="auto"/>
        <w:left w:val="none" w:sz="0" w:space="0" w:color="auto"/>
        <w:bottom w:val="none" w:sz="0" w:space="0" w:color="auto"/>
        <w:right w:val="none" w:sz="0" w:space="0" w:color="auto"/>
      </w:divBdr>
      <w:divsChild>
        <w:div w:id="853618019">
          <w:marLeft w:val="0"/>
          <w:marRight w:val="0"/>
          <w:marTop w:val="0"/>
          <w:marBottom w:val="0"/>
          <w:divBdr>
            <w:top w:val="none" w:sz="0" w:space="0" w:color="auto"/>
            <w:left w:val="none" w:sz="0" w:space="0" w:color="auto"/>
            <w:bottom w:val="none" w:sz="0" w:space="0" w:color="auto"/>
            <w:right w:val="none" w:sz="0" w:space="0" w:color="auto"/>
          </w:divBdr>
          <w:divsChild>
            <w:div w:id="533154953">
              <w:marLeft w:val="0"/>
              <w:marRight w:val="0"/>
              <w:marTop w:val="0"/>
              <w:marBottom w:val="0"/>
              <w:divBdr>
                <w:top w:val="none" w:sz="0" w:space="0" w:color="auto"/>
                <w:left w:val="none" w:sz="0" w:space="0" w:color="auto"/>
                <w:bottom w:val="none" w:sz="0" w:space="0" w:color="auto"/>
                <w:right w:val="none" w:sz="0" w:space="0" w:color="auto"/>
              </w:divBdr>
              <w:divsChild>
                <w:div w:id="710345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892072">
      <w:bodyDiv w:val="1"/>
      <w:marLeft w:val="0"/>
      <w:marRight w:val="0"/>
      <w:marTop w:val="0"/>
      <w:marBottom w:val="0"/>
      <w:divBdr>
        <w:top w:val="none" w:sz="0" w:space="0" w:color="auto"/>
        <w:left w:val="none" w:sz="0" w:space="0" w:color="auto"/>
        <w:bottom w:val="none" w:sz="0" w:space="0" w:color="auto"/>
        <w:right w:val="none" w:sz="0" w:space="0" w:color="auto"/>
      </w:divBdr>
      <w:divsChild>
        <w:div w:id="1961955007">
          <w:marLeft w:val="0"/>
          <w:marRight w:val="0"/>
          <w:marTop w:val="0"/>
          <w:marBottom w:val="0"/>
          <w:divBdr>
            <w:top w:val="none" w:sz="0" w:space="0" w:color="auto"/>
            <w:left w:val="none" w:sz="0" w:space="0" w:color="auto"/>
            <w:bottom w:val="none" w:sz="0" w:space="0" w:color="auto"/>
            <w:right w:val="none" w:sz="0" w:space="0" w:color="auto"/>
          </w:divBdr>
          <w:divsChild>
            <w:div w:id="1691374724">
              <w:marLeft w:val="0"/>
              <w:marRight w:val="0"/>
              <w:marTop w:val="0"/>
              <w:marBottom w:val="0"/>
              <w:divBdr>
                <w:top w:val="none" w:sz="0" w:space="0" w:color="auto"/>
                <w:left w:val="none" w:sz="0" w:space="0" w:color="auto"/>
                <w:bottom w:val="none" w:sz="0" w:space="0" w:color="auto"/>
                <w:right w:val="none" w:sz="0" w:space="0" w:color="auto"/>
              </w:divBdr>
              <w:divsChild>
                <w:div w:id="1452286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771337">
      <w:bodyDiv w:val="1"/>
      <w:marLeft w:val="0"/>
      <w:marRight w:val="0"/>
      <w:marTop w:val="0"/>
      <w:marBottom w:val="0"/>
      <w:divBdr>
        <w:top w:val="none" w:sz="0" w:space="0" w:color="auto"/>
        <w:left w:val="none" w:sz="0" w:space="0" w:color="auto"/>
        <w:bottom w:val="none" w:sz="0" w:space="0" w:color="auto"/>
        <w:right w:val="none" w:sz="0" w:space="0" w:color="auto"/>
      </w:divBdr>
      <w:divsChild>
        <w:div w:id="1269895384">
          <w:marLeft w:val="0"/>
          <w:marRight w:val="0"/>
          <w:marTop w:val="0"/>
          <w:marBottom w:val="0"/>
          <w:divBdr>
            <w:top w:val="none" w:sz="0" w:space="0" w:color="auto"/>
            <w:left w:val="none" w:sz="0" w:space="0" w:color="auto"/>
            <w:bottom w:val="none" w:sz="0" w:space="0" w:color="auto"/>
            <w:right w:val="none" w:sz="0" w:space="0" w:color="auto"/>
          </w:divBdr>
          <w:divsChild>
            <w:div w:id="1290745281">
              <w:marLeft w:val="0"/>
              <w:marRight w:val="0"/>
              <w:marTop w:val="0"/>
              <w:marBottom w:val="0"/>
              <w:divBdr>
                <w:top w:val="none" w:sz="0" w:space="0" w:color="auto"/>
                <w:left w:val="none" w:sz="0" w:space="0" w:color="auto"/>
                <w:bottom w:val="none" w:sz="0" w:space="0" w:color="auto"/>
                <w:right w:val="none" w:sz="0" w:space="0" w:color="auto"/>
              </w:divBdr>
              <w:divsChild>
                <w:div w:id="1142045755">
                  <w:marLeft w:val="0"/>
                  <w:marRight w:val="0"/>
                  <w:marTop w:val="0"/>
                  <w:marBottom w:val="0"/>
                  <w:divBdr>
                    <w:top w:val="none" w:sz="0" w:space="0" w:color="auto"/>
                    <w:left w:val="none" w:sz="0" w:space="0" w:color="auto"/>
                    <w:bottom w:val="none" w:sz="0" w:space="0" w:color="auto"/>
                    <w:right w:val="none" w:sz="0" w:space="0" w:color="auto"/>
                  </w:divBdr>
                  <w:divsChild>
                    <w:div w:id="1461269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6153074">
      <w:bodyDiv w:val="1"/>
      <w:marLeft w:val="0"/>
      <w:marRight w:val="0"/>
      <w:marTop w:val="0"/>
      <w:marBottom w:val="0"/>
      <w:divBdr>
        <w:top w:val="none" w:sz="0" w:space="0" w:color="auto"/>
        <w:left w:val="none" w:sz="0" w:space="0" w:color="auto"/>
        <w:bottom w:val="none" w:sz="0" w:space="0" w:color="auto"/>
        <w:right w:val="none" w:sz="0" w:space="0" w:color="auto"/>
      </w:divBdr>
    </w:div>
    <w:div w:id="1038354576">
      <w:bodyDiv w:val="1"/>
      <w:marLeft w:val="0"/>
      <w:marRight w:val="0"/>
      <w:marTop w:val="0"/>
      <w:marBottom w:val="0"/>
      <w:divBdr>
        <w:top w:val="none" w:sz="0" w:space="0" w:color="auto"/>
        <w:left w:val="none" w:sz="0" w:space="0" w:color="auto"/>
        <w:bottom w:val="none" w:sz="0" w:space="0" w:color="auto"/>
        <w:right w:val="none" w:sz="0" w:space="0" w:color="auto"/>
      </w:divBdr>
    </w:div>
    <w:div w:id="1120756636">
      <w:bodyDiv w:val="1"/>
      <w:marLeft w:val="0"/>
      <w:marRight w:val="0"/>
      <w:marTop w:val="0"/>
      <w:marBottom w:val="0"/>
      <w:divBdr>
        <w:top w:val="none" w:sz="0" w:space="0" w:color="auto"/>
        <w:left w:val="none" w:sz="0" w:space="0" w:color="auto"/>
        <w:bottom w:val="none" w:sz="0" w:space="0" w:color="auto"/>
        <w:right w:val="none" w:sz="0" w:space="0" w:color="auto"/>
      </w:divBdr>
      <w:divsChild>
        <w:div w:id="598563675">
          <w:marLeft w:val="0"/>
          <w:marRight w:val="0"/>
          <w:marTop w:val="0"/>
          <w:marBottom w:val="0"/>
          <w:divBdr>
            <w:top w:val="none" w:sz="0" w:space="0" w:color="auto"/>
            <w:left w:val="none" w:sz="0" w:space="0" w:color="auto"/>
            <w:bottom w:val="none" w:sz="0" w:space="0" w:color="auto"/>
            <w:right w:val="none" w:sz="0" w:space="0" w:color="auto"/>
          </w:divBdr>
          <w:divsChild>
            <w:div w:id="501818058">
              <w:marLeft w:val="0"/>
              <w:marRight w:val="0"/>
              <w:marTop w:val="0"/>
              <w:marBottom w:val="0"/>
              <w:divBdr>
                <w:top w:val="none" w:sz="0" w:space="0" w:color="auto"/>
                <w:left w:val="none" w:sz="0" w:space="0" w:color="auto"/>
                <w:bottom w:val="none" w:sz="0" w:space="0" w:color="auto"/>
                <w:right w:val="none" w:sz="0" w:space="0" w:color="auto"/>
              </w:divBdr>
              <w:divsChild>
                <w:div w:id="1802380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2849492">
      <w:bodyDiv w:val="1"/>
      <w:marLeft w:val="0"/>
      <w:marRight w:val="0"/>
      <w:marTop w:val="0"/>
      <w:marBottom w:val="0"/>
      <w:divBdr>
        <w:top w:val="none" w:sz="0" w:space="0" w:color="auto"/>
        <w:left w:val="none" w:sz="0" w:space="0" w:color="auto"/>
        <w:bottom w:val="none" w:sz="0" w:space="0" w:color="auto"/>
        <w:right w:val="none" w:sz="0" w:space="0" w:color="auto"/>
      </w:divBdr>
      <w:divsChild>
        <w:div w:id="597982862">
          <w:marLeft w:val="0"/>
          <w:marRight w:val="0"/>
          <w:marTop w:val="0"/>
          <w:marBottom w:val="0"/>
          <w:divBdr>
            <w:top w:val="none" w:sz="0" w:space="0" w:color="auto"/>
            <w:left w:val="none" w:sz="0" w:space="0" w:color="auto"/>
            <w:bottom w:val="none" w:sz="0" w:space="0" w:color="auto"/>
            <w:right w:val="none" w:sz="0" w:space="0" w:color="auto"/>
          </w:divBdr>
          <w:divsChild>
            <w:div w:id="958296049">
              <w:marLeft w:val="0"/>
              <w:marRight w:val="0"/>
              <w:marTop w:val="0"/>
              <w:marBottom w:val="0"/>
              <w:divBdr>
                <w:top w:val="none" w:sz="0" w:space="0" w:color="auto"/>
                <w:left w:val="none" w:sz="0" w:space="0" w:color="auto"/>
                <w:bottom w:val="none" w:sz="0" w:space="0" w:color="auto"/>
                <w:right w:val="none" w:sz="0" w:space="0" w:color="auto"/>
              </w:divBdr>
              <w:divsChild>
                <w:div w:id="116262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6240229">
      <w:bodyDiv w:val="1"/>
      <w:marLeft w:val="0"/>
      <w:marRight w:val="0"/>
      <w:marTop w:val="0"/>
      <w:marBottom w:val="0"/>
      <w:divBdr>
        <w:top w:val="none" w:sz="0" w:space="0" w:color="auto"/>
        <w:left w:val="none" w:sz="0" w:space="0" w:color="auto"/>
        <w:bottom w:val="none" w:sz="0" w:space="0" w:color="auto"/>
        <w:right w:val="none" w:sz="0" w:space="0" w:color="auto"/>
      </w:divBdr>
    </w:div>
    <w:div w:id="1178227807">
      <w:bodyDiv w:val="1"/>
      <w:marLeft w:val="0"/>
      <w:marRight w:val="0"/>
      <w:marTop w:val="0"/>
      <w:marBottom w:val="0"/>
      <w:divBdr>
        <w:top w:val="none" w:sz="0" w:space="0" w:color="auto"/>
        <w:left w:val="none" w:sz="0" w:space="0" w:color="auto"/>
        <w:bottom w:val="none" w:sz="0" w:space="0" w:color="auto"/>
        <w:right w:val="none" w:sz="0" w:space="0" w:color="auto"/>
      </w:divBdr>
    </w:div>
    <w:div w:id="1217736611">
      <w:bodyDiv w:val="1"/>
      <w:marLeft w:val="0"/>
      <w:marRight w:val="0"/>
      <w:marTop w:val="0"/>
      <w:marBottom w:val="0"/>
      <w:divBdr>
        <w:top w:val="none" w:sz="0" w:space="0" w:color="auto"/>
        <w:left w:val="none" w:sz="0" w:space="0" w:color="auto"/>
        <w:bottom w:val="none" w:sz="0" w:space="0" w:color="auto"/>
        <w:right w:val="none" w:sz="0" w:space="0" w:color="auto"/>
      </w:divBdr>
      <w:divsChild>
        <w:div w:id="1076054950">
          <w:marLeft w:val="0"/>
          <w:marRight w:val="0"/>
          <w:marTop w:val="0"/>
          <w:marBottom w:val="0"/>
          <w:divBdr>
            <w:top w:val="none" w:sz="0" w:space="0" w:color="auto"/>
            <w:left w:val="none" w:sz="0" w:space="0" w:color="auto"/>
            <w:bottom w:val="none" w:sz="0" w:space="0" w:color="auto"/>
            <w:right w:val="none" w:sz="0" w:space="0" w:color="auto"/>
          </w:divBdr>
          <w:divsChild>
            <w:div w:id="1965888862">
              <w:marLeft w:val="0"/>
              <w:marRight w:val="0"/>
              <w:marTop w:val="0"/>
              <w:marBottom w:val="0"/>
              <w:divBdr>
                <w:top w:val="none" w:sz="0" w:space="0" w:color="auto"/>
                <w:left w:val="none" w:sz="0" w:space="0" w:color="auto"/>
                <w:bottom w:val="none" w:sz="0" w:space="0" w:color="auto"/>
                <w:right w:val="none" w:sz="0" w:space="0" w:color="auto"/>
              </w:divBdr>
              <w:divsChild>
                <w:div w:id="1216510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0990885">
      <w:bodyDiv w:val="1"/>
      <w:marLeft w:val="0"/>
      <w:marRight w:val="0"/>
      <w:marTop w:val="0"/>
      <w:marBottom w:val="0"/>
      <w:divBdr>
        <w:top w:val="none" w:sz="0" w:space="0" w:color="auto"/>
        <w:left w:val="none" w:sz="0" w:space="0" w:color="auto"/>
        <w:bottom w:val="none" w:sz="0" w:space="0" w:color="auto"/>
        <w:right w:val="none" w:sz="0" w:space="0" w:color="auto"/>
      </w:divBdr>
      <w:divsChild>
        <w:div w:id="406995040">
          <w:marLeft w:val="0"/>
          <w:marRight w:val="0"/>
          <w:marTop w:val="0"/>
          <w:marBottom w:val="0"/>
          <w:divBdr>
            <w:top w:val="none" w:sz="0" w:space="0" w:color="auto"/>
            <w:left w:val="none" w:sz="0" w:space="0" w:color="auto"/>
            <w:bottom w:val="none" w:sz="0" w:space="0" w:color="auto"/>
            <w:right w:val="none" w:sz="0" w:space="0" w:color="auto"/>
          </w:divBdr>
        </w:div>
        <w:div w:id="558129388">
          <w:marLeft w:val="0"/>
          <w:marRight w:val="0"/>
          <w:marTop w:val="0"/>
          <w:marBottom w:val="0"/>
          <w:divBdr>
            <w:top w:val="none" w:sz="0" w:space="0" w:color="auto"/>
            <w:left w:val="none" w:sz="0" w:space="0" w:color="auto"/>
            <w:bottom w:val="none" w:sz="0" w:space="0" w:color="auto"/>
            <w:right w:val="none" w:sz="0" w:space="0" w:color="auto"/>
          </w:divBdr>
        </w:div>
        <w:div w:id="625738056">
          <w:marLeft w:val="0"/>
          <w:marRight w:val="0"/>
          <w:marTop w:val="0"/>
          <w:marBottom w:val="0"/>
          <w:divBdr>
            <w:top w:val="none" w:sz="0" w:space="0" w:color="auto"/>
            <w:left w:val="none" w:sz="0" w:space="0" w:color="auto"/>
            <w:bottom w:val="none" w:sz="0" w:space="0" w:color="auto"/>
            <w:right w:val="none" w:sz="0" w:space="0" w:color="auto"/>
          </w:divBdr>
        </w:div>
        <w:div w:id="805464400">
          <w:marLeft w:val="0"/>
          <w:marRight w:val="0"/>
          <w:marTop w:val="0"/>
          <w:marBottom w:val="0"/>
          <w:divBdr>
            <w:top w:val="none" w:sz="0" w:space="0" w:color="auto"/>
            <w:left w:val="none" w:sz="0" w:space="0" w:color="auto"/>
            <w:bottom w:val="none" w:sz="0" w:space="0" w:color="auto"/>
            <w:right w:val="none" w:sz="0" w:space="0" w:color="auto"/>
          </w:divBdr>
        </w:div>
        <w:div w:id="859902208">
          <w:marLeft w:val="0"/>
          <w:marRight w:val="0"/>
          <w:marTop w:val="0"/>
          <w:marBottom w:val="0"/>
          <w:divBdr>
            <w:top w:val="none" w:sz="0" w:space="0" w:color="auto"/>
            <w:left w:val="none" w:sz="0" w:space="0" w:color="auto"/>
            <w:bottom w:val="none" w:sz="0" w:space="0" w:color="auto"/>
            <w:right w:val="none" w:sz="0" w:space="0" w:color="auto"/>
          </w:divBdr>
        </w:div>
        <w:div w:id="1030490760">
          <w:marLeft w:val="0"/>
          <w:marRight w:val="0"/>
          <w:marTop w:val="0"/>
          <w:marBottom w:val="0"/>
          <w:divBdr>
            <w:top w:val="none" w:sz="0" w:space="0" w:color="auto"/>
            <w:left w:val="none" w:sz="0" w:space="0" w:color="auto"/>
            <w:bottom w:val="none" w:sz="0" w:space="0" w:color="auto"/>
            <w:right w:val="none" w:sz="0" w:space="0" w:color="auto"/>
          </w:divBdr>
        </w:div>
        <w:div w:id="1135102402">
          <w:marLeft w:val="0"/>
          <w:marRight w:val="0"/>
          <w:marTop w:val="0"/>
          <w:marBottom w:val="0"/>
          <w:divBdr>
            <w:top w:val="none" w:sz="0" w:space="0" w:color="auto"/>
            <w:left w:val="none" w:sz="0" w:space="0" w:color="auto"/>
            <w:bottom w:val="none" w:sz="0" w:space="0" w:color="auto"/>
            <w:right w:val="none" w:sz="0" w:space="0" w:color="auto"/>
          </w:divBdr>
        </w:div>
        <w:div w:id="1168516427">
          <w:marLeft w:val="0"/>
          <w:marRight w:val="0"/>
          <w:marTop w:val="0"/>
          <w:marBottom w:val="0"/>
          <w:divBdr>
            <w:top w:val="none" w:sz="0" w:space="0" w:color="auto"/>
            <w:left w:val="none" w:sz="0" w:space="0" w:color="auto"/>
            <w:bottom w:val="none" w:sz="0" w:space="0" w:color="auto"/>
            <w:right w:val="none" w:sz="0" w:space="0" w:color="auto"/>
          </w:divBdr>
        </w:div>
        <w:div w:id="1294945937">
          <w:marLeft w:val="0"/>
          <w:marRight w:val="0"/>
          <w:marTop w:val="0"/>
          <w:marBottom w:val="0"/>
          <w:divBdr>
            <w:top w:val="none" w:sz="0" w:space="0" w:color="auto"/>
            <w:left w:val="none" w:sz="0" w:space="0" w:color="auto"/>
            <w:bottom w:val="none" w:sz="0" w:space="0" w:color="auto"/>
            <w:right w:val="none" w:sz="0" w:space="0" w:color="auto"/>
          </w:divBdr>
        </w:div>
        <w:div w:id="1469590627">
          <w:marLeft w:val="0"/>
          <w:marRight w:val="0"/>
          <w:marTop w:val="0"/>
          <w:marBottom w:val="0"/>
          <w:divBdr>
            <w:top w:val="none" w:sz="0" w:space="0" w:color="auto"/>
            <w:left w:val="none" w:sz="0" w:space="0" w:color="auto"/>
            <w:bottom w:val="none" w:sz="0" w:space="0" w:color="auto"/>
            <w:right w:val="none" w:sz="0" w:space="0" w:color="auto"/>
          </w:divBdr>
        </w:div>
        <w:div w:id="1899239452">
          <w:marLeft w:val="0"/>
          <w:marRight w:val="0"/>
          <w:marTop w:val="0"/>
          <w:marBottom w:val="0"/>
          <w:divBdr>
            <w:top w:val="none" w:sz="0" w:space="0" w:color="auto"/>
            <w:left w:val="none" w:sz="0" w:space="0" w:color="auto"/>
            <w:bottom w:val="none" w:sz="0" w:space="0" w:color="auto"/>
            <w:right w:val="none" w:sz="0" w:space="0" w:color="auto"/>
          </w:divBdr>
        </w:div>
        <w:div w:id="2105491599">
          <w:marLeft w:val="0"/>
          <w:marRight w:val="0"/>
          <w:marTop w:val="0"/>
          <w:marBottom w:val="0"/>
          <w:divBdr>
            <w:top w:val="none" w:sz="0" w:space="0" w:color="auto"/>
            <w:left w:val="none" w:sz="0" w:space="0" w:color="auto"/>
            <w:bottom w:val="none" w:sz="0" w:space="0" w:color="auto"/>
            <w:right w:val="none" w:sz="0" w:space="0" w:color="auto"/>
          </w:divBdr>
        </w:div>
      </w:divsChild>
    </w:div>
    <w:div w:id="1254818306">
      <w:bodyDiv w:val="1"/>
      <w:marLeft w:val="0"/>
      <w:marRight w:val="0"/>
      <w:marTop w:val="0"/>
      <w:marBottom w:val="0"/>
      <w:divBdr>
        <w:top w:val="none" w:sz="0" w:space="0" w:color="auto"/>
        <w:left w:val="none" w:sz="0" w:space="0" w:color="auto"/>
        <w:bottom w:val="none" w:sz="0" w:space="0" w:color="auto"/>
        <w:right w:val="none" w:sz="0" w:space="0" w:color="auto"/>
      </w:divBdr>
      <w:divsChild>
        <w:div w:id="1988972805">
          <w:marLeft w:val="0"/>
          <w:marRight w:val="0"/>
          <w:marTop w:val="0"/>
          <w:marBottom w:val="0"/>
          <w:divBdr>
            <w:top w:val="none" w:sz="0" w:space="0" w:color="auto"/>
            <w:left w:val="none" w:sz="0" w:space="0" w:color="auto"/>
            <w:bottom w:val="none" w:sz="0" w:space="0" w:color="auto"/>
            <w:right w:val="none" w:sz="0" w:space="0" w:color="auto"/>
          </w:divBdr>
          <w:divsChild>
            <w:div w:id="1391491073">
              <w:marLeft w:val="0"/>
              <w:marRight w:val="0"/>
              <w:marTop w:val="0"/>
              <w:marBottom w:val="0"/>
              <w:divBdr>
                <w:top w:val="none" w:sz="0" w:space="0" w:color="auto"/>
                <w:left w:val="none" w:sz="0" w:space="0" w:color="auto"/>
                <w:bottom w:val="none" w:sz="0" w:space="0" w:color="auto"/>
                <w:right w:val="none" w:sz="0" w:space="0" w:color="auto"/>
              </w:divBdr>
              <w:divsChild>
                <w:div w:id="366294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6889681">
      <w:bodyDiv w:val="1"/>
      <w:marLeft w:val="0"/>
      <w:marRight w:val="0"/>
      <w:marTop w:val="0"/>
      <w:marBottom w:val="0"/>
      <w:divBdr>
        <w:top w:val="none" w:sz="0" w:space="0" w:color="auto"/>
        <w:left w:val="none" w:sz="0" w:space="0" w:color="auto"/>
        <w:bottom w:val="none" w:sz="0" w:space="0" w:color="auto"/>
        <w:right w:val="none" w:sz="0" w:space="0" w:color="auto"/>
      </w:divBdr>
    </w:div>
    <w:div w:id="1319843933">
      <w:bodyDiv w:val="1"/>
      <w:marLeft w:val="0"/>
      <w:marRight w:val="0"/>
      <w:marTop w:val="0"/>
      <w:marBottom w:val="0"/>
      <w:divBdr>
        <w:top w:val="none" w:sz="0" w:space="0" w:color="auto"/>
        <w:left w:val="none" w:sz="0" w:space="0" w:color="auto"/>
        <w:bottom w:val="none" w:sz="0" w:space="0" w:color="auto"/>
        <w:right w:val="none" w:sz="0" w:space="0" w:color="auto"/>
      </w:divBdr>
    </w:div>
    <w:div w:id="1336953363">
      <w:bodyDiv w:val="1"/>
      <w:marLeft w:val="0"/>
      <w:marRight w:val="0"/>
      <w:marTop w:val="0"/>
      <w:marBottom w:val="0"/>
      <w:divBdr>
        <w:top w:val="none" w:sz="0" w:space="0" w:color="auto"/>
        <w:left w:val="none" w:sz="0" w:space="0" w:color="auto"/>
        <w:bottom w:val="none" w:sz="0" w:space="0" w:color="auto"/>
        <w:right w:val="none" w:sz="0" w:space="0" w:color="auto"/>
      </w:divBdr>
    </w:div>
    <w:div w:id="1370036593">
      <w:bodyDiv w:val="1"/>
      <w:marLeft w:val="0"/>
      <w:marRight w:val="0"/>
      <w:marTop w:val="0"/>
      <w:marBottom w:val="0"/>
      <w:divBdr>
        <w:top w:val="none" w:sz="0" w:space="0" w:color="auto"/>
        <w:left w:val="none" w:sz="0" w:space="0" w:color="auto"/>
        <w:bottom w:val="none" w:sz="0" w:space="0" w:color="auto"/>
        <w:right w:val="none" w:sz="0" w:space="0" w:color="auto"/>
      </w:divBdr>
    </w:div>
    <w:div w:id="1384136864">
      <w:bodyDiv w:val="1"/>
      <w:marLeft w:val="0"/>
      <w:marRight w:val="0"/>
      <w:marTop w:val="0"/>
      <w:marBottom w:val="0"/>
      <w:divBdr>
        <w:top w:val="none" w:sz="0" w:space="0" w:color="auto"/>
        <w:left w:val="none" w:sz="0" w:space="0" w:color="auto"/>
        <w:bottom w:val="none" w:sz="0" w:space="0" w:color="auto"/>
        <w:right w:val="none" w:sz="0" w:space="0" w:color="auto"/>
      </w:divBdr>
      <w:divsChild>
        <w:div w:id="1375545065">
          <w:marLeft w:val="0"/>
          <w:marRight w:val="0"/>
          <w:marTop w:val="0"/>
          <w:marBottom w:val="0"/>
          <w:divBdr>
            <w:top w:val="none" w:sz="0" w:space="0" w:color="auto"/>
            <w:left w:val="none" w:sz="0" w:space="0" w:color="auto"/>
            <w:bottom w:val="none" w:sz="0" w:space="0" w:color="auto"/>
            <w:right w:val="none" w:sz="0" w:space="0" w:color="auto"/>
          </w:divBdr>
          <w:divsChild>
            <w:div w:id="1063525934">
              <w:marLeft w:val="0"/>
              <w:marRight w:val="0"/>
              <w:marTop w:val="0"/>
              <w:marBottom w:val="0"/>
              <w:divBdr>
                <w:top w:val="none" w:sz="0" w:space="0" w:color="auto"/>
                <w:left w:val="none" w:sz="0" w:space="0" w:color="auto"/>
                <w:bottom w:val="none" w:sz="0" w:space="0" w:color="auto"/>
                <w:right w:val="none" w:sz="0" w:space="0" w:color="auto"/>
              </w:divBdr>
              <w:divsChild>
                <w:div w:id="598417118">
                  <w:marLeft w:val="0"/>
                  <w:marRight w:val="0"/>
                  <w:marTop w:val="0"/>
                  <w:marBottom w:val="0"/>
                  <w:divBdr>
                    <w:top w:val="none" w:sz="0" w:space="0" w:color="auto"/>
                    <w:left w:val="none" w:sz="0" w:space="0" w:color="auto"/>
                    <w:bottom w:val="none" w:sz="0" w:space="0" w:color="auto"/>
                    <w:right w:val="none" w:sz="0" w:space="0" w:color="auto"/>
                  </w:divBdr>
                  <w:divsChild>
                    <w:div w:id="1020811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5103251">
      <w:bodyDiv w:val="1"/>
      <w:marLeft w:val="0"/>
      <w:marRight w:val="0"/>
      <w:marTop w:val="0"/>
      <w:marBottom w:val="0"/>
      <w:divBdr>
        <w:top w:val="none" w:sz="0" w:space="0" w:color="auto"/>
        <w:left w:val="none" w:sz="0" w:space="0" w:color="auto"/>
        <w:bottom w:val="none" w:sz="0" w:space="0" w:color="auto"/>
        <w:right w:val="none" w:sz="0" w:space="0" w:color="auto"/>
      </w:divBdr>
      <w:divsChild>
        <w:div w:id="135070569">
          <w:marLeft w:val="0"/>
          <w:marRight w:val="0"/>
          <w:marTop w:val="0"/>
          <w:marBottom w:val="0"/>
          <w:divBdr>
            <w:top w:val="none" w:sz="0" w:space="0" w:color="auto"/>
            <w:left w:val="none" w:sz="0" w:space="0" w:color="auto"/>
            <w:bottom w:val="none" w:sz="0" w:space="0" w:color="auto"/>
            <w:right w:val="none" w:sz="0" w:space="0" w:color="auto"/>
          </w:divBdr>
          <w:divsChild>
            <w:div w:id="2010936949">
              <w:marLeft w:val="0"/>
              <w:marRight w:val="0"/>
              <w:marTop w:val="0"/>
              <w:marBottom w:val="0"/>
              <w:divBdr>
                <w:top w:val="none" w:sz="0" w:space="0" w:color="auto"/>
                <w:left w:val="none" w:sz="0" w:space="0" w:color="auto"/>
                <w:bottom w:val="none" w:sz="0" w:space="0" w:color="auto"/>
                <w:right w:val="none" w:sz="0" w:space="0" w:color="auto"/>
              </w:divBdr>
              <w:divsChild>
                <w:div w:id="1465194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9569012">
      <w:bodyDiv w:val="1"/>
      <w:marLeft w:val="0"/>
      <w:marRight w:val="0"/>
      <w:marTop w:val="0"/>
      <w:marBottom w:val="0"/>
      <w:divBdr>
        <w:top w:val="none" w:sz="0" w:space="0" w:color="auto"/>
        <w:left w:val="none" w:sz="0" w:space="0" w:color="auto"/>
        <w:bottom w:val="none" w:sz="0" w:space="0" w:color="auto"/>
        <w:right w:val="none" w:sz="0" w:space="0" w:color="auto"/>
      </w:divBdr>
      <w:divsChild>
        <w:div w:id="1269851879">
          <w:marLeft w:val="0"/>
          <w:marRight w:val="0"/>
          <w:marTop w:val="0"/>
          <w:marBottom w:val="0"/>
          <w:divBdr>
            <w:top w:val="none" w:sz="0" w:space="0" w:color="auto"/>
            <w:left w:val="none" w:sz="0" w:space="0" w:color="auto"/>
            <w:bottom w:val="none" w:sz="0" w:space="0" w:color="auto"/>
            <w:right w:val="none" w:sz="0" w:space="0" w:color="auto"/>
          </w:divBdr>
        </w:div>
      </w:divsChild>
    </w:div>
    <w:div w:id="1492212866">
      <w:bodyDiv w:val="1"/>
      <w:marLeft w:val="0"/>
      <w:marRight w:val="0"/>
      <w:marTop w:val="0"/>
      <w:marBottom w:val="0"/>
      <w:divBdr>
        <w:top w:val="none" w:sz="0" w:space="0" w:color="auto"/>
        <w:left w:val="none" w:sz="0" w:space="0" w:color="auto"/>
        <w:bottom w:val="none" w:sz="0" w:space="0" w:color="auto"/>
        <w:right w:val="none" w:sz="0" w:space="0" w:color="auto"/>
      </w:divBdr>
      <w:divsChild>
        <w:div w:id="913900269">
          <w:marLeft w:val="0"/>
          <w:marRight w:val="0"/>
          <w:marTop w:val="0"/>
          <w:marBottom w:val="0"/>
          <w:divBdr>
            <w:top w:val="none" w:sz="0" w:space="0" w:color="auto"/>
            <w:left w:val="none" w:sz="0" w:space="0" w:color="auto"/>
            <w:bottom w:val="none" w:sz="0" w:space="0" w:color="auto"/>
            <w:right w:val="none" w:sz="0" w:space="0" w:color="auto"/>
          </w:divBdr>
        </w:div>
      </w:divsChild>
    </w:div>
    <w:div w:id="1493713442">
      <w:bodyDiv w:val="1"/>
      <w:marLeft w:val="0"/>
      <w:marRight w:val="0"/>
      <w:marTop w:val="0"/>
      <w:marBottom w:val="0"/>
      <w:divBdr>
        <w:top w:val="none" w:sz="0" w:space="0" w:color="auto"/>
        <w:left w:val="none" w:sz="0" w:space="0" w:color="auto"/>
        <w:bottom w:val="none" w:sz="0" w:space="0" w:color="auto"/>
        <w:right w:val="none" w:sz="0" w:space="0" w:color="auto"/>
      </w:divBdr>
    </w:div>
    <w:div w:id="1504974237">
      <w:bodyDiv w:val="1"/>
      <w:marLeft w:val="0"/>
      <w:marRight w:val="0"/>
      <w:marTop w:val="0"/>
      <w:marBottom w:val="0"/>
      <w:divBdr>
        <w:top w:val="none" w:sz="0" w:space="0" w:color="auto"/>
        <w:left w:val="none" w:sz="0" w:space="0" w:color="auto"/>
        <w:bottom w:val="none" w:sz="0" w:space="0" w:color="auto"/>
        <w:right w:val="none" w:sz="0" w:space="0" w:color="auto"/>
      </w:divBdr>
    </w:div>
    <w:div w:id="1540044637">
      <w:bodyDiv w:val="1"/>
      <w:marLeft w:val="0"/>
      <w:marRight w:val="0"/>
      <w:marTop w:val="0"/>
      <w:marBottom w:val="0"/>
      <w:divBdr>
        <w:top w:val="none" w:sz="0" w:space="0" w:color="auto"/>
        <w:left w:val="none" w:sz="0" w:space="0" w:color="auto"/>
        <w:bottom w:val="none" w:sz="0" w:space="0" w:color="auto"/>
        <w:right w:val="none" w:sz="0" w:space="0" w:color="auto"/>
      </w:divBdr>
    </w:div>
    <w:div w:id="1577671590">
      <w:bodyDiv w:val="1"/>
      <w:marLeft w:val="0"/>
      <w:marRight w:val="0"/>
      <w:marTop w:val="0"/>
      <w:marBottom w:val="0"/>
      <w:divBdr>
        <w:top w:val="none" w:sz="0" w:space="0" w:color="auto"/>
        <w:left w:val="none" w:sz="0" w:space="0" w:color="auto"/>
        <w:bottom w:val="none" w:sz="0" w:space="0" w:color="auto"/>
        <w:right w:val="none" w:sz="0" w:space="0" w:color="auto"/>
      </w:divBdr>
      <w:divsChild>
        <w:div w:id="1666274409">
          <w:marLeft w:val="0"/>
          <w:marRight w:val="0"/>
          <w:marTop w:val="0"/>
          <w:marBottom w:val="0"/>
          <w:divBdr>
            <w:top w:val="none" w:sz="0" w:space="0" w:color="auto"/>
            <w:left w:val="none" w:sz="0" w:space="0" w:color="auto"/>
            <w:bottom w:val="none" w:sz="0" w:space="0" w:color="auto"/>
            <w:right w:val="none" w:sz="0" w:space="0" w:color="auto"/>
          </w:divBdr>
          <w:divsChild>
            <w:div w:id="2071076989">
              <w:marLeft w:val="0"/>
              <w:marRight w:val="0"/>
              <w:marTop w:val="0"/>
              <w:marBottom w:val="0"/>
              <w:divBdr>
                <w:top w:val="none" w:sz="0" w:space="0" w:color="auto"/>
                <w:left w:val="none" w:sz="0" w:space="0" w:color="auto"/>
                <w:bottom w:val="none" w:sz="0" w:space="0" w:color="auto"/>
                <w:right w:val="none" w:sz="0" w:space="0" w:color="auto"/>
              </w:divBdr>
              <w:divsChild>
                <w:div w:id="1250192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9537490">
      <w:bodyDiv w:val="1"/>
      <w:marLeft w:val="0"/>
      <w:marRight w:val="0"/>
      <w:marTop w:val="0"/>
      <w:marBottom w:val="0"/>
      <w:divBdr>
        <w:top w:val="none" w:sz="0" w:space="0" w:color="auto"/>
        <w:left w:val="none" w:sz="0" w:space="0" w:color="auto"/>
        <w:bottom w:val="none" w:sz="0" w:space="0" w:color="auto"/>
        <w:right w:val="none" w:sz="0" w:space="0" w:color="auto"/>
      </w:divBdr>
    </w:div>
    <w:div w:id="1644193805">
      <w:bodyDiv w:val="1"/>
      <w:marLeft w:val="0"/>
      <w:marRight w:val="0"/>
      <w:marTop w:val="0"/>
      <w:marBottom w:val="0"/>
      <w:divBdr>
        <w:top w:val="none" w:sz="0" w:space="0" w:color="auto"/>
        <w:left w:val="none" w:sz="0" w:space="0" w:color="auto"/>
        <w:bottom w:val="none" w:sz="0" w:space="0" w:color="auto"/>
        <w:right w:val="none" w:sz="0" w:space="0" w:color="auto"/>
      </w:divBdr>
    </w:div>
    <w:div w:id="1647196817">
      <w:bodyDiv w:val="1"/>
      <w:marLeft w:val="0"/>
      <w:marRight w:val="0"/>
      <w:marTop w:val="0"/>
      <w:marBottom w:val="0"/>
      <w:divBdr>
        <w:top w:val="none" w:sz="0" w:space="0" w:color="auto"/>
        <w:left w:val="none" w:sz="0" w:space="0" w:color="auto"/>
        <w:bottom w:val="none" w:sz="0" w:space="0" w:color="auto"/>
        <w:right w:val="none" w:sz="0" w:space="0" w:color="auto"/>
      </w:divBdr>
    </w:div>
    <w:div w:id="1669400660">
      <w:bodyDiv w:val="1"/>
      <w:marLeft w:val="0"/>
      <w:marRight w:val="0"/>
      <w:marTop w:val="0"/>
      <w:marBottom w:val="0"/>
      <w:divBdr>
        <w:top w:val="none" w:sz="0" w:space="0" w:color="auto"/>
        <w:left w:val="none" w:sz="0" w:space="0" w:color="auto"/>
        <w:bottom w:val="none" w:sz="0" w:space="0" w:color="auto"/>
        <w:right w:val="none" w:sz="0" w:space="0" w:color="auto"/>
      </w:divBdr>
    </w:div>
    <w:div w:id="1698775643">
      <w:bodyDiv w:val="1"/>
      <w:marLeft w:val="0"/>
      <w:marRight w:val="0"/>
      <w:marTop w:val="0"/>
      <w:marBottom w:val="0"/>
      <w:divBdr>
        <w:top w:val="none" w:sz="0" w:space="0" w:color="auto"/>
        <w:left w:val="none" w:sz="0" w:space="0" w:color="auto"/>
        <w:bottom w:val="none" w:sz="0" w:space="0" w:color="auto"/>
        <w:right w:val="none" w:sz="0" w:space="0" w:color="auto"/>
      </w:divBdr>
      <w:divsChild>
        <w:div w:id="1444610317">
          <w:marLeft w:val="0"/>
          <w:marRight w:val="0"/>
          <w:marTop w:val="0"/>
          <w:marBottom w:val="0"/>
          <w:divBdr>
            <w:top w:val="none" w:sz="0" w:space="0" w:color="auto"/>
            <w:left w:val="none" w:sz="0" w:space="0" w:color="auto"/>
            <w:bottom w:val="none" w:sz="0" w:space="0" w:color="auto"/>
            <w:right w:val="none" w:sz="0" w:space="0" w:color="auto"/>
          </w:divBdr>
          <w:divsChild>
            <w:div w:id="1182472436">
              <w:marLeft w:val="0"/>
              <w:marRight w:val="0"/>
              <w:marTop w:val="0"/>
              <w:marBottom w:val="0"/>
              <w:divBdr>
                <w:top w:val="none" w:sz="0" w:space="0" w:color="auto"/>
                <w:left w:val="none" w:sz="0" w:space="0" w:color="auto"/>
                <w:bottom w:val="none" w:sz="0" w:space="0" w:color="auto"/>
                <w:right w:val="none" w:sz="0" w:space="0" w:color="auto"/>
              </w:divBdr>
              <w:divsChild>
                <w:div w:id="567883782">
                  <w:marLeft w:val="0"/>
                  <w:marRight w:val="0"/>
                  <w:marTop w:val="0"/>
                  <w:marBottom w:val="0"/>
                  <w:divBdr>
                    <w:top w:val="none" w:sz="0" w:space="0" w:color="auto"/>
                    <w:left w:val="none" w:sz="0" w:space="0" w:color="auto"/>
                    <w:bottom w:val="none" w:sz="0" w:space="0" w:color="auto"/>
                    <w:right w:val="none" w:sz="0" w:space="0" w:color="auto"/>
                  </w:divBdr>
                  <w:divsChild>
                    <w:div w:id="1967854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7008223">
      <w:bodyDiv w:val="1"/>
      <w:marLeft w:val="0"/>
      <w:marRight w:val="0"/>
      <w:marTop w:val="0"/>
      <w:marBottom w:val="0"/>
      <w:divBdr>
        <w:top w:val="none" w:sz="0" w:space="0" w:color="auto"/>
        <w:left w:val="none" w:sz="0" w:space="0" w:color="auto"/>
        <w:bottom w:val="none" w:sz="0" w:space="0" w:color="auto"/>
        <w:right w:val="none" w:sz="0" w:space="0" w:color="auto"/>
      </w:divBdr>
      <w:divsChild>
        <w:div w:id="1364011707">
          <w:marLeft w:val="0"/>
          <w:marRight w:val="0"/>
          <w:marTop w:val="0"/>
          <w:marBottom w:val="0"/>
          <w:divBdr>
            <w:top w:val="none" w:sz="0" w:space="0" w:color="auto"/>
            <w:left w:val="none" w:sz="0" w:space="0" w:color="auto"/>
            <w:bottom w:val="none" w:sz="0" w:space="0" w:color="auto"/>
            <w:right w:val="none" w:sz="0" w:space="0" w:color="auto"/>
          </w:divBdr>
          <w:divsChild>
            <w:div w:id="992954071">
              <w:marLeft w:val="0"/>
              <w:marRight w:val="0"/>
              <w:marTop w:val="0"/>
              <w:marBottom w:val="0"/>
              <w:divBdr>
                <w:top w:val="none" w:sz="0" w:space="0" w:color="auto"/>
                <w:left w:val="none" w:sz="0" w:space="0" w:color="auto"/>
                <w:bottom w:val="none" w:sz="0" w:space="0" w:color="auto"/>
                <w:right w:val="none" w:sz="0" w:space="0" w:color="auto"/>
              </w:divBdr>
              <w:divsChild>
                <w:div w:id="1073628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236727">
      <w:bodyDiv w:val="1"/>
      <w:marLeft w:val="0"/>
      <w:marRight w:val="0"/>
      <w:marTop w:val="0"/>
      <w:marBottom w:val="0"/>
      <w:divBdr>
        <w:top w:val="none" w:sz="0" w:space="0" w:color="auto"/>
        <w:left w:val="none" w:sz="0" w:space="0" w:color="auto"/>
        <w:bottom w:val="none" w:sz="0" w:space="0" w:color="auto"/>
        <w:right w:val="none" w:sz="0" w:space="0" w:color="auto"/>
      </w:divBdr>
      <w:divsChild>
        <w:div w:id="258610607">
          <w:marLeft w:val="0"/>
          <w:marRight w:val="0"/>
          <w:marTop w:val="0"/>
          <w:marBottom w:val="0"/>
          <w:divBdr>
            <w:top w:val="none" w:sz="0" w:space="0" w:color="auto"/>
            <w:left w:val="none" w:sz="0" w:space="0" w:color="auto"/>
            <w:bottom w:val="none" w:sz="0" w:space="0" w:color="auto"/>
            <w:right w:val="none" w:sz="0" w:space="0" w:color="auto"/>
          </w:divBdr>
          <w:divsChild>
            <w:div w:id="1451322186">
              <w:marLeft w:val="0"/>
              <w:marRight w:val="0"/>
              <w:marTop w:val="0"/>
              <w:marBottom w:val="0"/>
              <w:divBdr>
                <w:top w:val="none" w:sz="0" w:space="0" w:color="auto"/>
                <w:left w:val="none" w:sz="0" w:space="0" w:color="auto"/>
                <w:bottom w:val="none" w:sz="0" w:space="0" w:color="auto"/>
                <w:right w:val="none" w:sz="0" w:space="0" w:color="auto"/>
              </w:divBdr>
              <w:divsChild>
                <w:div w:id="1195848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1153243">
      <w:bodyDiv w:val="1"/>
      <w:marLeft w:val="0"/>
      <w:marRight w:val="0"/>
      <w:marTop w:val="0"/>
      <w:marBottom w:val="0"/>
      <w:divBdr>
        <w:top w:val="none" w:sz="0" w:space="0" w:color="auto"/>
        <w:left w:val="none" w:sz="0" w:space="0" w:color="auto"/>
        <w:bottom w:val="none" w:sz="0" w:space="0" w:color="auto"/>
        <w:right w:val="none" w:sz="0" w:space="0" w:color="auto"/>
      </w:divBdr>
      <w:divsChild>
        <w:div w:id="1115367506">
          <w:marLeft w:val="0"/>
          <w:marRight w:val="0"/>
          <w:marTop w:val="0"/>
          <w:marBottom w:val="0"/>
          <w:divBdr>
            <w:top w:val="none" w:sz="0" w:space="0" w:color="auto"/>
            <w:left w:val="none" w:sz="0" w:space="0" w:color="auto"/>
            <w:bottom w:val="none" w:sz="0" w:space="0" w:color="auto"/>
            <w:right w:val="none" w:sz="0" w:space="0" w:color="auto"/>
          </w:divBdr>
          <w:divsChild>
            <w:div w:id="1455909050">
              <w:marLeft w:val="0"/>
              <w:marRight w:val="0"/>
              <w:marTop w:val="0"/>
              <w:marBottom w:val="0"/>
              <w:divBdr>
                <w:top w:val="none" w:sz="0" w:space="0" w:color="auto"/>
                <w:left w:val="none" w:sz="0" w:space="0" w:color="auto"/>
                <w:bottom w:val="none" w:sz="0" w:space="0" w:color="auto"/>
                <w:right w:val="none" w:sz="0" w:space="0" w:color="auto"/>
              </w:divBdr>
              <w:divsChild>
                <w:div w:id="560290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3834406">
      <w:bodyDiv w:val="1"/>
      <w:marLeft w:val="0"/>
      <w:marRight w:val="0"/>
      <w:marTop w:val="0"/>
      <w:marBottom w:val="0"/>
      <w:divBdr>
        <w:top w:val="none" w:sz="0" w:space="0" w:color="auto"/>
        <w:left w:val="none" w:sz="0" w:space="0" w:color="auto"/>
        <w:bottom w:val="none" w:sz="0" w:space="0" w:color="auto"/>
        <w:right w:val="none" w:sz="0" w:space="0" w:color="auto"/>
      </w:divBdr>
      <w:divsChild>
        <w:div w:id="898706775">
          <w:marLeft w:val="0"/>
          <w:marRight w:val="0"/>
          <w:marTop w:val="0"/>
          <w:marBottom w:val="0"/>
          <w:divBdr>
            <w:top w:val="none" w:sz="0" w:space="0" w:color="auto"/>
            <w:left w:val="none" w:sz="0" w:space="0" w:color="auto"/>
            <w:bottom w:val="none" w:sz="0" w:space="0" w:color="auto"/>
            <w:right w:val="none" w:sz="0" w:space="0" w:color="auto"/>
          </w:divBdr>
          <w:divsChild>
            <w:div w:id="803155569">
              <w:marLeft w:val="0"/>
              <w:marRight w:val="0"/>
              <w:marTop w:val="0"/>
              <w:marBottom w:val="0"/>
              <w:divBdr>
                <w:top w:val="none" w:sz="0" w:space="0" w:color="auto"/>
                <w:left w:val="none" w:sz="0" w:space="0" w:color="auto"/>
                <w:bottom w:val="none" w:sz="0" w:space="0" w:color="auto"/>
                <w:right w:val="none" w:sz="0" w:space="0" w:color="auto"/>
              </w:divBdr>
              <w:divsChild>
                <w:div w:id="1294359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6431738">
      <w:bodyDiv w:val="1"/>
      <w:marLeft w:val="0"/>
      <w:marRight w:val="0"/>
      <w:marTop w:val="0"/>
      <w:marBottom w:val="0"/>
      <w:divBdr>
        <w:top w:val="none" w:sz="0" w:space="0" w:color="auto"/>
        <w:left w:val="none" w:sz="0" w:space="0" w:color="auto"/>
        <w:bottom w:val="none" w:sz="0" w:space="0" w:color="auto"/>
        <w:right w:val="none" w:sz="0" w:space="0" w:color="auto"/>
      </w:divBdr>
    </w:div>
    <w:div w:id="1931743113">
      <w:bodyDiv w:val="1"/>
      <w:marLeft w:val="0"/>
      <w:marRight w:val="0"/>
      <w:marTop w:val="0"/>
      <w:marBottom w:val="0"/>
      <w:divBdr>
        <w:top w:val="none" w:sz="0" w:space="0" w:color="auto"/>
        <w:left w:val="none" w:sz="0" w:space="0" w:color="auto"/>
        <w:bottom w:val="none" w:sz="0" w:space="0" w:color="auto"/>
        <w:right w:val="none" w:sz="0" w:space="0" w:color="auto"/>
      </w:divBdr>
    </w:div>
    <w:div w:id="1940791469">
      <w:bodyDiv w:val="1"/>
      <w:marLeft w:val="0"/>
      <w:marRight w:val="0"/>
      <w:marTop w:val="0"/>
      <w:marBottom w:val="0"/>
      <w:divBdr>
        <w:top w:val="none" w:sz="0" w:space="0" w:color="auto"/>
        <w:left w:val="none" w:sz="0" w:space="0" w:color="auto"/>
        <w:bottom w:val="none" w:sz="0" w:space="0" w:color="auto"/>
        <w:right w:val="none" w:sz="0" w:space="0" w:color="auto"/>
      </w:divBdr>
      <w:divsChild>
        <w:div w:id="1909462337">
          <w:marLeft w:val="0"/>
          <w:marRight w:val="0"/>
          <w:marTop w:val="0"/>
          <w:marBottom w:val="0"/>
          <w:divBdr>
            <w:top w:val="none" w:sz="0" w:space="0" w:color="auto"/>
            <w:left w:val="none" w:sz="0" w:space="0" w:color="auto"/>
            <w:bottom w:val="none" w:sz="0" w:space="0" w:color="auto"/>
            <w:right w:val="none" w:sz="0" w:space="0" w:color="auto"/>
          </w:divBdr>
          <w:divsChild>
            <w:div w:id="302079412">
              <w:marLeft w:val="0"/>
              <w:marRight w:val="0"/>
              <w:marTop w:val="0"/>
              <w:marBottom w:val="0"/>
              <w:divBdr>
                <w:top w:val="none" w:sz="0" w:space="0" w:color="auto"/>
                <w:left w:val="none" w:sz="0" w:space="0" w:color="auto"/>
                <w:bottom w:val="none" w:sz="0" w:space="0" w:color="auto"/>
                <w:right w:val="none" w:sz="0" w:space="0" w:color="auto"/>
              </w:divBdr>
              <w:divsChild>
                <w:div w:id="1021318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2445394">
      <w:bodyDiv w:val="1"/>
      <w:marLeft w:val="0"/>
      <w:marRight w:val="0"/>
      <w:marTop w:val="0"/>
      <w:marBottom w:val="0"/>
      <w:divBdr>
        <w:top w:val="none" w:sz="0" w:space="0" w:color="auto"/>
        <w:left w:val="none" w:sz="0" w:space="0" w:color="auto"/>
        <w:bottom w:val="none" w:sz="0" w:space="0" w:color="auto"/>
        <w:right w:val="none" w:sz="0" w:space="0" w:color="auto"/>
      </w:divBdr>
    </w:div>
    <w:div w:id="1955595988">
      <w:bodyDiv w:val="1"/>
      <w:marLeft w:val="0"/>
      <w:marRight w:val="0"/>
      <w:marTop w:val="0"/>
      <w:marBottom w:val="0"/>
      <w:divBdr>
        <w:top w:val="none" w:sz="0" w:space="0" w:color="auto"/>
        <w:left w:val="none" w:sz="0" w:space="0" w:color="auto"/>
        <w:bottom w:val="none" w:sz="0" w:space="0" w:color="auto"/>
        <w:right w:val="none" w:sz="0" w:space="0" w:color="auto"/>
      </w:divBdr>
    </w:div>
    <w:div w:id="1962177680">
      <w:bodyDiv w:val="1"/>
      <w:marLeft w:val="0"/>
      <w:marRight w:val="0"/>
      <w:marTop w:val="0"/>
      <w:marBottom w:val="0"/>
      <w:divBdr>
        <w:top w:val="none" w:sz="0" w:space="0" w:color="auto"/>
        <w:left w:val="none" w:sz="0" w:space="0" w:color="auto"/>
        <w:bottom w:val="none" w:sz="0" w:space="0" w:color="auto"/>
        <w:right w:val="none" w:sz="0" w:space="0" w:color="auto"/>
      </w:divBdr>
    </w:div>
    <w:div w:id="1963994012">
      <w:bodyDiv w:val="1"/>
      <w:marLeft w:val="0"/>
      <w:marRight w:val="0"/>
      <w:marTop w:val="0"/>
      <w:marBottom w:val="0"/>
      <w:divBdr>
        <w:top w:val="none" w:sz="0" w:space="0" w:color="auto"/>
        <w:left w:val="none" w:sz="0" w:space="0" w:color="auto"/>
        <w:bottom w:val="none" w:sz="0" w:space="0" w:color="auto"/>
        <w:right w:val="none" w:sz="0" w:space="0" w:color="auto"/>
      </w:divBdr>
      <w:divsChild>
        <w:div w:id="784808643">
          <w:marLeft w:val="0"/>
          <w:marRight w:val="0"/>
          <w:marTop w:val="0"/>
          <w:marBottom w:val="0"/>
          <w:divBdr>
            <w:top w:val="none" w:sz="0" w:space="0" w:color="auto"/>
            <w:left w:val="none" w:sz="0" w:space="0" w:color="auto"/>
            <w:bottom w:val="none" w:sz="0" w:space="0" w:color="auto"/>
            <w:right w:val="none" w:sz="0" w:space="0" w:color="auto"/>
          </w:divBdr>
          <w:divsChild>
            <w:div w:id="1482497868">
              <w:marLeft w:val="0"/>
              <w:marRight w:val="0"/>
              <w:marTop w:val="0"/>
              <w:marBottom w:val="0"/>
              <w:divBdr>
                <w:top w:val="none" w:sz="0" w:space="0" w:color="auto"/>
                <w:left w:val="none" w:sz="0" w:space="0" w:color="auto"/>
                <w:bottom w:val="none" w:sz="0" w:space="0" w:color="auto"/>
                <w:right w:val="none" w:sz="0" w:space="0" w:color="auto"/>
              </w:divBdr>
              <w:divsChild>
                <w:div w:id="80373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112946">
      <w:bodyDiv w:val="1"/>
      <w:marLeft w:val="0"/>
      <w:marRight w:val="0"/>
      <w:marTop w:val="0"/>
      <w:marBottom w:val="0"/>
      <w:divBdr>
        <w:top w:val="none" w:sz="0" w:space="0" w:color="auto"/>
        <w:left w:val="none" w:sz="0" w:space="0" w:color="auto"/>
        <w:bottom w:val="none" w:sz="0" w:space="0" w:color="auto"/>
        <w:right w:val="none" w:sz="0" w:space="0" w:color="auto"/>
      </w:divBdr>
    </w:div>
    <w:div w:id="1981643471">
      <w:bodyDiv w:val="1"/>
      <w:marLeft w:val="0"/>
      <w:marRight w:val="0"/>
      <w:marTop w:val="0"/>
      <w:marBottom w:val="0"/>
      <w:divBdr>
        <w:top w:val="none" w:sz="0" w:space="0" w:color="auto"/>
        <w:left w:val="none" w:sz="0" w:space="0" w:color="auto"/>
        <w:bottom w:val="none" w:sz="0" w:space="0" w:color="auto"/>
        <w:right w:val="none" w:sz="0" w:space="0" w:color="auto"/>
      </w:divBdr>
      <w:divsChild>
        <w:div w:id="640890820">
          <w:marLeft w:val="0"/>
          <w:marRight w:val="0"/>
          <w:marTop w:val="0"/>
          <w:marBottom w:val="0"/>
          <w:divBdr>
            <w:top w:val="none" w:sz="0" w:space="0" w:color="auto"/>
            <w:left w:val="none" w:sz="0" w:space="0" w:color="auto"/>
            <w:bottom w:val="none" w:sz="0" w:space="0" w:color="auto"/>
            <w:right w:val="none" w:sz="0" w:space="0" w:color="auto"/>
          </w:divBdr>
          <w:divsChild>
            <w:div w:id="94329887">
              <w:marLeft w:val="0"/>
              <w:marRight w:val="0"/>
              <w:marTop w:val="0"/>
              <w:marBottom w:val="0"/>
              <w:divBdr>
                <w:top w:val="none" w:sz="0" w:space="0" w:color="auto"/>
                <w:left w:val="none" w:sz="0" w:space="0" w:color="auto"/>
                <w:bottom w:val="none" w:sz="0" w:space="0" w:color="auto"/>
                <w:right w:val="none" w:sz="0" w:space="0" w:color="auto"/>
              </w:divBdr>
              <w:divsChild>
                <w:div w:id="1114062108">
                  <w:marLeft w:val="0"/>
                  <w:marRight w:val="0"/>
                  <w:marTop w:val="0"/>
                  <w:marBottom w:val="0"/>
                  <w:divBdr>
                    <w:top w:val="none" w:sz="0" w:space="0" w:color="auto"/>
                    <w:left w:val="none" w:sz="0" w:space="0" w:color="auto"/>
                    <w:bottom w:val="none" w:sz="0" w:space="0" w:color="auto"/>
                    <w:right w:val="none" w:sz="0" w:space="0" w:color="auto"/>
                  </w:divBdr>
                  <w:divsChild>
                    <w:div w:id="1531644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2267032">
      <w:bodyDiv w:val="1"/>
      <w:marLeft w:val="0"/>
      <w:marRight w:val="0"/>
      <w:marTop w:val="0"/>
      <w:marBottom w:val="0"/>
      <w:divBdr>
        <w:top w:val="none" w:sz="0" w:space="0" w:color="auto"/>
        <w:left w:val="none" w:sz="0" w:space="0" w:color="auto"/>
        <w:bottom w:val="none" w:sz="0" w:space="0" w:color="auto"/>
        <w:right w:val="none" w:sz="0" w:space="0" w:color="auto"/>
      </w:divBdr>
      <w:divsChild>
        <w:div w:id="322390568">
          <w:marLeft w:val="0"/>
          <w:marRight w:val="0"/>
          <w:marTop w:val="0"/>
          <w:marBottom w:val="0"/>
          <w:divBdr>
            <w:top w:val="none" w:sz="0" w:space="0" w:color="auto"/>
            <w:left w:val="none" w:sz="0" w:space="0" w:color="auto"/>
            <w:bottom w:val="none" w:sz="0" w:space="0" w:color="auto"/>
            <w:right w:val="none" w:sz="0" w:space="0" w:color="auto"/>
          </w:divBdr>
          <w:divsChild>
            <w:div w:id="1548882365">
              <w:marLeft w:val="0"/>
              <w:marRight w:val="0"/>
              <w:marTop w:val="0"/>
              <w:marBottom w:val="0"/>
              <w:divBdr>
                <w:top w:val="none" w:sz="0" w:space="0" w:color="auto"/>
                <w:left w:val="none" w:sz="0" w:space="0" w:color="auto"/>
                <w:bottom w:val="none" w:sz="0" w:space="0" w:color="auto"/>
                <w:right w:val="none" w:sz="0" w:space="0" w:color="auto"/>
              </w:divBdr>
              <w:divsChild>
                <w:div w:id="464782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663635">
      <w:bodyDiv w:val="1"/>
      <w:marLeft w:val="0"/>
      <w:marRight w:val="0"/>
      <w:marTop w:val="0"/>
      <w:marBottom w:val="0"/>
      <w:divBdr>
        <w:top w:val="none" w:sz="0" w:space="0" w:color="auto"/>
        <w:left w:val="none" w:sz="0" w:space="0" w:color="auto"/>
        <w:bottom w:val="none" w:sz="0" w:space="0" w:color="auto"/>
        <w:right w:val="none" w:sz="0" w:space="0" w:color="auto"/>
      </w:divBdr>
    </w:div>
    <w:div w:id="2091585962">
      <w:bodyDiv w:val="1"/>
      <w:marLeft w:val="0"/>
      <w:marRight w:val="0"/>
      <w:marTop w:val="0"/>
      <w:marBottom w:val="0"/>
      <w:divBdr>
        <w:top w:val="none" w:sz="0" w:space="0" w:color="auto"/>
        <w:left w:val="none" w:sz="0" w:space="0" w:color="auto"/>
        <w:bottom w:val="none" w:sz="0" w:space="0" w:color="auto"/>
        <w:right w:val="none" w:sz="0" w:space="0" w:color="auto"/>
      </w:divBdr>
      <w:divsChild>
        <w:div w:id="1157957619">
          <w:marLeft w:val="0"/>
          <w:marRight w:val="0"/>
          <w:marTop w:val="0"/>
          <w:marBottom w:val="0"/>
          <w:divBdr>
            <w:top w:val="none" w:sz="0" w:space="0" w:color="auto"/>
            <w:left w:val="none" w:sz="0" w:space="0" w:color="auto"/>
            <w:bottom w:val="none" w:sz="0" w:space="0" w:color="auto"/>
            <w:right w:val="none" w:sz="0" w:space="0" w:color="auto"/>
          </w:divBdr>
          <w:divsChild>
            <w:div w:id="260728214">
              <w:marLeft w:val="0"/>
              <w:marRight w:val="0"/>
              <w:marTop w:val="0"/>
              <w:marBottom w:val="0"/>
              <w:divBdr>
                <w:top w:val="none" w:sz="0" w:space="0" w:color="auto"/>
                <w:left w:val="none" w:sz="0" w:space="0" w:color="auto"/>
                <w:bottom w:val="none" w:sz="0" w:space="0" w:color="auto"/>
                <w:right w:val="none" w:sz="0" w:space="0" w:color="auto"/>
              </w:divBdr>
              <w:divsChild>
                <w:div w:id="148985789">
                  <w:marLeft w:val="0"/>
                  <w:marRight w:val="0"/>
                  <w:marTop w:val="0"/>
                  <w:marBottom w:val="0"/>
                  <w:divBdr>
                    <w:top w:val="none" w:sz="0" w:space="0" w:color="auto"/>
                    <w:left w:val="none" w:sz="0" w:space="0" w:color="auto"/>
                    <w:bottom w:val="none" w:sz="0" w:space="0" w:color="auto"/>
                    <w:right w:val="none" w:sz="0" w:space="0" w:color="auto"/>
                  </w:divBdr>
                  <w:divsChild>
                    <w:div w:id="1434014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9421171">
      <w:bodyDiv w:val="1"/>
      <w:marLeft w:val="0"/>
      <w:marRight w:val="0"/>
      <w:marTop w:val="0"/>
      <w:marBottom w:val="0"/>
      <w:divBdr>
        <w:top w:val="none" w:sz="0" w:space="0" w:color="auto"/>
        <w:left w:val="none" w:sz="0" w:space="0" w:color="auto"/>
        <w:bottom w:val="none" w:sz="0" w:space="0" w:color="auto"/>
        <w:right w:val="none" w:sz="0" w:space="0" w:color="auto"/>
      </w:divBdr>
      <w:divsChild>
        <w:div w:id="239945042">
          <w:marLeft w:val="0"/>
          <w:marRight w:val="0"/>
          <w:marTop w:val="0"/>
          <w:marBottom w:val="0"/>
          <w:divBdr>
            <w:top w:val="none" w:sz="0" w:space="0" w:color="auto"/>
            <w:left w:val="none" w:sz="0" w:space="0" w:color="auto"/>
            <w:bottom w:val="none" w:sz="0" w:space="0" w:color="auto"/>
            <w:right w:val="none" w:sz="0" w:space="0" w:color="auto"/>
          </w:divBdr>
          <w:divsChild>
            <w:div w:id="53626361">
              <w:marLeft w:val="0"/>
              <w:marRight w:val="0"/>
              <w:marTop w:val="0"/>
              <w:marBottom w:val="0"/>
              <w:divBdr>
                <w:top w:val="none" w:sz="0" w:space="0" w:color="auto"/>
                <w:left w:val="none" w:sz="0" w:space="0" w:color="auto"/>
                <w:bottom w:val="none" w:sz="0" w:space="0" w:color="auto"/>
                <w:right w:val="none" w:sz="0" w:space="0" w:color="auto"/>
              </w:divBdr>
              <w:divsChild>
                <w:div w:id="777412331">
                  <w:marLeft w:val="0"/>
                  <w:marRight w:val="0"/>
                  <w:marTop w:val="0"/>
                  <w:marBottom w:val="0"/>
                  <w:divBdr>
                    <w:top w:val="none" w:sz="0" w:space="0" w:color="auto"/>
                    <w:left w:val="none" w:sz="0" w:space="0" w:color="auto"/>
                    <w:bottom w:val="none" w:sz="0" w:space="0" w:color="auto"/>
                    <w:right w:val="none" w:sz="0" w:space="0" w:color="auto"/>
                  </w:divBdr>
                  <w:divsChild>
                    <w:div w:id="1357853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6533194">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tersex.shadowreport.org/public/2024-CCPR-Iceland-NGO-Intersex-StopIGM.docx"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StopIGM.org"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Zwischengeschlecht.org/" TargetMode="External"/><Relationship Id="rId14" Type="http://schemas.openxmlformats.org/officeDocument/2006/relationships/header" Target="header2.xml"/><Relationship Id="rId22"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3" Type="http://schemas.openxmlformats.org/officeDocument/2006/relationships/hyperlink" Target="https://www.dfat.gov.au/international-relations/themes/human-rights/hrc-statements/45th-session-human-rights-council/joint-statement-led-austria-rights-intersex-persons" TargetMode="External"/><Relationship Id="rId18" Type="http://schemas.openxmlformats.org/officeDocument/2006/relationships/hyperlink" Target="https://uroweb.org/guidelines/endorsement/" TargetMode="External"/><Relationship Id="rId26" Type="http://schemas.openxmlformats.org/officeDocument/2006/relationships/hyperlink" Target="https://www.visir.is/g/2018180109940/audveldara-ad-greina-stulkur-en-drengi?fbclid=IwAR0-w4VLuwfSMJByTTAy5KnJNK6qpWE" TargetMode="External"/><Relationship Id="rId3" Type="http://schemas.openxmlformats.org/officeDocument/2006/relationships/hyperlink" Target="https://zwischengeschlecht.org/post/Statuten" TargetMode="External"/><Relationship Id="rId21" Type="http://schemas.openxmlformats.org/officeDocument/2006/relationships/hyperlink" Target="https://uroweb.org/guidelines/endorsement/" TargetMode="External"/><Relationship Id="rId34" Type="http://schemas.openxmlformats.org/officeDocument/2006/relationships/hyperlink" Target="https://www.althingi.is/altext/151/s/0022.html" TargetMode="External"/><Relationship Id="rId7" Type="http://schemas.openxmlformats.org/officeDocument/2006/relationships/hyperlink" Target="https://www.interfaceproject.org/transcript-kitty-anderson" TargetMode="External"/><Relationship Id="rId12" Type="http://schemas.openxmlformats.org/officeDocument/2006/relationships/hyperlink" Target="http://stop.genitalmutilation.org/post/IAD-2016-Soon-20-UN-Reprimands-for-Intersex-Genital-Mutilations" TargetMode="External"/><Relationship Id="rId17" Type="http://schemas.openxmlformats.org/officeDocument/2006/relationships/hyperlink" Target="https://intersex.shadowreport.org/public/2016-CEDAW-France-NGO-Zwischengeschlecht-Intersex-IGM.pdf" TargetMode="External"/><Relationship Id="rId25" Type="http://schemas.openxmlformats.org/officeDocument/2006/relationships/hyperlink" Target="https://www.landspitali.is/um-landspitala/fjolmidlatorg/frettir/stok-frett/2017/12/29/Nyburaskimun-fyrir-medfaeddum-nyrnahettuofvexti-hefst-1.-januar/" TargetMode="External"/><Relationship Id="rId33" Type="http://schemas.openxmlformats.org/officeDocument/2006/relationships/hyperlink" Target="https://www.government.is/library/04-Legislation/Act%20on%20Gender%20Autonomy%20No%2080_2019.pdf" TargetMode="External"/><Relationship Id="rId2" Type="http://schemas.openxmlformats.org/officeDocument/2006/relationships/hyperlink" Target="https://StopIGM.org" TargetMode="External"/><Relationship Id="rId16" Type="http://schemas.openxmlformats.org/officeDocument/2006/relationships/hyperlink" Target="https://undocs.org/A/HRC/55/L.9" TargetMode="External"/><Relationship Id="rId20" Type="http://schemas.openxmlformats.org/officeDocument/2006/relationships/hyperlink" Target="https://intersex.shadowreport.org/public/2016-CEDAW-France-NGO-Zwischengeschlecht-Intersex-IGM.pdf" TargetMode="External"/><Relationship Id="rId29" Type="http://schemas.openxmlformats.org/officeDocument/2006/relationships/hyperlink" Target="https://uroweb.org/guidelines/endorsement/" TargetMode="External"/><Relationship Id="rId1" Type="http://schemas.openxmlformats.org/officeDocument/2006/relationships/hyperlink" Target="https://Zwischengeschlecht.org/" TargetMode="External"/><Relationship Id="rId6" Type="http://schemas.openxmlformats.org/officeDocument/2006/relationships/hyperlink" Target="https://www.interfaceproject.org/kitty-anderson" TargetMode="External"/><Relationship Id="rId11" Type="http://schemas.openxmlformats.org/officeDocument/2006/relationships/hyperlink" Target="https://intersex.shadowreport.org/public/2022-CRC-Iceland-NGO-Intersex-StopIGM.pdf" TargetMode="External"/><Relationship Id="rId24" Type="http://schemas.openxmlformats.org/officeDocument/2006/relationships/hyperlink" Target="https://www.landspitali.is/default.aspx?pageid=deac0479-05aa-11e8-90f1-005056be0005" TargetMode="External"/><Relationship Id="rId32" Type="http://schemas.openxmlformats.org/officeDocument/2006/relationships/hyperlink" Target="https://www.landspitali.is/sjuklingar-adstandendur/fraedsluefni/hypospadias-of-stutt-thvagras/" TargetMode="External"/><Relationship Id="rId5" Type="http://schemas.openxmlformats.org/officeDocument/2006/relationships/hyperlink" Target="https://stopigm.org/post/IAD-2016-Soon-20-UN-Reprimands-for-Intersex-Genital-Mutilations" TargetMode="External"/><Relationship Id="rId15" Type="http://schemas.openxmlformats.org/officeDocument/2006/relationships/hyperlink" Target="https://finlandabroad.fi/web/geneve/current-affairs/-/asset_publisher/h5w4iTUJhNne/content/general-debate-item-8/384951" TargetMode="External"/><Relationship Id="rId23" Type="http://schemas.openxmlformats.org/officeDocument/2006/relationships/hyperlink" Target="https://www.espu.org/images/documents/ESPU_Open_Letter_to_COE_2018-01-26.pdf" TargetMode="External"/><Relationship Id="rId28" Type="http://schemas.openxmlformats.org/officeDocument/2006/relationships/hyperlink" Target="https://intersex.shadowreport.org/public/2016-CEDAW-France-NGO-Zwischengeschlecht-Intersex-IGM.pdf" TargetMode="External"/><Relationship Id="rId36" Type="http://schemas.openxmlformats.org/officeDocument/2006/relationships/hyperlink" Target="https://www.althingi.is/altext/151/s/0022.html" TargetMode="External"/><Relationship Id="rId10" Type="http://schemas.openxmlformats.org/officeDocument/2006/relationships/hyperlink" Target="http://intersex.shadowreport.org/public/2020-CRC-Iceland-NGO-Zwischengeschlecht-Intersex-IGM.pdf" TargetMode="External"/><Relationship Id="rId19" Type="http://schemas.openxmlformats.org/officeDocument/2006/relationships/hyperlink" Target="https://d56bochluxqnz.cloudfront.net/documents/full-guideline/EAU-Guidelines-on-Paediatric-Urology-2024.pdf" TargetMode="External"/><Relationship Id="rId31" Type="http://schemas.openxmlformats.org/officeDocument/2006/relationships/hyperlink" Target="https://www.landspitali.is/default.aspx?pageid=deac0479-05aa-11e8-90f1-005056be0005" TargetMode="External"/><Relationship Id="rId4" Type="http://schemas.openxmlformats.org/officeDocument/2006/relationships/hyperlink" Target="https://intersex.shadowreport.org" TargetMode="External"/><Relationship Id="rId9" Type="http://schemas.openxmlformats.org/officeDocument/2006/relationships/hyperlink" Target="https://intersex.samtokin78.is/" TargetMode="External"/><Relationship Id="rId14" Type="http://schemas.openxmlformats.org/officeDocument/2006/relationships/hyperlink" Target="https://www.bmeia.gv.at/oev-genf/speeches/alle/2021/10/united-nations-human-rights-council-48th-session-joint-statement-on-the-human-rights-of-intersex-persons/" TargetMode="External"/><Relationship Id="rId22" Type="http://schemas.openxmlformats.org/officeDocument/2006/relationships/hyperlink" Target="https://d56bochluxqnz.cloudfront.net/documents/full-guideline/EAU-Guidelines-on-Paediatric-Urology-2024.pdf" TargetMode="External"/><Relationship Id="rId27" Type="http://schemas.openxmlformats.org/officeDocument/2006/relationships/hyperlink" Target="https://dagmamma.is/audveldara-ad-greina-stulkur-en-drengi/" TargetMode="External"/><Relationship Id="rId30" Type="http://schemas.openxmlformats.org/officeDocument/2006/relationships/hyperlink" Target="https://d56bochluxqnz.cloudfront.net/documents/full-guideline/EAU-Guidelines-on-Paediatric-Urology-2024.pdf" TargetMode="External"/><Relationship Id="rId35" Type="http://schemas.openxmlformats.org/officeDocument/2006/relationships/hyperlink" Target="https://www.government.is/library/04-Legislation/Act%20on%20Gender%20Autonomy%20No%2080_2019.pdf" TargetMode="External"/><Relationship Id="rId8" Type="http://schemas.openxmlformats.org/officeDocument/2006/relationships/hyperlink" Target="https://gayiceland.is/2019/will-not-put-iceland-in-the-front-when-it-comes-to-lgbti-issues/" TargetMode="Externa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0" ma:contentTypeDescription="Create a new document." ma:contentTypeScope="" ma:versionID="c7473d22715c354a911c6e5ac56bedf7">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7353edd2849960c8a315ced5813ef6a6"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943678-373C-2341-A85D-CE7F37B3C72B}">
  <ds:schemaRefs>
    <ds:schemaRef ds:uri="http://schemas.openxmlformats.org/officeDocument/2006/bibliography"/>
  </ds:schemaRefs>
</ds:datastoreItem>
</file>

<file path=customXml/itemProps2.xml><?xml version="1.0" encoding="utf-8"?>
<ds:datastoreItem xmlns:ds="http://schemas.openxmlformats.org/officeDocument/2006/customXml" ds:itemID="{78F60E11-F38D-4952-867A-5B9A356970EE}"/>
</file>

<file path=customXml/itemProps3.xml><?xml version="1.0" encoding="utf-8"?>
<ds:datastoreItem xmlns:ds="http://schemas.openxmlformats.org/officeDocument/2006/customXml" ds:itemID="{F4D0A107-B7B2-4E19-BAF3-404503D3EA92}"/>
</file>

<file path=docProps/app.xml><?xml version="1.0" encoding="utf-8"?>
<Properties xmlns="http://schemas.openxmlformats.org/officeDocument/2006/extended-properties" xmlns:vt="http://schemas.openxmlformats.org/officeDocument/2006/docPropsVTypes">
  <Template>Normal.dotm</Template>
  <TotalTime>0</TotalTime>
  <Pages>17</Pages>
  <Words>5343</Words>
  <Characters>30993</Characters>
  <Application>Microsoft Office Word</Application>
  <DocSecurity>0</DocSecurity>
  <Lines>543</Lines>
  <Paragraphs>202</Paragraphs>
  <ScaleCrop>false</ScaleCrop>
  <HeadingPairs>
    <vt:vector size="2" baseType="variant">
      <vt:variant>
        <vt:lpstr>Titel</vt:lpstr>
      </vt:variant>
      <vt:variant>
        <vt:i4>1</vt:i4>
      </vt:variant>
    </vt:vector>
  </HeadingPairs>
  <TitlesOfParts>
    <vt:vector size="1" baseType="lpstr">
      <vt:lpstr>Intersex Genital Mutilation - CCPR Iceland NGO Report (for Session) 2024</vt:lpstr>
    </vt:vector>
  </TitlesOfParts>
  <Manager/>
  <Company/>
  <LinksUpToDate>false</LinksUpToDate>
  <CharactersWithSpaces>36134</CharactersWithSpaces>
  <SharedDoc>false</SharedDoc>
  <HyperlinkBase/>
  <HLinks>
    <vt:vector size="744" baseType="variant">
      <vt:variant>
        <vt:i4>1376269</vt:i4>
      </vt:variant>
      <vt:variant>
        <vt:i4>179</vt:i4>
      </vt:variant>
      <vt:variant>
        <vt:i4>0</vt:i4>
      </vt:variant>
      <vt:variant>
        <vt:i4>5</vt:i4>
      </vt:variant>
      <vt:variant>
        <vt:lpwstr/>
      </vt:variant>
      <vt:variant>
        <vt:lpwstr>_Toc485093590</vt:lpwstr>
      </vt:variant>
      <vt:variant>
        <vt:i4>1310724</vt:i4>
      </vt:variant>
      <vt:variant>
        <vt:i4>173</vt:i4>
      </vt:variant>
      <vt:variant>
        <vt:i4>0</vt:i4>
      </vt:variant>
      <vt:variant>
        <vt:i4>5</vt:i4>
      </vt:variant>
      <vt:variant>
        <vt:lpwstr/>
      </vt:variant>
      <vt:variant>
        <vt:lpwstr>_Toc485093589</vt:lpwstr>
      </vt:variant>
      <vt:variant>
        <vt:i4>1310725</vt:i4>
      </vt:variant>
      <vt:variant>
        <vt:i4>167</vt:i4>
      </vt:variant>
      <vt:variant>
        <vt:i4>0</vt:i4>
      </vt:variant>
      <vt:variant>
        <vt:i4>5</vt:i4>
      </vt:variant>
      <vt:variant>
        <vt:lpwstr/>
      </vt:variant>
      <vt:variant>
        <vt:lpwstr>_Toc485093588</vt:lpwstr>
      </vt:variant>
      <vt:variant>
        <vt:i4>1310730</vt:i4>
      </vt:variant>
      <vt:variant>
        <vt:i4>161</vt:i4>
      </vt:variant>
      <vt:variant>
        <vt:i4>0</vt:i4>
      </vt:variant>
      <vt:variant>
        <vt:i4>5</vt:i4>
      </vt:variant>
      <vt:variant>
        <vt:lpwstr/>
      </vt:variant>
      <vt:variant>
        <vt:lpwstr>_Toc485093587</vt:lpwstr>
      </vt:variant>
      <vt:variant>
        <vt:i4>1310731</vt:i4>
      </vt:variant>
      <vt:variant>
        <vt:i4>155</vt:i4>
      </vt:variant>
      <vt:variant>
        <vt:i4>0</vt:i4>
      </vt:variant>
      <vt:variant>
        <vt:i4>5</vt:i4>
      </vt:variant>
      <vt:variant>
        <vt:lpwstr/>
      </vt:variant>
      <vt:variant>
        <vt:lpwstr>_Toc485093586</vt:lpwstr>
      </vt:variant>
      <vt:variant>
        <vt:i4>1310728</vt:i4>
      </vt:variant>
      <vt:variant>
        <vt:i4>149</vt:i4>
      </vt:variant>
      <vt:variant>
        <vt:i4>0</vt:i4>
      </vt:variant>
      <vt:variant>
        <vt:i4>5</vt:i4>
      </vt:variant>
      <vt:variant>
        <vt:lpwstr/>
      </vt:variant>
      <vt:variant>
        <vt:lpwstr>_Toc485093585</vt:lpwstr>
      </vt:variant>
      <vt:variant>
        <vt:i4>1310729</vt:i4>
      </vt:variant>
      <vt:variant>
        <vt:i4>143</vt:i4>
      </vt:variant>
      <vt:variant>
        <vt:i4>0</vt:i4>
      </vt:variant>
      <vt:variant>
        <vt:i4>5</vt:i4>
      </vt:variant>
      <vt:variant>
        <vt:lpwstr/>
      </vt:variant>
      <vt:variant>
        <vt:lpwstr>_Toc485093584</vt:lpwstr>
      </vt:variant>
      <vt:variant>
        <vt:i4>1310734</vt:i4>
      </vt:variant>
      <vt:variant>
        <vt:i4>137</vt:i4>
      </vt:variant>
      <vt:variant>
        <vt:i4>0</vt:i4>
      </vt:variant>
      <vt:variant>
        <vt:i4>5</vt:i4>
      </vt:variant>
      <vt:variant>
        <vt:lpwstr/>
      </vt:variant>
      <vt:variant>
        <vt:lpwstr>_Toc485093583</vt:lpwstr>
      </vt:variant>
      <vt:variant>
        <vt:i4>1310735</vt:i4>
      </vt:variant>
      <vt:variant>
        <vt:i4>131</vt:i4>
      </vt:variant>
      <vt:variant>
        <vt:i4>0</vt:i4>
      </vt:variant>
      <vt:variant>
        <vt:i4>5</vt:i4>
      </vt:variant>
      <vt:variant>
        <vt:lpwstr/>
      </vt:variant>
      <vt:variant>
        <vt:lpwstr>_Toc485093582</vt:lpwstr>
      </vt:variant>
      <vt:variant>
        <vt:i4>1310732</vt:i4>
      </vt:variant>
      <vt:variant>
        <vt:i4>125</vt:i4>
      </vt:variant>
      <vt:variant>
        <vt:i4>0</vt:i4>
      </vt:variant>
      <vt:variant>
        <vt:i4>5</vt:i4>
      </vt:variant>
      <vt:variant>
        <vt:lpwstr/>
      </vt:variant>
      <vt:variant>
        <vt:lpwstr>_Toc485093581</vt:lpwstr>
      </vt:variant>
      <vt:variant>
        <vt:i4>1310733</vt:i4>
      </vt:variant>
      <vt:variant>
        <vt:i4>119</vt:i4>
      </vt:variant>
      <vt:variant>
        <vt:i4>0</vt:i4>
      </vt:variant>
      <vt:variant>
        <vt:i4>5</vt:i4>
      </vt:variant>
      <vt:variant>
        <vt:lpwstr/>
      </vt:variant>
      <vt:variant>
        <vt:lpwstr>_Toc485093580</vt:lpwstr>
      </vt:variant>
      <vt:variant>
        <vt:i4>1769476</vt:i4>
      </vt:variant>
      <vt:variant>
        <vt:i4>113</vt:i4>
      </vt:variant>
      <vt:variant>
        <vt:i4>0</vt:i4>
      </vt:variant>
      <vt:variant>
        <vt:i4>5</vt:i4>
      </vt:variant>
      <vt:variant>
        <vt:lpwstr/>
      </vt:variant>
      <vt:variant>
        <vt:lpwstr>_Toc485093579</vt:lpwstr>
      </vt:variant>
      <vt:variant>
        <vt:i4>1769477</vt:i4>
      </vt:variant>
      <vt:variant>
        <vt:i4>107</vt:i4>
      </vt:variant>
      <vt:variant>
        <vt:i4>0</vt:i4>
      </vt:variant>
      <vt:variant>
        <vt:i4>5</vt:i4>
      </vt:variant>
      <vt:variant>
        <vt:lpwstr/>
      </vt:variant>
      <vt:variant>
        <vt:lpwstr>_Toc485093578</vt:lpwstr>
      </vt:variant>
      <vt:variant>
        <vt:i4>1769482</vt:i4>
      </vt:variant>
      <vt:variant>
        <vt:i4>101</vt:i4>
      </vt:variant>
      <vt:variant>
        <vt:i4>0</vt:i4>
      </vt:variant>
      <vt:variant>
        <vt:i4>5</vt:i4>
      </vt:variant>
      <vt:variant>
        <vt:lpwstr/>
      </vt:variant>
      <vt:variant>
        <vt:lpwstr>_Toc485093577</vt:lpwstr>
      </vt:variant>
      <vt:variant>
        <vt:i4>1769483</vt:i4>
      </vt:variant>
      <vt:variant>
        <vt:i4>95</vt:i4>
      </vt:variant>
      <vt:variant>
        <vt:i4>0</vt:i4>
      </vt:variant>
      <vt:variant>
        <vt:i4>5</vt:i4>
      </vt:variant>
      <vt:variant>
        <vt:lpwstr/>
      </vt:variant>
      <vt:variant>
        <vt:lpwstr>_Toc485093576</vt:lpwstr>
      </vt:variant>
      <vt:variant>
        <vt:i4>1769480</vt:i4>
      </vt:variant>
      <vt:variant>
        <vt:i4>89</vt:i4>
      </vt:variant>
      <vt:variant>
        <vt:i4>0</vt:i4>
      </vt:variant>
      <vt:variant>
        <vt:i4>5</vt:i4>
      </vt:variant>
      <vt:variant>
        <vt:lpwstr/>
      </vt:variant>
      <vt:variant>
        <vt:lpwstr>_Toc485093575</vt:lpwstr>
      </vt:variant>
      <vt:variant>
        <vt:i4>1769481</vt:i4>
      </vt:variant>
      <vt:variant>
        <vt:i4>83</vt:i4>
      </vt:variant>
      <vt:variant>
        <vt:i4>0</vt:i4>
      </vt:variant>
      <vt:variant>
        <vt:i4>5</vt:i4>
      </vt:variant>
      <vt:variant>
        <vt:lpwstr/>
      </vt:variant>
      <vt:variant>
        <vt:lpwstr>_Toc485093574</vt:lpwstr>
      </vt:variant>
      <vt:variant>
        <vt:i4>1769486</vt:i4>
      </vt:variant>
      <vt:variant>
        <vt:i4>77</vt:i4>
      </vt:variant>
      <vt:variant>
        <vt:i4>0</vt:i4>
      </vt:variant>
      <vt:variant>
        <vt:i4>5</vt:i4>
      </vt:variant>
      <vt:variant>
        <vt:lpwstr/>
      </vt:variant>
      <vt:variant>
        <vt:lpwstr>_Toc485093573</vt:lpwstr>
      </vt:variant>
      <vt:variant>
        <vt:i4>1769487</vt:i4>
      </vt:variant>
      <vt:variant>
        <vt:i4>71</vt:i4>
      </vt:variant>
      <vt:variant>
        <vt:i4>0</vt:i4>
      </vt:variant>
      <vt:variant>
        <vt:i4>5</vt:i4>
      </vt:variant>
      <vt:variant>
        <vt:lpwstr/>
      </vt:variant>
      <vt:variant>
        <vt:lpwstr>_Toc485093572</vt:lpwstr>
      </vt:variant>
      <vt:variant>
        <vt:i4>1769484</vt:i4>
      </vt:variant>
      <vt:variant>
        <vt:i4>65</vt:i4>
      </vt:variant>
      <vt:variant>
        <vt:i4>0</vt:i4>
      </vt:variant>
      <vt:variant>
        <vt:i4>5</vt:i4>
      </vt:variant>
      <vt:variant>
        <vt:lpwstr/>
      </vt:variant>
      <vt:variant>
        <vt:lpwstr>_Toc485093571</vt:lpwstr>
      </vt:variant>
      <vt:variant>
        <vt:i4>1769485</vt:i4>
      </vt:variant>
      <vt:variant>
        <vt:i4>59</vt:i4>
      </vt:variant>
      <vt:variant>
        <vt:i4>0</vt:i4>
      </vt:variant>
      <vt:variant>
        <vt:i4>5</vt:i4>
      </vt:variant>
      <vt:variant>
        <vt:lpwstr/>
      </vt:variant>
      <vt:variant>
        <vt:lpwstr>_Toc485093570</vt:lpwstr>
      </vt:variant>
      <vt:variant>
        <vt:i4>1703940</vt:i4>
      </vt:variant>
      <vt:variant>
        <vt:i4>53</vt:i4>
      </vt:variant>
      <vt:variant>
        <vt:i4>0</vt:i4>
      </vt:variant>
      <vt:variant>
        <vt:i4>5</vt:i4>
      </vt:variant>
      <vt:variant>
        <vt:lpwstr/>
      </vt:variant>
      <vt:variant>
        <vt:lpwstr>_Toc485093569</vt:lpwstr>
      </vt:variant>
      <vt:variant>
        <vt:i4>1703941</vt:i4>
      </vt:variant>
      <vt:variant>
        <vt:i4>47</vt:i4>
      </vt:variant>
      <vt:variant>
        <vt:i4>0</vt:i4>
      </vt:variant>
      <vt:variant>
        <vt:i4>5</vt:i4>
      </vt:variant>
      <vt:variant>
        <vt:lpwstr/>
      </vt:variant>
      <vt:variant>
        <vt:lpwstr>_Toc485093568</vt:lpwstr>
      </vt:variant>
      <vt:variant>
        <vt:i4>1703946</vt:i4>
      </vt:variant>
      <vt:variant>
        <vt:i4>41</vt:i4>
      </vt:variant>
      <vt:variant>
        <vt:i4>0</vt:i4>
      </vt:variant>
      <vt:variant>
        <vt:i4>5</vt:i4>
      </vt:variant>
      <vt:variant>
        <vt:lpwstr/>
      </vt:variant>
      <vt:variant>
        <vt:lpwstr>_Toc485093567</vt:lpwstr>
      </vt:variant>
      <vt:variant>
        <vt:i4>1703947</vt:i4>
      </vt:variant>
      <vt:variant>
        <vt:i4>35</vt:i4>
      </vt:variant>
      <vt:variant>
        <vt:i4>0</vt:i4>
      </vt:variant>
      <vt:variant>
        <vt:i4>5</vt:i4>
      </vt:variant>
      <vt:variant>
        <vt:lpwstr/>
      </vt:variant>
      <vt:variant>
        <vt:lpwstr>_Toc485093566</vt:lpwstr>
      </vt:variant>
      <vt:variant>
        <vt:i4>1703944</vt:i4>
      </vt:variant>
      <vt:variant>
        <vt:i4>29</vt:i4>
      </vt:variant>
      <vt:variant>
        <vt:i4>0</vt:i4>
      </vt:variant>
      <vt:variant>
        <vt:i4>5</vt:i4>
      </vt:variant>
      <vt:variant>
        <vt:lpwstr/>
      </vt:variant>
      <vt:variant>
        <vt:lpwstr>_Toc485093565</vt:lpwstr>
      </vt:variant>
      <vt:variant>
        <vt:i4>1703945</vt:i4>
      </vt:variant>
      <vt:variant>
        <vt:i4>23</vt:i4>
      </vt:variant>
      <vt:variant>
        <vt:i4>0</vt:i4>
      </vt:variant>
      <vt:variant>
        <vt:i4>5</vt:i4>
      </vt:variant>
      <vt:variant>
        <vt:lpwstr/>
      </vt:variant>
      <vt:variant>
        <vt:lpwstr>_Toc485093564</vt:lpwstr>
      </vt:variant>
      <vt:variant>
        <vt:i4>1703950</vt:i4>
      </vt:variant>
      <vt:variant>
        <vt:i4>17</vt:i4>
      </vt:variant>
      <vt:variant>
        <vt:i4>0</vt:i4>
      </vt:variant>
      <vt:variant>
        <vt:i4>5</vt:i4>
      </vt:variant>
      <vt:variant>
        <vt:lpwstr/>
      </vt:variant>
      <vt:variant>
        <vt:lpwstr>_Toc485093563</vt:lpwstr>
      </vt:variant>
      <vt:variant>
        <vt:i4>1703951</vt:i4>
      </vt:variant>
      <vt:variant>
        <vt:i4>11</vt:i4>
      </vt:variant>
      <vt:variant>
        <vt:i4>0</vt:i4>
      </vt:variant>
      <vt:variant>
        <vt:i4>5</vt:i4>
      </vt:variant>
      <vt:variant>
        <vt:lpwstr/>
      </vt:variant>
      <vt:variant>
        <vt:lpwstr>_Toc485093562</vt:lpwstr>
      </vt:variant>
      <vt:variant>
        <vt:i4>655360</vt:i4>
      </vt:variant>
      <vt:variant>
        <vt:i4>6</vt:i4>
      </vt:variant>
      <vt:variant>
        <vt:i4>0</vt:i4>
      </vt:variant>
      <vt:variant>
        <vt:i4>5</vt:i4>
      </vt:variant>
      <vt:variant>
        <vt:lpwstr>http://intersex.shadowreport.org/public/2017-CEDAW-Italy-NGO-Zwischengeschlecht-Intersex-IGM.pdf</vt:lpwstr>
      </vt:variant>
      <vt:variant>
        <vt:lpwstr/>
      </vt:variant>
      <vt:variant>
        <vt:i4>3866649</vt:i4>
      </vt:variant>
      <vt:variant>
        <vt:i4>3</vt:i4>
      </vt:variant>
      <vt:variant>
        <vt:i4>0</vt:i4>
      </vt:variant>
      <vt:variant>
        <vt:i4>5</vt:i4>
      </vt:variant>
      <vt:variant>
        <vt:lpwstr>http://StopIGM.org/</vt:lpwstr>
      </vt:variant>
      <vt:variant>
        <vt:lpwstr/>
      </vt:variant>
      <vt:variant>
        <vt:i4>3932286</vt:i4>
      </vt:variant>
      <vt:variant>
        <vt:i4>0</vt:i4>
      </vt:variant>
      <vt:variant>
        <vt:i4>0</vt:i4>
      </vt:variant>
      <vt:variant>
        <vt:i4>5</vt:i4>
      </vt:variant>
      <vt:variant>
        <vt:lpwstr>http://Zwischengeschlecht.org/</vt:lpwstr>
      </vt:variant>
      <vt:variant>
        <vt:lpwstr/>
      </vt:variant>
      <vt:variant>
        <vt:i4>4915291</vt:i4>
      </vt:variant>
      <vt:variant>
        <vt:i4>261</vt:i4>
      </vt:variant>
      <vt:variant>
        <vt:i4>0</vt:i4>
      </vt:variant>
      <vt:variant>
        <vt:i4>5</vt:i4>
      </vt:variant>
      <vt:variant>
        <vt:lpwstr>http://intersex.shadowreport.org/public/2014-CRC-Swiss-NGO-Zwischengeschlecht-Intersex-IGM_v2.pdf</vt:lpwstr>
      </vt:variant>
      <vt:variant>
        <vt:lpwstr/>
      </vt:variant>
      <vt:variant>
        <vt:i4>7209050</vt:i4>
      </vt:variant>
      <vt:variant>
        <vt:i4>258</vt:i4>
      </vt:variant>
      <vt:variant>
        <vt:i4>0</vt:i4>
      </vt:variant>
      <vt:variant>
        <vt:i4>5</vt:i4>
      </vt:variant>
      <vt:variant>
        <vt:lpwstr>https://www.sip.it/wp-content/uploads/2016/06/03_Frontiere.pdf</vt:lpwstr>
      </vt:variant>
      <vt:variant>
        <vt:lpwstr/>
      </vt:variant>
      <vt:variant>
        <vt:i4>5963791</vt:i4>
      </vt:variant>
      <vt:variant>
        <vt:i4>255</vt:i4>
      </vt:variant>
      <vt:variant>
        <vt:i4>0</vt:i4>
      </vt:variant>
      <vt:variant>
        <vt:i4>5</vt:i4>
      </vt:variant>
      <vt:variant>
        <vt:lpwstr>https://www.medicoebambino.com/?id=0505_293.pdf</vt:lpwstr>
      </vt:variant>
      <vt:variant>
        <vt:lpwstr/>
      </vt:variant>
      <vt:variant>
        <vt:i4>3670128</vt:i4>
      </vt:variant>
      <vt:variant>
        <vt:i4>252</vt:i4>
      </vt:variant>
      <vt:variant>
        <vt:i4>0</vt:i4>
      </vt:variant>
      <vt:variant>
        <vt:i4>5</vt:i4>
      </vt:variant>
      <vt:variant>
        <vt:lpwstr>http://www.salute.gov.it/imgs/C_17_pubblicazioni_2573_allegato.pdf</vt:lpwstr>
      </vt:variant>
      <vt:variant>
        <vt:lpwstr/>
      </vt:variant>
      <vt:variant>
        <vt:i4>1572873</vt:i4>
      </vt:variant>
      <vt:variant>
        <vt:i4>249</vt:i4>
      </vt:variant>
      <vt:variant>
        <vt:i4>0</vt:i4>
      </vt:variant>
      <vt:variant>
        <vt:i4>5</vt:i4>
      </vt:variant>
      <vt:variant>
        <vt:lpwstr>http://www.ospedalebambinogesu.it/ipospadia?inheritRedirect=true</vt:lpwstr>
      </vt:variant>
      <vt:variant>
        <vt:lpwstr/>
      </vt:variant>
      <vt:variant>
        <vt:i4>6094919</vt:i4>
      </vt:variant>
      <vt:variant>
        <vt:i4>246</vt:i4>
      </vt:variant>
      <vt:variant>
        <vt:i4>0</vt:i4>
      </vt:variant>
      <vt:variant>
        <vt:i4>5</vt:i4>
      </vt:variant>
      <vt:variant>
        <vt:lpwstr>https://www.researchgate.net/publication/8620545_Hypospadias_surgery_A_10-year_review</vt:lpwstr>
      </vt:variant>
      <vt:variant>
        <vt:lpwstr/>
      </vt:variant>
      <vt:variant>
        <vt:i4>3670128</vt:i4>
      </vt:variant>
      <vt:variant>
        <vt:i4>243</vt:i4>
      </vt:variant>
      <vt:variant>
        <vt:i4>0</vt:i4>
      </vt:variant>
      <vt:variant>
        <vt:i4>5</vt:i4>
      </vt:variant>
      <vt:variant>
        <vt:lpwstr>http://www.salute.gov.it/imgs/C_17_pubblicazioni_2573_allegato.pdf</vt:lpwstr>
      </vt:variant>
      <vt:variant>
        <vt:lpwstr/>
      </vt:variant>
      <vt:variant>
        <vt:i4>5636137</vt:i4>
      </vt:variant>
      <vt:variant>
        <vt:i4>240</vt:i4>
      </vt:variant>
      <vt:variant>
        <vt:i4>0</vt:i4>
      </vt:variant>
      <vt:variant>
        <vt:i4>5</vt:i4>
      </vt:variant>
      <vt:variant>
        <vt:lpwstr>http://intersex.shadowreport.org/public/2016-CEDAW-France-NGO-Zwischengeschlecht-Intersex-IGM.pdf</vt:lpwstr>
      </vt:variant>
      <vt:variant>
        <vt:lpwstr/>
      </vt:variant>
      <vt:variant>
        <vt:i4>5439560</vt:i4>
      </vt:variant>
      <vt:variant>
        <vt:i4>237</vt:i4>
      </vt:variant>
      <vt:variant>
        <vt:i4>0</vt:i4>
      </vt:variant>
      <vt:variant>
        <vt:i4>5</vt:i4>
      </vt:variant>
      <vt:variant>
        <vt:lpwstr>http://www.hsr.it/clinica/specialita-cliniche/urologia/urologia-san-raffaele/patologie-e-trattamenti/ambiguita-genitali/</vt:lpwstr>
      </vt:variant>
      <vt:variant>
        <vt:lpwstr/>
      </vt:variant>
      <vt:variant>
        <vt:i4>1769583</vt:i4>
      </vt:variant>
      <vt:variant>
        <vt:i4>234</vt:i4>
      </vt:variant>
      <vt:variant>
        <vt:i4>0</vt:i4>
      </vt:variant>
      <vt:variant>
        <vt:i4>5</vt:i4>
      </vt:variant>
      <vt:variant>
        <vt:lpwstr>https://www.ncbi.nlm.nih.gov/pmc/articles/PMC5177548/</vt:lpwstr>
      </vt:variant>
      <vt:variant>
        <vt:lpwstr/>
      </vt:variant>
      <vt:variant>
        <vt:i4>3866660</vt:i4>
      </vt:variant>
      <vt:variant>
        <vt:i4>231</vt:i4>
      </vt:variant>
      <vt:variant>
        <vt:i4>0</vt:i4>
      </vt:variant>
      <vt:variant>
        <vt:i4>5</vt:i4>
      </vt:variant>
      <vt:variant>
        <vt:lpwstr>http://www.jurology.com/article/S0022-5347(13)05090-8/fulltext</vt:lpwstr>
      </vt:variant>
      <vt:variant>
        <vt:lpwstr/>
      </vt:variant>
      <vt:variant>
        <vt:i4>4522072</vt:i4>
      </vt:variant>
      <vt:variant>
        <vt:i4>228</vt:i4>
      </vt:variant>
      <vt:variant>
        <vt:i4>0</vt:i4>
      </vt:variant>
      <vt:variant>
        <vt:i4>5</vt:i4>
      </vt:variant>
      <vt:variant>
        <vt:lpwstr>http://www.europeanurology.com/article/S0302-2838(07)00346-6/pdf</vt:lpwstr>
      </vt:variant>
      <vt:variant>
        <vt:lpwstr/>
      </vt:variant>
      <vt:variant>
        <vt:i4>7143511</vt:i4>
      </vt:variant>
      <vt:variant>
        <vt:i4>225</vt:i4>
      </vt:variant>
      <vt:variant>
        <vt:i4>0</vt:i4>
      </vt:variant>
      <vt:variant>
        <vt:i4>5</vt:i4>
      </vt:variant>
      <vt:variant>
        <vt:lpwstr>http://manuel241069.wixsite.com/adrenogenital/about</vt:lpwstr>
      </vt:variant>
      <vt:variant>
        <vt:lpwstr/>
      </vt:variant>
      <vt:variant>
        <vt:i4>6357058</vt:i4>
      </vt:variant>
      <vt:variant>
        <vt:i4>222</vt:i4>
      </vt:variant>
      <vt:variant>
        <vt:i4>0</vt:i4>
      </vt:variant>
      <vt:variant>
        <vt:i4>5</vt:i4>
      </vt:variant>
      <vt:variant>
        <vt:lpwstr>http://airisc.it/iperplasia_terapia.html</vt:lpwstr>
      </vt:variant>
      <vt:variant>
        <vt:lpwstr/>
      </vt:variant>
      <vt:variant>
        <vt:i4>3670128</vt:i4>
      </vt:variant>
      <vt:variant>
        <vt:i4>219</vt:i4>
      </vt:variant>
      <vt:variant>
        <vt:i4>0</vt:i4>
      </vt:variant>
      <vt:variant>
        <vt:i4>5</vt:i4>
      </vt:variant>
      <vt:variant>
        <vt:lpwstr>http://www.salute.gov.it/imgs/C_17_pubblicazioni_2573_allegato.pdf</vt:lpwstr>
      </vt:variant>
      <vt:variant>
        <vt:lpwstr/>
      </vt:variant>
      <vt:variant>
        <vt:i4>5636137</vt:i4>
      </vt:variant>
      <vt:variant>
        <vt:i4>216</vt:i4>
      </vt:variant>
      <vt:variant>
        <vt:i4>0</vt:i4>
      </vt:variant>
      <vt:variant>
        <vt:i4>5</vt:i4>
      </vt:variant>
      <vt:variant>
        <vt:lpwstr>http://intersex.shadowreport.org/public/2016-CEDAW-France-NGO-Zwischengeschlecht-Intersex-IGM.pdf</vt:lpwstr>
      </vt:variant>
      <vt:variant>
        <vt:lpwstr/>
      </vt:variant>
      <vt:variant>
        <vt:i4>5439560</vt:i4>
      </vt:variant>
      <vt:variant>
        <vt:i4>213</vt:i4>
      </vt:variant>
      <vt:variant>
        <vt:i4>0</vt:i4>
      </vt:variant>
      <vt:variant>
        <vt:i4>5</vt:i4>
      </vt:variant>
      <vt:variant>
        <vt:lpwstr>http://www.hsr.it/clinica/specialita-cliniche/urologia/urologia-san-raffaele/patologie-e-trattamenti/ambiguita-genitali/</vt:lpwstr>
      </vt:variant>
      <vt:variant>
        <vt:lpwstr/>
      </vt:variant>
      <vt:variant>
        <vt:i4>2097244</vt:i4>
      </vt:variant>
      <vt:variant>
        <vt:i4>210</vt:i4>
      </vt:variant>
      <vt:variant>
        <vt:i4>0</vt:i4>
      </vt:variant>
      <vt:variant>
        <vt:i4>5</vt:i4>
      </vt:variant>
      <vt:variant>
        <vt:lpwstr>https://www.hindawi.com/journals/criog/2014/808270/</vt:lpwstr>
      </vt:variant>
      <vt:variant>
        <vt:lpwstr/>
      </vt:variant>
      <vt:variant>
        <vt:i4>2621533</vt:i4>
      </vt:variant>
      <vt:variant>
        <vt:i4>207</vt:i4>
      </vt:variant>
      <vt:variant>
        <vt:i4>0</vt:i4>
      </vt:variant>
      <vt:variant>
        <vt:i4>5</vt:i4>
      </vt:variant>
      <vt:variant>
        <vt:lpwstr>https://www.hindawi.com/journals/criog/2014/285715/</vt:lpwstr>
      </vt:variant>
      <vt:variant>
        <vt:lpwstr/>
      </vt:variant>
      <vt:variant>
        <vt:i4>2162773</vt:i4>
      </vt:variant>
      <vt:variant>
        <vt:i4>204</vt:i4>
      </vt:variant>
      <vt:variant>
        <vt:i4>0</vt:i4>
      </vt:variant>
      <vt:variant>
        <vt:i4>5</vt:i4>
      </vt:variant>
      <vt:variant>
        <vt:lpwstr>https://www.hindawi.com/journals/criog/2013/232696/</vt:lpwstr>
      </vt:variant>
      <vt:variant>
        <vt:lpwstr/>
      </vt:variant>
      <vt:variant>
        <vt:i4>393337</vt:i4>
      </vt:variant>
      <vt:variant>
        <vt:i4>201</vt:i4>
      </vt:variant>
      <vt:variant>
        <vt:i4>0</vt:i4>
      </vt:variant>
      <vt:variant>
        <vt:i4>5</vt:i4>
      </vt:variant>
      <vt:variant>
        <vt:lpwstr>https://www.karger.com/Article/Pdf/442975</vt:lpwstr>
      </vt:variant>
      <vt:variant>
        <vt:lpwstr/>
      </vt:variant>
      <vt:variant>
        <vt:i4>5636137</vt:i4>
      </vt:variant>
      <vt:variant>
        <vt:i4>198</vt:i4>
      </vt:variant>
      <vt:variant>
        <vt:i4>0</vt:i4>
      </vt:variant>
      <vt:variant>
        <vt:i4>5</vt:i4>
      </vt:variant>
      <vt:variant>
        <vt:lpwstr>http://intersex.shadowreport.org/public/2016-CEDAW-France-NGO-Zwischengeschlecht-Intersex-IGM.pdf</vt:lpwstr>
      </vt:variant>
      <vt:variant>
        <vt:lpwstr/>
      </vt:variant>
      <vt:variant>
        <vt:i4>7340061</vt:i4>
      </vt:variant>
      <vt:variant>
        <vt:i4>195</vt:i4>
      </vt:variant>
      <vt:variant>
        <vt:i4>0</vt:i4>
      </vt:variant>
      <vt:variant>
        <vt:i4>5</vt:i4>
      </vt:variant>
      <vt:variant>
        <vt:lpwstr>http://www.aisia.org/document/nov_2012/pdf/9.pdf</vt:lpwstr>
      </vt:variant>
      <vt:variant>
        <vt:lpwstr/>
      </vt:variant>
      <vt:variant>
        <vt:i4>3670128</vt:i4>
      </vt:variant>
      <vt:variant>
        <vt:i4>192</vt:i4>
      </vt:variant>
      <vt:variant>
        <vt:i4>0</vt:i4>
      </vt:variant>
      <vt:variant>
        <vt:i4>5</vt:i4>
      </vt:variant>
      <vt:variant>
        <vt:lpwstr>http://www.salute.gov.it/imgs/C_17_pubblicazioni_2573_allegato.pdf</vt:lpwstr>
      </vt:variant>
      <vt:variant>
        <vt:lpwstr/>
      </vt:variant>
      <vt:variant>
        <vt:i4>1310764</vt:i4>
      </vt:variant>
      <vt:variant>
        <vt:i4>189</vt:i4>
      </vt:variant>
      <vt:variant>
        <vt:i4>0</vt:i4>
      </vt:variant>
      <vt:variant>
        <vt:i4>5</vt:i4>
      </vt:variant>
      <vt:variant>
        <vt:lpwstr>http://bioetica.governo.it/media/170698/p86_2010_disturbi_differenziazione-sessuale-minori_it.pdf</vt:lpwstr>
      </vt:variant>
      <vt:variant>
        <vt:lpwstr/>
      </vt:variant>
      <vt:variant>
        <vt:i4>4456539</vt:i4>
      </vt:variant>
      <vt:variant>
        <vt:i4>186</vt:i4>
      </vt:variant>
      <vt:variant>
        <vt:i4>0</vt:i4>
      </vt:variant>
      <vt:variant>
        <vt:i4>5</vt:i4>
      </vt:variant>
      <vt:variant>
        <vt:lpwstr>http://www.senato.it/japp/bgt/showdoc/frame.jsp?tipodoc=Sindisp&amp;leg=17&amp;id=991855</vt:lpwstr>
      </vt:variant>
      <vt:variant>
        <vt:lpwstr/>
      </vt:variant>
      <vt:variant>
        <vt:i4>1114237</vt:i4>
      </vt:variant>
      <vt:variant>
        <vt:i4>183</vt:i4>
      </vt:variant>
      <vt:variant>
        <vt:i4>0</vt:i4>
      </vt:variant>
      <vt:variant>
        <vt:i4>5</vt:i4>
      </vt:variant>
      <vt:variant>
        <vt:lpwstr>http://www.edizioniets.com/scheda.asp?n=9788846737328</vt:lpwstr>
      </vt:variant>
      <vt:variant>
        <vt:lpwstr/>
      </vt:variant>
      <vt:variant>
        <vt:i4>1572978</vt:i4>
      </vt:variant>
      <vt:variant>
        <vt:i4>180</vt:i4>
      </vt:variant>
      <vt:variant>
        <vt:i4>0</vt:i4>
      </vt:variant>
      <vt:variant>
        <vt:i4>5</vt:i4>
      </vt:variant>
      <vt:variant>
        <vt:lpwstr>http://amsdottorato.unibo.it/3282/1/Crocetti_Daniela_tesi.pdf</vt:lpwstr>
      </vt:variant>
      <vt:variant>
        <vt:lpwstr/>
      </vt:variant>
      <vt:variant>
        <vt:i4>2621504</vt:i4>
      </vt:variant>
      <vt:variant>
        <vt:i4>177</vt:i4>
      </vt:variant>
      <vt:variant>
        <vt:i4>0</vt:i4>
      </vt:variant>
      <vt:variant>
        <vt:i4>5</vt:i4>
      </vt:variant>
      <vt:variant>
        <vt:lpwstr>http://www.barinedita.it/storie-e-curiosita/n2865---intersex---nascere-sia-maschi-che-femmine--%C2%ABcostretti-a-mutilazioni-genitali%C2%BB</vt:lpwstr>
      </vt:variant>
      <vt:variant>
        <vt:lpwstr/>
      </vt:variant>
      <vt:variant>
        <vt:i4>458756</vt:i4>
      </vt:variant>
      <vt:variant>
        <vt:i4>174</vt:i4>
      </vt:variant>
      <vt:variant>
        <vt:i4>0</vt:i4>
      </vt:variant>
      <vt:variant>
        <vt:i4>5</vt:i4>
      </vt:variant>
      <vt:variant>
        <vt:lpwstr>http://www.pagina99.it/2016/11/05/storia-alessandro-comeni-intersessuale-intersex-no-gender/</vt:lpwstr>
      </vt:variant>
      <vt:variant>
        <vt:lpwstr/>
      </vt:variant>
      <vt:variant>
        <vt:i4>6553648</vt:i4>
      </vt:variant>
      <vt:variant>
        <vt:i4>171</vt:i4>
      </vt:variant>
      <vt:variant>
        <vt:i4>0</vt:i4>
      </vt:variant>
      <vt:variant>
        <vt:i4>5</vt:i4>
      </vt:variant>
      <vt:variant>
        <vt:lpwstr>http://www.npwj.org/sites/default/files/ressources/EN_BanFGMProgram_asdelivered_0.pdf</vt:lpwstr>
      </vt:variant>
      <vt:variant>
        <vt:lpwstr/>
      </vt:variant>
      <vt:variant>
        <vt:i4>4718681</vt:i4>
      </vt:variant>
      <vt:variant>
        <vt:i4>168</vt:i4>
      </vt:variant>
      <vt:variant>
        <vt:i4>0</vt:i4>
      </vt:variant>
      <vt:variant>
        <vt:i4>5</vt:i4>
      </vt:variant>
      <vt:variant>
        <vt:lpwstr>http://www.certidiritti.org/x-congresso/</vt:lpwstr>
      </vt:variant>
      <vt:variant>
        <vt:lpwstr/>
      </vt:variant>
      <vt:variant>
        <vt:i4>4325377</vt:i4>
      </vt:variant>
      <vt:variant>
        <vt:i4>165</vt:i4>
      </vt:variant>
      <vt:variant>
        <vt:i4>0</vt:i4>
      </vt:variant>
      <vt:variant>
        <vt:i4>5</vt:i4>
      </vt:variant>
      <vt:variant>
        <vt:lpwstr>http://www.altrapsicologia.it/wp-content/uploads/2016/04/InterSex-Padova.pdf</vt:lpwstr>
      </vt:variant>
      <vt:variant>
        <vt:lpwstr/>
      </vt:variant>
      <vt:variant>
        <vt:i4>4849734</vt:i4>
      </vt:variant>
      <vt:variant>
        <vt:i4>162</vt:i4>
      </vt:variant>
      <vt:variant>
        <vt:i4>0</vt:i4>
      </vt:variant>
      <vt:variant>
        <vt:i4>5</vt:i4>
      </vt:variant>
      <vt:variant>
        <vt:lpwstr>http://espresso.repubblica.it/attualita/cronaca/2013/09/19/news/noi-intersex-chiediamo-rispetto-1.134087</vt:lpwstr>
      </vt:variant>
      <vt:variant>
        <vt:lpwstr/>
      </vt:variant>
      <vt:variant>
        <vt:i4>1638486</vt:i4>
      </vt:variant>
      <vt:variant>
        <vt:i4>159</vt:i4>
      </vt:variant>
      <vt:variant>
        <vt:i4>0</vt:i4>
      </vt:variant>
      <vt:variant>
        <vt:i4>5</vt:i4>
      </vt:variant>
      <vt:variant>
        <vt:lpwstr>http://zwischengeschlecht.org/public/Open_Letter_9th-Joint-Meeting_2013.pdf</vt:lpwstr>
      </vt:variant>
      <vt:variant>
        <vt:lpwstr/>
      </vt:variant>
      <vt:variant>
        <vt:i4>8126477</vt:i4>
      </vt:variant>
      <vt:variant>
        <vt:i4>156</vt:i4>
      </vt:variant>
      <vt:variant>
        <vt:i4>0</vt:i4>
      </vt:variant>
      <vt:variant>
        <vt:i4>5</vt:i4>
      </vt:variant>
      <vt:variant>
        <vt:lpwstr>http://www.palermotoday.it/cronaca/policlinico-cambio-sesso-bambino-2-anni.html</vt:lpwstr>
      </vt:variant>
      <vt:variant>
        <vt:lpwstr/>
      </vt:variant>
      <vt:variant>
        <vt:i4>6619186</vt:i4>
      </vt:variant>
      <vt:variant>
        <vt:i4>153</vt:i4>
      </vt:variant>
      <vt:variant>
        <vt:i4>0</vt:i4>
      </vt:variant>
      <vt:variant>
        <vt:i4>5</vt:i4>
      </vt:variant>
      <vt:variant>
        <vt:lpwstr>http://web.archive.org/web/20140307005840/http://www.leggo.it/NEWS/ITALIA/boom_di_bimbi_con_sesso_quot_incerto_quot_a_roma_aumentano_del_50_per_cento/notizie/294638.shtml</vt:lpwstr>
      </vt:variant>
      <vt:variant>
        <vt:lpwstr/>
      </vt:variant>
      <vt:variant>
        <vt:i4>8060959</vt:i4>
      </vt:variant>
      <vt:variant>
        <vt:i4>150</vt:i4>
      </vt:variant>
      <vt:variant>
        <vt:i4>0</vt:i4>
      </vt:variant>
      <vt:variant>
        <vt:i4>5</vt:i4>
      </vt:variant>
      <vt:variant>
        <vt:lpwstr>http://roma.repubblica.it/cronaca/2013/06/20/news/san_camillo-forlanini_boom_degli_interventi_infantili_sul_sesso_incerto-61524659/</vt:lpwstr>
      </vt:variant>
      <vt:variant>
        <vt:lpwstr/>
      </vt:variant>
      <vt:variant>
        <vt:i4>5636137</vt:i4>
      </vt:variant>
      <vt:variant>
        <vt:i4>147</vt:i4>
      </vt:variant>
      <vt:variant>
        <vt:i4>0</vt:i4>
      </vt:variant>
      <vt:variant>
        <vt:i4>5</vt:i4>
      </vt:variant>
      <vt:variant>
        <vt:lpwstr>http://intersex.shadowreport.org/public/2016-CEDAW-France-NGO-Zwischengeschlecht-Intersex-IGM.pdf</vt:lpwstr>
      </vt:variant>
      <vt:variant>
        <vt:lpwstr/>
      </vt:variant>
      <vt:variant>
        <vt:i4>4915291</vt:i4>
      </vt:variant>
      <vt:variant>
        <vt:i4>144</vt:i4>
      </vt:variant>
      <vt:variant>
        <vt:i4>0</vt:i4>
      </vt:variant>
      <vt:variant>
        <vt:i4>5</vt:i4>
      </vt:variant>
      <vt:variant>
        <vt:lpwstr>http://intersex.shadowreport.org/public/2014-CRC-Swiss-NGO-Zwischengeschlecht-Intersex-IGM_v2.pdf</vt:lpwstr>
      </vt:variant>
      <vt:variant>
        <vt:lpwstr/>
      </vt:variant>
      <vt:variant>
        <vt:i4>6619186</vt:i4>
      </vt:variant>
      <vt:variant>
        <vt:i4>141</vt:i4>
      </vt:variant>
      <vt:variant>
        <vt:i4>0</vt:i4>
      </vt:variant>
      <vt:variant>
        <vt:i4>5</vt:i4>
      </vt:variant>
      <vt:variant>
        <vt:lpwstr>http://web.archive.org/web/20140307005840/http://www.leggo.it/NEWS/ITALIA/boom_di_bimbi_con_sesso_quot_incerto_quot_a_roma_aumentano_del_50_per_cento/notizie/294638.shtml</vt:lpwstr>
      </vt:variant>
      <vt:variant>
        <vt:lpwstr/>
      </vt:variant>
      <vt:variant>
        <vt:i4>8060959</vt:i4>
      </vt:variant>
      <vt:variant>
        <vt:i4>138</vt:i4>
      </vt:variant>
      <vt:variant>
        <vt:i4>0</vt:i4>
      </vt:variant>
      <vt:variant>
        <vt:i4>5</vt:i4>
      </vt:variant>
      <vt:variant>
        <vt:lpwstr>http://roma.repubblica.it/cronaca/2013/06/20/news/san_camillo-forlanini_boom_degli_interventi_infantili_sul_sesso_incerto-61524659/</vt:lpwstr>
      </vt:variant>
      <vt:variant>
        <vt:lpwstr/>
      </vt:variant>
      <vt:variant>
        <vt:i4>2883647</vt:i4>
      </vt:variant>
      <vt:variant>
        <vt:i4>135</vt:i4>
      </vt:variant>
      <vt:variant>
        <vt:i4>0</vt:i4>
      </vt:variant>
      <vt:variant>
        <vt:i4>5</vt:i4>
      </vt:variant>
      <vt:variant>
        <vt:lpwstr>http://stop.genitalmutilation.org/post/IAD-2016-Soon-20-UN-Reprimands-for-Intersex-Genital-Mutilations</vt:lpwstr>
      </vt:variant>
      <vt:variant>
        <vt:lpwstr/>
      </vt:variant>
      <vt:variant>
        <vt:i4>7798910</vt:i4>
      </vt:variant>
      <vt:variant>
        <vt:i4>132</vt:i4>
      </vt:variant>
      <vt:variant>
        <vt:i4>0</vt:i4>
      </vt:variant>
      <vt:variant>
        <vt:i4>5</vt:i4>
      </vt:variant>
      <vt:variant>
        <vt:lpwstr>http://intersex.shadowreport.org/public/2016-CEDAW-Germany-NGO-Zwischengeschlecht-Intersex-IGM.pdf</vt:lpwstr>
      </vt:variant>
      <vt:variant>
        <vt:lpwstr/>
      </vt:variant>
      <vt:variant>
        <vt:i4>6684779</vt:i4>
      </vt:variant>
      <vt:variant>
        <vt:i4>129</vt:i4>
      </vt:variant>
      <vt:variant>
        <vt:i4>0</vt:i4>
      </vt:variant>
      <vt:variant>
        <vt:i4>5</vt:i4>
      </vt:variant>
      <vt:variant>
        <vt:lpwstr>http://stop.genitalmutilation.org/post/CAT60-Argentina-to-be-Questioned-on-Intersex-Genital-Mutilation-by-UN-Committee-against-Torture</vt:lpwstr>
      </vt:variant>
      <vt:variant>
        <vt:lpwstr/>
      </vt:variant>
      <vt:variant>
        <vt:i4>6422561</vt:i4>
      </vt:variant>
      <vt:variant>
        <vt:i4>126</vt:i4>
      </vt:variant>
      <vt:variant>
        <vt:i4>0</vt:i4>
      </vt:variant>
      <vt:variant>
        <vt:i4>5</vt:i4>
      </vt:variant>
      <vt:variant>
        <vt:lpwstr>http://stop.genitalmutilation.org/post/Geneva-UN-Committee-against-Torture-questions-Austria-over-Intersex-Genital-Mutilations</vt:lpwstr>
      </vt:variant>
      <vt:variant>
        <vt:lpwstr/>
      </vt:variant>
      <vt:variant>
        <vt:i4>5570611</vt:i4>
      </vt:variant>
      <vt:variant>
        <vt:i4>123</vt:i4>
      </vt:variant>
      <vt:variant>
        <vt:i4>0</vt:i4>
      </vt:variant>
      <vt:variant>
        <vt:i4>5</vt:i4>
      </vt:variant>
      <vt:variant>
        <vt:lpwstr>http://stop.genitalmutilation.org/post/UN-Press-Release-calls-IGM-survivors-transsexual-children-CATArgentina-UNCAT60</vt:lpwstr>
      </vt:variant>
      <vt:variant>
        <vt:lpwstr/>
      </vt:variant>
      <vt:variant>
        <vt:i4>5636137</vt:i4>
      </vt:variant>
      <vt:variant>
        <vt:i4>120</vt:i4>
      </vt:variant>
      <vt:variant>
        <vt:i4>0</vt:i4>
      </vt:variant>
      <vt:variant>
        <vt:i4>5</vt:i4>
      </vt:variant>
      <vt:variant>
        <vt:lpwstr>http://intersex.shadowreport.org/public/2016-CEDAW-France-NGO-Zwischengeschlecht-Intersex-IGM.pdf</vt:lpwstr>
      </vt:variant>
      <vt:variant>
        <vt:lpwstr/>
      </vt:variant>
      <vt:variant>
        <vt:i4>1179686</vt:i4>
      </vt:variant>
      <vt:variant>
        <vt:i4>117</vt:i4>
      </vt:variant>
      <vt:variant>
        <vt:i4>0</vt:i4>
      </vt:variant>
      <vt:variant>
        <vt:i4>5</vt:i4>
      </vt:variant>
      <vt:variant>
        <vt:lpwstr>http://www.parlament.ch/d/suche/seiten/geschaefte.aspx?gesch_id=20113286</vt:lpwstr>
      </vt:variant>
      <vt:variant>
        <vt:lpwstr/>
      </vt:variant>
      <vt:variant>
        <vt:i4>2883647</vt:i4>
      </vt:variant>
      <vt:variant>
        <vt:i4>114</vt:i4>
      </vt:variant>
      <vt:variant>
        <vt:i4>0</vt:i4>
      </vt:variant>
      <vt:variant>
        <vt:i4>5</vt:i4>
      </vt:variant>
      <vt:variant>
        <vt:lpwstr>http://stop.genitalmutilation.org/post/IAD-2016-Soon-20-UN-Reprimands-for-Intersex-Genital-Mutilations</vt:lpwstr>
      </vt:variant>
      <vt:variant>
        <vt:lpwstr/>
      </vt:variant>
      <vt:variant>
        <vt:i4>2883599</vt:i4>
      </vt:variant>
      <vt:variant>
        <vt:i4>111</vt:i4>
      </vt:variant>
      <vt:variant>
        <vt:i4>0</vt:i4>
      </vt:variant>
      <vt:variant>
        <vt:i4>5</vt:i4>
      </vt:variant>
      <vt:variant>
        <vt:lpwstr>http://www.ohchr.org/EN/NewsEvents/Pages/DisplayNews.aspx?NewsID=20739&amp;LangID=E</vt:lpwstr>
      </vt:variant>
      <vt:variant>
        <vt:lpwstr/>
      </vt:variant>
      <vt:variant>
        <vt:i4>5570630</vt:i4>
      </vt:variant>
      <vt:variant>
        <vt:i4>108</vt:i4>
      </vt:variant>
      <vt:variant>
        <vt:i4>0</vt:i4>
      </vt:variant>
      <vt:variant>
        <vt:i4>5</vt:i4>
      </vt:variant>
      <vt:variant>
        <vt:lpwstr>http://www.jpurol.com/article/S1477-5131(16)30099-7/</vt:lpwstr>
      </vt:variant>
      <vt:variant>
        <vt:lpwstr/>
      </vt:variant>
      <vt:variant>
        <vt:i4>6094920</vt:i4>
      </vt:variant>
      <vt:variant>
        <vt:i4>105</vt:i4>
      </vt:variant>
      <vt:variant>
        <vt:i4>0</vt:i4>
      </vt:variant>
      <vt:variant>
        <vt:i4>5</vt:i4>
      </vt:variant>
      <vt:variant>
        <vt:lpwstr>http://www.jpurol.com/article/S1477-5131(16)30012-2/</vt:lpwstr>
      </vt:variant>
      <vt:variant>
        <vt:lpwstr/>
      </vt:variant>
      <vt:variant>
        <vt:i4>5636137</vt:i4>
      </vt:variant>
      <vt:variant>
        <vt:i4>102</vt:i4>
      </vt:variant>
      <vt:variant>
        <vt:i4>0</vt:i4>
      </vt:variant>
      <vt:variant>
        <vt:i4>5</vt:i4>
      </vt:variant>
      <vt:variant>
        <vt:lpwstr>http://intersex.shadowreport.org/public/2016-CEDAW-France-NGO-Zwischengeschlecht-Intersex-IGM.pdf</vt:lpwstr>
      </vt:variant>
      <vt:variant>
        <vt:lpwstr/>
      </vt:variant>
      <vt:variant>
        <vt:i4>7209009</vt:i4>
      </vt:variant>
      <vt:variant>
        <vt:i4>99</vt:i4>
      </vt:variant>
      <vt:variant>
        <vt:i4>0</vt:i4>
      </vt:variant>
      <vt:variant>
        <vt:i4>5</vt:i4>
      </vt:variant>
      <vt:variant>
        <vt:lpwstr>http://web.archive.org/web/20160305152127/http://prenatal.tv/lecturas/world atlas of birth defects.pdf</vt:lpwstr>
      </vt:variant>
      <vt:variant>
        <vt:lpwstr/>
      </vt:variant>
      <vt:variant>
        <vt:i4>4915291</vt:i4>
      </vt:variant>
      <vt:variant>
        <vt:i4>96</vt:i4>
      </vt:variant>
      <vt:variant>
        <vt:i4>0</vt:i4>
      </vt:variant>
      <vt:variant>
        <vt:i4>5</vt:i4>
      </vt:variant>
      <vt:variant>
        <vt:lpwstr>http://intersex.shadowreport.org/public/2014-CRC-Swiss-NGO-Zwischengeschlecht-Intersex-IGM_v2.pdf</vt:lpwstr>
      </vt:variant>
      <vt:variant>
        <vt:lpwstr/>
      </vt:variant>
      <vt:variant>
        <vt:i4>5636137</vt:i4>
      </vt:variant>
      <vt:variant>
        <vt:i4>93</vt:i4>
      </vt:variant>
      <vt:variant>
        <vt:i4>0</vt:i4>
      </vt:variant>
      <vt:variant>
        <vt:i4>5</vt:i4>
      </vt:variant>
      <vt:variant>
        <vt:lpwstr>http://intersex.shadowreport.org/public/2016-CEDAW-France-NGO-Zwischengeschlecht-Intersex-IGM.pdf</vt:lpwstr>
      </vt:variant>
      <vt:variant>
        <vt:lpwstr/>
      </vt:variant>
      <vt:variant>
        <vt:i4>5636137</vt:i4>
      </vt:variant>
      <vt:variant>
        <vt:i4>90</vt:i4>
      </vt:variant>
      <vt:variant>
        <vt:i4>0</vt:i4>
      </vt:variant>
      <vt:variant>
        <vt:i4>5</vt:i4>
      </vt:variant>
      <vt:variant>
        <vt:lpwstr>http://intersex.shadowreport.org/public/2016-CEDAW-France-NGO-Zwischengeschlecht-Intersex-IGM.pdf</vt:lpwstr>
      </vt:variant>
      <vt:variant>
        <vt:lpwstr/>
      </vt:variant>
      <vt:variant>
        <vt:i4>5636137</vt:i4>
      </vt:variant>
      <vt:variant>
        <vt:i4>87</vt:i4>
      </vt:variant>
      <vt:variant>
        <vt:i4>0</vt:i4>
      </vt:variant>
      <vt:variant>
        <vt:i4>5</vt:i4>
      </vt:variant>
      <vt:variant>
        <vt:lpwstr>http://intersex.shadowreport.org/public/2016-CEDAW-France-NGO-Zwischengeschlecht-Intersex-IGM.pdf</vt:lpwstr>
      </vt:variant>
      <vt:variant>
        <vt:lpwstr/>
      </vt:variant>
      <vt:variant>
        <vt:i4>5636137</vt:i4>
      </vt:variant>
      <vt:variant>
        <vt:i4>84</vt:i4>
      </vt:variant>
      <vt:variant>
        <vt:i4>0</vt:i4>
      </vt:variant>
      <vt:variant>
        <vt:i4>5</vt:i4>
      </vt:variant>
      <vt:variant>
        <vt:lpwstr>http://intersex.shadowreport.org/public/2016-CEDAW-France-NGO-Zwischengeschlecht-Intersex-IGM.pdf</vt:lpwstr>
      </vt:variant>
      <vt:variant>
        <vt:lpwstr/>
      </vt:variant>
      <vt:variant>
        <vt:i4>1114237</vt:i4>
      </vt:variant>
      <vt:variant>
        <vt:i4>81</vt:i4>
      </vt:variant>
      <vt:variant>
        <vt:i4>0</vt:i4>
      </vt:variant>
      <vt:variant>
        <vt:i4>5</vt:i4>
      </vt:variant>
      <vt:variant>
        <vt:lpwstr>http://www.edizioniets.com/scheda.asp?n=9788846737328</vt:lpwstr>
      </vt:variant>
      <vt:variant>
        <vt:lpwstr/>
      </vt:variant>
      <vt:variant>
        <vt:i4>1572978</vt:i4>
      </vt:variant>
      <vt:variant>
        <vt:i4>78</vt:i4>
      </vt:variant>
      <vt:variant>
        <vt:i4>0</vt:i4>
      </vt:variant>
      <vt:variant>
        <vt:i4>5</vt:i4>
      </vt:variant>
      <vt:variant>
        <vt:lpwstr>http://amsdottorato.unibo.it/3282/1/Crocetti_Daniela_tesi.pdf</vt:lpwstr>
      </vt:variant>
      <vt:variant>
        <vt:lpwstr/>
      </vt:variant>
      <vt:variant>
        <vt:i4>7667713</vt:i4>
      </vt:variant>
      <vt:variant>
        <vt:i4>75</vt:i4>
      </vt:variant>
      <vt:variant>
        <vt:i4>0</vt:i4>
      </vt:variant>
      <vt:variant>
        <vt:i4>5</vt:i4>
      </vt:variant>
      <vt:variant>
        <vt:lpwstr>http://www.intersexioni.it/social-mutilations-scalpel-increasingly-popular-to-homologate-atypicalities/</vt:lpwstr>
      </vt:variant>
      <vt:variant>
        <vt:lpwstr/>
      </vt:variant>
      <vt:variant>
        <vt:i4>3604539</vt:i4>
      </vt:variant>
      <vt:variant>
        <vt:i4>72</vt:i4>
      </vt:variant>
      <vt:variant>
        <vt:i4>0</vt:i4>
      </vt:variant>
      <vt:variant>
        <vt:i4>5</vt:i4>
      </vt:variant>
      <vt:variant>
        <vt:lpwstr>http://www.intersexesiste.com/</vt:lpwstr>
      </vt:variant>
      <vt:variant>
        <vt:lpwstr/>
      </vt:variant>
      <vt:variant>
        <vt:i4>8126480</vt:i4>
      </vt:variant>
      <vt:variant>
        <vt:i4>69</vt:i4>
      </vt:variant>
      <vt:variant>
        <vt:i4>0</vt:i4>
      </vt:variant>
      <vt:variant>
        <vt:i4>5</vt:i4>
      </vt:variant>
      <vt:variant>
        <vt:lpwstr>http://www.intersexioni.it/</vt:lpwstr>
      </vt:variant>
      <vt:variant>
        <vt:lpwstr/>
      </vt:variant>
      <vt:variant>
        <vt:i4>6488173</vt:i4>
      </vt:variant>
      <vt:variant>
        <vt:i4>66</vt:i4>
      </vt:variant>
      <vt:variant>
        <vt:i4>0</vt:i4>
      </vt:variant>
      <vt:variant>
        <vt:i4>5</vt:i4>
      </vt:variant>
      <vt:variant>
        <vt:lpwstr>http://intersexday.org/en/discussion-evening-varese-italy/</vt:lpwstr>
      </vt:variant>
      <vt:variant>
        <vt:lpwstr/>
      </vt:variant>
      <vt:variant>
        <vt:i4>2621504</vt:i4>
      </vt:variant>
      <vt:variant>
        <vt:i4>63</vt:i4>
      </vt:variant>
      <vt:variant>
        <vt:i4>0</vt:i4>
      </vt:variant>
      <vt:variant>
        <vt:i4>5</vt:i4>
      </vt:variant>
      <vt:variant>
        <vt:lpwstr>http://www.barinedita.it/storie-e-curiosita/n2865---intersex---nascere-sia-maschi-che-femmine--%C2%ABcostretti-a-mutilazioni-genitali%C2%BB</vt:lpwstr>
      </vt:variant>
      <vt:variant>
        <vt:lpwstr/>
      </vt:variant>
      <vt:variant>
        <vt:i4>458756</vt:i4>
      </vt:variant>
      <vt:variant>
        <vt:i4>60</vt:i4>
      </vt:variant>
      <vt:variant>
        <vt:i4>0</vt:i4>
      </vt:variant>
      <vt:variant>
        <vt:i4>5</vt:i4>
      </vt:variant>
      <vt:variant>
        <vt:lpwstr>http://www.pagina99.it/2016/11/05/storia-alessandro-comeni-intersessuale-intersex-no-gender/</vt:lpwstr>
      </vt:variant>
      <vt:variant>
        <vt:lpwstr/>
      </vt:variant>
      <vt:variant>
        <vt:i4>6422537</vt:i4>
      </vt:variant>
      <vt:variant>
        <vt:i4>57</vt:i4>
      </vt:variant>
      <vt:variant>
        <vt:i4>0</vt:i4>
      </vt:variant>
      <vt:variant>
        <vt:i4>5</vt:i4>
      </vt:variant>
      <vt:variant>
        <vt:lpwstr>http://www.intersexioni.it/intervista-ad-alessandro-comeni/</vt:lpwstr>
      </vt:variant>
      <vt:variant>
        <vt:lpwstr/>
      </vt:variant>
      <vt:variant>
        <vt:i4>8126515</vt:i4>
      </vt:variant>
      <vt:variant>
        <vt:i4>54</vt:i4>
      </vt:variant>
      <vt:variant>
        <vt:i4>0</vt:i4>
      </vt:variant>
      <vt:variant>
        <vt:i4>5</vt:i4>
      </vt:variant>
      <vt:variant>
        <vt:lpwstr>http://www.animrkhs-onlus.org/</vt:lpwstr>
      </vt:variant>
      <vt:variant>
        <vt:lpwstr/>
      </vt:variant>
      <vt:variant>
        <vt:i4>65634</vt:i4>
      </vt:variant>
      <vt:variant>
        <vt:i4>51</vt:i4>
      </vt:variant>
      <vt:variant>
        <vt:i4>0</vt:i4>
      </vt:variant>
      <vt:variant>
        <vt:i4>5</vt:i4>
      </vt:variant>
      <vt:variant>
        <vt:lpwstr>http://www.nascereklinefelter.it/</vt:lpwstr>
      </vt:variant>
      <vt:variant>
        <vt:lpwstr/>
      </vt:variant>
      <vt:variant>
        <vt:i4>5242892</vt:i4>
      </vt:variant>
      <vt:variant>
        <vt:i4>48</vt:i4>
      </vt:variant>
      <vt:variant>
        <vt:i4>0</vt:i4>
      </vt:variant>
      <vt:variant>
        <vt:i4>5</vt:i4>
      </vt:variant>
      <vt:variant>
        <vt:lpwstr>http://www.aisia.org</vt:lpwstr>
      </vt:variant>
      <vt:variant>
        <vt:lpwstr/>
      </vt:variant>
      <vt:variant>
        <vt:i4>131191</vt:i4>
      </vt:variant>
      <vt:variant>
        <vt:i4>45</vt:i4>
      </vt:variant>
      <vt:variant>
        <vt:i4>0</vt:i4>
      </vt:variant>
      <vt:variant>
        <vt:i4>5</vt:i4>
      </vt:variant>
      <vt:variant>
        <vt:lpwstr>http://intersex.shadowreport.org/</vt:lpwstr>
      </vt:variant>
      <vt:variant>
        <vt:lpwstr/>
      </vt:variant>
      <vt:variant>
        <vt:i4>6553648</vt:i4>
      </vt:variant>
      <vt:variant>
        <vt:i4>42</vt:i4>
      </vt:variant>
      <vt:variant>
        <vt:i4>0</vt:i4>
      </vt:variant>
      <vt:variant>
        <vt:i4>5</vt:i4>
      </vt:variant>
      <vt:variant>
        <vt:lpwstr>http://www.npwj.org/sites/default/files/ressources/EN_BanFGMProgram_asdelivered_0.pdf</vt:lpwstr>
      </vt:variant>
      <vt:variant>
        <vt:lpwstr/>
      </vt:variant>
      <vt:variant>
        <vt:i4>4718681</vt:i4>
      </vt:variant>
      <vt:variant>
        <vt:i4>39</vt:i4>
      </vt:variant>
      <vt:variant>
        <vt:i4>0</vt:i4>
      </vt:variant>
      <vt:variant>
        <vt:i4>5</vt:i4>
      </vt:variant>
      <vt:variant>
        <vt:lpwstr>http://www.certidiritti.org/x-congresso/</vt:lpwstr>
      </vt:variant>
      <vt:variant>
        <vt:lpwstr/>
      </vt:variant>
      <vt:variant>
        <vt:i4>4325377</vt:i4>
      </vt:variant>
      <vt:variant>
        <vt:i4>36</vt:i4>
      </vt:variant>
      <vt:variant>
        <vt:i4>0</vt:i4>
      </vt:variant>
      <vt:variant>
        <vt:i4>5</vt:i4>
      </vt:variant>
      <vt:variant>
        <vt:lpwstr>http://www.altrapsicologia.it/wp-content/uploads/2016/04/InterSex-Padova.pdf</vt:lpwstr>
      </vt:variant>
      <vt:variant>
        <vt:lpwstr/>
      </vt:variant>
      <vt:variant>
        <vt:i4>4849734</vt:i4>
      </vt:variant>
      <vt:variant>
        <vt:i4>33</vt:i4>
      </vt:variant>
      <vt:variant>
        <vt:i4>0</vt:i4>
      </vt:variant>
      <vt:variant>
        <vt:i4>5</vt:i4>
      </vt:variant>
      <vt:variant>
        <vt:lpwstr>http://espresso.repubblica.it/attualita/cronaca/2013/09/19/news/noi-intersex-chiediamo-rispetto-1.134087</vt:lpwstr>
      </vt:variant>
      <vt:variant>
        <vt:lpwstr/>
      </vt:variant>
      <vt:variant>
        <vt:i4>1638486</vt:i4>
      </vt:variant>
      <vt:variant>
        <vt:i4>30</vt:i4>
      </vt:variant>
      <vt:variant>
        <vt:i4>0</vt:i4>
      </vt:variant>
      <vt:variant>
        <vt:i4>5</vt:i4>
      </vt:variant>
      <vt:variant>
        <vt:lpwstr>http://zwischengeschlecht.org/public/Open_Letter_9th-Joint-Meeting_2013.pdf</vt:lpwstr>
      </vt:variant>
      <vt:variant>
        <vt:lpwstr/>
      </vt:variant>
      <vt:variant>
        <vt:i4>2424904</vt:i4>
      </vt:variant>
      <vt:variant>
        <vt:i4>27</vt:i4>
      </vt:variant>
      <vt:variant>
        <vt:i4>0</vt:i4>
      </vt:variant>
      <vt:variant>
        <vt:i4>5</vt:i4>
      </vt:variant>
      <vt:variant>
        <vt:lpwstr>http://zwischengeschlecht.org/post/Statuten</vt:lpwstr>
      </vt:variant>
      <vt:variant>
        <vt:lpwstr/>
      </vt:variant>
      <vt:variant>
        <vt:i4>3866649</vt:i4>
      </vt:variant>
      <vt:variant>
        <vt:i4>24</vt:i4>
      </vt:variant>
      <vt:variant>
        <vt:i4>0</vt:i4>
      </vt:variant>
      <vt:variant>
        <vt:i4>5</vt:i4>
      </vt:variant>
      <vt:variant>
        <vt:lpwstr>http://StopIGM.org/</vt:lpwstr>
      </vt:variant>
      <vt:variant>
        <vt:lpwstr/>
      </vt:variant>
      <vt:variant>
        <vt:i4>3932286</vt:i4>
      </vt:variant>
      <vt:variant>
        <vt:i4>21</vt:i4>
      </vt:variant>
      <vt:variant>
        <vt:i4>0</vt:i4>
      </vt:variant>
      <vt:variant>
        <vt:i4>5</vt:i4>
      </vt:variant>
      <vt:variant>
        <vt:lpwstr>http://Zwischengeschlecht.org/</vt:lpwstr>
      </vt:variant>
      <vt:variant>
        <vt:lpwstr/>
      </vt:variant>
      <vt:variant>
        <vt:i4>458776</vt:i4>
      </vt:variant>
      <vt:variant>
        <vt:i4>18</vt:i4>
      </vt:variant>
      <vt:variant>
        <vt:i4>0</vt:i4>
      </vt:variant>
      <vt:variant>
        <vt:i4>5</vt:i4>
      </vt:variant>
      <vt:variant>
        <vt:lpwstr>http://www.unar.it/unar/portal/wp-content/uploads/2015/02/Programma_notedirittieliberta_febbraio2015.pdf</vt:lpwstr>
      </vt:variant>
      <vt:variant>
        <vt:lpwstr/>
      </vt:variant>
      <vt:variant>
        <vt:i4>5242892</vt:i4>
      </vt:variant>
      <vt:variant>
        <vt:i4>15</vt:i4>
      </vt:variant>
      <vt:variant>
        <vt:i4>0</vt:i4>
      </vt:variant>
      <vt:variant>
        <vt:i4>5</vt:i4>
      </vt:variant>
      <vt:variant>
        <vt:lpwstr>http://www.aisia.org</vt:lpwstr>
      </vt:variant>
      <vt:variant>
        <vt:lpwstr/>
      </vt:variant>
      <vt:variant>
        <vt:i4>1114227</vt:i4>
      </vt:variant>
      <vt:variant>
        <vt:i4>12</vt:i4>
      </vt:variant>
      <vt:variant>
        <vt:i4>0</vt:i4>
      </vt:variant>
      <vt:variant>
        <vt:i4>5</vt:i4>
      </vt:variant>
      <vt:variant>
        <vt:lpwstr>http://www.comunicattive.org/intersex-esiste-nasce-un-approccio-colorato/</vt:lpwstr>
      </vt:variant>
      <vt:variant>
        <vt:lpwstr/>
      </vt:variant>
      <vt:variant>
        <vt:i4>4325377</vt:i4>
      </vt:variant>
      <vt:variant>
        <vt:i4>9</vt:i4>
      </vt:variant>
      <vt:variant>
        <vt:i4>0</vt:i4>
      </vt:variant>
      <vt:variant>
        <vt:i4>5</vt:i4>
      </vt:variant>
      <vt:variant>
        <vt:lpwstr>http://www.altrapsicologia.it/wp-content/uploads/2016/04/InterSex-Padova.pdf</vt:lpwstr>
      </vt:variant>
      <vt:variant>
        <vt:lpwstr/>
      </vt:variant>
      <vt:variant>
        <vt:i4>262214</vt:i4>
      </vt:variant>
      <vt:variant>
        <vt:i4>6</vt:i4>
      </vt:variant>
      <vt:variant>
        <vt:i4>0</vt:i4>
      </vt:variant>
      <vt:variant>
        <vt:i4>5</vt:i4>
      </vt:variant>
      <vt:variant>
        <vt:lpwstr>https://www.interfaceproject.org/transcript-claudia-balsamo/</vt:lpwstr>
      </vt:variant>
      <vt:variant>
        <vt:lpwstr/>
      </vt:variant>
      <vt:variant>
        <vt:i4>4653102</vt:i4>
      </vt:variant>
      <vt:variant>
        <vt:i4>3</vt:i4>
      </vt:variant>
      <vt:variant>
        <vt:i4>0</vt:i4>
      </vt:variant>
      <vt:variant>
        <vt:i4>5</vt:i4>
      </vt:variant>
      <vt:variant>
        <vt:lpwstr>https://www.interfaceproject.org/claudia-balsamo/</vt:lpwstr>
      </vt:variant>
      <vt:variant>
        <vt:lpwstr/>
      </vt:variant>
      <vt:variant>
        <vt:i4>2883599</vt:i4>
      </vt:variant>
      <vt:variant>
        <vt:i4>0</vt:i4>
      </vt:variant>
      <vt:variant>
        <vt:i4>0</vt:i4>
      </vt:variant>
      <vt:variant>
        <vt:i4>5</vt:i4>
      </vt:variant>
      <vt:variant>
        <vt:lpwstr>http://www.ohchr.org/EN/NewsEvents/Pages/DisplayNews.aspx?NewsID=20739&amp;LangID=E</vt:lpwstr>
      </vt:variant>
      <vt:variant>
        <vt:lpwstr/>
      </vt:variant>
      <vt:variant>
        <vt:i4>7208987</vt:i4>
      </vt:variant>
      <vt:variant>
        <vt:i4>2146</vt:i4>
      </vt:variant>
      <vt:variant>
        <vt:i4>1025</vt:i4>
      </vt:variant>
      <vt:variant>
        <vt:i4>1</vt:i4>
      </vt:variant>
      <vt:variant>
        <vt:lpwstr>Milano-ESPE_2013_DSC_0390_GA_CEDAW</vt:lpwstr>
      </vt:variant>
      <vt:variant>
        <vt:lpwstr/>
      </vt:variant>
      <vt:variant>
        <vt:i4>1769540</vt:i4>
      </vt:variant>
      <vt:variant>
        <vt:i4>2998</vt:i4>
      </vt:variant>
      <vt:variant>
        <vt:i4>1026</vt:i4>
      </vt:variant>
      <vt:variant>
        <vt:i4>1</vt:i4>
      </vt:variant>
      <vt:variant>
        <vt:lpwstr>StopIGM_org-Logo_x</vt:lpwstr>
      </vt:variant>
      <vt:variant>
        <vt:lpwstr/>
      </vt:variant>
      <vt:variant>
        <vt:i4>327736</vt:i4>
      </vt:variant>
      <vt:variant>
        <vt:i4>52038</vt:i4>
      </vt:variant>
      <vt:variant>
        <vt:i4>1027</vt:i4>
      </vt:variant>
      <vt:variant>
        <vt:i4>1</vt:i4>
      </vt:variant>
      <vt:variant>
        <vt:lpwstr>gonadectomy_dsd-2016-global-update_442975-17_k</vt:lpwstr>
      </vt:variant>
      <vt:variant>
        <vt:lpwstr/>
      </vt:variant>
      <vt:variant>
        <vt:i4>720970</vt:i4>
      </vt:variant>
      <vt:variant>
        <vt:i4>61381</vt:i4>
      </vt:variant>
      <vt:variant>
        <vt:i4>1028</vt:i4>
      </vt:variant>
      <vt:variant>
        <vt:i4>1</vt:i4>
      </vt:variant>
      <vt:variant>
        <vt:lpwstr>Milano-ESPE-2013-Universita_0492_CEDAW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Intersex Genital Mutilation - CCPR Iceland NGO Report (for Session) 2024</dc:title>
  <dc:subject>NGO Report (for Session) to the 6th Report of Iceland on the International Covenant on Civil and Political Rights (CCPR)</dc:subject>
  <dc:creator>Zwischengeschlecht.org / StopIGM.org (Markus Bauer, Daniela Truffer)</dc:creator>
  <cp:keywords/>
  <dc:description/>
  <cp:lastModifiedBy>Daniela Truffer</cp:lastModifiedBy>
  <cp:revision>68</cp:revision>
  <cp:lastPrinted>2019-08-16T04:46:00Z</cp:lastPrinted>
  <dcterms:created xsi:type="dcterms:W3CDTF">2024-09-14T13:13:00Z</dcterms:created>
  <dcterms:modified xsi:type="dcterms:W3CDTF">2024-09-16T22:07:00Z</dcterms:modified>
  <cp:category/>
</cp:coreProperties>
</file>