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C1554" w14:textId="3D5E44B1" w:rsidR="00A05C47" w:rsidRPr="00270581" w:rsidRDefault="00A05C47" w:rsidP="0014048C">
      <w:pPr>
        <w:jc w:val="both"/>
        <w:rPr>
          <w:rFonts w:asciiTheme="majorBidi" w:eastAsia="Times New Roman" w:hAnsiTheme="majorBidi" w:cstheme="majorBidi"/>
          <w:sz w:val="24"/>
          <w:szCs w:val="24"/>
        </w:rPr>
      </w:pPr>
      <w:r w:rsidRPr="00ED6128">
        <w:rPr>
          <w:rFonts w:asciiTheme="majorBidi" w:eastAsia="Times New Roman" w:hAnsiTheme="majorBidi" w:cstheme="majorBidi"/>
          <w:noProof/>
          <w:sz w:val="24"/>
          <w:szCs w:val="24"/>
        </w:rPr>
        <w:drawing>
          <wp:anchor distT="0" distB="0" distL="114300" distR="114300" simplePos="0" relativeHeight="251658240" behindDoc="0" locked="0" layoutInCell="1" allowOverlap="1" wp14:anchorId="500EAEF5" wp14:editId="63B35CA5">
            <wp:simplePos x="0" y="0"/>
            <wp:positionH relativeFrom="column">
              <wp:posOffset>3543300</wp:posOffset>
            </wp:positionH>
            <wp:positionV relativeFrom="paragraph">
              <wp:posOffset>-227965</wp:posOffset>
            </wp:positionV>
            <wp:extent cx="2504226" cy="7620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2504226" cy="762000"/>
                    </a:xfrm>
                    <a:prstGeom prst="rect">
                      <a:avLst/>
                    </a:prstGeom>
                  </pic:spPr>
                </pic:pic>
              </a:graphicData>
            </a:graphic>
            <wp14:sizeRelH relativeFrom="page">
              <wp14:pctWidth>0</wp14:pctWidth>
            </wp14:sizeRelH>
            <wp14:sizeRelV relativeFrom="page">
              <wp14:pctHeight>0</wp14:pctHeight>
            </wp14:sizeRelV>
          </wp:anchor>
        </w:drawing>
      </w:r>
    </w:p>
    <w:p w14:paraId="14DEB06C" w14:textId="40BD5043" w:rsidR="00A05C47" w:rsidRDefault="00A05C47" w:rsidP="0014048C">
      <w:pPr>
        <w:jc w:val="both"/>
        <w:rPr>
          <w:rFonts w:asciiTheme="majorBidi" w:hAnsiTheme="majorBidi" w:cstheme="majorBidi"/>
          <w:b/>
          <w:bCs/>
        </w:rPr>
      </w:pPr>
    </w:p>
    <w:p w14:paraId="39BCFC6C" w14:textId="77777777" w:rsidR="00315177" w:rsidRPr="00270581" w:rsidRDefault="00315177" w:rsidP="0014048C">
      <w:pPr>
        <w:jc w:val="both"/>
        <w:rPr>
          <w:rFonts w:asciiTheme="majorBidi" w:hAnsiTheme="majorBidi" w:cstheme="majorBidi"/>
          <w:b/>
          <w:bCs/>
        </w:rPr>
      </w:pPr>
    </w:p>
    <w:p w14:paraId="01015277" w14:textId="77777777" w:rsidR="00A05C47" w:rsidRPr="00270581" w:rsidRDefault="00A05C47" w:rsidP="0014048C">
      <w:pPr>
        <w:jc w:val="both"/>
        <w:rPr>
          <w:rFonts w:asciiTheme="majorBidi" w:hAnsiTheme="majorBidi" w:cstheme="majorBidi"/>
          <w:b/>
          <w:bCs/>
        </w:rPr>
      </w:pPr>
    </w:p>
    <w:p w14:paraId="78C549C1" w14:textId="00646650" w:rsidR="00A05C47" w:rsidRPr="00A52A72" w:rsidRDefault="00A05C47" w:rsidP="0014048C">
      <w:pPr>
        <w:jc w:val="center"/>
        <w:rPr>
          <w:rFonts w:asciiTheme="majorBidi" w:hAnsiTheme="majorBidi" w:cstheme="majorBidi"/>
          <w:b/>
          <w:bCs/>
          <w:sz w:val="24"/>
          <w:szCs w:val="24"/>
        </w:rPr>
      </w:pPr>
      <w:r w:rsidRPr="00270581">
        <w:rPr>
          <w:rFonts w:asciiTheme="majorBidi" w:hAnsiTheme="majorBidi" w:cstheme="majorBidi"/>
          <w:b/>
          <w:bCs/>
        </w:rPr>
        <w:t xml:space="preserve">Submission </w:t>
      </w:r>
      <w:r w:rsidR="00837A4E">
        <w:rPr>
          <w:rFonts w:asciiTheme="majorBidi" w:hAnsiTheme="majorBidi" w:cstheme="majorBidi"/>
          <w:b/>
          <w:bCs/>
        </w:rPr>
        <w:t xml:space="preserve">on Yemen </w:t>
      </w:r>
      <w:r w:rsidRPr="00270581">
        <w:rPr>
          <w:rFonts w:asciiTheme="majorBidi" w:hAnsiTheme="majorBidi" w:cstheme="majorBidi"/>
          <w:b/>
          <w:bCs/>
        </w:rPr>
        <w:t xml:space="preserve">to the </w:t>
      </w:r>
      <w:r w:rsidRPr="00270581">
        <w:rPr>
          <w:rFonts w:asciiTheme="majorBidi" w:hAnsiTheme="majorBidi" w:cstheme="majorBidi"/>
          <w:b/>
          <w:bCs/>
        </w:rPr>
        <w:br/>
        <w:t xml:space="preserve">UN Committee on Economic, Social, and Cultural Rights </w:t>
      </w:r>
      <w:r w:rsidRPr="00270581">
        <w:rPr>
          <w:rFonts w:asciiTheme="majorBidi" w:hAnsiTheme="majorBidi" w:cstheme="majorBidi"/>
          <w:b/>
          <w:bCs/>
        </w:rPr>
        <w:br/>
      </w:r>
      <w:r w:rsidR="00270581">
        <w:rPr>
          <w:rFonts w:asciiTheme="majorBidi" w:hAnsiTheme="majorBidi" w:cstheme="majorBidi"/>
          <w:b/>
          <w:bCs/>
        </w:rPr>
        <w:t>prior to</w:t>
      </w:r>
      <w:r w:rsidRPr="00270581">
        <w:rPr>
          <w:rFonts w:asciiTheme="majorBidi" w:hAnsiTheme="majorBidi" w:cstheme="majorBidi"/>
          <w:b/>
          <w:bCs/>
        </w:rPr>
        <w:t xml:space="preserve"> the </w:t>
      </w:r>
      <w:r w:rsidR="00F110C7" w:rsidRPr="00270581">
        <w:rPr>
          <w:rFonts w:asciiTheme="majorBidi" w:hAnsiTheme="majorBidi" w:cstheme="majorBidi"/>
          <w:b/>
          <w:bCs/>
          <w:color w:val="000000"/>
        </w:rPr>
        <w:t>73rd Session (13 Feb. – 3 March 2023)</w:t>
      </w:r>
    </w:p>
    <w:p w14:paraId="43AB5704" w14:textId="77777777" w:rsidR="00A05C47" w:rsidRPr="00270581" w:rsidRDefault="00A05C47" w:rsidP="0014048C">
      <w:pPr>
        <w:jc w:val="both"/>
        <w:rPr>
          <w:rFonts w:asciiTheme="majorBidi" w:hAnsiTheme="majorBidi" w:cstheme="majorBidi"/>
        </w:rPr>
      </w:pPr>
    </w:p>
    <w:p w14:paraId="1F360F7E" w14:textId="77777777" w:rsidR="00A05C47" w:rsidRPr="00270581" w:rsidRDefault="00A05C47" w:rsidP="0014048C">
      <w:pPr>
        <w:jc w:val="both"/>
        <w:rPr>
          <w:rFonts w:asciiTheme="majorBidi" w:hAnsiTheme="majorBidi" w:cstheme="majorBidi"/>
        </w:rPr>
      </w:pPr>
    </w:p>
    <w:p w14:paraId="512D959E" w14:textId="1637ADF8" w:rsidR="00A05C47" w:rsidRPr="00270581" w:rsidRDefault="00A05C47" w:rsidP="0014048C">
      <w:pPr>
        <w:jc w:val="both"/>
        <w:rPr>
          <w:rFonts w:asciiTheme="majorBidi" w:hAnsiTheme="majorBidi" w:cstheme="majorBidi"/>
        </w:rPr>
      </w:pPr>
      <w:r w:rsidRPr="00270581">
        <w:rPr>
          <w:rFonts w:asciiTheme="majorBidi" w:hAnsiTheme="majorBidi" w:cstheme="majorBidi"/>
        </w:rPr>
        <w:t xml:space="preserve">Submitted by: </w:t>
      </w:r>
      <w:r w:rsidRPr="00270581">
        <w:rPr>
          <w:rFonts w:asciiTheme="majorBidi" w:hAnsiTheme="majorBidi" w:cstheme="majorBidi"/>
        </w:rPr>
        <w:tab/>
      </w:r>
      <w:r w:rsidRPr="00270581">
        <w:rPr>
          <w:rFonts w:asciiTheme="majorBidi" w:hAnsiTheme="majorBidi" w:cstheme="majorBidi"/>
          <w:b/>
          <w:bCs/>
        </w:rPr>
        <w:t>Mwatana for Human Rights</w:t>
      </w:r>
    </w:p>
    <w:p w14:paraId="5CD1C010" w14:textId="76F99367" w:rsidR="00A05C47" w:rsidRPr="00270581" w:rsidRDefault="00A05C47" w:rsidP="0014048C">
      <w:pPr>
        <w:pBdr>
          <w:bottom w:val="single" w:sz="12" w:space="1" w:color="auto"/>
        </w:pBdr>
        <w:jc w:val="both"/>
        <w:rPr>
          <w:rFonts w:asciiTheme="majorBidi" w:hAnsiTheme="majorBidi" w:cstheme="majorBidi"/>
        </w:rPr>
      </w:pPr>
      <w:r w:rsidRPr="00270581">
        <w:rPr>
          <w:rFonts w:asciiTheme="majorBidi" w:hAnsiTheme="majorBidi" w:cstheme="majorBidi"/>
        </w:rPr>
        <w:t xml:space="preserve">Date </w:t>
      </w:r>
      <w:r w:rsidRPr="008D3DBB">
        <w:rPr>
          <w:rFonts w:asciiTheme="majorBidi" w:hAnsiTheme="majorBidi" w:cstheme="majorBidi"/>
        </w:rPr>
        <w:t xml:space="preserve">of submission: </w:t>
      </w:r>
      <w:r w:rsidRPr="00A52A72">
        <w:rPr>
          <w:rFonts w:asciiTheme="majorBidi" w:hAnsiTheme="majorBidi" w:cstheme="majorBidi"/>
        </w:rPr>
        <w:t>[</w:t>
      </w:r>
      <w:r w:rsidR="000E5F61" w:rsidRPr="00A52A72">
        <w:rPr>
          <w:rFonts w:asciiTheme="majorBidi" w:hAnsiTheme="majorBidi" w:cstheme="majorBidi"/>
        </w:rPr>
        <w:t>January 23</w:t>
      </w:r>
      <w:r w:rsidRPr="00A52A72">
        <w:rPr>
          <w:rFonts w:asciiTheme="majorBidi" w:hAnsiTheme="majorBidi" w:cstheme="majorBidi"/>
        </w:rPr>
        <w:t>, 202</w:t>
      </w:r>
      <w:r w:rsidR="000E5F61" w:rsidRPr="00A52A72">
        <w:rPr>
          <w:rFonts w:asciiTheme="majorBidi" w:hAnsiTheme="majorBidi" w:cstheme="majorBidi"/>
        </w:rPr>
        <w:t>3</w:t>
      </w:r>
      <w:r w:rsidRPr="00A52A72">
        <w:rPr>
          <w:rFonts w:asciiTheme="majorBidi" w:hAnsiTheme="majorBidi" w:cstheme="majorBidi"/>
        </w:rPr>
        <w:t>]</w:t>
      </w:r>
    </w:p>
    <w:p w14:paraId="10C7CD59" w14:textId="77777777" w:rsidR="00A05C47" w:rsidRPr="00270581" w:rsidRDefault="00A05C47" w:rsidP="0014048C">
      <w:pPr>
        <w:pBdr>
          <w:bottom w:val="single" w:sz="12" w:space="1" w:color="auto"/>
        </w:pBdr>
        <w:jc w:val="both"/>
        <w:rPr>
          <w:rFonts w:asciiTheme="majorBidi" w:hAnsiTheme="majorBidi" w:cstheme="majorBidi"/>
        </w:rPr>
      </w:pPr>
    </w:p>
    <w:p w14:paraId="1E909C9C" w14:textId="559E5FA7" w:rsidR="0016668F" w:rsidRPr="00A52A72" w:rsidRDefault="00A05C47" w:rsidP="0014048C">
      <w:pPr>
        <w:jc w:val="both"/>
        <w:rPr>
          <w:rFonts w:asciiTheme="majorBidi" w:hAnsiTheme="majorBidi" w:cstheme="majorBidi"/>
          <w:lang w:bidi="ar-YE"/>
        </w:rPr>
      </w:pPr>
      <w:r w:rsidRPr="00270581">
        <w:rPr>
          <w:rFonts w:asciiTheme="majorBidi" w:hAnsiTheme="majorBidi" w:cstheme="majorBidi"/>
          <w:b/>
          <w:bCs/>
        </w:rPr>
        <w:t>Mwatana for Human Rights</w:t>
      </w:r>
      <w:r w:rsidRPr="00270581">
        <w:rPr>
          <w:rFonts w:asciiTheme="majorBidi" w:hAnsiTheme="majorBidi" w:cstheme="majorBidi"/>
        </w:rPr>
        <w:t xml:space="preserve">, </w:t>
      </w:r>
      <w:r w:rsidR="0016668F" w:rsidRPr="00A52A72">
        <w:rPr>
          <w:rFonts w:asciiTheme="majorBidi" w:hAnsiTheme="majorBidi" w:cstheme="majorBidi"/>
          <w:lang w:bidi="ar-YE"/>
        </w:rPr>
        <w:t xml:space="preserve">(Mwatana) is an independent Yemeni organization that advocates for human rights through the documentation of civilian harm, the provision of legal support to victims, and through advocacy and legal action. Mwatana has worked extensively to document civilian harm caused by all warring parties in Yemen, including publishing reports on violations and abuses by the Ansar Allah (Houthi) armed group, the Saudi/UAE-led Coalition, the internationally recognized Yemeni government, the UAE-backed Southern Transitional Council and others. </w:t>
      </w:r>
      <w:hyperlink r:id="rId9" w:history="1">
        <w:r w:rsidRPr="00270581">
          <w:rPr>
            <w:rStyle w:val="Hyperlink"/>
            <w:rFonts w:asciiTheme="majorBidi" w:hAnsiTheme="majorBidi" w:cstheme="majorBidi"/>
          </w:rPr>
          <w:t>https://mwatana.org/en</w:t>
        </w:r>
      </w:hyperlink>
      <w:r w:rsidRPr="00270581">
        <w:rPr>
          <w:rFonts w:asciiTheme="majorBidi" w:hAnsiTheme="majorBidi" w:cstheme="majorBidi"/>
        </w:rPr>
        <w:t xml:space="preserve">  </w:t>
      </w:r>
    </w:p>
    <w:p w14:paraId="791B80A1" w14:textId="27CF6F3C" w:rsidR="0016668F" w:rsidRPr="00A52A72" w:rsidRDefault="0016668F" w:rsidP="0014048C">
      <w:pPr>
        <w:jc w:val="both"/>
        <w:rPr>
          <w:rFonts w:asciiTheme="majorBidi" w:hAnsiTheme="majorBidi" w:cstheme="majorBidi"/>
        </w:rPr>
      </w:pPr>
      <w:r w:rsidRPr="00A52A72">
        <w:rPr>
          <w:rFonts w:asciiTheme="majorBidi" w:hAnsiTheme="majorBidi" w:cstheme="majorBidi"/>
          <w:lang w:bidi="ar-YE"/>
        </w:rPr>
        <w:t>Mwatana’s researchers use rigorous and peer-reviewed investigation methods to investigate alleged incidents. They visit attack sites; collect witness statements first-hand of family members, and witnesses; photograph the attack site and surrounding areas and, and collect supporting documents that relate to victims or witness accounts. All cases documented by Mwatana field researchers are reviewed and cross-checked by Mwatana’s central research team.</w:t>
      </w:r>
    </w:p>
    <w:p w14:paraId="0CE9D9B7" w14:textId="116924B9" w:rsidR="0016668F" w:rsidRPr="00A52A72" w:rsidRDefault="0016668F" w:rsidP="0014048C">
      <w:pPr>
        <w:jc w:val="both"/>
        <w:rPr>
          <w:rFonts w:asciiTheme="majorBidi" w:hAnsiTheme="majorBidi" w:cstheme="majorBidi"/>
        </w:rPr>
      </w:pPr>
      <w:r w:rsidRPr="00A52A72">
        <w:rPr>
          <w:rFonts w:asciiTheme="majorBidi" w:hAnsiTheme="majorBidi" w:cstheme="majorBidi"/>
          <w:lang w:bidi="ar-YE"/>
        </w:rPr>
        <w:t xml:space="preserve">All of Mwatana interviews were conducted in Arabic. Interviewees were informed of the purpose of the interview and asked if they consented to their identities being disclosed in Media or public reports. </w:t>
      </w:r>
      <w:r w:rsidRPr="00A52A72">
        <w:rPr>
          <w:rFonts w:asciiTheme="majorBidi" w:hAnsiTheme="majorBidi" w:cstheme="majorBidi"/>
        </w:rPr>
        <w:t xml:space="preserve">No financial or other incentives were offered to the interviewees for speaking with researchers. </w:t>
      </w:r>
    </w:p>
    <w:p w14:paraId="3832E6BC" w14:textId="76C5079D" w:rsidR="00A05C47" w:rsidRPr="00270581" w:rsidRDefault="00A05C47" w:rsidP="0014048C">
      <w:pPr>
        <w:jc w:val="both"/>
        <w:rPr>
          <w:rStyle w:val="Strong"/>
          <w:rFonts w:asciiTheme="majorBidi" w:eastAsia="Times New Roman" w:hAnsiTheme="majorBidi" w:cstheme="majorBidi"/>
          <w:b w:val="0"/>
          <w:bCs w:val="0"/>
          <w:sz w:val="24"/>
          <w:szCs w:val="24"/>
        </w:rPr>
      </w:pPr>
    </w:p>
    <w:p w14:paraId="576FBEE5" w14:textId="77777777" w:rsidR="00A05C47" w:rsidRPr="00270581" w:rsidRDefault="00A05C47" w:rsidP="0014048C">
      <w:pPr>
        <w:jc w:val="both"/>
        <w:rPr>
          <w:rStyle w:val="Strong"/>
          <w:rFonts w:asciiTheme="majorBidi" w:eastAsia="Times New Roman" w:hAnsiTheme="majorBidi" w:cstheme="majorBidi"/>
          <w:b w:val="0"/>
          <w:bCs w:val="0"/>
          <w:sz w:val="24"/>
          <w:szCs w:val="24"/>
        </w:rPr>
      </w:pPr>
    </w:p>
    <w:p w14:paraId="23DCFF0D" w14:textId="77777777" w:rsidR="00A05C47" w:rsidRPr="00270581" w:rsidRDefault="00A05C47" w:rsidP="0014048C">
      <w:pPr>
        <w:jc w:val="both"/>
        <w:rPr>
          <w:rStyle w:val="Strong"/>
          <w:rFonts w:asciiTheme="majorBidi" w:eastAsia="Times New Roman" w:hAnsiTheme="majorBidi" w:cstheme="majorBidi"/>
          <w:b w:val="0"/>
          <w:bCs w:val="0"/>
          <w:sz w:val="24"/>
          <w:szCs w:val="24"/>
        </w:rPr>
      </w:pPr>
      <w:r w:rsidRPr="00270581">
        <w:rPr>
          <w:rStyle w:val="Strong"/>
          <w:rFonts w:asciiTheme="majorBidi" w:eastAsia="Times New Roman" w:hAnsiTheme="majorBidi" w:cstheme="majorBidi"/>
          <w:b w:val="0"/>
          <w:bCs w:val="0"/>
          <w:sz w:val="24"/>
          <w:szCs w:val="24"/>
        </w:rPr>
        <w:br w:type="page"/>
      </w:r>
    </w:p>
    <w:p w14:paraId="4A5BACC8" w14:textId="556FA862" w:rsidR="00A05C47" w:rsidRPr="00270581" w:rsidRDefault="00A05C47" w:rsidP="0014048C">
      <w:pPr>
        <w:pStyle w:val="ListParagraph"/>
        <w:numPr>
          <w:ilvl w:val="0"/>
          <w:numId w:val="1"/>
        </w:numPr>
        <w:ind w:left="1080"/>
        <w:jc w:val="both"/>
        <w:rPr>
          <w:rStyle w:val="Strong"/>
          <w:rFonts w:asciiTheme="majorBidi" w:eastAsia="Times New Roman" w:hAnsiTheme="majorBidi" w:cstheme="majorBidi"/>
          <w:b w:val="0"/>
          <w:bCs w:val="0"/>
          <w:sz w:val="24"/>
          <w:szCs w:val="24"/>
        </w:rPr>
      </w:pPr>
      <w:r w:rsidRPr="00270581">
        <w:rPr>
          <w:rStyle w:val="Strong"/>
          <w:rFonts w:asciiTheme="majorBidi" w:eastAsia="Times New Roman" w:hAnsiTheme="majorBidi" w:cstheme="majorBidi"/>
          <w:sz w:val="24"/>
          <w:szCs w:val="24"/>
        </w:rPr>
        <w:lastRenderedPageBreak/>
        <w:t>Introduction</w:t>
      </w:r>
    </w:p>
    <w:p w14:paraId="61947CF0" w14:textId="6E6293F9" w:rsidR="001517C4" w:rsidRPr="00A52A72" w:rsidRDefault="001517C4" w:rsidP="0014048C">
      <w:pPr>
        <w:tabs>
          <w:tab w:val="center" w:pos="4513"/>
        </w:tabs>
        <w:spacing w:before="120" w:afterLines="100" w:after="240"/>
        <w:jc w:val="both"/>
        <w:rPr>
          <w:rFonts w:asciiTheme="majorBidi" w:hAnsiTheme="majorBidi" w:cstheme="majorBidi"/>
        </w:rPr>
      </w:pPr>
      <w:r w:rsidRPr="00A52A72">
        <w:rPr>
          <w:rFonts w:asciiTheme="majorBidi" w:hAnsiTheme="majorBidi" w:cstheme="majorBidi"/>
        </w:rPr>
        <w:t>This submission discusses how the current conflict has affected the rights to food, water, sanitation, health, and education as guaranteed by the International Covenant on Economic, Social, and Cultural Rights (ICESCR), as well as any actions attributable to the government of Yemen, its allies, or other conflict parties</w:t>
      </w:r>
      <w:r w:rsidR="00A52A72">
        <w:rPr>
          <w:rFonts w:asciiTheme="majorBidi" w:hAnsiTheme="majorBidi" w:cstheme="majorBidi"/>
        </w:rPr>
        <w:t xml:space="preserve"> such as the Ansar Allah Armed Group (Houthi) and Southern Transitional Council (STC)</w:t>
      </w:r>
      <w:r w:rsidR="000E5F61" w:rsidRPr="00A52A72">
        <w:rPr>
          <w:rFonts w:asciiTheme="majorBidi" w:hAnsiTheme="majorBidi" w:cstheme="majorBidi"/>
        </w:rPr>
        <w:t>.</w:t>
      </w:r>
      <w:r w:rsidR="000E5F61" w:rsidRPr="00A52A72">
        <w:rPr>
          <w:rStyle w:val="FootnoteReference"/>
          <w:rFonts w:asciiTheme="majorBidi" w:hAnsiTheme="majorBidi" w:cstheme="majorBidi"/>
        </w:rPr>
        <w:footnoteReference w:id="1"/>
      </w:r>
      <w:r w:rsidR="000E5F61" w:rsidRPr="00A52A72">
        <w:rPr>
          <w:rFonts w:asciiTheme="majorBidi" w:hAnsiTheme="majorBidi" w:cstheme="majorBidi"/>
        </w:rPr>
        <w:t xml:space="preserve"> </w:t>
      </w:r>
      <w:r w:rsidRPr="00A52A72">
        <w:rPr>
          <w:rFonts w:asciiTheme="majorBidi" w:hAnsiTheme="majorBidi" w:cstheme="majorBidi"/>
        </w:rPr>
        <w:t>Many people in Yemen are at risk of famine and malnutrition, lack access to clean water, suffer from preventable diseases and outbreaks, are denied access to education, and struggle to access health care in a system that is on the verge of collapse, all in the midst of a failing economy, as described by humanitarian organizations for years</w:t>
      </w:r>
      <w:r w:rsidR="000E5F61" w:rsidRPr="00A52A72">
        <w:rPr>
          <w:rFonts w:asciiTheme="majorBidi" w:hAnsiTheme="majorBidi" w:cstheme="majorBidi"/>
        </w:rPr>
        <w:t xml:space="preserve">. </w:t>
      </w:r>
      <w:r w:rsidRPr="00A52A72">
        <w:rPr>
          <w:rFonts w:asciiTheme="majorBidi" w:hAnsiTheme="majorBidi" w:cstheme="majorBidi"/>
        </w:rPr>
        <w:t>Based on original research and accompanying evidence, the submission intends to enlighten the Committee on violations of economic, social, and cultural rights that contribute to this serious crisis.</w:t>
      </w:r>
    </w:p>
    <w:p w14:paraId="0817348A" w14:textId="77777777" w:rsidR="00F110C7" w:rsidRPr="00270581" w:rsidRDefault="00F110C7" w:rsidP="0014048C">
      <w:pPr>
        <w:jc w:val="both"/>
        <w:rPr>
          <w:rStyle w:val="Strong"/>
          <w:rFonts w:asciiTheme="majorBidi" w:eastAsia="Times New Roman" w:hAnsiTheme="majorBidi" w:cstheme="majorBidi"/>
          <w:b w:val="0"/>
          <w:bCs w:val="0"/>
          <w:sz w:val="24"/>
          <w:szCs w:val="24"/>
        </w:rPr>
      </w:pPr>
    </w:p>
    <w:p w14:paraId="38B650F9" w14:textId="335A73FA" w:rsidR="00A05C47" w:rsidRPr="00270581" w:rsidRDefault="00A05C47" w:rsidP="0014048C">
      <w:pPr>
        <w:pStyle w:val="ListParagraph"/>
        <w:numPr>
          <w:ilvl w:val="0"/>
          <w:numId w:val="1"/>
        </w:numPr>
        <w:ind w:left="1170" w:hanging="450"/>
        <w:jc w:val="both"/>
        <w:rPr>
          <w:rStyle w:val="Strong"/>
          <w:rFonts w:asciiTheme="majorBidi" w:eastAsia="Times New Roman" w:hAnsiTheme="majorBidi" w:cstheme="majorBidi"/>
          <w:sz w:val="24"/>
          <w:szCs w:val="24"/>
        </w:rPr>
      </w:pPr>
      <w:r w:rsidRPr="00270581">
        <w:rPr>
          <w:rStyle w:val="Strong"/>
          <w:rFonts w:asciiTheme="majorBidi" w:eastAsia="Times New Roman" w:hAnsiTheme="majorBidi" w:cstheme="majorBidi"/>
          <w:sz w:val="24"/>
          <w:szCs w:val="24"/>
        </w:rPr>
        <w:t>Right to food</w:t>
      </w:r>
      <w:r w:rsidR="0016668F" w:rsidRPr="00270581">
        <w:rPr>
          <w:rStyle w:val="Strong"/>
          <w:rFonts w:asciiTheme="majorBidi" w:eastAsia="Times New Roman" w:hAnsiTheme="majorBidi" w:cstheme="majorBidi"/>
          <w:sz w:val="24"/>
          <w:szCs w:val="24"/>
        </w:rPr>
        <w:t xml:space="preserve"> </w:t>
      </w:r>
      <w:r w:rsidR="0016668F" w:rsidRPr="00A52A72">
        <w:rPr>
          <w:rFonts w:asciiTheme="majorBidi" w:hAnsiTheme="majorBidi" w:cstheme="majorBidi"/>
          <w:b/>
          <w:bCs/>
        </w:rPr>
        <w:t>(Article 11)</w:t>
      </w:r>
    </w:p>
    <w:p w14:paraId="04736019" w14:textId="732099C5" w:rsidR="0016668F" w:rsidRPr="00270581" w:rsidRDefault="0016668F" w:rsidP="0014048C">
      <w:pPr>
        <w:spacing w:before="120" w:afterLines="100" w:after="240"/>
        <w:jc w:val="both"/>
        <w:rPr>
          <w:rStyle w:val="Strong"/>
          <w:rFonts w:asciiTheme="majorBidi" w:eastAsia="Times New Roman" w:hAnsiTheme="majorBidi" w:cstheme="majorBidi"/>
          <w:b w:val="0"/>
          <w:bCs w:val="0"/>
          <w:sz w:val="24"/>
          <w:szCs w:val="24"/>
        </w:rPr>
      </w:pPr>
      <w:r w:rsidRPr="00A52A72">
        <w:rPr>
          <w:rFonts w:asciiTheme="majorBidi" w:hAnsiTheme="majorBidi" w:cstheme="majorBidi"/>
        </w:rPr>
        <w:t>H</w:t>
      </w:r>
      <w:r w:rsidRPr="00A52A72">
        <w:rPr>
          <w:rFonts w:asciiTheme="majorBidi" w:hAnsiTheme="majorBidi" w:cstheme="majorBidi"/>
          <w:spacing w:val="3"/>
          <w:shd w:val="clear" w:color="auto" w:fill="FFFFFF"/>
        </w:rPr>
        <w:t xml:space="preserve">umanitarian conditions in Yemen continue to deteriorate, increasing the risk that Yemen will sink into the world’s worst famine in 100 years if the war continues. </w:t>
      </w:r>
      <w:r w:rsidR="005B4944" w:rsidRPr="00837A4E">
        <w:rPr>
          <w:rFonts w:asciiTheme="majorBidi" w:hAnsiTheme="majorBidi" w:cstheme="majorBidi"/>
          <w:spacing w:val="3"/>
          <w:shd w:val="clear" w:color="auto" w:fill="FFFFFF"/>
        </w:rPr>
        <w:t>Integrated Food Security Phase Classification</w:t>
      </w:r>
      <w:r w:rsidRPr="00A52A72">
        <w:rPr>
          <w:rFonts w:asciiTheme="majorBidi" w:hAnsiTheme="majorBidi" w:cstheme="majorBidi"/>
          <w:spacing w:val="3"/>
          <w:shd w:val="clear" w:color="auto" w:fill="FFFFFF"/>
        </w:rPr>
        <w:t xml:space="preserve"> estimate that </w:t>
      </w:r>
      <w:r w:rsidR="005B4944" w:rsidRPr="00837A4E">
        <w:rPr>
          <w:rFonts w:asciiTheme="majorBidi" w:hAnsiTheme="majorBidi" w:cstheme="majorBidi"/>
          <w:spacing w:val="3"/>
          <w:shd w:val="clear" w:color="auto" w:fill="FFFFFF"/>
        </w:rPr>
        <w:t>The acute food insecurity and malnutrition situation in Yemen has deteriorated further in 2022, starting June 2022 the number of people in need of assistance jumped from 17.4 to 19 million, and people facing extreme hunger levels (IPC Phase 5 Catastrophe) rising from 31,000 to 161,000. In addition, approximately 2.2 million children under the age of five, including 538,000 severely malnourished, and about 1.3 million pregnant and lactating women are projected to suffer from acute malnutrition over the course of 2022.</w:t>
      </w:r>
      <w:r w:rsidR="005B4944" w:rsidRPr="00837A4E">
        <w:rPr>
          <w:rStyle w:val="FootnoteReference"/>
          <w:rFonts w:asciiTheme="majorBidi" w:hAnsiTheme="majorBidi" w:cstheme="majorBidi"/>
          <w:spacing w:val="3"/>
          <w:shd w:val="clear" w:color="auto" w:fill="FFFFFF"/>
        </w:rPr>
        <w:footnoteReference w:id="2"/>
      </w:r>
    </w:p>
    <w:p w14:paraId="17BD0B00" w14:textId="2E7B83FE" w:rsidR="004C69D0" w:rsidRPr="00A52A72" w:rsidRDefault="0016668F" w:rsidP="0014048C">
      <w:pPr>
        <w:ind w:left="450"/>
        <w:jc w:val="both"/>
        <w:rPr>
          <w:rStyle w:val="Strong"/>
          <w:rFonts w:asciiTheme="majorBidi" w:eastAsia="Times New Roman" w:hAnsiTheme="majorBidi" w:cstheme="majorBidi"/>
          <w:i/>
          <w:iCs/>
        </w:rPr>
      </w:pPr>
      <w:r w:rsidRPr="00A52A72">
        <w:rPr>
          <w:rStyle w:val="Strong"/>
          <w:rFonts w:asciiTheme="majorBidi" w:eastAsia="Times New Roman" w:hAnsiTheme="majorBidi" w:cstheme="majorBidi"/>
          <w:i/>
          <w:iCs/>
        </w:rPr>
        <w:t>The use of Starvation as weapon of war</w:t>
      </w:r>
    </w:p>
    <w:p w14:paraId="1313D0F3" w14:textId="77777777" w:rsidR="00BF32DF" w:rsidRPr="00A52A72" w:rsidRDefault="00BF32DF" w:rsidP="0014048C">
      <w:pPr>
        <w:spacing w:before="120" w:afterLines="100" w:after="240"/>
        <w:jc w:val="both"/>
        <w:rPr>
          <w:rFonts w:asciiTheme="majorBidi" w:hAnsiTheme="majorBidi" w:cstheme="majorBidi"/>
        </w:rPr>
      </w:pPr>
      <w:r w:rsidRPr="00A52A72">
        <w:rPr>
          <w:rFonts w:asciiTheme="majorBidi" w:hAnsiTheme="majorBidi" w:cstheme="majorBidi"/>
        </w:rPr>
        <w:t>The parties to the conflict</w:t>
      </w:r>
      <w:r w:rsidRPr="00270581">
        <w:rPr>
          <w:rFonts w:asciiTheme="majorBidi" w:hAnsiTheme="majorBidi" w:cstheme="majorBidi"/>
        </w:rPr>
        <w:t xml:space="preserve"> in Yemen </w:t>
      </w:r>
      <w:r w:rsidRPr="00A52A72">
        <w:rPr>
          <w:rFonts w:asciiTheme="majorBidi" w:hAnsiTheme="majorBidi" w:cstheme="majorBidi"/>
        </w:rPr>
        <w:t>have violated the right to food and used starvation as a weapon of war.</w:t>
      </w:r>
      <w:r w:rsidRPr="00A52A72">
        <w:rPr>
          <w:rStyle w:val="FootnoteReference"/>
          <w:rFonts w:asciiTheme="majorBidi" w:hAnsiTheme="majorBidi" w:cstheme="majorBidi"/>
        </w:rPr>
        <w:footnoteReference w:id="3"/>
      </w:r>
      <w:r w:rsidRPr="00A52A72">
        <w:rPr>
          <w:rStyle w:val="FootnoteReference"/>
          <w:rFonts w:asciiTheme="majorBidi" w:hAnsiTheme="majorBidi" w:cstheme="majorBidi"/>
        </w:rPr>
        <w:t xml:space="preserve"> </w:t>
      </w:r>
      <w:r w:rsidRPr="00A52A72">
        <w:rPr>
          <w:rFonts w:asciiTheme="majorBidi" w:hAnsiTheme="majorBidi" w:cstheme="majorBidi"/>
          <w:spacing w:val="3"/>
          <w:shd w:val="clear" w:color="auto" w:fill="FFFFFF"/>
        </w:rPr>
        <w:t xml:space="preserve">They have </w:t>
      </w:r>
      <w:r w:rsidRPr="00A52A72">
        <w:rPr>
          <w:rFonts w:asciiTheme="majorBidi" w:hAnsiTheme="majorBidi" w:cstheme="majorBidi"/>
        </w:rPr>
        <w:t>impeded and blocked humanitarian supplies including food and nutritional supplements, blocked and closed ports and airports, conducted airstrikes and shelling on food warehouses</w:t>
      </w:r>
      <w:r>
        <w:rPr>
          <w:rFonts w:asciiTheme="majorBidi" w:hAnsiTheme="majorBidi" w:cstheme="majorBidi"/>
        </w:rPr>
        <w:t>.</w:t>
      </w:r>
    </w:p>
    <w:p w14:paraId="0C112BDB" w14:textId="3308E14D" w:rsidR="0016668F" w:rsidRPr="00A52A72" w:rsidRDefault="00BF32DF" w:rsidP="0014048C">
      <w:pPr>
        <w:jc w:val="both"/>
        <w:rPr>
          <w:rFonts w:asciiTheme="majorBidi" w:hAnsiTheme="majorBidi" w:cstheme="majorBidi"/>
        </w:rPr>
      </w:pPr>
      <w:r>
        <w:rPr>
          <w:rFonts w:asciiTheme="majorBidi" w:hAnsiTheme="majorBidi" w:cstheme="majorBidi"/>
        </w:rPr>
        <w:t xml:space="preserve"> </w:t>
      </w:r>
      <w:r w:rsidR="005B4944" w:rsidRPr="00A52A72">
        <w:rPr>
          <w:rFonts w:asciiTheme="majorBidi" w:hAnsiTheme="majorBidi" w:cstheme="majorBidi"/>
        </w:rPr>
        <w:t xml:space="preserve">In September 2021, </w:t>
      </w:r>
      <w:r w:rsidR="0016668F" w:rsidRPr="00A52A72">
        <w:rPr>
          <w:rFonts w:asciiTheme="majorBidi" w:hAnsiTheme="majorBidi" w:cstheme="majorBidi"/>
        </w:rPr>
        <w:t xml:space="preserve">Following a year-long investigation, and several years of research and documentation across Yemen, Mwatana for Human Rights (Mwatana) and Global Rights Compliance (GRC) published a report that documents conduct of the Saudi/UAE-led coalition—acting with the consent of the internationally recognized Government of Yemen and fighting with the Yemeni military—and Ansar Allah </w:t>
      </w:r>
      <w:r w:rsidR="0016668F" w:rsidRPr="00A52A72">
        <w:rPr>
          <w:rFonts w:asciiTheme="majorBidi" w:hAnsiTheme="majorBidi" w:cstheme="majorBidi"/>
        </w:rPr>
        <w:lastRenderedPageBreak/>
        <w:t xml:space="preserve">that has likely violated prohibitions under international humanitarian law (IHL) and international </w:t>
      </w:r>
      <w:r w:rsidR="005055A1" w:rsidRPr="00A52A72">
        <w:rPr>
          <w:rFonts w:asciiTheme="majorBidi" w:hAnsiTheme="majorBidi" w:cstheme="majorBidi"/>
        </w:rPr>
        <w:t xml:space="preserve">Human Rights </w:t>
      </w:r>
      <w:r w:rsidR="0016668F" w:rsidRPr="00A52A72">
        <w:rPr>
          <w:rFonts w:asciiTheme="majorBidi" w:hAnsiTheme="majorBidi" w:cstheme="majorBidi"/>
        </w:rPr>
        <w:t>law (IHRL).</w:t>
      </w:r>
    </w:p>
    <w:p w14:paraId="32F183AB" w14:textId="456E7214" w:rsidR="0016668F" w:rsidRPr="00A52A72" w:rsidRDefault="0016668F" w:rsidP="0014048C">
      <w:pPr>
        <w:jc w:val="both"/>
        <w:rPr>
          <w:rFonts w:asciiTheme="majorBidi" w:hAnsiTheme="majorBidi" w:cstheme="majorBidi"/>
          <w:b/>
          <w:bCs/>
        </w:rPr>
      </w:pPr>
      <w:r w:rsidRPr="00A52A72">
        <w:rPr>
          <w:rFonts w:asciiTheme="majorBidi" w:hAnsiTheme="majorBidi" w:cstheme="majorBidi"/>
          <w:color w:val="000000" w:themeColor="text1"/>
        </w:rPr>
        <w:t xml:space="preserve">Mwatana and GRC conclude that members of the Saudi/UAE-led coalition </w:t>
      </w:r>
      <w:r w:rsidR="005055A1" w:rsidRPr="00A52A72">
        <w:rPr>
          <w:rFonts w:asciiTheme="majorBidi" w:hAnsiTheme="majorBidi" w:cstheme="majorBidi"/>
        </w:rPr>
        <w:t xml:space="preserve">—acting with the consent of the internationally recognized Government of Yemen and fighting with the Yemeni military— </w:t>
      </w:r>
      <w:r w:rsidRPr="00A52A72">
        <w:rPr>
          <w:rFonts w:asciiTheme="majorBidi" w:hAnsiTheme="majorBidi" w:cstheme="majorBidi"/>
          <w:color w:val="000000" w:themeColor="text1"/>
        </w:rPr>
        <w:t xml:space="preserve">and Ansar Allah used starvation as a method of warfare. </w:t>
      </w:r>
      <w:r w:rsidRPr="00A52A72">
        <w:rPr>
          <w:rFonts w:asciiTheme="majorBidi" w:hAnsiTheme="majorBidi" w:cstheme="majorBidi"/>
          <w:color w:val="000000" w:themeColor="text1"/>
          <w:lang w:eastAsia="ja-JP"/>
        </w:rPr>
        <w:t>Their conduct severely impeded civilians’ access to food and water, and they</w:t>
      </w:r>
      <w:r w:rsidRPr="00A52A72">
        <w:rPr>
          <w:rFonts w:asciiTheme="majorBidi" w:hAnsiTheme="majorBidi" w:cstheme="majorBidi"/>
          <w:color w:val="000000" w:themeColor="text1"/>
        </w:rPr>
        <w:t xml:space="preserve"> </w:t>
      </w:r>
      <w:r w:rsidRPr="00A52A72">
        <w:rPr>
          <w:rFonts w:asciiTheme="majorBidi" w:hAnsiTheme="majorBidi" w:cstheme="majorBidi"/>
          <w:color w:val="000000" w:themeColor="text1"/>
          <w:lang w:eastAsia="ja-JP"/>
        </w:rPr>
        <w:t>acted in spite of the widespread knowledge of the dire humanitarian situation in Yemen, where people, including children, were dying from starvation.</w:t>
      </w:r>
      <w:r w:rsidRPr="00A52A72">
        <w:rPr>
          <w:rFonts w:asciiTheme="majorBidi" w:hAnsiTheme="majorBidi" w:cstheme="majorBidi"/>
          <w:color w:val="000000" w:themeColor="text1"/>
        </w:rPr>
        <w:t xml:space="preserve"> Members of the Saudi/UAE-led coalition and Ansar Allah </w:t>
      </w:r>
      <w:r w:rsidRPr="00A52A72">
        <w:rPr>
          <w:rFonts w:asciiTheme="majorBidi" w:hAnsiTheme="majorBidi" w:cstheme="majorBidi"/>
          <w:color w:val="000000" w:themeColor="text1"/>
          <w:lang w:eastAsia="ja-JP"/>
        </w:rPr>
        <w:t>were aware of the virtual certainty that, following their conduct, starvation would occur in the ordinary course of events—that is, without humanitarian intervention—or intended to use starvation as a method of warfare.</w:t>
      </w:r>
    </w:p>
    <w:p w14:paraId="6449E655" w14:textId="34C33385" w:rsidR="002A6B77" w:rsidRPr="00A52A72" w:rsidRDefault="002A6B77" w:rsidP="0014048C">
      <w:pPr>
        <w:ind w:left="450"/>
        <w:jc w:val="both"/>
        <w:rPr>
          <w:rFonts w:asciiTheme="majorBidi" w:hAnsiTheme="majorBidi" w:cstheme="majorBidi"/>
          <w:b/>
          <w:bCs/>
          <w:i/>
          <w:iCs/>
          <w:rtl/>
        </w:rPr>
      </w:pPr>
      <w:r w:rsidRPr="00A52A72">
        <w:rPr>
          <w:rFonts w:asciiTheme="majorBidi" w:hAnsiTheme="majorBidi" w:cstheme="majorBidi"/>
          <w:b/>
          <w:bCs/>
          <w:i/>
          <w:iCs/>
        </w:rPr>
        <w:t>Denial of Humanitarian Access</w:t>
      </w:r>
    </w:p>
    <w:p w14:paraId="6AA39025" w14:textId="68629807" w:rsidR="005055A1" w:rsidRPr="00A52A72" w:rsidRDefault="00A52A72" w:rsidP="0014048C">
      <w:pPr>
        <w:jc w:val="both"/>
        <w:rPr>
          <w:rStyle w:val="Strong"/>
          <w:rFonts w:asciiTheme="majorBidi" w:eastAsia="Times New Roman" w:hAnsiTheme="majorBidi" w:cstheme="majorBidi"/>
          <w:b w:val="0"/>
          <w:bCs w:val="0"/>
        </w:rPr>
      </w:pPr>
      <w:r>
        <w:rPr>
          <w:rFonts w:asciiTheme="majorBidi" w:hAnsiTheme="majorBidi" w:cstheme="majorBidi"/>
        </w:rPr>
        <w:t>D</w:t>
      </w:r>
      <w:r w:rsidRPr="00A52A72">
        <w:rPr>
          <w:rFonts w:asciiTheme="majorBidi" w:hAnsiTheme="majorBidi" w:cstheme="majorBidi"/>
        </w:rPr>
        <w:t>espite the UN-mediated truce</w:t>
      </w:r>
      <w:r>
        <w:rPr>
          <w:rFonts w:asciiTheme="majorBidi" w:hAnsiTheme="majorBidi" w:cstheme="majorBidi"/>
        </w:rPr>
        <w:t xml:space="preserve">, </w:t>
      </w:r>
      <w:r w:rsidR="00BF32DF" w:rsidRPr="00A52A72">
        <w:rPr>
          <w:rFonts w:asciiTheme="majorBidi" w:hAnsiTheme="majorBidi" w:cstheme="majorBidi"/>
        </w:rPr>
        <w:t>all</w:t>
      </w:r>
      <w:r w:rsidR="005055A1" w:rsidRPr="00A52A72">
        <w:rPr>
          <w:rFonts w:asciiTheme="majorBidi" w:hAnsiTheme="majorBidi" w:cstheme="majorBidi"/>
        </w:rPr>
        <w:t xml:space="preserve"> parties to the conflict have engaged in the obstruction of humanitarian supplies, including food and nutritional supplements, which has a particularly acute impact given the millions of Yemenis already living under the threat of famine.</w:t>
      </w:r>
      <w:r w:rsidR="005055A1" w:rsidRPr="00537031">
        <w:rPr>
          <w:rFonts w:asciiTheme="majorBidi" w:hAnsiTheme="majorBidi" w:cstheme="majorBidi"/>
          <w:vertAlign w:val="superscript"/>
        </w:rPr>
        <w:footnoteReference w:id="4"/>
      </w:r>
      <w:r w:rsidR="005055A1" w:rsidRPr="00A52A72">
        <w:rPr>
          <w:rFonts w:asciiTheme="majorBidi" w:hAnsiTheme="majorBidi" w:cstheme="majorBidi"/>
        </w:rPr>
        <w:t xml:space="preserve">  Between January</w:t>
      </w:r>
      <w:r w:rsidR="002A6B77" w:rsidRPr="00A52A72">
        <w:rPr>
          <w:rFonts w:asciiTheme="majorBidi" w:hAnsiTheme="majorBidi" w:cstheme="majorBidi"/>
        </w:rPr>
        <w:t xml:space="preserve"> 2021</w:t>
      </w:r>
      <w:r w:rsidR="005055A1" w:rsidRPr="00A52A72">
        <w:rPr>
          <w:rFonts w:asciiTheme="majorBidi" w:hAnsiTheme="majorBidi" w:cstheme="majorBidi"/>
        </w:rPr>
        <w:t xml:space="preserve"> and December 2022</w:t>
      </w:r>
      <w:r w:rsidR="002A6B77" w:rsidRPr="00A52A72">
        <w:rPr>
          <w:rFonts w:asciiTheme="majorBidi" w:hAnsiTheme="majorBidi" w:cstheme="majorBidi"/>
        </w:rPr>
        <w:t xml:space="preserve">, Mwatana </w:t>
      </w:r>
      <w:r w:rsidR="00BD78D0">
        <w:rPr>
          <w:rFonts w:asciiTheme="majorBidi" w:hAnsiTheme="majorBidi" w:cstheme="majorBidi"/>
        </w:rPr>
        <w:t>verified</w:t>
      </w:r>
      <w:r w:rsidR="002A6B77" w:rsidRPr="00A52A72">
        <w:rPr>
          <w:rFonts w:asciiTheme="majorBidi" w:hAnsiTheme="majorBidi" w:cstheme="majorBidi"/>
        </w:rPr>
        <w:t xml:space="preserve"> at least </w:t>
      </w:r>
      <w:r w:rsidR="005055A1" w:rsidRPr="00A52A72">
        <w:rPr>
          <w:rFonts w:asciiTheme="majorBidi" w:hAnsiTheme="majorBidi" w:cstheme="majorBidi"/>
        </w:rPr>
        <w:t xml:space="preserve">171 </w:t>
      </w:r>
      <w:r w:rsidR="002A6B77" w:rsidRPr="00A52A72">
        <w:rPr>
          <w:rFonts w:asciiTheme="majorBidi" w:hAnsiTheme="majorBidi" w:cstheme="majorBidi"/>
        </w:rPr>
        <w:t xml:space="preserve">incidents whereby the parties to the conflict obstructed access of humanitarian aid and basic materials to civilians. Ansar Allah group (Houthis) bears responsibility for </w:t>
      </w:r>
      <w:r w:rsidR="005055A1" w:rsidRPr="00A52A72">
        <w:rPr>
          <w:rFonts w:asciiTheme="majorBidi" w:hAnsiTheme="majorBidi" w:cstheme="majorBidi"/>
        </w:rPr>
        <w:t xml:space="preserve">128 </w:t>
      </w:r>
      <w:r w:rsidR="002A6B77" w:rsidRPr="00A52A72">
        <w:rPr>
          <w:rFonts w:asciiTheme="majorBidi" w:hAnsiTheme="majorBidi" w:cstheme="majorBidi"/>
        </w:rPr>
        <w:t xml:space="preserve">incidents including the detention of 6 aid workers, and UAE-backed STC is responsible for </w:t>
      </w:r>
      <w:r w:rsidR="005055A1" w:rsidRPr="00A52A72">
        <w:rPr>
          <w:rFonts w:asciiTheme="majorBidi" w:hAnsiTheme="majorBidi" w:cstheme="majorBidi"/>
        </w:rPr>
        <w:t xml:space="preserve">13 </w:t>
      </w:r>
      <w:r w:rsidR="002A6B77" w:rsidRPr="00A52A72">
        <w:rPr>
          <w:rFonts w:asciiTheme="majorBidi" w:hAnsiTheme="majorBidi" w:cstheme="majorBidi"/>
        </w:rPr>
        <w:t>incidents including the killing of an aid worker</w:t>
      </w:r>
      <w:r w:rsidR="005055A1" w:rsidRPr="00A52A72">
        <w:rPr>
          <w:rFonts w:asciiTheme="majorBidi" w:hAnsiTheme="majorBidi" w:cstheme="majorBidi"/>
        </w:rPr>
        <w:t>,</w:t>
      </w:r>
      <w:r w:rsidR="002A6B77" w:rsidRPr="00A52A72">
        <w:rPr>
          <w:rFonts w:asciiTheme="majorBidi" w:hAnsiTheme="majorBidi" w:cstheme="majorBidi"/>
        </w:rPr>
        <w:t xml:space="preserve"> wounding </w:t>
      </w:r>
      <w:r w:rsidR="005055A1" w:rsidRPr="00A52A72">
        <w:rPr>
          <w:rFonts w:asciiTheme="majorBidi" w:hAnsiTheme="majorBidi" w:cstheme="majorBidi"/>
        </w:rPr>
        <w:t xml:space="preserve">a </w:t>
      </w:r>
      <w:r w:rsidR="00C26AA5" w:rsidRPr="00A52A72">
        <w:rPr>
          <w:rFonts w:asciiTheme="majorBidi" w:hAnsiTheme="majorBidi" w:cstheme="majorBidi"/>
        </w:rPr>
        <w:t>humanitarian</w:t>
      </w:r>
      <w:r w:rsidR="005055A1" w:rsidRPr="00A52A72">
        <w:rPr>
          <w:rFonts w:asciiTheme="majorBidi" w:hAnsiTheme="majorBidi" w:cstheme="majorBidi"/>
        </w:rPr>
        <w:t xml:space="preserve"> worker and </w:t>
      </w:r>
      <w:r w:rsidR="005055A1" w:rsidRPr="00A52A72">
        <w:rPr>
          <w:rStyle w:val="Strong"/>
          <w:rFonts w:asciiTheme="majorBidi" w:eastAsia="Times New Roman" w:hAnsiTheme="majorBidi" w:cstheme="majorBidi"/>
          <w:b w:val="0"/>
          <w:bCs w:val="0"/>
        </w:rPr>
        <w:t>arbitrary detention and torture against an aid worker</w:t>
      </w:r>
      <w:r w:rsidR="002A6B77" w:rsidRPr="00A52A72">
        <w:rPr>
          <w:rFonts w:asciiTheme="majorBidi" w:hAnsiTheme="majorBidi" w:cstheme="majorBidi"/>
        </w:rPr>
        <w:t xml:space="preserve">, while </w:t>
      </w:r>
      <w:r w:rsidR="005055A1" w:rsidRPr="00A52A72">
        <w:rPr>
          <w:rFonts w:asciiTheme="majorBidi" w:hAnsiTheme="majorBidi" w:cstheme="majorBidi"/>
        </w:rPr>
        <w:t xml:space="preserve">Yemeni </w:t>
      </w:r>
      <w:r w:rsidR="002A6B77" w:rsidRPr="00A52A72">
        <w:rPr>
          <w:rFonts w:asciiTheme="majorBidi" w:hAnsiTheme="majorBidi" w:cstheme="majorBidi"/>
        </w:rPr>
        <w:t>government</w:t>
      </w:r>
      <w:r w:rsidR="005055A1" w:rsidRPr="00A52A72">
        <w:rPr>
          <w:rFonts w:asciiTheme="majorBidi" w:hAnsiTheme="majorBidi" w:cstheme="majorBidi"/>
        </w:rPr>
        <w:t>al</w:t>
      </w:r>
      <w:r w:rsidR="002A6B77" w:rsidRPr="00A52A72">
        <w:rPr>
          <w:rFonts w:asciiTheme="majorBidi" w:hAnsiTheme="majorBidi" w:cstheme="majorBidi"/>
        </w:rPr>
        <w:t xml:space="preserve"> forces committed </w:t>
      </w:r>
      <w:r w:rsidR="005055A1" w:rsidRPr="00A52A72">
        <w:rPr>
          <w:rFonts w:asciiTheme="majorBidi" w:hAnsiTheme="majorBidi" w:cstheme="majorBidi"/>
        </w:rPr>
        <w:t xml:space="preserve">five </w:t>
      </w:r>
      <w:r w:rsidR="002A6B77" w:rsidRPr="00A52A72">
        <w:rPr>
          <w:rFonts w:asciiTheme="majorBidi" w:hAnsiTheme="majorBidi" w:cstheme="majorBidi"/>
        </w:rPr>
        <w:t xml:space="preserve">incidents, And the UAE-backed joint forces committed </w:t>
      </w:r>
      <w:r w:rsidR="005055A1" w:rsidRPr="00A52A72">
        <w:rPr>
          <w:rFonts w:asciiTheme="majorBidi" w:hAnsiTheme="majorBidi" w:cstheme="majorBidi"/>
        </w:rPr>
        <w:t xml:space="preserve">two </w:t>
      </w:r>
      <w:r w:rsidR="002A6B77" w:rsidRPr="00A52A72">
        <w:rPr>
          <w:rFonts w:asciiTheme="majorBidi" w:hAnsiTheme="majorBidi" w:cstheme="majorBidi"/>
        </w:rPr>
        <w:t>incident</w:t>
      </w:r>
      <w:r w:rsidR="005055A1" w:rsidRPr="00A52A72">
        <w:rPr>
          <w:rFonts w:asciiTheme="majorBidi" w:hAnsiTheme="majorBidi" w:cstheme="majorBidi"/>
        </w:rPr>
        <w:t>s.</w:t>
      </w:r>
    </w:p>
    <w:p w14:paraId="71FD192F" w14:textId="296F2C05" w:rsidR="00315177" w:rsidRPr="00A52A72" w:rsidRDefault="00C26AA5" w:rsidP="0014048C">
      <w:pPr>
        <w:pStyle w:val="ListParagraph"/>
        <w:numPr>
          <w:ilvl w:val="0"/>
          <w:numId w:val="6"/>
        </w:numPr>
        <w:jc w:val="both"/>
        <w:rPr>
          <w:rStyle w:val="Strong"/>
          <w:rFonts w:asciiTheme="majorBidi" w:hAnsiTheme="majorBidi" w:cstheme="majorBidi"/>
          <w:b w:val="0"/>
          <w:bCs w:val="0"/>
          <w:i/>
          <w:iCs/>
        </w:rPr>
      </w:pPr>
      <w:r w:rsidRPr="00A52A72">
        <w:rPr>
          <w:rStyle w:val="Strong"/>
          <w:rFonts w:asciiTheme="majorBidi" w:hAnsiTheme="majorBidi" w:cstheme="majorBidi"/>
          <w:b w:val="0"/>
          <w:bCs w:val="0"/>
          <w:i/>
          <w:iCs/>
        </w:rPr>
        <w:t>On Thursday, January 21, 2021, around 6:00 a.m., the Southern Transitional Council forces stopped humanitarian aid trucks of the World Food Organization at a military checkpoint in Al-Bwaib area, north of Al-Mallah district in Lahj governorate. The aid was intended for 47 elementary schools in different areas of Radfan district in Lahj governorate. This aid used to be distributed daily to 16,555 students.</w:t>
      </w:r>
      <w:r w:rsidRPr="00A52A72">
        <w:rPr>
          <w:rStyle w:val="FootnoteReference"/>
          <w:rFonts w:asciiTheme="majorBidi" w:hAnsiTheme="majorBidi" w:cstheme="majorBidi"/>
          <w:i/>
          <w:iCs/>
        </w:rPr>
        <w:footnoteReference w:id="5"/>
      </w:r>
    </w:p>
    <w:p w14:paraId="63291D72" w14:textId="2D383670" w:rsidR="005055A1" w:rsidRPr="00315177" w:rsidRDefault="005055A1" w:rsidP="0014048C">
      <w:pPr>
        <w:pStyle w:val="ListParagraph"/>
        <w:jc w:val="both"/>
        <w:rPr>
          <w:rStyle w:val="Strong"/>
          <w:rFonts w:asciiTheme="majorBidi" w:eastAsia="Times New Roman" w:hAnsiTheme="majorBidi" w:cstheme="majorBidi"/>
          <w:b w:val="0"/>
          <w:bCs w:val="0"/>
          <w:sz w:val="24"/>
          <w:szCs w:val="24"/>
        </w:rPr>
      </w:pPr>
    </w:p>
    <w:p w14:paraId="4B884D59" w14:textId="77777777" w:rsidR="005055A1" w:rsidRPr="00A52A72" w:rsidRDefault="005055A1" w:rsidP="0014048C">
      <w:pPr>
        <w:tabs>
          <w:tab w:val="center" w:pos="4513"/>
        </w:tabs>
        <w:spacing w:before="120" w:afterLines="100" w:after="240"/>
        <w:ind w:left="540"/>
        <w:jc w:val="both"/>
        <w:rPr>
          <w:rFonts w:asciiTheme="majorBidi" w:hAnsiTheme="majorBidi" w:cstheme="majorBidi"/>
          <w:b/>
          <w:bCs/>
          <w:i/>
          <w:iCs/>
        </w:rPr>
      </w:pPr>
      <w:r w:rsidRPr="00A52A72">
        <w:rPr>
          <w:rFonts w:asciiTheme="majorBidi" w:hAnsiTheme="majorBidi" w:cstheme="majorBidi"/>
          <w:b/>
          <w:bCs/>
          <w:i/>
          <w:iCs/>
        </w:rPr>
        <w:t>Rising food prices</w:t>
      </w:r>
    </w:p>
    <w:p w14:paraId="470C24C1" w14:textId="28F88FBD" w:rsidR="005055A1" w:rsidRPr="00A52A72" w:rsidRDefault="005055A1" w:rsidP="0014048C">
      <w:pPr>
        <w:spacing w:before="120" w:afterLines="100" w:after="240"/>
        <w:jc w:val="both"/>
        <w:rPr>
          <w:rFonts w:asciiTheme="majorBidi" w:hAnsiTheme="majorBidi" w:cstheme="majorBidi"/>
          <w:lang w:eastAsia="en-GB"/>
        </w:rPr>
      </w:pPr>
      <w:r w:rsidRPr="00A52A72">
        <w:rPr>
          <w:rFonts w:asciiTheme="majorBidi" w:hAnsiTheme="majorBidi" w:cstheme="majorBidi"/>
        </w:rPr>
        <w:t>The poor economic situation, additional customs fees on imported goods imposed by the Houthis, and the extremely low value of the Yemeni rial has caused a catastrophic increase in the price of food.</w:t>
      </w:r>
      <w:r w:rsidRPr="00A52A72">
        <w:rPr>
          <w:rStyle w:val="FootnoteReference"/>
          <w:rFonts w:asciiTheme="majorBidi" w:hAnsiTheme="majorBidi" w:cstheme="majorBidi"/>
        </w:rPr>
        <w:footnoteReference w:id="6"/>
      </w:r>
      <w:r w:rsidRPr="00A52A72">
        <w:rPr>
          <w:rFonts w:asciiTheme="majorBidi" w:hAnsiTheme="majorBidi" w:cstheme="majorBidi"/>
        </w:rPr>
        <w:t xml:space="preserve"> The Yemeni government has exacerbated the economic crisis by interrupting salary payments of government employees since 2016, affecting one quarter of the population and making it nearly impossible for public sector </w:t>
      </w:r>
      <w:r w:rsidRPr="00A52A72">
        <w:rPr>
          <w:rFonts w:asciiTheme="majorBidi" w:hAnsiTheme="majorBidi" w:cstheme="majorBidi"/>
        </w:rPr>
        <w:lastRenderedPageBreak/>
        <w:t>employees and their families to afford food.</w:t>
      </w:r>
      <w:r w:rsidRPr="00A52A72">
        <w:rPr>
          <w:rStyle w:val="FootnoteReference"/>
          <w:rFonts w:asciiTheme="majorBidi" w:hAnsiTheme="majorBidi" w:cstheme="majorBidi"/>
        </w:rPr>
        <w:footnoteReference w:id="7"/>
      </w:r>
      <w:r w:rsidRPr="00A52A72">
        <w:rPr>
          <w:rFonts w:asciiTheme="majorBidi" w:hAnsiTheme="majorBidi" w:cstheme="majorBidi"/>
        </w:rPr>
        <w:t xml:space="preserve"> Additionally, the Yemeni government has adopted a particular procedure to pay the salaries of employees in the areas under the control of the Houthi group, which requires employees to travel to the Aden governorate with the status of “displaced person,” in order to receive their salaries. Travelling to Aden requires a difficult journey from Houthi-controlled areas and those who travel risk detention at the</w:t>
      </w:r>
      <w:r w:rsidR="001D4005" w:rsidRPr="00A52A72">
        <w:rPr>
          <w:rFonts w:asciiTheme="majorBidi" w:hAnsiTheme="majorBidi" w:cstheme="majorBidi"/>
        </w:rPr>
        <w:t xml:space="preserve"> </w:t>
      </w:r>
      <w:r w:rsidRPr="00A52A72">
        <w:rPr>
          <w:rFonts w:asciiTheme="majorBidi" w:hAnsiTheme="majorBidi" w:cstheme="majorBidi"/>
        </w:rPr>
        <w:t>security points along the way, denial of entry by Security Belt forces who have barred citizens from the northern areas from entering Aden, or their physical security, due to the ongoing conflict.</w:t>
      </w:r>
      <w:r w:rsidRPr="00A52A72">
        <w:rPr>
          <w:rStyle w:val="FootnoteReference"/>
          <w:rFonts w:asciiTheme="majorBidi" w:hAnsiTheme="majorBidi" w:cstheme="majorBidi"/>
        </w:rPr>
        <w:footnoteReference w:id="8"/>
      </w:r>
      <w:r w:rsidRPr="00A52A72">
        <w:rPr>
          <w:rFonts w:asciiTheme="majorBidi" w:hAnsiTheme="majorBidi" w:cstheme="majorBidi"/>
        </w:rPr>
        <w:t xml:space="preserve"> </w:t>
      </w:r>
    </w:p>
    <w:p w14:paraId="2F143521" w14:textId="77777777" w:rsidR="005055A1" w:rsidRPr="00A52A72" w:rsidRDefault="005055A1" w:rsidP="0014048C">
      <w:pPr>
        <w:jc w:val="both"/>
        <w:rPr>
          <w:rStyle w:val="Strong"/>
          <w:rFonts w:asciiTheme="majorBidi" w:eastAsia="Times New Roman" w:hAnsiTheme="majorBidi" w:cstheme="majorBidi"/>
          <w:b w:val="0"/>
          <w:bCs w:val="0"/>
        </w:rPr>
      </w:pPr>
    </w:p>
    <w:p w14:paraId="38CC7E9F" w14:textId="77777777" w:rsidR="001D4005" w:rsidRPr="00A52A72" w:rsidRDefault="001D4005" w:rsidP="0014048C">
      <w:pPr>
        <w:pStyle w:val="ListParagraph"/>
        <w:numPr>
          <w:ilvl w:val="0"/>
          <w:numId w:val="1"/>
        </w:numPr>
        <w:spacing w:afterLines="100" w:after="240" w:line="240" w:lineRule="auto"/>
        <w:ind w:left="1080"/>
        <w:jc w:val="both"/>
        <w:rPr>
          <w:rFonts w:asciiTheme="majorBidi" w:hAnsiTheme="majorBidi" w:cstheme="majorBidi"/>
          <w:b/>
          <w:bCs/>
        </w:rPr>
      </w:pPr>
      <w:r w:rsidRPr="00A52A72">
        <w:rPr>
          <w:rFonts w:asciiTheme="majorBidi" w:hAnsiTheme="majorBidi" w:cstheme="majorBidi"/>
          <w:b/>
          <w:bCs/>
        </w:rPr>
        <w:t>Rights to water and sanitation</w:t>
      </w:r>
    </w:p>
    <w:p w14:paraId="18227E3E" w14:textId="01F93F78" w:rsidR="001D4005" w:rsidRPr="00537031" w:rsidRDefault="00E836A8" w:rsidP="0014048C">
      <w:pPr>
        <w:spacing w:afterLines="100" w:after="240"/>
        <w:jc w:val="both"/>
        <w:rPr>
          <w:rFonts w:asciiTheme="majorBidi" w:hAnsiTheme="majorBidi" w:cstheme="majorBidi"/>
          <w:color w:val="000000"/>
          <w:lang w:eastAsia="de-DE"/>
        </w:rPr>
      </w:pPr>
      <w:r w:rsidRPr="00537031">
        <w:rPr>
          <w:rFonts w:asciiTheme="majorBidi" w:hAnsiTheme="majorBidi" w:cstheme="majorBidi"/>
          <w:color w:val="000000"/>
          <w:lang w:eastAsia="de-DE"/>
        </w:rPr>
        <w:t>By the end of 2022, 17.8 million people in Yemen</w:t>
      </w:r>
      <w:r>
        <w:rPr>
          <w:rFonts w:asciiTheme="majorBidi" w:hAnsiTheme="majorBidi" w:cstheme="majorBidi"/>
          <w:color w:val="000000"/>
          <w:lang w:eastAsia="de-DE"/>
        </w:rPr>
        <w:t xml:space="preserve">, </w:t>
      </w:r>
      <w:r w:rsidRPr="00976C99">
        <w:rPr>
          <w:rFonts w:asciiTheme="majorBidi" w:hAnsiTheme="majorBidi" w:cstheme="majorBidi"/>
          <w:color w:val="000000"/>
          <w:lang w:eastAsia="de-DE"/>
        </w:rPr>
        <w:t>two-thirds of Yemen’s population</w:t>
      </w:r>
      <w:r>
        <w:rPr>
          <w:rFonts w:asciiTheme="majorBidi" w:hAnsiTheme="majorBidi" w:cstheme="majorBidi"/>
          <w:color w:val="000000"/>
          <w:lang w:eastAsia="de-DE"/>
        </w:rPr>
        <w:t xml:space="preserve"> </w:t>
      </w:r>
      <w:r w:rsidRPr="00E836A8">
        <w:rPr>
          <w:rFonts w:asciiTheme="majorBidi" w:hAnsiTheme="majorBidi" w:cstheme="majorBidi"/>
          <w:color w:val="000000"/>
          <w:lang w:eastAsia="de-DE"/>
        </w:rPr>
        <w:t>including 9.2 million children</w:t>
      </w:r>
      <w:r w:rsidRPr="00976C99">
        <w:rPr>
          <w:rFonts w:asciiTheme="majorBidi" w:hAnsiTheme="majorBidi" w:cstheme="majorBidi"/>
          <w:color w:val="000000"/>
          <w:lang w:eastAsia="de-DE"/>
        </w:rPr>
        <w:t>,</w:t>
      </w:r>
      <w:r w:rsidRPr="00537031">
        <w:rPr>
          <w:rFonts w:asciiTheme="majorBidi" w:hAnsiTheme="majorBidi" w:cstheme="majorBidi"/>
          <w:color w:val="000000"/>
          <w:lang w:eastAsia="de-DE"/>
        </w:rPr>
        <w:t xml:space="preserve"> did not have access to safe drinking water, sanitation, and hygiene services</w:t>
      </w:r>
      <w:r>
        <w:rPr>
          <w:rFonts w:asciiTheme="majorBidi" w:hAnsiTheme="majorBidi" w:cstheme="majorBidi"/>
          <w:color w:val="000000"/>
          <w:lang w:eastAsia="de-DE"/>
        </w:rPr>
        <w:t>.</w:t>
      </w:r>
      <w:r>
        <w:rPr>
          <w:rStyle w:val="FootnoteReference"/>
          <w:rFonts w:asciiTheme="majorBidi" w:hAnsiTheme="majorBidi" w:cstheme="majorBidi"/>
          <w:color w:val="000000"/>
          <w:lang w:eastAsia="de-DE"/>
        </w:rPr>
        <w:footnoteReference w:id="9"/>
      </w:r>
      <w:r w:rsidR="001D4005" w:rsidRPr="00537031">
        <w:rPr>
          <w:rFonts w:asciiTheme="majorBidi" w:hAnsiTheme="majorBidi" w:cstheme="majorBidi"/>
          <w:color w:val="000000"/>
          <w:lang w:eastAsia="de-DE"/>
        </w:rPr>
        <w:t xml:space="preserve"> </w:t>
      </w:r>
    </w:p>
    <w:p w14:paraId="01B64AC2" w14:textId="5204906C" w:rsidR="001D4005" w:rsidRPr="00270581" w:rsidRDefault="001D4005" w:rsidP="0014048C">
      <w:pPr>
        <w:spacing w:afterLines="100" w:after="240"/>
        <w:jc w:val="both"/>
        <w:rPr>
          <w:rStyle w:val="Strong"/>
          <w:rFonts w:asciiTheme="majorBidi" w:eastAsia="Times New Roman" w:hAnsiTheme="majorBidi" w:cstheme="majorBidi"/>
          <w:b w:val="0"/>
          <w:bCs w:val="0"/>
          <w:sz w:val="24"/>
          <w:szCs w:val="24"/>
        </w:rPr>
      </w:pPr>
      <w:r w:rsidRPr="00A52A72">
        <w:rPr>
          <w:rFonts w:asciiTheme="majorBidi" w:hAnsiTheme="majorBidi" w:cstheme="majorBidi"/>
          <w:color w:val="000000"/>
          <w:lang w:eastAsia="de-DE"/>
        </w:rPr>
        <w:t>Coalition strikes have destroyed water and sanitation facilities, causing water access to shrink and prices to skyrocket. Houthis have also harmed access to water, placing landmines near water sources and endangering, injuring, or killing those who collect water. The severity of water scarcity in Yemen and the prevalence of attacks by government-allied forces on water and sanitation facilities make clear that the government of Yemen has not met its international legal obligations to, at a minimum, ensure access to “the minimum essential amount of water, that is sufficient and safe for personal and domestic uses to prevent disease” and “</w:t>
      </w:r>
      <w:r w:rsidRPr="00A52A72">
        <w:rPr>
          <w:rFonts w:asciiTheme="majorBidi" w:hAnsiTheme="majorBidi" w:cstheme="majorBidi"/>
          <w:sz w:val="23"/>
          <w:szCs w:val="23"/>
        </w:rPr>
        <w:t>ensure personal security is not threatened when having to physically access to water.”</w:t>
      </w:r>
      <w:r w:rsidRPr="00A52A72">
        <w:rPr>
          <w:rStyle w:val="FootnoteReference"/>
          <w:rFonts w:asciiTheme="majorBidi" w:hAnsiTheme="majorBidi" w:cstheme="majorBidi"/>
          <w:color w:val="000000"/>
          <w:lang w:eastAsia="de-DE"/>
        </w:rPr>
        <w:footnoteReference w:id="10"/>
      </w:r>
      <w:r w:rsidRPr="00A52A72">
        <w:rPr>
          <w:rFonts w:asciiTheme="majorBidi" w:hAnsiTheme="majorBidi" w:cstheme="majorBidi"/>
          <w:color w:val="000000"/>
          <w:lang w:eastAsia="de-DE"/>
        </w:rPr>
        <w:t xml:space="preserve"> Its failure to enact systems through which it can monitor, prevent, and mitigate the impacts of the armed conflict on water and sanitation services constitute violations of the rights to water and sanitation. </w:t>
      </w:r>
    </w:p>
    <w:p w14:paraId="6F8E6871" w14:textId="77777777" w:rsidR="001D4005" w:rsidRPr="00A52A72" w:rsidRDefault="001D4005" w:rsidP="0014048C">
      <w:pPr>
        <w:spacing w:afterLines="100" w:after="240"/>
        <w:ind w:left="540"/>
        <w:jc w:val="both"/>
        <w:rPr>
          <w:rFonts w:asciiTheme="majorBidi" w:hAnsiTheme="majorBidi" w:cstheme="majorBidi"/>
          <w:b/>
          <w:bCs/>
          <w:i/>
          <w:iCs/>
          <w:color w:val="000000"/>
          <w:lang w:eastAsia="de-DE"/>
        </w:rPr>
      </w:pPr>
      <w:r w:rsidRPr="00A52A72">
        <w:rPr>
          <w:rFonts w:asciiTheme="majorBidi" w:hAnsiTheme="majorBidi" w:cstheme="majorBidi"/>
          <w:b/>
          <w:bCs/>
          <w:i/>
          <w:iCs/>
          <w:color w:val="000000"/>
          <w:lang w:eastAsia="de-DE"/>
        </w:rPr>
        <w:t>Destruction of water and sanitation facilities</w:t>
      </w:r>
    </w:p>
    <w:p w14:paraId="4549989C" w14:textId="4D4C4D51" w:rsidR="001D4005" w:rsidRPr="00A52A72" w:rsidRDefault="001D4005" w:rsidP="0014048C">
      <w:pPr>
        <w:spacing w:afterLines="100" w:after="240"/>
        <w:jc w:val="both"/>
        <w:rPr>
          <w:rFonts w:asciiTheme="majorBidi" w:hAnsiTheme="majorBidi" w:cstheme="majorBidi"/>
          <w:color w:val="000000"/>
          <w:lang w:eastAsia="de-DE"/>
        </w:rPr>
      </w:pPr>
      <w:r w:rsidRPr="00A52A72">
        <w:rPr>
          <w:rFonts w:asciiTheme="majorBidi" w:hAnsiTheme="majorBidi" w:cstheme="majorBidi"/>
          <w:color w:val="000000"/>
          <w:lang w:eastAsia="de-DE"/>
        </w:rPr>
        <w:t>The Coalition has engaged in targeted attacks on multiple water and sanitation facilities. For example:</w:t>
      </w:r>
    </w:p>
    <w:p w14:paraId="033EEDBA" w14:textId="7A68A630" w:rsidR="001D4005" w:rsidRPr="00A52A72" w:rsidRDefault="000E5F61" w:rsidP="0014048C">
      <w:pPr>
        <w:pStyle w:val="ListParagraph"/>
        <w:numPr>
          <w:ilvl w:val="0"/>
          <w:numId w:val="6"/>
        </w:numPr>
        <w:spacing w:afterLines="100" w:after="240"/>
        <w:jc w:val="both"/>
        <w:rPr>
          <w:rFonts w:asciiTheme="majorBidi" w:hAnsiTheme="majorBidi" w:cstheme="majorBidi"/>
          <w:i/>
          <w:iCs/>
          <w:color w:val="000000"/>
          <w:lang w:eastAsia="de-DE"/>
        </w:rPr>
      </w:pPr>
      <w:r w:rsidRPr="00A52A72">
        <w:rPr>
          <w:rFonts w:asciiTheme="majorBidi" w:hAnsiTheme="majorBidi" w:cstheme="majorBidi"/>
          <w:i/>
          <w:iCs/>
          <w:color w:val="000000"/>
          <w:lang w:eastAsia="de-DE"/>
        </w:rPr>
        <w:t xml:space="preserve">On Thursday, March 22, 2018, a Saudi/UAE-led Coalition aircraft dropped at least one bomb on Al-Nushoor </w:t>
      </w:r>
      <w:r w:rsidR="001A3B38" w:rsidRPr="00A52A72">
        <w:rPr>
          <w:rFonts w:asciiTheme="majorBidi" w:hAnsiTheme="majorBidi" w:cstheme="majorBidi"/>
          <w:i/>
          <w:iCs/>
          <w:color w:val="000000"/>
          <w:lang w:eastAsia="de-DE"/>
        </w:rPr>
        <w:t xml:space="preserve">UNICEF funded </w:t>
      </w:r>
      <w:r w:rsidRPr="00A52A72">
        <w:rPr>
          <w:rFonts w:asciiTheme="majorBidi" w:hAnsiTheme="majorBidi" w:cstheme="majorBidi"/>
          <w:i/>
          <w:iCs/>
          <w:color w:val="000000"/>
          <w:lang w:eastAsia="de-DE"/>
        </w:rPr>
        <w:t>Water Facility</w:t>
      </w:r>
      <w:r w:rsidR="001A3B38" w:rsidRPr="00A52A72">
        <w:rPr>
          <w:rFonts w:asciiTheme="majorBidi" w:hAnsiTheme="majorBidi" w:cstheme="majorBidi"/>
          <w:i/>
          <w:iCs/>
          <w:color w:val="000000"/>
          <w:lang w:eastAsia="de-DE"/>
        </w:rPr>
        <w:t xml:space="preserve"> that serves 10,500 beneficiaries from 600 households in</w:t>
      </w:r>
      <w:r w:rsidR="001A3B38" w:rsidRPr="00A52A72">
        <w:rPr>
          <w:rFonts w:asciiTheme="majorBidi" w:hAnsiTheme="majorBidi" w:cstheme="majorBidi"/>
          <w:i/>
          <w:iCs/>
        </w:rPr>
        <w:t xml:space="preserve"> </w:t>
      </w:r>
      <w:r w:rsidR="001A3B38" w:rsidRPr="00A52A72">
        <w:rPr>
          <w:rFonts w:asciiTheme="majorBidi" w:hAnsiTheme="majorBidi" w:cstheme="majorBidi"/>
          <w:i/>
          <w:iCs/>
          <w:color w:val="000000"/>
          <w:lang w:eastAsia="de-DE"/>
        </w:rPr>
        <w:t>Al Assaid Area, Kitaf wa Al Buqa’a District, Saada Governorate.</w:t>
      </w:r>
      <w:r w:rsidRPr="00A52A72">
        <w:rPr>
          <w:rFonts w:asciiTheme="majorBidi" w:hAnsiTheme="majorBidi" w:cstheme="majorBidi"/>
          <w:i/>
          <w:iCs/>
          <w:color w:val="000000"/>
          <w:lang w:eastAsia="de-DE"/>
        </w:rPr>
        <w:t xml:space="preserve"> The airstrike destroyed a water pump and the guard room.</w:t>
      </w:r>
      <w:r w:rsidR="001A3B38" w:rsidRPr="00A52A72">
        <w:rPr>
          <w:rStyle w:val="FootnoteReference"/>
          <w:rFonts w:asciiTheme="majorBidi" w:hAnsiTheme="majorBidi" w:cstheme="majorBidi"/>
          <w:i/>
          <w:iCs/>
          <w:color w:val="000000"/>
          <w:lang w:eastAsia="de-DE"/>
        </w:rPr>
        <w:footnoteReference w:id="11"/>
      </w:r>
    </w:p>
    <w:p w14:paraId="0EF34C9F" w14:textId="03E6B8CC" w:rsidR="001A3B38" w:rsidRPr="00A52A72" w:rsidRDefault="001A3B38" w:rsidP="0014048C">
      <w:pPr>
        <w:pStyle w:val="ListParagraph"/>
        <w:spacing w:afterLines="100" w:after="240"/>
        <w:jc w:val="both"/>
        <w:rPr>
          <w:rFonts w:asciiTheme="majorBidi" w:hAnsiTheme="majorBidi" w:cstheme="majorBidi"/>
          <w:color w:val="000000"/>
          <w:lang w:eastAsia="de-DE"/>
        </w:rPr>
      </w:pPr>
      <w:r w:rsidRPr="00A52A72">
        <w:rPr>
          <w:rFonts w:asciiTheme="majorBidi" w:hAnsiTheme="majorBidi" w:cstheme="majorBidi"/>
          <w:i/>
        </w:rPr>
        <w:t xml:space="preserve">On Monday, July 23, 2018, around one month after it was repaired by UNICEF, at around 11:00 p.m., a Saudi/UAE-led Coalition aircraft dropped four bombs, with about five to ten minutes </w:t>
      </w:r>
      <w:r w:rsidRPr="00A52A72">
        <w:rPr>
          <w:rFonts w:asciiTheme="majorBidi" w:hAnsiTheme="majorBidi" w:cstheme="majorBidi"/>
          <w:i/>
        </w:rPr>
        <w:lastRenderedPageBreak/>
        <w:t>between each bomb. The bombs fell directly on Al-Nushoor Water Facility, destroying one of the water pumps and one of the wells, and damaging the water distribution network and solar panels.</w:t>
      </w:r>
    </w:p>
    <w:p w14:paraId="7BAB0E9F" w14:textId="77777777" w:rsidR="00315177" w:rsidRPr="00270581" w:rsidRDefault="00315177" w:rsidP="0014048C">
      <w:pPr>
        <w:jc w:val="both"/>
        <w:rPr>
          <w:rStyle w:val="Strong"/>
          <w:rFonts w:asciiTheme="majorBidi" w:eastAsia="Times New Roman" w:hAnsiTheme="majorBidi" w:cstheme="majorBidi"/>
          <w:b w:val="0"/>
          <w:bCs w:val="0"/>
          <w:sz w:val="24"/>
          <w:szCs w:val="24"/>
        </w:rPr>
      </w:pPr>
    </w:p>
    <w:p w14:paraId="54F1951D" w14:textId="77777777" w:rsidR="001D4005" w:rsidRPr="00A52A72" w:rsidRDefault="001D4005" w:rsidP="0014048C">
      <w:pPr>
        <w:spacing w:afterLines="100" w:after="240"/>
        <w:ind w:left="540"/>
        <w:jc w:val="both"/>
        <w:rPr>
          <w:rFonts w:asciiTheme="majorBidi" w:hAnsiTheme="majorBidi" w:cstheme="majorBidi"/>
          <w:b/>
          <w:bCs/>
          <w:i/>
          <w:iCs/>
          <w:color w:val="000000"/>
          <w:lang w:eastAsia="de-DE"/>
        </w:rPr>
      </w:pPr>
      <w:r w:rsidRPr="00A52A72">
        <w:rPr>
          <w:rFonts w:asciiTheme="majorBidi" w:hAnsiTheme="majorBidi" w:cstheme="majorBidi"/>
          <w:b/>
          <w:bCs/>
          <w:i/>
          <w:iCs/>
          <w:color w:val="000000"/>
          <w:lang w:eastAsia="de-DE"/>
        </w:rPr>
        <w:t>Landmines around water sources</w:t>
      </w:r>
    </w:p>
    <w:p w14:paraId="782A20B1" w14:textId="054D1E8C" w:rsidR="00F018E3" w:rsidRPr="00A52A72" w:rsidRDefault="00A52A72" w:rsidP="0014048C">
      <w:pPr>
        <w:jc w:val="both"/>
        <w:rPr>
          <w:rFonts w:asciiTheme="majorBidi" w:hAnsiTheme="majorBidi" w:cstheme="majorBidi"/>
        </w:rPr>
      </w:pPr>
      <w:r w:rsidRPr="00A52A72">
        <w:rPr>
          <w:rFonts w:asciiTheme="majorBidi" w:hAnsiTheme="majorBidi" w:cstheme="majorBidi"/>
        </w:rPr>
        <w:t xml:space="preserve">With the entry into force of the truce in April 2022, landmines and unexploded ordnance explosions have increased compared to </w:t>
      </w:r>
      <w:r>
        <w:rPr>
          <w:rFonts w:asciiTheme="majorBidi" w:hAnsiTheme="majorBidi" w:cstheme="majorBidi"/>
        </w:rPr>
        <w:t>prior year</w:t>
      </w:r>
      <w:r w:rsidRPr="00A52A72">
        <w:rPr>
          <w:rFonts w:asciiTheme="majorBidi" w:hAnsiTheme="majorBidi" w:cstheme="majorBidi"/>
        </w:rPr>
        <w:t>. The return of civilians to their homes near the frontlines was allowed in some areas without demining campaigns. Most of the dead and wounded civilians were children</w:t>
      </w:r>
      <w:r>
        <w:rPr>
          <w:rFonts w:asciiTheme="majorBidi" w:hAnsiTheme="majorBidi" w:cstheme="majorBidi"/>
        </w:rPr>
        <w:t xml:space="preserve">. </w:t>
      </w:r>
      <w:r w:rsidR="00F018E3" w:rsidRPr="00A52A72">
        <w:rPr>
          <w:rFonts w:asciiTheme="majorBidi" w:hAnsiTheme="majorBidi" w:cstheme="majorBidi"/>
        </w:rPr>
        <w:t xml:space="preserve">Mwatana has </w:t>
      </w:r>
      <w:r>
        <w:rPr>
          <w:rFonts w:asciiTheme="majorBidi" w:hAnsiTheme="majorBidi" w:cstheme="majorBidi"/>
        </w:rPr>
        <w:t xml:space="preserve">verified at least </w:t>
      </w:r>
      <w:r w:rsidR="00BD78D0">
        <w:rPr>
          <w:rFonts w:asciiTheme="majorBidi" w:hAnsiTheme="majorBidi" w:cstheme="majorBidi"/>
        </w:rPr>
        <w:t>392</w:t>
      </w:r>
      <w:r w:rsidR="00BD78D0" w:rsidRPr="00A52A72">
        <w:rPr>
          <w:rFonts w:asciiTheme="majorBidi" w:hAnsiTheme="majorBidi" w:cstheme="majorBidi"/>
        </w:rPr>
        <w:t xml:space="preserve"> </w:t>
      </w:r>
      <w:r w:rsidR="00F018E3" w:rsidRPr="00A52A72">
        <w:rPr>
          <w:rFonts w:asciiTheme="majorBidi" w:hAnsiTheme="majorBidi" w:cstheme="majorBidi"/>
        </w:rPr>
        <w:t xml:space="preserve">landmine </w:t>
      </w:r>
      <w:r w:rsidR="00BD78D0" w:rsidRPr="00BD78D0">
        <w:rPr>
          <w:rFonts w:asciiTheme="majorBidi" w:hAnsiTheme="majorBidi" w:cstheme="majorBidi"/>
        </w:rPr>
        <w:t>and unexploded ordnance explosions</w:t>
      </w:r>
      <w:r w:rsidR="00BD78D0">
        <w:rPr>
          <w:rFonts w:asciiTheme="majorBidi" w:hAnsiTheme="majorBidi" w:cstheme="majorBidi"/>
        </w:rPr>
        <w:t xml:space="preserve"> </w:t>
      </w:r>
      <w:r w:rsidR="00F018E3" w:rsidRPr="00A52A72">
        <w:rPr>
          <w:rFonts w:asciiTheme="majorBidi" w:hAnsiTheme="majorBidi" w:cstheme="majorBidi"/>
        </w:rPr>
        <w:t xml:space="preserve">between 2014 and </w:t>
      </w:r>
      <w:r w:rsidR="00BD78D0">
        <w:rPr>
          <w:rFonts w:asciiTheme="majorBidi" w:hAnsiTheme="majorBidi" w:cstheme="majorBidi"/>
        </w:rPr>
        <w:t>2022</w:t>
      </w:r>
      <w:r w:rsidR="00F018E3" w:rsidRPr="00A52A72">
        <w:rPr>
          <w:rFonts w:asciiTheme="majorBidi" w:hAnsiTheme="majorBidi" w:cstheme="majorBidi"/>
        </w:rPr>
        <w:t>,</w:t>
      </w:r>
      <w:r w:rsidR="00BD78D0">
        <w:rPr>
          <w:rFonts w:asciiTheme="majorBidi" w:hAnsiTheme="majorBidi" w:cstheme="majorBidi"/>
        </w:rPr>
        <w:t xml:space="preserve"> 122 of which happened in 2022, the 392 cases</w:t>
      </w:r>
      <w:r w:rsidR="00F018E3" w:rsidRPr="00A52A72">
        <w:rPr>
          <w:rFonts w:asciiTheme="majorBidi" w:hAnsiTheme="majorBidi" w:cstheme="majorBidi"/>
        </w:rPr>
        <w:t xml:space="preserve"> have killed </w:t>
      </w:r>
      <w:r w:rsidR="00BD78D0">
        <w:rPr>
          <w:rFonts w:asciiTheme="majorBidi" w:hAnsiTheme="majorBidi" w:cstheme="majorBidi"/>
        </w:rPr>
        <w:t xml:space="preserve">296 </w:t>
      </w:r>
      <w:r w:rsidR="00F018E3" w:rsidRPr="00A52A72">
        <w:rPr>
          <w:rFonts w:asciiTheme="majorBidi" w:hAnsiTheme="majorBidi" w:cstheme="majorBidi"/>
        </w:rPr>
        <w:t xml:space="preserve">civilians, and injured </w:t>
      </w:r>
      <w:r w:rsidR="00BD78D0">
        <w:rPr>
          <w:rFonts w:asciiTheme="majorBidi" w:hAnsiTheme="majorBidi" w:cstheme="majorBidi"/>
        </w:rPr>
        <w:t xml:space="preserve">330 </w:t>
      </w:r>
      <w:r w:rsidR="00F018E3" w:rsidRPr="00A52A72">
        <w:rPr>
          <w:rFonts w:asciiTheme="majorBidi" w:hAnsiTheme="majorBidi" w:cstheme="majorBidi"/>
        </w:rPr>
        <w:t xml:space="preserve">civilians. Mwatana’s investigations and interviews concluded that Ansar Allah laid </w:t>
      </w:r>
      <w:r w:rsidR="00BD78D0">
        <w:rPr>
          <w:rFonts w:asciiTheme="majorBidi" w:hAnsiTheme="majorBidi" w:cstheme="majorBidi"/>
        </w:rPr>
        <w:t xml:space="preserve">the ultimate majority of the </w:t>
      </w:r>
      <w:r w:rsidR="00F018E3" w:rsidRPr="00A52A72">
        <w:rPr>
          <w:rFonts w:asciiTheme="majorBidi" w:hAnsiTheme="majorBidi" w:cstheme="majorBidi"/>
        </w:rPr>
        <w:t xml:space="preserve">mines. Of these cases, Mwatana </w:t>
      </w:r>
      <w:r w:rsidR="00BD78D0">
        <w:rPr>
          <w:rFonts w:asciiTheme="majorBidi" w:hAnsiTheme="majorBidi" w:cstheme="majorBidi"/>
        </w:rPr>
        <w:t>verified</w:t>
      </w:r>
      <w:r w:rsidR="00F018E3" w:rsidRPr="00A52A72">
        <w:rPr>
          <w:rFonts w:asciiTheme="majorBidi" w:hAnsiTheme="majorBidi" w:cstheme="majorBidi"/>
        </w:rPr>
        <w:t xml:space="preserve"> at least 83 explosions caused by Ansar Allah-planted landmines that specifically impacted civilians accessing sources of food, water, or pastures across Yemen. </w:t>
      </w:r>
    </w:p>
    <w:p w14:paraId="7F0058E0" w14:textId="20A6C586" w:rsidR="001A3B38" w:rsidRPr="00A52A72" w:rsidRDefault="001D4005" w:rsidP="0014048C">
      <w:pPr>
        <w:jc w:val="both"/>
        <w:rPr>
          <w:rFonts w:asciiTheme="majorBidi" w:hAnsiTheme="majorBidi" w:cstheme="majorBidi"/>
          <w:color w:val="000000" w:themeColor="text1"/>
          <w:sz w:val="24"/>
          <w:szCs w:val="24"/>
        </w:rPr>
      </w:pPr>
      <w:r w:rsidRPr="00A52A72">
        <w:rPr>
          <w:rFonts w:asciiTheme="majorBidi" w:hAnsiTheme="majorBidi" w:cstheme="majorBidi"/>
          <w:color w:val="000000"/>
          <w:lang w:eastAsia="de-DE"/>
        </w:rPr>
        <w:t xml:space="preserve">The </w:t>
      </w:r>
      <w:r w:rsidR="001A3B38" w:rsidRPr="00A52A72">
        <w:rPr>
          <w:rFonts w:asciiTheme="majorBidi" w:hAnsiTheme="majorBidi" w:cstheme="majorBidi"/>
          <w:color w:val="000000"/>
          <w:lang w:eastAsia="de-DE"/>
        </w:rPr>
        <w:t xml:space="preserve">Ansar Allah armed group (Houthis) </w:t>
      </w:r>
      <w:r w:rsidRPr="00A52A72">
        <w:rPr>
          <w:rFonts w:asciiTheme="majorBidi" w:hAnsiTheme="majorBidi" w:cstheme="majorBidi"/>
          <w:color w:val="000000"/>
          <w:lang w:eastAsia="de-DE"/>
        </w:rPr>
        <w:t>use of landmines presents a significant danger to those fetching water for their families, a burden that falls predominantly on women and children.</w:t>
      </w:r>
      <w:r w:rsidRPr="00A52A72">
        <w:rPr>
          <w:rStyle w:val="FootnoteReference"/>
          <w:rFonts w:asciiTheme="majorBidi" w:hAnsiTheme="majorBidi" w:cstheme="majorBidi"/>
          <w:color w:val="000000"/>
          <w:lang w:eastAsia="de-DE"/>
        </w:rPr>
        <w:footnoteReference w:id="12"/>
      </w:r>
      <w:r w:rsidRPr="00A52A72">
        <w:rPr>
          <w:rFonts w:asciiTheme="majorBidi" w:hAnsiTheme="majorBidi" w:cstheme="majorBidi"/>
          <w:color w:val="000000"/>
          <w:lang w:eastAsia="de-DE"/>
        </w:rPr>
        <w:t xml:space="preserve"> </w:t>
      </w:r>
      <w:r w:rsidR="001A3B38" w:rsidRPr="00A52A72">
        <w:rPr>
          <w:rFonts w:asciiTheme="majorBidi" w:hAnsiTheme="majorBidi" w:cstheme="majorBidi"/>
          <w:color w:val="000000"/>
          <w:lang w:eastAsia="de-DE"/>
        </w:rPr>
        <w:t xml:space="preserve"> </w:t>
      </w:r>
      <w:r w:rsidR="001A3B38" w:rsidRPr="00A52A72">
        <w:rPr>
          <w:rFonts w:asciiTheme="majorBidi" w:hAnsiTheme="majorBidi" w:cstheme="majorBidi"/>
          <w:color w:val="000000" w:themeColor="text1"/>
        </w:rPr>
        <w:t>The widespread and indiscriminate use of landmines in wholly civilian areas, has instilled fear in the population, preventing them from accessing sources of water.</w:t>
      </w:r>
    </w:p>
    <w:p w14:paraId="414B50D2" w14:textId="7A99A4F7" w:rsidR="00BD78D0" w:rsidRPr="00537031" w:rsidRDefault="001A3B38" w:rsidP="0014048C">
      <w:pPr>
        <w:pStyle w:val="ListParagraph"/>
        <w:numPr>
          <w:ilvl w:val="0"/>
          <w:numId w:val="6"/>
        </w:numPr>
        <w:jc w:val="both"/>
        <w:rPr>
          <w:rFonts w:asciiTheme="majorBidi" w:hAnsiTheme="majorBidi" w:cstheme="majorBidi"/>
          <w:i/>
          <w:iCs/>
          <w:color w:val="000000" w:themeColor="text1"/>
          <w:sz w:val="24"/>
          <w:szCs w:val="24"/>
        </w:rPr>
      </w:pPr>
      <w:r w:rsidRPr="00A52A72">
        <w:rPr>
          <w:rFonts w:asciiTheme="majorBidi" w:hAnsiTheme="majorBidi" w:cstheme="majorBidi"/>
          <w:i/>
          <w:iCs/>
          <w:color w:val="000000" w:themeColor="text1"/>
        </w:rPr>
        <w:t xml:space="preserve">A resident of </w:t>
      </w:r>
      <w:r w:rsidR="00F018E3" w:rsidRPr="00A52A72">
        <w:rPr>
          <w:rFonts w:asciiTheme="majorBidi" w:hAnsiTheme="majorBidi" w:cstheme="majorBidi"/>
          <w:i/>
          <w:iCs/>
          <w:color w:val="000000" w:themeColor="text1"/>
        </w:rPr>
        <w:t xml:space="preserve">Al- Omari village in </w:t>
      </w:r>
      <w:r w:rsidRPr="00A52A72">
        <w:rPr>
          <w:rFonts w:asciiTheme="majorBidi" w:hAnsiTheme="majorBidi" w:cstheme="majorBidi"/>
          <w:i/>
          <w:iCs/>
          <w:color w:val="000000" w:themeColor="text1"/>
        </w:rPr>
        <w:t>Dubab</w:t>
      </w:r>
      <w:r w:rsidR="00F018E3" w:rsidRPr="00A52A72">
        <w:rPr>
          <w:rFonts w:asciiTheme="majorBidi" w:hAnsiTheme="majorBidi" w:cstheme="majorBidi"/>
          <w:i/>
          <w:iCs/>
          <w:color w:val="000000" w:themeColor="text1"/>
        </w:rPr>
        <w:t>, Taiz</w:t>
      </w:r>
      <w:r w:rsidRPr="00A52A72">
        <w:rPr>
          <w:rFonts w:asciiTheme="majorBidi" w:hAnsiTheme="majorBidi" w:cstheme="majorBidi"/>
          <w:i/>
          <w:iCs/>
          <w:color w:val="000000" w:themeColor="text1"/>
        </w:rPr>
        <w:t>, one of the heavily lan</w:t>
      </w:r>
      <w:r w:rsidR="00F018E3" w:rsidRPr="00A52A72">
        <w:rPr>
          <w:rFonts w:asciiTheme="majorBidi" w:hAnsiTheme="majorBidi" w:cstheme="majorBidi"/>
          <w:i/>
          <w:iCs/>
          <w:color w:val="000000" w:themeColor="text1"/>
        </w:rPr>
        <w:t>d-</w:t>
      </w:r>
      <w:r w:rsidRPr="00A52A72">
        <w:rPr>
          <w:rFonts w:asciiTheme="majorBidi" w:hAnsiTheme="majorBidi" w:cstheme="majorBidi"/>
          <w:i/>
          <w:iCs/>
          <w:color w:val="000000" w:themeColor="text1"/>
        </w:rPr>
        <w:t xml:space="preserve">mined </w:t>
      </w:r>
      <w:r w:rsidR="00F018E3" w:rsidRPr="00A52A72">
        <w:rPr>
          <w:rFonts w:asciiTheme="majorBidi" w:hAnsiTheme="majorBidi" w:cstheme="majorBidi"/>
          <w:i/>
          <w:iCs/>
          <w:color w:val="000000" w:themeColor="text1"/>
        </w:rPr>
        <w:t xml:space="preserve">areas by Ansar Allah, told Mwatana that </w:t>
      </w:r>
      <w:r w:rsidR="00F018E3" w:rsidRPr="00A52A72">
        <w:rPr>
          <w:rFonts w:asciiTheme="majorBidi" w:hAnsiTheme="majorBidi" w:cstheme="majorBidi"/>
          <w:i/>
          <w:iCs/>
        </w:rPr>
        <w:t>“We did not suffer from starvation or water scarcity before the mines were planted, and our livelihood was fine. Al-Omari area means everything for us, and there are no alternative places where we can herd, gather wood, and fetch water. We have stopped herding, logging, and agriculture, and our water has been cut off. We lack the lowest standard of livelihood.”</w:t>
      </w:r>
      <w:r w:rsidR="00F018E3" w:rsidRPr="00A52A72">
        <w:rPr>
          <w:rStyle w:val="FootnoteReference"/>
          <w:rFonts w:asciiTheme="majorBidi" w:hAnsiTheme="majorBidi" w:cstheme="majorBidi"/>
          <w:i/>
          <w:iCs/>
        </w:rPr>
        <w:footnoteReference w:id="13"/>
      </w:r>
    </w:p>
    <w:p w14:paraId="3074E22C" w14:textId="77777777" w:rsidR="001A3B38" w:rsidRPr="00A52A72" w:rsidRDefault="001A3B38" w:rsidP="0014048C">
      <w:pPr>
        <w:pStyle w:val="ListParagraph"/>
        <w:jc w:val="both"/>
        <w:rPr>
          <w:rFonts w:asciiTheme="majorBidi" w:hAnsiTheme="majorBidi" w:cstheme="majorBidi"/>
          <w:color w:val="000000" w:themeColor="text1"/>
        </w:rPr>
      </w:pPr>
    </w:p>
    <w:p w14:paraId="526C5DAE" w14:textId="4720742A" w:rsidR="001D4005" w:rsidRDefault="001D4005" w:rsidP="0014048C">
      <w:pPr>
        <w:numPr>
          <w:ilvl w:val="0"/>
          <w:numId w:val="1"/>
        </w:numPr>
        <w:spacing w:afterLines="100" w:after="240" w:line="240" w:lineRule="auto"/>
        <w:ind w:left="1080"/>
        <w:contextualSpacing/>
        <w:jc w:val="both"/>
        <w:rPr>
          <w:rFonts w:asciiTheme="majorBidi" w:eastAsia="Calibri" w:hAnsiTheme="majorBidi" w:cstheme="majorBidi"/>
          <w:b/>
          <w:bCs/>
        </w:rPr>
      </w:pPr>
      <w:r w:rsidRPr="00A52A72">
        <w:rPr>
          <w:rFonts w:asciiTheme="majorBidi" w:eastAsia="Calibri" w:hAnsiTheme="majorBidi" w:cstheme="majorBidi"/>
          <w:b/>
          <w:bCs/>
        </w:rPr>
        <w:t>Right to physical and mental health (Article 12)</w:t>
      </w:r>
    </w:p>
    <w:p w14:paraId="43155922" w14:textId="77777777" w:rsidR="00837A4E" w:rsidRPr="00A52A72" w:rsidRDefault="00837A4E" w:rsidP="0014048C">
      <w:pPr>
        <w:spacing w:afterLines="100" w:after="240" w:line="240" w:lineRule="auto"/>
        <w:ind w:left="720"/>
        <w:contextualSpacing/>
        <w:jc w:val="both"/>
        <w:rPr>
          <w:rFonts w:asciiTheme="majorBidi" w:eastAsia="Calibri" w:hAnsiTheme="majorBidi" w:cstheme="majorBidi"/>
          <w:b/>
          <w:bCs/>
        </w:rPr>
      </w:pPr>
    </w:p>
    <w:p w14:paraId="7AF64A1C" w14:textId="23032D1B" w:rsidR="0075343C" w:rsidRPr="00A52A72" w:rsidRDefault="0075343C" w:rsidP="0014048C">
      <w:pPr>
        <w:spacing w:afterLines="100" w:after="240" w:line="240" w:lineRule="auto"/>
        <w:jc w:val="both"/>
        <w:rPr>
          <w:rFonts w:asciiTheme="majorBidi" w:eastAsia="Times New Roman" w:hAnsiTheme="majorBidi" w:cstheme="majorBidi"/>
          <w:lang w:val="en-AU" w:eastAsia="en-GB"/>
        </w:rPr>
      </w:pPr>
      <w:r w:rsidRPr="0075343C">
        <w:rPr>
          <w:rFonts w:asciiTheme="majorBidi" w:eastAsia="Times New Roman" w:hAnsiTheme="majorBidi" w:cstheme="majorBidi"/>
          <w:color w:val="000000"/>
          <w:lang w:val="en-AU" w:eastAsia="de-DE"/>
        </w:rPr>
        <w:t xml:space="preserve">Millions of Yemenis have suffered grave physical and mental health effects as a result of the conflict. Every party to the conflict has carried out targeted </w:t>
      </w:r>
      <w:r>
        <w:rPr>
          <w:rFonts w:asciiTheme="majorBidi" w:eastAsia="Times New Roman" w:hAnsiTheme="majorBidi" w:cstheme="majorBidi"/>
          <w:color w:val="000000"/>
          <w:lang w:val="en-AU" w:eastAsia="de-DE"/>
        </w:rPr>
        <w:t>attacks</w:t>
      </w:r>
      <w:r w:rsidRPr="0075343C">
        <w:rPr>
          <w:rFonts w:asciiTheme="majorBidi" w:eastAsia="Times New Roman" w:hAnsiTheme="majorBidi" w:cstheme="majorBidi"/>
          <w:color w:val="000000"/>
          <w:lang w:val="en-AU" w:eastAsia="de-DE"/>
        </w:rPr>
        <w:t xml:space="preserve"> on medical facilities and personnel, killing and injuring patients, other civilians, and medical personnel while also closing vital facilities or impairing their ability to provide medical services, and killing and injuring medical personnel. Attacks of this kind not only violate the principles of international humanitarian law, but also hinder the enjoyment of the right to available, accessible, quality, and acceptable</w:t>
      </w:r>
      <w:r>
        <w:rPr>
          <w:rFonts w:asciiTheme="majorBidi" w:eastAsia="Times New Roman" w:hAnsiTheme="majorBidi" w:cstheme="majorBidi"/>
          <w:color w:val="000000"/>
          <w:lang w:val="en-AU" w:eastAsia="de-DE"/>
        </w:rPr>
        <w:t xml:space="preserve"> </w:t>
      </w:r>
      <w:r w:rsidRPr="0075343C">
        <w:rPr>
          <w:rFonts w:asciiTheme="majorBidi" w:eastAsia="Times New Roman" w:hAnsiTheme="majorBidi" w:cstheme="majorBidi"/>
          <w:color w:val="000000"/>
          <w:lang w:val="en-AU" w:eastAsia="de-DE"/>
        </w:rPr>
        <w:t xml:space="preserve">health services, goods, and facilities </w:t>
      </w:r>
      <w:r>
        <w:rPr>
          <w:rFonts w:asciiTheme="majorBidi" w:eastAsia="Times New Roman" w:hAnsiTheme="majorBidi" w:cstheme="majorBidi"/>
          <w:color w:val="000000"/>
          <w:lang w:val="en-AU" w:eastAsia="de-DE"/>
        </w:rPr>
        <w:t>of</w:t>
      </w:r>
      <w:r w:rsidRPr="0075343C">
        <w:rPr>
          <w:rFonts w:asciiTheme="majorBidi" w:eastAsia="Times New Roman" w:hAnsiTheme="majorBidi" w:cstheme="majorBidi"/>
          <w:color w:val="000000"/>
          <w:lang w:val="en-AU" w:eastAsia="de-DE"/>
        </w:rPr>
        <w:t xml:space="preserve"> millions of Yemenis.</w:t>
      </w:r>
    </w:p>
    <w:p w14:paraId="5A24A222" w14:textId="4BE6270B" w:rsidR="001D4005" w:rsidRPr="00A52A72" w:rsidRDefault="001D4005" w:rsidP="0014048C">
      <w:pPr>
        <w:spacing w:afterLines="100" w:after="240" w:line="240" w:lineRule="auto"/>
        <w:jc w:val="both"/>
        <w:rPr>
          <w:rFonts w:asciiTheme="majorBidi" w:eastAsia="Times New Roman" w:hAnsiTheme="majorBidi" w:cstheme="majorBidi"/>
          <w:lang w:val="en-AU" w:eastAsia="en-GB"/>
        </w:rPr>
      </w:pPr>
      <w:r w:rsidRPr="00A52A72">
        <w:rPr>
          <w:rFonts w:asciiTheme="majorBidi" w:eastAsia="Times New Roman" w:hAnsiTheme="majorBidi" w:cstheme="majorBidi"/>
          <w:color w:val="000000"/>
          <w:lang w:val="en-AU" w:eastAsia="de-DE"/>
        </w:rPr>
        <w:t xml:space="preserve">In addition, </w:t>
      </w:r>
      <w:r w:rsidRPr="00A52A72">
        <w:rPr>
          <w:rFonts w:asciiTheme="majorBidi" w:eastAsia="Times New Roman" w:hAnsiTheme="majorBidi" w:cstheme="majorBidi"/>
          <w:lang w:val="en-AU" w:eastAsia="en-GB"/>
        </w:rPr>
        <w:t xml:space="preserve">Coalition port blockages and closures, as well as obstructions of humanitarian access and supplies carried out by both Houthi and Yemeni government forces, have restricted the availability of medicine and other life-saving goods. </w:t>
      </w:r>
      <w:r w:rsidRPr="00A52A72">
        <w:rPr>
          <w:rFonts w:asciiTheme="majorBidi" w:eastAsia="Times New Roman" w:hAnsiTheme="majorBidi" w:cstheme="majorBidi"/>
          <w:color w:val="000000"/>
          <w:lang w:val="en-AU" w:eastAsia="de-DE"/>
        </w:rPr>
        <w:t>Both the Houthis</w:t>
      </w:r>
      <w:r w:rsidR="0075343C">
        <w:rPr>
          <w:rFonts w:asciiTheme="majorBidi" w:eastAsia="Times New Roman" w:hAnsiTheme="majorBidi" w:cstheme="majorBidi"/>
          <w:color w:val="000000"/>
          <w:lang w:val="en-AU" w:eastAsia="de-DE"/>
        </w:rPr>
        <w:t xml:space="preserve">, </w:t>
      </w:r>
      <w:r w:rsidRPr="00A52A72">
        <w:rPr>
          <w:rFonts w:asciiTheme="majorBidi" w:eastAsia="Times New Roman" w:hAnsiTheme="majorBidi" w:cstheme="majorBidi"/>
          <w:color w:val="000000"/>
          <w:lang w:val="en-AU" w:eastAsia="de-DE"/>
        </w:rPr>
        <w:t xml:space="preserve">Yemeni government </w:t>
      </w:r>
      <w:r w:rsidR="0075343C">
        <w:rPr>
          <w:rFonts w:asciiTheme="majorBidi" w:eastAsia="Times New Roman" w:hAnsiTheme="majorBidi" w:cstheme="majorBidi"/>
          <w:color w:val="000000"/>
          <w:lang w:val="en-AU" w:eastAsia="de-DE"/>
        </w:rPr>
        <w:t xml:space="preserve">and its </w:t>
      </w:r>
      <w:r w:rsidRPr="00A52A72">
        <w:rPr>
          <w:rFonts w:asciiTheme="majorBidi" w:eastAsia="Times New Roman" w:hAnsiTheme="majorBidi" w:cstheme="majorBidi"/>
          <w:color w:val="000000"/>
          <w:lang w:val="en-AU" w:eastAsia="de-DE"/>
        </w:rPr>
        <w:t xml:space="preserve">allies have </w:t>
      </w:r>
      <w:r w:rsidRPr="00A52A72">
        <w:rPr>
          <w:rFonts w:asciiTheme="majorBidi" w:eastAsia="Times New Roman" w:hAnsiTheme="majorBidi" w:cstheme="majorBidi"/>
          <w:lang w:val="en-AU" w:eastAsia="en-GB"/>
        </w:rPr>
        <w:t xml:space="preserve">occupied medical facilities and used them for military purposes. </w:t>
      </w:r>
    </w:p>
    <w:p w14:paraId="2C6495DD" w14:textId="0E8974F9" w:rsidR="0075343C" w:rsidRPr="00A52A72" w:rsidRDefault="0075343C" w:rsidP="0014048C">
      <w:pPr>
        <w:spacing w:afterLines="100" w:after="240" w:line="240" w:lineRule="auto"/>
        <w:jc w:val="both"/>
        <w:rPr>
          <w:rFonts w:asciiTheme="majorBidi" w:eastAsia="Times New Roman" w:hAnsiTheme="majorBidi" w:cstheme="majorBidi"/>
          <w:lang w:val="en-AU" w:eastAsia="en-GB"/>
        </w:rPr>
      </w:pPr>
      <w:r w:rsidRPr="0075343C">
        <w:rPr>
          <w:rFonts w:asciiTheme="majorBidi" w:eastAsia="Times New Roman" w:hAnsiTheme="majorBidi" w:cstheme="majorBidi"/>
          <w:lang w:val="en-AU" w:eastAsia="en-GB"/>
        </w:rPr>
        <w:lastRenderedPageBreak/>
        <w:t xml:space="preserve">Yemen's already fragile healthcare </w:t>
      </w:r>
      <w:r>
        <w:rPr>
          <w:rFonts w:asciiTheme="majorBidi" w:eastAsia="Times New Roman" w:hAnsiTheme="majorBidi" w:cstheme="majorBidi"/>
          <w:lang w:val="en-AU" w:eastAsia="en-GB"/>
        </w:rPr>
        <w:t xml:space="preserve">system </w:t>
      </w:r>
      <w:r w:rsidRPr="0075343C">
        <w:rPr>
          <w:rFonts w:asciiTheme="majorBidi" w:eastAsia="Times New Roman" w:hAnsiTheme="majorBidi" w:cstheme="majorBidi"/>
          <w:lang w:val="en-AU" w:eastAsia="en-GB"/>
        </w:rPr>
        <w:t>has virtually collapsed as a result of these activities</w:t>
      </w:r>
      <w:r>
        <w:rPr>
          <w:rFonts w:asciiTheme="majorBidi" w:eastAsia="Times New Roman" w:hAnsiTheme="majorBidi" w:cstheme="majorBidi"/>
          <w:lang w:val="en-AU" w:eastAsia="en-GB"/>
        </w:rPr>
        <w:t xml:space="preserve">, at the time of </w:t>
      </w:r>
      <w:r w:rsidRPr="0075343C">
        <w:rPr>
          <w:rFonts w:asciiTheme="majorBidi" w:eastAsia="Times New Roman" w:hAnsiTheme="majorBidi" w:cstheme="majorBidi"/>
          <w:lang w:val="en-AU" w:eastAsia="en-GB"/>
        </w:rPr>
        <w:t>various disease</w:t>
      </w:r>
      <w:r>
        <w:rPr>
          <w:rFonts w:asciiTheme="majorBidi" w:eastAsia="Times New Roman" w:hAnsiTheme="majorBidi" w:cstheme="majorBidi"/>
          <w:lang w:val="en-AU" w:eastAsia="en-GB"/>
        </w:rPr>
        <w:t xml:space="preserve"> </w:t>
      </w:r>
      <w:r w:rsidRPr="0075343C">
        <w:rPr>
          <w:rFonts w:asciiTheme="majorBidi" w:eastAsia="Times New Roman" w:hAnsiTheme="majorBidi" w:cstheme="majorBidi"/>
          <w:lang w:val="en-AU" w:eastAsia="en-GB"/>
        </w:rPr>
        <w:t xml:space="preserve">outbreaks, notably the COVID-19 pandemic. Yemenis have been left without proper access to healthcare during a dangerous global and national health crisis as a result of years of failure to </w:t>
      </w:r>
      <w:r w:rsidR="00A61619" w:rsidRPr="00A61619">
        <w:rPr>
          <w:rFonts w:asciiTheme="majorBidi" w:eastAsia="Times New Roman" w:hAnsiTheme="majorBidi" w:cstheme="majorBidi"/>
          <w:lang w:val="en-AU" w:eastAsia="en-GB"/>
        </w:rPr>
        <w:t xml:space="preserve">protect </w:t>
      </w:r>
      <w:r w:rsidRPr="0075343C">
        <w:rPr>
          <w:rFonts w:asciiTheme="majorBidi" w:eastAsia="Times New Roman" w:hAnsiTheme="majorBidi" w:cstheme="majorBidi"/>
          <w:lang w:val="en-AU" w:eastAsia="en-GB"/>
        </w:rPr>
        <w:t>Yemen's healthcare system or to continuously prioritize measures that would repair and restore it.</w:t>
      </w:r>
    </w:p>
    <w:p w14:paraId="0F2EB8F8" w14:textId="6A412F94" w:rsidR="001D4005" w:rsidRPr="00A52A72" w:rsidRDefault="001D4005" w:rsidP="0014048C">
      <w:pPr>
        <w:tabs>
          <w:tab w:val="center" w:pos="4513"/>
        </w:tabs>
        <w:spacing w:before="120" w:afterLines="100" w:after="240" w:line="240" w:lineRule="auto"/>
        <w:ind w:left="540"/>
        <w:jc w:val="both"/>
        <w:rPr>
          <w:rStyle w:val="Strong"/>
          <w:rFonts w:asciiTheme="majorBidi" w:eastAsia="Times New Roman" w:hAnsiTheme="majorBidi" w:cstheme="majorBidi"/>
          <w:i/>
          <w:iCs/>
          <w:color w:val="000000"/>
          <w:lang w:val="en-AU" w:eastAsia="de-DE"/>
        </w:rPr>
      </w:pPr>
      <w:r w:rsidRPr="00A52A72">
        <w:rPr>
          <w:rFonts w:asciiTheme="majorBidi" w:eastAsia="Times New Roman" w:hAnsiTheme="majorBidi" w:cstheme="majorBidi"/>
          <w:b/>
          <w:bCs/>
          <w:i/>
          <w:iCs/>
          <w:color w:val="000000"/>
          <w:lang w:val="en-AU" w:eastAsia="de-DE"/>
        </w:rPr>
        <w:t>Attacks on medical facilities and personnel</w:t>
      </w:r>
    </w:p>
    <w:p w14:paraId="26FC82E3" w14:textId="2BEC09FD" w:rsidR="00895FED" w:rsidRPr="00A52A72" w:rsidRDefault="00895FED" w:rsidP="0014048C">
      <w:pPr>
        <w:jc w:val="both"/>
        <w:rPr>
          <w:rStyle w:val="Strong"/>
          <w:rFonts w:asciiTheme="majorBidi" w:eastAsia="Times New Roman" w:hAnsiTheme="majorBidi" w:cstheme="majorBidi"/>
          <w:b w:val="0"/>
          <w:bCs w:val="0"/>
        </w:rPr>
      </w:pPr>
      <w:r w:rsidRPr="00A52A72">
        <w:rPr>
          <w:rStyle w:val="Strong"/>
          <w:rFonts w:asciiTheme="majorBidi" w:eastAsia="Times New Roman" w:hAnsiTheme="majorBidi" w:cstheme="majorBidi"/>
          <w:b w:val="0"/>
          <w:bCs w:val="0"/>
        </w:rPr>
        <w:t xml:space="preserve">Throughout 2021 and 2022, Mwatana </w:t>
      </w:r>
      <w:r w:rsidR="00BD78D0">
        <w:rPr>
          <w:rStyle w:val="Strong"/>
          <w:rFonts w:asciiTheme="majorBidi" w:eastAsia="Times New Roman" w:hAnsiTheme="majorBidi" w:cstheme="majorBidi"/>
          <w:b w:val="0"/>
          <w:bCs w:val="0"/>
        </w:rPr>
        <w:t>verified</w:t>
      </w:r>
      <w:r w:rsidRPr="00A52A72">
        <w:rPr>
          <w:rStyle w:val="Strong"/>
          <w:rFonts w:asciiTheme="majorBidi" w:eastAsia="Times New Roman" w:hAnsiTheme="majorBidi" w:cstheme="majorBidi"/>
          <w:b w:val="0"/>
          <w:bCs w:val="0"/>
        </w:rPr>
        <w:t xml:space="preserve"> 55 incidents that caused damage to the health care system, including 8 incidents of airstrikes in Amanat Al-Asimah, Shabwa, </w:t>
      </w:r>
      <w:r w:rsidR="00862147">
        <w:rPr>
          <w:rStyle w:val="Strong"/>
          <w:rFonts w:asciiTheme="majorBidi" w:eastAsia="Times New Roman" w:hAnsiTheme="majorBidi" w:cstheme="majorBidi"/>
          <w:b w:val="0"/>
          <w:bCs w:val="0"/>
        </w:rPr>
        <w:t>Hudaydah</w:t>
      </w:r>
      <w:r w:rsidR="00862147" w:rsidRPr="00A52A72">
        <w:rPr>
          <w:rStyle w:val="Strong"/>
          <w:rFonts w:asciiTheme="majorBidi" w:eastAsia="Times New Roman" w:hAnsiTheme="majorBidi" w:cstheme="majorBidi"/>
          <w:b w:val="0"/>
          <w:bCs w:val="0"/>
        </w:rPr>
        <w:t xml:space="preserve"> </w:t>
      </w:r>
      <w:r w:rsidRPr="00A52A72">
        <w:rPr>
          <w:rStyle w:val="Strong"/>
          <w:rFonts w:asciiTheme="majorBidi" w:eastAsia="Times New Roman" w:hAnsiTheme="majorBidi" w:cstheme="majorBidi"/>
          <w:b w:val="0"/>
          <w:bCs w:val="0"/>
        </w:rPr>
        <w:t xml:space="preserve">and Al-Jawf governorates, two ground shelling that damaged a medical facility, </w:t>
      </w:r>
      <w:r w:rsidR="00862147">
        <w:rPr>
          <w:rStyle w:val="Strong"/>
          <w:rFonts w:asciiTheme="majorBidi" w:eastAsia="Times New Roman" w:hAnsiTheme="majorBidi" w:cstheme="majorBidi"/>
          <w:b w:val="0"/>
          <w:bCs w:val="0"/>
        </w:rPr>
        <w:t>two</w:t>
      </w:r>
      <w:r w:rsidR="00862147" w:rsidRPr="00A52A72">
        <w:rPr>
          <w:rStyle w:val="Strong"/>
          <w:rFonts w:asciiTheme="majorBidi" w:eastAsia="Times New Roman" w:hAnsiTheme="majorBidi" w:cstheme="majorBidi"/>
          <w:b w:val="0"/>
          <w:bCs w:val="0"/>
        </w:rPr>
        <w:t xml:space="preserve"> </w:t>
      </w:r>
      <w:r w:rsidRPr="00A52A72">
        <w:rPr>
          <w:rStyle w:val="Strong"/>
          <w:rFonts w:asciiTheme="majorBidi" w:eastAsia="Times New Roman" w:hAnsiTheme="majorBidi" w:cstheme="majorBidi"/>
          <w:b w:val="0"/>
          <w:bCs w:val="0"/>
        </w:rPr>
        <w:t xml:space="preserve">incidents of denial of access to medical assistance 16 incidents of armed attack which killed </w:t>
      </w:r>
      <w:r w:rsidR="00862147">
        <w:rPr>
          <w:rStyle w:val="Strong"/>
          <w:rFonts w:asciiTheme="majorBidi" w:eastAsia="Times New Roman" w:hAnsiTheme="majorBidi" w:cstheme="majorBidi"/>
          <w:b w:val="0"/>
          <w:bCs w:val="0"/>
        </w:rPr>
        <w:t>two</w:t>
      </w:r>
      <w:r w:rsidR="00862147" w:rsidRPr="00A52A72">
        <w:rPr>
          <w:rStyle w:val="Strong"/>
          <w:rFonts w:asciiTheme="majorBidi" w:eastAsia="Times New Roman" w:hAnsiTheme="majorBidi" w:cstheme="majorBidi"/>
          <w:b w:val="0"/>
          <w:bCs w:val="0"/>
        </w:rPr>
        <w:t xml:space="preserve"> </w:t>
      </w:r>
      <w:r w:rsidRPr="00A52A72">
        <w:rPr>
          <w:rStyle w:val="Strong"/>
          <w:rFonts w:asciiTheme="majorBidi" w:eastAsia="Times New Roman" w:hAnsiTheme="majorBidi" w:cstheme="majorBidi"/>
          <w:b w:val="0"/>
          <w:bCs w:val="0"/>
        </w:rPr>
        <w:t xml:space="preserve">health workers and injured two health workers and an attempt to kill a doctor, and </w:t>
      </w:r>
      <w:r w:rsidR="00862147">
        <w:rPr>
          <w:rStyle w:val="Strong"/>
          <w:rFonts w:asciiTheme="majorBidi" w:eastAsia="Times New Roman" w:hAnsiTheme="majorBidi" w:cstheme="majorBidi"/>
          <w:b w:val="0"/>
          <w:bCs w:val="0"/>
        </w:rPr>
        <w:t>nine</w:t>
      </w:r>
      <w:r w:rsidR="00862147" w:rsidRPr="00A52A72">
        <w:rPr>
          <w:rStyle w:val="Strong"/>
          <w:rFonts w:asciiTheme="majorBidi" w:eastAsia="Times New Roman" w:hAnsiTheme="majorBidi" w:cstheme="majorBidi"/>
          <w:b w:val="0"/>
          <w:bCs w:val="0"/>
        </w:rPr>
        <w:t xml:space="preserve"> </w:t>
      </w:r>
      <w:r w:rsidRPr="00A52A72">
        <w:rPr>
          <w:rStyle w:val="Strong"/>
          <w:rFonts w:asciiTheme="majorBidi" w:eastAsia="Times New Roman" w:hAnsiTheme="majorBidi" w:cstheme="majorBidi"/>
          <w:b w:val="0"/>
          <w:bCs w:val="0"/>
        </w:rPr>
        <w:t xml:space="preserve">incidents of arbitrary detention, disappearance and torture for </w:t>
      </w:r>
      <w:r w:rsidR="00862147">
        <w:rPr>
          <w:rStyle w:val="Strong"/>
          <w:rFonts w:asciiTheme="majorBidi" w:eastAsia="Times New Roman" w:hAnsiTheme="majorBidi" w:cstheme="majorBidi"/>
          <w:b w:val="0"/>
          <w:bCs w:val="0"/>
        </w:rPr>
        <w:t>eight</w:t>
      </w:r>
      <w:r w:rsidR="00862147" w:rsidRPr="00A52A72">
        <w:rPr>
          <w:rStyle w:val="Strong"/>
          <w:rFonts w:asciiTheme="majorBidi" w:eastAsia="Times New Roman" w:hAnsiTheme="majorBidi" w:cstheme="majorBidi"/>
          <w:b w:val="0"/>
          <w:bCs w:val="0"/>
        </w:rPr>
        <w:t xml:space="preserve"> </w:t>
      </w:r>
      <w:r w:rsidRPr="00A52A72">
        <w:rPr>
          <w:rStyle w:val="Strong"/>
          <w:rFonts w:asciiTheme="majorBidi" w:eastAsia="Times New Roman" w:hAnsiTheme="majorBidi" w:cstheme="majorBidi"/>
          <w:b w:val="0"/>
          <w:bCs w:val="0"/>
        </w:rPr>
        <w:t xml:space="preserve">health workers, and physical abuse of a doctor.  The Yemeni government forces bear responsibility for 20 incidents, while Ansar Allah group “Houthis” bears responsibility for 15 incidents, The Saudi/UAE-led coalition forces committed 8 incidents, and the UAE-backed STC is responsible for </w:t>
      </w:r>
      <w:r w:rsidR="00862147">
        <w:rPr>
          <w:rStyle w:val="Strong"/>
          <w:rFonts w:asciiTheme="majorBidi" w:eastAsia="Times New Roman" w:hAnsiTheme="majorBidi" w:cstheme="majorBidi"/>
          <w:b w:val="0"/>
          <w:bCs w:val="0"/>
        </w:rPr>
        <w:t>nine</w:t>
      </w:r>
      <w:r w:rsidR="00862147" w:rsidRPr="00A52A72">
        <w:rPr>
          <w:rStyle w:val="Strong"/>
          <w:rFonts w:asciiTheme="majorBidi" w:eastAsia="Times New Roman" w:hAnsiTheme="majorBidi" w:cstheme="majorBidi"/>
          <w:b w:val="0"/>
          <w:bCs w:val="0"/>
        </w:rPr>
        <w:t xml:space="preserve"> </w:t>
      </w:r>
      <w:r w:rsidRPr="00A52A72">
        <w:rPr>
          <w:rStyle w:val="Strong"/>
          <w:rFonts w:asciiTheme="majorBidi" w:eastAsia="Times New Roman" w:hAnsiTheme="majorBidi" w:cstheme="majorBidi"/>
          <w:b w:val="0"/>
          <w:bCs w:val="0"/>
        </w:rPr>
        <w:t>incidents, while the joint responsibility in commission one incident is on government forces and STC. One incident was committed by the Joint Forces in the West Coast and Extremists’ groups are responsible for one incident.</w:t>
      </w:r>
    </w:p>
    <w:p w14:paraId="4F182617" w14:textId="1948048E" w:rsidR="00895FED" w:rsidRPr="00315177" w:rsidRDefault="00D76506" w:rsidP="0014048C">
      <w:pPr>
        <w:pStyle w:val="ListParagraph"/>
        <w:numPr>
          <w:ilvl w:val="0"/>
          <w:numId w:val="6"/>
        </w:numPr>
        <w:jc w:val="both"/>
        <w:rPr>
          <w:rStyle w:val="Strong"/>
          <w:rFonts w:asciiTheme="majorBidi" w:eastAsia="Times New Roman" w:hAnsiTheme="majorBidi" w:cstheme="majorBidi"/>
          <w:b w:val="0"/>
          <w:bCs w:val="0"/>
        </w:rPr>
      </w:pPr>
      <w:r w:rsidRPr="00A52A72">
        <w:rPr>
          <w:rStyle w:val="Strong"/>
          <w:rFonts w:asciiTheme="majorBidi" w:eastAsia="Times New Roman" w:hAnsiTheme="majorBidi" w:cstheme="majorBidi"/>
          <w:b w:val="0"/>
          <w:bCs w:val="0"/>
          <w:i/>
          <w:iCs/>
        </w:rPr>
        <w:t>On Friday, March 5, 2021, at around 2:30 p.m., the surgery department of Al-Thawra General Hospital, in Al-Shamasi district’s Al-Thawra neighborhood, Taiz governorate, was hit by a ground projectile launched by the Ansar Allah group (Houthis) stationed on Al-Salal hills, about 2 km from the site of the incident, east of Taiz city. The projectile hit the wall of the gate, injuring two children and their father while they were at the hospital to visit a sick acquaintance. The building’s security guard was also injured.</w:t>
      </w:r>
      <w:r w:rsidR="00862147">
        <w:rPr>
          <w:rStyle w:val="FootnoteReference"/>
          <w:rFonts w:asciiTheme="majorBidi" w:eastAsia="Times New Roman" w:hAnsiTheme="majorBidi" w:cstheme="majorBidi"/>
          <w:i/>
          <w:iCs/>
        </w:rPr>
        <w:footnoteReference w:id="14"/>
      </w:r>
    </w:p>
    <w:p w14:paraId="378202C9" w14:textId="77777777" w:rsidR="00315177" w:rsidRDefault="00315177" w:rsidP="0014048C">
      <w:pPr>
        <w:ind w:left="540"/>
        <w:jc w:val="both"/>
        <w:rPr>
          <w:rStyle w:val="Strong"/>
          <w:rFonts w:asciiTheme="majorBidi" w:eastAsia="Times New Roman" w:hAnsiTheme="majorBidi" w:cstheme="majorBidi"/>
          <w:i/>
          <w:iCs/>
        </w:rPr>
      </w:pPr>
    </w:p>
    <w:p w14:paraId="32E0717D" w14:textId="3B6547D8" w:rsidR="00C0657A" w:rsidRPr="00A52A72" w:rsidRDefault="00C0657A" w:rsidP="0014048C">
      <w:pPr>
        <w:ind w:left="540"/>
        <w:jc w:val="both"/>
        <w:rPr>
          <w:rStyle w:val="Strong"/>
          <w:rFonts w:asciiTheme="majorBidi" w:eastAsia="Times New Roman" w:hAnsiTheme="majorBidi" w:cstheme="majorBidi"/>
          <w:i/>
          <w:iCs/>
        </w:rPr>
      </w:pPr>
      <w:r w:rsidRPr="00A52A72">
        <w:rPr>
          <w:rStyle w:val="Strong"/>
          <w:rFonts w:asciiTheme="majorBidi" w:eastAsia="Times New Roman" w:hAnsiTheme="majorBidi" w:cstheme="majorBidi"/>
          <w:i/>
          <w:iCs/>
        </w:rPr>
        <w:t xml:space="preserve">Mental health </w:t>
      </w:r>
    </w:p>
    <w:p w14:paraId="34379DBF" w14:textId="7AE386A9" w:rsidR="001D4005" w:rsidRPr="00A52A72" w:rsidRDefault="00C0657A" w:rsidP="0014048C">
      <w:pPr>
        <w:jc w:val="both"/>
        <w:rPr>
          <w:rStyle w:val="Strong"/>
          <w:rFonts w:asciiTheme="majorBidi" w:eastAsia="Times New Roman" w:hAnsiTheme="majorBidi" w:cstheme="majorBidi"/>
          <w:b w:val="0"/>
          <w:bCs w:val="0"/>
        </w:rPr>
      </w:pPr>
      <w:r w:rsidRPr="00A52A72">
        <w:rPr>
          <w:rStyle w:val="Strong"/>
          <w:rFonts w:asciiTheme="majorBidi" w:eastAsia="Times New Roman" w:hAnsiTheme="majorBidi" w:cstheme="majorBidi"/>
          <w:b w:val="0"/>
          <w:bCs w:val="0"/>
        </w:rPr>
        <w:t>Persons living in Yemen have faced years of widespread and frequent exposure to harm, violence and conflict.</w:t>
      </w:r>
      <w:r w:rsidR="00BD78D0">
        <w:rPr>
          <w:rStyle w:val="Strong"/>
          <w:rFonts w:asciiTheme="majorBidi" w:eastAsia="Times New Roman" w:hAnsiTheme="majorBidi" w:cstheme="majorBidi"/>
          <w:b w:val="0"/>
          <w:bCs w:val="0"/>
        </w:rPr>
        <w:t xml:space="preserve"> Based on World Health Organization,</w:t>
      </w:r>
      <w:r w:rsidR="00BD78D0" w:rsidRPr="00BD78D0">
        <w:t xml:space="preserve"> </w:t>
      </w:r>
      <w:r w:rsidR="00BD78D0" w:rsidRPr="00BD78D0">
        <w:rPr>
          <w:rStyle w:val="Strong"/>
          <w:rFonts w:asciiTheme="majorBidi" w:eastAsia="Times New Roman" w:hAnsiTheme="majorBidi" w:cstheme="majorBidi"/>
          <w:b w:val="0"/>
          <w:bCs w:val="0"/>
        </w:rPr>
        <w:t>among people affected by conflicts, have found prevalence rates of 17% for depression and 15% for PTSD. Yemenis along with eight years of conflict have been suffering from such mental health disorders.</w:t>
      </w:r>
      <w:r w:rsidR="00BD78D0">
        <w:rPr>
          <w:rStyle w:val="FootnoteReference"/>
          <w:rFonts w:asciiTheme="majorBidi" w:eastAsia="Times New Roman" w:hAnsiTheme="majorBidi" w:cstheme="majorBidi"/>
        </w:rPr>
        <w:footnoteReference w:id="15"/>
      </w:r>
      <w:r w:rsidRPr="00A52A72">
        <w:rPr>
          <w:rStyle w:val="Strong"/>
          <w:rFonts w:asciiTheme="majorBidi" w:eastAsia="Times New Roman" w:hAnsiTheme="majorBidi" w:cstheme="majorBidi"/>
          <w:b w:val="0"/>
          <w:bCs w:val="0"/>
        </w:rPr>
        <w:t xml:space="preserve"> The Columbia Law School Human Rights Clinic, together with Sana’a Center for Strategic Studies, has documented the ways that this exposure, compounded by a context of widespread food, water and economic insecurity, fractured social ties, and a lack of basic social services, creates a serious risk of pervasive mental health issues.</w:t>
      </w:r>
      <w:r w:rsidRPr="00A52A72">
        <w:rPr>
          <w:rStyle w:val="FootnoteReference"/>
          <w:rFonts w:asciiTheme="majorBidi" w:eastAsia="Times New Roman" w:hAnsiTheme="majorBidi" w:cstheme="majorBidi"/>
        </w:rPr>
        <w:footnoteReference w:id="16"/>
      </w:r>
      <w:r w:rsidRPr="00A52A72">
        <w:rPr>
          <w:rStyle w:val="Strong"/>
          <w:rFonts w:asciiTheme="majorBidi" w:eastAsia="Times New Roman" w:hAnsiTheme="majorBidi" w:cstheme="majorBidi"/>
          <w:b w:val="0"/>
          <w:bCs w:val="0"/>
        </w:rPr>
        <w:t xml:space="preserve"> Despite this risk, there are minimal available public health services in Yemen aimed at promoting mental health and psychosocial well-being, and a severe shortage in appropriately trained mental health professionals. To date, the government of Yemen has taken little action to mitigate or respond to this situation through policies or programming and has failed to view mental health as a priority. </w:t>
      </w:r>
      <w:r w:rsidR="00BD78D0">
        <w:rPr>
          <w:rStyle w:val="Strong"/>
          <w:rFonts w:asciiTheme="majorBidi" w:eastAsia="Times New Roman" w:hAnsiTheme="majorBidi" w:cstheme="majorBidi"/>
          <w:b w:val="0"/>
          <w:bCs w:val="0"/>
        </w:rPr>
        <w:t xml:space="preserve">It is worth mentioning that </w:t>
      </w:r>
      <w:r w:rsidR="00BD78D0" w:rsidRPr="00BD78D0">
        <w:rPr>
          <w:rStyle w:val="Strong"/>
          <w:rFonts w:asciiTheme="majorBidi" w:eastAsia="Times New Roman" w:hAnsiTheme="majorBidi" w:cstheme="majorBidi"/>
          <w:b w:val="0"/>
          <w:bCs w:val="0"/>
        </w:rPr>
        <w:t xml:space="preserve">There is a lack of specialized care </w:t>
      </w:r>
      <w:r w:rsidR="00BD78D0" w:rsidRPr="00BD78D0">
        <w:rPr>
          <w:rStyle w:val="Strong"/>
          <w:rFonts w:asciiTheme="majorBidi" w:eastAsia="Times New Roman" w:hAnsiTheme="majorBidi" w:cstheme="majorBidi"/>
          <w:b w:val="0"/>
          <w:bCs w:val="0"/>
        </w:rPr>
        <w:lastRenderedPageBreak/>
        <w:t>for specific groups such as women, children, teenagers and the elderly, as well as addiction and chronic cases</w:t>
      </w:r>
      <w:r w:rsidR="00BD78D0">
        <w:rPr>
          <w:rStyle w:val="Strong"/>
          <w:rFonts w:asciiTheme="majorBidi" w:eastAsia="Times New Roman" w:hAnsiTheme="majorBidi" w:cstheme="majorBidi"/>
          <w:b w:val="0"/>
          <w:bCs w:val="0"/>
        </w:rPr>
        <w:t xml:space="preserve">. </w:t>
      </w:r>
    </w:p>
    <w:p w14:paraId="2ACD4DBE" w14:textId="77777777" w:rsidR="00315177" w:rsidRPr="00A52A72" w:rsidRDefault="00315177" w:rsidP="0014048C">
      <w:pPr>
        <w:jc w:val="both"/>
        <w:rPr>
          <w:rStyle w:val="Strong"/>
          <w:rFonts w:asciiTheme="majorBidi" w:eastAsia="Times New Roman" w:hAnsiTheme="majorBidi" w:cstheme="majorBidi"/>
          <w:b w:val="0"/>
          <w:bCs w:val="0"/>
        </w:rPr>
      </w:pPr>
    </w:p>
    <w:p w14:paraId="041F745A" w14:textId="2B413ECA" w:rsidR="00C0657A" w:rsidRDefault="00C0657A" w:rsidP="0014048C">
      <w:pPr>
        <w:numPr>
          <w:ilvl w:val="0"/>
          <w:numId w:val="1"/>
        </w:numPr>
        <w:spacing w:afterLines="100" w:after="240" w:line="240" w:lineRule="auto"/>
        <w:ind w:left="1080"/>
        <w:contextualSpacing/>
        <w:jc w:val="both"/>
        <w:rPr>
          <w:rFonts w:asciiTheme="majorBidi" w:eastAsia="Calibri" w:hAnsiTheme="majorBidi" w:cstheme="majorBidi"/>
          <w:b/>
          <w:bCs/>
        </w:rPr>
      </w:pPr>
      <w:r w:rsidRPr="00A52A72">
        <w:rPr>
          <w:rFonts w:asciiTheme="majorBidi" w:eastAsia="Calibri" w:hAnsiTheme="majorBidi" w:cstheme="majorBidi"/>
          <w:b/>
          <w:bCs/>
        </w:rPr>
        <w:t>Right to education (Article 13)</w:t>
      </w:r>
    </w:p>
    <w:p w14:paraId="0112938B" w14:textId="77777777" w:rsidR="00315177" w:rsidRPr="00A52A72" w:rsidRDefault="00315177" w:rsidP="0014048C">
      <w:pPr>
        <w:spacing w:afterLines="100" w:after="240" w:line="240" w:lineRule="auto"/>
        <w:ind w:left="720"/>
        <w:contextualSpacing/>
        <w:jc w:val="both"/>
        <w:rPr>
          <w:rFonts w:asciiTheme="majorBidi" w:eastAsia="Calibri" w:hAnsiTheme="majorBidi" w:cstheme="majorBidi"/>
          <w:b/>
          <w:bCs/>
        </w:rPr>
      </w:pPr>
    </w:p>
    <w:p w14:paraId="45BF6122" w14:textId="77777777" w:rsidR="00C0657A" w:rsidRPr="00A52A72" w:rsidRDefault="00C0657A" w:rsidP="0014048C">
      <w:pPr>
        <w:spacing w:afterLines="100" w:after="240" w:line="240" w:lineRule="auto"/>
        <w:jc w:val="both"/>
        <w:rPr>
          <w:rFonts w:asciiTheme="majorBidi" w:eastAsia="Times New Roman" w:hAnsiTheme="majorBidi" w:cstheme="majorBidi"/>
          <w:lang w:val="en-AU" w:eastAsia="en-GB"/>
        </w:rPr>
      </w:pPr>
      <w:r w:rsidRPr="00A52A72">
        <w:rPr>
          <w:rFonts w:asciiTheme="majorBidi" w:eastAsia="Times New Roman" w:hAnsiTheme="majorBidi" w:cstheme="majorBidi"/>
          <w:lang w:val="en-AU" w:eastAsia="en-GB"/>
        </w:rPr>
        <w:t>The impact of the war on education in Yemen has been particularly severe. According to UNICEF, “as the humanitarian situation continues to deteriorate, around 2 million children remain out of school” in Yemen.</w:t>
      </w:r>
      <w:r w:rsidRPr="00A52A72">
        <w:rPr>
          <w:rFonts w:asciiTheme="majorBidi" w:eastAsia="Times New Roman" w:hAnsiTheme="majorBidi" w:cstheme="majorBidi"/>
          <w:vertAlign w:val="superscript"/>
          <w:lang w:val="en-AU" w:eastAsia="en-GB"/>
        </w:rPr>
        <w:footnoteReference w:id="17"/>
      </w:r>
      <w:r w:rsidRPr="00A52A72">
        <w:rPr>
          <w:rFonts w:asciiTheme="majorBidi" w:eastAsia="Times New Roman" w:hAnsiTheme="majorBidi" w:cstheme="majorBidi"/>
          <w:lang w:val="en-AU" w:eastAsia="en-GB"/>
        </w:rPr>
        <w:t xml:space="preserve"> </w:t>
      </w:r>
    </w:p>
    <w:p w14:paraId="59FE3748" w14:textId="1F778463" w:rsidR="00C0657A" w:rsidRPr="00A52A72" w:rsidRDefault="00C0657A" w:rsidP="0014048C">
      <w:pPr>
        <w:spacing w:afterLines="100" w:after="240" w:line="240" w:lineRule="auto"/>
        <w:jc w:val="both"/>
        <w:rPr>
          <w:rFonts w:asciiTheme="majorBidi" w:eastAsia="Times New Roman" w:hAnsiTheme="majorBidi" w:cstheme="majorBidi"/>
          <w:lang w:val="en-AU" w:eastAsia="en-GB"/>
        </w:rPr>
      </w:pPr>
      <w:r w:rsidRPr="00A52A72">
        <w:rPr>
          <w:rFonts w:asciiTheme="majorBidi" w:eastAsia="Times New Roman" w:hAnsiTheme="majorBidi" w:cstheme="majorBidi"/>
          <w:lang w:val="en-AU" w:eastAsia="en-GB"/>
        </w:rPr>
        <w:t xml:space="preserve">Article 54 of the Constitution of Yemen protects the right to education, and was made </w:t>
      </w:r>
      <w:r w:rsidR="00D76506" w:rsidRPr="00A52A72">
        <w:rPr>
          <w:rFonts w:asciiTheme="majorBidi" w:eastAsia="Times New Roman" w:hAnsiTheme="majorBidi" w:cstheme="majorBidi"/>
          <w:lang w:val="en-AU" w:eastAsia="en-GB"/>
        </w:rPr>
        <w:t>enforceable through</w:t>
      </w:r>
      <w:r w:rsidRPr="00A52A72">
        <w:rPr>
          <w:rFonts w:asciiTheme="majorBidi" w:eastAsia="Times New Roman" w:hAnsiTheme="majorBidi" w:cstheme="majorBidi"/>
          <w:lang w:val="en-AU" w:eastAsia="en-GB"/>
        </w:rPr>
        <w:t xml:space="preserve"> the Law for General Education (Law No. 45 of 1992). Yemeni law makes primary education compulsory for children between ages 6 and 14.</w:t>
      </w:r>
      <w:r w:rsidRPr="00A52A72">
        <w:rPr>
          <w:rFonts w:asciiTheme="majorBidi" w:eastAsia="Times New Roman" w:hAnsiTheme="majorBidi" w:cstheme="majorBidi"/>
          <w:vertAlign w:val="superscript"/>
          <w:lang w:val="en-AU" w:eastAsia="en-GB"/>
        </w:rPr>
        <w:footnoteReference w:id="18"/>
      </w:r>
      <w:r w:rsidRPr="00A52A72">
        <w:rPr>
          <w:rFonts w:asciiTheme="majorBidi" w:eastAsia="Times New Roman" w:hAnsiTheme="majorBidi" w:cstheme="majorBidi"/>
          <w:lang w:val="en-AU" w:eastAsia="en-GB"/>
        </w:rPr>
        <w:t xml:space="preserve"> However, over the course of the conflict, armed attacks on schools, the use of educational institutions as military bases, the recruitment of child soldiers, and the failure to pay teacher salaries</w:t>
      </w:r>
      <w:r w:rsidRPr="00A52A72">
        <w:rPr>
          <w:rFonts w:asciiTheme="majorBidi" w:eastAsia="Times New Roman" w:hAnsiTheme="majorBidi" w:cstheme="majorBidi"/>
          <w:vertAlign w:val="superscript"/>
          <w:lang w:val="en-AU" w:eastAsia="en-GB"/>
        </w:rPr>
        <w:footnoteReference w:id="19"/>
      </w:r>
      <w:r w:rsidRPr="00A52A72">
        <w:rPr>
          <w:rFonts w:asciiTheme="majorBidi" w:eastAsia="Times New Roman" w:hAnsiTheme="majorBidi" w:cstheme="majorBidi"/>
          <w:lang w:val="en-AU" w:eastAsia="en-GB"/>
        </w:rPr>
        <w:t xml:space="preserve"> have profoundly affected access to education seriously undermined the right to education for Yemeni children.</w:t>
      </w:r>
      <w:r w:rsidRPr="00A52A72">
        <w:rPr>
          <w:rFonts w:asciiTheme="majorBidi" w:eastAsia="Times New Roman" w:hAnsiTheme="majorBidi" w:cstheme="majorBidi"/>
          <w:vertAlign w:val="superscript"/>
          <w:lang w:val="en-AU" w:eastAsia="en-GB"/>
        </w:rPr>
        <w:footnoteReference w:id="20"/>
      </w:r>
    </w:p>
    <w:p w14:paraId="089BAE82" w14:textId="12CA0B3E" w:rsidR="00C0657A" w:rsidRDefault="00C0657A" w:rsidP="0014048C">
      <w:pPr>
        <w:spacing w:afterLines="100" w:after="240" w:line="240" w:lineRule="auto"/>
        <w:jc w:val="both"/>
        <w:rPr>
          <w:rFonts w:asciiTheme="majorBidi" w:eastAsia="Times New Roman" w:hAnsiTheme="majorBidi" w:cstheme="majorBidi"/>
          <w:lang w:val="en-AU" w:eastAsia="en-GB"/>
        </w:rPr>
      </w:pPr>
      <w:r w:rsidRPr="00A52A72">
        <w:rPr>
          <w:rFonts w:asciiTheme="majorBidi" w:eastAsia="Times New Roman" w:hAnsiTheme="majorBidi" w:cstheme="majorBidi"/>
          <w:lang w:val="en-AU" w:eastAsia="en-GB"/>
        </w:rPr>
        <w:t>On October 2017, Yemen became the 70th country to endorse the Safe Schools Declaration. By signing the declaration, the Government of Yemen committed to protecting students, teachers, and schools during conflict, including by agreeing to incorporate the Guidelines for Protecting Schools and Universities from Military Use During Armed Conflict into domestic policy.</w:t>
      </w:r>
      <w:r w:rsidRPr="00A52A72">
        <w:rPr>
          <w:rFonts w:asciiTheme="majorBidi" w:eastAsia="Times New Roman" w:hAnsiTheme="majorBidi" w:cstheme="majorBidi"/>
          <w:vertAlign w:val="superscript"/>
          <w:lang w:val="en-AU" w:eastAsia="en-GB"/>
        </w:rPr>
        <w:footnoteReference w:id="21"/>
      </w:r>
      <w:r w:rsidRPr="00A52A72">
        <w:rPr>
          <w:rFonts w:asciiTheme="majorBidi" w:eastAsia="Times New Roman" w:hAnsiTheme="majorBidi" w:cstheme="majorBidi"/>
          <w:lang w:val="en-AU" w:eastAsia="en-GB"/>
        </w:rPr>
        <w:t xml:space="preserve"> </w:t>
      </w:r>
    </w:p>
    <w:p w14:paraId="251EAE0B" w14:textId="5A940324" w:rsidR="00BD78D0" w:rsidRPr="00A52A72" w:rsidRDefault="005B0FAD" w:rsidP="0014048C">
      <w:pPr>
        <w:spacing w:afterLines="100" w:after="240" w:line="240" w:lineRule="auto"/>
        <w:jc w:val="both"/>
        <w:rPr>
          <w:rFonts w:asciiTheme="majorBidi" w:eastAsia="Times New Roman" w:hAnsiTheme="majorBidi" w:cstheme="majorBidi"/>
          <w:lang w:val="en-AU" w:eastAsia="en-GB"/>
        </w:rPr>
      </w:pPr>
      <w:r w:rsidRPr="005B0FAD">
        <w:rPr>
          <w:rFonts w:asciiTheme="majorBidi" w:eastAsia="Times New Roman" w:hAnsiTheme="majorBidi" w:cstheme="majorBidi"/>
          <w:lang w:val="en-AU" w:eastAsia="en-GB"/>
        </w:rPr>
        <w:t xml:space="preserve">In August 2020, Mwatana </w:t>
      </w:r>
      <w:r>
        <w:rPr>
          <w:rFonts w:asciiTheme="majorBidi" w:eastAsia="Times New Roman" w:hAnsiTheme="majorBidi" w:cstheme="majorBidi"/>
          <w:lang w:val="en-AU" w:eastAsia="en-GB"/>
        </w:rPr>
        <w:t>published</w:t>
      </w:r>
      <w:r w:rsidRPr="005B0FAD">
        <w:rPr>
          <w:rFonts w:asciiTheme="majorBidi" w:eastAsia="Times New Roman" w:hAnsiTheme="majorBidi" w:cstheme="majorBidi"/>
          <w:lang w:val="en-AU" w:eastAsia="en-GB"/>
        </w:rPr>
        <w:t xml:space="preserve"> the report “Undermining the Future,” which looked at attacks on schools and educational facilities in Yemen between March 2015 and December 2019. The report was based on 380 attacks committed by all parties to the conflict, including 153 air strikes, 36 incidents of ground shelling, 171 incidents of military occupation and the use of schools, and 20 other incidents impacting schools, such as </w:t>
      </w:r>
      <w:r w:rsidR="00EE3992" w:rsidRPr="005B0FAD">
        <w:rPr>
          <w:rFonts w:asciiTheme="majorBidi" w:eastAsia="Times New Roman" w:hAnsiTheme="majorBidi" w:cstheme="majorBidi"/>
          <w:lang w:val="en-AU" w:eastAsia="en-GB"/>
        </w:rPr>
        <w:t xml:space="preserve">looting </w:t>
      </w:r>
      <w:r w:rsidR="00EE3992">
        <w:rPr>
          <w:rFonts w:asciiTheme="majorBidi" w:eastAsia="Times New Roman" w:hAnsiTheme="majorBidi" w:cstheme="majorBidi"/>
          <w:lang w:val="en-AU" w:eastAsia="en-GB"/>
        </w:rPr>
        <w:t xml:space="preserve">and </w:t>
      </w:r>
      <w:r w:rsidRPr="005B0FAD">
        <w:rPr>
          <w:rFonts w:asciiTheme="majorBidi" w:eastAsia="Times New Roman" w:hAnsiTheme="majorBidi" w:cstheme="majorBidi"/>
          <w:lang w:val="en-AU" w:eastAsia="en-GB"/>
        </w:rPr>
        <w:t>planting landmines near schools.</w:t>
      </w:r>
      <w:r>
        <w:rPr>
          <w:rStyle w:val="FootnoteReference"/>
          <w:rFonts w:asciiTheme="majorBidi" w:eastAsia="Times New Roman" w:hAnsiTheme="majorBidi" w:cstheme="majorBidi"/>
          <w:lang w:val="en-AU" w:eastAsia="en-GB"/>
        </w:rPr>
        <w:footnoteReference w:id="22"/>
      </w:r>
    </w:p>
    <w:p w14:paraId="42974575" w14:textId="77777777" w:rsidR="00C0657A" w:rsidRPr="00A52A72" w:rsidRDefault="00C0657A" w:rsidP="0014048C">
      <w:pPr>
        <w:spacing w:afterLines="100" w:after="240" w:line="240" w:lineRule="auto"/>
        <w:ind w:left="540"/>
        <w:jc w:val="both"/>
        <w:rPr>
          <w:rFonts w:asciiTheme="majorBidi" w:eastAsia="Times New Roman" w:hAnsiTheme="majorBidi" w:cstheme="majorBidi"/>
          <w:lang w:val="en-AU" w:eastAsia="en-GB"/>
        </w:rPr>
      </w:pPr>
      <w:r w:rsidRPr="00A52A72">
        <w:rPr>
          <w:rFonts w:asciiTheme="majorBidi" w:eastAsia="Times New Roman" w:hAnsiTheme="majorBidi" w:cstheme="majorBidi"/>
          <w:b/>
          <w:i/>
          <w:lang w:val="en-AU" w:eastAsia="en-GB"/>
        </w:rPr>
        <w:t>Attacks on schools and use of schools for military purposes</w:t>
      </w:r>
    </w:p>
    <w:p w14:paraId="4C93D2AE" w14:textId="7B4973BC" w:rsidR="00C0657A" w:rsidRDefault="00C0657A" w:rsidP="0014048C">
      <w:pPr>
        <w:jc w:val="both"/>
        <w:rPr>
          <w:rStyle w:val="Strong"/>
          <w:rFonts w:asciiTheme="majorBidi" w:eastAsia="Times New Roman" w:hAnsiTheme="majorBidi" w:cstheme="majorBidi"/>
          <w:b w:val="0"/>
          <w:bCs w:val="0"/>
        </w:rPr>
      </w:pPr>
      <w:r w:rsidRPr="00A52A72">
        <w:rPr>
          <w:rStyle w:val="Strong"/>
          <w:rFonts w:asciiTheme="majorBidi" w:eastAsia="Times New Roman" w:hAnsiTheme="majorBidi" w:cstheme="majorBidi"/>
          <w:b w:val="0"/>
          <w:bCs w:val="0"/>
        </w:rPr>
        <w:t xml:space="preserve">As a result of the increasing violations committed by the parties to the conflict in 2021 and 2022, schools and educational facilities have suffered severe damage. Mwatana </w:t>
      </w:r>
      <w:r w:rsidR="00BD78D0">
        <w:rPr>
          <w:rStyle w:val="Strong"/>
          <w:rFonts w:asciiTheme="majorBidi" w:eastAsia="Times New Roman" w:hAnsiTheme="majorBidi" w:cstheme="majorBidi"/>
          <w:b w:val="0"/>
          <w:bCs w:val="0"/>
        </w:rPr>
        <w:t>verified</w:t>
      </w:r>
      <w:r w:rsidRPr="00A52A72">
        <w:rPr>
          <w:rStyle w:val="Strong"/>
          <w:rFonts w:asciiTheme="majorBidi" w:eastAsia="Times New Roman" w:hAnsiTheme="majorBidi" w:cstheme="majorBidi"/>
          <w:b w:val="0"/>
          <w:bCs w:val="0"/>
        </w:rPr>
        <w:t xml:space="preserve"> at least 188 incidents of attacks on schools or use for military purposes. The Ansar Allah group “Houthis” is responsible for 167 of these incidents, including at least two drone attacks, one ground shelling and one school bombing. The government forces are responsible for 7 incidents</w:t>
      </w:r>
      <w:r w:rsidRPr="00A52A72">
        <w:rPr>
          <w:rFonts w:asciiTheme="majorBidi" w:hAnsiTheme="majorBidi" w:cstheme="majorBidi"/>
        </w:rPr>
        <w:t xml:space="preserve">, while the UAE-backed STC forces bear responsibility in </w:t>
      </w:r>
      <w:r w:rsidR="00351D6F" w:rsidRPr="00A52A72">
        <w:rPr>
          <w:rFonts w:asciiTheme="majorBidi" w:hAnsiTheme="majorBidi" w:cstheme="majorBidi"/>
        </w:rPr>
        <w:t>6</w:t>
      </w:r>
      <w:r w:rsidRPr="00A52A72">
        <w:rPr>
          <w:rFonts w:asciiTheme="majorBidi" w:hAnsiTheme="majorBidi" w:cstheme="majorBidi"/>
        </w:rPr>
        <w:t xml:space="preserve"> incidents</w:t>
      </w:r>
      <w:r w:rsidRPr="00A52A72">
        <w:rPr>
          <w:rStyle w:val="Strong"/>
          <w:rFonts w:asciiTheme="majorBidi" w:eastAsia="Times New Roman" w:hAnsiTheme="majorBidi" w:cstheme="majorBidi"/>
          <w:b w:val="0"/>
          <w:bCs w:val="0"/>
        </w:rPr>
        <w:t>. The Saudi/UAE-led coalition is responsible for two airstrikes on schools. The Joint Forces in the West Coast committed one incident, and the Giants forces in Shabwa committed one incident.</w:t>
      </w:r>
      <w:r w:rsidR="00351D6F" w:rsidRPr="00A52A72">
        <w:rPr>
          <w:rFonts w:asciiTheme="majorBidi" w:hAnsiTheme="majorBidi" w:cstheme="majorBidi"/>
        </w:rPr>
        <w:t xml:space="preserve"> The Yemeni government forces and Ansar Allah group (Houthis) bear joint responsibility in 3 incidents of </w:t>
      </w:r>
      <w:r w:rsidR="00351D6F" w:rsidRPr="00A52A72">
        <w:rPr>
          <w:rFonts w:asciiTheme="majorBidi" w:hAnsiTheme="majorBidi" w:cstheme="majorBidi"/>
        </w:rPr>
        <w:lastRenderedPageBreak/>
        <w:t xml:space="preserve">ground shelling and occupation. While the UAE-backed STC forces and government forces bear joint responsibility in one incident, the UAE-backed joint forces in West Coast and Ansar Allah (Houthis) committed jointly one incident: ground shelling and occupation.  </w:t>
      </w:r>
      <w:r w:rsidRPr="00A52A72">
        <w:rPr>
          <w:rStyle w:val="Strong"/>
          <w:rFonts w:asciiTheme="majorBidi" w:eastAsia="Times New Roman" w:hAnsiTheme="majorBidi" w:cstheme="majorBidi"/>
          <w:b w:val="0"/>
          <w:bCs w:val="0"/>
        </w:rPr>
        <w:t xml:space="preserve"> In </w:t>
      </w:r>
      <w:r w:rsidR="00351D6F" w:rsidRPr="00A52A72">
        <w:rPr>
          <w:rStyle w:val="Strong"/>
          <w:rFonts w:asciiTheme="majorBidi" w:eastAsia="Times New Roman" w:hAnsiTheme="majorBidi" w:cstheme="majorBidi"/>
          <w:b w:val="0"/>
          <w:bCs w:val="0"/>
        </w:rPr>
        <w:t xml:space="preserve">2021 and </w:t>
      </w:r>
      <w:r w:rsidRPr="00A52A72">
        <w:rPr>
          <w:rStyle w:val="Strong"/>
          <w:rFonts w:asciiTheme="majorBidi" w:eastAsia="Times New Roman" w:hAnsiTheme="majorBidi" w:cstheme="majorBidi"/>
          <w:b w:val="0"/>
          <w:bCs w:val="0"/>
        </w:rPr>
        <w:t>2022, there was an increase in the number of violations against schools due to the intensification of mobilization campaigns and the child recruitment in schools.</w:t>
      </w:r>
    </w:p>
    <w:p w14:paraId="0FBF68C1" w14:textId="6430521F" w:rsidR="00BD78D0" w:rsidRPr="00537031" w:rsidRDefault="009C47BD" w:rsidP="0014048C">
      <w:pPr>
        <w:pStyle w:val="ListParagraph"/>
        <w:numPr>
          <w:ilvl w:val="0"/>
          <w:numId w:val="6"/>
        </w:numPr>
        <w:jc w:val="both"/>
        <w:rPr>
          <w:rStyle w:val="Strong"/>
          <w:rFonts w:asciiTheme="majorBidi" w:eastAsia="Times New Roman" w:hAnsiTheme="majorBidi" w:cstheme="majorBidi"/>
          <w:b w:val="0"/>
          <w:bCs w:val="0"/>
          <w:i/>
          <w:iCs/>
        </w:rPr>
      </w:pPr>
      <w:r w:rsidRPr="00537031">
        <w:rPr>
          <w:rStyle w:val="Strong"/>
          <w:rFonts w:asciiTheme="majorBidi" w:eastAsia="Times New Roman" w:hAnsiTheme="majorBidi" w:cstheme="majorBidi"/>
          <w:b w:val="0"/>
          <w:bCs w:val="0"/>
          <w:i/>
          <w:iCs/>
        </w:rPr>
        <w:t xml:space="preserve">On Friday, March 05, 2021, at around 9:30 a.m., the </w:t>
      </w:r>
      <w:r>
        <w:rPr>
          <w:rStyle w:val="Strong"/>
          <w:rFonts w:asciiTheme="majorBidi" w:eastAsia="Times New Roman" w:hAnsiTheme="majorBidi" w:cstheme="majorBidi"/>
          <w:b w:val="0"/>
          <w:bCs w:val="0"/>
          <w:i/>
          <w:iCs/>
        </w:rPr>
        <w:t xml:space="preserve">Yemeni Government </w:t>
      </w:r>
      <w:r w:rsidRPr="009C47BD">
        <w:rPr>
          <w:rStyle w:val="Strong"/>
          <w:rFonts w:asciiTheme="majorBidi" w:eastAsia="Times New Roman" w:hAnsiTheme="majorBidi" w:cstheme="majorBidi"/>
          <w:b w:val="0"/>
          <w:bCs w:val="0"/>
          <w:i/>
          <w:iCs/>
        </w:rPr>
        <w:t>forces</w:t>
      </w:r>
      <w:r w:rsidRPr="00537031">
        <w:rPr>
          <w:rStyle w:val="Strong"/>
          <w:rFonts w:asciiTheme="majorBidi" w:eastAsia="Times New Roman" w:hAnsiTheme="majorBidi" w:cstheme="majorBidi"/>
          <w:b w:val="0"/>
          <w:bCs w:val="0"/>
          <w:i/>
          <w:iCs/>
        </w:rPr>
        <w:t xml:space="preserve"> occupied one of the three buildings of Al-Anwar </w:t>
      </w:r>
      <w:r>
        <w:rPr>
          <w:rStyle w:val="Strong"/>
          <w:rFonts w:asciiTheme="majorBidi" w:eastAsia="Times New Roman" w:hAnsiTheme="majorBidi" w:cstheme="majorBidi"/>
          <w:b w:val="0"/>
          <w:bCs w:val="0"/>
          <w:i/>
          <w:iCs/>
        </w:rPr>
        <w:t>elementary</w:t>
      </w:r>
      <w:r w:rsidRPr="00537031">
        <w:rPr>
          <w:rStyle w:val="Strong"/>
          <w:rFonts w:asciiTheme="majorBidi" w:eastAsia="Times New Roman" w:hAnsiTheme="majorBidi" w:cstheme="majorBidi"/>
          <w:b w:val="0"/>
          <w:bCs w:val="0"/>
          <w:i/>
          <w:iCs/>
        </w:rPr>
        <w:t xml:space="preserve"> School, in Al-Hamra’a village in the Al-Maqaterah district of Lahj governorate. These forces used the school as a point of supply and food distribution for their fighters on the military sites near the frontlines. The building continued to be used for military purposes from March to November 2021</w:t>
      </w:r>
      <w:r>
        <w:rPr>
          <w:rStyle w:val="Strong"/>
          <w:rFonts w:asciiTheme="majorBidi" w:eastAsia="Times New Roman" w:hAnsiTheme="majorBidi" w:cstheme="majorBidi"/>
          <w:b w:val="0"/>
          <w:bCs w:val="0"/>
          <w:i/>
          <w:iCs/>
        </w:rPr>
        <w:t>.</w:t>
      </w:r>
      <w:r>
        <w:rPr>
          <w:rStyle w:val="FootnoteReference"/>
          <w:rFonts w:asciiTheme="majorBidi" w:eastAsia="Times New Roman" w:hAnsiTheme="majorBidi" w:cstheme="majorBidi"/>
          <w:i/>
          <w:iCs/>
        </w:rPr>
        <w:footnoteReference w:id="23"/>
      </w:r>
    </w:p>
    <w:p w14:paraId="1D34B7CB" w14:textId="24824908" w:rsidR="00C0657A" w:rsidRPr="00A52A72" w:rsidRDefault="00C0657A" w:rsidP="0014048C">
      <w:pPr>
        <w:jc w:val="both"/>
        <w:rPr>
          <w:rStyle w:val="Strong"/>
          <w:rFonts w:asciiTheme="majorBidi" w:eastAsia="Times New Roman" w:hAnsiTheme="majorBidi" w:cstheme="majorBidi"/>
          <w:b w:val="0"/>
          <w:bCs w:val="0"/>
        </w:rPr>
      </w:pPr>
    </w:p>
    <w:p w14:paraId="6CDAE9F5" w14:textId="77777777" w:rsidR="00351D6F" w:rsidRPr="00A52A72" w:rsidRDefault="00351D6F" w:rsidP="0014048C">
      <w:pPr>
        <w:spacing w:afterLines="100" w:after="240"/>
        <w:ind w:left="540"/>
        <w:jc w:val="both"/>
        <w:rPr>
          <w:rFonts w:asciiTheme="majorBidi" w:eastAsia="Times New Roman" w:hAnsiTheme="majorBidi" w:cstheme="majorBidi"/>
          <w:b/>
          <w:i/>
          <w:lang w:val="en-AU" w:eastAsia="en-GB"/>
        </w:rPr>
      </w:pPr>
      <w:r w:rsidRPr="00A52A72">
        <w:rPr>
          <w:rFonts w:asciiTheme="majorBidi" w:eastAsia="Times New Roman" w:hAnsiTheme="majorBidi" w:cstheme="majorBidi"/>
          <w:b/>
          <w:i/>
          <w:lang w:val="en-AU" w:eastAsia="en-GB"/>
        </w:rPr>
        <w:t>Recruitment of child soldiers</w:t>
      </w:r>
    </w:p>
    <w:p w14:paraId="0908523A" w14:textId="02F81477" w:rsidR="000A7905" w:rsidRPr="00A52A72" w:rsidRDefault="002A6B77" w:rsidP="0014048C">
      <w:pPr>
        <w:jc w:val="both"/>
        <w:rPr>
          <w:rStyle w:val="Strong"/>
          <w:rFonts w:asciiTheme="majorBidi" w:eastAsia="Times New Roman" w:hAnsiTheme="majorBidi" w:cstheme="majorBidi"/>
          <w:b w:val="0"/>
          <w:bCs w:val="0"/>
        </w:rPr>
      </w:pPr>
      <w:bookmarkStart w:id="0" w:name="_Hlk125289501"/>
      <w:r w:rsidRPr="009C47BD">
        <w:rPr>
          <w:rStyle w:val="Strong"/>
          <w:rFonts w:asciiTheme="majorBidi" w:eastAsia="Times New Roman" w:hAnsiTheme="majorBidi" w:cstheme="majorBidi"/>
          <w:b w:val="0"/>
          <w:bCs w:val="0"/>
        </w:rPr>
        <w:t xml:space="preserve">Mwatana verified the recruitment and use of at least </w:t>
      </w:r>
      <w:r w:rsidR="00315177">
        <w:rPr>
          <w:rStyle w:val="Strong"/>
          <w:rFonts w:asciiTheme="majorBidi" w:eastAsia="Times New Roman" w:hAnsiTheme="majorBidi" w:cstheme="majorBidi"/>
          <w:b w:val="0"/>
          <w:bCs w:val="0"/>
        </w:rPr>
        <w:t xml:space="preserve">294 </w:t>
      </w:r>
      <w:r w:rsidR="00315177" w:rsidRPr="009C47BD">
        <w:rPr>
          <w:rStyle w:val="Strong"/>
          <w:rFonts w:asciiTheme="majorBidi" w:eastAsia="Times New Roman" w:hAnsiTheme="majorBidi" w:cstheme="majorBidi"/>
          <w:b w:val="0"/>
          <w:bCs w:val="0"/>
        </w:rPr>
        <w:t>children</w:t>
      </w:r>
      <w:r w:rsidRPr="009C47BD">
        <w:rPr>
          <w:rStyle w:val="Strong"/>
          <w:rFonts w:asciiTheme="majorBidi" w:eastAsia="Times New Roman" w:hAnsiTheme="majorBidi" w:cstheme="majorBidi"/>
          <w:b w:val="0"/>
          <w:bCs w:val="0"/>
        </w:rPr>
        <w:t>, during 2021</w:t>
      </w:r>
      <w:r w:rsidR="008F242B" w:rsidRPr="009C47BD">
        <w:rPr>
          <w:rStyle w:val="Strong"/>
          <w:rFonts w:asciiTheme="majorBidi" w:eastAsia="Times New Roman" w:hAnsiTheme="majorBidi" w:cstheme="majorBidi"/>
          <w:b w:val="0"/>
          <w:bCs w:val="0"/>
        </w:rPr>
        <w:t xml:space="preserve"> </w:t>
      </w:r>
      <w:r w:rsidR="00351D6F" w:rsidRPr="009C47BD">
        <w:rPr>
          <w:rStyle w:val="Strong"/>
          <w:rFonts w:asciiTheme="majorBidi" w:eastAsia="Times New Roman" w:hAnsiTheme="majorBidi" w:cstheme="majorBidi"/>
          <w:b w:val="0"/>
          <w:bCs w:val="0"/>
        </w:rPr>
        <w:t>and 2022</w:t>
      </w:r>
      <w:r w:rsidRPr="009C47BD">
        <w:rPr>
          <w:rStyle w:val="Strong"/>
          <w:rFonts w:asciiTheme="majorBidi" w:eastAsia="Times New Roman" w:hAnsiTheme="majorBidi" w:cstheme="majorBidi"/>
          <w:b w:val="0"/>
          <w:bCs w:val="0"/>
        </w:rPr>
        <w:t>. (Mwatana) found that</w:t>
      </w:r>
      <w:r w:rsidR="00315177">
        <w:rPr>
          <w:rStyle w:val="Strong"/>
          <w:rFonts w:asciiTheme="majorBidi" w:eastAsia="Times New Roman" w:hAnsiTheme="majorBidi" w:cstheme="majorBidi"/>
          <w:b w:val="0"/>
          <w:bCs w:val="0"/>
        </w:rPr>
        <w:t xml:space="preserve"> 78.91% </w:t>
      </w:r>
      <w:r w:rsidRPr="009C47BD">
        <w:rPr>
          <w:rStyle w:val="Strong"/>
          <w:rFonts w:asciiTheme="majorBidi" w:eastAsia="Times New Roman" w:hAnsiTheme="majorBidi" w:cstheme="majorBidi"/>
          <w:b w:val="0"/>
          <w:bCs w:val="0"/>
        </w:rPr>
        <w:t>of these children were recruited by Ansar Allah group (Houthis). The percentage of children recruited by the government and pro-government forces was approximately</w:t>
      </w:r>
      <w:r w:rsidR="00315177">
        <w:rPr>
          <w:rStyle w:val="Strong"/>
          <w:rFonts w:asciiTheme="majorBidi" w:eastAsia="Times New Roman" w:hAnsiTheme="majorBidi" w:cstheme="majorBidi"/>
          <w:b w:val="0"/>
          <w:bCs w:val="0"/>
        </w:rPr>
        <w:t>7.48%</w:t>
      </w:r>
      <w:r w:rsidRPr="009C47BD">
        <w:rPr>
          <w:rStyle w:val="Strong"/>
          <w:rFonts w:asciiTheme="majorBidi" w:eastAsia="Times New Roman" w:hAnsiTheme="majorBidi" w:cstheme="majorBidi"/>
          <w:b w:val="0"/>
          <w:bCs w:val="0"/>
        </w:rPr>
        <w:t xml:space="preserve"> The percentage of children recruited by the UAE-backed STC reached </w:t>
      </w:r>
      <w:r w:rsidR="00315177">
        <w:rPr>
          <w:rStyle w:val="Strong"/>
          <w:rFonts w:asciiTheme="majorBidi" w:eastAsia="Times New Roman" w:hAnsiTheme="majorBidi" w:cstheme="majorBidi"/>
          <w:b w:val="0"/>
          <w:bCs w:val="0"/>
        </w:rPr>
        <w:t>0.78%,</w:t>
      </w:r>
      <w:r w:rsidRPr="009C47BD">
        <w:rPr>
          <w:rStyle w:val="Strong"/>
          <w:rFonts w:asciiTheme="majorBidi" w:eastAsia="Times New Roman" w:hAnsiTheme="majorBidi" w:cstheme="majorBidi"/>
          <w:b w:val="0"/>
          <w:bCs w:val="0"/>
        </w:rPr>
        <w:t xml:space="preserve"> and the UAE-backed joint forces in the West Coast are responsible for the recruitment of </w:t>
      </w:r>
      <w:r w:rsidR="00315177">
        <w:rPr>
          <w:rStyle w:val="Strong"/>
          <w:rFonts w:asciiTheme="majorBidi" w:eastAsia="Times New Roman" w:hAnsiTheme="majorBidi" w:cstheme="majorBidi"/>
          <w:b w:val="0"/>
          <w:bCs w:val="0"/>
        </w:rPr>
        <w:t xml:space="preserve">2.38% </w:t>
      </w:r>
      <w:r w:rsidRPr="009C47BD">
        <w:rPr>
          <w:rStyle w:val="Strong"/>
          <w:rFonts w:asciiTheme="majorBidi" w:eastAsia="Times New Roman" w:hAnsiTheme="majorBidi" w:cstheme="majorBidi"/>
          <w:b w:val="0"/>
          <w:bCs w:val="0"/>
        </w:rPr>
        <w:t>of the total</w:t>
      </w:r>
      <w:r w:rsidR="00D50662" w:rsidRPr="009C47BD">
        <w:rPr>
          <w:rStyle w:val="Strong"/>
          <w:rFonts w:asciiTheme="majorBidi" w:eastAsia="Times New Roman" w:hAnsiTheme="majorBidi" w:cstheme="majorBidi"/>
          <w:b w:val="0"/>
          <w:bCs w:val="0"/>
        </w:rPr>
        <w:t xml:space="preserve">, Southern Transitional Council forces are responsible for the recruitment of </w:t>
      </w:r>
      <w:r w:rsidR="00D50662" w:rsidRPr="00537031">
        <w:rPr>
          <w:rStyle w:val="Strong"/>
          <w:rFonts w:asciiTheme="majorBidi" w:eastAsia="Times New Roman" w:hAnsiTheme="majorBidi" w:cstheme="majorBidi"/>
          <w:b w:val="0"/>
          <w:bCs w:val="0"/>
        </w:rPr>
        <w:t>7.82%</w:t>
      </w:r>
      <w:r w:rsidR="00D50662" w:rsidRPr="009C47BD">
        <w:rPr>
          <w:rStyle w:val="Strong"/>
          <w:rFonts w:asciiTheme="majorBidi" w:eastAsia="Times New Roman" w:hAnsiTheme="majorBidi" w:cstheme="majorBidi"/>
          <w:b w:val="0"/>
          <w:bCs w:val="0"/>
        </w:rPr>
        <w:t xml:space="preserve">, and Shabwah Defense forces are responsible for recruitment of </w:t>
      </w:r>
      <w:r w:rsidR="00D50662" w:rsidRPr="00537031">
        <w:rPr>
          <w:rStyle w:val="Strong"/>
          <w:rFonts w:asciiTheme="majorBidi" w:eastAsia="Times New Roman" w:hAnsiTheme="majorBidi" w:cstheme="majorBidi"/>
          <w:b w:val="0"/>
          <w:bCs w:val="0"/>
        </w:rPr>
        <w:t>2.72%.</w:t>
      </w:r>
      <w:r w:rsidR="00D50662" w:rsidRPr="009C47BD">
        <w:rPr>
          <w:rStyle w:val="Strong"/>
          <w:rFonts w:asciiTheme="majorBidi" w:eastAsia="Times New Roman" w:hAnsiTheme="majorBidi" w:cstheme="majorBidi" w:hint="cs"/>
          <w:b w:val="0"/>
          <w:bCs w:val="0"/>
          <w:rtl/>
        </w:rPr>
        <w:t xml:space="preserve"> </w:t>
      </w:r>
      <w:r w:rsidRPr="009C47BD">
        <w:rPr>
          <w:rStyle w:val="Strong"/>
          <w:rFonts w:asciiTheme="majorBidi" w:eastAsia="Times New Roman" w:hAnsiTheme="majorBidi" w:cstheme="majorBidi"/>
          <w:b w:val="0"/>
          <w:bCs w:val="0"/>
        </w:rPr>
        <w:t xml:space="preserve"> </w:t>
      </w:r>
      <w:r w:rsidR="00351D6F" w:rsidRPr="009C47BD">
        <w:rPr>
          <w:rStyle w:val="Strong"/>
          <w:rFonts w:asciiTheme="majorBidi" w:eastAsia="Times New Roman" w:hAnsiTheme="majorBidi" w:cstheme="majorBidi"/>
          <w:b w:val="0"/>
          <w:bCs w:val="0"/>
        </w:rPr>
        <w:t>I</w:t>
      </w:r>
      <w:r w:rsidRPr="009C47BD">
        <w:rPr>
          <w:rStyle w:val="Strong"/>
          <w:rFonts w:asciiTheme="majorBidi" w:eastAsia="Times New Roman" w:hAnsiTheme="majorBidi" w:cstheme="majorBidi"/>
          <w:b w:val="0"/>
          <w:bCs w:val="0"/>
        </w:rPr>
        <w:t>t was noted that the Ansar Allah group “Houthis” focused on child recruitment and mobilization in schools, mosques and summer centers located in its areas of control.</w:t>
      </w:r>
    </w:p>
    <w:bookmarkEnd w:id="0"/>
    <w:p w14:paraId="1F4727CE" w14:textId="1C5E4D16" w:rsidR="002A6B77" w:rsidRPr="00A52A72" w:rsidRDefault="00D76506" w:rsidP="0014048C">
      <w:pPr>
        <w:pStyle w:val="ListParagraph"/>
        <w:numPr>
          <w:ilvl w:val="0"/>
          <w:numId w:val="17"/>
        </w:numPr>
        <w:jc w:val="both"/>
        <w:rPr>
          <w:rStyle w:val="Strong"/>
          <w:rFonts w:asciiTheme="majorBidi" w:eastAsia="Times New Roman" w:hAnsiTheme="majorBidi" w:cstheme="majorBidi"/>
          <w:b w:val="0"/>
          <w:bCs w:val="0"/>
          <w:i/>
          <w:iCs/>
        </w:rPr>
      </w:pPr>
      <w:r w:rsidRPr="00A52A72">
        <w:rPr>
          <w:rStyle w:val="Strong"/>
          <w:rFonts w:asciiTheme="majorBidi" w:eastAsia="Times New Roman" w:hAnsiTheme="majorBidi" w:cstheme="majorBidi"/>
          <w:b w:val="0"/>
          <w:bCs w:val="0"/>
          <w:i/>
          <w:iCs/>
        </w:rPr>
        <w:t>In mid-May 2020, a 16-year-old child was recruited by border guard forces of the Yemeni government in Al-Khanjar camp in Khabb wa Ash Sha’af District of Al-Jawf governorate. On September 20, 2021, the child was killed by a landmine explosion.</w:t>
      </w:r>
    </w:p>
    <w:p w14:paraId="68BFFE03" w14:textId="77777777" w:rsidR="00270581" w:rsidRPr="00A52A72" w:rsidRDefault="00270581" w:rsidP="0014048C">
      <w:pPr>
        <w:jc w:val="both"/>
        <w:rPr>
          <w:rStyle w:val="Strong"/>
          <w:rFonts w:asciiTheme="majorBidi" w:eastAsia="Times New Roman" w:hAnsiTheme="majorBidi" w:cstheme="majorBidi"/>
          <w:b w:val="0"/>
          <w:bCs w:val="0"/>
          <w:i/>
          <w:iCs/>
          <w:rtl/>
        </w:rPr>
      </w:pPr>
    </w:p>
    <w:p w14:paraId="41DB78CC" w14:textId="1047C24E" w:rsidR="00351D6F" w:rsidRDefault="00351D6F" w:rsidP="0014048C">
      <w:pPr>
        <w:numPr>
          <w:ilvl w:val="0"/>
          <w:numId w:val="1"/>
        </w:numPr>
        <w:tabs>
          <w:tab w:val="left" w:pos="900"/>
        </w:tabs>
        <w:spacing w:afterLines="100" w:after="240" w:line="240" w:lineRule="auto"/>
        <w:ind w:left="1080"/>
        <w:contextualSpacing/>
        <w:jc w:val="both"/>
        <w:rPr>
          <w:rFonts w:asciiTheme="majorBidi" w:eastAsia="Times New Roman" w:hAnsiTheme="majorBidi" w:cstheme="majorBidi"/>
          <w:b/>
          <w:i/>
          <w:lang w:val="en-AU" w:eastAsia="en-GB"/>
        </w:rPr>
      </w:pPr>
      <w:r w:rsidRPr="00A52A72">
        <w:rPr>
          <w:rFonts w:asciiTheme="majorBidi" w:eastAsia="Times New Roman" w:hAnsiTheme="majorBidi" w:cstheme="majorBidi"/>
          <w:b/>
          <w:i/>
          <w:lang w:val="en-AU" w:eastAsia="en-GB"/>
        </w:rPr>
        <w:t>Non-payment of salaries [Violation of Article 6, 7 and 8 on Labour Rights, Article 11 on the Right to an Adequate Standard of Living]</w:t>
      </w:r>
    </w:p>
    <w:p w14:paraId="2BF5E395" w14:textId="77777777" w:rsidR="008D3DBB" w:rsidRPr="00A52A72" w:rsidRDefault="008D3DBB" w:rsidP="0014048C">
      <w:pPr>
        <w:spacing w:afterLines="100" w:after="240" w:line="240" w:lineRule="auto"/>
        <w:ind w:left="720"/>
        <w:contextualSpacing/>
        <w:jc w:val="both"/>
        <w:rPr>
          <w:rFonts w:asciiTheme="majorBidi" w:eastAsia="Times New Roman" w:hAnsiTheme="majorBidi" w:cstheme="majorBidi"/>
          <w:b/>
          <w:i/>
          <w:lang w:val="en-AU" w:eastAsia="en-GB"/>
        </w:rPr>
      </w:pPr>
    </w:p>
    <w:p w14:paraId="2F506E4A" w14:textId="3F94D17F" w:rsidR="00D76506" w:rsidRPr="00A52A72" w:rsidRDefault="00D76506" w:rsidP="0014048C">
      <w:pPr>
        <w:spacing w:afterLines="100" w:after="240"/>
        <w:jc w:val="both"/>
        <w:rPr>
          <w:rFonts w:asciiTheme="majorBidi" w:hAnsiTheme="majorBidi" w:cstheme="majorBidi"/>
        </w:rPr>
      </w:pPr>
      <w:r w:rsidRPr="00A52A72">
        <w:rPr>
          <w:rFonts w:asciiTheme="majorBidi" w:hAnsiTheme="majorBidi" w:cstheme="majorBidi"/>
          <w:bCs/>
          <w:iCs/>
        </w:rPr>
        <w:t xml:space="preserve">The Group of Eminent Experts on Yemen </w:t>
      </w:r>
      <w:r w:rsidR="004B24B7" w:rsidRPr="004B24B7">
        <w:rPr>
          <w:rFonts w:asciiTheme="majorBidi" w:hAnsiTheme="majorBidi" w:cstheme="majorBidi"/>
          <w:bCs/>
          <w:iCs/>
        </w:rPr>
        <w:t xml:space="preserve">has mentioned the Yemeni government's failure to pay salaries and related acts, such as its decision to relocate the central bank from Sana'a to Aden in September 2016, as </w:t>
      </w:r>
      <w:r w:rsidRPr="00A52A72">
        <w:rPr>
          <w:rFonts w:asciiTheme="majorBidi" w:hAnsiTheme="majorBidi" w:cstheme="majorBidi"/>
          <w:bCs/>
          <w:iCs/>
        </w:rPr>
        <w:t>“infringing on the human rights of the population…</w:t>
      </w:r>
      <w:r w:rsidRPr="00A52A72">
        <w:rPr>
          <w:rFonts w:asciiTheme="majorBidi" w:hAnsiTheme="majorBidi" w:cstheme="majorBidi"/>
        </w:rPr>
        <w:t xml:space="preserve"> [including] the right to work, the right to an adequate standard of living, including the right to food and water, and the rights to health and education.”</w:t>
      </w:r>
      <w:r w:rsidRPr="00A52A72">
        <w:rPr>
          <w:rStyle w:val="FootnoteReference"/>
          <w:rFonts w:asciiTheme="majorBidi" w:hAnsiTheme="majorBidi" w:cstheme="majorBidi"/>
        </w:rPr>
        <w:footnoteReference w:id="24"/>
      </w:r>
      <w:r w:rsidRPr="00A52A72">
        <w:rPr>
          <w:rFonts w:asciiTheme="majorBidi" w:hAnsiTheme="majorBidi" w:cstheme="majorBidi"/>
        </w:rPr>
        <w:t xml:space="preserve"> As of late </w:t>
      </w:r>
      <w:r w:rsidR="004B24B7">
        <w:rPr>
          <w:rFonts w:asciiTheme="majorBidi" w:hAnsiTheme="majorBidi" w:cstheme="majorBidi"/>
        </w:rPr>
        <w:t>2022</w:t>
      </w:r>
      <w:r w:rsidRPr="00A52A72">
        <w:rPr>
          <w:rFonts w:asciiTheme="majorBidi" w:hAnsiTheme="majorBidi" w:cstheme="majorBidi"/>
        </w:rPr>
        <w:t xml:space="preserve">, many public servants, including teachers, had reportedly gone over </w:t>
      </w:r>
      <w:r w:rsidR="004B24B7">
        <w:rPr>
          <w:rFonts w:asciiTheme="majorBidi" w:hAnsiTheme="majorBidi" w:cstheme="majorBidi"/>
        </w:rPr>
        <w:t xml:space="preserve">six </w:t>
      </w:r>
      <w:r w:rsidRPr="00A52A72">
        <w:rPr>
          <w:rFonts w:asciiTheme="majorBidi" w:hAnsiTheme="majorBidi" w:cstheme="majorBidi"/>
        </w:rPr>
        <w:t>years without regular salary payments, disrupting the school programs and schedules for millions of children.</w:t>
      </w:r>
      <w:r w:rsidRPr="00A52A72">
        <w:rPr>
          <w:rStyle w:val="FootnoteReference"/>
          <w:rFonts w:asciiTheme="majorBidi" w:hAnsiTheme="majorBidi" w:cstheme="majorBidi"/>
        </w:rPr>
        <w:footnoteReference w:id="25"/>
      </w:r>
      <w:r w:rsidRPr="00A52A72">
        <w:rPr>
          <w:rFonts w:asciiTheme="majorBidi" w:hAnsiTheme="majorBidi" w:cstheme="majorBidi"/>
        </w:rPr>
        <w:t xml:space="preserve"> The Group of </w:t>
      </w:r>
      <w:r w:rsidRPr="00A52A72">
        <w:rPr>
          <w:rFonts w:asciiTheme="majorBidi" w:hAnsiTheme="majorBidi" w:cstheme="majorBidi"/>
        </w:rPr>
        <w:lastRenderedPageBreak/>
        <w:t>Eminent Experts also cited reportedly aggressive tax collection in Ansar Allah-controlled areas as negatively impacting these rights.</w:t>
      </w:r>
    </w:p>
    <w:p w14:paraId="3BA3EB71" w14:textId="77777777" w:rsidR="00D76506" w:rsidRPr="00A52A72" w:rsidRDefault="00D76506" w:rsidP="0014048C">
      <w:pPr>
        <w:spacing w:before="120" w:afterLines="100" w:after="240"/>
        <w:jc w:val="both"/>
        <w:rPr>
          <w:rFonts w:asciiTheme="majorBidi" w:hAnsiTheme="majorBidi" w:cstheme="majorBidi"/>
        </w:rPr>
      </w:pPr>
      <w:r w:rsidRPr="00A52A72">
        <w:rPr>
          <w:rFonts w:asciiTheme="majorBidi" w:hAnsiTheme="majorBidi" w:cstheme="majorBidi"/>
        </w:rPr>
        <w:t>Public sector salary issues affect one quarter of the population and making it very difficult for public sector employees and their families to afford food, medicine, and other necessities.</w:t>
      </w:r>
      <w:r w:rsidRPr="00A52A72">
        <w:rPr>
          <w:rStyle w:val="FootnoteReference"/>
          <w:rFonts w:asciiTheme="majorBidi" w:hAnsiTheme="majorBidi" w:cstheme="majorBidi"/>
        </w:rPr>
        <w:footnoteReference w:id="26"/>
      </w:r>
      <w:r w:rsidRPr="00A52A72">
        <w:rPr>
          <w:rFonts w:asciiTheme="majorBidi" w:hAnsiTheme="majorBidi" w:cstheme="majorBidi"/>
        </w:rPr>
        <w:t xml:space="preserve"> Additionally, the Yemeni government adopted a particular procedure to pay the salaries of employees in the areas under the control of the Ansar Allah (Houthi) group, which requires employees to travel to Aden governorate with the status of “displaced person,” in order to receive their salaries.</w:t>
      </w:r>
      <w:r w:rsidRPr="00A52A72">
        <w:rPr>
          <w:rStyle w:val="FootnoteReference"/>
          <w:rFonts w:asciiTheme="majorBidi" w:hAnsiTheme="majorBidi" w:cstheme="majorBidi"/>
        </w:rPr>
        <w:footnoteReference w:id="27"/>
      </w:r>
      <w:r w:rsidRPr="00A52A72">
        <w:rPr>
          <w:rFonts w:asciiTheme="majorBidi" w:hAnsiTheme="majorBidi" w:cstheme="majorBidi"/>
        </w:rPr>
        <w:t xml:space="preserve"> Travelling to Aden requires a difficult journey from Ansar Allah-controlled areas, with those who travel risk detention at security points along the way, denial of entry by Security Belt forces who have, at various points, blocked citizens from northern areas entering Aden, or their physical security, due to the ongoing conflict.</w:t>
      </w:r>
      <w:r w:rsidRPr="00A52A72">
        <w:rPr>
          <w:rStyle w:val="FootnoteReference"/>
          <w:rFonts w:asciiTheme="majorBidi" w:hAnsiTheme="majorBidi" w:cstheme="majorBidi"/>
        </w:rPr>
        <w:footnoteReference w:id="28"/>
      </w:r>
      <w:r w:rsidRPr="00A52A72">
        <w:rPr>
          <w:rFonts w:asciiTheme="majorBidi" w:hAnsiTheme="majorBidi" w:cstheme="majorBidi"/>
        </w:rPr>
        <w:t xml:space="preserve"> </w:t>
      </w:r>
    </w:p>
    <w:p w14:paraId="39BE4595" w14:textId="77777777" w:rsidR="00F018E3" w:rsidRPr="00A52A72" w:rsidRDefault="00F018E3" w:rsidP="0014048C">
      <w:pPr>
        <w:spacing w:afterLines="100" w:after="240" w:line="240" w:lineRule="auto"/>
        <w:jc w:val="both"/>
        <w:rPr>
          <w:rFonts w:asciiTheme="majorBidi" w:eastAsia="Times New Roman" w:hAnsiTheme="majorBidi" w:cstheme="majorBidi"/>
          <w:lang w:val="en-AU" w:eastAsia="en-GB"/>
        </w:rPr>
      </w:pPr>
    </w:p>
    <w:p w14:paraId="538044A9" w14:textId="77777777" w:rsidR="00F018E3" w:rsidRPr="00A52A72" w:rsidRDefault="00F018E3" w:rsidP="0014048C">
      <w:pPr>
        <w:numPr>
          <w:ilvl w:val="0"/>
          <w:numId w:val="1"/>
        </w:numPr>
        <w:spacing w:afterLines="100" w:after="240" w:line="240" w:lineRule="auto"/>
        <w:contextualSpacing/>
        <w:jc w:val="both"/>
        <w:rPr>
          <w:rFonts w:asciiTheme="majorBidi" w:eastAsia="Calibri" w:hAnsiTheme="majorBidi" w:cstheme="majorBidi"/>
          <w:u w:val="single"/>
        </w:rPr>
      </w:pPr>
      <w:r w:rsidRPr="00A52A72">
        <w:rPr>
          <w:rFonts w:asciiTheme="majorBidi" w:eastAsia="Calibri" w:hAnsiTheme="majorBidi" w:cstheme="majorBidi"/>
          <w:b/>
          <w:bCs/>
        </w:rPr>
        <w:t>Questions and recommendations to the Government of Yemen</w:t>
      </w:r>
    </w:p>
    <w:p w14:paraId="7AD6F7EF" w14:textId="77777777" w:rsidR="00F018E3" w:rsidRPr="00A52A72" w:rsidRDefault="00F018E3" w:rsidP="0014048C">
      <w:pPr>
        <w:spacing w:afterLines="100" w:after="240" w:line="240" w:lineRule="auto"/>
        <w:ind w:left="720"/>
        <w:contextualSpacing/>
        <w:jc w:val="both"/>
        <w:rPr>
          <w:rFonts w:asciiTheme="majorBidi" w:eastAsia="Calibri" w:hAnsiTheme="majorBidi" w:cstheme="majorBidi"/>
          <w:b/>
          <w:bCs/>
          <w:i/>
          <w:iCs/>
          <w:color w:val="000000"/>
          <w:lang w:eastAsia="de-DE"/>
        </w:rPr>
      </w:pPr>
    </w:p>
    <w:p w14:paraId="23F28549" w14:textId="6B48387D" w:rsidR="00F018E3" w:rsidRPr="00A52A72" w:rsidRDefault="00F018E3" w:rsidP="0014048C">
      <w:pPr>
        <w:spacing w:before="120" w:afterLines="100" w:after="240" w:line="240" w:lineRule="auto"/>
        <w:jc w:val="both"/>
        <w:rPr>
          <w:rFonts w:asciiTheme="majorBidi" w:eastAsia="Times New Roman" w:hAnsiTheme="majorBidi" w:cstheme="majorBidi"/>
          <w:b/>
          <w:bCs/>
          <w:i/>
          <w:iCs/>
          <w:color w:val="000000"/>
          <w:sz w:val="20"/>
          <w:szCs w:val="20"/>
          <w:lang w:val="en-AU" w:eastAsia="de-DE"/>
        </w:rPr>
      </w:pPr>
      <w:r w:rsidRPr="00A52A72">
        <w:rPr>
          <w:rFonts w:asciiTheme="majorBidi" w:eastAsia="Times New Roman" w:hAnsiTheme="majorBidi" w:cstheme="majorBidi"/>
          <w:b/>
          <w:bCs/>
          <w:i/>
          <w:iCs/>
          <w:color w:val="000000"/>
          <w:lang w:val="en-AU" w:eastAsia="de-DE"/>
        </w:rPr>
        <w:t>We recommend the Committee ask the Government of Yemen:</w:t>
      </w:r>
    </w:p>
    <w:p w14:paraId="29F005EE" w14:textId="77777777" w:rsidR="00F018E3" w:rsidRPr="00A52A72" w:rsidRDefault="00F018E3" w:rsidP="0014048C">
      <w:pPr>
        <w:numPr>
          <w:ilvl w:val="0"/>
          <w:numId w:val="13"/>
        </w:numPr>
        <w:spacing w:afterLines="100" w:after="240" w:line="240" w:lineRule="auto"/>
        <w:contextualSpacing/>
        <w:jc w:val="both"/>
        <w:rPr>
          <w:rFonts w:asciiTheme="majorBidi" w:eastAsia="Calibri" w:hAnsiTheme="majorBidi" w:cstheme="majorBidi"/>
        </w:rPr>
      </w:pPr>
      <w:r w:rsidRPr="00A52A72">
        <w:rPr>
          <w:rFonts w:asciiTheme="majorBidi" w:eastAsia="Calibri" w:hAnsiTheme="majorBidi" w:cstheme="majorBidi"/>
        </w:rPr>
        <w:t>What steps has the government taken to fulfill the minimum requirements to provide access to essential food, sufficiently high-quality water for drinking and other purposes, minimum primary health care, and basic education, on a non-discriminatory basis? What steps has it taken to prevent third parties, including the Coalition, from violating these rights?</w:t>
      </w:r>
    </w:p>
    <w:p w14:paraId="78204F14" w14:textId="77777777" w:rsidR="00F018E3" w:rsidRPr="00A52A72" w:rsidRDefault="00F018E3" w:rsidP="0014048C">
      <w:pPr>
        <w:numPr>
          <w:ilvl w:val="0"/>
          <w:numId w:val="13"/>
        </w:numPr>
        <w:spacing w:afterLines="100" w:after="240" w:line="240" w:lineRule="auto"/>
        <w:contextualSpacing/>
        <w:jc w:val="both"/>
        <w:rPr>
          <w:rFonts w:asciiTheme="majorBidi" w:eastAsia="Calibri" w:hAnsiTheme="majorBidi" w:cstheme="majorBidi"/>
        </w:rPr>
      </w:pPr>
      <w:r w:rsidRPr="00A52A72">
        <w:rPr>
          <w:rFonts w:asciiTheme="majorBidi" w:eastAsia="Calibri" w:hAnsiTheme="majorBidi" w:cstheme="majorBidi"/>
        </w:rPr>
        <w:t>What steps has the government of Yemen taken to understand and account for the number of deaths due to hunger, preventable disease, lack of access to health care, or contaminated drinking water?</w:t>
      </w:r>
    </w:p>
    <w:p w14:paraId="0A86A762" w14:textId="77777777" w:rsidR="00F018E3" w:rsidRPr="00A52A72" w:rsidRDefault="00F018E3" w:rsidP="0014048C">
      <w:pPr>
        <w:numPr>
          <w:ilvl w:val="0"/>
          <w:numId w:val="13"/>
        </w:numPr>
        <w:spacing w:afterLines="100" w:after="240" w:line="240" w:lineRule="auto"/>
        <w:contextualSpacing/>
        <w:jc w:val="both"/>
        <w:rPr>
          <w:rFonts w:asciiTheme="majorBidi" w:eastAsia="Calibri" w:hAnsiTheme="majorBidi" w:cstheme="majorBidi"/>
        </w:rPr>
      </w:pPr>
      <w:r w:rsidRPr="00A52A72">
        <w:rPr>
          <w:rFonts w:asciiTheme="majorBidi" w:eastAsia="Calibri" w:hAnsiTheme="majorBidi" w:cstheme="majorBidi"/>
          <w:bCs/>
          <w:iCs/>
          <w:color w:val="000000"/>
          <w:lang w:eastAsia="de-DE"/>
        </w:rPr>
        <w:t xml:space="preserve">What steps has the government taken to facilitate the receipt of food, nutritional supplements, medical supplies, and other humanitarian aid that supports and protects the provision of economic and social rights? </w:t>
      </w:r>
      <w:r w:rsidRPr="00A52A72">
        <w:rPr>
          <w:rFonts w:asciiTheme="majorBidi" w:eastAsia="Calibri" w:hAnsiTheme="majorBidi" w:cstheme="majorBidi"/>
        </w:rPr>
        <w:t xml:space="preserve"> What measures has the government taken to prevent third parties—including forces allied with the Yemeni government—from interfering with Yemenis’ rights to food, water, and physical and mental health, including through blockades and access restrictions on critical goods?</w:t>
      </w:r>
    </w:p>
    <w:p w14:paraId="6AD00A7A" w14:textId="77777777" w:rsidR="00F018E3" w:rsidRPr="00A52A72" w:rsidRDefault="00F018E3" w:rsidP="0014048C">
      <w:pPr>
        <w:numPr>
          <w:ilvl w:val="0"/>
          <w:numId w:val="13"/>
        </w:numPr>
        <w:spacing w:after="0" w:line="240" w:lineRule="auto"/>
        <w:contextualSpacing/>
        <w:jc w:val="both"/>
        <w:rPr>
          <w:rFonts w:asciiTheme="majorBidi" w:eastAsia="Calibri" w:hAnsiTheme="majorBidi" w:cstheme="majorBidi"/>
          <w:bCs/>
          <w:iCs/>
          <w:color w:val="000000"/>
          <w:lang w:eastAsia="de-DE"/>
        </w:rPr>
      </w:pPr>
      <w:r w:rsidRPr="00A52A72">
        <w:rPr>
          <w:rFonts w:asciiTheme="majorBidi" w:eastAsia="Calibri" w:hAnsiTheme="majorBidi" w:cstheme="majorBidi"/>
          <w:bCs/>
          <w:iCs/>
          <w:color w:val="000000"/>
          <w:lang w:eastAsia="de-DE"/>
        </w:rPr>
        <w:t xml:space="preserve">What steps has the government taken to prevent unlawful attacks on food, water, health, and education-related infrastructure? Has the government raised the issue of attacks on these facilities and structures with Coalition allies responsible for such attacks, and if so, what has it done to help prevent further such attacks by allies? </w:t>
      </w:r>
    </w:p>
    <w:p w14:paraId="4A2EED25" w14:textId="77777777" w:rsidR="00F018E3" w:rsidRPr="00A52A72" w:rsidRDefault="00F018E3" w:rsidP="0014048C">
      <w:pPr>
        <w:numPr>
          <w:ilvl w:val="0"/>
          <w:numId w:val="13"/>
        </w:numPr>
        <w:spacing w:after="0" w:line="240" w:lineRule="auto"/>
        <w:contextualSpacing/>
        <w:jc w:val="both"/>
        <w:rPr>
          <w:rFonts w:asciiTheme="majorBidi" w:eastAsia="Calibri" w:hAnsiTheme="majorBidi" w:cstheme="majorBidi"/>
          <w:bCs/>
          <w:iCs/>
          <w:color w:val="000000"/>
          <w:lang w:eastAsia="de-DE"/>
        </w:rPr>
      </w:pPr>
      <w:r w:rsidRPr="00A52A72">
        <w:rPr>
          <w:rFonts w:asciiTheme="majorBidi" w:eastAsia="Calibri" w:hAnsiTheme="majorBidi" w:cstheme="majorBidi"/>
          <w:bCs/>
          <w:iCs/>
          <w:color w:val="000000"/>
          <w:lang w:eastAsia="de-DE"/>
        </w:rPr>
        <w:t>Has the government taken steps to rehabilitate or rebuild food, water, health or education-related infrastructure damaged or destroyed by the conflict, or requested support from its allies to rebuild and restore such facilities?</w:t>
      </w:r>
    </w:p>
    <w:p w14:paraId="054C83FB" w14:textId="77777777" w:rsidR="00F018E3" w:rsidRPr="00A52A72" w:rsidRDefault="00F018E3" w:rsidP="0014048C">
      <w:pPr>
        <w:numPr>
          <w:ilvl w:val="0"/>
          <w:numId w:val="14"/>
        </w:numPr>
        <w:spacing w:afterLines="100" w:after="240" w:line="240" w:lineRule="auto"/>
        <w:contextualSpacing/>
        <w:jc w:val="both"/>
        <w:rPr>
          <w:rFonts w:asciiTheme="majorBidi" w:eastAsia="Calibri" w:hAnsiTheme="majorBidi" w:cstheme="majorBidi"/>
        </w:rPr>
      </w:pPr>
      <w:r w:rsidRPr="00A52A72">
        <w:rPr>
          <w:rFonts w:asciiTheme="majorBidi" w:eastAsia="Calibri" w:hAnsiTheme="majorBidi" w:cstheme="majorBidi"/>
        </w:rPr>
        <w:t xml:space="preserve">What steps has the government taken to conduct thorough, credible, and transparent investigations into attacks on food production, storage and transportation facilities as well as farms; water facilities; medical facilities and personnel; and schools during the armed conflict and the use of school for military purposes? What steps has it taken to investigate military use of health facilities </w:t>
      </w:r>
      <w:r w:rsidRPr="00A52A72">
        <w:rPr>
          <w:rFonts w:asciiTheme="majorBidi" w:eastAsia="Calibri" w:hAnsiTheme="majorBidi" w:cstheme="majorBidi"/>
        </w:rPr>
        <w:lastRenderedPageBreak/>
        <w:t xml:space="preserve">and schools? </w:t>
      </w:r>
      <w:r w:rsidRPr="00A52A72">
        <w:rPr>
          <w:rFonts w:asciiTheme="majorBidi" w:eastAsia="Calibri" w:hAnsiTheme="majorBidi" w:cstheme="majorBidi"/>
          <w:color w:val="000000"/>
          <w:lang w:eastAsia="de-DE"/>
        </w:rPr>
        <w:t>Does it request allies to investigate attacks they carried out that impacted these sites</w:t>
      </w:r>
      <w:r w:rsidRPr="00A52A72">
        <w:rPr>
          <w:rFonts w:asciiTheme="majorBidi" w:eastAsia="Calibri" w:hAnsiTheme="majorBidi" w:cstheme="majorBidi"/>
        </w:rPr>
        <w:t>? What steps has it taken to hold those responsible to account?</w:t>
      </w:r>
    </w:p>
    <w:p w14:paraId="636FD7FF" w14:textId="77777777" w:rsidR="00F018E3" w:rsidRPr="00A52A72" w:rsidRDefault="00F018E3" w:rsidP="0014048C">
      <w:pPr>
        <w:numPr>
          <w:ilvl w:val="0"/>
          <w:numId w:val="13"/>
        </w:numPr>
        <w:spacing w:afterLines="100" w:after="240" w:line="240" w:lineRule="auto"/>
        <w:contextualSpacing/>
        <w:jc w:val="both"/>
        <w:rPr>
          <w:rFonts w:asciiTheme="majorBidi" w:eastAsia="Calibri" w:hAnsiTheme="majorBidi" w:cstheme="majorBidi"/>
          <w:u w:val="single"/>
        </w:rPr>
      </w:pPr>
      <w:r w:rsidRPr="00A52A72">
        <w:rPr>
          <w:rFonts w:asciiTheme="majorBidi" w:eastAsia="Calibri" w:hAnsiTheme="majorBidi" w:cstheme="majorBidi"/>
          <w:bCs/>
          <w:iCs/>
          <w:color w:val="000000"/>
          <w:lang w:eastAsia="de-DE"/>
        </w:rPr>
        <w:t>Does the government provide reparations for victims of violations of the rights to food, water and sanitation, physical and mental health and education? Has it asked, or does it plan to ask, its Coalition allies to provide redress for incidents where Coalition attacks or actions have impacted these rights?</w:t>
      </w:r>
    </w:p>
    <w:p w14:paraId="54BE4B18" w14:textId="77777777" w:rsidR="00F018E3" w:rsidRPr="00A52A72" w:rsidRDefault="00F018E3" w:rsidP="0014048C">
      <w:pPr>
        <w:numPr>
          <w:ilvl w:val="0"/>
          <w:numId w:val="13"/>
        </w:numPr>
        <w:spacing w:afterLines="100" w:after="240" w:line="240" w:lineRule="auto"/>
        <w:contextualSpacing/>
        <w:jc w:val="both"/>
        <w:rPr>
          <w:rFonts w:asciiTheme="majorBidi" w:eastAsia="Calibri" w:hAnsiTheme="majorBidi" w:cstheme="majorBidi"/>
        </w:rPr>
      </w:pPr>
      <w:r w:rsidRPr="00A52A72">
        <w:rPr>
          <w:rFonts w:asciiTheme="majorBidi" w:eastAsia="Calibri" w:hAnsiTheme="majorBidi" w:cstheme="majorBidi"/>
        </w:rPr>
        <w:t>What measures has the government taken to prevent the recruitment of children and to facilitate the release of children already recruited by state forces and non-state armed groups?</w:t>
      </w:r>
    </w:p>
    <w:p w14:paraId="2353C26B" w14:textId="0415A0EB" w:rsidR="00F018E3" w:rsidRDefault="00F018E3" w:rsidP="0014048C">
      <w:pPr>
        <w:numPr>
          <w:ilvl w:val="0"/>
          <w:numId w:val="13"/>
        </w:numPr>
        <w:spacing w:afterLines="100" w:after="240" w:line="240" w:lineRule="auto"/>
        <w:contextualSpacing/>
        <w:jc w:val="both"/>
        <w:rPr>
          <w:rFonts w:asciiTheme="majorBidi" w:eastAsia="Calibri" w:hAnsiTheme="majorBidi" w:cstheme="majorBidi"/>
        </w:rPr>
      </w:pPr>
      <w:r w:rsidRPr="00A52A72">
        <w:rPr>
          <w:rFonts w:asciiTheme="majorBidi" w:eastAsia="Calibri" w:hAnsiTheme="majorBidi" w:cstheme="majorBidi"/>
        </w:rPr>
        <w:t>What progress has the government made towards making salary payments to public sector employees throughout Yemen, and removing obstacles towards receipt of salary payments?</w:t>
      </w:r>
    </w:p>
    <w:p w14:paraId="4CCB1124" w14:textId="77777777" w:rsidR="008D3DBB" w:rsidRPr="00A52A72" w:rsidRDefault="008D3DBB" w:rsidP="0014048C">
      <w:pPr>
        <w:spacing w:afterLines="100" w:after="240" w:line="240" w:lineRule="auto"/>
        <w:ind w:left="720"/>
        <w:contextualSpacing/>
        <w:jc w:val="both"/>
        <w:rPr>
          <w:rFonts w:asciiTheme="majorBidi" w:eastAsia="Calibri" w:hAnsiTheme="majorBidi" w:cstheme="majorBidi"/>
        </w:rPr>
      </w:pPr>
    </w:p>
    <w:p w14:paraId="5F564F85" w14:textId="7CDBA96C" w:rsidR="00F018E3" w:rsidRPr="00A52A72" w:rsidRDefault="00F018E3" w:rsidP="0014048C">
      <w:pPr>
        <w:spacing w:after="0" w:line="240" w:lineRule="auto"/>
        <w:jc w:val="both"/>
        <w:rPr>
          <w:rFonts w:asciiTheme="majorBidi" w:eastAsia="Times New Roman" w:hAnsiTheme="majorBidi" w:cstheme="majorBidi"/>
          <w:u w:val="single"/>
          <w:lang w:val="en-AU"/>
        </w:rPr>
      </w:pPr>
      <w:r w:rsidRPr="00A52A72">
        <w:rPr>
          <w:rFonts w:asciiTheme="majorBidi" w:eastAsia="Times New Roman" w:hAnsiTheme="majorBidi" w:cstheme="majorBidi"/>
          <w:b/>
          <w:bCs/>
          <w:i/>
          <w:iCs/>
          <w:color w:val="000000"/>
          <w:lang w:val="en-AU" w:eastAsia="de-DE"/>
        </w:rPr>
        <w:t>We ask the Committee to call upon the government of Yemen to:</w:t>
      </w:r>
    </w:p>
    <w:p w14:paraId="19B4BB07" w14:textId="138CCE45" w:rsidR="008D3DBB" w:rsidRPr="00A52A72" w:rsidRDefault="00F018E3" w:rsidP="0014048C">
      <w:pPr>
        <w:pStyle w:val="ListParagraph"/>
        <w:numPr>
          <w:ilvl w:val="0"/>
          <w:numId w:val="18"/>
        </w:numPr>
        <w:jc w:val="both"/>
        <w:rPr>
          <w:rFonts w:asciiTheme="majorBidi" w:eastAsia="Calibri" w:hAnsiTheme="majorBidi" w:cstheme="majorBidi"/>
        </w:rPr>
      </w:pPr>
      <w:r w:rsidRPr="00A52A72">
        <w:rPr>
          <w:rFonts w:asciiTheme="majorBidi" w:eastAsia="Calibri" w:hAnsiTheme="majorBidi" w:cstheme="majorBidi"/>
        </w:rPr>
        <w:t>Ensure that any transitional justice mechanism established to address the current conflict includes economic, social, and cultural rights violations in its mandate;</w:t>
      </w:r>
    </w:p>
    <w:p w14:paraId="79499A87" w14:textId="49FEDE54" w:rsidR="0014048C" w:rsidRPr="0014048C" w:rsidRDefault="00F018E3" w:rsidP="0014048C">
      <w:pPr>
        <w:pStyle w:val="ListParagraph"/>
        <w:numPr>
          <w:ilvl w:val="0"/>
          <w:numId w:val="18"/>
        </w:numPr>
        <w:spacing w:after="0" w:line="240" w:lineRule="auto"/>
        <w:jc w:val="both"/>
        <w:rPr>
          <w:color w:val="000000"/>
          <w:lang w:eastAsia="de-DE"/>
        </w:rPr>
      </w:pPr>
      <w:r w:rsidRPr="0014048C">
        <w:rPr>
          <w:rFonts w:asciiTheme="majorBidi" w:eastAsia="Calibri" w:hAnsiTheme="majorBidi" w:cstheme="majorBidi"/>
        </w:rPr>
        <w:t>Facilitate unimpeded access and movement of humanitarian aid, medical supplies, humanitarian workers, and life-saving commercial goods without interference or discrimination throughout Yemen including supplies needed to maintain food production, water, and health facilities and fuel needed to operate water pumps and generators</w:t>
      </w:r>
      <w:r w:rsidRPr="0014048C">
        <w:rPr>
          <w:rFonts w:asciiTheme="majorBidi" w:eastAsia="Calibri" w:hAnsiTheme="majorBidi" w:cstheme="majorBidi"/>
          <w:color w:val="747474"/>
          <w:sz w:val="21"/>
          <w:szCs w:val="21"/>
          <w:shd w:val="clear" w:color="auto" w:fill="F7F7F7"/>
        </w:rPr>
        <w:t xml:space="preserve">. </w:t>
      </w:r>
    </w:p>
    <w:p w14:paraId="414BC7B7" w14:textId="0F84EB75" w:rsidR="008D3DBB" w:rsidRPr="0014048C" w:rsidRDefault="00F018E3" w:rsidP="0014048C">
      <w:pPr>
        <w:pStyle w:val="ListParagraph"/>
        <w:numPr>
          <w:ilvl w:val="0"/>
          <w:numId w:val="18"/>
        </w:numPr>
        <w:spacing w:after="0" w:line="240" w:lineRule="auto"/>
        <w:jc w:val="both"/>
        <w:rPr>
          <w:color w:val="000000"/>
          <w:lang w:eastAsia="de-DE"/>
        </w:rPr>
      </w:pPr>
      <w:r w:rsidRPr="0014048C">
        <w:rPr>
          <w:rFonts w:asciiTheme="majorBidi" w:eastAsia="Calibri" w:hAnsiTheme="majorBidi" w:cstheme="majorBidi"/>
        </w:rPr>
        <w:t>End blockades, sieges and other actions that prevent or restrict humanitarian and essential commercial imports vital to protecting and ensuring the rights to food, clean water, sanitation, health, and education.</w:t>
      </w:r>
    </w:p>
    <w:p w14:paraId="38DB0FF2" w14:textId="16DE2C3D" w:rsidR="00F018E3" w:rsidRDefault="00F018E3" w:rsidP="0014048C">
      <w:pPr>
        <w:pStyle w:val="ListParagraph"/>
        <w:numPr>
          <w:ilvl w:val="0"/>
          <w:numId w:val="18"/>
        </w:numPr>
        <w:spacing w:before="120" w:afterLines="100" w:after="240" w:line="240" w:lineRule="auto"/>
        <w:jc w:val="both"/>
        <w:rPr>
          <w:rFonts w:asciiTheme="majorBidi" w:eastAsia="Calibri" w:hAnsiTheme="majorBidi" w:cstheme="majorBidi"/>
          <w:color w:val="000000"/>
          <w:lang w:eastAsia="de-DE"/>
        </w:rPr>
      </w:pPr>
      <w:r w:rsidRPr="00A52A72">
        <w:rPr>
          <w:rFonts w:asciiTheme="majorBidi" w:eastAsia="Calibri" w:hAnsiTheme="majorBidi" w:cstheme="majorBidi"/>
          <w:color w:val="000000"/>
          <w:lang w:eastAsia="de-DE"/>
        </w:rPr>
        <w:t>Resume Yemeni civil servant salary payments to workers throughout the country, with a priority for health, education, sanitation, and other essential workers. </w:t>
      </w:r>
    </w:p>
    <w:p w14:paraId="6453D2CF" w14:textId="7AE2980A" w:rsidR="008D3DBB" w:rsidRPr="00A52A72" w:rsidRDefault="008D3DBB" w:rsidP="0014048C">
      <w:pPr>
        <w:pStyle w:val="ListParagraph"/>
        <w:numPr>
          <w:ilvl w:val="0"/>
          <w:numId w:val="18"/>
        </w:numPr>
        <w:spacing w:before="120" w:afterLines="100" w:after="240" w:line="240" w:lineRule="auto"/>
        <w:jc w:val="both"/>
        <w:rPr>
          <w:rFonts w:asciiTheme="majorBidi" w:eastAsia="Calibri" w:hAnsiTheme="majorBidi" w:cstheme="majorBidi"/>
          <w:color w:val="000000"/>
          <w:lang w:eastAsia="de-DE"/>
        </w:rPr>
      </w:pPr>
      <w:r w:rsidRPr="00976C99">
        <w:rPr>
          <w:rFonts w:asciiTheme="majorBidi" w:eastAsia="Calibri" w:hAnsiTheme="majorBidi" w:cstheme="majorBidi"/>
        </w:rPr>
        <w:t>Prevent the Coalition and any other allied forces from launching attacks that target or are likely to damage objects indispensable to the survival of the civilian population, including by adding and updating the inclusion of essential food, water, and health facilities, as well as functioning educational facilities, on no-strike lists; raising past attacks with allies; and advocating for investigations into past attacks and redress, where appropriate.</w:t>
      </w:r>
    </w:p>
    <w:p w14:paraId="46FF8657" w14:textId="77777777" w:rsidR="00F018E3" w:rsidRPr="00A52A72" w:rsidRDefault="00F018E3" w:rsidP="0014048C">
      <w:pPr>
        <w:numPr>
          <w:ilvl w:val="0"/>
          <w:numId w:val="18"/>
        </w:numPr>
        <w:spacing w:before="120" w:afterLines="100" w:after="240" w:line="240" w:lineRule="auto"/>
        <w:contextualSpacing/>
        <w:jc w:val="both"/>
        <w:rPr>
          <w:rFonts w:asciiTheme="majorBidi" w:eastAsia="Calibri" w:hAnsiTheme="majorBidi" w:cstheme="majorBidi"/>
        </w:rPr>
      </w:pPr>
      <w:r w:rsidRPr="00A52A72">
        <w:rPr>
          <w:rFonts w:asciiTheme="majorBidi" w:eastAsia="Calibri" w:hAnsiTheme="majorBidi" w:cstheme="majorBidi"/>
          <w:color w:val="000000"/>
          <w:lang w:eastAsia="de-DE"/>
        </w:rPr>
        <w:t xml:space="preserve">Conduct credible, impartial, and transparent investigations into alleged gross violations of international human rights law and serious violations of international humanitarian law, </w:t>
      </w:r>
      <w:r w:rsidRPr="00A52A72">
        <w:rPr>
          <w:rFonts w:asciiTheme="majorBidi" w:eastAsia="Calibri" w:hAnsiTheme="majorBidi" w:cstheme="majorBidi"/>
        </w:rPr>
        <w:t xml:space="preserve">including using starvation of civilians as a method of warfare, </w:t>
      </w:r>
      <w:r w:rsidRPr="00A52A72">
        <w:rPr>
          <w:rFonts w:asciiTheme="majorBidi" w:eastAsia="Calibri" w:hAnsiTheme="majorBidi" w:cstheme="majorBidi"/>
          <w:color w:val="000000"/>
          <w:lang w:eastAsia="de-DE"/>
        </w:rPr>
        <w:t>and appropriately prosecute personnel responsible;</w:t>
      </w:r>
      <w:r w:rsidRPr="00A52A72">
        <w:rPr>
          <w:rFonts w:asciiTheme="majorBidi" w:eastAsia="Calibri" w:hAnsiTheme="majorBidi" w:cstheme="majorBidi"/>
        </w:rPr>
        <w:t xml:space="preserve"> demand allies, including members of the Saudi/UAE-led coalition, do the same; </w:t>
      </w:r>
    </w:p>
    <w:p w14:paraId="53D17FC3" w14:textId="77777777" w:rsidR="00F018E3" w:rsidRPr="00A52A72" w:rsidRDefault="00F018E3" w:rsidP="0014048C">
      <w:pPr>
        <w:numPr>
          <w:ilvl w:val="0"/>
          <w:numId w:val="18"/>
        </w:numPr>
        <w:spacing w:before="240" w:afterLines="100" w:after="240" w:line="240" w:lineRule="auto"/>
        <w:contextualSpacing/>
        <w:jc w:val="both"/>
        <w:rPr>
          <w:rFonts w:asciiTheme="majorBidi" w:eastAsia="Calibri" w:hAnsiTheme="majorBidi" w:cstheme="majorBidi"/>
          <w:color w:val="000000"/>
          <w:lang w:eastAsia="de-DE"/>
        </w:rPr>
      </w:pPr>
      <w:r w:rsidRPr="00A52A72">
        <w:rPr>
          <w:rFonts w:asciiTheme="majorBidi" w:eastAsia="Calibri" w:hAnsiTheme="majorBidi" w:cstheme="majorBidi"/>
          <w:color w:val="000000"/>
          <w:lang w:eastAsia="de-DE"/>
        </w:rPr>
        <w:t xml:space="preserve">Provide prompt, effective and adequate reparation for victims of gross violations of international human rights law and serious violations of international humanitarian law, adopt a unified, comprehensive, and easily accessible mechanism for providing ex gratia (condolence) payments to civilians who suffer losses due to military operations, and </w:t>
      </w:r>
      <w:r w:rsidRPr="00A52A72">
        <w:rPr>
          <w:rFonts w:asciiTheme="majorBidi" w:eastAsia="Calibri" w:hAnsiTheme="majorBidi" w:cstheme="majorBidi"/>
        </w:rPr>
        <w:t>ensure such processes are transparent, with sufficient information publicly released for independent monitoring.</w:t>
      </w:r>
      <w:r w:rsidRPr="00A52A72">
        <w:rPr>
          <w:rFonts w:asciiTheme="majorBidi" w:eastAsia="Calibri" w:hAnsiTheme="majorBidi" w:cstheme="majorBidi"/>
          <w:color w:val="000000"/>
          <w:lang w:eastAsia="de-DE"/>
        </w:rPr>
        <w:t xml:space="preserve"> </w:t>
      </w:r>
      <w:r w:rsidRPr="00A52A72">
        <w:rPr>
          <w:rFonts w:asciiTheme="majorBidi" w:eastAsia="Calibri" w:hAnsiTheme="majorBidi" w:cstheme="majorBidi"/>
        </w:rPr>
        <w:t>Demand allies, including members of the Saudi/UAE-led coalition, do the same</w:t>
      </w:r>
      <w:r w:rsidRPr="00A52A72">
        <w:rPr>
          <w:rFonts w:asciiTheme="majorBidi" w:eastAsia="Calibri" w:hAnsiTheme="majorBidi" w:cstheme="majorBidi"/>
          <w:color w:val="000000"/>
          <w:lang w:eastAsia="de-DE"/>
        </w:rPr>
        <w:t xml:space="preserve">. </w:t>
      </w:r>
    </w:p>
    <w:p w14:paraId="271F329C" w14:textId="77777777" w:rsidR="00F018E3" w:rsidRPr="00A52A72" w:rsidRDefault="00F018E3" w:rsidP="0014048C">
      <w:pPr>
        <w:numPr>
          <w:ilvl w:val="0"/>
          <w:numId w:val="18"/>
        </w:numPr>
        <w:spacing w:after="0" w:line="240" w:lineRule="auto"/>
        <w:contextualSpacing/>
        <w:jc w:val="both"/>
        <w:rPr>
          <w:rFonts w:asciiTheme="majorBidi" w:eastAsia="Calibri" w:hAnsiTheme="majorBidi" w:cstheme="majorBidi"/>
          <w:color w:val="000000"/>
          <w:lang w:eastAsia="de-DE"/>
        </w:rPr>
      </w:pPr>
      <w:r w:rsidRPr="00A52A72">
        <w:rPr>
          <w:rFonts w:asciiTheme="majorBidi" w:eastAsia="Calibri" w:hAnsiTheme="majorBidi" w:cstheme="majorBidi"/>
          <w:color w:val="000000"/>
          <w:lang w:eastAsia="de-DE"/>
        </w:rPr>
        <w:t xml:space="preserve">Support the establishment of a mechanism to rebuild health care facilities, schools, and essential water and food production facilities damaged and destroyed during the armed conflict across Yemen in a timely manner. </w:t>
      </w:r>
    </w:p>
    <w:p w14:paraId="72E54B2F" w14:textId="77777777" w:rsidR="00F018E3" w:rsidRPr="00A52A72" w:rsidRDefault="00F018E3" w:rsidP="0014048C">
      <w:pPr>
        <w:numPr>
          <w:ilvl w:val="0"/>
          <w:numId w:val="18"/>
        </w:numPr>
        <w:spacing w:after="0" w:line="240" w:lineRule="auto"/>
        <w:contextualSpacing/>
        <w:jc w:val="both"/>
        <w:rPr>
          <w:rFonts w:asciiTheme="majorBidi" w:eastAsia="Calibri" w:hAnsiTheme="majorBidi" w:cstheme="majorBidi"/>
          <w:color w:val="000000"/>
          <w:lang w:eastAsia="de-DE"/>
        </w:rPr>
      </w:pPr>
      <w:r w:rsidRPr="00A52A72">
        <w:rPr>
          <w:rFonts w:asciiTheme="majorBidi" w:eastAsia="Times New Roman" w:hAnsiTheme="majorBidi" w:cstheme="majorBidi"/>
          <w:iCs/>
          <w:color w:val="000000"/>
          <w:lang w:eastAsia="de-DE"/>
        </w:rPr>
        <w:t>Clear landmines in areas under the government’s control, with a focus on those that fall along paths to or are otherwise near water sources.</w:t>
      </w:r>
    </w:p>
    <w:p w14:paraId="5AEA5FAF" w14:textId="4B35BB92" w:rsidR="00F018E3" w:rsidRPr="00315177" w:rsidRDefault="00F018E3" w:rsidP="0014048C">
      <w:pPr>
        <w:numPr>
          <w:ilvl w:val="0"/>
          <w:numId w:val="18"/>
        </w:numPr>
        <w:spacing w:afterLines="100" w:after="240" w:line="240" w:lineRule="auto"/>
        <w:contextualSpacing/>
        <w:jc w:val="both"/>
        <w:rPr>
          <w:rFonts w:asciiTheme="majorBidi" w:eastAsia="Times New Roman" w:hAnsiTheme="majorBidi" w:cstheme="majorBidi"/>
          <w:lang w:eastAsia="en-GB"/>
        </w:rPr>
      </w:pPr>
      <w:r w:rsidRPr="00315177">
        <w:rPr>
          <w:rFonts w:asciiTheme="majorBidi" w:eastAsia="Calibri" w:hAnsiTheme="majorBidi" w:cstheme="majorBidi"/>
          <w:color w:val="000000"/>
          <w:lang w:eastAsia="de-DE"/>
        </w:rPr>
        <w:t>Cease use of health care facilities and schools for military purposes, cease placing military targets near these sites, and end practices that endanger staff, students, patients, and others who use these facilities for civilian purposes.</w:t>
      </w:r>
    </w:p>
    <w:p w14:paraId="30A167D0" w14:textId="77777777" w:rsidR="002F03B6" w:rsidRPr="00A52A72" w:rsidRDefault="002F03B6" w:rsidP="0014048C">
      <w:pPr>
        <w:jc w:val="both"/>
        <w:rPr>
          <w:rStyle w:val="Strong"/>
          <w:rFonts w:asciiTheme="majorBidi" w:eastAsia="Times New Roman" w:hAnsiTheme="majorBidi" w:cstheme="majorBidi"/>
          <w:b w:val="0"/>
          <w:bCs w:val="0"/>
          <w:rtl/>
        </w:rPr>
      </w:pPr>
    </w:p>
    <w:p w14:paraId="7A846A86" w14:textId="77777777" w:rsidR="00A05C47" w:rsidRPr="00270581" w:rsidRDefault="00A05C47" w:rsidP="0014048C">
      <w:pPr>
        <w:jc w:val="both"/>
        <w:rPr>
          <w:rStyle w:val="Strong"/>
          <w:rFonts w:asciiTheme="majorBidi" w:eastAsia="Times New Roman" w:hAnsiTheme="majorBidi" w:cstheme="majorBidi"/>
          <w:b w:val="0"/>
          <w:bCs w:val="0"/>
          <w:sz w:val="24"/>
          <w:szCs w:val="24"/>
        </w:rPr>
      </w:pPr>
    </w:p>
    <w:sectPr w:rsidR="00A05C47" w:rsidRPr="0027058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D6D1C6" w14:textId="77777777" w:rsidR="00231B9D" w:rsidRDefault="00231B9D" w:rsidP="0016668F">
      <w:pPr>
        <w:spacing w:after="0" w:line="240" w:lineRule="auto"/>
      </w:pPr>
      <w:r>
        <w:separator/>
      </w:r>
    </w:p>
  </w:endnote>
  <w:endnote w:type="continuationSeparator" w:id="0">
    <w:p w14:paraId="6FF7CBB2" w14:textId="77777777" w:rsidR="00231B9D" w:rsidRDefault="00231B9D" w:rsidP="00166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5C7B21" w14:textId="77777777" w:rsidR="00231B9D" w:rsidRDefault="00231B9D" w:rsidP="0016668F">
      <w:pPr>
        <w:spacing w:after="0" w:line="240" w:lineRule="auto"/>
      </w:pPr>
      <w:r>
        <w:separator/>
      </w:r>
    </w:p>
  </w:footnote>
  <w:footnote w:type="continuationSeparator" w:id="0">
    <w:p w14:paraId="3C380482" w14:textId="77777777" w:rsidR="00231B9D" w:rsidRDefault="00231B9D" w:rsidP="0016668F">
      <w:pPr>
        <w:spacing w:after="0" w:line="240" w:lineRule="auto"/>
      </w:pPr>
      <w:r>
        <w:continuationSeparator/>
      </w:r>
    </w:p>
  </w:footnote>
  <w:footnote w:id="1">
    <w:p w14:paraId="2CF535E4" w14:textId="65C5A30D" w:rsidR="000E5F61" w:rsidRPr="009C47BD" w:rsidRDefault="000E5F61" w:rsidP="0014048C">
      <w:pPr>
        <w:pStyle w:val="FootnoteText"/>
        <w:jc w:val="both"/>
      </w:pPr>
      <w:r>
        <w:rPr>
          <w:rStyle w:val="FootnoteReference"/>
        </w:rPr>
        <w:footnoteRef/>
      </w:r>
      <w:r>
        <w:t xml:space="preserve"> </w:t>
      </w:r>
      <w:r w:rsidRPr="009C47BD">
        <w:rPr>
          <w:lang w:val="en-US"/>
        </w:rPr>
        <w:t xml:space="preserve">Yemen acceded to the Covenant on February 9, 1987. International Covenant on Economic, Social and Cultural Rights, </w:t>
      </w:r>
      <w:r w:rsidRPr="009C47BD">
        <w:rPr>
          <w:i/>
          <w:iCs/>
          <w:lang w:val="en-US"/>
        </w:rPr>
        <w:t>adopted</w:t>
      </w:r>
      <w:r w:rsidRPr="009C47BD">
        <w:rPr>
          <w:lang w:val="en-US"/>
        </w:rPr>
        <w:t xml:space="preserve"> 16 Dec., 1966, </w:t>
      </w:r>
      <w:r w:rsidRPr="009C47BD">
        <w:rPr>
          <w:lang w:val="en-AU"/>
        </w:rPr>
        <w:t>993 U.N.T.S. 3 (entered into force 3 Jan. 1976) [hereinafter ICESCR].</w:t>
      </w:r>
      <w:r w:rsidRPr="009C47BD">
        <w:rPr>
          <w:lang w:val="en-US"/>
        </w:rPr>
        <w:t xml:space="preserve"> </w:t>
      </w:r>
    </w:p>
  </w:footnote>
  <w:footnote w:id="2">
    <w:p w14:paraId="122B7BC0" w14:textId="0D2BA93F" w:rsidR="005B4944" w:rsidRPr="005B4944" w:rsidRDefault="005B4944" w:rsidP="0014048C">
      <w:pPr>
        <w:pStyle w:val="FootnoteText"/>
        <w:jc w:val="both"/>
      </w:pPr>
      <w:r w:rsidRPr="009C47BD">
        <w:rPr>
          <w:rStyle w:val="FootnoteReference"/>
        </w:rPr>
        <w:footnoteRef/>
      </w:r>
      <w:r w:rsidRPr="009C47BD">
        <w:t xml:space="preserve"> </w:t>
      </w:r>
      <w:r w:rsidR="006141F4" w:rsidRPr="006141F4">
        <w:t>Integrated Food Security Phase Classification</w:t>
      </w:r>
      <w:r w:rsidR="006141F4">
        <w:t xml:space="preserve">, </w:t>
      </w:r>
      <w:r w:rsidR="006141F4" w:rsidRPr="00537031">
        <w:rPr>
          <w:i/>
          <w:iCs/>
        </w:rPr>
        <w:t>Yemen: Food Security &amp; Nutrition Snapshot | March 2022</w:t>
      </w:r>
      <w:r w:rsidR="006141F4">
        <w:t xml:space="preserve">, March 2022, </w:t>
      </w:r>
      <w:hyperlink r:id="rId1" w:history="1">
        <w:r w:rsidR="006141F4" w:rsidRPr="00C6302D">
          <w:rPr>
            <w:rStyle w:val="Hyperlink"/>
          </w:rPr>
          <w:t>https://reliefweb.int/report/yemen/yemen-food-security-nutrition-snapshot-march-2022-enar</w:t>
        </w:r>
      </w:hyperlink>
      <w:r w:rsidR="006141F4">
        <w:t xml:space="preserve">. </w:t>
      </w:r>
    </w:p>
  </w:footnote>
  <w:footnote w:id="3">
    <w:p w14:paraId="7A43A775" w14:textId="7A97BAC4" w:rsidR="00BF32DF" w:rsidRPr="009C47BD" w:rsidRDefault="00BF32DF" w:rsidP="0014048C">
      <w:pPr>
        <w:jc w:val="both"/>
        <w:rPr>
          <w:rFonts w:cstheme="minorHAnsi"/>
          <w:sz w:val="20"/>
          <w:szCs w:val="20"/>
        </w:rPr>
      </w:pPr>
      <w:r w:rsidRPr="009C47BD">
        <w:rPr>
          <w:rStyle w:val="FootnoteReference"/>
          <w:rFonts w:cstheme="minorHAnsi"/>
          <w:sz w:val="20"/>
          <w:szCs w:val="20"/>
        </w:rPr>
        <w:footnoteRef/>
      </w:r>
      <w:r w:rsidRPr="00976C99">
        <w:rPr>
          <w:rFonts w:cstheme="minorHAnsi"/>
          <w:sz w:val="20"/>
          <w:szCs w:val="20"/>
          <w:lang w:val="de-DE"/>
        </w:rPr>
        <w:t xml:space="preserve"> Mwatana</w:t>
      </w:r>
      <w:r>
        <w:rPr>
          <w:rFonts w:cstheme="minorHAnsi" w:hint="cs"/>
          <w:sz w:val="20"/>
          <w:szCs w:val="20"/>
          <w:rtl/>
        </w:rPr>
        <w:t xml:space="preserve"> </w:t>
      </w:r>
      <w:r>
        <w:rPr>
          <w:rFonts w:cstheme="minorHAnsi"/>
          <w:sz w:val="20"/>
          <w:szCs w:val="20"/>
        </w:rPr>
        <w:t>for Human Rights and Global Rights Compliance</w:t>
      </w:r>
      <w:r w:rsidRPr="00976C99">
        <w:rPr>
          <w:rFonts w:cstheme="minorHAnsi"/>
          <w:sz w:val="20"/>
          <w:szCs w:val="20"/>
          <w:lang w:val="de-DE"/>
        </w:rPr>
        <w:t>,</w:t>
      </w:r>
      <w:r w:rsidR="006141F4">
        <w:rPr>
          <w:rFonts w:cstheme="minorHAnsi"/>
          <w:sz w:val="20"/>
          <w:szCs w:val="20"/>
          <w:lang w:val="de-DE"/>
        </w:rPr>
        <w:t xml:space="preserve"> </w:t>
      </w:r>
      <w:r>
        <w:rPr>
          <w:rFonts w:cstheme="minorHAnsi"/>
          <w:i/>
          <w:iCs/>
          <w:sz w:val="20"/>
          <w:szCs w:val="20"/>
          <w:lang w:val="de-DE"/>
        </w:rPr>
        <w:t>Starvation Makers</w:t>
      </w:r>
      <w:r w:rsidR="006141F4">
        <w:rPr>
          <w:rFonts w:cstheme="minorHAnsi"/>
          <w:i/>
          <w:iCs/>
          <w:sz w:val="20"/>
          <w:szCs w:val="20"/>
          <w:lang w:val="de-DE"/>
        </w:rPr>
        <w:t>:</w:t>
      </w:r>
      <w:r>
        <w:rPr>
          <w:rFonts w:cstheme="minorHAnsi"/>
          <w:i/>
          <w:iCs/>
          <w:sz w:val="20"/>
          <w:szCs w:val="20"/>
          <w:lang w:val="de-DE"/>
        </w:rPr>
        <w:t xml:space="preserve"> the use of starvation by warring parties in Yemen</w:t>
      </w:r>
      <w:r w:rsidRPr="00976C99">
        <w:rPr>
          <w:rFonts w:cstheme="minorHAnsi"/>
          <w:i/>
          <w:iCs/>
          <w:sz w:val="20"/>
          <w:szCs w:val="20"/>
          <w:lang w:val="de-DE"/>
        </w:rPr>
        <w:t>,</w:t>
      </w:r>
      <w:r w:rsidRPr="00976C99">
        <w:rPr>
          <w:rFonts w:cstheme="minorHAnsi"/>
          <w:sz w:val="20"/>
          <w:szCs w:val="20"/>
          <w:lang w:val="de-DE"/>
        </w:rPr>
        <w:t xml:space="preserve"> </w:t>
      </w:r>
      <w:r>
        <w:rPr>
          <w:rFonts w:cstheme="minorHAnsi"/>
          <w:sz w:val="20"/>
          <w:szCs w:val="20"/>
          <w:lang w:val="de-DE"/>
        </w:rPr>
        <w:t xml:space="preserve">September 2021 </w:t>
      </w:r>
      <w:r w:rsidRPr="00976C99">
        <w:rPr>
          <w:rFonts w:cstheme="minorHAnsi"/>
          <w:sz w:val="20"/>
          <w:szCs w:val="20"/>
          <w:lang w:val="de-DE"/>
        </w:rPr>
        <w:t xml:space="preserve">, </w:t>
      </w:r>
      <w:hyperlink r:id="rId2" w:history="1">
        <w:r w:rsidRPr="00C6302D">
          <w:rPr>
            <w:rStyle w:val="Hyperlink"/>
            <w:rFonts w:cstheme="minorHAnsi"/>
            <w:sz w:val="20"/>
            <w:szCs w:val="20"/>
            <w:lang w:val="de-DE"/>
          </w:rPr>
          <w:t>https://mwatana.org/wp-content/uploads/2021/09/Starvation-Makers-2021-En.pdf</w:t>
        </w:r>
      </w:hyperlink>
      <w:r>
        <w:rPr>
          <w:rFonts w:cstheme="minorHAnsi"/>
          <w:sz w:val="20"/>
          <w:szCs w:val="20"/>
          <w:lang w:val="de-DE"/>
        </w:rPr>
        <w:t xml:space="preserve"> </w:t>
      </w:r>
      <w:r w:rsidRPr="00976C99">
        <w:rPr>
          <w:rFonts w:cstheme="minorHAnsi"/>
          <w:sz w:val="20"/>
          <w:szCs w:val="20"/>
          <w:lang w:val="de-DE"/>
        </w:rPr>
        <w:t>; Mwatana</w:t>
      </w:r>
      <w:r>
        <w:rPr>
          <w:rFonts w:cstheme="minorHAnsi"/>
          <w:sz w:val="20"/>
          <w:szCs w:val="20"/>
          <w:lang w:val="de-DE"/>
        </w:rPr>
        <w:t xml:space="preserve"> for Human Rights</w:t>
      </w:r>
      <w:r>
        <w:rPr>
          <w:rStyle w:val="FootnoteTextChar"/>
        </w:rPr>
        <w:t>, Withering Life: Human Rights Situation in Yemen 2018, July 2019, p. 11</w:t>
      </w:r>
      <w:r w:rsidRPr="00976C99">
        <w:rPr>
          <w:rFonts w:cstheme="minorHAnsi"/>
          <w:sz w:val="20"/>
          <w:szCs w:val="20"/>
          <w:lang w:val="de-DE"/>
        </w:rPr>
        <w:t xml:space="preserve">; The Group of Eminent Experts expressed “concern” that the Government of Yemen and the de facto authorities had failed to meet their human rights obligations including the right to food, and “deep concerns that starvation may have been used as a method of warfare by all parties to the conflict.” </w:t>
      </w:r>
      <w:r w:rsidRPr="009C47BD">
        <w:rPr>
          <w:rFonts w:cstheme="minorHAnsi"/>
          <w:sz w:val="20"/>
          <w:szCs w:val="20"/>
        </w:rPr>
        <w:t xml:space="preserve">A/HRC/42/17, </w:t>
      </w:r>
      <w:hyperlink r:id="rId3" w:history="1">
        <w:r w:rsidRPr="009C47BD">
          <w:rPr>
            <w:rStyle w:val="Hyperlink"/>
            <w:rFonts w:cstheme="minorHAnsi"/>
            <w:sz w:val="20"/>
            <w:szCs w:val="20"/>
          </w:rPr>
          <w:t>https://documents-dds-ny.un.org/doc/UNDOC/GEN/G19/240/87/PDF/G1924087.pdf?OpenElement</w:t>
        </w:r>
      </w:hyperlink>
      <w:r w:rsidRPr="009C47BD">
        <w:rPr>
          <w:rFonts w:cstheme="minorHAnsi"/>
          <w:sz w:val="20"/>
          <w:szCs w:val="20"/>
        </w:rPr>
        <w:t>.</w:t>
      </w:r>
    </w:p>
  </w:footnote>
  <w:footnote w:id="4">
    <w:p w14:paraId="63451F7C" w14:textId="6AA279AE" w:rsidR="005055A1" w:rsidRDefault="005055A1" w:rsidP="0014048C">
      <w:pPr>
        <w:pStyle w:val="FootnoteText"/>
        <w:jc w:val="both"/>
        <w:rPr>
          <w:rFonts w:cstheme="minorHAnsi"/>
          <w:lang w:val="en-US"/>
        </w:rPr>
      </w:pPr>
      <w:r>
        <w:rPr>
          <w:rStyle w:val="FootnoteReference"/>
          <w:rFonts w:cstheme="minorHAnsi"/>
        </w:rPr>
        <w:footnoteRef/>
      </w:r>
      <w:r>
        <w:rPr>
          <w:rFonts w:cstheme="minorHAnsi"/>
          <w:lang w:val="en-US"/>
        </w:rPr>
        <w:t xml:space="preserve"> Mwatana for Human Rights,</w:t>
      </w:r>
      <w:r w:rsidR="006141F4">
        <w:rPr>
          <w:rFonts w:cstheme="minorHAnsi"/>
          <w:lang w:val="en-US"/>
        </w:rPr>
        <w:t xml:space="preserve"> </w:t>
      </w:r>
      <w:r w:rsidR="006141F4" w:rsidRPr="00537031">
        <w:rPr>
          <w:rFonts w:cstheme="minorHAnsi"/>
          <w:i/>
          <w:iCs/>
          <w:lang w:val="en-US"/>
        </w:rPr>
        <w:t>A Dark Year Despite the Truce</w:t>
      </w:r>
      <w:r w:rsidR="006141F4">
        <w:rPr>
          <w:rFonts w:cstheme="minorHAnsi"/>
          <w:i/>
          <w:iCs/>
          <w:lang w:val="en-US"/>
        </w:rPr>
        <w:t xml:space="preserve">: </w:t>
      </w:r>
      <w:r w:rsidR="006141F4" w:rsidRPr="00537031">
        <w:rPr>
          <w:rFonts w:cstheme="minorHAnsi"/>
          <w:i/>
          <w:iCs/>
          <w:lang w:val="en-US"/>
        </w:rPr>
        <w:t>Press briefing on the human rights situation in Yemen in 2022</w:t>
      </w:r>
      <w:r w:rsidR="006141F4">
        <w:rPr>
          <w:rFonts w:cstheme="minorHAnsi"/>
          <w:lang w:val="en-US"/>
        </w:rPr>
        <w:t xml:space="preserve">, January 2023, </w:t>
      </w:r>
      <w:hyperlink r:id="rId4" w:history="1">
        <w:r w:rsidR="006141F4" w:rsidRPr="00C6302D">
          <w:rPr>
            <w:rStyle w:val="Hyperlink"/>
            <w:rFonts w:cstheme="minorHAnsi"/>
            <w:lang w:val="en-US"/>
          </w:rPr>
          <w:t>https://mwatana.org/en/annualbreif2022/</w:t>
        </w:r>
      </w:hyperlink>
      <w:r w:rsidR="006141F4">
        <w:rPr>
          <w:rFonts w:cstheme="minorHAnsi"/>
          <w:lang w:val="en-US"/>
        </w:rPr>
        <w:t xml:space="preserve">. </w:t>
      </w:r>
    </w:p>
  </w:footnote>
  <w:footnote w:id="5">
    <w:p w14:paraId="496730FC" w14:textId="7FB5EBB3" w:rsidR="00C26AA5" w:rsidRPr="00C26AA5" w:rsidRDefault="00C26AA5" w:rsidP="0014048C">
      <w:pPr>
        <w:pStyle w:val="FootnoteText"/>
        <w:jc w:val="both"/>
      </w:pPr>
      <w:r>
        <w:rPr>
          <w:rStyle w:val="FootnoteReference"/>
        </w:rPr>
        <w:footnoteRef/>
      </w:r>
      <w:r>
        <w:t xml:space="preserve"> </w:t>
      </w:r>
      <w:r w:rsidR="006141F4">
        <w:rPr>
          <w:rFonts w:cstheme="minorHAnsi"/>
          <w:lang w:val="en-US"/>
        </w:rPr>
        <w:t xml:space="preserve">Mwatana for Human Rights, A Country Falling Apart: Human Rights Situation in Yemen 2021, </w:t>
      </w:r>
      <w:hyperlink r:id="rId5" w:history="1">
        <w:r w:rsidR="006141F4" w:rsidRPr="00C6302D">
          <w:rPr>
            <w:rStyle w:val="Hyperlink"/>
          </w:rPr>
          <w:t>https://mwatana.org/wp-content/uploads/2022/11/Annual-Report-2021-En.pdf</w:t>
        </w:r>
      </w:hyperlink>
      <w:r w:rsidR="006141F4">
        <w:t xml:space="preserve">, P. 67. </w:t>
      </w:r>
    </w:p>
  </w:footnote>
  <w:footnote w:id="6">
    <w:p w14:paraId="662CC0B4" w14:textId="791A8127" w:rsidR="005055A1" w:rsidRDefault="005055A1" w:rsidP="0014048C">
      <w:pPr>
        <w:pStyle w:val="FootnoteText"/>
        <w:jc w:val="both"/>
        <w:rPr>
          <w:rFonts w:cstheme="minorHAnsi"/>
          <w:lang w:val="en-US"/>
        </w:rPr>
      </w:pPr>
      <w:r>
        <w:rPr>
          <w:rStyle w:val="FootnoteReference"/>
          <w:rFonts w:cstheme="minorHAnsi"/>
        </w:rPr>
        <w:footnoteRef/>
      </w:r>
      <w:r>
        <w:rPr>
          <w:rFonts w:cstheme="minorHAnsi"/>
          <w:lang w:val="en-US"/>
        </w:rPr>
        <w:t xml:space="preserve"> </w:t>
      </w:r>
      <w:r w:rsidR="00122CDB">
        <w:rPr>
          <w:rFonts w:cstheme="minorHAnsi"/>
          <w:lang w:val="en-US"/>
        </w:rPr>
        <w:t xml:space="preserve">Mwatana for Human Rights, A Country Falling Apart: Human Rights Situation in Yemen 2021, </w:t>
      </w:r>
      <w:hyperlink r:id="rId6" w:history="1">
        <w:r w:rsidR="00122CDB" w:rsidRPr="00C6302D">
          <w:rPr>
            <w:rStyle w:val="Hyperlink"/>
          </w:rPr>
          <w:t>https://mwatana.org/wp-content/uploads/2022/11/Annual-Report-2021-En.pdf</w:t>
        </w:r>
      </w:hyperlink>
      <w:r w:rsidR="00122CDB">
        <w:t xml:space="preserve">, P. 13; </w:t>
      </w:r>
      <w:r>
        <w:rPr>
          <w:rFonts w:cstheme="minorHAnsi"/>
          <w:lang w:val="en-US"/>
        </w:rPr>
        <w:t xml:space="preserve">Mwatana for Human Rights, </w:t>
      </w:r>
      <w:r>
        <w:rPr>
          <w:rFonts w:cstheme="minorHAnsi"/>
          <w:i/>
          <w:iCs/>
          <w:lang w:val="en-US"/>
        </w:rPr>
        <w:t>Withering Life: Human Rights Situation in Yemen 2018,</w:t>
      </w:r>
      <w:r>
        <w:rPr>
          <w:rFonts w:cstheme="minorHAnsi"/>
          <w:lang w:val="en-US"/>
        </w:rPr>
        <w:t xml:space="preserve"> July 2019, </w:t>
      </w:r>
      <w:hyperlink r:id="rId7" w:history="1">
        <w:r>
          <w:rPr>
            <w:rStyle w:val="Hyperlink"/>
            <w:rFonts w:cstheme="minorHAnsi"/>
            <w:lang w:val="en-US"/>
          </w:rPr>
          <w:t>https://mwatana.org/wp-content/uploads/2019/07/Withering-Life-2.pdf</w:t>
        </w:r>
      </w:hyperlink>
      <w:r>
        <w:rPr>
          <w:rFonts w:cstheme="minorHAnsi"/>
          <w:lang w:val="en-US"/>
        </w:rPr>
        <w:t xml:space="preserve">, p. 24;; Yemen Monthly Economic Update January 2020, </w:t>
      </w:r>
      <w:r>
        <w:rPr>
          <w:rFonts w:cstheme="minorHAnsi"/>
          <w:i/>
          <w:iCs/>
          <w:lang w:val="en-US"/>
        </w:rPr>
        <w:t>World Bank</w:t>
      </w:r>
      <w:r>
        <w:rPr>
          <w:rFonts w:cstheme="minorHAnsi"/>
          <w:lang w:val="en-US"/>
        </w:rPr>
        <w:t xml:space="preserve">, </w:t>
      </w:r>
      <w:hyperlink r:id="rId8" w:history="1">
        <w:r>
          <w:rPr>
            <w:rStyle w:val="Hyperlink"/>
            <w:rFonts w:cstheme="minorHAnsi"/>
            <w:lang w:val="en-US"/>
          </w:rPr>
          <w:t>http://documents.worldbank.org/curated/en/320011582043995205/pdf/Yemen-Monthly-Economic-Update-January-2020.pdf</w:t>
        </w:r>
      </w:hyperlink>
      <w:r>
        <w:rPr>
          <w:rFonts w:cstheme="minorHAnsi"/>
          <w:lang w:val="en-US"/>
        </w:rPr>
        <w:t>.</w:t>
      </w:r>
    </w:p>
  </w:footnote>
  <w:footnote w:id="7">
    <w:p w14:paraId="5DE9B70B" w14:textId="08D9C0B0" w:rsidR="005055A1" w:rsidRPr="00537031" w:rsidRDefault="005055A1" w:rsidP="0014048C">
      <w:pPr>
        <w:pStyle w:val="FootnoteText"/>
        <w:jc w:val="both"/>
        <w:rPr>
          <w:rFonts w:cstheme="minorHAnsi"/>
        </w:rPr>
      </w:pPr>
      <w:r>
        <w:rPr>
          <w:rStyle w:val="FootnoteReference"/>
        </w:rPr>
        <w:footnoteRef/>
      </w:r>
      <w:r>
        <w:t xml:space="preserve"> </w:t>
      </w:r>
      <w:r w:rsidR="00682CFF" w:rsidRPr="00976C99">
        <w:rPr>
          <w:rFonts w:cstheme="minorHAnsi"/>
        </w:rPr>
        <w:t>Mwatana</w:t>
      </w:r>
      <w:r w:rsidR="00682CFF">
        <w:rPr>
          <w:rFonts w:cstheme="minorHAnsi" w:hint="cs"/>
          <w:rtl/>
        </w:rPr>
        <w:t xml:space="preserve"> </w:t>
      </w:r>
      <w:r w:rsidR="00682CFF">
        <w:rPr>
          <w:rFonts w:cstheme="minorHAnsi"/>
        </w:rPr>
        <w:t>for Human Rights and Global Rights Compliance</w:t>
      </w:r>
      <w:r w:rsidR="00682CFF" w:rsidRPr="00976C99">
        <w:rPr>
          <w:rFonts w:cstheme="minorHAnsi"/>
        </w:rPr>
        <w:t>,</w:t>
      </w:r>
      <w:r w:rsidR="00682CFF">
        <w:rPr>
          <w:rFonts w:cstheme="minorHAnsi"/>
        </w:rPr>
        <w:t xml:space="preserve"> </w:t>
      </w:r>
      <w:r w:rsidR="00682CFF">
        <w:rPr>
          <w:rFonts w:cstheme="minorHAnsi"/>
          <w:i/>
          <w:iCs/>
        </w:rPr>
        <w:t>Starvation Makers: the use of starvation by warring parties in Yemen</w:t>
      </w:r>
      <w:r w:rsidR="00682CFF" w:rsidRPr="00976C99">
        <w:rPr>
          <w:rFonts w:cstheme="minorHAnsi"/>
          <w:i/>
          <w:iCs/>
        </w:rPr>
        <w:t>,</w:t>
      </w:r>
      <w:r w:rsidR="00682CFF" w:rsidRPr="00976C99">
        <w:rPr>
          <w:rFonts w:cstheme="minorHAnsi"/>
        </w:rPr>
        <w:t xml:space="preserve"> </w:t>
      </w:r>
      <w:r w:rsidR="00682CFF">
        <w:rPr>
          <w:rFonts w:cstheme="minorHAnsi"/>
        </w:rPr>
        <w:t xml:space="preserve">September 2021 </w:t>
      </w:r>
      <w:r w:rsidR="00682CFF" w:rsidRPr="00976C99">
        <w:rPr>
          <w:rFonts w:cstheme="minorHAnsi"/>
        </w:rPr>
        <w:t xml:space="preserve">, </w:t>
      </w:r>
      <w:hyperlink r:id="rId9" w:history="1">
        <w:r w:rsidR="00682CFF" w:rsidRPr="00C6302D">
          <w:rPr>
            <w:rStyle w:val="Hyperlink"/>
            <w:rFonts w:cstheme="minorHAnsi"/>
          </w:rPr>
          <w:t>https://mwatana.org/wp-content/uploads/2021/09/Starvation-Makers-2021-En.pdf</w:t>
        </w:r>
      </w:hyperlink>
      <w:r w:rsidR="00682CFF">
        <w:rPr>
          <w:rFonts w:cstheme="minorHAnsi"/>
        </w:rPr>
        <w:t xml:space="preserve">, P. 67; UNGEE, </w:t>
      </w:r>
      <w:r w:rsidR="00682CFF" w:rsidRPr="00537031">
        <w:rPr>
          <w:rFonts w:cstheme="minorHAnsi"/>
          <w:i/>
          <w:iCs/>
        </w:rPr>
        <w:t>Situation of human rights in Yemen, including violations and abuses since September 2014</w:t>
      </w:r>
      <w:r w:rsidR="00682CFF">
        <w:rPr>
          <w:rFonts w:cstheme="minorHAnsi"/>
        </w:rPr>
        <w:t xml:space="preserve">, </w:t>
      </w:r>
      <w:r w:rsidR="00682CFF" w:rsidRPr="00682CFF">
        <w:rPr>
          <w:rFonts w:cstheme="minorHAnsi"/>
        </w:rPr>
        <w:t>September</w:t>
      </w:r>
      <w:r w:rsidR="00682CFF">
        <w:rPr>
          <w:rFonts w:cstheme="minorHAnsi"/>
        </w:rPr>
        <w:t xml:space="preserve"> </w:t>
      </w:r>
      <w:r w:rsidR="00682CFF" w:rsidRPr="00682CFF">
        <w:rPr>
          <w:rFonts w:cstheme="minorHAnsi"/>
        </w:rPr>
        <w:t>2020,</w:t>
      </w:r>
      <w:r w:rsidR="00682CFF">
        <w:rPr>
          <w:rFonts w:cstheme="minorHAnsi"/>
        </w:rPr>
        <w:t xml:space="preserve"> </w:t>
      </w:r>
      <w:hyperlink r:id="rId10" w:history="1">
        <w:r w:rsidR="00682CFF" w:rsidRPr="00C6302D">
          <w:rPr>
            <w:rStyle w:val="Hyperlink"/>
            <w:rFonts w:cstheme="minorHAnsi"/>
          </w:rPr>
          <w:t>https://www.ohchr.org/Documents/HRBodies/HRCouncil/GEE-Yemen/AHRC-45-CRP.7-en.pdf</w:t>
        </w:r>
      </w:hyperlink>
      <w:r w:rsidR="00682CFF">
        <w:rPr>
          <w:rFonts w:cstheme="minorHAnsi"/>
        </w:rPr>
        <w:t xml:space="preserve">, Para. 145. </w:t>
      </w:r>
    </w:p>
  </w:footnote>
  <w:footnote w:id="8">
    <w:p w14:paraId="6B6A6CEF" w14:textId="24C1DBCF" w:rsidR="005055A1" w:rsidRDefault="005055A1" w:rsidP="0014048C">
      <w:pPr>
        <w:pStyle w:val="FootnoteText"/>
        <w:jc w:val="both"/>
        <w:rPr>
          <w:rFonts w:cstheme="minorHAnsi"/>
          <w:lang w:val="en-US"/>
        </w:rPr>
      </w:pPr>
      <w:r>
        <w:rPr>
          <w:rStyle w:val="FootnoteReference"/>
          <w:rFonts w:cstheme="minorHAnsi"/>
        </w:rPr>
        <w:footnoteRef/>
      </w:r>
      <w:r>
        <w:rPr>
          <w:rFonts w:cstheme="minorHAnsi"/>
          <w:lang w:val="en-US"/>
        </w:rPr>
        <w:t xml:space="preserve"> </w:t>
      </w:r>
      <w:r w:rsidR="00436131">
        <w:rPr>
          <w:rFonts w:cstheme="minorHAnsi"/>
          <w:lang w:val="en-US"/>
        </w:rPr>
        <w:t>Mwatana for Human Rights</w:t>
      </w:r>
      <w:r>
        <w:rPr>
          <w:rFonts w:cstheme="minorHAnsi"/>
          <w:lang w:val="en-US"/>
        </w:rPr>
        <w:t xml:space="preserve">, </w:t>
      </w:r>
      <w:r>
        <w:rPr>
          <w:rFonts w:cstheme="minorHAnsi"/>
          <w:i/>
          <w:lang w:val="en-US"/>
        </w:rPr>
        <w:t>Interruption of Earnings and Salaries … The Worst Economic Crisis in Yemen</w:t>
      </w:r>
      <w:r>
        <w:rPr>
          <w:rFonts w:cstheme="minorHAnsi"/>
          <w:lang w:val="en-US"/>
        </w:rPr>
        <w:t xml:space="preserve">, 27 May 2019, </w:t>
      </w:r>
      <w:hyperlink r:id="rId11" w:history="1">
        <w:r>
          <w:rPr>
            <w:rStyle w:val="Hyperlink"/>
            <w:rFonts w:cstheme="minorHAnsi"/>
            <w:lang w:val="en-US"/>
          </w:rPr>
          <w:t>https://mwatana.org/en/interruption-of-salaries/</w:t>
        </w:r>
      </w:hyperlink>
      <w:r>
        <w:rPr>
          <w:rFonts w:cstheme="minorHAnsi"/>
          <w:lang w:val="en-US"/>
        </w:rPr>
        <w:t xml:space="preserve">; UN Human Rights Council, </w:t>
      </w:r>
      <w:r>
        <w:rPr>
          <w:rFonts w:cstheme="minorHAnsi"/>
          <w:i/>
          <w:lang w:val="en-US"/>
        </w:rPr>
        <w:t xml:space="preserve">Situation of human rights in Yemen, including violations and abuses since September 2014, </w:t>
      </w:r>
      <w:r>
        <w:rPr>
          <w:rFonts w:cstheme="minorHAnsi"/>
          <w:lang w:val="en-US"/>
        </w:rPr>
        <w:t>17 August 2018, UN Doc. A/HRC/39/43, par</w:t>
      </w:r>
      <w:r w:rsidR="00862147">
        <w:rPr>
          <w:rFonts w:cstheme="minorHAnsi"/>
          <w:lang w:val="en-US"/>
        </w:rPr>
        <w:t>a</w:t>
      </w:r>
      <w:r>
        <w:rPr>
          <w:rFonts w:cstheme="minorHAnsi"/>
          <w:lang w:val="en-US"/>
        </w:rPr>
        <w:t>. 51.</w:t>
      </w:r>
    </w:p>
  </w:footnote>
  <w:footnote w:id="9">
    <w:p w14:paraId="74FDFD26" w14:textId="599652CB" w:rsidR="00E836A8" w:rsidRPr="00537031" w:rsidRDefault="00E836A8" w:rsidP="0014048C">
      <w:pPr>
        <w:pStyle w:val="FootnoteText"/>
        <w:jc w:val="both"/>
        <w:rPr>
          <w:lang w:val="en-US"/>
        </w:rPr>
      </w:pPr>
      <w:r>
        <w:rPr>
          <w:rStyle w:val="FootnoteReference"/>
        </w:rPr>
        <w:footnoteRef/>
      </w:r>
      <w:r>
        <w:t xml:space="preserve"> </w:t>
      </w:r>
      <w:r w:rsidR="0075343C">
        <w:t xml:space="preserve">UNICEF, Yemen Crisis, </w:t>
      </w:r>
      <w:hyperlink r:id="rId12" w:history="1">
        <w:r w:rsidR="0075343C" w:rsidRPr="00C6302D">
          <w:rPr>
            <w:rStyle w:val="Hyperlink"/>
          </w:rPr>
          <w:t>https://www.unicef.org/emergencies/yemen-crisis</w:t>
        </w:r>
      </w:hyperlink>
      <w:r w:rsidR="0075343C">
        <w:t xml:space="preserve"> . </w:t>
      </w:r>
    </w:p>
  </w:footnote>
  <w:footnote w:id="10">
    <w:p w14:paraId="45D1992E" w14:textId="77777777" w:rsidR="001D4005" w:rsidRDefault="001D4005" w:rsidP="0014048C">
      <w:pPr>
        <w:pStyle w:val="FootnoteText"/>
        <w:jc w:val="both"/>
        <w:rPr>
          <w:rFonts w:cstheme="minorHAnsi"/>
          <w:lang w:val="en-US"/>
        </w:rPr>
      </w:pPr>
      <w:r>
        <w:rPr>
          <w:rStyle w:val="FootnoteReference"/>
          <w:rFonts w:cstheme="minorHAnsi"/>
        </w:rPr>
        <w:footnoteRef/>
      </w:r>
      <w:r>
        <w:rPr>
          <w:rFonts w:cstheme="minorHAnsi"/>
          <w:lang w:val="en-US"/>
        </w:rPr>
        <w:t xml:space="preserve"> Committee on Economic, Social, and Cultural Rights, </w:t>
      </w:r>
      <w:r>
        <w:rPr>
          <w:rFonts w:cstheme="minorHAnsi"/>
          <w:i/>
          <w:iCs/>
          <w:lang w:val="en-US"/>
        </w:rPr>
        <w:t>General Comment No. 15: The Right to Water</w:t>
      </w:r>
      <w:r>
        <w:rPr>
          <w:rFonts w:cstheme="minorHAnsi"/>
          <w:lang w:val="en-US"/>
        </w:rPr>
        <w:t>, 20 Jan. 2003, UN Doc. E/C.12/2002/11, p. 5.</w:t>
      </w:r>
    </w:p>
  </w:footnote>
  <w:footnote w:id="11">
    <w:p w14:paraId="24271D9A" w14:textId="63E0B2AF" w:rsidR="001A3B38" w:rsidRPr="001A3B38" w:rsidRDefault="001A3B38" w:rsidP="0014048C">
      <w:pPr>
        <w:pStyle w:val="FootnoteText"/>
        <w:jc w:val="both"/>
      </w:pPr>
      <w:r>
        <w:rPr>
          <w:rStyle w:val="FootnoteReference"/>
        </w:rPr>
        <w:footnoteRef/>
      </w:r>
      <w:r>
        <w:t xml:space="preserve"> </w:t>
      </w:r>
      <w:r w:rsidR="00862147" w:rsidRPr="00976C99">
        <w:rPr>
          <w:rFonts w:cstheme="minorHAnsi"/>
        </w:rPr>
        <w:t>Mwatana</w:t>
      </w:r>
      <w:r w:rsidR="00862147">
        <w:rPr>
          <w:rFonts w:cstheme="minorHAnsi" w:hint="cs"/>
          <w:rtl/>
        </w:rPr>
        <w:t xml:space="preserve"> </w:t>
      </w:r>
      <w:r w:rsidR="00862147">
        <w:rPr>
          <w:rFonts w:cstheme="minorHAnsi"/>
        </w:rPr>
        <w:t>for Human Rights and Global Rights Compliance</w:t>
      </w:r>
      <w:r w:rsidR="00862147" w:rsidRPr="00976C99">
        <w:rPr>
          <w:rFonts w:cstheme="minorHAnsi"/>
        </w:rPr>
        <w:t>,</w:t>
      </w:r>
      <w:r w:rsidR="00862147">
        <w:rPr>
          <w:rFonts w:cstheme="minorHAnsi"/>
        </w:rPr>
        <w:t xml:space="preserve"> </w:t>
      </w:r>
      <w:r w:rsidR="00862147">
        <w:rPr>
          <w:rFonts w:cstheme="minorHAnsi"/>
          <w:i/>
          <w:iCs/>
        </w:rPr>
        <w:t>Starvation Makers: the use of starvation by warring parties in Yemen</w:t>
      </w:r>
      <w:r w:rsidR="00862147" w:rsidRPr="00976C99">
        <w:rPr>
          <w:rFonts w:cstheme="minorHAnsi"/>
          <w:i/>
          <w:iCs/>
        </w:rPr>
        <w:t>,</w:t>
      </w:r>
      <w:r w:rsidR="00862147" w:rsidRPr="00976C99">
        <w:rPr>
          <w:rFonts w:cstheme="minorHAnsi"/>
        </w:rPr>
        <w:t xml:space="preserve"> </w:t>
      </w:r>
      <w:r w:rsidR="00862147">
        <w:rPr>
          <w:rFonts w:cstheme="minorHAnsi"/>
        </w:rPr>
        <w:t xml:space="preserve">September 2021 </w:t>
      </w:r>
      <w:r w:rsidR="00862147" w:rsidRPr="00976C99">
        <w:rPr>
          <w:rFonts w:cstheme="minorHAnsi"/>
        </w:rPr>
        <w:t xml:space="preserve">, </w:t>
      </w:r>
      <w:hyperlink r:id="rId13" w:history="1">
        <w:r w:rsidR="00862147" w:rsidRPr="00C6302D">
          <w:rPr>
            <w:rStyle w:val="Hyperlink"/>
            <w:rFonts w:cstheme="minorHAnsi"/>
          </w:rPr>
          <w:t>https://mwatana.org/wp-content/uploads/2021/09/Starvation-Makers-2021-En.pdf</w:t>
        </w:r>
      </w:hyperlink>
      <w:r w:rsidR="00862147">
        <w:rPr>
          <w:rFonts w:cstheme="minorHAnsi"/>
        </w:rPr>
        <w:t xml:space="preserve">, P. 163. </w:t>
      </w:r>
    </w:p>
  </w:footnote>
  <w:footnote w:id="12">
    <w:p w14:paraId="0EA96D7E" w14:textId="24E24362" w:rsidR="001D4005" w:rsidRDefault="001D4005" w:rsidP="0014048C">
      <w:pPr>
        <w:pStyle w:val="FootnoteText"/>
        <w:jc w:val="both"/>
        <w:rPr>
          <w:rFonts w:cstheme="minorHAnsi"/>
          <w:lang w:val="en-US"/>
        </w:rPr>
      </w:pPr>
      <w:r>
        <w:rPr>
          <w:rStyle w:val="FootnoteReference"/>
          <w:rFonts w:cstheme="minorHAnsi"/>
          <w:lang w:val="en-US"/>
        </w:rPr>
        <w:footnoteRef/>
      </w:r>
      <w:r>
        <w:rPr>
          <w:rFonts w:cstheme="minorHAnsi"/>
          <w:lang w:val="en-US"/>
        </w:rPr>
        <w:t xml:space="preserve"> </w:t>
      </w:r>
      <w:r w:rsidR="00862147">
        <w:rPr>
          <w:rFonts w:cstheme="minorHAnsi"/>
          <w:lang w:val="en-US"/>
        </w:rPr>
        <w:t xml:space="preserve">Mwatana for Human Rights, </w:t>
      </w:r>
      <w:r w:rsidR="00862147" w:rsidRPr="00976C99">
        <w:rPr>
          <w:rFonts w:cstheme="minorHAnsi"/>
          <w:i/>
          <w:iCs/>
          <w:lang w:val="en-US"/>
        </w:rPr>
        <w:t>A Dark Year Despite the Truce</w:t>
      </w:r>
      <w:r w:rsidR="00862147">
        <w:rPr>
          <w:rFonts w:cstheme="minorHAnsi"/>
          <w:i/>
          <w:iCs/>
          <w:lang w:val="en-US"/>
        </w:rPr>
        <w:t xml:space="preserve">: </w:t>
      </w:r>
      <w:r w:rsidR="00862147" w:rsidRPr="00976C99">
        <w:rPr>
          <w:rFonts w:cstheme="minorHAnsi"/>
          <w:i/>
          <w:iCs/>
          <w:lang w:val="en-US"/>
        </w:rPr>
        <w:t>Press briefing on the human rights situation in Yemen in 2022</w:t>
      </w:r>
      <w:r w:rsidR="00862147">
        <w:rPr>
          <w:rFonts w:cstheme="minorHAnsi"/>
          <w:lang w:val="en-US"/>
        </w:rPr>
        <w:t xml:space="preserve">, January 2023, </w:t>
      </w:r>
      <w:hyperlink r:id="rId14" w:history="1">
        <w:r w:rsidR="00862147" w:rsidRPr="00C6302D">
          <w:rPr>
            <w:rStyle w:val="Hyperlink"/>
            <w:rFonts w:cstheme="minorHAnsi"/>
            <w:lang w:val="en-US"/>
          </w:rPr>
          <w:t>https://mwatana.org/en/annualbreif2022/</w:t>
        </w:r>
      </w:hyperlink>
      <w:r w:rsidR="00862147">
        <w:rPr>
          <w:rFonts w:cstheme="minorHAnsi"/>
          <w:lang w:val="en-US"/>
        </w:rPr>
        <w:t xml:space="preserve">. </w:t>
      </w:r>
    </w:p>
  </w:footnote>
  <w:footnote w:id="13">
    <w:p w14:paraId="06B02D7E" w14:textId="1ADDE64B" w:rsidR="00F018E3" w:rsidRPr="00F018E3" w:rsidRDefault="00F018E3" w:rsidP="0014048C">
      <w:pPr>
        <w:pStyle w:val="FootnoteText"/>
        <w:jc w:val="both"/>
      </w:pPr>
      <w:r>
        <w:rPr>
          <w:rStyle w:val="FootnoteReference"/>
        </w:rPr>
        <w:footnoteRef/>
      </w:r>
      <w:r>
        <w:t xml:space="preserve"> </w:t>
      </w:r>
      <w:r w:rsidR="00862147">
        <w:rPr>
          <w:rStyle w:val="FootnoteReference"/>
          <w:rFonts w:cstheme="minorHAnsi"/>
        </w:rPr>
        <w:footnoteRef/>
      </w:r>
      <w:r w:rsidR="00862147">
        <w:rPr>
          <w:rFonts w:cstheme="minorHAnsi"/>
        </w:rPr>
        <w:t xml:space="preserve"> Mwatana</w:t>
      </w:r>
      <w:r w:rsidR="00862147">
        <w:rPr>
          <w:rFonts w:cstheme="minorHAnsi"/>
          <w:rtl/>
        </w:rPr>
        <w:t xml:space="preserve"> </w:t>
      </w:r>
      <w:r w:rsidR="00862147">
        <w:rPr>
          <w:rFonts w:cstheme="minorHAnsi"/>
        </w:rPr>
        <w:t xml:space="preserve">for Human Rights and Global Rights Compliance, </w:t>
      </w:r>
      <w:r w:rsidR="00862147">
        <w:rPr>
          <w:rFonts w:cstheme="minorHAnsi"/>
          <w:i/>
          <w:iCs/>
        </w:rPr>
        <w:t>Starvation Makers: the use of starvation by warring parties in Yemen,</w:t>
      </w:r>
      <w:r w:rsidR="00862147">
        <w:rPr>
          <w:rFonts w:cstheme="minorHAnsi"/>
        </w:rPr>
        <w:t xml:space="preserve"> September 2021 , </w:t>
      </w:r>
      <w:hyperlink r:id="rId15" w:history="1">
        <w:r w:rsidR="00862147">
          <w:rPr>
            <w:rStyle w:val="Hyperlink"/>
            <w:rFonts w:cstheme="minorHAnsi"/>
          </w:rPr>
          <w:t>https://mwatana.org/wp-content/uploads/2021/09/Starvation-Makers-2021-En.pdf</w:t>
        </w:r>
      </w:hyperlink>
      <w:r w:rsidR="00862147">
        <w:rPr>
          <w:rFonts w:cstheme="minorHAnsi"/>
        </w:rPr>
        <w:t xml:space="preserve"> P. 289. </w:t>
      </w:r>
    </w:p>
  </w:footnote>
  <w:footnote w:id="14">
    <w:p w14:paraId="66E892A1" w14:textId="52EB91F7" w:rsidR="00862147" w:rsidRPr="00537031" w:rsidRDefault="00862147" w:rsidP="0014048C">
      <w:pPr>
        <w:pStyle w:val="FootnoteText"/>
        <w:jc w:val="both"/>
        <w:rPr>
          <w:lang w:val="en-US"/>
        </w:rPr>
      </w:pPr>
      <w:r>
        <w:rPr>
          <w:rStyle w:val="FootnoteReference"/>
        </w:rPr>
        <w:footnoteRef/>
      </w:r>
      <w:r>
        <w:t xml:space="preserve"> </w:t>
      </w:r>
      <w:r>
        <w:rPr>
          <w:rFonts w:cstheme="minorHAnsi"/>
          <w:lang w:val="en-US"/>
        </w:rPr>
        <w:t xml:space="preserve">Mwatana for Human Rights, </w:t>
      </w:r>
      <w:r w:rsidRPr="00537031">
        <w:rPr>
          <w:rFonts w:cstheme="minorHAnsi"/>
          <w:i/>
          <w:iCs/>
          <w:lang w:val="en-US"/>
        </w:rPr>
        <w:t>A Country Falling Apart: Human Rights Situation in Yemen 2021</w:t>
      </w:r>
      <w:r>
        <w:rPr>
          <w:rFonts w:cstheme="minorHAnsi"/>
          <w:lang w:val="en-US"/>
        </w:rPr>
        <w:t xml:space="preserve">, </w:t>
      </w:r>
      <w:hyperlink r:id="rId16" w:history="1">
        <w:r w:rsidRPr="00C6302D">
          <w:rPr>
            <w:rStyle w:val="Hyperlink"/>
          </w:rPr>
          <w:t>https://mwatana.org/wp-content/uploads/2022/11/Annual-Report-2021-En.pdf</w:t>
        </w:r>
      </w:hyperlink>
      <w:r>
        <w:t>, P. 97.</w:t>
      </w:r>
    </w:p>
  </w:footnote>
  <w:footnote w:id="15">
    <w:p w14:paraId="0E97F4AB" w14:textId="079BA70C" w:rsidR="00BD78D0" w:rsidRPr="00BD78D0" w:rsidRDefault="00BD78D0" w:rsidP="0014048C">
      <w:pPr>
        <w:pStyle w:val="FootnoteText"/>
        <w:jc w:val="both"/>
      </w:pPr>
      <w:r>
        <w:rPr>
          <w:rStyle w:val="FootnoteReference"/>
        </w:rPr>
        <w:footnoteRef/>
      </w:r>
      <w:r>
        <w:t xml:space="preserve"> </w:t>
      </w:r>
      <w:r w:rsidR="00436131">
        <w:t>WHO,</w:t>
      </w:r>
      <w:r w:rsidR="00436131" w:rsidRPr="00537031">
        <w:rPr>
          <w:i/>
          <w:iCs/>
        </w:rPr>
        <w:t xml:space="preserve"> Global burden of mental disorders and the need for a comprehensive, coordinated response from health and social sectors at the country level</w:t>
      </w:r>
      <w:r w:rsidR="00436131">
        <w:t xml:space="preserve">, December 2011, </w:t>
      </w:r>
      <w:hyperlink r:id="rId17" w:history="1">
        <w:r w:rsidR="00436131" w:rsidRPr="00C6302D">
          <w:rPr>
            <w:rStyle w:val="Hyperlink"/>
          </w:rPr>
          <w:t>https://apps.who.int/gb/ebwha/pdf_files/EB130/B130_9-en.pdf</w:t>
        </w:r>
      </w:hyperlink>
      <w:r w:rsidR="00436131">
        <w:t xml:space="preserve">.  </w:t>
      </w:r>
    </w:p>
  </w:footnote>
  <w:footnote w:id="16">
    <w:p w14:paraId="1A0B6628" w14:textId="432358F9" w:rsidR="00C0657A" w:rsidRPr="00976C99" w:rsidRDefault="00C0657A" w:rsidP="0014048C">
      <w:pPr>
        <w:pStyle w:val="FootnoteText"/>
        <w:jc w:val="both"/>
        <w:rPr>
          <w:lang w:val="en-US"/>
        </w:rPr>
      </w:pPr>
      <w:r>
        <w:rPr>
          <w:rStyle w:val="FootnoteReference"/>
        </w:rPr>
        <w:footnoteRef/>
      </w:r>
      <w:r>
        <w:t xml:space="preserve"> Sana’a Center for Strategic Studies et al, Yemen’s obligations to respect, protect, and fulfil the right to mental health: Submission to the UN Universal Periodic Review for Yemen, January-February 2019, </w:t>
      </w:r>
      <w:hyperlink r:id="rId18" w:history="1">
        <w:r w:rsidR="00436131" w:rsidRPr="00C6302D">
          <w:rPr>
            <w:rStyle w:val="Hyperlink"/>
          </w:rPr>
          <w:t>https://sanaacenter.org/publications/main-publications/6789</w:t>
        </w:r>
      </w:hyperlink>
      <w:r w:rsidR="00436131">
        <w:t xml:space="preserve"> </w:t>
      </w:r>
      <w:r>
        <w:t xml:space="preserve">; Sana'a Center for Strategic Studies et al, The Impact of the War on Mental Health in Yemen: A Neglected Crisis, 2017, </w:t>
      </w:r>
    </w:p>
  </w:footnote>
  <w:footnote w:id="17">
    <w:p w14:paraId="22C6C51B" w14:textId="65ACDEE5" w:rsidR="00C0657A" w:rsidRDefault="00C0657A" w:rsidP="0014048C">
      <w:pPr>
        <w:spacing w:after="60"/>
        <w:jc w:val="both"/>
        <w:rPr>
          <w:rFonts w:ascii="Calibri" w:hAnsi="Calibri" w:cs="Calibri"/>
          <w:sz w:val="20"/>
          <w:szCs w:val="20"/>
        </w:rPr>
      </w:pPr>
      <w:r>
        <w:rPr>
          <w:rStyle w:val="FootnoteReference"/>
          <w:rFonts w:ascii="Calibri" w:hAnsi="Calibri" w:cs="Calibri"/>
          <w:sz w:val="20"/>
          <w:szCs w:val="20"/>
        </w:rPr>
        <w:footnoteRef/>
      </w:r>
      <w:r>
        <w:rPr>
          <w:rFonts w:ascii="Calibri" w:hAnsi="Calibri" w:cs="Calibri"/>
          <w:sz w:val="20"/>
          <w:szCs w:val="20"/>
        </w:rPr>
        <w:t xml:space="preserve"> UNICEF, “</w:t>
      </w:r>
      <w:r w:rsidR="005B0FAD">
        <w:rPr>
          <w:rFonts w:ascii="Calibri" w:hAnsi="Calibri" w:cs="Calibri"/>
          <w:sz w:val="20"/>
          <w:szCs w:val="20"/>
        </w:rPr>
        <w:t>E</w:t>
      </w:r>
      <w:r w:rsidR="005B0FAD" w:rsidRPr="005B0FAD">
        <w:rPr>
          <w:rFonts w:ascii="Calibri" w:hAnsi="Calibri" w:cs="Calibri"/>
          <w:sz w:val="20"/>
          <w:szCs w:val="20"/>
        </w:rPr>
        <w:t>ducation</w:t>
      </w:r>
      <w:r w:rsidR="005B0FAD">
        <w:rPr>
          <w:rFonts w:ascii="Calibri" w:hAnsi="Calibri" w:cs="Calibri"/>
          <w:sz w:val="20"/>
          <w:szCs w:val="20"/>
        </w:rPr>
        <w:t xml:space="preserve"> D</w:t>
      </w:r>
      <w:r w:rsidR="005B0FAD" w:rsidRPr="005B0FAD">
        <w:rPr>
          <w:rFonts w:ascii="Calibri" w:hAnsi="Calibri" w:cs="Calibri"/>
          <w:sz w:val="20"/>
          <w:szCs w:val="20"/>
        </w:rPr>
        <w:t>isrupted</w:t>
      </w:r>
      <w:r w:rsidR="005B0FAD">
        <w:rPr>
          <w:rFonts w:ascii="Calibri" w:hAnsi="Calibri" w:cs="Calibri"/>
          <w:sz w:val="20"/>
          <w:szCs w:val="20"/>
        </w:rPr>
        <w:t xml:space="preserve">”, July 2021, </w:t>
      </w:r>
      <w:hyperlink r:id="rId19" w:history="1">
        <w:r w:rsidR="005B0FAD" w:rsidRPr="00C6302D">
          <w:rPr>
            <w:rStyle w:val="Hyperlink"/>
            <w:rFonts w:ascii="Calibri" w:hAnsi="Calibri" w:cs="Calibri"/>
            <w:sz w:val="20"/>
            <w:szCs w:val="20"/>
          </w:rPr>
          <w:t>https://www.unicef.org/yemen/reports/education-disrupted</w:t>
        </w:r>
      </w:hyperlink>
      <w:r w:rsidR="005B0FAD">
        <w:rPr>
          <w:rFonts w:ascii="Calibri" w:hAnsi="Calibri" w:cs="Calibri"/>
          <w:sz w:val="20"/>
          <w:szCs w:val="20"/>
        </w:rPr>
        <w:t xml:space="preserve">. </w:t>
      </w:r>
    </w:p>
  </w:footnote>
  <w:footnote w:id="18">
    <w:p w14:paraId="3E845AED" w14:textId="242DC12A" w:rsidR="00C0657A" w:rsidRDefault="00C0657A" w:rsidP="0014048C">
      <w:pPr>
        <w:spacing w:after="60"/>
        <w:jc w:val="both"/>
        <w:rPr>
          <w:rFonts w:ascii="Calibri" w:hAnsi="Calibri" w:cs="Calibri"/>
          <w:sz w:val="20"/>
          <w:szCs w:val="20"/>
        </w:rPr>
      </w:pPr>
      <w:r>
        <w:rPr>
          <w:rStyle w:val="FootnoteReference"/>
          <w:rFonts w:ascii="Calibri" w:hAnsi="Calibri" w:cs="Calibri"/>
          <w:sz w:val="20"/>
          <w:szCs w:val="20"/>
        </w:rPr>
        <w:footnoteRef/>
      </w:r>
      <w:r>
        <w:rPr>
          <w:rFonts w:ascii="Calibri" w:hAnsi="Calibri" w:cs="Calibri"/>
          <w:sz w:val="20"/>
          <w:szCs w:val="20"/>
        </w:rPr>
        <w:t xml:space="preserve"> UNESCO, “Yemen Education and Literacy,” November 27, 2016, </w:t>
      </w:r>
      <w:hyperlink r:id="rId20" w:history="1">
        <w:r w:rsidR="00436131" w:rsidRPr="00C6302D">
          <w:rPr>
            <w:rStyle w:val="Hyperlink"/>
            <w:rFonts w:ascii="Calibri" w:hAnsi="Calibri" w:cs="Calibri"/>
            <w:sz w:val="20"/>
            <w:szCs w:val="20"/>
          </w:rPr>
          <w:t>http://uis.unesco.org/en/country/ye?theme=education-and-literacy</w:t>
        </w:r>
      </w:hyperlink>
      <w:r>
        <w:rPr>
          <w:rFonts w:ascii="Calibri" w:hAnsi="Calibri" w:cs="Calibri"/>
          <w:sz w:val="20"/>
          <w:szCs w:val="20"/>
        </w:rPr>
        <w:t>.</w:t>
      </w:r>
      <w:r w:rsidR="00436131">
        <w:rPr>
          <w:rFonts w:ascii="Calibri" w:hAnsi="Calibri" w:cs="Calibri"/>
          <w:sz w:val="20"/>
          <w:szCs w:val="20"/>
        </w:rPr>
        <w:t xml:space="preserve"> </w:t>
      </w:r>
    </w:p>
  </w:footnote>
  <w:footnote w:id="19">
    <w:p w14:paraId="76A0FFD3" w14:textId="4AECE4F8" w:rsidR="00C0657A" w:rsidRDefault="00C0657A" w:rsidP="0014048C">
      <w:pPr>
        <w:pStyle w:val="FootnoteText"/>
        <w:spacing w:after="60"/>
        <w:jc w:val="both"/>
        <w:rPr>
          <w:rFonts w:ascii="Calibri" w:hAnsi="Calibri" w:cs="Calibri"/>
          <w:lang w:val="en-US"/>
        </w:rPr>
      </w:pPr>
      <w:r>
        <w:rPr>
          <w:rStyle w:val="FootnoteReference"/>
          <w:rFonts w:cs="Calibri"/>
          <w:lang w:val="en-US"/>
        </w:rPr>
        <w:footnoteRef/>
      </w:r>
      <w:r>
        <w:rPr>
          <w:rFonts w:cs="Calibri"/>
          <w:lang w:val="en-US"/>
        </w:rPr>
        <w:t xml:space="preserve"> Human Rights Watch, “World Report 2020: Yemen”, January 2020, </w:t>
      </w:r>
      <w:hyperlink r:id="rId21" w:history="1">
        <w:r w:rsidR="00436131" w:rsidRPr="00C6302D">
          <w:rPr>
            <w:rStyle w:val="Hyperlink"/>
            <w:rFonts w:cs="Calibri"/>
            <w:lang w:val="en-US"/>
          </w:rPr>
          <w:t>https://www.hrw.org/world-report/2020/country-chaptehrs/yemen</w:t>
        </w:r>
      </w:hyperlink>
      <w:r>
        <w:rPr>
          <w:rFonts w:cs="Calibri"/>
          <w:lang w:val="en-US"/>
        </w:rPr>
        <w:t>.</w:t>
      </w:r>
      <w:r w:rsidR="00436131">
        <w:rPr>
          <w:rFonts w:cs="Calibri"/>
          <w:lang w:val="en-US"/>
        </w:rPr>
        <w:t xml:space="preserve"> </w:t>
      </w:r>
    </w:p>
  </w:footnote>
  <w:footnote w:id="20">
    <w:p w14:paraId="198337AB" w14:textId="719C3334" w:rsidR="00C0657A" w:rsidRDefault="00C0657A" w:rsidP="0014048C">
      <w:pPr>
        <w:spacing w:after="60"/>
        <w:jc w:val="both"/>
        <w:rPr>
          <w:rFonts w:ascii="Calibri" w:hAnsi="Calibri" w:cs="Calibri"/>
          <w:sz w:val="20"/>
          <w:szCs w:val="20"/>
        </w:rPr>
      </w:pPr>
      <w:r>
        <w:rPr>
          <w:rStyle w:val="FootnoteReference"/>
          <w:rFonts w:ascii="Calibri" w:hAnsi="Calibri" w:cs="Calibri"/>
          <w:sz w:val="20"/>
          <w:szCs w:val="20"/>
        </w:rPr>
        <w:footnoteRef/>
      </w:r>
      <w:r>
        <w:rPr>
          <w:rFonts w:ascii="Calibri" w:hAnsi="Calibri" w:cs="Calibri"/>
          <w:sz w:val="20"/>
          <w:szCs w:val="20"/>
        </w:rPr>
        <w:t xml:space="preserve"> UNICEF, “If Not in School: The paths children cross in Yemen”, March 2018, </w:t>
      </w:r>
      <w:hyperlink r:id="rId22" w:history="1">
        <w:r>
          <w:rPr>
            <w:rStyle w:val="Hyperlink"/>
            <w:rFonts w:ascii="Calibri" w:hAnsi="Calibri" w:cs="Calibri"/>
            <w:sz w:val="20"/>
            <w:szCs w:val="20"/>
          </w:rPr>
          <w:t>https://reliefweb.int/sites/reliefweb.int/files/resources/IF%20NOT%20IN%20SCHOOL_March2018_English.pdf</w:t>
        </w:r>
      </w:hyperlink>
      <w:r w:rsidR="00315177">
        <w:rPr>
          <w:rFonts w:ascii="Calibri" w:hAnsi="Calibri" w:cs="Calibri"/>
          <w:sz w:val="20"/>
          <w:szCs w:val="20"/>
        </w:rPr>
        <w:t>.</w:t>
      </w:r>
    </w:p>
  </w:footnote>
  <w:footnote w:id="21">
    <w:p w14:paraId="59FB51E4" w14:textId="23C76256" w:rsidR="00C0657A" w:rsidRDefault="00C0657A" w:rsidP="0014048C">
      <w:pPr>
        <w:pStyle w:val="FootnoteText"/>
        <w:spacing w:after="60"/>
        <w:jc w:val="both"/>
        <w:rPr>
          <w:rFonts w:ascii="Calibri" w:hAnsi="Calibri" w:cs="Calibri"/>
          <w:lang w:val="en-US"/>
        </w:rPr>
      </w:pPr>
      <w:r>
        <w:rPr>
          <w:rStyle w:val="FootnoteReference"/>
          <w:rFonts w:cs="Calibri"/>
          <w:lang w:val="en-US"/>
        </w:rPr>
        <w:footnoteRef/>
      </w:r>
      <w:r>
        <w:rPr>
          <w:rFonts w:cs="Calibri"/>
          <w:lang w:val="en-US"/>
        </w:rPr>
        <w:t xml:space="preserve"> Mwatana</w:t>
      </w:r>
      <w:r w:rsidR="00436131">
        <w:rPr>
          <w:rFonts w:cs="Calibri"/>
          <w:lang w:val="en-US"/>
        </w:rPr>
        <w:t xml:space="preserve"> for Human Rights</w:t>
      </w:r>
      <w:r>
        <w:rPr>
          <w:rFonts w:cs="Calibri"/>
          <w:lang w:val="en-US"/>
        </w:rPr>
        <w:t xml:space="preserve">, </w:t>
      </w:r>
      <w:r>
        <w:rPr>
          <w:rFonts w:cs="Calibri"/>
          <w:i/>
          <w:iCs/>
          <w:lang w:val="en-US"/>
        </w:rPr>
        <w:t>Withering Life: Human Rights Situation in Yemen 2018,</w:t>
      </w:r>
      <w:r>
        <w:rPr>
          <w:rFonts w:cs="Calibri"/>
          <w:lang w:val="en-US"/>
        </w:rPr>
        <w:t xml:space="preserve"> July 2019, </w:t>
      </w:r>
      <w:hyperlink r:id="rId23" w:history="1">
        <w:r>
          <w:rPr>
            <w:rStyle w:val="Hyperlink"/>
            <w:rFonts w:cs="Calibri"/>
            <w:lang w:val="en-US"/>
          </w:rPr>
          <w:t>https://mwatana.org/wp-content/uploads/2019/07/Withering-Life-2.pdf</w:t>
        </w:r>
      </w:hyperlink>
      <w:r>
        <w:rPr>
          <w:rFonts w:cs="Calibri"/>
          <w:lang w:val="en-US"/>
        </w:rPr>
        <w:t>, p. 70</w:t>
      </w:r>
    </w:p>
  </w:footnote>
  <w:footnote w:id="22">
    <w:p w14:paraId="67062B66" w14:textId="3E92FDA9" w:rsidR="005B0FAD" w:rsidRPr="00537031" w:rsidRDefault="005B0FAD" w:rsidP="0014048C">
      <w:pPr>
        <w:pStyle w:val="FootnoteText"/>
        <w:jc w:val="both"/>
        <w:rPr>
          <w:lang w:val="en-US"/>
        </w:rPr>
      </w:pPr>
      <w:r>
        <w:rPr>
          <w:rStyle w:val="FootnoteReference"/>
        </w:rPr>
        <w:footnoteRef/>
      </w:r>
      <w:r>
        <w:t xml:space="preserve"> </w:t>
      </w:r>
      <w:r w:rsidR="00436131">
        <w:t xml:space="preserve">Mwatana for Human Rights, Undermining The Future: Attacks on Yemen’s Schools, August 2020, </w:t>
      </w:r>
      <w:hyperlink r:id="rId24" w:history="1">
        <w:r w:rsidR="00436131" w:rsidRPr="00C6302D">
          <w:rPr>
            <w:rStyle w:val="Hyperlink"/>
          </w:rPr>
          <w:t>https://mwatana.org/en/undermining-future/</w:t>
        </w:r>
      </w:hyperlink>
      <w:r w:rsidR="00436131">
        <w:t xml:space="preserve">.  </w:t>
      </w:r>
    </w:p>
  </w:footnote>
  <w:footnote w:id="23">
    <w:p w14:paraId="27C07A45" w14:textId="5B5B13A4" w:rsidR="009C47BD" w:rsidRPr="009C47BD" w:rsidRDefault="009C47BD" w:rsidP="0014048C">
      <w:pPr>
        <w:pStyle w:val="FootnoteText"/>
        <w:jc w:val="both"/>
      </w:pPr>
      <w:r>
        <w:rPr>
          <w:rStyle w:val="FootnoteReference"/>
        </w:rPr>
        <w:footnoteRef/>
      </w:r>
      <w:r>
        <w:t xml:space="preserve"> </w:t>
      </w:r>
      <w:r w:rsidR="00436131">
        <w:rPr>
          <w:rFonts w:cstheme="minorHAnsi"/>
        </w:rPr>
        <w:t xml:space="preserve">Mwatana for Human Rights, A Country Falling Apart: Human Rights Situation in Yemen 2021, </w:t>
      </w:r>
      <w:hyperlink r:id="rId25" w:history="1">
        <w:r w:rsidR="00436131">
          <w:rPr>
            <w:rStyle w:val="Hyperlink"/>
          </w:rPr>
          <w:t>https://mwatana.org/wp-content/uploads/2022/11/Annual-Report-2021-En.pdf</w:t>
        </w:r>
      </w:hyperlink>
      <w:r w:rsidR="00436131">
        <w:t>, P. 91.</w:t>
      </w:r>
    </w:p>
  </w:footnote>
  <w:footnote w:id="24">
    <w:p w14:paraId="3E832A1E" w14:textId="171FD618" w:rsidR="00D76506" w:rsidRDefault="00D76506" w:rsidP="0014048C">
      <w:pPr>
        <w:pStyle w:val="FootnoteText"/>
        <w:jc w:val="both"/>
      </w:pPr>
      <w:r>
        <w:rPr>
          <w:rStyle w:val="FootnoteReference"/>
        </w:rPr>
        <w:footnoteRef/>
      </w:r>
      <w:r>
        <w:t xml:space="preserve"> </w:t>
      </w:r>
      <w:r>
        <w:rPr>
          <w:rFonts w:cstheme="minorHAnsi"/>
          <w:lang w:val="en-US"/>
        </w:rPr>
        <w:t>UN HRC, ‘</w:t>
      </w:r>
      <w:r>
        <w:rPr>
          <w:rFonts w:cstheme="minorHAnsi"/>
          <w:i/>
          <w:lang w:val="en-US"/>
        </w:rPr>
        <w:t>Situation of human rights in Yemen, including violations and abuses since September 2014: Report of the detailed findings of the Group of Eminent International and Regional Experts on Yemen’</w:t>
      </w:r>
      <w:r>
        <w:rPr>
          <w:rFonts w:cstheme="minorHAnsi"/>
          <w:lang w:val="en-US"/>
        </w:rPr>
        <w:t xml:space="preserve">, A/HRC/42/CRP.1, 03 September 2019, </w:t>
      </w:r>
      <w:r w:rsidR="00436131">
        <w:rPr>
          <w:lang w:val="en-AU"/>
        </w:rPr>
        <w:t>P.</w:t>
      </w:r>
      <w:r w:rsidR="00436131">
        <w:rPr>
          <w:rFonts w:cstheme="minorHAnsi"/>
          <w:lang w:val="en-US"/>
        </w:rPr>
        <w:t xml:space="preserve"> </w:t>
      </w:r>
      <w:r>
        <w:rPr>
          <w:rFonts w:cstheme="minorHAnsi"/>
          <w:lang w:val="en-US"/>
        </w:rPr>
        <w:t xml:space="preserve">55. </w:t>
      </w:r>
    </w:p>
  </w:footnote>
  <w:footnote w:id="25">
    <w:p w14:paraId="48F39F9C" w14:textId="379B587B" w:rsidR="00D76506" w:rsidRDefault="00D76506" w:rsidP="0014048C">
      <w:pPr>
        <w:spacing w:after="60"/>
        <w:jc w:val="both"/>
        <w:rPr>
          <w:rFonts w:cstheme="minorHAnsi"/>
          <w:sz w:val="20"/>
          <w:szCs w:val="20"/>
        </w:rPr>
      </w:pPr>
      <w:r>
        <w:rPr>
          <w:rStyle w:val="FootnoteReference"/>
          <w:rFonts w:cstheme="minorHAnsi"/>
          <w:sz w:val="20"/>
          <w:szCs w:val="20"/>
        </w:rPr>
        <w:footnoteRef/>
      </w:r>
      <w:r>
        <w:rPr>
          <w:rFonts w:cstheme="minorHAnsi"/>
          <w:sz w:val="20"/>
          <w:szCs w:val="20"/>
        </w:rPr>
        <w:t xml:space="preserve"> Human Rights Watch, World Report 2020: Yemen, January 2020, </w:t>
      </w:r>
      <w:hyperlink r:id="rId26" w:history="1">
        <w:r w:rsidR="00436131" w:rsidRPr="00C6302D">
          <w:rPr>
            <w:rStyle w:val="Hyperlink"/>
            <w:rFonts w:cstheme="minorHAnsi"/>
            <w:sz w:val="20"/>
            <w:szCs w:val="20"/>
          </w:rPr>
          <w:t>https://www.hrw.org/world-report/2020/country-chapters/yemen</w:t>
        </w:r>
      </w:hyperlink>
      <w:r>
        <w:rPr>
          <w:rFonts w:cstheme="minorHAnsi"/>
          <w:sz w:val="20"/>
          <w:szCs w:val="20"/>
        </w:rPr>
        <w:t>.</w:t>
      </w:r>
      <w:r w:rsidR="00436131">
        <w:rPr>
          <w:rFonts w:cstheme="minorHAnsi"/>
          <w:sz w:val="20"/>
          <w:szCs w:val="20"/>
        </w:rPr>
        <w:t xml:space="preserve"> </w:t>
      </w:r>
    </w:p>
  </w:footnote>
  <w:footnote w:id="26">
    <w:p w14:paraId="453EEDED" w14:textId="77777777" w:rsidR="00D76506" w:rsidRDefault="00D76506" w:rsidP="0014048C">
      <w:pPr>
        <w:pStyle w:val="FootnoteText"/>
        <w:jc w:val="both"/>
        <w:rPr>
          <w:highlight w:val="yellow"/>
        </w:rPr>
      </w:pPr>
      <w:r w:rsidRPr="00537031">
        <w:rPr>
          <w:rStyle w:val="FootnoteReference"/>
        </w:rPr>
        <w:footnoteRef/>
      </w:r>
      <w:r w:rsidRPr="00537031">
        <w:t xml:space="preserve"> </w:t>
      </w:r>
      <w:hyperlink r:id="rId27" w:history="1">
        <w:r>
          <w:rPr>
            <w:rStyle w:val="Hyperlink"/>
          </w:rPr>
          <w:t>https://reliefweb.int/report/yemen/behalf-under-secretary-general-humanitarian-affairs-and-emergency-relief-coordinator-mr</w:t>
        </w:r>
      </w:hyperlink>
    </w:p>
  </w:footnote>
  <w:footnote w:id="27">
    <w:p w14:paraId="1A3A772A" w14:textId="3B650E04" w:rsidR="00D76506" w:rsidRDefault="00D76506" w:rsidP="0014048C">
      <w:pPr>
        <w:pStyle w:val="FootnoteText"/>
        <w:jc w:val="both"/>
      </w:pPr>
      <w:r w:rsidRPr="00537031">
        <w:rPr>
          <w:rStyle w:val="FootnoteReference"/>
        </w:rPr>
        <w:footnoteRef/>
      </w:r>
      <w:r w:rsidRPr="00537031">
        <w:t xml:space="preserve"> </w:t>
      </w:r>
      <w:r w:rsidR="00436131">
        <w:rPr>
          <w:rFonts w:cstheme="minorHAnsi"/>
          <w:lang w:val="en-US"/>
        </w:rPr>
        <w:t>Mwatana for Human Rights</w:t>
      </w:r>
      <w:r>
        <w:rPr>
          <w:rFonts w:cstheme="minorHAnsi"/>
          <w:lang w:val="en-US"/>
        </w:rPr>
        <w:t xml:space="preserve">, </w:t>
      </w:r>
      <w:r>
        <w:rPr>
          <w:rFonts w:cstheme="minorHAnsi"/>
          <w:i/>
          <w:lang w:val="en-US"/>
        </w:rPr>
        <w:t>Interruption of Earnings and Salaries … The Worst Economic Crisis in Yemen</w:t>
      </w:r>
      <w:r>
        <w:rPr>
          <w:rFonts w:cstheme="minorHAnsi"/>
          <w:lang w:val="en-US"/>
        </w:rPr>
        <w:t xml:space="preserve">, 27 May 2019, </w:t>
      </w:r>
      <w:hyperlink r:id="rId28" w:history="1">
        <w:r>
          <w:rPr>
            <w:rStyle w:val="Hyperlink"/>
            <w:rFonts w:cstheme="minorHAnsi"/>
            <w:lang w:val="en-US"/>
          </w:rPr>
          <w:t>https://mwatana.org/en/interruption-of-salaries/</w:t>
        </w:r>
      </w:hyperlink>
      <w:r>
        <w:rPr>
          <w:rStyle w:val="Hyperlink"/>
          <w:rFonts w:cstheme="minorHAnsi"/>
          <w:lang w:val="en-US"/>
        </w:rPr>
        <w:t>.</w:t>
      </w:r>
    </w:p>
  </w:footnote>
  <w:footnote w:id="28">
    <w:p w14:paraId="4FFA4679" w14:textId="2ED78B3E" w:rsidR="00D76506" w:rsidRDefault="00D76506" w:rsidP="0014048C">
      <w:pPr>
        <w:pStyle w:val="FootnoteText"/>
        <w:jc w:val="both"/>
        <w:rPr>
          <w:rFonts w:cstheme="minorHAnsi"/>
          <w:lang w:val="en-US"/>
        </w:rPr>
      </w:pPr>
      <w:r>
        <w:rPr>
          <w:rStyle w:val="FootnoteReference"/>
          <w:rFonts w:cstheme="minorHAnsi"/>
        </w:rPr>
        <w:footnoteRef/>
      </w:r>
      <w:r>
        <w:rPr>
          <w:rFonts w:cstheme="minorHAnsi"/>
          <w:lang w:val="en-US"/>
        </w:rPr>
        <w:t xml:space="preserve"> </w:t>
      </w:r>
      <w:r w:rsidR="00436131">
        <w:rPr>
          <w:rFonts w:cstheme="minorHAnsi"/>
          <w:lang w:val="en-US"/>
        </w:rPr>
        <w:t>Mwatana for Human Rights</w:t>
      </w:r>
      <w:r>
        <w:rPr>
          <w:rFonts w:cstheme="minorHAnsi"/>
          <w:lang w:val="en-US"/>
        </w:rPr>
        <w:t xml:space="preserve">, </w:t>
      </w:r>
      <w:r>
        <w:rPr>
          <w:rFonts w:cstheme="minorHAnsi"/>
          <w:i/>
          <w:lang w:val="en-US"/>
        </w:rPr>
        <w:t>Interruption of Earnings and Salaries … The Worst Economic Crisis in Yemen</w:t>
      </w:r>
      <w:r>
        <w:rPr>
          <w:rFonts w:cstheme="minorHAnsi"/>
          <w:lang w:val="en-US"/>
        </w:rPr>
        <w:t xml:space="preserve">, 27 May 2019, </w:t>
      </w:r>
      <w:hyperlink r:id="rId29" w:history="1">
        <w:r>
          <w:rPr>
            <w:rStyle w:val="Hyperlink"/>
            <w:rFonts w:cstheme="minorHAnsi"/>
            <w:lang w:val="en-US"/>
          </w:rPr>
          <w:t>https://mwatana.org/en/interruption-of-salaries/</w:t>
        </w:r>
      </w:hyperlink>
      <w:r>
        <w:rPr>
          <w:rFonts w:cstheme="minorHAnsi"/>
          <w:lang w:val="en-US"/>
        </w:rPr>
        <w:t xml:space="preserve">; UN Human Rights Council, </w:t>
      </w:r>
      <w:r>
        <w:rPr>
          <w:rFonts w:cstheme="minorHAnsi"/>
          <w:i/>
          <w:lang w:val="en-US"/>
        </w:rPr>
        <w:t xml:space="preserve">Situation of human rights in Yemen, including violations and abuses since September 2014, </w:t>
      </w:r>
      <w:r>
        <w:rPr>
          <w:rFonts w:cstheme="minorHAnsi"/>
          <w:lang w:val="en-US"/>
        </w:rPr>
        <w:t>17 August 2018, UN Doc. A/HRC/39/43, par. 51.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F737B"/>
    <w:multiLevelType w:val="hybridMultilevel"/>
    <w:tmpl w:val="35AC6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6C3FF9"/>
    <w:multiLevelType w:val="hybridMultilevel"/>
    <w:tmpl w:val="036ED50A"/>
    <w:lvl w:ilvl="0" w:tplc="08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AD2504"/>
    <w:multiLevelType w:val="hybridMultilevel"/>
    <w:tmpl w:val="6AFCCDFA"/>
    <w:lvl w:ilvl="0" w:tplc="8654B08E">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F1654CB"/>
    <w:multiLevelType w:val="hybridMultilevel"/>
    <w:tmpl w:val="609A80F0"/>
    <w:lvl w:ilvl="0" w:tplc="8654B08E">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0035F2"/>
    <w:multiLevelType w:val="hybridMultilevel"/>
    <w:tmpl w:val="C1E4E40A"/>
    <w:lvl w:ilvl="0" w:tplc="08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54B163D"/>
    <w:multiLevelType w:val="hybridMultilevel"/>
    <w:tmpl w:val="D10076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B013A41"/>
    <w:multiLevelType w:val="hybridMultilevel"/>
    <w:tmpl w:val="3886CE6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7" w15:restartNumberingAfterBreak="0">
    <w:nsid w:val="540A5D4A"/>
    <w:multiLevelType w:val="multilevel"/>
    <w:tmpl w:val="6CCA06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9502076"/>
    <w:multiLevelType w:val="hybridMultilevel"/>
    <w:tmpl w:val="DC00695A"/>
    <w:lvl w:ilvl="0" w:tplc="C3CAB8F6">
      <w:start w:val="1"/>
      <w:numFmt w:val="upperRoman"/>
      <w:lvlText w:val="%1."/>
      <w:lvlJc w:val="left"/>
      <w:pPr>
        <w:ind w:left="1428" w:hanging="720"/>
      </w:pPr>
    </w:lvl>
    <w:lvl w:ilvl="1" w:tplc="04070019">
      <w:start w:val="1"/>
      <w:numFmt w:val="lowerLetter"/>
      <w:lvlText w:val="%2."/>
      <w:lvlJc w:val="left"/>
      <w:pPr>
        <w:ind w:left="1788" w:hanging="360"/>
      </w:pPr>
    </w:lvl>
    <w:lvl w:ilvl="2" w:tplc="0407001B">
      <w:start w:val="1"/>
      <w:numFmt w:val="lowerRoman"/>
      <w:lvlText w:val="%3."/>
      <w:lvlJc w:val="right"/>
      <w:pPr>
        <w:ind w:left="2508" w:hanging="180"/>
      </w:pPr>
    </w:lvl>
    <w:lvl w:ilvl="3" w:tplc="0407000F">
      <w:start w:val="1"/>
      <w:numFmt w:val="decimal"/>
      <w:lvlText w:val="%4."/>
      <w:lvlJc w:val="left"/>
      <w:pPr>
        <w:ind w:left="3228" w:hanging="360"/>
      </w:pPr>
    </w:lvl>
    <w:lvl w:ilvl="4" w:tplc="04070019">
      <w:start w:val="1"/>
      <w:numFmt w:val="lowerLetter"/>
      <w:lvlText w:val="%5."/>
      <w:lvlJc w:val="left"/>
      <w:pPr>
        <w:ind w:left="3948" w:hanging="360"/>
      </w:pPr>
    </w:lvl>
    <w:lvl w:ilvl="5" w:tplc="0407001B">
      <w:start w:val="1"/>
      <w:numFmt w:val="lowerRoman"/>
      <w:lvlText w:val="%6."/>
      <w:lvlJc w:val="right"/>
      <w:pPr>
        <w:ind w:left="4668" w:hanging="180"/>
      </w:pPr>
    </w:lvl>
    <w:lvl w:ilvl="6" w:tplc="0407000F">
      <w:start w:val="1"/>
      <w:numFmt w:val="decimal"/>
      <w:lvlText w:val="%7."/>
      <w:lvlJc w:val="left"/>
      <w:pPr>
        <w:ind w:left="5388" w:hanging="360"/>
      </w:pPr>
    </w:lvl>
    <w:lvl w:ilvl="7" w:tplc="04070019">
      <w:start w:val="1"/>
      <w:numFmt w:val="lowerLetter"/>
      <w:lvlText w:val="%8."/>
      <w:lvlJc w:val="left"/>
      <w:pPr>
        <w:ind w:left="6108" w:hanging="360"/>
      </w:pPr>
    </w:lvl>
    <w:lvl w:ilvl="8" w:tplc="0407001B">
      <w:start w:val="1"/>
      <w:numFmt w:val="lowerRoman"/>
      <w:lvlText w:val="%9."/>
      <w:lvlJc w:val="right"/>
      <w:pPr>
        <w:ind w:left="6828" w:hanging="180"/>
      </w:pPr>
    </w:lvl>
  </w:abstractNum>
  <w:abstractNum w:abstractNumId="9" w15:restartNumberingAfterBreak="0">
    <w:nsid w:val="693011C7"/>
    <w:multiLevelType w:val="hybridMultilevel"/>
    <w:tmpl w:val="C4C2E2C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6D360FC8"/>
    <w:multiLevelType w:val="hybridMultilevel"/>
    <w:tmpl w:val="4DE49B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70D32C20"/>
    <w:multiLevelType w:val="hybridMultilevel"/>
    <w:tmpl w:val="F77E5BE4"/>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89257B"/>
    <w:multiLevelType w:val="hybridMultilevel"/>
    <w:tmpl w:val="4208A8D0"/>
    <w:lvl w:ilvl="0" w:tplc="FFFFFFFF">
      <w:start w:val="1"/>
      <w:numFmt w:val="upperRoman"/>
      <w:lvlText w:val="%1."/>
      <w:lvlJc w:val="left"/>
      <w:pPr>
        <w:ind w:left="1428" w:hanging="720"/>
      </w:pPr>
    </w:lvl>
    <w:lvl w:ilvl="1" w:tplc="FFFFFFFF">
      <w:start w:val="1"/>
      <w:numFmt w:val="lowerLetter"/>
      <w:lvlText w:val="%2."/>
      <w:lvlJc w:val="left"/>
      <w:pPr>
        <w:ind w:left="1788" w:hanging="360"/>
      </w:pPr>
    </w:lvl>
    <w:lvl w:ilvl="2" w:tplc="FFFFFFFF">
      <w:start w:val="1"/>
      <w:numFmt w:val="lowerRoman"/>
      <w:lvlText w:val="%3."/>
      <w:lvlJc w:val="right"/>
      <w:pPr>
        <w:ind w:left="2508" w:hanging="180"/>
      </w:pPr>
    </w:lvl>
    <w:lvl w:ilvl="3" w:tplc="FFFFFFFF">
      <w:start w:val="1"/>
      <w:numFmt w:val="decimal"/>
      <w:lvlText w:val="%4."/>
      <w:lvlJc w:val="left"/>
      <w:pPr>
        <w:ind w:left="3228" w:hanging="360"/>
      </w:pPr>
    </w:lvl>
    <w:lvl w:ilvl="4" w:tplc="FFFFFFFF">
      <w:start w:val="1"/>
      <w:numFmt w:val="lowerLetter"/>
      <w:lvlText w:val="%5."/>
      <w:lvlJc w:val="left"/>
      <w:pPr>
        <w:ind w:left="3948" w:hanging="360"/>
      </w:pPr>
    </w:lvl>
    <w:lvl w:ilvl="5" w:tplc="FFFFFFFF">
      <w:start w:val="1"/>
      <w:numFmt w:val="lowerRoman"/>
      <w:lvlText w:val="%6."/>
      <w:lvlJc w:val="right"/>
      <w:pPr>
        <w:ind w:left="4668" w:hanging="180"/>
      </w:pPr>
    </w:lvl>
    <w:lvl w:ilvl="6" w:tplc="FFFFFFFF">
      <w:start w:val="1"/>
      <w:numFmt w:val="decimal"/>
      <w:lvlText w:val="%7."/>
      <w:lvlJc w:val="left"/>
      <w:pPr>
        <w:ind w:left="5388" w:hanging="360"/>
      </w:pPr>
    </w:lvl>
    <w:lvl w:ilvl="7" w:tplc="FFFFFFFF">
      <w:start w:val="1"/>
      <w:numFmt w:val="lowerLetter"/>
      <w:lvlText w:val="%8."/>
      <w:lvlJc w:val="left"/>
      <w:pPr>
        <w:ind w:left="6108" w:hanging="360"/>
      </w:pPr>
    </w:lvl>
    <w:lvl w:ilvl="8" w:tplc="FFFFFFFF">
      <w:start w:val="1"/>
      <w:numFmt w:val="lowerRoman"/>
      <w:lvlText w:val="%9."/>
      <w:lvlJc w:val="right"/>
      <w:pPr>
        <w:ind w:left="6828" w:hanging="180"/>
      </w:pPr>
    </w:lvl>
  </w:abstractNum>
  <w:abstractNum w:abstractNumId="13" w15:restartNumberingAfterBreak="0">
    <w:nsid w:val="7F745EC9"/>
    <w:multiLevelType w:val="hybridMultilevel"/>
    <w:tmpl w:val="342A978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4" w15:restartNumberingAfterBreak="0">
    <w:nsid w:val="7FC44574"/>
    <w:multiLevelType w:val="hybridMultilevel"/>
    <w:tmpl w:val="7ACC55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5"/>
  </w:num>
  <w:num w:numId="4">
    <w:abstractNumId w:val="3"/>
  </w:num>
  <w:num w:numId="5">
    <w:abstractNumId w:val="14"/>
  </w:num>
  <w:num w:numId="6">
    <w:abstractNumId w:val="0"/>
  </w:num>
  <w:num w:numId="7">
    <w:abstractNumId w:val="9"/>
  </w:num>
  <w:num w:numId="8">
    <w:abstractNumId w:val="13"/>
  </w:num>
  <w:num w:numId="9">
    <w:abstractNumId w:val="8"/>
  </w:num>
  <w:num w:numId="10">
    <w:abstractNumId w:val="8"/>
  </w:num>
  <w:num w:numId="11">
    <w:abstractNumId w:val="12"/>
  </w:num>
  <w:num w:numId="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10"/>
  </w:num>
  <w:num w:numId="15">
    <w:abstractNumId w:val="6"/>
  </w:num>
  <w:num w:numId="16">
    <w:abstractNumId w:val="4"/>
  </w:num>
  <w:num w:numId="17">
    <w:abstractNumId w:val="11"/>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6975"/>
    <w:rsid w:val="000631D5"/>
    <w:rsid w:val="00071400"/>
    <w:rsid w:val="00095280"/>
    <w:rsid w:val="000A7905"/>
    <w:rsid w:val="000E2AC9"/>
    <w:rsid w:val="000E2ADE"/>
    <w:rsid w:val="000E5F61"/>
    <w:rsid w:val="00104BB7"/>
    <w:rsid w:val="00110CB5"/>
    <w:rsid w:val="00122CDB"/>
    <w:rsid w:val="001235E0"/>
    <w:rsid w:val="0014048C"/>
    <w:rsid w:val="00143378"/>
    <w:rsid w:val="00150DD1"/>
    <w:rsid w:val="001517C4"/>
    <w:rsid w:val="00162C1B"/>
    <w:rsid w:val="0016668F"/>
    <w:rsid w:val="001A3B38"/>
    <w:rsid w:val="001B67B4"/>
    <w:rsid w:val="001C6975"/>
    <w:rsid w:val="001D4005"/>
    <w:rsid w:val="002201B3"/>
    <w:rsid w:val="00231B9D"/>
    <w:rsid w:val="00270581"/>
    <w:rsid w:val="002A642F"/>
    <w:rsid w:val="002A6B77"/>
    <w:rsid w:val="002D02C3"/>
    <w:rsid w:val="002D67D0"/>
    <w:rsid w:val="002F03B6"/>
    <w:rsid w:val="00315177"/>
    <w:rsid w:val="00346D15"/>
    <w:rsid w:val="00351D6F"/>
    <w:rsid w:val="00373D60"/>
    <w:rsid w:val="003954CB"/>
    <w:rsid w:val="003A6DB7"/>
    <w:rsid w:val="003D7F72"/>
    <w:rsid w:val="00430631"/>
    <w:rsid w:val="00436131"/>
    <w:rsid w:val="0043650A"/>
    <w:rsid w:val="0044790A"/>
    <w:rsid w:val="0044791E"/>
    <w:rsid w:val="004503FF"/>
    <w:rsid w:val="00484F86"/>
    <w:rsid w:val="004B24B7"/>
    <w:rsid w:val="004C69D0"/>
    <w:rsid w:val="004D1D58"/>
    <w:rsid w:val="004D2406"/>
    <w:rsid w:val="004E523D"/>
    <w:rsid w:val="005055A1"/>
    <w:rsid w:val="00507506"/>
    <w:rsid w:val="00537031"/>
    <w:rsid w:val="00557DA8"/>
    <w:rsid w:val="005B0FAD"/>
    <w:rsid w:val="005B4944"/>
    <w:rsid w:val="005E506B"/>
    <w:rsid w:val="006141F4"/>
    <w:rsid w:val="00635BC4"/>
    <w:rsid w:val="00646DBC"/>
    <w:rsid w:val="00682CFF"/>
    <w:rsid w:val="00690F2C"/>
    <w:rsid w:val="006E33EF"/>
    <w:rsid w:val="006F0A53"/>
    <w:rsid w:val="007079F9"/>
    <w:rsid w:val="0075343C"/>
    <w:rsid w:val="00787792"/>
    <w:rsid w:val="007B6DFB"/>
    <w:rsid w:val="007E0372"/>
    <w:rsid w:val="008044F5"/>
    <w:rsid w:val="00815826"/>
    <w:rsid w:val="00820B15"/>
    <w:rsid w:val="00837A4E"/>
    <w:rsid w:val="00862147"/>
    <w:rsid w:val="00895FED"/>
    <w:rsid w:val="008C7A57"/>
    <w:rsid w:val="008D3215"/>
    <w:rsid w:val="008D3DBB"/>
    <w:rsid w:val="008D60AD"/>
    <w:rsid w:val="008F242B"/>
    <w:rsid w:val="008F5FD1"/>
    <w:rsid w:val="00901483"/>
    <w:rsid w:val="00905C68"/>
    <w:rsid w:val="00933438"/>
    <w:rsid w:val="00976DFC"/>
    <w:rsid w:val="00984EA6"/>
    <w:rsid w:val="009C47BD"/>
    <w:rsid w:val="00A05C47"/>
    <w:rsid w:val="00A16593"/>
    <w:rsid w:val="00A52A72"/>
    <w:rsid w:val="00A61619"/>
    <w:rsid w:val="00AB0788"/>
    <w:rsid w:val="00AE7AD0"/>
    <w:rsid w:val="00B21685"/>
    <w:rsid w:val="00BD78D0"/>
    <w:rsid w:val="00BF32DF"/>
    <w:rsid w:val="00C0657A"/>
    <w:rsid w:val="00C26AA5"/>
    <w:rsid w:val="00C8439F"/>
    <w:rsid w:val="00C94F2A"/>
    <w:rsid w:val="00D22277"/>
    <w:rsid w:val="00D50662"/>
    <w:rsid w:val="00D64DB7"/>
    <w:rsid w:val="00D65F8B"/>
    <w:rsid w:val="00D76506"/>
    <w:rsid w:val="00D92F0C"/>
    <w:rsid w:val="00DD76C8"/>
    <w:rsid w:val="00E00A66"/>
    <w:rsid w:val="00E55D65"/>
    <w:rsid w:val="00E836A8"/>
    <w:rsid w:val="00E95457"/>
    <w:rsid w:val="00EB2214"/>
    <w:rsid w:val="00EB730E"/>
    <w:rsid w:val="00ED55BA"/>
    <w:rsid w:val="00EE3992"/>
    <w:rsid w:val="00F018E3"/>
    <w:rsid w:val="00F110C7"/>
    <w:rsid w:val="00F82335"/>
    <w:rsid w:val="00FA34D0"/>
    <w:rsid w:val="00FA5FF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729F3"/>
  <w15:chartTrackingRefBased/>
  <w15:docId w15:val="{9EAD6B9B-F235-4479-A97D-C99CB74988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16668F"/>
    <w:pPr>
      <w:spacing w:before="100" w:beforeAutospacing="1" w:after="100" w:afterAutospacing="1" w:line="240" w:lineRule="auto"/>
      <w:outlineLvl w:val="0"/>
    </w:pPr>
    <w:rPr>
      <w:rFonts w:ascii="Times New Roman" w:eastAsia="Times New Roman" w:hAnsi="Times New Roman" w:cs="Times New Roman"/>
      <w:b/>
      <w:bCs/>
      <w:kern w:val="36"/>
      <w:sz w:val="48"/>
      <w:szCs w:val="48"/>
      <w:lang w:val="de-DE" w:eastAsia="de-DE"/>
    </w:rPr>
  </w:style>
  <w:style w:type="paragraph" w:styleId="Heading2">
    <w:name w:val="heading 2"/>
    <w:basedOn w:val="Normal"/>
    <w:next w:val="Normal"/>
    <w:link w:val="Heading2Char"/>
    <w:uiPriority w:val="9"/>
    <w:semiHidden/>
    <w:unhideWhenUsed/>
    <w:qFormat/>
    <w:rsid w:val="006141F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0952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C6975"/>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C6975"/>
    <w:rPr>
      <w:b/>
      <w:bCs/>
    </w:rPr>
  </w:style>
  <w:style w:type="paragraph" w:styleId="Revision">
    <w:name w:val="Revision"/>
    <w:hidden/>
    <w:uiPriority w:val="99"/>
    <w:semiHidden/>
    <w:rsid w:val="00A05C47"/>
    <w:pPr>
      <w:spacing w:after="0" w:line="240" w:lineRule="auto"/>
    </w:pPr>
  </w:style>
  <w:style w:type="character" w:styleId="Hyperlink">
    <w:name w:val="Hyperlink"/>
    <w:basedOn w:val="DefaultParagraphFont"/>
    <w:uiPriority w:val="99"/>
    <w:unhideWhenUsed/>
    <w:rsid w:val="00A05C47"/>
    <w:rPr>
      <w:color w:val="0563C1" w:themeColor="hyperlink"/>
      <w:u w:val="single"/>
    </w:rPr>
  </w:style>
  <w:style w:type="paragraph" w:styleId="ListParagraph">
    <w:name w:val="List Paragraph"/>
    <w:basedOn w:val="Normal"/>
    <w:uiPriority w:val="34"/>
    <w:qFormat/>
    <w:rsid w:val="00F110C7"/>
    <w:pPr>
      <w:ind w:left="720"/>
      <w:contextualSpacing/>
    </w:pPr>
  </w:style>
  <w:style w:type="paragraph" w:styleId="FootnoteText">
    <w:name w:val="footnote text"/>
    <w:basedOn w:val="Normal"/>
    <w:link w:val="FootnoteTextChar"/>
    <w:uiPriority w:val="99"/>
    <w:unhideWhenUsed/>
    <w:rsid w:val="0016668F"/>
    <w:pPr>
      <w:spacing w:after="0" w:line="240" w:lineRule="auto"/>
    </w:pPr>
    <w:rPr>
      <w:sz w:val="20"/>
      <w:szCs w:val="20"/>
      <w:lang w:val="de-DE"/>
    </w:rPr>
  </w:style>
  <w:style w:type="character" w:customStyle="1" w:styleId="FootnoteTextChar">
    <w:name w:val="Footnote Text Char"/>
    <w:basedOn w:val="DefaultParagraphFont"/>
    <w:link w:val="FootnoteText"/>
    <w:uiPriority w:val="99"/>
    <w:rsid w:val="0016668F"/>
    <w:rPr>
      <w:sz w:val="20"/>
      <w:szCs w:val="20"/>
      <w:lang w:val="de-DE"/>
    </w:rPr>
  </w:style>
  <w:style w:type="paragraph" w:styleId="CommentText">
    <w:name w:val="annotation text"/>
    <w:basedOn w:val="Normal"/>
    <w:link w:val="CommentTextChar"/>
    <w:uiPriority w:val="99"/>
    <w:semiHidden/>
    <w:unhideWhenUsed/>
    <w:rsid w:val="0016668F"/>
    <w:pPr>
      <w:spacing w:after="0" w:line="240" w:lineRule="auto"/>
    </w:pPr>
    <w:rPr>
      <w:rFonts w:ascii="Times New Roman" w:hAnsi="Times New Roman" w:cs="Times New Roman"/>
      <w:sz w:val="24"/>
      <w:szCs w:val="24"/>
    </w:rPr>
  </w:style>
  <w:style w:type="character" w:customStyle="1" w:styleId="CommentTextChar">
    <w:name w:val="Comment Text Char"/>
    <w:basedOn w:val="DefaultParagraphFont"/>
    <w:link w:val="CommentText"/>
    <w:uiPriority w:val="99"/>
    <w:semiHidden/>
    <w:rsid w:val="0016668F"/>
    <w:rPr>
      <w:rFonts w:ascii="Times New Roman" w:hAnsi="Times New Roman" w:cs="Times New Roman"/>
      <w:sz w:val="24"/>
      <w:szCs w:val="24"/>
    </w:rPr>
  </w:style>
  <w:style w:type="character" w:styleId="FootnoteReference">
    <w:name w:val="footnote reference"/>
    <w:basedOn w:val="DefaultParagraphFont"/>
    <w:uiPriority w:val="99"/>
    <w:semiHidden/>
    <w:unhideWhenUsed/>
    <w:qFormat/>
    <w:rsid w:val="0016668F"/>
    <w:rPr>
      <w:vertAlign w:val="superscript"/>
    </w:rPr>
  </w:style>
  <w:style w:type="character" w:styleId="CommentReference">
    <w:name w:val="annotation reference"/>
    <w:basedOn w:val="DefaultParagraphFont"/>
    <w:uiPriority w:val="99"/>
    <w:semiHidden/>
    <w:unhideWhenUsed/>
    <w:rsid w:val="0016668F"/>
    <w:rPr>
      <w:sz w:val="18"/>
      <w:szCs w:val="18"/>
    </w:rPr>
  </w:style>
  <w:style w:type="character" w:customStyle="1" w:styleId="Heading1Char">
    <w:name w:val="Heading 1 Char"/>
    <w:basedOn w:val="DefaultParagraphFont"/>
    <w:link w:val="Heading1"/>
    <w:uiPriority w:val="9"/>
    <w:rsid w:val="0016668F"/>
    <w:rPr>
      <w:rFonts w:ascii="Times New Roman" w:eastAsia="Times New Roman" w:hAnsi="Times New Roman" w:cs="Times New Roman"/>
      <w:b/>
      <w:bCs/>
      <w:kern w:val="36"/>
      <w:sz w:val="48"/>
      <w:szCs w:val="48"/>
      <w:lang w:val="de-DE" w:eastAsia="de-DE"/>
    </w:rPr>
  </w:style>
  <w:style w:type="paragraph" w:styleId="CommentSubject">
    <w:name w:val="annotation subject"/>
    <w:basedOn w:val="CommentText"/>
    <w:next w:val="CommentText"/>
    <w:link w:val="CommentSubjectChar"/>
    <w:uiPriority w:val="99"/>
    <w:semiHidden/>
    <w:unhideWhenUsed/>
    <w:rsid w:val="00351D6F"/>
    <w:pPr>
      <w:spacing w:after="160"/>
    </w:pPr>
    <w:rPr>
      <w:rFonts w:asciiTheme="minorHAnsi" w:hAnsiTheme="minorHAnsi" w:cstheme="minorBidi"/>
      <w:b/>
      <w:bCs/>
      <w:sz w:val="20"/>
      <w:szCs w:val="20"/>
    </w:rPr>
  </w:style>
  <w:style w:type="character" w:customStyle="1" w:styleId="CommentSubjectChar">
    <w:name w:val="Comment Subject Char"/>
    <w:basedOn w:val="CommentTextChar"/>
    <w:link w:val="CommentSubject"/>
    <w:uiPriority w:val="99"/>
    <w:semiHidden/>
    <w:rsid w:val="00351D6F"/>
    <w:rPr>
      <w:rFonts w:ascii="Times New Roman" w:hAnsi="Times New Roman" w:cs="Times New Roman"/>
      <w:b/>
      <w:bCs/>
      <w:sz w:val="20"/>
      <w:szCs w:val="20"/>
    </w:rPr>
  </w:style>
  <w:style w:type="character" w:customStyle="1" w:styleId="note">
    <w:name w:val="note"/>
    <w:basedOn w:val="DefaultParagraphFont"/>
    <w:rsid w:val="000E5F61"/>
  </w:style>
  <w:style w:type="character" w:customStyle="1" w:styleId="Heading3Char">
    <w:name w:val="Heading 3 Char"/>
    <w:basedOn w:val="DefaultParagraphFont"/>
    <w:link w:val="Heading3"/>
    <w:uiPriority w:val="9"/>
    <w:semiHidden/>
    <w:rsid w:val="00095280"/>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6F0A53"/>
    <w:rPr>
      <w:color w:val="605E5C"/>
      <w:shd w:val="clear" w:color="auto" w:fill="E1DFDD"/>
    </w:rPr>
  </w:style>
  <w:style w:type="character" w:customStyle="1" w:styleId="Heading2Char">
    <w:name w:val="Heading 2 Char"/>
    <w:basedOn w:val="DefaultParagraphFont"/>
    <w:link w:val="Heading2"/>
    <w:uiPriority w:val="9"/>
    <w:semiHidden/>
    <w:rsid w:val="006141F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8710341">
      <w:bodyDiv w:val="1"/>
      <w:marLeft w:val="0"/>
      <w:marRight w:val="0"/>
      <w:marTop w:val="0"/>
      <w:marBottom w:val="0"/>
      <w:divBdr>
        <w:top w:val="none" w:sz="0" w:space="0" w:color="auto"/>
        <w:left w:val="none" w:sz="0" w:space="0" w:color="auto"/>
        <w:bottom w:val="none" w:sz="0" w:space="0" w:color="auto"/>
        <w:right w:val="none" w:sz="0" w:space="0" w:color="auto"/>
      </w:divBdr>
    </w:div>
    <w:div w:id="295839555">
      <w:bodyDiv w:val="1"/>
      <w:marLeft w:val="0"/>
      <w:marRight w:val="0"/>
      <w:marTop w:val="0"/>
      <w:marBottom w:val="0"/>
      <w:divBdr>
        <w:top w:val="none" w:sz="0" w:space="0" w:color="auto"/>
        <w:left w:val="none" w:sz="0" w:space="0" w:color="auto"/>
        <w:bottom w:val="none" w:sz="0" w:space="0" w:color="auto"/>
        <w:right w:val="none" w:sz="0" w:space="0" w:color="auto"/>
      </w:divBdr>
    </w:div>
    <w:div w:id="390619390">
      <w:bodyDiv w:val="1"/>
      <w:marLeft w:val="0"/>
      <w:marRight w:val="0"/>
      <w:marTop w:val="0"/>
      <w:marBottom w:val="0"/>
      <w:divBdr>
        <w:top w:val="none" w:sz="0" w:space="0" w:color="auto"/>
        <w:left w:val="none" w:sz="0" w:space="0" w:color="auto"/>
        <w:bottom w:val="none" w:sz="0" w:space="0" w:color="auto"/>
        <w:right w:val="none" w:sz="0" w:space="0" w:color="auto"/>
      </w:divBdr>
    </w:div>
    <w:div w:id="427385044">
      <w:bodyDiv w:val="1"/>
      <w:marLeft w:val="0"/>
      <w:marRight w:val="0"/>
      <w:marTop w:val="0"/>
      <w:marBottom w:val="0"/>
      <w:divBdr>
        <w:top w:val="none" w:sz="0" w:space="0" w:color="auto"/>
        <w:left w:val="none" w:sz="0" w:space="0" w:color="auto"/>
        <w:bottom w:val="none" w:sz="0" w:space="0" w:color="auto"/>
        <w:right w:val="none" w:sz="0" w:space="0" w:color="auto"/>
      </w:divBdr>
    </w:div>
    <w:div w:id="463234957">
      <w:bodyDiv w:val="1"/>
      <w:marLeft w:val="0"/>
      <w:marRight w:val="0"/>
      <w:marTop w:val="0"/>
      <w:marBottom w:val="0"/>
      <w:divBdr>
        <w:top w:val="none" w:sz="0" w:space="0" w:color="auto"/>
        <w:left w:val="none" w:sz="0" w:space="0" w:color="auto"/>
        <w:bottom w:val="none" w:sz="0" w:space="0" w:color="auto"/>
        <w:right w:val="none" w:sz="0" w:space="0" w:color="auto"/>
      </w:divBdr>
    </w:div>
    <w:div w:id="509753810">
      <w:bodyDiv w:val="1"/>
      <w:marLeft w:val="0"/>
      <w:marRight w:val="0"/>
      <w:marTop w:val="0"/>
      <w:marBottom w:val="0"/>
      <w:divBdr>
        <w:top w:val="none" w:sz="0" w:space="0" w:color="auto"/>
        <w:left w:val="none" w:sz="0" w:space="0" w:color="auto"/>
        <w:bottom w:val="none" w:sz="0" w:space="0" w:color="auto"/>
        <w:right w:val="none" w:sz="0" w:space="0" w:color="auto"/>
      </w:divBdr>
    </w:div>
    <w:div w:id="553152534">
      <w:bodyDiv w:val="1"/>
      <w:marLeft w:val="0"/>
      <w:marRight w:val="0"/>
      <w:marTop w:val="0"/>
      <w:marBottom w:val="0"/>
      <w:divBdr>
        <w:top w:val="none" w:sz="0" w:space="0" w:color="auto"/>
        <w:left w:val="none" w:sz="0" w:space="0" w:color="auto"/>
        <w:bottom w:val="none" w:sz="0" w:space="0" w:color="auto"/>
        <w:right w:val="none" w:sz="0" w:space="0" w:color="auto"/>
      </w:divBdr>
    </w:div>
    <w:div w:id="629283610">
      <w:bodyDiv w:val="1"/>
      <w:marLeft w:val="0"/>
      <w:marRight w:val="0"/>
      <w:marTop w:val="0"/>
      <w:marBottom w:val="0"/>
      <w:divBdr>
        <w:top w:val="none" w:sz="0" w:space="0" w:color="auto"/>
        <w:left w:val="none" w:sz="0" w:space="0" w:color="auto"/>
        <w:bottom w:val="none" w:sz="0" w:space="0" w:color="auto"/>
        <w:right w:val="none" w:sz="0" w:space="0" w:color="auto"/>
      </w:divBdr>
    </w:div>
    <w:div w:id="768618342">
      <w:bodyDiv w:val="1"/>
      <w:marLeft w:val="0"/>
      <w:marRight w:val="0"/>
      <w:marTop w:val="0"/>
      <w:marBottom w:val="0"/>
      <w:divBdr>
        <w:top w:val="none" w:sz="0" w:space="0" w:color="auto"/>
        <w:left w:val="none" w:sz="0" w:space="0" w:color="auto"/>
        <w:bottom w:val="none" w:sz="0" w:space="0" w:color="auto"/>
        <w:right w:val="none" w:sz="0" w:space="0" w:color="auto"/>
      </w:divBdr>
    </w:div>
    <w:div w:id="795946893">
      <w:bodyDiv w:val="1"/>
      <w:marLeft w:val="0"/>
      <w:marRight w:val="0"/>
      <w:marTop w:val="0"/>
      <w:marBottom w:val="0"/>
      <w:divBdr>
        <w:top w:val="none" w:sz="0" w:space="0" w:color="auto"/>
        <w:left w:val="none" w:sz="0" w:space="0" w:color="auto"/>
        <w:bottom w:val="none" w:sz="0" w:space="0" w:color="auto"/>
        <w:right w:val="none" w:sz="0" w:space="0" w:color="auto"/>
      </w:divBdr>
    </w:div>
    <w:div w:id="803618751">
      <w:bodyDiv w:val="1"/>
      <w:marLeft w:val="0"/>
      <w:marRight w:val="0"/>
      <w:marTop w:val="0"/>
      <w:marBottom w:val="0"/>
      <w:divBdr>
        <w:top w:val="none" w:sz="0" w:space="0" w:color="auto"/>
        <w:left w:val="none" w:sz="0" w:space="0" w:color="auto"/>
        <w:bottom w:val="none" w:sz="0" w:space="0" w:color="auto"/>
        <w:right w:val="none" w:sz="0" w:space="0" w:color="auto"/>
      </w:divBdr>
    </w:div>
    <w:div w:id="859856037">
      <w:bodyDiv w:val="1"/>
      <w:marLeft w:val="0"/>
      <w:marRight w:val="0"/>
      <w:marTop w:val="0"/>
      <w:marBottom w:val="0"/>
      <w:divBdr>
        <w:top w:val="none" w:sz="0" w:space="0" w:color="auto"/>
        <w:left w:val="none" w:sz="0" w:space="0" w:color="auto"/>
        <w:bottom w:val="none" w:sz="0" w:space="0" w:color="auto"/>
        <w:right w:val="none" w:sz="0" w:space="0" w:color="auto"/>
      </w:divBdr>
    </w:div>
    <w:div w:id="942417936">
      <w:bodyDiv w:val="1"/>
      <w:marLeft w:val="0"/>
      <w:marRight w:val="0"/>
      <w:marTop w:val="0"/>
      <w:marBottom w:val="0"/>
      <w:divBdr>
        <w:top w:val="none" w:sz="0" w:space="0" w:color="auto"/>
        <w:left w:val="none" w:sz="0" w:space="0" w:color="auto"/>
        <w:bottom w:val="none" w:sz="0" w:space="0" w:color="auto"/>
        <w:right w:val="none" w:sz="0" w:space="0" w:color="auto"/>
      </w:divBdr>
    </w:div>
    <w:div w:id="1173573249">
      <w:bodyDiv w:val="1"/>
      <w:marLeft w:val="0"/>
      <w:marRight w:val="0"/>
      <w:marTop w:val="0"/>
      <w:marBottom w:val="0"/>
      <w:divBdr>
        <w:top w:val="none" w:sz="0" w:space="0" w:color="auto"/>
        <w:left w:val="none" w:sz="0" w:space="0" w:color="auto"/>
        <w:bottom w:val="none" w:sz="0" w:space="0" w:color="auto"/>
        <w:right w:val="none" w:sz="0" w:space="0" w:color="auto"/>
      </w:divBdr>
    </w:div>
    <w:div w:id="1246962407">
      <w:bodyDiv w:val="1"/>
      <w:marLeft w:val="0"/>
      <w:marRight w:val="0"/>
      <w:marTop w:val="0"/>
      <w:marBottom w:val="0"/>
      <w:divBdr>
        <w:top w:val="none" w:sz="0" w:space="0" w:color="auto"/>
        <w:left w:val="none" w:sz="0" w:space="0" w:color="auto"/>
        <w:bottom w:val="none" w:sz="0" w:space="0" w:color="auto"/>
        <w:right w:val="none" w:sz="0" w:space="0" w:color="auto"/>
      </w:divBdr>
      <w:divsChild>
        <w:div w:id="1665157891">
          <w:marLeft w:val="0"/>
          <w:marRight w:val="0"/>
          <w:marTop w:val="0"/>
          <w:marBottom w:val="0"/>
          <w:divBdr>
            <w:top w:val="none" w:sz="0" w:space="0" w:color="auto"/>
            <w:left w:val="none" w:sz="0" w:space="0" w:color="auto"/>
            <w:bottom w:val="none" w:sz="0" w:space="0" w:color="auto"/>
            <w:right w:val="none" w:sz="0" w:space="0" w:color="auto"/>
          </w:divBdr>
        </w:div>
      </w:divsChild>
    </w:div>
    <w:div w:id="1368725993">
      <w:bodyDiv w:val="1"/>
      <w:marLeft w:val="0"/>
      <w:marRight w:val="0"/>
      <w:marTop w:val="0"/>
      <w:marBottom w:val="0"/>
      <w:divBdr>
        <w:top w:val="none" w:sz="0" w:space="0" w:color="auto"/>
        <w:left w:val="none" w:sz="0" w:space="0" w:color="auto"/>
        <w:bottom w:val="none" w:sz="0" w:space="0" w:color="auto"/>
        <w:right w:val="none" w:sz="0" w:space="0" w:color="auto"/>
      </w:divBdr>
    </w:div>
    <w:div w:id="1372455766">
      <w:bodyDiv w:val="1"/>
      <w:marLeft w:val="0"/>
      <w:marRight w:val="0"/>
      <w:marTop w:val="0"/>
      <w:marBottom w:val="0"/>
      <w:divBdr>
        <w:top w:val="none" w:sz="0" w:space="0" w:color="auto"/>
        <w:left w:val="none" w:sz="0" w:space="0" w:color="auto"/>
        <w:bottom w:val="none" w:sz="0" w:space="0" w:color="auto"/>
        <w:right w:val="none" w:sz="0" w:space="0" w:color="auto"/>
      </w:divBdr>
    </w:div>
    <w:div w:id="1409158088">
      <w:bodyDiv w:val="1"/>
      <w:marLeft w:val="0"/>
      <w:marRight w:val="0"/>
      <w:marTop w:val="0"/>
      <w:marBottom w:val="0"/>
      <w:divBdr>
        <w:top w:val="none" w:sz="0" w:space="0" w:color="auto"/>
        <w:left w:val="none" w:sz="0" w:space="0" w:color="auto"/>
        <w:bottom w:val="none" w:sz="0" w:space="0" w:color="auto"/>
        <w:right w:val="none" w:sz="0" w:space="0" w:color="auto"/>
      </w:divBdr>
      <w:divsChild>
        <w:div w:id="1373188338">
          <w:marLeft w:val="0"/>
          <w:marRight w:val="0"/>
          <w:marTop w:val="0"/>
          <w:marBottom w:val="0"/>
          <w:divBdr>
            <w:top w:val="none" w:sz="0" w:space="0" w:color="auto"/>
            <w:left w:val="none" w:sz="0" w:space="0" w:color="auto"/>
            <w:bottom w:val="none" w:sz="0" w:space="0" w:color="auto"/>
            <w:right w:val="none" w:sz="0" w:space="0" w:color="auto"/>
          </w:divBdr>
          <w:divsChild>
            <w:div w:id="1722631679">
              <w:marLeft w:val="0"/>
              <w:marRight w:val="0"/>
              <w:marTop w:val="0"/>
              <w:marBottom w:val="0"/>
              <w:divBdr>
                <w:top w:val="single" w:sz="2" w:space="0" w:color="EAE9E9"/>
                <w:left w:val="single" w:sz="2" w:space="0" w:color="EAE9E9"/>
                <w:bottom w:val="single" w:sz="2" w:space="0" w:color="EAE9E9"/>
                <w:right w:val="single" w:sz="2" w:space="0" w:color="EAE9E9"/>
              </w:divBdr>
              <w:divsChild>
                <w:div w:id="671025966">
                  <w:marLeft w:val="0"/>
                  <w:marRight w:val="0"/>
                  <w:marTop w:val="0"/>
                  <w:marBottom w:val="0"/>
                  <w:divBdr>
                    <w:top w:val="none" w:sz="0" w:space="0" w:color="auto"/>
                    <w:left w:val="none" w:sz="0" w:space="0" w:color="auto"/>
                    <w:bottom w:val="none" w:sz="0" w:space="0" w:color="auto"/>
                    <w:right w:val="none" w:sz="0" w:space="0" w:color="auto"/>
                  </w:divBdr>
                  <w:divsChild>
                    <w:div w:id="835195683">
                      <w:marLeft w:val="0"/>
                      <w:marRight w:val="0"/>
                      <w:marTop w:val="0"/>
                      <w:marBottom w:val="300"/>
                      <w:divBdr>
                        <w:top w:val="none" w:sz="0" w:space="0" w:color="auto"/>
                        <w:left w:val="none" w:sz="0" w:space="0" w:color="auto"/>
                        <w:bottom w:val="none" w:sz="0" w:space="0" w:color="auto"/>
                        <w:right w:val="none" w:sz="0" w:space="0" w:color="auto"/>
                      </w:divBdr>
                      <w:divsChild>
                        <w:div w:id="102381146">
                          <w:marLeft w:val="0"/>
                          <w:marRight w:val="0"/>
                          <w:marTop w:val="0"/>
                          <w:marBottom w:val="0"/>
                          <w:divBdr>
                            <w:top w:val="none" w:sz="0" w:space="0" w:color="auto"/>
                            <w:left w:val="none" w:sz="0" w:space="0" w:color="auto"/>
                            <w:bottom w:val="none" w:sz="0" w:space="0" w:color="auto"/>
                            <w:right w:val="none" w:sz="0" w:space="0" w:color="auto"/>
                          </w:divBdr>
                          <w:divsChild>
                            <w:div w:id="486286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1020760">
      <w:bodyDiv w:val="1"/>
      <w:marLeft w:val="0"/>
      <w:marRight w:val="0"/>
      <w:marTop w:val="0"/>
      <w:marBottom w:val="0"/>
      <w:divBdr>
        <w:top w:val="none" w:sz="0" w:space="0" w:color="auto"/>
        <w:left w:val="none" w:sz="0" w:space="0" w:color="auto"/>
        <w:bottom w:val="none" w:sz="0" w:space="0" w:color="auto"/>
        <w:right w:val="none" w:sz="0" w:space="0" w:color="auto"/>
      </w:divBdr>
    </w:div>
    <w:div w:id="1492746084">
      <w:bodyDiv w:val="1"/>
      <w:marLeft w:val="0"/>
      <w:marRight w:val="0"/>
      <w:marTop w:val="0"/>
      <w:marBottom w:val="0"/>
      <w:divBdr>
        <w:top w:val="none" w:sz="0" w:space="0" w:color="auto"/>
        <w:left w:val="none" w:sz="0" w:space="0" w:color="auto"/>
        <w:bottom w:val="none" w:sz="0" w:space="0" w:color="auto"/>
        <w:right w:val="none" w:sz="0" w:space="0" w:color="auto"/>
      </w:divBdr>
    </w:div>
    <w:div w:id="1503427096">
      <w:bodyDiv w:val="1"/>
      <w:marLeft w:val="0"/>
      <w:marRight w:val="0"/>
      <w:marTop w:val="0"/>
      <w:marBottom w:val="0"/>
      <w:divBdr>
        <w:top w:val="none" w:sz="0" w:space="0" w:color="auto"/>
        <w:left w:val="none" w:sz="0" w:space="0" w:color="auto"/>
        <w:bottom w:val="none" w:sz="0" w:space="0" w:color="auto"/>
        <w:right w:val="none" w:sz="0" w:space="0" w:color="auto"/>
      </w:divBdr>
      <w:divsChild>
        <w:div w:id="1842967789">
          <w:marLeft w:val="0"/>
          <w:marRight w:val="0"/>
          <w:marTop w:val="0"/>
          <w:marBottom w:val="0"/>
          <w:divBdr>
            <w:top w:val="none" w:sz="0" w:space="0" w:color="auto"/>
            <w:left w:val="none" w:sz="0" w:space="0" w:color="auto"/>
            <w:bottom w:val="none" w:sz="0" w:space="0" w:color="auto"/>
            <w:right w:val="none" w:sz="0" w:space="0" w:color="auto"/>
          </w:divBdr>
        </w:div>
      </w:divsChild>
    </w:div>
    <w:div w:id="1589730913">
      <w:bodyDiv w:val="1"/>
      <w:marLeft w:val="0"/>
      <w:marRight w:val="0"/>
      <w:marTop w:val="0"/>
      <w:marBottom w:val="0"/>
      <w:divBdr>
        <w:top w:val="none" w:sz="0" w:space="0" w:color="auto"/>
        <w:left w:val="none" w:sz="0" w:space="0" w:color="auto"/>
        <w:bottom w:val="none" w:sz="0" w:space="0" w:color="auto"/>
        <w:right w:val="none" w:sz="0" w:space="0" w:color="auto"/>
      </w:divBdr>
    </w:div>
    <w:div w:id="1710297381">
      <w:bodyDiv w:val="1"/>
      <w:marLeft w:val="0"/>
      <w:marRight w:val="0"/>
      <w:marTop w:val="0"/>
      <w:marBottom w:val="0"/>
      <w:divBdr>
        <w:top w:val="none" w:sz="0" w:space="0" w:color="auto"/>
        <w:left w:val="none" w:sz="0" w:space="0" w:color="auto"/>
        <w:bottom w:val="none" w:sz="0" w:space="0" w:color="auto"/>
        <w:right w:val="none" w:sz="0" w:space="0" w:color="auto"/>
      </w:divBdr>
    </w:div>
    <w:div w:id="1787306122">
      <w:bodyDiv w:val="1"/>
      <w:marLeft w:val="0"/>
      <w:marRight w:val="0"/>
      <w:marTop w:val="0"/>
      <w:marBottom w:val="0"/>
      <w:divBdr>
        <w:top w:val="none" w:sz="0" w:space="0" w:color="auto"/>
        <w:left w:val="none" w:sz="0" w:space="0" w:color="auto"/>
        <w:bottom w:val="none" w:sz="0" w:space="0" w:color="auto"/>
        <w:right w:val="none" w:sz="0" w:space="0" w:color="auto"/>
      </w:divBdr>
    </w:div>
    <w:div w:id="1896886279">
      <w:bodyDiv w:val="1"/>
      <w:marLeft w:val="0"/>
      <w:marRight w:val="0"/>
      <w:marTop w:val="0"/>
      <w:marBottom w:val="0"/>
      <w:divBdr>
        <w:top w:val="none" w:sz="0" w:space="0" w:color="auto"/>
        <w:left w:val="none" w:sz="0" w:space="0" w:color="auto"/>
        <w:bottom w:val="none" w:sz="0" w:space="0" w:color="auto"/>
        <w:right w:val="none" w:sz="0" w:space="0" w:color="auto"/>
      </w:divBdr>
    </w:div>
    <w:div w:id="1999378937">
      <w:bodyDiv w:val="1"/>
      <w:marLeft w:val="0"/>
      <w:marRight w:val="0"/>
      <w:marTop w:val="0"/>
      <w:marBottom w:val="0"/>
      <w:divBdr>
        <w:top w:val="none" w:sz="0" w:space="0" w:color="auto"/>
        <w:left w:val="none" w:sz="0" w:space="0" w:color="auto"/>
        <w:bottom w:val="none" w:sz="0" w:space="0" w:color="auto"/>
        <w:right w:val="none" w:sz="0" w:space="0" w:color="auto"/>
      </w:divBdr>
    </w:div>
    <w:div w:id="2039307340">
      <w:bodyDiv w:val="1"/>
      <w:marLeft w:val="0"/>
      <w:marRight w:val="0"/>
      <w:marTop w:val="0"/>
      <w:marBottom w:val="0"/>
      <w:divBdr>
        <w:top w:val="none" w:sz="0" w:space="0" w:color="auto"/>
        <w:left w:val="none" w:sz="0" w:space="0" w:color="auto"/>
        <w:bottom w:val="none" w:sz="0" w:space="0" w:color="auto"/>
        <w:right w:val="none" w:sz="0" w:space="0" w:color="auto"/>
      </w:divBdr>
    </w:div>
    <w:div w:id="205653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watana.org/en"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documents.worldbank.org/curated/en/320011582043995205/pdf/Yemen-Monthly-Economic-Update-January-2020.pdf" TargetMode="External"/><Relationship Id="rId13" Type="http://schemas.openxmlformats.org/officeDocument/2006/relationships/hyperlink" Target="https://mwatana.org/wp-content/uploads/2021/09/Starvation-Makers-2021-En.pdf" TargetMode="External"/><Relationship Id="rId18" Type="http://schemas.openxmlformats.org/officeDocument/2006/relationships/hyperlink" Target="https://sanaacenter.org/publications/main-publications/6789" TargetMode="External"/><Relationship Id="rId26" Type="http://schemas.openxmlformats.org/officeDocument/2006/relationships/hyperlink" Target="https://www.hrw.org/world-report/2020/country-chapters/yemen" TargetMode="External"/><Relationship Id="rId3" Type="http://schemas.openxmlformats.org/officeDocument/2006/relationships/hyperlink" Target="https://documents-dds-ny.un.org/doc/UNDOC/GEN/G19/240/87/PDF/G1924087.pdf?OpenElement" TargetMode="External"/><Relationship Id="rId21" Type="http://schemas.openxmlformats.org/officeDocument/2006/relationships/hyperlink" Target="https://www.hrw.org/world-report/2020/country-chaptehrs/yemen" TargetMode="External"/><Relationship Id="rId7" Type="http://schemas.openxmlformats.org/officeDocument/2006/relationships/hyperlink" Target="https://mwatana.org/wp-content/uploads/2019/07/Withering-Life-2.pdf" TargetMode="External"/><Relationship Id="rId12" Type="http://schemas.openxmlformats.org/officeDocument/2006/relationships/hyperlink" Target="https://www.unicef.org/emergencies/yemen-crisis" TargetMode="External"/><Relationship Id="rId17" Type="http://schemas.openxmlformats.org/officeDocument/2006/relationships/hyperlink" Target="https://apps.who.int/gb/ebwha/pdf_files/EB130/B130_9-en.pdf" TargetMode="External"/><Relationship Id="rId25" Type="http://schemas.openxmlformats.org/officeDocument/2006/relationships/hyperlink" Target="https://mwatana.org/wp-content/uploads/2022/11/Annual-Report-2021-En.pdf" TargetMode="External"/><Relationship Id="rId2" Type="http://schemas.openxmlformats.org/officeDocument/2006/relationships/hyperlink" Target="https://mwatana.org/wp-content/uploads/2021/09/Starvation-Makers-2021-En.pdf" TargetMode="External"/><Relationship Id="rId16" Type="http://schemas.openxmlformats.org/officeDocument/2006/relationships/hyperlink" Target="https://mwatana.org/wp-content/uploads/2022/11/Annual-Report-2021-En.pdf" TargetMode="External"/><Relationship Id="rId20" Type="http://schemas.openxmlformats.org/officeDocument/2006/relationships/hyperlink" Target="http://uis.unesco.org/en/country/ye?theme=education-and-literacy" TargetMode="External"/><Relationship Id="rId29" Type="http://schemas.openxmlformats.org/officeDocument/2006/relationships/hyperlink" Target="https://mwatana.org/en/interruption-of-salaries/" TargetMode="External"/><Relationship Id="rId1" Type="http://schemas.openxmlformats.org/officeDocument/2006/relationships/hyperlink" Target="https://reliefweb.int/report/yemen/yemen-food-security-nutrition-snapshot-march-2022-enar" TargetMode="External"/><Relationship Id="rId6" Type="http://schemas.openxmlformats.org/officeDocument/2006/relationships/hyperlink" Target="https://mwatana.org/wp-content/uploads/2022/11/Annual-Report-2021-En.pdf" TargetMode="External"/><Relationship Id="rId11" Type="http://schemas.openxmlformats.org/officeDocument/2006/relationships/hyperlink" Target="https://mwatana.org/en/interruption-of-salaries/" TargetMode="External"/><Relationship Id="rId24" Type="http://schemas.openxmlformats.org/officeDocument/2006/relationships/hyperlink" Target="https://mwatana.org/en/undermining-future/" TargetMode="External"/><Relationship Id="rId5" Type="http://schemas.openxmlformats.org/officeDocument/2006/relationships/hyperlink" Target="https://mwatana.org/wp-content/uploads/2022/11/Annual-Report-2021-En.pdf" TargetMode="External"/><Relationship Id="rId15" Type="http://schemas.openxmlformats.org/officeDocument/2006/relationships/hyperlink" Target="https://mwatana.org/wp-content/uploads/2021/09/Starvation-Makers-2021-En.pdf" TargetMode="External"/><Relationship Id="rId23" Type="http://schemas.openxmlformats.org/officeDocument/2006/relationships/hyperlink" Target="https://mwatana.org/wp-content/uploads/2019/07/Withering-Life-2.pdf" TargetMode="External"/><Relationship Id="rId28" Type="http://schemas.openxmlformats.org/officeDocument/2006/relationships/hyperlink" Target="https://mwatana.org/en/interruption-of-salaries/" TargetMode="External"/><Relationship Id="rId10" Type="http://schemas.openxmlformats.org/officeDocument/2006/relationships/hyperlink" Target="https://www.ohchr.org/Documents/HRBodies/HRCouncil/GEE-Yemen/AHRC-45-CRP.7-en.pdf" TargetMode="External"/><Relationship Id="rId19" Type="http://schemas.openxmlformats.org/officeDocument/2006/relationships/hyperlink" Target="https://www.unicef.org/yemen/reports/education-disrupted" TargetMode="External"/><Relationship Id="rId4" Type="http://schemas.openxmlformats.org/officeDocument/2006/relationships/hyperlink" Target="https://mwatana.org/en/annualbreif2022/" TargetMode="External"/><Relationship Id="rId9" Type="http://schemas.openxmlformats.org/officeDocument/2006/relationships/hyperlink" Target="https://mwatana.org/wp-content/uploads/2021/09/Starvation-Makers-2021-En.pdf" TargetMode="External"/><Relationship Id="rId14" Type="http://schemas.openxmlformats.org/officeDocument/2006/relationships/hyperlink" Target="https://mwatana.org/en/annualbreif2022/" TargetMode="External"/><Relationship Id="rId22" Type="http://schemas.openxmlformats.org/officeDocument/2006/relationships/hyperlink" Target="https://reliefweb.int/sites/reliefweb.int/files/resources/IF%20NOT%20IN%20SCHOOL_March2018_English.pdf" TargetMode="External"/><Relationship Id="rId27" Type="http://schemas.openxmlformats.org/officeDocument/2006/relationships/hyperlink" Target="https://reliefweb.int/report/yemen/behalf-under-secretary-general-humanitarian-affairs-and-emergency-relief-coordinator-mr"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8881A-E575-4348-9BCE-8BAC1343C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10</Pages>
  <Words>4093</Words>
  <Characters>23336</Characters>
  <Application>Microsoft Office Word</Application>
  <DocSecurity>0</DocSecurity>
  <Lines>194</Lines>
  <Paragraphs>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SALLY</dc:creator>
  <cp:keywords/>
  <dc:description/>
  <cp:lastModifiedBy>Celine Reynaud</cp:lastModifiedBy>
  <cp:revision>2</cp:revision>
  <dcterms:created xsi:type="dcterms:W3CDTF">2023-01-24T06:47:00Z</dcterms:created>
  <dcterms:modified xsi:type="dcterms:W3CDTF">2023-01-24T06:47:00Z</dcterms:modified>
</cp:coreProperties>
</file>