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6709"/>
        <w:gridCol w:w="2930"/>
      </w:tblGrid>
      <w:tr w:rsidR="00AC145F" w14:paraId="6F579642" w14:textId="77777777" w:rsidTr="00A43A48">
        <w:trPr>
          <w:trHeight w:val="851"/>
        </w:trPr>
        <w:tc>
          <w:tcPr>
            <w:tcW w:w="9639" w:type="dxa"/>
            <w:gridSpan w:val="2"/>
            <w:tcBorders>
              <w:top w:val="nil"/>
              <w:left w:val="nil"/>
              <w:bottom w:val="single" w:sz="4" w:space="0" w:color="auto"/>
              <w:right w:val="nil"/>
            </w:tcBorders>
            <w:vAlign w:val="bottom"/>
          </w:tcPr>
          <w:p w14:paraId="079B63FD" w14:textId="6F28A0D2" w:rsidR="00AC145F" w:rsidRPr="00DE3EC0" w:rsidRDefault="00E51EEA" w:rsidP="00E51EEA">
            <w:pPr>
              <w:jc w:val="right"/>
            </w:pPr>
            <w:r w:rsidRPr="00E51EEA">
              <w:rPr>
                <w:sz w:val="40"/>
              </w:rPr>
              <w:t>HRI</w:t>
            </w:r>
            <w:r>
              <w:t>/MC/2022/CRP.2</w:t>
            </w:r>
          </w:p>
        </w:tc>
      </w:tr>
      <w:tr w:rsidR="00AC145F" w14:paraId="32E02E7A" w14:textId="77777777" w:rsidTr="00A43A48">
        <w:trPr>
          <w:trHeight w:val="2835"/>
        </w:trPr>
        <w:tc>
          <w:tcPr>
            <w:tcW w:w="6709" w:type="dxa"/>
            <w:tcBorders>
              <w:top w:val="single" w:sz="4" w:space="0" w:color="auto"/>
              <w:left w:val="nil"/>
              <w:bottom w:val="single" w:sz="12" w:space="0" w:color="auto"/>
              <w:right w:val="nil"/>
            </w:tcBorders>
          </w:tcPr>
          <w:p w14:paraId="0E2C4868" w14:textId="77777777" w:rsidR="00AC145F" w:rsidRPr="007369EB" w:rsidRDefault="00AC145F" w:rsidP="00A43A48"/>
        </w:tc>
        <w:tc>
          <w:tcPr>
            <w:tcW w:w="2930" w:type="dxa"/>
            <w:tcBorders>
              <w:top w:val="single" w:sz="4" w:space="0" w:color="auto"/>
              <w:left w:val="nil"/>
              <w:bottom w:val="single" w:sz="12" w:space="0" w:color="auto"/>
              <w:right w:val="nil"/>
            </w:tcBorders>
          </w:tcPr>
          <w:p w14:paraId="33EE02F2" w14:textId="77777777" w:rsidR="00771B3F" w:rsidRDefault="00771B3F" w:rsidP="00E51EEA">
            <w:pPr>
              <w:spacing w:line="240" w:lineRule="exact"/>
            </w:pPr>
          </w:p>
          <w:p w14:paraId="0DFC1A2F" w14:textId="674DEF9B" w:rsidR="00E51EEA" w:rsidRDefault="00E51EEA" w:rsidP="00E51EEA">
            <w:pPr>
              <w:spacing w:line="240" w:lineRule="exact"/>
            </w:pPr>
            <w:r>
              <w:t>7 March 2022</w:t>
            </w:r>
          </w:p>
          <w:p w14:paraId="601FFD55" w14:textId="77777777" w:rsidR="00E51EEA" w:rsidRDefault="00E51EEA" w:rsidP="00E51EEA">
            <w:pPr>
              <w:spacing w:line="240" w:lineRule="exact"/>
            </w:pPr>
          </w:p>
          <w:p w14:paraId="53E27CF2" w14:textId="46468DE1" w:rsidR="00E51EEA" w:rsidRDefault="00E51EEA" w:rsidP="00E51EEA">
            <w:pPr>
              <w:spacing w:line="240" w:lineRule="exact"/>
            </w:pPr>
            <w:r>
              <w:t>Original: English</w:t>
            </w:r>
          </w:p>
        </w:tc>
      </w:tr>
    </w:tbl>
    <w:p w14:paraId="1FE56591" w14:textId="77777777" w:rsidR="00E51EEA" w:rsidRPr="00180409" w:rsidRDefault="00E51EEA" w:rsidP="00E51EEA">
      <w:pPr>
        <w:suppressAutoHyphens w:val="0"/>
        <w:spacing w:before="120" w:line="240" w:lineRule="auto"/>
        <w:rPr>
          <w:b/>
          <w:bCs/>
        </w:rPr>
      </w:pPr>
      <w:r w:rsidRPr="00180409">
        <w:rPr>
          <w:b/>
          <w:bCs/>
        </w:rPr>
        <w:t>Thirty-</w:t>
      </w:r>
      <w:r>
        <w:rPr>
          <w:b/>
          <w:bCs/>
        </w:rPr>
        <w:t>fourth</w:t>
      </w:r>
      <w:r w:rsidRPr="00180409">
        <w:rPr>
          <w:b/>
          <w:bCs/>
        </w:rPr>
        <w:t xml:space="preserve"> meeting of Chairs </w:t>
      </w:r>
      <w:r w:rsidRPr="00180409">
        <w:rPr>
          <w:b/>
          <w:bCs/>
        </w:rPr>
        <w:br/>
        <w:t>of the human rights treaty bodies</w:t>
      </w:r>
    </w:p>
    <w:p w14:paraId="3E762898" w14:textId="77777777" w:rsidR="00E51EEA" w:rsidRPr="00A62A7F" w:rsidRDefault="00E51EEA" w:rsidP="00E51EEA">
      <w:pPr>
        <w:suppressAutoHyphens w:val="0"/>
        <w:spacing w:line="240" w:lineRule="auto"/>
      </w:pPr>
      <w:r>
        <w:t>30 May</w:t>
      </w:r>
      <w:r w:rsidRPr="00A62A7F">
        <w:t>–</w:t>
      </w:r>
      <w:r>
        <w:t>3</w:t>
      </w:r>
      <w:r w:rsidRPr="00A62A7F">
        <w:t xml:space="preserve"> June 202</w:t>
      </w:r>
      <w:r>
        <w:t>2</w:t>
      </w:r>
    </w:p>
    <w:p w14:paraId="56001C8B" w14:textId="77777777" w:rsidR="00E51EEA" w:rsidRPr="008E1B49" w:rsidRDefault="00E51EEA" w:rsidP="00E51EEA">
      <w:pPr>
        <w:suppressAutoHyphens w:val="0"/>
        <w:spacing w:line="240" w:lineRule="auto"/>
      </w:pPr>
      <w:r>
        <w:t>Item 7</w:t>
      </w:r>
      <w:r w:rsidRPr="008E1B49">
        <w:t xml:space="preserve"> of the provisional agenda</w:t>
      </w:r>
    </w:p>
    <w:p w14:paraId="5D53EBB8" w14:textId="77777777" w:rsidR="00E51EEA" w:rsidRDefault="00E51EEA" w:rsidP="00E51EEA">
      <w:pPr>
        <w:spacing w:line="240" w:lineRule="auto"/>
        <w:rPr>
          <w:b/>
          <w:bCs/>
        </w:rPr>
      </w:pPr>
      <w:r>
        <w:rPr>
          <w:b/>
          <w:bCs/>
        </w:rPr>
        <w:t>Progress made in the alignment of working methods and practices of the treaty bodies</w:t>
      </w:r>
    </w:p>
    <w:p w14:paraId="7786C8E8" w14:textId="77777777" w:rsidR="00E51EEA" w:rsidRPr="000F1643" w:rsidRDefault="00E51EEA" w:rsidP="00E51EEA">
      <w:pPr>
        <w:pStyle w:val="HChG"/>
        <w:rPr>
          <w:b w:val="0"/>
          <w:bCs/>
          <w:lang w:val="en-US"/>
        </w:rPr>
      </w:pPr>
      <w:r>
        <w:rPr>
          <w:lang w:val="en-US"/>
        </w:rPr>
        <w:tab/>
      </w:r>
      <w:r>
        <w:rPr>
          <w:lang w:val="en-US"/>
        </w:rPr>
        <w:tab/>
        <w:t>Background paper on remedies, measures of reparation in treaty body jurisprudence: analysis of 138 views adopted in 2018-2019 in which a violation was found</w:t>
      </w:r>
    </w:p>
    <w:p w14:paraId="08D66F09" w14:textId="77777777" w:rsidR="00E51EEA" w:rsidRPr="000F1643" w:rsidRDefault="00E51EEA" w:rsidP="00E51EEA">
      <w:pPr>
        <w:pStyle w:val="H1G"/>
        <w:rPr>
          <w:lang w:val="en-US"/>
        </w:rPr>
      </w:pPr>
      <w:r>
        <w:rPr>
          <w:lang w:val="en-US"/>
        </w:rPr>
        <w:tab/>
      </w:r>
      <w:r>
        <w:rPr>
          <w:lang w:val="en-US"/>
        </w:rPr>
        <w:tab/>
        <w:t>Note by the Secretariat</w:t>
      </w:r>
    </w:p>
    <w:p w14:paraId="256E5E66" w14:textId="77777777" w:rsidR="00E51EEA" w:rsidRPr="000F1643" w:rsidRDefault="00E51EEA" w:rsidP="00E51EEA">
      <w:pPr>
        <w:pStyle w:val="H1G"/>
      </w:pPr>
      <w:r>
        <w:tab/>
      </w:r>
      <w:r>
        <w:tab/>
      </w:r>
      <w:r w:rsidRPr="000F1643">
        <w:t>Introduction</w:t>
      </w:r>
    </w:p>
    <w:p w14:paraId="4F528BFB" w14:textId="77777777" w:rsidR="00E51EEA" w:rsidRDefault="00E51EEA" w:rsidP="00BE6A58">
      <w:pPr>
        <w:pStyle w:val="SingleTxtG"/>
        <w:numPr>
          <w:ilvl w:val="0"/>
          <w:numId w:val="4"/>
        </w:numPr>
        <w:ind w:left="1134" w:firstLine="0"/>
        <w:rPr>
          <w:lang w:val="en-US"/>
        </w:rPr>
      </w:pPr>
      <w:r w:rsidRPr="00F42318">
        <w:rPr>
          <w:lang w:val="en-US"/>
        </w:rPr>
        <w:t xml:space="preserve">When a right enshrined in one of the relevant UN human rights treaties is found to have been violated, all committees dealing with individual communications recommend various </w:t>
      </w:r>
      <w:r>
        <w:rPr>
          <w:lang w:val="en-US"/>
        </w:rPr>
        <w:t xml:space="preserve">forms of reparation </w:t>
      </w:r>
      <w:r w:rsidRPr="00F42318">
        <w:rPr>
          <w:lang w:val="en-US"/>
        </w:rPr>
        <w:t xml:space="preserve">to redress </w:t>
      </w:r>
      <w:r>
        <w:rPr>
          <w:lang w:val="en-US"/>
        </w:rPr>
        <w:t xml:space="preserve">the </w:t>
      </w:r>
      <w:r w:rsidRPr="00F42318">
        <w:rPr>
          <w:lang w:val="en-US"/>
        </w:rPr>
        <w:t>human rights violation</w:t>
      </w:r>
      <w:r>
        <w:rPr>
          <w:lang w:val="en-US"/>
        </w:rPr>
        <w:t>(</w:t>
      </w:r>
      <w:r w:rsidRPr="00F42318">
        <w:rPr>
          <w:lang w:val="en-US"/>
        </w:rPr>
        <w:t>s</w:t>
      </w:r>
      <w:r>
        <w:rPr>
          <w:lang w:val="en-US"/>
        </w:rPr>
        <w:t>)</w:t>
      </w:r>
      <w:r w:rsidRPr="00F42318">
        <w:rPr>
          <w:lang w:val="en-US"/>
        </w:rPr>
        <w:t xml:space="preserve">. </w:t>
      </w:r>
      <w:r>
        <w:rPr>
          <w:lang w:val="en-US"/>
        </w:rPr>
        <w:t>Indeed, t</w:t>
      </w:r>
      <w:r w:rsidRPr="00555A09">
        <w:rPr>
          <w:lang w:val="en-US"/>
        </w:rPr>
        <w:t xml:space="preserve">he purpose of individual communication procedures is </w:t>
      </w:r>
      <w:r w:rsidRPr="00EA0D4B">
        <w:t xml:space="preserve">to enforce </w:t>
      </w:r>
      <w:r>
        <w:t>those rights</w:t>
      </w:r>
      <w:r w:rsidRPr="00EA0D4B">
        <w:t xml:space="preserve"> and provide</w:t>
      </w:r>
      <w:r w:rsidRPr="0023674D">
        <w:rPr>
          <w:lang w:val="en-US"/>
        </w:rPr>
        <w:t xml:space="preserve"> victims of violations with an effective remedy</w:t>
      </w:r>
      <w:r>
        <w:rPr>
          <w:lang w:val="en-US"/>
        </w:rPr>
        <w:t>. Moreover, treaty body</w:t>
      </w:r>
      <w:r w:rsidRPr="00555A09">
        <w:rPr>
          <w:lang w:val="en-US"/>
        </w:rPr>
        <w:t xml:space="preserve"> decisions </w:t>
      </w:r>
      <w:r>
        <w:rPr>
          <w:lang w:val="en-US"/>
        </w:rPr>
        <w:t xml:space="preserve">hold </w:t>
      </w:r>
      <w:r w:rsidRPr="00555A09">
        <w:rPr>
          <w:lang w:val="en-US"/>
        </w:rPr>
        <w:t xml:space="preserve">a larger preventive role as the adjustment of laws and practice recommended is expected to prevent </w:t>
      </w:r>
      <w:r>
        <w:rPr>
          <w:lang w:val="en-US"/>
        </w:rPr>
        <w:t xml:space="preserve">the </w:t>
      </w:r>
      <w:r w:rsidRPr="00555A09">
        <w:rPr>
          <w:lang w:val="en-US"/>
        </w:rPr>
        <w:t>recurrence of violations</w:t>
      </w:r>
      <w:r>
        <w:rPr>
          <w:lang w:val="en-US"/>
        </w:rPr>
        <w:t>.</w:t>
      </w:r>
    </w:p>
    <w:p w14:paraId="2CD10948" w14:textId="77777777" w:rsidR="00E51EEA" w:rsidRPr="00F42318" w:rsidRDefault="00E51EEA" w:rsidP="00BE6A58">
      <w:pPr>
        <w:pStyle w:val="SingleTxtG"/>
        <w:numPr>
          <w:ilvl w:val="0"/>
          <w:numId w:val="4"/>
        </w:numPr>
        <w:ind w:left="1134" w:firstLine="0"/>
      </w:pPr>
      <w:r w:rsidRPr="00025FBD">
        <w:rPr>
          <w:lang w:val="en-US"/>
        </w:rPr>
        <w:t>The legal basis for the committees’ recommendations is specific to each treaty. For some committees, the legal basis for setting out measures of reparation in their views lies in the general treaty provisions relating to the right to a remedy and reparation.</w:t>
      </w:r>
      <w:r w:rsidRPr="00000873">
        <w:rPr>
          <w:rStyle w:val="FootnoteReference"/>
        </w:rPr>
        <w:footnoteReference w:id="2"/>
      </w:r>
      <w:r w:rsidRPr="00025FBD">
        <w:rPr>
          <w:lang w:val="en-US"/>
        </w:rPr>
        <w:t xml:space="preserve"> For others, such recommendations stem from the treaty provisions regarding the adoption of views on individual communications and their transmittal to both parties concerned.</w:t>
      </w:r>
      <w:r w:rsidRPr="00000873">
        <w:rPr>
          <w:rStyle w:val="FootnoteReference"/>
        </w:rPr>
        <w:footnoteReference w:id="3"/>
      </w:r>
    </w:p>
    <w:p w14:paraId="6A5DD49D" w14:textId="77777777" w:rsidR="00E51EEA" w:rsidRPr="00F42318" w:rsidRDefault="00E51EEA" w:rsidP="00BE6A58">
      <w:pPr>
        <w:pStyle w:val="SingleTxtG"/>
        <w:numPr>
          <w:ilvl w:val="0"/>
          <w:numId w:val="4"/>
        </w:numPr>
        <w:ind w:left="1134" w:firstLine="0"/>
        <w:rPr>
          <w:lang w:val="en-US"/>
        </w:rPr>
      </w:pPr>
      <w:r w:rsidRPr="00F42318">
        <w:t xml:space="preserve">At their annual meeting in 2016, the Chairs of the treaty bodies agreed that there was a need to compare the jurisprudence of the respective committees, with the objective of </w:t>
      </w:r>
      <w:r w:rsidRPr="00BA3534">
        <w:t>distilling good practices and establishing the full range of remedies that could guide the treaty bodies in their decisions</w:t>
      </w:r>
      <w:r w:rsidRPr="00F42318">
        <w:t>, including measures of restitution, monetary compensation, rehabilitation measures, satisfaction measures and guarantees of non-repetition.</w:t>
      </w:r>
      <w:r w:rsidRPr="00000873">
        <w:rPr>
          <w:rStyle w:val="FootnoteReference"/>
        </w:rPr>
        <w:footnoteReference w:id="4"/>
      </w:r>
      <w:r w:rsidRPr="00F42318">
        <w:t xml:space="preserve"> At their 29</w:t>
      </w:r>
      <w:r w:rsidRPr="00F42318">
        <w:rPr>
          <w:vertAlign w:val="superscript"/>
        </w:rPr>
        <w:t>th</w:t>
      </w:r>
      <w:r w:rsidRPr="00F42318">
        <w:t xml:space="preserve"> meeting in 2017, the Chairs decided to </w:t>
      </w:r>
      <w:r w:rsidRPr="00BA3534">
        <w:t>identify common elements</w:t>
      </w:r>
      <w:r w:rsidRPr="00F42318">
        <w:t xml:space="preserve"> with respect to the practices in the area of remedies in the different treaty bodies, including on terminology used and measures recommended</w:t>
      </w:r>
      <w:r w:rsidRPr="00F42318">
        <w:rPr>
          <w:lang w:val="en-US"/>
        </w:rPr>
        <w:t>.</w:t>
      </w:r>
      <w:r w:rsidRPr="00000873">
        <w:rPr>
          <w:rStyle w:val="FootnoteReference"/>
        </w:rPr>
        <w:footnoteReference w:id="5"/>
      </w:r>
    </w:p>
    <w:p w14:paraId="2CB2737D" w14:textId="77777777" w:rsidR="00E51EEA" w:rsidRPr="00DE11B6" w:rsidRDefault="00E51EEA" w:rsidP="00BE6A58">
      <w:pPr>
        <w:pStyle w:val="SingleTxtG"/>
        <w:numPr>
          <w:ilvl w:val="0"/>
          <w:numId w:val="4"/>
        </w:numPr>
        <w:ind w:left="1134" w:firstLine="0"/>
        <w:rPr>
          <w:lang w:val="en-US"/>
        </w:rPr>
      </w:pPr>
      <w:r w:rsidRPr="00F42318">
        <w:lastRenderedPageBreak/>
        <w:t xml:space="preserve">This background paper maps the practices of treaty bodies regarding </w:t>
      </w:r>
      <w:r>
        <w:t>measures of reparation</w:t>
      </w:r>
      <w:r w:rsidRPr="00F42318">
        <w:t xml:space="preserve">, </w:t>
      </w:r>
      <w:r w:rsidRPr="00F42318">
        <w:rPr>
          <w:lang w:val="en-US"/>
        </w:rPr>
        <w:t xml:space="preserve">based on </w:t>
      </w:r>
      <w:r>
        <w:rPr>
          <w:lang w:val="en-US"/>
        </w:rPr>
        <w:t xml:space="preserve">a non-exhaustive list of </w:t>
      </w:r>
      <w:r w:rsidRPr="00F42318">
        <w:rPr>
          <w:lang w:val="en-US"/>
        </w:rPr>
        <w:t>13</w:t>
      </w:r>
      <w:r>
        <w:rPr>
          <w:lang w:val="en-US"/>
        </w:rPr>
        <w:t>8</w:t>
      </w:r>
      <w:r w:rsidRPr="00F42318">
        <w:rPr>
          <w:lang w:val="en-US"/>
        </w:rPr>
        <w:t xml:space="preserve"> views</w:t>
      </w:r>
      <w:r w:rsidRPr="00000873">
        <w:rPr>
          <w:rStyle w:val="FootnoteReference"/>
        </w:rPr>
        <w:footnoteReference w:id="6"/>
      </w:r>
      <w:r w:rsidRPr="00F42318">
        <w:rPr>
          <w:lang w:val="en-US"/>
        </w:rPr>
        <w:t xml:space="preserve"> adopted by </w:t>
      </w:r>
      <w:r>
        <w:rPr>
          <w:lang w:val="en-US"/>
        </w:rPr>
        <w:t>seven</w:t>
      </w:r>
      <w:r w:rsidRPr="00F42318">
        <w:rPr>
          <w:lang w:val="en-US"/>
        </w:rPr>
        <w:t xml:space="preserve"> treaty bodies in 2018 and 2019</w:t>
      </w:r>
      <w:r w:rsidRPr="00000873">
        <w:rPr>
          <w:rStyle w:val="FootnoteReference"/>
        </w:rPr>
        <w:footnoteReference w:id="7"/>
      </w:r>
      <w:r w:rsidRPr="00F42318">
        <w:rPr>
          <w:lang w:val="en-US"/>
        </w:rPr>
        <w:t xml:space="preserve"> and the corresponding follow-up </w:t>
      </w:r>
      <w:r>
        <w:rPr>
          <w:lang w:val="en-US"/>
        </w:rPr>
        <w:t>information</w:t>
      </w:r>
      <w:r w:rsidRPr="00F42318">
        <w:rPr>
          <w:lang w:val="en-US"/>
        </w:rPr>
        <w:t>, whe</w:t>
      </w:r>
      <w:r>
        <w:rPr>
          <w:lang w:val="en-US"/>
        </w:rPr>
        <w:t>re</w:t>
      </w:r>
      <w:r w:rsidRPr="00F42318">
        <w:rPr>
          <w:lang w:val="en-US"/>
        </w:rPr>
        <w:t xml:space="preserve"> available. </w:t>
      </w:r>
      <w:r>
        <w:rPr>
          <w:lang w:val="en-US"/>
        </w:rPr>
        <w:t xml:space="preserve">The sample provides some perspective on a limited number of repetitive cases within the same committee and very few cross-cutting issues. </w:t>
      </w:r>
      <w:r w:rsidRPr="00F42318">
        <w:rPr>
          <w:lang w:val="en-US"/>
        </w:rPr>
        <w:t>The sample of views is distributed as follows:</w:t>
      </w:r>
    </w:p>
    <w:p w14:paraId="55053DD4" w14:textId="77777777" w:rsidR="00E51EEA" w:rsidRPr="0043364D" w:rsidRDefault="00E51EEA" w:rsidP="00E51EEA">
      <w:pPr>
        <w:pStyle w:val="H23G"/>
      </w:pPr>
      <w:r>
        <w:tab/>
      </w:r>
      <w:r>
        <w:tab/>
      </w:r>
      <w:r w:rsidRPr="0043364D">
        <w:t>Views researched</w:t>
      </w:r>
    </w:p>
    <w:tbl>
      <w:tblPr>
        <w:tblStyle w:val="TableGrid"/>
        <w:tblW w:w="0" w:type="auto"/>
        <w:tblInd w:w="1129" w:type="dxa"/>
        <w:tblLook w:val="04A0" w:firstRow="1" w:lastRow="0" w:firstColumn="1" w:lastColumn="0" w:noHBand="0" w:noVBand="1"/>
      </w:tblPr>
      <w:tblGrid>
        <w:gridCol w:w="1276"/>
        <w:gridCol w:w="2835"/>
        <w:gridCol w:w="3119"/>
      </w:tblGrid>
      <w:tr w:rsidR="00E51EEA" w:rsidRPr="00E51EEA" w14:paraId="56BCCF22" w14:textId="77777777" w:rsidTr="00BE6A58">
        <w:tc>
          <w:tcPr>
            <w:tcW w:w="1276" w:type="dxa"/>
            <w:vMerge w:val="restart"/>
            <w:vAlign w:val="center"/>
          </w:tcPr>
          <w:p w14:paraId="4521C96E" w14:textId="77777777" w:rsidR="00E51EEA" w:rsidRPr="00E51EEA" w:rsidRDefault="00E51EEA" w:rsidP="00BE6A58">
            <w:pPr>
              <w:jc w:val="center"/>
              <w:rPr>
                <w:b/>
                <w:bCs/>
              </w:rPr>
            </w:pPr>
            <w:r w:rsidRPr="00E51EEA">
              <w:rPr>
                <w:b/>
                <w:bCs/>
              </w:rPr>
              <w:t>2019</w:t>
            </w:r>
          </w:p>
        </w:tc>
        <w:tc>
          <w:tcPr>
            <w:tcW w:w="2835" w:type="dxa"/>
          </w:tcPr>
          <w:p w14:paraId="3C394B84" w14:textId="77777777" w:rsidR="00E51EEA" w:rsidRPr="00E51EEA" w:rsidRDefault="00E51EEA" w:rsidP="00BE6A58">
            <w:pPr>
              <w:jc w:val="center"/>
            </w:pPr>
            <w:r w:rsidRPr="00E51EEA">
              <w:rPr>
                <w:b/>
                <w:bCs/>
              </w:rPr>
              <w:t>66 Views</w:t>
            </w:r>
            <w:r w:rsidRPr="00E51EEA">
              <w:t xml:space="preserve"> (violation)</w:t>
            </w:r>
          </w:p>
        </w:tc>
        <w:tc>
          <w:tcPr>
            <w:tcW w:w="3119" w:type="dxa"/>
          </w:tcPr>
          <w:p w14:paraId="7D12D686" w14:textId="77777777" w:rsidR="00E51EEA" w:rsidRPr="00E51EEA" w:rsidRDefault="00E51EEA" w:rsidP="00BE6A58">
            <w:pPr>
              <w:jc w:val="center"/>
              <w:rPr>
                <w:b/>
                <w:bCs/>
              </w:rPr>
            </w:pPr>
            <w:r w:rsidRPr="00E51EEA">
              <w:rPr>
                <w:b/>
                <w:bCs/>
              </w:rPr>
              <w:t xml:space="preserve">13 cases with FU information </w:t>
            </w:r>
            <w:r w:rsidRPr="00E51EEA">
              <w:t>available</w:t>
            </w:r>
          </w:p>
        </w:tc>
      </w:tr>
      <w:tr w:rsidR="00E51EEA" w:rsidRPr="00E51EEA" w14:paraId="1E77A6F6" w14:textId="77777777" w:rsidTr="00BE6A58">
        <w:tc>
          <w:tcPr>
            <w:tcW w:w="1276" w:type="dxa"/>
            <w:vMerge/>
          </w:tcPr>
          <w:p w14:paraId="24634051" w14:textId="77777777" w:rsidR="00E51EEA" w:rsidRPr="00E51EEA" w:rsidRDefault="00E51EEA" w:rsidP="00BE6A58">
            <w:pPr>
              <w:jc w:val="both"/>
            </w:pPr>
          </w:p>
        </w:tc>
        <w:tc>
          <w:tcPr>
            <w:tcW w:w="2835" w:type="dxa"/>
          </w:tcPr>
          <w:p w14:paraId="0EA72BA9" w14:textId="77777777" w:rsidR="00E51EEA" w:rsidRPr="00E51EEA" w:rsidRDefault="00E51EEA" w:rsidP="00BE6A58">
            <w:pPr>
              <w:jc w:val="both"/>
            </w:pPr>
            <w:r w:rsidRPr="00E51EEA">
              <w:t>43 CCPR</w:t>
            </w:r>
          </w:p>
        </w:tc>
        <w:tc>
          <w:tcPr>
            <w:tcW w:w="3119" w:type="dxa"/>
          </w:tcPr>
          <w:p w14:paraId="3E42A9C4" w14:textId="77777777" w:rsidR="00E51EEA" w:rsidRPr="00E51EEA" w:rsidRDefault="00E51EEA" w:rsidP="00BE6A58">
            <w:r w:rsidRPr="00E51EEA">
              <w:t>2 cases/43</w:t>
            </w:r>
          </w:p>
        </w:tc>
      </w:tr>
      <w:tr w:rsidR="00E51EEA" w:rsidRPr="00E51EEA" w14:paraId="0436DFAB" w14:textId="77777777" w:rsidTr="00BE6A58">
        <w:tc>
          <w:tcPr>
            <w:tcW w:w="1276" w:type="dxa"/>
            <w:vMerge/>
          </w:tcPr>
          <w:p w14:paraId="6F4CEE47" w14:textId="77777777" w:rsidR="00E51EEA" w:rsidRPr="00E51EEA" w:rsidRDefault="00E51EEA" w:rsidP="00BE6A58">
            <w:pPr>
              <w:jc w:val="both"/>
            </w:pPr>
          </w:p>
        </w:tc>
        <w:tc>
          <w:tcPr>
            <w:tcW w:w="2835" w:type="dxa"/>
          </w:tcPr>
          <w:p w14:paraId="755DFB7F" w14:textId="77777777" w:rsidR="00E51EEA" w:rsidRPr="00E51EEA" w:rsidRDefault="00E51EEA" w:rsidP="00BE6A58">
            <w:pPr>
              <w:jc w:val="both"/>
            </w:pPr>
            <w:r w:rsidRPr="00E51EEA">
              <w:t>12 CAT</w:t>
            </w:r>
          </w:p>
        </w:tc>
        <w:tc>
          <w:tcPr>
            <w:tcW w:w="3119" w:type="dxa"/>
          </w:tcPr>
          <w:p w14:paraId="318631F2" w14:textId="77777777" w:rsidR="00E51EEA" w:rsidRPr="00E51EEA" w:rsidRDefault="00E51EEA" w:rsidP="00BE6A58">
            <w:r w:rsidRPr="00E51EEA">
              <w:t>4 cases/12</w:t>
            </w:r>
          </w:p>
        </w:tc>
      </w:tr>
      <w:tr w:rsidR="00E51EEA" w:rsidRPr="00E51EEA" w14:paraId="25411AA8" w14:textId="77777777" w:rsidTr="00BE6A58">
        <w:tc>
          <w:tcPr>
            <w:tcW w:w="1276" w:type="dxa"/>
            <w:vMerge/>
          </w:tcPr>
          <w:p w14:paraId="482F52ED" w14:textId="77777777" w:rsidR="00E51EEA" w:rsidRPr="00E51EEA" w:rsidRDefault="00E51EEA" w:rsidP="00BE6A58">
            <w:pPr>
              <w:jc w:val="both"/>
            </w:pPr>
          </w:p>
        </w:tc>
        <w:tc>
          <w:tcPr>
            <w:tcW w:w="2835" w:type="dxa"/>
          </w:tcPr>
          <w:p w14:paraId="5A8D2397" w14:textId="77777777" w:rsidR="00E51EEA" w:rsidRPr="00E51EEA" w:rsidRDefault="00E51EEA" w:rsidP="00BE6A58">
            <w:pPr>
              <w:jc w:val="both"/>
            </w:pPr>
            <w:r w:rsidRPr="00E51EEA">
              <w:t>5 CRC</w:t>
            </w:r>
          </w:p>
        </w:tc>
        <w:tc>
          <w:tcPr>
            <w:tcW w:w="3119" w:type="dxa"/>
          </w:tcPr>
          <w:p w14:paraId="739B3B5B" w14:textId="77777777" w:rsidR="00E51EEA" w:rsidRPr="00E51EEA" w:rsidRDefault="00E51EEA" w:rsidP="00BE6A58">
            <w:pPr>
              <w:jc w:val="both"/>
            </w:pPr>
            <w:r w:rsidRPr="00E51EEA">
              <w:t>5 cases/5</w:t>
            </w:r>
          </w:p>
        </w:tc>
      </w:tr>
      <w:tr w:rsidR="00E51EEA" w:rsidRPr="00E51EEA" w14:paraId="5457B5ED" w14:textId="77777777" w:rsidTr="00BE6A58">
        <w:tc>
          <w:tcPr>
            <w:tcW w:w="1276" w:type="dxa"/>
            <w:vMerge/>
          </w:tcPr>
          <w:p w14:paraId="4DA8579A" w14:textId="77777777" w:rsidR="00E51EEA" w:rsidRPr="00E51EEA" w:rsidRDefault="00E51EEA" w:rsidP="00BE6A58">
            <w:pPr>
              <w:jc w:val="both"/>
            </w:pPr>
          </w:p>
        </w:tc>
        <w:tc>
          <w:tcPr>
            <w:tcW w:w="2835" w:type="dxa"/>
          </w:tcPr>
          <w:p w14:paraId="4E358E1B" w14:textId="77777777" w:rsidR="00E51EEA" w:rsidRPr="00E51EEA" w:rsidRDefault="00E51EEA" w:rsidP="00BE6A58">
            <w:pPr>
              <w:jc w:val="both"/>
            </w:pPr>
            <w:r w:rsidRPr="00E51EEA">
              <w:t>4 CEDAW</w:t>
            </w:r>
          </w:p>
        </w:tc>
        <w:tc>
          <w:tcPr>
            <w:tcW w:w="3119" w:type="dxa"/>
          </w:tcPr>
          <w:p w14:paraId="77996F82" w14:textId="77777777" w:rsidR="00E51EEA" w:rsidRPr="00E51EEA" w:rsidRDefault="00E51EEA" w:rsidP="00BE6A58">
            <w:pPr>
              <w:jc w:val="both"/>
            </w:pPr>
            <w:r w:rsidRPr="00E51EEA">
              <w:t>2/4 cases (not publicly available yet)</w:t>
            </w:r>
          </w:p>
        </w:tc>
      </w:tr>
      <w:tr w:rsidR="00E51EEA" w:rsidRPr="00E51EEA" w14:paraId="2D5EFED8" w14:textId="77777777" w:rsidTr="00BE6A58">
        <w:tc>
          <w:tcPr>
            <w:tcW w:w="1276" w:type="dxa"/>
            <w:vMerge/>
          </w:tcPr>
          <w:p w14:paraId="43EB2DEC" w14:textId="77777777" w:rsidR="00E51EEA" w:rsidRPr="00E51EEA" w:rsidRDefault="00E51EEA" w:rsidP="00BE6A58">
            <w:pPr>
              <w:jc w:val="both"/>
            </w:pPr>
          </w:p>
        </w:tc>
        <w:tc>
          <w:tcPr>
            <w:tcW w:w="2835" w:type="dxa"/>
          </w:tcPr>
          <w:p w14:paraId="304D94FF" w14:textId="77777777" w:rsidR="00E51EEA" w:rsidRPr="00E51EEA" w:rsidRDefault="00E51EEA" w:rsidP="00BE6A58">
            <w:pPr>
              <w:jc w:val="both"/>
            </w:pPr>
            <w:r w:rsidRPr="00E51EEA">
              <w:t>2 CESCR</w:t>
            </w:r>
          </w:p>
        </w:tc>
        <w:tc>
          <w:tcPr>
            <w:tcW w:w="3119" w:type="dxa"/>
          </w:tcPr>
          <w:p w14:paraId="2B59C172" w14:textId="77777777" w:rsidR="00E51EEA" w:rsidRPr="00E51EEA" w:rsidRDefault="00E51EEA" w:rsidP="00BE6A58">
            <w:pPr>
              <w:jc w:val="both"/>
            </w:pPr>
            <w:r w:rsidRPr="00E51EEA">
              <w:t>2 cases/2</w:t>
            </w:r>
          </w:p>
        </w:tc>
      </w:tr>
      <w:tr w:rsidR="00E51EEA" w:rsidRPr="00E51EEA" w14:paraId="0704DFCB" w14:textId="77777777" w:rsidTr="00BE6A58">
        <w:tc>
          <w:tcPr>
            <w:tcW w:w="1276" w:type="dxa"/>
            <w:vMerge w:val="restart"/>
            <w:vAlign w:val="center"/>
          </w:tcPr>
          <w:p w14:paraId="30636270" w14:textId="77777777" w:rsidR="00E51EEA" w:rsidRPr="00E51EEA" w:rsidRDefault="00E51EEA" w:rsidP="00BE6A58">
            <w:pPr>
              <w:jc w:val="center"/>
              <w:rPr>
                <w:b/>
                <w:bCs/>
              </w:rPr>
            </w:pPr>
            <w:r w:rsidRPr="00E51EEA">
              <w:rPr>
                <w:b/>
                <w:bCs/>
              </w:rPr>
              <w:t>2018</w:t>
            </w:r>
          </w:p>
        </w:tc>
        <w:tc>
          <w:tcPr>
            <w:tcW w:w="2835" w:type="dxa"/>
          </w:tcPr>
          <w:p w14:paraId="6FC41E7A" w14:textId="77777777" w:rsidR="00E51EEA" w:rsidRPr="00E51EEA" w:rsidRDefault="00E51EEA" w:rsidP="00BE6A58">
            <w:pPr>
              <w:jc w:val="center"/>
            </w:pPr>
            <w:r w:rsidRPr="00E51EEA">
              <w:rPr>
                <w:b/>
                <w:bCs/>
              </w:rPr>
              <w:t>72 Views</w:t>
            </w:r>
            <w:r w:rsidRPr="00E51EEA">
              <w:t xml:space="preserve"> (violation)</w:t>
            </w:r>
          </w:p>
        </w:tc>
        <w:tc>
          <w:tcPr>
            <w:tcW w:w="3119" w:type="dxa"/>
          </w:tcPr>
          <w:p w14:paraId="51D22C93" w14:textId="77777777" w:rsidR="00E51EEA" w:rsidRPr="00E51EEA" w:rsidRDefault="00E51EEA" w:rsidP="00BE6A58">
            <w:pPr>
              <w:jc w:val="center"/>
            </w:pPr>
            <w:r w:rsidRPr="00E51EEA">
              <w:rPr>
                <w:b/>
                <w:bCs/>
              </w:rPr>
              <w:t>22 cases FUP information</w:t>
            </w:r>
            <w:r w:rsidRPr="00E51EEA">
              <w:t xml:space="preserve"> available</w:t>
            </w:r>
          </w:p>
        </w:tc>
      </w:tr>
      <w:tr w:rsidR="00E51EEA" w:rsidRPr="00E51EEA" w14:paraId="486D7ADC" w14:textId="77777777" w:rsidTr="00BE6A58">
        <w:tc>
          <w:tcPr>
            <w:tcW w:w="1276" w:type="dxa"/>
            <w:vMerge/>
          </w:tcPr>
          <w:p w14:paraId="610A20CC" w14:textId="77777777" w:rsidR="00E51EEA" w:rsidRPr="00E51EEA" w:rsidRDefault="00E51EEA" w:rsidP="00BE6A58">
            <w:pPr>
              <w:jc w:val="both"/>
            </w:pPr>
          </w:p>
        </w:tc>
        <w:tc>
          <w:tcPr>
            <w:tcW w:w="2835" w:type="dxa"/>
          </w:tcPr>
          <w:p w14:paraId="5C9918D6" w14:textId="77777777" w:rsidR="00E51EEA" w:rsidRPr="00E51EEA" w:rsidRDefault="00E51EEA" w:rsidP="00BE6A58">
            <w:r w:rsidRPr="00E51EEA">
              <w:t>52 CCPR</w:t>
            </w:r>
          </w:p>
        </w:tc>
        <w:tc>
          <w:tcPr>
            <w:tcW w:w="3119" w:type="dxa"/>
          </w:tcPr>
          <w:p w14:paraId="785AA4B4" w14:textId="77777777" w:rsidR="00E51EEA" w:rsidRPr="00E51EEA" w:rsidRDefault="00E51EEA" w:rsidP="00BE6A58">
            <w:pPr>
              <w:jc w:val="both"/>
            </w:pPr>
            <w:r w:rsidRPr="00E51EEA">
              <w:t>8 cases /52</w:t>
            </w:r>
          </w:p>
        </w:tc>
      </w:tr>
      <w:tr w:rsidR="00E51EEA" w:rsidRPr="00E51EEA" w14:paraId="1EF70DC0" w14:textId="77777777" w:rsidTr="00BE6A58">
        <w:tc>
          <w:tcPr>
            <w:tcW w:w="1276" w:type="dxa"/>
            <w:vMerge/>
          </w:tcPr>
          <w:p w14:paraId="2B0F324C" w14:textId="77777777" w:rsidR="00E51EEA" w:rsidRPr="00E51EEA" w:rsidRDefault="00E51EEA" w:rsidP="00BE6A58">
            <w:pPr>
              <w:jc w:val="both"/>
            </w:pPr>
          </w:p>
        </w:tc>
        <w:tc>
          <w:tcPr>
            <w:tcW w:w="2835" w:type="dxa"/>
          </w:tcPr>
          <w:p w14:paraId="0109686D" w14:textId="77777777" w:rsidR="00E51EEA" w:rsidRPr="00E51EEA" w:rsidRDefault="00E51EEA" w:rsidP="00BE6A58">
            <w:pPr>
              <w:jc w:val="both"/>
            </w:pPr>
            <w:r w:rsidRPr="00E51EEA">
              <w:t>7 CAT</w:t>
            </w:r>
          </w:p>
        </w:tc>
        <w:tc>
          <w:tcPr>
            <w:tcW w:w="3119" w:type="dxa"/>
          </w:tcPr>
          <w:p w14:paraId="60F7D6C4" w14:textId="77777777" w:rsidR="00E51EEA" w:rsidRPr="00E51EEA" w:rsidRDefault="00E51EEA" w:rsidP="00BE6A58">
            <w:pPr>
              <w:jc w:val="both"/>
            </w:pPr>
            <w:r w:rsidRPr="00E51EEA">
              <w:t>7 cases/7</w:t>
            </w:r>
          </w:p>
        </w:tc>
      </w:tr>
      <w:tr w:rsidR="00E51EEA" w:rsidRPr="00E51EEA" w14:paraId="05344383" w14:textId="77777777" w:rsidTr="00BE6A58">
        <w:tc>
          <w:tcPr>
            <w:tcW w:w="1276" w:type="dxa"/>
            <w:vMerge/>
          </w:tcPr>
          <w:p w14:paraId="06D736F3" w14:textId="77777777" w:rsidR="00E51EEA" w:rsidRPr="00E51EEA" w:rsidRDefault="00E51EEA" w:rsidP="00BE6A58">
            <w:pPr>
              <w:jc w:val="both"/>
            </w:pPr>
          </w:p>
        </w:tc>
        <w:tc>
          <w:tcPr>
            <w:tcW w:w="2835" w:type="dxa"/>
          </w:tcPr>
          <w:p w14:paraId="0963C499" w14:textId="77777777" w:rsidR="00E51EEA" w:rsidRPr="00E51EEA" w:rsidRDefault="00E51EEA" w:rsidP="00BE6A58">
            <w:pPr>
              <w:jc w:val="both"/>
            </w:pPr>
            <w:r w:rsidRPr="00E51EEA">
              <w:t>6 CRPD</w:t>
            </w:r>
          </w:p>
        </w:tc>
        <w:tc>
          <w:tcPr>
            <w:tcW w:w="3119" w:type="dxa"/>
          </w:tcPr>
          <w:p w14:paraId="5379DD86" w14:textId="77777777" w:rsidR="00E51EEA" w:rsidRPr="00E51EEA" w:rsidRDefault="00E51EEA" w:rsidP="00BE6A58">
            <w:pPr>
              <w:jc w:val="both"/>
            </w:pPr>
            <w:r w:rsidRPr="00E51EEA">
              <w:t>2 cases/6</w:t>
            </w:r>
          </w:p>
        </w:tc>
      </w:tr>
      <w:tr w:rsidR="00E51EEA" w:rsidRPr="00E51EEA" w14:paraId="31F2C052" w14:textId="77777777" w:rsidTr="00BE6A58">
        <w:tc>
          <w:tcPr>
            <w:tcW w:w="1276" w:type="dxa"/>
            <w:vMerge/>
          </w:tcPr>
          <w:p w14:paraId="410EA64C" w14:textId="77777777" w:rsidR="00E51EEA" w:rsidRPr="00E51EEA" w:rsidRDefault="00E51EEA" w:rsidP="00BE6A58">
            <w:pPr>
              <w:jc w:val="both"/>
            </w:pPr>
          </w:p>
        </w:tc>
        <w:tc>
          <w:tcPr>
            <w:tcW w:w="2835" w:type="dxa"/>
          </w:tcPr>
          <w:p w14:paraId="6A0E83CE" w14:textId="77777777" w:rsidR="00E51EEA" w:rsidRPr="00E51EEA" w:rsidRDefault="00E51EEA" w:rsidP="00BE6A58">
            <w:pPr>
              <w:jc w:val="both"/>
            </w:pPr>
            <w:r w:rsidRPr="00E51EEA">
              <w:t>3 CRC</w:t>
            </w:r>
          </w:p>
        </w:tc>
        <w:tc>
          <w:tcPr>
            <w:tcW w:w="3119" w:type="dxa"/>
          </w:tcPr>
          <w:p w14:paraId="49E359A4" w14:textId="77777777" w:rsidR="00E51EEA" w:rsidRPr="00E51EEA" w:rsidRDefault="00E51EEA" w:rsidP="00BE6A58">
            <w:pPr>
              <w:jc w:val="both"/>
            </w:pPr>
            <w:r w:rsidRPr="00E51EEA">
              <w:t>3 cases/3</w:t>
            </w:r>
          </w:p>
        </w:tc>
      </w:tr>
      <w:tr w:rsidR="00E51EEA" w:rsidRPr="00E51EEA" w14:paraId="650686B8" w14:textId="77777777" w:rsidTr="00BE6A58">
        <w:tc>
          <w:tcPr>
            <w:tcW w:w="1276" w:type="dxa"/>
            <w:vMerge/>
          </w:tcPr>
          <w:p w14:paraId="48C8D82A" w14:textId="77777777" w:rsidR="00E51EEA" w:rsidRPr="00E51EEA" w:rsidRDefault="00E51EEA" w:rsidP="00BE6A58">
            <w:pPr>
              <w:jc w:val="both"/>
            </w:pPr>
          </w:p>
        </w:tc>
        <w:tc>
          <w:tcPr>
            <w:tcW w:w="2835" w:type="dxa"/>
          </w:tcPr>
          <w:p w14:paraId="5C199CF2" w14:textId="77777777" w:rsidR="00E51EEA" w:rsidRPr="00E51EEA" w:rsidRDefault="00E51EEA" w:rsidP="00BE6A58">
            <w:pPr>
              <w:jc w:val="both"/>
            </w:pPr>
            <w:r w:rsidRPr="00E51EEA">
              <w:t>2 CEDAW</w:t>
            </w:r>
          </w:p>
        </w:tc>
        <w:tc>
          <w:tcPr>
            <w:tcW w:w="3119" w:type="dxa"/>
          </w:tcPr>
          <w:p w14:paraId="5DA6DA03" w14:textId="77777777" w:rsidR="00E51EEA" w:rsidRPr="00E51EEA" w:rsidRDefault="00E51EEA" w:rsidP="00BE6A58">
            <w:pPr>
              <w:jc w:val="both"/>
            </w:pPr>
          </w:p>
        </w:tc>
      </w:tr>
      <w:tr w:rsidR="00E51EEA" w:rsidRPr="00E51EEA" w14:paraId="0DCB2F62" w14:textId="77777777" w:rsidTr="00BE6A58">
        <w:tc>
          <w:tcPr>
            <w:tcW w:w="1276" w:type="dxa"/>
            <w:vMerge/>
          </w:tcPr>
          <w:p w14:paraId="466B34AF" w14:textId="77777777" w:rsidR="00E51EEA" w:rsidRPr="00E51EEA" w:rsidRDefault="00E51EEA" w:rsidP="00BE6A58">
            <w:pPr>
              <w:jc w:val="both"/>
            </w:pPr>
          </w:p>
        </w:tc>
        <w:tc>
          <w:tcPr>
            <w:tcW w:w="2835" w:type="dxa"/>
          </w:tcPr>
          <w:p w14:paraId="19D0F05F" w14:textId="77777777" w:rsidR="00E51EEA" w:rsidRPr="00E51EEA" w:rsidRDefault="00E51EEA" w:rsidP="00BE6A58">
            <w:pPr>
              <w:jc w:val="both"/>
            </w:pPr>
            <w:r w:rsidRPr="00E51EEA">
              <w:t>1 CESCR</w:t>
            </w:r>
          </w:p>
        </w:tc>
        <w:tc>
          <w:tcPr>
            <w:tcW w:w="3119" w:type="dxa"/>
          </w:tcPr>
          <w:p w14:paraId="7FA23B55" w14:textId="77777777" w:rsidR="00E51EEA" w:rsidRPr="00E51EEA" w:rsidRDefault="00E51EEA" w:rsidP="00BE6A58">
            <w:pPr>
              <w:jc w:val="both"/>
            </w:pPr>
            <w:r w:rsidRPr="00E51EEA">
              <w:t>1 case/1</w:t>
            </w:r>
          </w:p>
        </w:tc>
      </w:tr>
      <w:tr w:rsidR="00E51EEA" w:rsidRPr="00E51EEA" w14:paraId="4E011348" w14:textId="77777777" w:rsidTr="00BE6A58">
        <w:tc>
          <w:tcPr>
            <w:tcW w:w="1276" w:type="dxa"/>
            <w:vMerge/>
          </w:tcPr>
          <w:p w14:paraId="46E56DAF" w14:textId="77777777" w:rsidR="00E51EEA" w:rsidRPr="00E51EEA" w:rsidRDefault="00E51EEA" w:rsidP="00BE6A58">
            <w:pPr>
              <w:jc w:val="both"/>
            </w:pPr>
          </w:p>
        </w:tc>
        <w:tc>
          <w:tcPr>
            <w:tcW w:w="2835" w:type="dxa"/>
          </w:tcPr>
          <w:p w14:paraId="6AADBD6B" w14:textId="77777777" w:rsidR="00E51EEA" w:rsidRPr="00E51EEA" w:rsidRDefault="00E51EEA" w:rsidP="00BE6A58">
            <w:pPr>
              <w:jc w:val="both"/>
            </w:pPr>
            <w:r w:rsidRPr="00E51EEA">
              <w:t>1 CERD</w:t>
            </w:r>
          </w:p>
        </w:tc>
        <w:tc>
          <w:tcPr>
            <w:tcW w:w="3119" w:type="dxa"/>
          </w:tcPr>
          <w:p w14:paraId="2648B2D3" w14:textId="77777777" w:rsidR="00E51EEA" w:rsidRPr="00E51EEA" w:rsidRDefault="00E51EEA" w:rsidP="00BE6A58">
            <w:pPr>
              <w:jc w:val="both"/>
            </w:pPr>
            <w:r w:rsidRPr="00E51EEA">
              <w:t>1 case/1</w:t>
            </w:r>
          </w:p>
        </w:tc>
      </w:tr>
      <w:tr w:rsidR="00E51EEA" w:rsidRPr="00E51EEA" w14:paraId="615761A8" w14:textId="77777777" w:rsidTr="00BE6A58">
        <w:tc>
          <w:tcPr>
            <w:tcW w:w="1276" w:type="dxa"/>
            <w:vMerge w:val="restart"/>
            <w:vAlign w:val="center"/>
          </w:tcPr>
          <w:p w14:paraId="1A4D87B3" w14:textId="77777777" w:rsidR="00E51EEA" w:rsidRPr="00E51EEA" w:rsidRDefault="00E51EEA" w:rsidP="00BE6A58">
            <w:pPr>
              <w:jc w:val="center"/>
              <w:rPr>
                <w:b/>
                <w:bCs/>
              </w:rPr>
            </w:pPr>
            <w:r w:rsidRPr="00E51EEA">
              <w:rPr>
                <w:b/>
                <w:bCs/>
              </w:rPr>
              <w:t>TOTAL</w:t>
            </w:r>
          </w:p>
        </w:tc>
        <w:tc>
          <w:tcPr>
            <w:tcW w:w="2835" w:type="dxa"/>
          </w:tcPr>
          <w:p w14:paraId="2B5BB000" w14:textId="77777777" w:rsidR="00E51EEA" w:rsidRPr="00E51EEA" w:rsidRDefault="00E51EEA" w:rsidP="00BE6A58">
            <w:pPr>
              <w:jc w:val="center"/>
            </w:pPr>
            <w:r w:rsidRPr="00E51EEA">
              <w:rPr>
                <w:b/>
                <w:bCs/>
              </w:rPr>
              <w:t xml:space="preserve">138 Views </w:t>
            </w:r>
            <w:r w:rsidRPr="00E51EEA">
              <w:t>(violation)</w:t>
            </w:r>
          </w:p>
        </w:tc>
        <w:tc>
          <w:tcPr>
            <w:tcW w:w="3119" w:type="dxa"/>
          </w:tcPr>
          <w:p w14:paraId="777BBEE5" w14:textId="77777777" w:rsidR="00E51EEA" w:rsidRPr="00E51EEA" w:rsidRDefault="00E51EEA" w:rsidP="00BE6A58">
            <w:pPr>
              <w:jc w:val="center"/>
            </w:pPr>
            <w:r w:rsidRPr="00E51EEA">
              <w:rPr>
                <w:b/>
                <w:bCs/>
              </w:rPr>
              <w:t>35 cases with FU information</w:t>
            </w:r>
            <w:r w:rsidRPr="00E51EEA">
              <w:t xml:space="preserve"> available</w:t>
            </w:r>
          </w:p>
        </w:tc>
      </w:tr>
      <w:tr w:rsidR="00E51EEA" w:rsidRPr="00E51EEA" w14:paraId="60054C86" w14:textId="77777777" w:rsidTr="00BE6A58">
        <w:tc>
          <w:tcPr>
            <w:tcW w:w="1276" w:type="dxa"/>
            <w:vMerge/>
          </w:tcPr>
          <w:p w14:paraId="704A5DA5" w14:textId="77777777" w:rsidR="00E51EEA" w:rsidRPr="00E51EEA" w:rsidRDefault="00E51EEA" w:rsidP="00BE6A58">
            <w:pPr>
              <w:jc w:val="center"/>
              <w:rPr>
                <w:b/>
                <w:bCs/>
              </w:rPr>
            </w:pPr>
          </w:p>
        </w:tc>
        <w:tc>
          <w:tcPr>
            <w:tcW w:w="2835" w:type="dxa"/>
          </w:tcPr>
          <w:p w14:paraId="6FF76731" w14:textId="77777777" w:rsidR="00E51EEA" w:rsidRPr="00E51EEA" w:rsidRDefault="00E51EEA" w:rsidP="00BE6A58">
            <w:pPr>
              <w:jc w:val="both"/>
            </w:pPr>
            <w:r w:rsidRPr="00E51EEA">
              <w:t>95 CCPR</w:t>
            </w:r>
          </w:p>
        </w:tc>
        <w:tc>
          <w:tcPr>
            <w:tcW w:w="3119" w:type="dxa"/>
          </w:tcPr>
          <w:p w14:paraId="013EC481" w14:textId="77777777" w:rsidR="00E51EEA" w:rsidRPr="00E51EEA" w:rsidRDefault="00E51EEA" w:rsidP="00BE6A58">
            <w:pPr>
              <w:jc w:val="both"/>
            </w:pPr>
            <w:r w:rsidRPr="00E51EEA">
              <w:t>10 cases/95</w:t>
            </w:r>
          </w:p>
        </w:tc>
      </w:tr>
      <w:tr w:rsidR="00E51EEA" w:rsidRPr="00E51EEA" w14:paraId="7E0C93B2" w14:textId="77777777" w:rsidTr="00BE6A58">
        <w:tc>
          <w:tcPr>
            <w:tcW w:w="1276" w:type="dxa"/>
            <w:vMerge/>
          </w:tcPr>
          <w:p w14:paraId="46558B58" w14:textId="77777777" w:rsidR="00E51EEA" w:rsidRPr="00E51EEA" w:rsidRDefault="00E51EEA" w:rsidP="00BE6A58">
            <w:pPr>
              <w:jc w:val="center"/>
              <w:rPr>
                <w:b/>
                <w:bCs/>
              </w:rPr>
            </w:pPr>
          </w:p>
        </w:tc>
        <w:tc>
          <w:tcPr>
            <w:tcW w:w="2835" w:type="dxa"/>
          </w:tcPr>
          <w:p w14:paraId="5ACF8C07" w14:textId="77777777" w:rsidR="00E51EEA" w:rsidRPr="00E51EEA" w:rsidRDefault="00E51EEA" w:rsidP="00BE6A58">
            <w:pPr>
              <w:jc w:val="both"/>
            </w:pPr>
            <w:r w:rsidRPr="00E51EEA">
              <w:t>19 CAT</w:t>
            </w:r>
          </w:p>
        </w:tc>
        <w:tc>
          <w:tcPr>
            <w:tcW w:w="3119" w:type="dxa"/>
          </w:tcPr>
          <w:p w14:paraId="673BD94F" w14:textId="77777777" w:rsidR="00E51EEA" w:rsidRPr="00E51EEA" w:rsidRDefault="00E51EEA" w:rsidP="00BE6A58">
            <w:pPr>
              <w:jc w:val="both"/>
            </w:pPr>
            <w:r w:rsidRPr="00E51EEA">
              <w:t>11 cases/19</w:t>
            </w:r>
          </w:p>
        </w:tc>
      </w:tr>
      <w:tr w:rsidR="00E51EEA" w:rsidRPr="00E51EEA" w14:paraId="4B8D44FE" w14:textId="77777777" w:rsidTr="00BE6A58">
        <w:tc>
          <w:tcPr>
            <w:tcW w:w="1276" w:type="dxa"/>
            <w:vMerge/>
          </w:tcPr>
          <w:p w14:paraId="438B185D" w14:textId="77777777" w:rsidR="00E51EEA" w:rsidRPr="00E51EEA" w:rsidRDefault="00E51EEA" w:rsidP="00BE6A58">
            <w:pPr>
              <w:jc w:val="center"/>
              <w:rPr>
                <w:b/>
                <w:bCs/>
              </w:rPr>
            </w:pPr>
          </w:p>
        </w:tc>
        <w:tc>
          <w:tcPr>
            <w:tcW w:w="2835" w:type="dxa"/>
          </w:tcPr>
          <w:p w14:paraId="4A3275A3" w14:textId="77777777" w:rsidR="00E51EEA" w:rsidRPr="00E51EEA" w:rsidRDefault="00E51EEA" w:rsidP="00BE6A58">
            <w:pPr>
              <w:jc w:val="both"/>
            </w:pPr>
            <w:r w:rsidRPr="00E51EEA">
              <w:t>8 CRC</w:t>
            </w:r>
          </w:p>
        </w:tc>
        <w:tc>
          <w:tcPr>
            <w:tcW w:w="3119" w:type="dxa"/>
          </w:tcPr>
          <w:p w14:paraId="0CD7BD7E" w14:textId="77777777" w:rsidR="00E51EEA" w:rsidRPr="00E51EEA" w:rsidRDefault="00E51EEA" w:rsidP="00BE6A58">
            <w:pPr>
              <w:jc w:val="both"/>
            </w:pPr>
            <w:r w:rsidRPr="00E51EEA">
              <w:t>8 cases/8</w:t>
            </w:r>
          </w:p>
        </w:tc>
      </w:tr>
      <w:tr w:rsidR="00E51EEA" w:rsidRPr="00E51EEA" w14:paraId="5F3B9828" w14:textId="77777777" w:rsidTr="00BE6A58">
        <w:tc>
          <w:tcPr>
            <w:tcW w:w="1276" w:type="dxa"/>
            <w:vMerge/>
          </w:tcPr>
          <w:p w14:paraId="059CA349" w14:textId="77777777" w:rsidR="00E51EEA" w:rsidRPr="00E51EEA" w:rsidRDefault="00E51EEA" w:rsidP="00BE6A58">
            <w:pPr>
              <w:jc w:val="center"/>
              <w:rPr>
                <w:b/>
                <w:bCs/>
              </w:rPr>
            </w:pPr>
          </w:p>
        </w:tc>
        <w:tc>
          <w:tcPr>
            <w:tcW w:w="2835" w:type="dxa"/>
          </w:tcPr>
          <w:p w14:paraId="6530E748" w14:textId="77777777" w:rsidR="00E51EEA" w:rsidRPr="00E51EEA" w:rsidRDefault="00E51EEA" w:rsidP="00BE6A58">
            <w:pPr>
              <w:jc w:val="both"/>
            </w:pPr>
            <w:r w:rsidRPr="00E51EEA">
              <w:t>6 CEDAW</w:t>
            </w:r>
          </w:p>
        </w:tc>
        <w:tc>
          <w:tcPr>
            <w:tcW w:w="3119" w:type="dxa"/>
          </w:tcPr>
          <w:p w14:paraId="2025A51A" w14:textId="77777777" w:rsidR="00E51EEA" w:rsidRPr="00E51EEA" w:rsidRDefault="00E51EEA" w:rsidP="00BE6A58">
            <w:pPr>
              <w:jc w:val="both"/>
            </w:pPr>
            <w:r w:rsidRPr="00E51EEA">
              <w:t>2/6 cases (not publicly available yet)</w:t>
            </w:r>
          </w:p>
        </w:tc>
      </w:tr>
      <w:tr w:rsidR="00E51EEA" w:rsidRPr="00E51EEA" w14:paraId="134DB4A2" w14:textId="77777777" w:rsidTr="00BE6A58">
        <w:tc>
          <w:tcPr>
            <w:tcW w:w="1276" w:type="dxa"/>
            <w:vMerge/>
          </w:tcPr>
          <w:p w14:paraId="0C491BD6" w14:textId="77777777" w:rsidR="00E51EEA" w:rsidRPr="00E51EEA" w:rsidRDefault="00E51EEA" w:rsidP="00BE6A58">
            <w:pPr>
              <w:jc w:val="center"/>
              <w:rPr>
                <w:b/>
                <w:bCs/>
              </w:rPr>
            </w:pPr>
          </w:p>
        </w:tc>
        <w:tc>
          <w:tcPr>
            <w:tcW w:w="2835" w:type="dxa"/>
          </w:tcPr>
          <w:p w14:paraId="6BBDAA65" w14:textId="77777777" w:rsidR="00E51EEA" w:rsidRPr="00E51EEA" w:rsidRDefault="00E51EEA" w:rsidP="00BE6A58">
            <w:pPr>
              <w:jc w:val="both"/>
            </w:pPr>
            <w:r w:rsidRPr="00E51EEA">
              <w:t>6 CRPD</w:t>
            </w:r>
          </w:p>
        </w:tc>
        <w:tc>
          <w:tcPr>
            <w:tcW w:w="3119" w:type="dxa"/>
          </w:tcPr>
          <w:p w14:paraId="663ED3BC" w14:textId="77777777" w:rsidR="00E51EEA" w:rsidRPr="00E51EEA" w:rsidRDefault="00E51EEA" w:rsidP="00BE6A58">
            <w:pPr>
              <w:jc w:val="both"/>
            </w:pPr>
            <w:r w:rsidRPr="00E51EEA">
              <w:t>2/6 cases</w:t>
            </w:r>
          </w:p>
        </w:tc>
      </w:tr>
      <w:tr w:rsidR="00E51EEA" w:rsidRPr="00E51EEA" w14:paraId="381BDE2C" w14:textId="77777777" w:rsidTr="00BE6A58">
        <w:tc>
          <w:tcPr>
            <w:tcW w:w="1276" w:type="dxa"/>
            <w:vMerge/>
          </w:tcPr>
          <w:p w14:paraId="27175C75" w14:textId="77777777" w:rsidR="00E51EEA" w:rsidRPr="00E51EEA" w:rsidRDefault="00E51EEA" w:rsidP="00BE6A58">
            <w:pPr>
              <w:jc w:val="center"/>
              <w:rPr>
                <w:b/>
                <w:bCs/>
              </w:rPr>
            </w:pPr>
          </w:p>
        </w:tc>
        <w:tc>
          <w:tcPr>
            <w:tcW w:w="2835" w:type="dxa"/>
          </w:tcPr>
          <w:p w14:paraId="4642B16C" w14:textId="77777777" w:rsidR="00E51EEA" w:rsidRPr="00E51EEA" w:rsidRDefault="00E51EEA" w:rsidP="00BE6A58">
            <w:pPr>
              <w:jc w:val="both"/>
            </w:pPr>
            <w:r w:rsidRPr="00E51EEA">
              <w:t>3 CESCR</w:t>
            </w:r>
          </w:p>
        </w:tc>
        <w:tc>
          <w:tcPr>
            <w:tcW w:w="3119" w:type="dxa"/>
          </w:tcPr>
          <w:p w14:paraId="079D4990" w14:textId="77777777" w:rsidR="00E51EEA" w:rsidRPr="00E51EEA" w:rsidRDefault="00E51EEA" w:rsidP="00BE6A58">
            <w:pPr>
              <w:jc w:val="both"/>
            </w:pPr>
            <w:r w:rsidRPr="00E51EEA">
              <w:t>3 cases/3</w:t>
            </w:r>
          </w:p>
        </w:tc>
      </w:tr>
      <w:tr w:rsidR="00E51EEA" w:rsidRPr="00E51EEA" w14:paraId="0E6EF339" w14:textId="77777777" w:rsidTr="00BE6A58">
        <w:tc>
          <w:tcPr>
            <w:tcW w:w="1276" w:type="dxa"/>
            <w:vMerge/>
          </w:tcPr>
          <w:p w14:paraId="2027150E" w14:textId="77777777" w:rsidR="00E51EEA" w:rsidRPr="00E51EEA" w:rsidRDefault="00E51EEA" w:rsidP="00BE6A58">
            <w:pPr>
              <w:jc w:val="center"/>
              <w:rPr>
                <w:b/>
                <w:bCs/>
              </w:rPr>
            </w:pPr>
          </w:p>
        </w:tc>
        <w:tc>
          <w:tcPr>
            <w:tcW w:w="2835" w:type="dxa"/>
          </w:tcPr>
          <w:p w14:paraId="165F701D" w14:textId="77777777" w:rsidR="00E51EEA" w:rsidRPr="00E51EEA" w:rsidRDefault="00E51EEA" w:rsidP="00BE6A58">
            <w:pPr>
              <w:jc w:val="both"/>
            </w:pPr>
            <w:r w:rsidRPr="00E51EEA">
              <w:t>1 CERD</w:t>
            </w:r>
          </w:p>
        </w:tc>
        <w:tc>
          <w:tcPr>
            <w:tcW w:w="3119" w:type="dxa"/>
          </w:tcPr>
          <w:p w14:paraId="665CBA96" w14:textId="77777777" w:rsidR="00E51EEA" w:rsidRPr="00E51EEA" w:rsidRDefault="00E51EEA" w:rsidP="00BE6A58">
            <w:pPr>
              <w:jc w:val="both"/>
            </w:pPr>
            <w:r w:rsidRPr="00E51EEA">
              <w:t>1 case/1</w:t>
            </w:r>
          </w:p>
        </w:tc>
      </w:tr>
    </w:tbl>
    <w:p w14:paraId="5175864E" w14:textId="77777777" w:rsidR="00E51EEA" w:rsidRPr="007F465B" w:rsidRDefault="00E51EEA" w:rsidP="00BE6A58">
      <w:pPr>
        <w:pStyle w:val="SingleTxtG"/>
        <w:numPr>
          <w:ilvl w:val="0"/>
          <w:numId w:val="4"/>
        </w:numPr>
        <w:ind w:left="1134" w:firstLine="0"/>
      </w:pPr>
      <w:r w:rsidRPr="007F465B">
        <w:t>The purpose of the research was to address the following questions, in reference to document HRI/MC/2018/3, “Identifying progress achieved in aligning the working methods and practices of the treaty bodies”:</w:t>
      </w:r>
    </w:p>
    <w:p w14:paraId="24AE4BCF" w14:textId="77777777" w:rsidR="00E51EEA" w:rsidRPr="00F42318" w:rsidRDefault="00E51EEA" w:rsidP="00E51EEA">
      <w:pPr>
        <w:pStyle w:val="Bullet1G"/>
        <w:numPr>
          <w:ilvl w:val="0"/>
          <w:numId w:val="0"/>
        </w:numPr>
        <w:tabs>
          <w:tab w:val="left" w:pos="1701"/>
        </w:tabs>
        <w:ind w:left="1701" w:hanging="170"/>
      </w:pPr>
      <w:r w:rsidRPr="00F42318">
        <w:t>•</w:t>
      </w:r>
      <w:r w:rsidRPr="00F42318">
        <w:tab/>
        <w:t>What is the terminology used?</w:t>
      </w:r>
    </w:p>
    <w:p w14:paraId="4D9F0623" w14:textId="77777777" w:rsidR="00E51EEA" w:rsidRPr="00F42318" w:rsidRDefault="00E51EEA" w:rsidP="00E51EEA">
      <w:pPr>
        <w:pStyle w:val="Bullet1G"/>
        <w:numPr>
          <w:ilvl w:val="0"/>
          <w:numId w:val="0"/>
        </w:numPr>
        <w:tabs>
          <w:tab w:val="left" w:pos="1701"/>
        </w:tabs>
        <w:ind w:left="1701" w:hanging="170"/>
      </w:pPr>
      <w:r w:rsidRPr="00F42318">
        <w:t>•</w:t>
      </w:r>
      <w:r w:rsidRPr="00F42318">
        <w:tab/>
        <w:t>Do recommendations include specific and targeted remedies for the victim in question?</w:t>
      </w:r>
    </w:p>
    <w:p w14:paraId="68BB408F" w14:textId="77777777" w:rsidR="00E51EEA" w:rsidRPr="00F42318" w:rsidRDefault="00E51EEA" w:rsidP="00E51EEA">
      <w:pPr>
        <w:pStyle w:val="Bullet1G"/>
        <w:numPr>
          <w:ilvl w:val="0"/>
          <w:numId w:val="0"/>
        </w:numPr>
        <w:tabs>
          <w:tab w:val="left" w:pos="1701"/>
        </w:tabs>
        <w:ind w:left="1701" w:hanging="170"/>
      </w:pPr>
      <w:r w:rsidRPr="00F42318">
        <w:t>•</w:t>
      </w:r>
      <w:r w:rsidRPr="00F42318">
        <w:tab/>
        <w:t>Do recommendations include general recommendations, such as changes in law or practice, in order to ensure non-repetition of similar violations in the future?</w:t>
      </w:r>
    </w:p>
    <w:p w14:paraId="72A8919A" w14:textId="77777777" w:rsidR="00E51EEA" w:rsidRPr="00F42318" w:rsidRDefault="00E51EEA" w:rsidP="00E51EEA">
      <w:pPr>
        <w:pStyle w:val="Bullet1G"/>
        <w:numPr>
          <w:ilvl w:val="0"/>
          <w:numId w:val="0"/>
        </w:numPr>
        <w:tabs>
          <w:tab w:val="left" w:pos="1701"/>
        </w:tabs>
        <w:ind w:left="1701" w:hanging="170"/>
      </w:pPr>
      <w:r w:rsidRPr="00F42318">
        <w:t>•</w:t>
      </w:r>
      <w:r w:rsidRPr="00F42318">
        <w:tab/>
        <w:t xml:space="preserve">Are remedies framed, to the extent possible, in a way that allows their implementation to be measured? That could include compensation, rehabilitation, satisfaction, restitution and guarantees of non-repetition; stipulation of other forms of satisfaction, including legislative and institutional reforms or other measures as appropriate; and, where relevant, clarification of the obligation to investigate and prosecute. </w:t>
      </w:r>
    </w:p>
    <w:p w14:paraId="47E6B11D" w14:textId="77777777" w:rsidR="00E51EEA" w:rsidRPr="00F42318" w:rsidRDefault="00E51EEA" w:rsidP="00E51EEA">
      <w:pPr>
        <w:pStyle w:val="Bullet1G"/>
        <w:numPr>
          <w:ilvl w:val="0"/>
          <w:numId w:val="0"/>
        </w:numPr>
        <w:tabs>
          <w:tab w:val="left" w:pos="1701"/>
        </w:tabs>
        <w:ind w:left="1701" w:hanging="170"/>
      </w:pPr>
      <w:r w:rsidRPr="00F42318">
        <w:t>•</w:t>
      </w:r>
      <w:r w:rsidRPr="00F42318">
        <w:tab/>
        <w:t>Are the proposed remedies structured around short- and long-term goals, specifying concrete steps to be taken by States?</w:t>
      </w:r>
    </w:p>
    <w:p w14:paraId="78257C39" w14:textId="77777777" w:rsidR="00E51EEA" w:rsidRPr="00F42318" w:rsidRDefault="00E51EEA" w:rsidP="00E51EEA">
      <w:pPr>
        <w:pStyle w:val="Bullet1G"/>
        <w:numPr>
          <w:ilvl w:val="0"/>
          <w:numId w:val="0"/>
        </w:numPr>
        <w:tabs>
          <w:tab w:val="left" w:pos="1701"/>
        </w:tabs>
        <w:ind w:left="1701" w:hanging="170"/>
      </w:pPr>
      <w:r w:rsidRPr="00F42318">
        <w:t>•</w:t>
      </w:r>
      <w:r w:rsidRPr="00F42318">
        <w:tab/>
        <w:t>How is implementation measured?</w:t>
      </w:r>
      <w:r w:rsidRPr="00000873">
        <w:rPr>
          <w:rStyle w:val="FootnoteReference"/>
        </w:rPr>
        <w:footnoteReference w:id="8"/>
      </w:r>
    </w:p>
    <w:p w14:paraId="511B9CFA" w14:textId="77777777" w:rsidR="00E51EEA" w:rsidRPr="00F42318" w:rsidRDefault="00E51EEA" w:rsidP="00E51EEA">
      <w:pPr>
        <w:rPr>
          <w:rFonts w:asciiTheme="minorHAnsi" w:hAnsiTheme="minorHAnsi" w:cstheme="minorHAnsi"/>
          <w:lang w:val="en-US"/>
        </w:rPr>
      </w:pPr>
    </w:p>
    <w:p w14:paraId="2B620FD8" w14:textId="77777777" w:rsidR="00E51EEA" w:rsidRDefault="00E51EEA" w:rsidP="00BE6A58">
      <w:pPr>
        <w:pStyle w:val="SingleTxtG"/>
        <w:numPr>
          <w:ilvl w:val="0"/>
          <w:numId w:val="4"/>
        </w:numPr>
        <w:ind w:left="1134" w:firstLine="0"/>
        <w:rPr>
          <w:lang w:val="en-US"/>
        </w:rPr>
      </w:pPr>
      <w:r w:rsidRPr="00F42318">
        <w:rPr>
          <w:lang w:val="en-US"/>
        </w:rPr>
        <w:lastRenderedPageBreak/>
        <w:t>As expected, the vast majority of the information collected concerns views adopted by the Human Rights Committee</w:t>
      </w:r>
      <w:r>
        <w:rPr>
          <w:lang w:val="en-US"/>
        </w:rPr>
        <w:t xml:space="preserve"> (CCPR)</w:t>
      </w:r>
      <w:r w:rsidRPr="00F42318">
        <w:rPr>
          <w:lang w:val="en-US"/>
        </w:rPr>
        <w:t xml:space="preserve"> since this treaty body receives </w:t>
      </w:r>
      <w:r>
        <w:rPr>
          <w:lang w:val="en-US"/>
        </w:rPr>
        <w:t xml:space="preserve">and examines </w:t>
      </w:r>
      <w:r w:rsidRPr="00F42318">
        <w:rPr>
          <w:lang w:val="en-US"/>
        </w:rPr>
        <w:t>most individual communications.</w:t>
      </w:r>
      <w:r w:rsidRPr="00000873">
        <w:rPr>
          <w:rStyle w:val="FootnoteReference"/>
        </w:rPr>
        <w:footnoteReference w:id="9"/>
      </w:r>
      <w:r w:rsidRPr="00F42318">
        <w:rPr>
          <w:lang w:val="en-US"/>
        </w:rPr>
        <w:t xml:space="preserve"> Although views adopted by CED are missing from the sample</w:t>
      </w:r>
      <w:r>
        <w:rPr>
          <w:lang w:val="en-US"/>
        </w:rPr>
        <w:t xml:space="preserve"> and CERD adopted views in once case only over the research period</w:t>
      </w:r>
      <w:r w:rsidRPr="00F42318">
        <w:rPr>
          <w:lang w:val="en-US"/>
        </w:rPr>
        <w:t xml:space="preserve">, </w:t>
      </w:r>
      <w:r>
        <w:rPr>
          <w:lang w:val="en-US"/>
        </w:rPr>
        <w:t xml:space="preserve">views that were adopted by these committees in 2020 </w:t>
      </w:r>
      <w:r w:rsidRPr="00F42318">
        <w:rPr>
          <w:lang w:val="en-US"/>
        </w:rPr>
        <w:t xml:space="preserve">were examined to check </w:t>
      </w:r>
      <w:r>
        <w:rPr>
          <w:lang w:val="en-US"/>
        </w:rPr>
        <w:t>their</w:t>
      </w:r>
      <w:r w:rsidRPr="00F42318">
        <w:rPr>
          <w:lang w:val="en-US"/>
        </w:rPr>
        <w:t xml:space="preserve"> practices.</w:t>
      </w:r>
      <w:r w:rsidRPr="00000873">
        <w:rPr>
          <w:rStyle w:val="FootnoteReference"/>
        </w:rPr>
        <w:footnoteReference w:id="10"/>
      </w:r>
      <w:r w:rsidRPr="00F42318">
        <w:rPr>
          <w:lang w:val="en-US"/>
        </w:rPr>
        <w:t xml:space="preserve"> </w:t>
      </w:r>
      <w:r>
        <w:rPr>
          <w:lang w:val="en-US"/>
        </w:rPr>
        <w:t>Follow-up information relating to</w:t>
      </w:r>
      <w:r w:rsidRPr="00F42318">
        <w:rPr>
          <w:lang w:val="en-US"/>
        </w:rPr>
        <w:t xml:space="preserve"> </w:t>
      </w:r>
      <w:r>
        <w:rPr>
          <w:lang w:val="en-US"/>
        </w:rPr>
        <w:t>35</w:t>
      </w:r>
      <w:r w:rsidRPr="007647D0">
        <w:rPr>
          <w:lang w:val="en-US"/>
        </w:rPr>
        <w:t xml:space="preserve"> cases only</w:t>
      </w:r>
      <w:r w:rsidRPr="00F42318">
        <w:rPr>
          <w:lang w:val="en-US"/>
        </w:rPr>
        <w:t xml:space="preserve"> </w:t>
      </w:r>
      <w:r>
        <w:rPr>
          <w:lang w:val="en-US"/>
        </w:rPr>
        <w:t xml:space="preserve">is publicly </w:t>
      </w:r>
      <w:r w:rsidRPr="00F42318">
        <w:rPr>
          <w:lang w:val="en-US"/>
        </w:rPr>
        <w:t>available at least 20 months after the adoption of the respective views. As a result, th</w:t>
      </w:r>
      <w:r>
        <w:rPr>
          <w:lang w:val="en-US"/>
        </w:rPr>
        <w:t>is aspect of the</w:t>
      </w:r>
      <w:r w:rsidRPr="00F42318">
        <w:rPr>
          <w:lang w:val="en-US"/>
        </w:rPr>
        <w:t xml:space="preserve"> research</w:t>
      </w:r>
      <w:r>
        <w:rPr>
          <w:lang w:val="en-US"/>
        </w:rPr>
        <w:t xml:space="preserve"> is very limited, including</w:t>
      </w:r>
      <w:r w:rsidRPr="00F42318">
        <w:rPr>
          <w:lang w:val="en-US"/>
        </w:rPr>
        <w:t xml:space="preserve"> </w:t>
      </w:r>
      <w:r>
        <w:rPr>
          <w:lang w:val="en-US"/>
        </w:rPr>
        <w:t xml:space="preserve">how </w:t>
      </w:r>
      <w:r w:rsidRPr="00F42318">
        <w:rPr>
          <w:lang w:val="en-US"/>
        </w:rPr>
        <w:t xml:space="preserve">implementation </w:t>
      </w:r>
      <w:r>
        <w:rPr>
          <w:lang w:val="en-US"/>
        </w:rPr>
        <w:t xml:space="preserve">is measured and how </w:t>
      </w:r>
      <w:r w:rsidRPr="00F42318">
        <w:rPr>
          <w:lang w:val="en-US"/>
        </w:rPr>
        <w:t xml:space="preserve">the way </w:t>
      </w:r>
      <w:r>
        <w:rPr>
          <w:lang w:val="en-US"/>
        </w:rPr>
        <w:t>recommendations</w:t>
      </w:r>
      <w:r w:rsidRPr="00F42318">
        <w:rPr>
          <w:lang w:val="en-US"/>
        </w:rPr>
        <w:t xml:space="preserve"> are </w:t>
      </w:r>
      <w:r>
        <w:rPr>
          <w:lang w:val="en-US"/>
        </w:rPr>
        <w:t xml:space="preserve">identified and </w:t>
      </w:r>
      <w:r w:rsidRPr="00F42318">
        <w:rPr>
          <w:lang w:val="en-US"/>
        </w:rPr>
        <w:t>formulated</w:t>
      </w:r>
      <w:r>
        <w:rPr>
          <w:lang w:val="en-US"/>
        </w:rPr>
        <w:t xml:space="preserve"> impacts follow-up</w:t>
      </w:r>
      <w:r w:rsidRPr="00F42318">
        <w:rPr>
          <w:lang w:val="en-US"/>
        </w:rPr>
        <w:t xml:space="preserve">. </w:t>
      </w:r>
    </w:p>
    <w:p w14:paraId="6C068FF5" w14:textId="77777777" w:rsidR="00E51EEA" w:rsidRPr="00F42318" w:rsidRDefault="00E51EEA" w:rsidP="00BE6A58">
      <w:pPr>
        <w:pStyle w:val="SingleTxtG"/>
        <w:numPr>
          <w:ilvl w:val="0"/>
          <w:numId w:val="4"/>
        </w:numPr>
        <w:ind w:left="1134" w:firstLine="0"/>
        <w:rPr>
          <w:lang w:val="en-US"/>
        </w:rPr>
      </w:pPr>
      <w:r>
        <w:rPr>
          <w:lang w:val="en-US"/>
        </w:rPr>
        <w:t xml:space="preserve">Overall, access to the relevant information proved challenging in the absence of an up-to-date data base, as showed notably by the non-exhaustive list of views and the difficulties to find and link follow-up information to the relevant cases. In that respect, a digital portal that would facilitate treaty body work and enhance accessibility of all relevant information would represent a major improvement on the current situation.  </w:t>
      </w:r>
    </w:p>
    <w:p w14:paraId="52CD9693" w14:textId="77777777" w:rsidR="00E51EEA" w:rsidRDefault="00E51EEA" w:rsidP="00BE6A58">
      <w:pPr>
        <w:pStyle w:val="SingleTxtG"/>
        <w:numPr>
          <w:ilvl w:val="0"/>
          <w:numId w:val="4"/>
        </w:numPr>
        <w:ind w:left="1134" w:firstLine="0"/>
      </w:pPr>
      <w:r w:rsidRPr="00F42318">
        <w:rPr>
          <w:lang w:val="en-US"/>
        </w:rPr>
        <w:t xml:space="preserve">Based on the empirical research, this background paper analyses </w:t>
      </w:r>
      <w:r>
        <w:rPr>
          <w:lang w:val="en-US"/>
        </w:rPr>
        <w:t>reparative measures</w:t>
      </w:r>
      <w:r w:rsidRPr="00F42318">
        <w:rPr>
          <w:lang w:val="en-US"/>
        </w:rPr>
        <w:t xml:space="preserve"> recommended by treaty bodies in their recent jurisprudence with a view to identifying common elements and good practices. </w:t>
      </w:r>
      <w:r w:rsidRPr="00F42318">
        <w:t>On this basis, proposals are made for treaty bodies to enhance coherence in that area.</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51EEA" w14:paraId="75064B66" w14:textId="77777777" w:rsidTr="00BE6A58">
        <w:trPr>
          <w:trHeight w:hRule="exact" w:val="240"/>
          <w:jc w:val="center"/>
        </w:trPr>
        <w:tc>
          <w:tcPr>
            <w:tcW w:w="7654" w:type="dxa"/>
            <w:tcBorders>
              <w:top w:val="single" w:sz="4" w:space="0" w:color="auto"/>
            </w:tcBorders>
            <w:shd w:val="clear" w:color="auto" w:fill="auto"/>
          </w:tcPr>
          <w:p w14:paraId="341666E3" w14:textId="77777777" w:rsidR="00E51EEA" w:rsidRPr="008918B6" w:rsidRDefault="00E51EEA" w:rsidP="00BE6A58">
            <w:pPr>
              <w:pBdr>
                <w:top w:val="single" w:sz="4" w:space="1" w:color="auto"/>
                <w:left w:val="single" w:sz="4" w:space="4" w:color="auto"/>
                <w:bottom w:val="single" w:sz="4" w:space="1" w:color="auto"/>
                <w:right w:val="single" w:sz="4" w:space="4" w:color="auto"/>
              </w:pBdr>
              <w:rPr>
                <w:b/>
                <w:bCs/>
              </w:rPr>
            </w:pPr>
            <w:r w:rsidRPr="008918B6">
              <w:rPr>
                <w:b/>
                <w:bCs/>
              </w:rPr>
              <w:t>Main findings</w:t>
            </w:r>
          </w:p>
          <w:p w14:paraId="5A75D201" w14:textId="77777777" w:rsidR="00E51EEA" w:rsidRDefault="00E51EEA" w:rsidP="00BE6A58">
            <w:pPr>
              <w:spacing w:line="240" w:lineRule="auto"/>
            </w:pPr>
          </w:p>
        </w:tc>
      </w:tr>
      <w:tr w:rsidR="00E51EEA" w14:paraId="50CCE9B0" w14:textId="77777777" w:rsidTr="00BE6A58">
        <w:trPr>
          <w:jc w:val="center"/>
        </w:trPr>
        <w:tc>
          <w:tcPr>
            <w:tcW w:w="7654" w:type="dxa"/>
            <w:tcBorders>
              <w:bottom w:val="nil"/>
            </w:tcBorders>
            <w:shd w:val="clear" w:color="auto" w:fill="auto"/>
            <w:tcMar>
              <w:left w:w="142" w:type="dxa"/>
              <w:right w:w="142" w:type="dxa"/>
            </w:tcMar>
          </w:tcPr>
          <w:p w14:paraId="0D877C7F" w14:textId="77777777" w:rsidR="00E51EEA" w:rsidRDefault="00E51EEA" w:rsidP="00BE6A58">
            <w:pPr>
              <w:spacing w:after="120"/>
              <w:jc w:val="both"/>
            </w:pPr>
            <w:r>
              <w:t>•Divergence in presentation, however largely similar formulation</w:t>
            </w:r>
          </w:p>
          <w:p w14:paraId="21BFD21B" w14:textId="77777777" w:rsidR="00E51EEA" w:rsidRDefault="00E51EEA" w:rsidP="00BE6A58">
            <w:pPr>
              <w:spacing w:after="120"/>
              <w:jc w:val="both"/>
            </w:pPr>
            <w:r>
              <w:t>•Wide range of measures recommended across treaty bodies</w:t>
            </w:r>
          </w:p>
          <w:p w14:paraId="56EC119A" w14:textId="77777777" w:rsidR="00E51EEA" w:rsidRDefault="00E51EEA" w:rsidP="00BE6A58">
            <w:pPr>
              <w:spacing w:after="120"/>
              <w:jc w:val="both"/>
            </w:pPr>
            <w:r>
              <w:t xml:space="preserve">•Different approaches across treaty bodies and sometimes within the same committee </w:t>
            </w:r>
          </w:p>
          <w:p w14:paraId="396C18D6" w14:textId="77777777" w:rsidR="00E51EEA" w:rsidRDefault="00E51EEA" w:rsidP="00BE6A58">
            <w:pPr>
              <w:spacing w:after="120"/>
              <w:jc w:val="both"/>
            </w:pPr>
            <w:r>
              <w:t>•Varying levels of specificity</w:t>
            </w:r>
          </w:p>
          <w:p w14:paraId="0301A60F" w14:textId="77777777" w:rsidR="00E51EEA" w:rsidRDefault="00E51EEA" w:rsidP="00BE6A58">
            <w:pPr>
              <w:spacing w:after="120"/>
              <w:jc w:val="both"/>
            </w:pPr>
            <w:r>
              <w:t>•Specific and clearly spelled out reparation measures seem to enable more effective follow-up</w:t>
            </w:r>
          </w:p>
          <w:p w14:paraId="714C3888" w14:textId="77777777" w:rsidR="00E51EEA" w:rsidRDefault="00E51EEA" w:rsidP="00BE6A58">
            <w:pPr>
              <w:spacing w:after="120"/>
              <w:jc w:val="both"/>
            </w:pPr>
            <w:r>
              <w:t>•Different assessment criteria and grading systems regarding follow-up could be streamlined based on common elements</w:t>
            </w:r>
          </w:p>
          <w:p w14:paraId="1421A442" w14:textId="77777777" w:rsidR="00E51EEA" w:rsidRDefault="00E51EEA" w:rsidP="00BE6A58">
            <w:pPr>
              <w:spacing w:after="120"/>
              <w:jc w:val="both"/>
            </w:pPr>
            <w:r>
              <w:t>•Steps taken towards a more coherent approach to measures of reparation that can be built upon</w:t>
            </w:r>
          </w:p>
          <w:p w14:paraId="69A74347" w14:textId="77777777" w:rsidR="00E51EEA" w:rsidRDefault="00E51EEA" w:rsidP="00BE6A58">
            <w:pPr>
              <w:spacing w:after="120"/>
              <w:jc w:val="both"/>
            </w:pPr>
            <w:r>
              <w:t>•A digital platform is key to improve access to information and facilitate treaty body work</w:t>
            </w:r>
          </w:p>
        </w:tc>
      </w:tr>
      <w:tr w:rsidR="00E51EEA" w14:paraId="59CB5558" w14:textId="77777777" w:rsidTr="00BE6A58">
        <w:trPr>
          <w:trHeight w:hRule="exact" w:val="20"/>
          <w:jc w:val="center"/>
        </w:trPr>
        <w:tc>
          <w:tcPr>
            <w:tcW w:w="7654" w:type="dxa"/>
            <w:tcBorders>
              <w:bottom w:val="single" w:sz="4" w:space="0" w:color="auto"/>
            </w:tcBorders>
            <w:shd w:val="clear" w:color="auto" w:fill="auto"/>
          </w:tcPr>
          <w:p w14:paraId="602DD82E" w14:textId="77777777" w:rsidR="00E51EEA" w:rsidRDefault="00E51EEA" w:rsidP="00BE6A58">
            <w:pPr>
              <w:spacing w:line="240" w:lineRule="auto"/>
            </w:pPr>
          </w:p>
        </w:tc>
      </w:tr>
    </w:tbl>
    <w:p w14:paraId="6895FBBD" w14:textId="77777777" w:rsidR="00E51EEA" w:rsidRPr="007F465B" w:rsidRDefault="00E51EEA" w:rsidP="00E51EEA">
      <w:pPr>
        <w:pStyle w:val="HChG"/>
      </w:pPr>
      <w:r>
        <w:rPr>
          <w:rFonts w:eastAsiaTheme="minorHAnsi"/>
        </w:rPr>
        <w:tab/>
      </w:r>
      <w:r w:rsidRPr="007F465B">
        <w:rPr>
          <w:rFonts w:eastAsiaTheme="minorHAnsi"/>
        </w:rPr>
        <w:t>I.</w:t>
      </w:r>
      <w:r w:rsidRPr="007F465B">
        <w:rPr>
          <w:rFonts w:eastAsiaTheme="minorHAnsi"/>
        </w:rPr>
        <w:tab/>
      </w:r>
      <w:r w:rsidRPr="007F465B">
        <w:t>Terminology used</w:t>
      </w:r>
    </w:p>
    <w:p w14:paraId="5CE77BA4" w14:textId="77777777" w:rsidR="00E51EEA" w:rsidRDefault="00E51EEA" w:rsidP="00BE6A58">
      <w:pPr>
        <w:pStyle w:val="SingleTxtG"/>
        <w:numPr>
          <w:ilvl w:val="0"/>
          <w:numId w:val="4"/>
        </w:numPr>
        <w:ind w:left="1134" w:firstLine="0"/>
        <w:rPr>
          <w:lang w:val="en-US"/>
        </w:rPr>
      </w:pPr>
      <w:r w:rsidRPr="00F42318">
        <w:rPr>
          <w:lang w:val="en-US"/>
        </w:rPr>
        <w:t>While official documents indicate that the Chairs of the treaty bodies discussed the terminology used in relation to remedies, no further details regarding the substance of those discussions are publicly available.</w:t>
      </w:r>
      <w:r w:rsidRPr="00000873">
        <w:rPr>
          <w:rStyle w:val="FootnoteReference"/>
        </w:rPr>
        <w:footnoteReference w:id="11"/>
      </w:r>
      <w:r w:rsidRPr="00F42318">
        <w:rPr>
          <w:lang w:val="en-US"/>
        </w:rPr>
        <w:t xml:space="preserve"> The empirical research shows </w:t>
      </w:r>
      <w:r>
        <w:rPr>
          <w:lang w:val="en-US"/>
        </w:rPr>
        <w:t xml:space="preserve">some </w:t>
      </w:r>
      <w:r w:rsidRPr="00F42318">
        <w:rPr>
          <w:lang w:val="en-US"/>
        </w:rPr>
        <w:t xml:space="preserve">divergence in the presentation. </w:t>
      </w:r>
      <w:r>
        <w:rPr>
          <w:lang w:val="en-US"/>
        </w:rPr>
        <w:t xml:space="preserve">However, the formulation of the different forms of reparation and the mention of the legal basis for the relevant recommendations is largely similar. </w:t>
      </w:r>
    </w:p>
    <w:p w14:paraId="377F37B1" w14:textId="77777777" w:rsidR="00E51EEA" w:rsidRPr="008918B6" w:rsidRDefault="00E51EEA" w:rsidP="00E51EEA">
      <w:pPr>
        <w:pStyle w:val="H1G"/>
      </w:pPr>
      <w:r>
        <w:rPr>
          <w:rFonts w:asciiTheme="minorHAnsi" w:eastAsiaTheme="minorHAnsi" w:hAnsiTheme="minorHAnsi" w:cstheme="minorBidi"/>
          <w:szCs w:val="24"/>
          <w:lang w:val="en-US"/>
        </w:rPr>
        <w:tab/>
      </w:r>
      <w:r w:rsidRPr="008918B6">
        <w:rPr>
          <w:rFonts w:eastAsiaTheme="minorHAnsi"/>
        </w:rPr>
        <w:t>1.</w:t>
      </w:r>
      <w:r w:rsidRPr="008918B6">
        <w:rPr>
          <w:rFonts w:eastAsiaTheme="minorHAnsi"/>
        </w:rPr>
        <w:tab/>
      </w:r>
      <w:r w:rsidRPr="008918B6">
        <w:t>Different presentation: a single paragraph or two distinct, labelled parts</w:t>
      </w:r>
    </w:p>
    <w:p w14:paraId="26885778" w14:textId="77777777" w:rsidR="00E51EEA" w:rsidRDefault="00E51EEA" w:rsidP="00BE6A58">
      <w:pPr>
        <w:pStyle w:val="SingleTxtG"/>
        <w:numPr>
          <w:ilvl w:val="0"/>
          <w:numId w:val="4"/>
        </w:numPr>
        <w:ind w:left="1134" w:firstLine="0"/>
        <w:rPr>
          <w:lang w:val="en-US"/>
        </w:rPr>
      </w:pPr>
      <w:r>
        <w:rPr>
          <w:lang w:val="en-US"/>
        </w:rPr>
        <w:t>All</w:t>
      </w:r>
      <w:r w:rsidRPr="00F42318">
        <w:rPr>
          <w:lang w:val="en-US"/>
        </w:rPr>
        <w:t xml:space="preserve"> treaty bodies divide this section</w:t>
      </w:r>
      <w:r>
        <w:rPr>
          <w:lang w:val="en-US"/>
        </w:rPr>
        <w:t xml:space="preserve"> of their views</w:t>
      </w:r>
      <w:r w:rsidRPr="00F42318">
        <w:rPr>
          <w:lang w:val="en-US"/>
        </w:rPr>
        <w:t xml:space="preserve"> into two parts: a part concerning the author of the communication and another relating to general recommendations. The first part presents victim-specific measures that aim at providing reparation to the author(s) of the communications themselves, wh</w:t>
      </w:r>
      <w:r>
        <w:rPr>
          <w:lang w:val="en-US"/>
        </w:rPr>
        <w:t xml:space="preserve">ile </w:t>
      </w:r>
      <w:r w:rsidRPr="00F42318">
        <w:rPr>
          <w:lang w:val="en-US"/>
        </w:rPr>
        <w:t xml:space="preserve">the second part addresses general recommendations to prevent future violations from occurring (guarantees of non-repetition). </w:t>
      </w:r>
    </w:p>
    <w:p w14:paraId="57906C16" w14:textId="77777777" w:rsidR="00E51EEA" w:rsidRDefault="00E51EEA" w:rsidP="00BE6A58">
      <w:pPr>
        <w:pStyle w:val="SingleTxtG"/>
        <w:numPr>
          <w:ilvl w:val="0"/>
          <w:numId w:val="4"/>
        </w:numPr>
        <w:ind w:left="1134" w:firstLine="0"/>
        <w:rPr>
          <w:lang w:val="en-US"/>
        </w:rPr>
      </w:pPr>
      <w:r>
        <w:rPr>
          <w:lang w:val="en-US"/>
        </w:rPr>
        <w:t>Regarding presentation, different practices were found. On the one hand, some committees label both parts for greater clarity. CEDAW, CESCR and CRPD make a distinction between recommendations concerning the author(s) of the communications and general recommendations.</w:t>
      </w:r>
      <w:r w:rsidRPr="00000873">
        <w:rPr>
          <w:rStyle w:val="FootnoteReference"/>
        </w:rPr>
        <w:footnoteReference w:id="12"/>
      </w:r>
      <w:r>
        <w:rPr>
          <w:lang w:val="en-US"/>
        </w:rPr>
        <w:t xml:space="preserve"> On the other hand, CCPR, CAT, CERD and CRC formulate their recommendations in a single paragraph without any clear distinction. The first option aims at enhancing clarity, both in terms of presentation and substance. However, it has been suggested that it was preferable to keep both sets of recommendations integrated in the same paragraph to emphasize that the general recommendations are related to the particular case.</w:t>
      </w:r>
      <w:r w:rsidRPr="00000873">
        <w:rPr>
          <w:rStyle w:val="FootnoteReference"/>
        </w:rPr>
        <w:footnoteReference w:id="13"/>
      </w:r>
      <w:r>
        <w:rPr>
          <w:lang w:val="en-US"/>
        </w:rPr>
        <w:t xml:space="preserve"> Therefore, there does not seem to be an agreement on a common practice regarding the presentation of the section presenting measures of reparation in the views. The presentation does not affect the substance of the recommendations and, most importantly, their formulation across all treaty bodies “is quite similar”.</w:t>
      </w:r>
      <w:r w:rsidRPr="00000873">
        <w:rPr>
          <w:rStyle w:val="FootnoteReference"/>
        </w:rPr>
        <w:footnoteReference w:id="14"/>
      </w:r>
      <w:r>
        <w:rPr>
          <w:lang w:val="en-US"/>
        </w:rPr>
        <w:t xml:space="preserve"> </w:t>
      </w:r>
    </w:p>
    <w:p w14:paraId="5A8F6B7F" w14:textId="77777777" w:rsidR="00E51EEA" w:rsidRPr="007F465B" w:rsidRDefault="00E51EEA" w:rsidP="00E51EEA">
      <w:pPr>
        <w:pStyle w:val="H1G"/>
      </w:pPr>
      <w:r>
        <w:rPr>
          <w:rFonts w:eastAsiaTheme="minorHAnsi"/>
        </w:rPr>
        <w:tab/>
      </w:r>
      <w:r w:rsidRPr="007F465B">
        <w:rPr>
          <w:rFonts w:eastAsiaTheme="minorHAnsi"/>
        </w:rPr>
        <w:t>2.</w:t>
      </w:r>
      <w:r w:rsidRPr="007F465B">
        <w:rPr>
          <w:rFonts w:eastAsiaTheme="minorHAnsi"/>
        </w:rPr>
        <w:tab/>
      </w:r>
      <w:r w:rsidRPr="007F465B">
        <w:t>General mention of legal basis for recommendations</w:t>
      </w:r>
    </w:p>
    <w:p w14:paraId="4B1BC95E" w14:textId="77777777" w:rsidR="00E51EEA" w:rsidRDefault="00E51EEA" w:rsidP="00BE6A58">
      <w:pPr>
        <w:pStyle w:val="SingleTxtG"/>
        <w:numPr>
          <w:ilvl w:val="0"/>
          <w:numId w:val="4"/>
        </w:numPr>
        <w:ind w:left="1134" w:firstLine="0"/>
        <w:rPr>
          <w:lang w:val="en-US"/>
        </w:rPr>
      </w:pPr>
      <w:r w:rsidRPr="00F42318">
        <w:rPr>
          <w:lang w:val="en-US"/>
        </w:rPr>
        <w:t xml:space="preserve">Secondly, the research shows </w:t>
      </w:r>
      <w:r>
        <w:rPr>
          <w:lang w:val="en-US"/>
        </w:rPr>
        <w:t>that all treaty bodies indicate the legal basis for recommending measures of reparation when a right enshrined in one of the relevant treaties is found to have been violated</w:t>
      </w:r>
      <w:r w:rsidRPr="00F42318">
        <w:rPr>
          <w:lang w:val="en-US"/>
        </w:rPr>
        <w:t>.</w:t>
      </w:r>
      <w:r>
        <w:rPr>
          <w:lang w:val="en-US"/>
        </w:rPr>
        <w:t xml:space="preserve"> CERD, CRC, CEDAW, CESCR, and CRPD recall that they are acting under the relevant treaty provisions that explicitly provide that, after examining a communication, the committees shall forward their views and recommendations to both parties.</w:t>
      </w:r>
      <w:r w:rsidRPr="00000873">
        <w:rPr>
          <w:rStyle w:val="FootnoteReference"/>
        </w:rPr>
        <w:footnoteReference w:id="15"/>
      </w:r>
      <w:r>
        <w:rPr>
          <w:lang w:val="en-US"/>
        </w:rPr>
        <w:t xml:space="preserve"> </w:t>
      </w:r>
    </w:p>
    <w:p w14:paraId="0408FA03" w14:textId="77777777" w:rsidR="00E51EEA" w:rsidRDefault="00E51EEA" w:rsidP="00BE6A58">
      <w:pPr>
        <w:pStyle w:val="SingleTxtG"/>
        <w:numPr>
          <w:ilvl w:val="0"/>
          <w:numId w:val="4"/>
        </w:numPr>
        <w:ind w:left="1134" w:firstLine="0"/>
        <w:rPr>
          <w:lang w:val="en-US"/>
        </w:rPr>
      </w:pPr>
      <w:r>
        <w:rPr>
          <w:lang w:val="en-US"/>
        </w:rPr>
        <w:t>For its part, CCPR systematically opens the relevant section of its views with article 2 ICCPR</w:t>
      </w:r>
      <w:r w:rsidRPr="00000873">
        <w:rPr>
          <w:rStyle w:val="FootnoteReference"/>
        </w:rPr>
        <w:footnoteReference w:id="16"/>
      </w:r>
      <w:r>
        <w:rPr>
          <w:lang w:val="en-US"/>
        </w:rPr>
        <w:t xml:space="preserve"> to recall the State party’s “obligation to provide the author with an effective remedy”. In CAT’s views, the relevant legal provisions are not indicated systematically. Apart from one exception,</w:t>
      </w:r>
      <w:r w:rsidRPr="00000873">
        <w:rPr>
          <w:rStyle w:val="FootnoteReference"/>
        </w:rPr>
        <w:footnoteReference w:id="17"/>
      </w:r>
      <w:r>
        <w:rPr>
          <w:lang w:val="en-US"/>
        </w:rPr>
        <w:t xml:space="preserve"> in all non-refoulement cases, Article 3 of the Convention is recalled as the legal basis for the recommendations. In one case only,</w:t>
      </w:r>
      <w:r w:rsidRPr="00000873">
        <w:rPr>
          <w:rStyle w:val="FootnoteReference"/>
        </w:rPr>
        <w:footnoteReference w:id="18"/>
      </w:r>
      <w:r>
        <w:rPr>
          <w:lang w:val="en-US"/>
        </w:rPr>
        <w:t xml:space="preserve"> CAT refers to rule 118(5) of its rules of procedures as the legal basis for the State party to provide the author with an effective remedy, whereas this rule relates to the follow-up of views and is generally mentioned as such. In 5 cases, no legal provision is indicated as the basis for the obligation of the State party to provide redress. </w:t>
      </w:r>
    </w:p>
    <w:p w14:paraId="676BF6EA" w14:textId="77777777" w:rsidR="00E51EEA" w:rsidRPr="007F465B" w:rsidRDefault="00E51EEA" w:rsidP="00E51EEA">
      <w:pPr>
        <w:pStyle w:val="H1G"/>
      </w:pPr>
      <w:r>
        <w:rPr>
          <w:rFonts w:eastAsiaTheme="minorHAnsi"/>
        </w:rPr>
        <w:tab/>
      </w:r>
      <w:r w:rsidRPr="007F465B">
        <w:rPr>
          <w:rFonts w:eastAsiaTheme="minorHAnsi"/>
        </w:rPr>
        <w:t>3.</w:t>
      </w:r>
      <w:r w:rsidRPr="007F465B">
        <w:rPr>
          <w:rFonts w:eastAsiaTheme="minorHAnsi"/>
        </w:rPr>
        <w:tab/>
      </w:r>
      <w:r w:rsidRPr="007F465B">
        <w:t>Largely similar formulation despite small differences in terminology</w:t>
      </w:r>
    </w:p>
    <w:p w14:paraId="33EC6732" w14:textId="77777777" w:rsidR="00E51EEA" w:rsidRDefault="00E51EEA" w:rsidP="00BE6A58">
      <w:pPr>
        <w:pStyle w:val="SingleTxtG"/>
        <w:numPr>
          <w:ilvl w:val="0"/>
          <w:numId w:val="4"/>
        </w:numPr>
        <w:ind w:left="1134" w:firstLine="0"/>
        <w:rPr>
          <w:lang w:val="en-US"/>
        </w:rPr>
      </w:pPr>
      <w:r>
        <w:rPr>
          <w:lang w:val="en-US"/>
        </w:rPr>
        <w:t>Overall</w:t>
      </w:r>
      <w:r w:rsidRPr="00F42318">
        <w:rPr>
          <w:lang w:val="en-US"/>
        </w:rPr>
        <w:t>, as acknowledged by treaty body experts, “the formulation of remedies of all the Committees is quite similar</w:t>
      </w:r>
      <w:r>
        <w:rPr>
          <w:lang w:val="en-US"/>
        </w:rPr>
        <w:t>.</w:t>
      </w:r>
      <w:r w:rsidRPr="00F42318">
        <w:rPr>
          <w:lang w:val="en-US"/>
        </w:rPr>
        <w:t>”</w:t>
      </w:r>
      <w:r w:rsidRPr="00000873">
        <w:rPr>
          <w:rStyle w:val="FootnoteReference"/>
        </w:rPr>
        <w:footnoteReference w:id="19"/>
      </w:r>
      <w:r w:rsidRPr="00F42318">
        <w:rPr>
          <w:lang w:val="en-US"/>
        </w:rPr>
        <w:t xml:space="preserve"> </w:t>
      </w:r>
      <w:r>
        <w:rPr>
          <w:lang w:val="en-US"/>
        </w:rPr>
        <w:t>T</w:t>
      </w:r>
      <w:r w:rsidRPr="00F42318">
        <w:rPr>
          <w:lang w:val="en-US"/>
        </w:rPr>
        <w:t xml:space="preserve">he research shows that the different types are referred to in </w:t>
      </w:r>
      <w:r>
        <w:rPr>
          <w:lang w:val="en-US"/>
        </w:rPr>
        <w:t xml:space="preserve">largely </w:t>
      </w:r>
      <w:r w:rsidRPr="00F42318">
        <w:rPr>
          <w:lang w:val="en-US"/>
        </w:rPr>
        <w:t>similar terms throughout</w:t>
      </w:r>
      <w:r>
        <w:rPr>
          <w:lang w:val="en-US"/>
        </w:rPr>
        <w:t xml:space="preserve">, whether they concern measures of compensation, rehabilitation, restitution, satisfaction or guarantees of non-repetition. </w:t>
      </w:r>
    </w:p>
    <w:p w14:paraId="0F3FAA21" w14:textId="77777777" w:rsidR="00E51EEA" w:rsidRDefault="00E51EEA" w:rsidP="00BE6A58">
      <w:pPr>
        <w:pStyle w:val="SingleTxtG"/>
        <w:numPr>
          <w:ilvl w:val="0"/>
          <w:numId w:val="4"/>
        </w:numPr>
        <w:ind w:left="1134" w:firstLine="0"/>
        <w:rPr>
          <w:lang w:val="en-US"/>
        </w:rPr>
      </w:pPr>
      <w:r w:rsidRPr="00E6018C">
        <w:rPr>
          <w:lang w:val="en-US"/>
        </w:rPr>
        <w:t>Wh</w:t>
      </w:r>
      <w:r>
        <w:rPr>
          <w:lang w:val="en-US"/>
        </w:rPr>
        <w:t>ile</w:t>
      </w:r>
      <w:r w:rsidRPr="00E6018C">
        <w:rPr>
          <w:lang w:val="en-US"/>
        </w:rPr>
        <w:t xml:space="preserve"> some </w:t>
      </w:r>
      <w:r>
        <w:rPr>
          <w:lang w:val="en-US"/>
        </w:rPr>
        <w:t>variety could be found in the specification of some particular measures, these differences do not seem important in terms of the substance or the impact of the recommendations concerned. For example, when committees recommend that the State party should conduct an investigation, adjectives used to describe the investigation vary across treaty bodies and within the same committee: “exhaustive and impartial” (CEDAW), “impartial, effective and thorough” (CCPR/CRPD), “prompt, impartial and independent” (CAT), “impartial and thorough” (CAT), “</w:t>
      </w:r>
      <w:r w:rsidRPr="00CB3578">
        <w:rPr>
          <w:lang w:val="en-US"/>
        </w:rPr>
        <w:t>prompt</w:t>
      </w:r>
      <w:r>
        <w:rPr>
          <w:lang w:val="en-US"/>
        </w:rPr>
        <w:t xml:space="preserve">, </w:t>
      </w:r>
      <w:r w:rsidRPr="00CB3578">
        <w:rPr>
          <w:lang w:val="en-US"/>
        </w:rPr>
        <w:t>effective</w:t>
      </w:r>
      <w:r>
        <w:rPr>
          <w:lang w:val="en-US"/>
        </w:rPr>
        <w:t xml:space="preserve">, </w:t>
      </w:r>
      <w:r w:rsidRPr="00CB3578">
        <w:rPr>
          <w:lang w:val="en-US"/>
        </w:rPr>
        <w:t xml:space="preserve">thorough, independent, </w:t>
      </w:r>
      <w:r>
        <w:rPr>
          <w:lang w:val="en-US"/>
        </w:rPr>
        <w:t xml:space="preserve">impartial </w:t>
      </w:r>
      <w:r w:rsidRPr="00CB3578">
        <w:rPr>
          <w:lang w:val="en-US"/>
        </w:rPr>
        <w:t>and transparent</w:t>
      </w:r>
      <w:r>
        <w:rPr>
          <w:lang w:val="en-US"/>
        </w:rPr>
        <w:t xml:space="preserve">” (CCPR). </w:t>
      </w:r>
    </w:p>
    <w:p w14:paraId="186E79F9" w14:textId="77777777" w:rsidR="00E51EEA" w:rsidRPr="00E6018C" w:rsidRDefault="00E51EEA" w:rsidP="00BE6A58">
      <w:pPr>
        <w:pStyle w:val="SingleTxtG"/>
        <w:numPr>
          <w:ilvl w:val="0"/>
          <w:numId w:val="4"/>
        </w:numPr>
        <w:ind w:left="1134" w:firstLine="0"/>
        <w:rPr>
          <w:lang w:val="en-US"/>
        </w:rPr>
      </w:pPr>
      <w:r>
        <w:rPr>
          <w:lang w:val="en-US"/>
        </w:rPr>
        <w:t xml:space="preserve">Nevertheless, it can be reasonably assumed that these differences do not affect the substance of the general obligation to investigate allegations of violations and therefore it is not clear whether aligning such details would bring any benefits in terms of human rights protection. </w:t>
      </w:r>
    </w:p>
    <w:p w14:paraId="614A11F5" w14:textId="77777777" w:rsidR="00E51EEA" w:rsidRPr="008918B6" w:rsidRDefault="00E51EEA" w:rsidP="00BE6A58">
      <w:pPr>
        <w:pStyle w:val="SingleTxtG"/>
        <w:numPr>
          <w:ilvl w:val="0"/>
          <w:numId w:val="4"/>
        </w:numPr>
        <w:ind w:left="1134" w:firstLine="0"/>
      </w:pPr>
      <w:r w:rsidRPr="008918B6">
        <w:t>Likewise, the treaty bodies use different expressions to introduce recommended measures. Some variety was found across treaty bodies as well as in views adopted by the same committee. For example, CCPR usually considers that “the State party is obligated to” or “under an obligation to” provide the author with an effective remedy. CRC introduces this section of its views with “The State party should therefore provide the author with effective reparation” or “adequate reparation”. Depending on views, CAT “considers that the State party is required to”, “urges the State party to”, “is of the view that the State party has an obligation to”, amongst other formulations. However, this difference in style does not appear to be essential either to the substance of the views or their impact.</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51EEA" w14:paraId="35A77411" w14:textId="77777777" w:rsidTr="00BE6A58">
        <w:trPr>
          <w:trHeight w:hRule="exact" w:val="240"/>
          <w:jc w:val="center"/>
        </w:trPr>
        <w:tc>
          <w:tcPr>
            <w:tcW w:w="7654" w:type="dxa"/>
            <w:tcBorders>
              <w:top w:val="single" w:sz="4" w:space="0" w:color="auto"/>
            </w:tcBorders>
            <w:shd w:val="clear" w:color="auto" w:fill="auto"/>
          </w:tcPr>
          <w:p w14:paraId="719FCF4C" w14:textId="77777777" w:rsidR="00E51EEA" w:rsidRPr="008918B6" w:rsidRDefault="00E51EEA" w:rsidP="00BE6A58">
            <w:pPr>
              <w:pBdr>
                <w:top w:val="single" w:sz="4" w:space="1" w:color="auto"/>
                <w:left w:val="single" w:sz="4" w:space="4" w:color="auto"/>
                <w:bottom w:val="single" w:sz="4" w:space="1" w:color="auto"/>
                <w:right w:val="single" w:sz="4" w:space="4" w:color="auto"/>
              </w:pBdr>
              <w:rPr>
                <w:b/>
                <w:bCs/>
                <w:lang w:val="en-US"/>
              </w:rPr>
            </w:pPr>
            <w:r w:rsidRPr="008918B6">
              <w:rPr>
                <w:b/>
                <w:bCs/>
                <w:lang w:val="en-US"/>
              </w:rPr>
              <w:t>Good practices and common elements</w:t>
            </w:r>
          </w:p>
          <w:p w14:paraId="1AE09B03" w14:textId="77777777" w:rsidR="00E51EEA" w:rsidRDefault="00E51EEA" w:rsidP="00BE6A58">
            <w:pPr>
              <w:spacing w:line="240" w:lineRule="auto"/>
            </w:pPr>
          </w:p>
        </w:tc>
      </w:tr>
      <w:tr w:rsidR="00E51EEA" w14:paraId="06CAA2E9" w14:textId="77777777" w:rsidTr="00BE6A58">
        <w:trPr>
          <w:jc w:val="center"/>
        </w:trPr>
        <w:tc>
          <w:tcPr>
            <w:tcW w:w="7654" w:type="dxa"/>
            <w:tcBorders>
              <w:bottom w:val="nil"/>
            </w:tcBorders>
            <w:shd w:val="clear" w:color="auto" w:fill="auto"/>
            <w:tcMar>
              <w:left w:w="142" w:type="dxa"/>
              <w:right w:w="142" w:type="dxa"/>
            </w:tcMar>
          </w:tcPr>
          <w:p w14:paraId="741C8FEE" w14:textId="77777777" w:rsidR="00E51EEA" w:rsidRDefault="00E51EEA" w:rsidP="00BE6A58">
            <w:pPr>
              <w:spacing w:after="120"/>
              <w:jc w:val="both"/>
            </w:pPr>
            <w:r w:rsidRPr="007F465B">
              <w:t>Largely similar formulation and consistent terminology</w:t>
            </w:r>
          </w:p>
        </w:tc>
      </w:tr>
      <w:tr w:rsidR="00E51EEA" w14:paraId="5C6AAD91" w14:textId="77777777" w:rsidTr="00BE6A58">
        <w:trPr>
          <w:trHeight w:hRule="exact" w:val="20"/>
          <w:jc w:val="center"/>
        </w:trPr>
        <w:tc>
          <w:tcPr>
            <w:tcW w:w="7654" w:type="dxa"/>
            <w:tcBorders>
              <w:bottom w:val="single" w:sz="4" w:space="0" w:color="auto"/>
            </w:tcBorders>
            <w:shd w:val="clear" w:color="auto" w:fill="auto"/>
          </w:tcPr>
          <w:p w14:paraId="26D88B74" w14:textId="77777777" w:rsidR="00E51EEA" w:rsidRDefault="00E51EEA" w:rsidP="00BE6A58">
            <w:pPr>
              <w:spacing w:line="240" w:lineRule="auto"/>
            </w:pPr>
          </w:p>
        </w:tc>
      </w:tr>
    </w:tbl>
    <w:p w14:paraId="03917802" w14:textId="77777777" w:rsidR="00E51EEA" w:rsidRPr="007F465B" w:rsidRDefault="00E51EEA" w:rsidP="00E51EEA">
      <w:pPr>
        <w:pStyle w:val="HChG"/>
      </w:pPr>
      <w:r>
        <w:rPr>
          <w:rFonts w:eastAsiaTheme="minorHAnsi"/>
        </w:rPr>
        <w:tab/>
      </w:r>
      <w:r w:rsidRPr="007F465B">
        <w:rPr>
          <w:rFonts w:eastAsiaTheme="minorHAnsi"/>
        </w:rPr>
        <w:t>II.</w:t>
      </w:r>
      <w:r w:rsidRPr="007F465B">
        <w:rPr>
          <w:rFonts w:eastAsiaTheme="minorHAnsi"/>
        </w:rPr>
        <w:tab/>
      </w:r>
      <w:r w:rsidRPr="007F465B">
        <w:t>Measures recommended</w:t>
      </w:r>
    </w:p>
    <w:p w14:paraId="7EB5A084" w14:textId="77777777" w:rsidR="00E51EEA" w:rsidRDefault="00E51EEA" w:rsidP="00BE6A58">
      <w:pPr>
        <w:pStyle w:val="SingleTxtG"/>
        <w:numPr>
          <w:ilvl w:val="0"/>
          <w:numId w:val="4"/>
        </w:numPr>
        <w:ind w:left="1134" w:firstLine="0"/>
        <w:rPr>
          <w:lang w:val="en-US"/>
        </w:rPr>
      </w:pPr>
      <w:r>
        <w:rPr>
          <w:lang w:val="en-US"/>
        </w:rPr>
        <w:t>The research shows that all committees set out a wide range of recommendations relating to the author(s) of the communication as well as general measures to prevent similar future violations.</w:t>
      </w:r>
      <w:r w:rsidRPr="00000873">
        <w:rPr>
          <w:rStyle w:val="FootnoteReference"/>
        </w:rPr>
        <w:footnoteReference w:id="20"/>
      </w:r>
      <w:r>
        <w:rPr>
          <w:lang w:val="en-US"/>
        </w:rPr>
        <w:t xml:space="preserve"> The main differences that were found in the jurisprudence of the committees relate to the range of measures recommended as well as their level of specificity. </w:t>
      </w:r>
    </w:p>
    <w:p w14:paraId="18DBE636" w14:textId="77777777" w:rsidR="00E51EEA" w:rsidRPr="007F465B" w:rsidRDefault="00E51EEA" w:rsidP="00E51EEA">
      <w:pPr>
        <w:pStyle w:val="H1G"/>
      </w:pPr>
      <w:r>
        <w:rPr>
          <w:rFonts w:eastAsiaTheme="minorHAnsi"/>
        </w:rPr>
        <w:tab/>
      </w:r>
      <w:r w:rsidRPr="007F465B">
        <w:rPr>
          <w:rFonts w:eastAsiaTheme="minorHAnsi"/>
        </w:rPr>
        <w:t>1.</w:t>
      </w:r>
      <w:r w:rsidRPr="007F465B">
        <w:rPr>
          <w:rFonts w:eastAsiaTheme="minorHAnsi"/>
        </w:rPr>
        <w:tab/>
      </w:r>
      <w:r w:rsidRPr="007F465B">
        <w:t>Wide range of reparative measures recommended</w:t>
      </w:r>
    </w:p>
    <w:p w14:paraId="471B5BA4" w14:textId="77777777" w:rsidR="00E51EEA" w:rsidRPr="008918B6" w:rsidRDefault="00E51EEA" w:rsidP="00E51EEA">
      <w:pPr>
        <w:pStyle w:val="H23G"/>
      </w:pPr>
      <w:r>
        <w:rPr>
          <w:rFonts w:asciiTheme="minorHAnsi" w:eastAsiaTheme="minorHAnsi" w:hAnsiTheme="minorHAnsi" w:cstheme="minorBidi"/>
          <w:szCs w:val="24"/>
          <w:lang w:val="en-US"/>
        </w:rPr>
        <w:tab/>
      </w:r>
      <w:r>
        <w:rPr>
          <w:rFonts w:asciiTheme="minorHAnsi" w:eastAsiaTheme="minorHAnsi" w:hAnsiTheme="minorHAnsi" w:cstheme="minorBidi"/>
          <w:szCs w:val="24"/>
          <w:lang w:val="en-US"/>
        </w:rPr>
        <w:tab/>
      </w:r>
      <w:r w:rsidRPr="008918B6">
        <w:rPr>
          <w:rFonts w:eastAsiaTheme="minorHAnsi"/>
        </w:rPr>
        <w:t>1.1.</w:t>
      </w:r>
      <w:r w:rsidRPr="008918B6">
        <w:rPr>
          <w:rFonts w:eastAsiaTheme="minorHAnsi"/>
        </w:rPr>
        <w:tab/>
      </w:r>
      <w:r w:rsidRPr="008918B6">
        <w:t>Victim-specific measures</w:t>
      </w:r>
    </w:p>
    <w:p w14:paraId="7F977AFD" w14:textId="77777777" w:rsidR="00E51EEA" w:rsidRPr="00D660D5" w:rsidRDefault="00E51EEA" w:rsidP="00BE6A58">
      <w:pPr>
        <w:pStyle w:val="SingleTxtG"/>
        <w:numPr>
          <w:ilvl w:val="0"/>
          <w:numId w:val="4"/>
        </w:numPr>
        <w:ind w:left="1134" w:firstLine="0"/>
        <w:rPr>
          <w:lang w:val="en-US"/>
        </w:rPr>
      </w:pPr>
      <w:r>
        <w:rPr>
          <w:lang w:val="en-US"/>
        </w:rPr>
        <w:t xml:space="preserve">The main purpose of individual communication procedures is to provide victims of violations with an effective remedy and reparation. Therefore, upon finding a violation, all treaty bodies recommend individual measures of reparation relating to the victim. </w:t>
      </w:r>
      <w:r w:rsidRPr="004A59CA">
        <w:rPr>
          <w:lang w:val="en-US"/>
        </w:rPr>
        <w:t xml:space="preserve">In a </w:t>
      </w:r>
      <w:r>
        <w:rPr>
          <w:lang w:val="en-US"/>
        </w:rPr>
        <w:t xml:space="preserve">single </w:t>
      </w:r>
      <w:r w:rsidRPr="004A59CA">
        <w:rPr>
          <w:lang w:val="en-US"/>
        </w:rPr>
        <w:t xml:space="preserve">rare exception, </w:t>
      </w:r>
      <w:r>
        <w:rPr>
          <w:lang w:val="en-US"/>
        </w:rPr>
        <w:t xml:space="preserve">no </w:t>
      </w:r>
      <w:r w:rsidRPr="004A59CA">
        <w:rPr>
          <w:lang w:val="en-US"/>
        </w:rPr>
        <w:t xml:space="preserve">measures of reparation </w:t>
      </w:r>
      <w:r>
        <w:rPr>
          <w:lang w:val="en-US"/>
        </w:rPr>
        <w:t xml:space="preserve">are recommended </w:t>
      </w:r>
      <w:r w:rsidRPr="004A59CA">
        <w:rPr>
          <w:lang w:val="en-US"/>
        </w:rPr>
        <w:t>for the victim</w:t>
      </w:r>
      <w:r>
        <w:rPr>
          <w:lang w:val="en-US"/>
        </w:rPr>
        <w:t xml:space="preserve"> with the committee limiting its recommendations to general measures</w:t>
      </w:r>
      <w:r w:rsidRPr="004A59CA">
        <w:rPr>
          <w:lang w:val="en-US"/>
        </w:rPr>
        <w:t>.</w:t>
      </w:r>
      <w:r w:rsidRPr="00000873">
        <w:rPr>
          <w:rStyle w:val="FootnoteReference"/>
        </w:rPr>
        <w:footnoteReference w:id="21"/>
      </w:r>
    </w:p>
    <w:p w14:paraId="715648FF" w14:textId="77777777" w:rsidR="00E51EEA" w:rsidRPr="007F465B" w:rsidRDefault="00E51EEA" w:rsidP="00E51EEA">
      <w:pPr>
        <w:pStyle w:val="H23G"/>
      </w:pPr>
      <w:r>
        <w:rPr>
          <w:rFonts w:eastAsiaTheme="minorHAnsi"/>
        </w:rPr>
        <w:tab/>
      </w:r>
      <w:r>
        <w:rPr>
          <w:rFonts w:eastAsiaTheme="minorHAnsi"/>
        </w:rPr>
        <w:tab/>
      </w:r>
      <w:r w:rsidRPr="007F465B">
        <w:rPr>
          <w:rFonts w:eastAsiaTheme="minorHAnsi"/>
        </w:rPr>
        <w:t>1.1.1.</w:t>
      </w:r>
      <w:r w:rsidRPr="007F465B">
        <w:rPr>
          <w:rFonts w:eastAsiaTheme="minorHAnsi"/>
        </w:rPr>
        <w:tab/>
      </w:r>
      <w:r w:rsidRPr="007F465B">
        <w:t>Types of measures</w:t>
      </w:r>
    </w:p>
    <w:p w14:paraId="163B600A" w14:textId="77777777" w:rsidR="00E51EEA" w:rsidRPr="001501BF" w:rsidRDefault="00E51EEA" w:rsidP="00BE6A58">
      <w:pPr>
        <w:pStyle w:val="SingleTxtG"/>
        <w:numPr>
          <w:ilvl w:val="0"/>
          <w:numId w:val="4"/>
        </w:numPr>
        <w:ind w:left="1134" w:firstLine="0"/>
        <w:rPr>
          <w:lang w:val="en-US"/>
        </w:rPr>
      </w:pPr>
      <w:r>
        <w:rPr>
          <w:lang w:val="en-US"/>
        </w:rPr>
        <w:t xml:space="preserve">The most common type of reparation found in relation to the victim is </w:t>
      </w:r>
      <w:r w:rsidRPr="00521C7A">
        <w:rPr>
          <w:lang w:val="en-US"/>
        </w:rPr>
        <w:t>compensation</w:t>
      </w:r>
      <w:r>
        <w:rPr>
          <w:lang w:val="en-US"/>
        </w:rPr>
        <w:t xml:space="preserve">. All treaty bodies recommend that the State party provide compensation. Compensation is mostly mentioned in broad terms, such as “fair” or “adequate”. In some cases, more details are provided: reimbursement of legal costs incurred by the procedure, reimbursement of a fine, compensation for lost employment opportunity, compensation for non-pecuniary damage, for moral and physical harm, or for material damage. </w:t>
      </w:r>
    </w:p>
    <w:p w14:paraId="7EE02DC8" w14:textId="77777777" w:rsidR="00E51EEA" w:rsidRDefault="00E51EEA" w:rsidP="00BE6A58">
      <w:pPr>
        <w:pStyle w:val="SingleTxtG"/>
        <w:numPr>
          <w:ilvl w:val="0"/>
          <w:numId w:val="4"/>
        </w:numPr>
        <w:ind w:left="1134" w:firstLine="0"/>
        <w:rPr>
          <w:lang w:val="en-US"/>
        </w:rPr>
      </w:pPr>
      <w:r>
        <w:rPr>
          <w:lang w:val="en-US"/>
        </w:rPr>
        <w:t xml:space="preserve">The second most recommended form of reparation is to bring perpetrators to justice by conducting an investigation with a view to prosecute, try and punish those responsible for the violations. Other measures of satisfaction include the adoption of the views themselves, a public or official apology, grant pardon, rehabilitation for the name of the victim, provide the information requested, grant status of victim and access to the truth, monitor conditions of detention, provide educational support, legal assistance, hand over remains in cases of enforced disappearance, guarantee physical and moral integrity, facilitate solution to conflict). </w:t>
      </w:r>
    </w:p>
    <w:p w14:paraId="79493CCD" w14:textId="77777777" w:rsidR="00E51EEA" w:rsidRDefault="00E51EEA" w:rsidP="00BE6A58">
      <w:pPr>
        <w:pStyle w:val="SingleTxtG"/>
        <w:numPr>
          <w:ilvl w:val="0"/>
          <w:numId w:val="4"/>
        </w:numPr>
        <w:ind w:left="1134" w:firstLine="0"/>
        <w:rPr>
          <w:lang w:val="en-US"/>
        </w:rPr>
      </w:pPr>
      <w:r>
        <w:rPr>
          <w:lang w:val="en-US"/>
        </w:rPr>
        <w:t xml:space="preserve">In deportation and extradition cases, treaty bodies consistently recommend that the State party re-assess the asylum application or the extradition case and refrain from deporting or extraditing the author pending review. The committees recommend other measures of restitution, including release, retrial, quash criminal conviction or verdict, expunge criminal record, restore rights, recalculate pension, refrain from calling to military service in the absence of an alternative, return to previous (less strict) detention regime. </w:t>
      </w:r>
    </w:p>
    <w:p w14:paraId="09AE7B16" w14:textId="77777777" w:rsidR="00E51EEA" w:rsidRPr="00652B6D" w:rsidRDefault="00E51EEA" w:rsidP="00BE6A58">
      <w:pPr>
        <w:pStyle w:val="SingleTxtG"/>
        <w:numPr>
          <w:ilvl w:val="0"/>
          <w:numId w:val="4"/>
        </w:numPr>
        <w:ind w:left="1134" w:firstLine="0"/>
        <w:rPr>
          <w:lang w:val="en-US"/>
        </w:rPr>
      </w:pPr>
      <w:r>
        <w:rPr>
          <w:lang w:val="en-US"/>
        </w:rPr>
        <w:t>Finally, treaty bodies recommend measures of rehabilitation, including medical and psychological care in cases of torture (CCPR and CAT), enforced disappearance (CCPR), domestic violence (CEDAW) and a summary deportation of an unaccompanied child (CRC).</w:t>
      </w:r>
    </w:p>
    <w:p w14:paraId="05B4C327" w14:textId="77777777" w:rsidR="00E51EEA" w:rsidRPr="007F465B" w:rsidRDefault="00E51EEA" w:rsidP="00E51EEA">
      <w:pPr>
        <w:pStyle w:val="H23G"/>
      </w:pPr>
      <w:r>
        <w:rPr>
          <w:rFonts w:eastAsiaTheme="minorHAnsi"/>
        </w:rPr>
        <w:tab/>
      </w:r>
      <w:r>
        <w:rPr>
          <w:rFonts w:eastAsiaTheme="minorHAnsi"/>
        </w:rPr>
        <w:tab/>
      </w:r>
      <w:r w:rsidRPr="007F465B">
        <w:rPr>
          <w:rFonts w:eastAsiaTheme="minorHAnsi"/>
        </w:rPr>
        <w:t>1.1.2.</w:t>
      </w:r>
      <w:r w:rsidRPr="007F465B">
        <w:rPr>
          <w:rFonts w:eastAsiaTheme="minorHAnsi"/>
        </w:rPr>
        <w:tab/>
      </w:r>
      <w:r w:rsidRPr="00DA5AE9">
        <w:t>Mostly</w:t>
      </w:r>
      <w:r w:rsidRPr="007F465B">
        <w:t xml:space="preserve"> consistent practices</w:t>
      </w:r>
    </w:p>
    <w:p w14:paraId="02AF5F93" w14:textId="77777777" w:rsidR="00E51EEA" w:rsidRDefault="00E51EEA" w:rsidP="00BE6A58">
      <w:pPr>
        <w:pStyle w:val="SingleTxtG"/>
        <w:numPr>
          <w:ilvl w:val="0"/>
          <w:numId w:val="4"/>
        </w:numPr>
        <w:ind w:left="1134" w:firstLine="0"/>
        <w:rPr>
          <w:lang w:val="en-US"/>
        </w:rPr>
      </w:pPr>
      <w:r>
        <w:rPr>
          <w:lang w:val="en-US"/>
        </w:rPr>
        <w:t xml:space="preserve">Overall, committees demonstrate consistency in the types of victim-specific reparation that they identify and recommend in similar cases. </w:t>
      </w:r>
    </w:p>
    <w:p w14:paraId="1CF24AEB" w14:textId="77777777" w:rsidR="00E51EEA" w:rsidRDefault="00E51EEA" w:rsidP="00BE6A58">
      <w:pPr>
        <w:pStyle w:val="SingleTxtG"/>
        <w:numPr>
          <w:ilvl w:val="0"/>
          <w:numId w:val="4"/>
        </w:numPr>
        <w:ind w:left="1134" w:firstLine="0"/>
        <w:rPr>
          <w:lang w:val="en-US"/>
        </w:rPr>
      </w:pPr>
      <w:r>
        <w:rPr>
          <w:lang w:val="en-US"/>
        </w:rPr>
        <w:t>Within the same committee, similar cases mostly lead to similar measures being recommended. For example, in cases dealing with the right to peaceful assembly and freedom of expression where victims have been fined by the authorities for participating in unauthorized events</w:t>
      </w:r>
      <w:r w:rsidRPr="00000873">
        <w:rPr>
          <w:rStyle w:val="FootnoteReference"/>
        </w:rPr>
        <w:footnoteReference w:id="22"/>
      </w:r>
      <w:r>
        <w:rPr>
          <w:lang w:val="en-US"/>
        </w:rPr>
        <w:t xml:space="preserve"> or distributing an unregistered newspaper,</w:t>
      </w:r>
      <w:r w:rsidRPr="00000873">
        <w:rPr>
          <w:rStyle w:val="FootnoteReference"/>
        </w:rPr>
        <w:footnoteReference w:id="23"/>
      </w:r>
      <w:r>
        <w:rPr>
          <w:lang w:val="en-US"/>
        </w:rPr>
        <w:t xml:space="preserve"> CCPR consistently recommends that the State party concerned provide compensation to the authors, including reimbursement of the fine and any legal costs. Similarly, in cases of enforced disappearance, CCPR recommends the same reparative measures, which are specific and relevant to the multiple violations involved.</w:t>
      </w:r>
      <w:r w:rsidRPr="00000873">
        <w:rPr>
          <w:rStyle w:val="FootnoteReference"/>
        </w:rPr>
        <w:footnoteReference w:id="24"/>
      </w:r>
      <w:r>
        <w:rPr>
          <w:lang w:val="en-US"/>
        </w:rPr>
        <w:t xml:space="preserve"> These include to conduct an investigation to establish the truth; provide the author(s) with information on the outcome of the investigation; prosecute, try and punish those responsible for the disappearance; release the person if s/he is still alive; endeavour to find the mortal remains and return them to the family in dignified conditions; provide adequate compensation.</w:t>
      </w:r>
    </w:p>
    <w:p w14:paraId="1630DBEA" w14:textId="77777777" w:rsidR="00E51EEA" w:rsidRDefault="00E51EEA" w:rsidP="00BE6A58">
      <w:pPr>
        <w:pStyle w:val="SingleTxtG"/>
        <w:numPr>
          <w:ilvl w:val="0"/>
          <w:numId w:val="4"/>
        </w:numPr>
        <w:ind w:left="1134" w:firstLine="0"/>
        <w:rPr>
          <w:lang w:val="en-US"/>
        </w:rPr>
      </w:pPr>
      <w:r>
        <w:rPr>
          <w:lang w:val="en-US"/>
        </w:rPr>
        <w:t>Likewise, in non-refoulement cases brought before CAT, the committee consistently recommends the same type of reparation, whether they concern extradition requests, asylum applications or deportation. For example, in 5 cases dealing with extraditions requests addressed to Morocco, including 3 decisions adopted the same day, CAT recommends that the State party release the authors from pretrial detention, refrain from extraditing them and reassess their extradition request in light of the Convention.</w:t>
      </w:r>
      <w:r w:rsidRPr="00000873">
        <w:rPr>
          <w:rStyle w:val="FootnoteReference"/>
        </w:rPr>
        <w:footnoteReference w:id="25"/>
      </w:r>
      <w:r>
        <w:rPr>
          <w:lang w:val="en-US"/>
        </w:rPr>
        <w:t xml:space="preserve"> Moreover, in asylum cases in Switzerland, CAT makes the same recommendations and requests the State party to refrain from deporting the authors and review their asylum claims.</w:t>
      </w:r>
      <w:r w:rsidRPr="00000873">
        <w:rPr>
          <w:rStyle w:val="FootnoteReference"/>
        </w:rPr>
        <w:footnoteReference w:id="26"/>
      </w:r>
      <w:r>
        <w:rPr>
          <w:lang w:val="en-US"/>
        </w:rPr>
        <w:t xml:space="preserve"> CAT also consistently requests States parties to refrain from deporting  or forcibly returning authors to countries where they run a risk in breach of the non-refoulement principle.</w:t>
      </w:r>
      <w:r w:rsidRPr="00000873">
        <w:rPr>
          <w:rStyle w:val="FootnoteReference"/>
        </w:rPr>
        <w:footnoteReference w:id="27"/>
      </w:r>
      <w:r>
        <w:rPr>
          <w:lang w:val="en-US"/>
        </w:rPr>
        <w:t xml:space="preserve"> In the only non-refoulement case it has thus far considered, CED recommended similar measures of reparations, i.e. that the State party should re-examine the author’s asylum application and refrain from deporting him/her.</w:t>
      </w:r>
      <w:r w:rsidRPr="00000873">
        <w:rPr>
          <w:rStyle w:val="FootnoteReference"/>
        </w:rPr>
        <w:footnoteReference w:id="28"/>
      </w:r>
    </w:p>
    <w:p w14:paraId="6B714F83" w14:textId="77777777" w:rsidR="00E51EEA" w:rsidRDefault="00E51EEA" w:rsidP="00BE6A58">
      <w:pPr>
        <w:pStyle w:val="SingleTxtG"/>
        <w:numPr>
          <w:ilvl w:val="0"/>
          <w:numId w:val="4"/>
        </w:numPr>
        <w:ind w:left="1134" w:firstLine="0"/>
        <w:rPr>
          <w:lang w:val="en-US"/>
        </w:rPr>
      </w:pPr>
      <w:r>
        <w:rPr>
          <w:lang w:val="en-US"/>
        </w:rPr>
        <w:t>However, some divergence could be found in the CCPR jurisprudence regarding the granting of a public or official apology to the author in cases involving Nepal. While this measure is requested in similar cases by the authors of the communications,</w:t>
      </w:r>
      <w:r w:rsidRPr="00000873">
        <w:rPr>
          <w:rStyle w:val="FootnoteReference"/>
        </w:rPr>
        <w:footnoteReference w:id="29"/>
      </w:r>
      <w:r>
        <w:rPr>
          <w:lang w:val="en-US"/>
        </w:rPr>
        <w:t xml:space="preserve"> it is granted in one case only.</w:t>
      </w:r>
      <w:r w:rsidRPr="00000873">
        <w:rPr>
          <w:rStyle w:val="FootnoteReference"/>
        </w:rPr>
        <w:footnoteReference w:id="30"/>
      </w:r>
      <w:r>
        <w:rPr>
          <w:lang w:val="en-US"/>
        </w:rPr>
        <w:t xml:space="preserve"> In another case dealing with the same “widespread”, “systematic” problems, 4 members of the committee, in a concurring opinion, expressed their dissent at the majority’s refusal to grant the author an official apology, as requested in his communication.</w:t>
      </w:r>
      <w:r w:rsidRPr="00000873">
        <w:rPr>
          <w:rStyle w:val="FootnoteReference"/>
        </w:rPr>
        <w:footnoteReference w:id="31"/>
      </w:r>
      <w:r>
        <w:rPr>
          <w:lang w:val="en-US"/>
        </w:rPr>
        <w:t xml:space="preserve"> Thus this discrepancy in the committee’s jurisprudence was noted by some of its members. </w:t>
      </w:r>
    </w:p>
    <w:p w14:paraId="75043492" w14:textId="77777777" w:rsidR="00E51EEA" w:rsidRPr="00F42318" w:rsidRDefault="00E51EEA" w:rsidP="00BE6A58">
      <w:pPr>
        <w:pStyle w:val="SingleTxtG"/>
        <w:numPr>
          <w:ilvl w:val="0"/>
          <w:numId w:val="4"/>
        </w:numPr>
        <w:ind w:left="1134" w:firstLine="0"/>
        <w:rPr>
          <w:lang w:val="en-US"/>
        </w:rPr>
      </w:pPr>
      <w:r>
        <w:rPr>
          <w:lang w:val="en-US"/>
        </w:rPr>
        <w:t>Across treaty bodies, similarities could also be noted regarding rarely found cross-cutting issues,</w:t>
      </w:r>
      <w:r w:rsidRPr="00000873">
        <w:rPr>
          <w:rStyle w:val="FootnoteReference"/>
        </w:rPr>
        <w:footnoteReference w:id="32"/>
      </w:r>
      <w:r>
        <w:rPr>
          <w:lang w:val="en-US"/>
        </w:rPr>
        <w:t xml:space="preserve"> such as measures of rehabilitation for victims of torture. Rehabilitation measures are recommended by CCPR</w:t>
      </w:r>
      <w:r w:rsidRPr="00000873">
        <w:rPr>
          <w:rStyle w:val="FootnoteReference"/>
        </w:rPr>
        <w:footnoteReference w:id="33"/>
      </w:r>
      <w:r>
        <w:rPr>
          <w:lang w:val="en-US"/>
        </w:rPr>
        <w:t xml:space="preserve"> and CAT,</w:t>
      </w:r>
      <w:r w:rsidRPr="00000873">
        <w:rPr>
          <w:rStyle w:val="FootnoteReference"/>
        </w:rPr>
        <w:footnoteReference w:id="34"/>
      </w:r>
      <w:r>
        <w:rPr>
          <w:lang w:val="en-US"/>
        </w:rPr>
        <w:t xml:space="preserve"> but not by CRPD.</w:t>
      </w:r>
      <w:r w:rsidRPr="00000873">
        <w:rPr>
          <w:rStyle w:val="FootnoteReference"/>
        </w:rPr>
        <w:footnoteReference w:id="35"/>
      </w:r>
      <w:r>
        <w:rPr>
          <w:lang w:val="en-US"/>
        </w:rPr>
        <w:t xml:space="preserve"> In non-refoulement cases considered by CCPR, the committee recommends the same measures as CAT and generally requests the State party to review the asylum claim and refrain from deporting the author in the meantime.</w:t>
      </w:r>
      <w:r w:rsidRPr="00000873">
        <w:rPr>
          <w:rStyle w:val="FootnoteReference"/>
        </w:rPr>
        <w:footnoteReference w:id="36"/>
      </w:r>
      <w:r>
        <w:rPr>
          <w:lang w:val="en-US"/>
        </w:rPr>
        <w:t xml:space="preserve"> </w:t>
      </w:r>
    </w:p>
    <w:p w14:paraId="3D61B91A" w14:textId="77777777" w:rsidR="00E51EEA" w:rsidRPr="00604D64" w:rsidRDefault="00E51EEA" w:rsidP="00E51EEA">
      <w:pPr>
        <w:pStyle w:val="H23G"/>
      </w:pPr>
      <w:r>
        <w:rPr>
          <w:rFonts w:eastAsiaTheme="minorHAnsi"/>
        </w:rPr>
        <w:tab/>
      </w:r>
      <w:r>
        <w:rPr>
          <w:rFonts w:eastAsiaTheme="minorHAnsi"/>
        </w:rPr>
        <w:tab/>
      </w:r>
      <w:r w:rsidRPr="00604D64">
        <w:rPr>
          <w:rFonts w:eastAsiaTheme="minorHAnsi"/>
        </w:rPr>
        <w:t>1.2.</w:t>
      </w:r>
      <w:r w:rsidRPr="00604D64">
        <w:rPr>
          <w:rFonts w:eastAsiaTheme="minorHAnsi"/>
        </w:rPr>
        <w:tab/>
      </w:r>
      <w:r w:rsidRPr="00604D64">
        <w:t>General measures of non-repetition</w:t>
      </w:r>
    </w:p>
    <w:p w14:paraId="69070238" w14:textId="77777777" w:rsidR="00E51EEA" w:rsidRPr="00025F70" w:rsidRDefault="00E51EEA" w:rsidP="00BE6A58">
      <w:pPr>
        <w:pStyle w:val="SingleTxtG"/>
        <w:numPr>
          <w:ilvl w:val="0"/>
          <w:numId w:val="4"/>
        </w:numPr>
        <w:ind w:left="1134" w:firstLine="0"/>
        <w:rPr>
          <w:lang w:val="en-US"/>
        </w:rPr>
      </w:pPr>
      <w:r w:rsidRPr="004A59CA">
        <w:rPr>
          <w:lang w:val="en-US"/>
        </w:rPr>
        <w:t>All committees formulate general recommendations, which marks an evolution from previous practice for CAT and CERD.</w:t>
      </w:r>
      <w:r w:rsidRPr="00000873">
        <w:rPr>
          <w:rStyle w:val="FootnoteReference"/>
        </w:rPr>
        <w:footnoteReference w:id="37"/>
      </w:r>
      <w:r w:rsidRPr="004A59CA">
        <w:rPr>
          <w:lang w:val="en-US"/>
        </w:rPr>
        <w:t xml:space="preserve"> When committees abstain from recommending general measures, this is generally because they consider that there is no need to review domestic legislation and practices. For example, in several deportation cases </w:t>
      </w:r>
      <w:r>
        <w:rPr>
          <w:lang w:val="en-US"/>
        </w:rPr>
        <w:t>involving</w:t>
      </w:r>
      <w:r w:rsidRPr="004A59CA">
        <w:rPr>
          <w:lang w:val="en-US"/>
        </w:rPr>
        <w:t xml:space="preserve"> Denmark, </w:t>
      </w:r>
      <w:r>
        <w:rPr>
          <w:lang w:val="en-US"/>
        </w:rPr>
        <w:t xml:space="preserve">Sweden and Switzerland, </w:t>
      </w:r>
      <w:r w:rsidRPr="004A59CA">
        <w:rPr>
          <w:lang w:val="en-US"/>
        </w:rPr>
        <w:t xml:space="preserve">CAT and CCPR limit their recommendations to measures </w:t>
      </w:r>
      <w:r>
        <w:rPr>
          <w:lang w:val="en-US"/>
        </w:rPr>
        <w:t xml:space="preserve">of restitution </w:t>
      </w:r>
      <w:r w:rsidRPr="004A59CA">
        <w:rPr>
          <w:lang w:val="en-US"/>
        </w:rPr>
        <w:t>in relation to the victim of the violation</w:t>
      </w:r>
      <w:r>
        <w:rPr>
          <w:lang w:val="en-US"/>
        </w:rPr>
        <w:t xml:space="preserve"> </w:t>
      </w:r>
      <w:r w:rsidRPr="00F35F55">
        <w:rPr>
          <w:lang w:val="en-US"/>
        </w:rPr>
        <w:t>(i.e. review the case and/or refrain from deporting</w:t>
      </w:r>
      <w:r>
        <w:rPr>
          <w:lang w:val="en-US"/>
        </w:rPr>
        <w:t xml:space="preserve"> the author(s)</w:t>
      </w:r>
      <w:r w:rsidRPr="00F35F55">
        <w:rPr>
          <w:lang w:val="en-US"/>
        </w:rPr>
        <w:t>)</w:t>
      </w:r>
      <w:r w:rsidRPr="004A59CA">
        <w:rPr>
          <w:lang w:val="en-US"/>
        </w:rPr>
        <w:t xml:space="preserve">. </w:t>
      </w:r>
      <w:r>
        <w:rPr>
          <w:lang w:val="en-US"/>
        </w:rPr>
        <w:t>In such cases, it seems that g</w:t>
      </w:r>
      <w:r w:rsidRPr="004A59CA">
        <w:rPr>
          <w:lang w:val="en-US"/>
        </w:rPr>
        <w:t>uarantees of non-repetition are not mentioned because the committees consider that the violation</w:t>
      </w:r>
      <w:r>
        <w:rPr>
          <w:lang w:val="en-US"/>
        </w:rPr>
        <w:t>s</w:t>
      </w:r>
      <w:r w:rsidRPr="004A59CA">
        <w:rPr>
          <w:lang w:val="en-US"/>
        </w:rPr>
        <w:t xml:space="preserve"> </w:t>
      </w:r>
      <w:r>
        <w:rPr>
          <w:lang w:val="en-US"/>
        </w:rPr>
        <w:t>result</w:t>
      </w:r>
      <w:r w:rsidRPr="004A59CA">
        <w:rPr>
          <w:lang w:val="en-US"/>
        </w:rPr>
        <w:t xml:space="preserve"> from the assessment </w:t>
      </w:r>
      <w:r>
        <w:rPr>
          <w:lang w:val="en-US"/>
        </w:rPr>
        <w:t>of the risk</w:t>
      </w:r>
      <w:r w:rsidRPr="004A59CA">
        <w:rPr>
          <w:lang w:val="en-US"/>
        </w:rPr>
        <w:t xml:space="preserve"> rather than </w:t>
      </w:r>
      <w:r>
        <w:rPr>
          <w:lang w:val="en-US"/>
        </w:rPr>
        <w:t xml:space="preserve">domestic deportation </w:t>
      </w:r>
      <w:r w:rsidRPr="004A59CA">
        <w:rPr>
          <w:lang w:val="en-US"/>
        </w:rPr>
        <w:t>procedures.</w:t>
      </w:r>
      <w:r w:rsidRPr="00000873">
        <w:rPr>
          <w:rStyle w:val="FootnoteReference"/>
        </w:rPr>
        <w:footnoteReference w:id="38"/>
      </w:r>
    </w:p>
    <w:p w14:paraId="4CED0E23" w14:textId="77777777" w:rsidR="00E51EEA" w:rsidRPr="00604D64" w:rsidRDefault="00E51EEA" w:rsidP="00E51EEA">
      <w:pPr>
        <w:pStyle w:val="H23G"/>
      </w:pPr>
      <w:r>
        <w:rPr>
          <w:rFonts w:eastAsiaTheme="minorHAnsi"/>
        </w:rPr>
        <w:tab/>
      </w:r>
      <w:r>
        <w:rPr>
          <w:rFonts w:eastAsiaTheme="minorHAnsi"/>
        </w:rPr>
        <w:tab/>
      </w:r>
      <w:r w:rsidRPr="00604D64">
        <w:rPr>
          <w:rFonts w:eastAsiaTheme="minorHAnsi"/>
        </w:rPr>
        <w:t>1.2.1.</w:t>
      </w:r>
      <w:r w:rsidRPr="00604D64">
        <w:rPr>
          <w:rFonts w:eastAsiaTheme="minorHAnsi"/>
        </w:rPr>
        <w:tab/>
      </w:r>
      <w:r w:rsidRPr="00604D64">
        <w:t>Types of measures recommended</w:t>
      </w:r>
    </w:p>
    <w:p w14:paraId="3D442EDB" w14:textId="77777777" w:rsidR="00E51EEA" w:rsidRDefault="00E51EEA" w:rsidP="00BE6A58">
      <w:pPr>
        <w:pStyle w:val="SingleTxtG"/>
        <w:numPr>
          <w:ilvl w:val="0"/>
          <w:numId w:val="4"/>
        </w:numPr>
        <w:ind w:left="1134" w:firstLine="0"/>
        <w:rPr>
          <w:lang w:val="en-US"/>
        </w:rPr>
      </w:pPr>
      <w:r>
        <w:rPr>
          <w:lang w:val="en-US"/>
        </w:rPr>
        <w:t>General measures as guarantees of non-repetition include a general recommendation to take all steps necessary to prevent similar future violations; dissemination of views; review of the domestic normative framework, legislation and/or practices; sign/ratify a relevant international or regional treaty; provide training to relevant officials; awareness-raising; capacity-building; conduct a review or an investigation to identify structural failures in the State; address stereotypes and prejudices.</w:t>
      </w:r>
    </w:p>
    <w:p w14:paraId="7BC64EBD" w14:textId="77777777" w:rsidR="00E51EEA" w:rsidRDefault="00E51EEA" w:rsidP="00BE6A58">
      <w:pPr>
        <w:pStyle w:val="SingleTxtG"/>
        <w:numPr>
          <w:ilvl w:val="0"/>
          <w:numId w:val="4"/>
        </w:numPr>
        <w:ind w:left="1134" w:firstLine="0"/>
        <w:rPr>
          <w:lang w:val="en-US"/>
        </w:rPr>
      </w:pPr>
      <w:r>
        <w:rPr>
          <w:lang w:val="en-US"/>
        </w:rPr>
        <w:t>CCPR, CRC, CEDAW and CESCR systematically request the State party to disseminate the views in largely similar terms, with some nuances regarding official languages that are mentioned where relevant, an “accessible format” that is requested by CESCR and CRPD or the audience with CESCR and CRPD referring to “all sectors of the population” and CEDAW to “all sectors of society”.</w:t>
      </w:r>
      <w:r w:rsidRPr="00000873">
        <w:rPr>
          <w:rStyle w:val="FootnoteReference"/>
        </w:rPr>
        <w:footnoteReference w:id="39"/>
      </w:r>
      <w:r>
        <w:rPr>
          <w:lang w:val="en-US"/>
        </w:rPr>
        <w:t xml:space="preserve"> CRPD makes a similar recommendation in 5 out 6 views. CAT urges the State party concerned to disseminate its views in only 2 out of 19 views. However, when it does, CAT explains the preventive purpose of the measure</w:t>
      </w:r>
      <w:r w:rsidRPr="00000873">
        <w:rPr>
          <w:rStyle w:val="FootnoteReference"/>
        </w:rPr>
        <w:footnoteReference w:id="40"/>
      </w:r>
      <w:r>
        <w:rPr>
          <w:lang w:val="en-US"/>
        </w:rPr>
        <w:t xml:space="preserve"> or is very specific as to the target audience.</w:t>
      </w:r>
      <w:r w:rsidRPr="00000873">
        <w:rPr>
          <w:rStyle w:val="FootnoteReference"/>
        </w:rPr>
        <w:footnoteReference w:id="41"/>
      </w:r>
      <w:r>
        <w:rPr>
          <w:lang w:val="en-US"/>
        </w:rPr>
        <w:t xml:space="preserve"> </w:t>
      </w:r>
    </w:p>
    <w:p w14:paraId="01C797EF" w14:textId="77777777" w:rsidR="00E51EEA" w:rsidRDefault="00E51EEA" w:rsidP="00BE6A58">
      <w:pPr>
        <w:pStyle w:val="SingleTxtG"/>
        <w:numPr>
          <w:ilvl w:val="0"/>
          <w:numId w:val="4"/>
        </w:numPr>
        <w:ind w:left="1134" w:firstLine="0"/>
        <w:rPr>
          <w:lang w:val="en-US"/>
        </w:rPr>
      </w:pPr>
      <w:r>
        <w:rPr>
          <w:lang w:val="en-US"/>
        </w:rPr>
        <w:t xml:space="preserve">Apart from broadly phrased guarantees of non-repetition and the dissemination of views, the review of the domestic normative framework and changes in legislation or practices are the most commonly prescribed general measures. Unsurprisingly, such measures are found in repetitive cases arising from problematic pieces of legislation, procedures or practices in States parties concerned. </w:t>
      </w:r>
    </w:p>
    <w:p w14:paraId="611C5542" w14:textId="77777777" w:rsidR="00E51EEA" w:rsidRDefault="00E51EEA" w:rsidP="00BE6A58">
      <w:pPr>
        <w:pStyle w:val="SingleTxtG"/>
        <w:numPr>
          <w:ilvl w:val="0"/>
          <w:numId w:val="4"/>
        </w:numPr>
        <w:ind w:left="1134" w:firstLine="0"/>
        <w:rPr>
          <w:lang w:val="en-US"/>
        </w:rPr>
      </w:pPr>
      <w:r>
        <w:rPr>
          <w:lang w:val="en-US"/>
        </w:rPr>
        <w:t>For example, in repetitive cases concerning freedom of expression and freedom of association in Belarus, CCPR reminds the State party of its obligation to bring its national legislation in line with the relevant articles of the ICCRP (articles 19 and 21).</w:t>
      </w:r>
      <w:r w:rsidRPr="00000873">
        <w:rPr>
          <w:rStyle w:val="FootnoteReference"/>
        </w:rPr>
        <w:footnoteReference w:id="42"/>
      </w:r>
      <w:r>
        <w:rPr>
          <w:lang w:val="en-US"/>
        </w:rPr>
        <w:t xml:space="preserve"> Besides, CCPR recommends similar measures in a series of cases addressing freedom of association in Kazakhstan to ensure that the legislation is in line with article 21 of the Covenant.</w:t>
      </w:r>
      <w:r w:rsidRPr="00000873">
        <w:rPr>
          <w:rStyle w:val="FootnoteReference"/>
        </w:rPr>
        <w:footnoteReference w:id="43"/>
      </w:r>
      <w:r>
        <w:rPr>
          <w:lang w:val="en-US"/>
        </w:rPr>
        <w:t xml:space="preserve"> Likewise, in similar cases dealing with torture and enforced disappearance in Nepal, CCPR requests the State party to ensure that its legislation criminalizes those practices and </w:t>
      </w:r>
      <w:r w:rsidRPr="004512F9">
        <w:rPr>
          <w:lang w:val="en-US"/>
        </w:rPr>
        <w:t>provides for appropriate sanctions and remedies commensurate with the gravity of the crimes</w:t>
      </w:r>
      <w:r>
        <w:rPr>
          <w:lang w:val="en-US"/>
        </w:rPr>
        <w:t>.</w:t>
      </w:r>
      <w:r w:rsidRPr="00000873">
        <w:rPr>
          <w:rStyle w:val="FootnoteReference"/>
        </w:rPr>
        <w:footnoteReference w:id="44"/>
      </w:r>
    </w:p>
    <w:p w14:paraId="16FFAFFB" w14:textId="77777777" w:rsidR="00E51EEA" w:rsidRDefault="00E51EEA" w:rsidP="00BE6A58">
      <w:pPr>
        <w:pStyle w:val="SingleTxtG"/>
        <w:numPr>
          <w:ilvl w:val="0"/>
          <w:numId w:val="4"/>
        </w:numPr>
        <w:ind w:left="1134" w:firstLine="0"/>
        <w:rPr>
          <w:lang w:val="en-US"/>
        </w:rPr>
      </w:pPr>
      <w:r>
        <w:rPr>
          <w:lang w:val="en-US"/>
        </w:rPr>
        <w:t>CAT, in repetitive cases of extradition involving Morocco, recommends that the State party review its practices when considering extradition requests to ensure that such requests entail an assessment of the risk of torture and ill-treatment.</w:t>
      </w:r>
      <w:r w:rsidRPr="00000873">
        <w:rPr>
          <w:rStyle w:val="FootnoteReference"/>
        </w:rPr>
        <w:footnoteReference w:id="45"/>
      </w:r>
      <w:r>
        <w:rPr>
          <w:lang w:val="en-US"/>
        </w:rPr>
        <w:t xml:space="preserve"> </w:t>
      </w:r>
    </w:p>
    <w:p w14:paraId="6A0EE2FC" w14:textId="77777777" w:rsidR="00E51EEA" w:rsidRDefault="00E51EEA" w:rsidP="00BE6A58">
      <w:pPr>
        <w:pStyle w:val="SingleTxtG"/>
        <w:numPr>
          <w:ilvl w:val="0"/>
          <w:numId w:val="4"/>
        </w:numPr>
        <w:ind w:left="1134" w:firstLine="0"/>
        <w:rPr>
          <w:lang w:val="en-US"/>
        </w:rPr>
      </w:pPr>
      <w:r w:rsidRPr="00B07EA6">
        <w:rPr>
          <w:lang w:val="en-US"/>
        </w:rPr>
        <w:t xml:space="preserve">Similarly, in CRC cases </w:t>
      </w:r>
      <w:r>
        <w:rPr>
          <w:lang w:val="en-US"/>
        </w:rPr>
        <w:t>relating to</w:t>
      </w:r>
      <w:r w:rsidRPr="00B07EA6">
        <w:rPr>
          <w:lang w:val="en-US"/>
        </w:rPr>
        <w:t xml:space="preserve"> age determination procedures </w:t>
      </w:r>
      <w:r>
        <w:rPr>
          <w:lang w:val="en-US"/>
        </w:rPr>
        <w:t xml:space="preserve">for unaccompanied children </w:t>
      </w:r>
      <w:r w:rsidRPr="00B07EA6">
        <w:rPr>
          <w:lang w:val="en-US"/>
        </w:rPr>
        <w:t>in Spain</w:t>
      </w:r>
      <w:r>
        <w:rPr>
          <w:lang w:val="en-US"/>
        </w:rPr>
        <w:t>, the committee consistently recommends reviewing practices to ensure that those procedures are carried out in a manner that is consistent with the Convention.</w:t>
      </w:r>
      <w:r w:rsidRPr="00000873">
        <w:rPr>
          <w:rStyle w:val="FootnoteReference"/>
        </w:rPr>
        <w:footnoteReference w:id="46"/>
      </w:r>
      <w:r>
        <w:rPr>
          <w:lang w:val="en-US"/>
        </w:rPr>
        <w:t xml:space="preserve"> </w:t>
      </w:r>
    </w:p>
    <w:p w14:paraId="5826BD3B" w14:textId="77777777" w:rsidR="00E51EEA" w:rsidRPr="00DA5AE9" w:rsidRDefault="00E51EEA" w:rsidP="00E51EEA">
      <w:pPr>
        <w:pStyle w:val="H23G"/>
      </w:pPr>
      <w:r>
        <w:rPr>
          <w:rFonts w:eastAsiaTheme="minorHAnsi"/>
        </w:rPr>
        <w:tab/>
      </w:r>
      <w:r>
        <w:rPr>
          <w:rFonts w:eastAsiaTheme="minorHAnsi"/>
        </w:rPr>
        <w:tab/>
      </w:r>
      <w:r w:rsidRPr="00DA5AE9">
        <w:rPr>
          <w:rFonts w:eastAsiaTheme="minorHAnsi"/>
        </w:rPr>
        <w:t>1.2.2.</w:t>
      </w:r>
      <w:r w:rsidRPr="00DA5AE9">
        <w:rPr>
          <w:rFonts w:eastAsiaTheme="minorHAnsi"/>
        </w:rPr>
        <w:tab/>
      </w:r>
      <w:r w:rsidRPr="00DA5AE9">
        <w:t>Differences in the breadth of general measures recommended</w:t>
      </w:r>
    </w:p>
    <w:p w14:paraId="6136588C" w14:textId="77777777" w:rsidR="00E51EEA" w:rsidRDefault="00E51EEA" w:rsidP="00BE6A58">
      <w:pPr>
        <w:pStyle w:val="SingleTxtG"/>
        <w:numPr>
          <w:ilvl w:val="0"/>
          <w:numId w:val="4"/>
        </w:numPr>
        <w:ind w:left="1134" w:firstLine="0"/>
        <w:rPr>
          <w:lang w:val="en-US"/>
        </w:rPr>
      </w:pPr>
      <w:r>
        <w:rPr>
          <w:lang w:val="en-US"/>
        </w:rPr>
        <w:t>While victim-specific recommendations appear to be mostly consistent across treaty bodies and within the same committee, the situation is different regarding general measures aiming at preventing future violations.</w:t>
      </w:r>
    </w:p>
    <w:p w14:paraId="7CEFE413" w14:textId="77777777" w:rsidR="00E51EEA" w:rsidRDefault="00E51EEA" w:rsidP="00BE6A58">
      <w:pPr>
        <w:pStyle w:val="SingleTxtG"/>
        <w:numPr>
          <w:ilvl w:val="0"/>
          <w:numId w:val="4"/>
        </w:numPr>
        <w:ind w:left="1134" w:firstLine="0"/>
        <w:rPr>
          <w:lang w:val="en-US"/>
        </w:rPr>
      </w:pPr>
      <w:r w:rsidRPr="00DD0A01">
        <w:rPr>
          <w:lang w:val="en-US"/>
        </w:rPr>
        <w:t xml:space="preserve">The research shows that </w:t>
      </w:r>
      <w:r w:rsidRPr="00F049B3">
        <w:rPr>
          <w:lang w:val="en-US"/>
        </w:rPr>
        <w:t>some treaty bodies use a broader range of measures than others, with CEDAW and CRPD recommending the widest range of general measures</w:t>
      </w:r>
      <w:r>
        <w:rPr>
          <w:lang w:val="en-US"/>
        </w:rPr>
        <w:t>. These include, apart from the dissemination of the views and review of legislation and/or practices that are consistently recommended by all committees, to become a party to a relevant treaty, provide training to relevant officials, awareness-raising, capacity-building, investigate the State party’s system to identify structural failures, address stereotypes and prejudices.</w:t>
      </w:r>
    </w:p>
    <w:p w14:paraId="1A0D985A" w14:textId="77777777" w:rsidR="00E51EEA" w:rsidRPr="00FB205A" w:rsidRDefault="00E51EEA" w:rsidP="00BE6A58">
      <w:pPr>
        <w:pStyle w:val="SingleTxtG"/>
        <w:numPr>
          <w:ilvl w:val="0"/>
          <w:numId w:val="4"/>
        </w:numPr>
        <w:ind w:left="1134" w:firstLine="0"/>
      </w:pPr>
      <w:r>
        <w:rPr>
          <w:lang w:val="en-US"/>
        </w:rPr>
        <w:t>On the other hand, v</w:t>
      </w:r>
      <w:r w:rsidRPr="00DD0A01">
        <w:rPr>
          <w:lang w:val="en-US"/>
        </w:rPr>
        <w:t>arious general measures are not recommended at all by some committees in the research sample.</w:t>
      </w:r>
      <w:r>
        <w:rPr>
          <w:lang w:val="en-US"/>
        </w:rPr>
        <w:t xml:space="preserve"> For example, no examples were found of CCPR recommending providing training to or raising awareness of relevant officials in cases of torture or ill-treatment for example, even though such measures are mentioned in the CCPR guidelines on measures of reparation.</w:t>
      </w:r>
      <w:r w:rsidRPr="00000873">
        <w:rPr>
          <w:rStyle w:val="FootnoteReference"/>
        </w:rPr>
        <w:footnoteReference w:id="47"/>
      </w:r>
      <w:r>
        <w:rPr>
          <w:lang w:val="en-US"/>
        </w:rPr>
        <w:t xml:space="preserve"> Similarly, although CAT regularly recommends training relevant officials to prevent acts of torture in its concluding observations,</w:t>
      </w:r>
      <w:r w:rsidRPr="00000873">
        <w:rPr>
          <w:rStyle w:val="FootnoteReference"/>
        </w:rPr>
        <w:footnoteReference w:id="48"/>
      </w:r>
      <w:r>
        <w:rPr>
          <w:lang w:val="en-US"/>
        </w:rPr>
        <w:t xml:space="preserve"> such recommendation could not be found as a guarantee of non-repetition in the views adopted in 2018 and 2019, including where the same State party is involved. In a case involving torture by police officers in the Russian Federation, CAT recommends in broad </w:t>
      </w:r>
      <w:r w:rsidRPr="00FB205A">
        <w:rPr>
          <w:lang w:val="en-US"/>
        </w:rPr>
        <w:t>terms “</w:t>
      </w:r>
      <w:r w:rsidRPr="00FB205A">
        <w:t>preventing the recurrence of any such violations in the future</w:t>
      </w:r>
      <w:r w:rsidRPr="00000873">
        <w:rPr>
          <w:rStyle w:val="FootnoteReference"/>
        </w:rPr>
        <w:footnoteReference w:id="49"/>
      </w:r>
      <w:r w:rsidRPr="00FB205A">
        <w:t>”</w:t>
      </w:r>
      <w:r>
        <w:t>,</w:t>
      </w:r>
      <w:r w:rsidRPr="00FB205A">
        <w:rPr>
          <w:rStyle w:val="FootnoteReference"/>
          <w:rFonts w:asciiTheme="minorHAnsi" w:hAnsiTheme="minorHAnsi"/>
          <w:lang w:val="en-US"/>
        </w:rPr>
        <w:t xml:space="preserve"> </w:t>
      </w:r>
      <w:r>
        <w:rPr>
          <w:lang w:val="en-US"/>
        </w:rPr>
        <w:t>even though in its concluding observations adopted the same year, the committee considers that the State party should provide training on the Convention and the Istanbul Protocol to relevant officials, including law enforcement officials and public officials involved in work with detained persons.</w:t>
      </w:r>
      <w:r w:rsidRPr="00000873">
        <w:rPr>
          <w:rStyle w:val="FootnoteReference"/>
        </w:rPr>
        <w:footnoteReference w:id="50"/>
      </w:r>
    </w:p>
    <w:p w14:paraId="169A7A75" w14:textId="77777777" w:rsidR="00E51EEA" w:rsidRPr="00FB205A" w:rsidRDefault="00E51EEA" w:rsidP="00BE6A58">
      <w:pPr>
        <w:pStyle w:val="SingleTxtG"/>
        <w:numPr>
          <w:ilvl w:val="0"/>
          <w:numId w:val="4"/>
        </w:numPr>
        <w:ind w:left="1134" w:firstLine="0"/>
      </w:pPr>
      <w:r w:rsidRPr="00F049B3">
        <w:t xml:space="preserve">Such </w:t>
      </w:r>
      <w:r w:rsidRPr="00BE6A58">
        <w:rPr>
          <w:lang w:val="en-US"/>
        </w:rPr>
        <w:t>different</w:t>
      </w:r>
      <w:r w:rsidRPr="00F049B3">
        <w:t xml:space="preserve"> approaches and practices in the choice of general measures recommended raise questions as to the reasons for such divergence and what is considered a good practice</w:t>
      </w:r>
      <w:r>
        <w:t xml:space="preserve">. </w:t>
      </w:r>
    </w:p>
    <w:p w14:paraId="3F58921A" w14:textId="77777777" w:rsidR="00E51EEA" w:rsidRPr="00DA5AE9" w:rsidRDefault="00E51EEA" w:rsidP="00E51EEA">
      <w:pPr>
        <w:pStyle w:val="H23G"/>
      </w:pPr>
      <w:r>
        <w:rPr>
          <w:rFonts w:eastAsiaTheme="minorHAnsi"/>
        </w:rPr>
        <w:tab/>
      </w:r>
      <w:r w:rsidRPr="00DA5AE9">
        <w:rPr>
          <w:rFonts w:eastAsiaTheme="minorHAnsi"/>
        </w:rPr>
        <w:tab/>
        <w:t>1.3.</w:t>
      </w:r>
      <w:r w:rsidRPr="00DA5AE9">
        <w:rPr>
          <w:rFonts w:eastAsiaTheme="minorHAnsi"/>
        </w:rPr>
        <w:tab/>
      </w:r>
      <w:r w:rsidRPr="00DA5AE9">
        <w:t>Rare inconsistencies in “classification” of measures</w:t>
      </w:r>
    </w:p>
    <w:p w14:paraId="43E9C0BE" w14:textId="179185C7" w:rsidR="00E51EEA" w:rsidRDefault="00E51EEA" w:rsidP="00786F58">
      <w:pPr>
        <w:pStyle w:val="SingleTxtG"/>
        <w:numPr>
          <w:ilvl w:val="0"/>
          <w:numId w:val="4"/>
        </w:numPr>
        <w:ind w:left="1134" w:firstLine="0"/>
        <w:rPr>
          <w:lang w:val="en-US"/>
        </w:rPr>
      </w:pPr>
      <w:r>
        <w:rPr>
          <w:lang w:val="en-US"/>
        </w:rPr>
        <w:t>In a few rare examples, the same measures are “classified” either as victim-specific or general, without any obvious reason for the inconsistency in the circumstances of the case. Thus, CRPD recommends to disseminate its views sometimes as a measure in relation to the author,</w:t>
      </w:r>
      <w:r w:rsidRPr="00000873">
        <w:rPr>
          <w:rStyle w:val="FootnoteReference"/>
        </w:rPr>
        <w:footnoteReference w:id="51"/>
      </w:r>
      <w:r w:rsidRPr="001F2B7B">
        <w:rPr>
          <w:lang w:val="en-US"/>
        </w:rPr>
        <w:t xml:space="preserve"> </w:t>
      </w:r>
      <w:r>
        <w:rPr>
          <w:lang w:val="en-US"/>
        </w:rPr>
        <w:t>sometimes as “general measures”.</w:t>
      </w:r>
      <w:r w:rsidRPr="00000873">
        <w:rPr>
          <w:rStyle w:val="FootnoteReference"/>
        </w:rPr>
        <w:footnoteReference w:id="52"/>
      </w:r>
      <w:r>
        <w:t xml:space="preserve"> In one instance, this remedial measure is not mentioned at all.</w:t>
      </w:r>
      <w:r w:rsidRPr="00000873">
        <w:rPr>
          <w:rStyle w:val="FootnoteReference"/>
        </w:rPr>
        <w:footnoteReference w:id="53"/>
      </w:r>
    </w:p>
    <w:p w14:paraId="799415EE" w14:textId="77777777" w:rsidR="00E51EEA" w:rsidRDefault="00E51EEA" w:rsidP="00786F58">
      <w:pPr>
        <w:pStyle w:val="SingleTxtG"/>
        <w:numPr>
          <w:ilvl w:val="0"/>
          <w:numId w:val="4"/>
        </w:numPr>
        <w:ind w:left="1134" w:firstLine="0"/>
        <w:rPr>
          <w:lang w:val="en-US"/>
        </w:rPr>
      </w:pPr>
      <w:r>
        <w:rPr>
          <w:lang w:val="en-US"/>
        </w:rPr>
        <w:t xml:space="preserve">Similarly, in 3 cases, </w:t>
      </w:r>
      <w:r w:rsidRPr="00342F32">
        <w:rPr>
          <w:lang w:val="en-US"/>
        </w:rPr>
        <w:t xml:space="preserve">CEDAW </w:t>
      </w:r>
      <w:r>
        <w:rPr>
          <w:lang w:val="en-US"/>
        </w:rPr>
        <w:t xml:space="preserve">recommends that the State party conduct an </w:t>
      </w:r>
      <w:r w:rsidRPr="00342F32">
        <w:rPr>
          <w:lang w:val="en-US"/>
        </w:rPr>
        <w:t xml:space="preserve">investigation </w:t>
      </w:r>
      <w:r>
        <w:rPr>
          <w:lang w:val="en-US"/>
        </w:rPr>
        <w:t>to determine any structural failures and practices that may cause victims of domestic violence to be deprived of protection. In one case CEDAW presents this measure as “concerning the author of the communication”,</w:t>
      </w:r>
      <w:r w:rsidRPr="00000873">
        <w:rPr>
          <w:rStyle w:val="FootnoteReference"/>
        </w:rPr>
        <w:footnoteReference w:id="54"/>
      </w:r>
      <w:r>
        <w:rPr>
          <w:lang w:val="en-US"/>
        </w:rPr>
        <w:t xml:space="preserve"> in two other cases as a general measure.</w:t>
      </w:r>
      <w:r w:rsidRPr="00000873">
        <w:rPr>
          <w:rStyle w:val="FootnoteReference"/>
        </w:rPr>
        <w:footnoteReference w:id="55"/>
      </w:r>
      <w:r>
        <w:rPr>
          <w:lang w:val="en-US"/>
        </w:rPr>
        <w:t xml:space="preserve"> </w:t>
      </w:r>
    </w:p>
    <w:tbl>
      <w:tblPr>
        <w:tblW w:w="7792" w:type="dxa"/>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792"/>
      </w:tblGrid>
      <w:tr w:rsidR="00E51EEA" w14:paraId="5430FA1A" w14:textId="77777777" w:rsidTr="00BE6A58">
        <w:trPr>
          <w:trHeight w:hRule="exact" w:val="240"/>
          <w:jc w:val="center"/>
        </w:trPr>
        <w:tc>
          <w:tcPr>
            <w:tcW w:w="7792" w:type="dxa"/>
            <w:tcBorders>
              <w:top w:val="single" w:sz="4" w:space="0" w:color="auto"/>
            </w:tcBorders>
            <w:shd w:val="clear" w:color="auto" w:fill="auto"/>
          </w:tcPr>
          <w:p w14:paraId="411A54A8" w14:textId="77777777" w:rsidR="00E51EEA" w:rsidRPr="008918B6" w:rsidRDefault="00E51EEA" w:rsidP="00BE6A58">
            <w:pPr>
              <w:pBdr>
                <w:top w:val="single" w:sz="4" w:space="1" w:color="auto"/>
                <w:left w:val="single" w:sz="4" w:space="4" w:color="auto"/>
                <w:bottom w:val="single" w:sz="4" w:space="1" w:color="auto"/>
                <w:right w:val="single" w:sz="4" w:space="4" w:color="auto"/>
              </w:pBdr>
              <w:jc w:val="both"/>
              <w:rPr>
                <w:b/>
                <w:bCs/>
                <w:lang w:val="en-US"/>
              </w:rPr>
            </w:pPr>
            <w:r w:rsidRPr="008918B6">
              <w:rPr>
                <w:b/>
                <w:bCs/>
                <w:lang w:val="en-US"/>
              </w:rPr>
              <w:t>Good practices and common elements</w:t>
            </w:r>
          </w:p>
          <w:p w14:paraId="2A2E7AFD" w14:textId="77777777" w:rsidR="00E51EEA" w:rsidRDefault="00E51EEA" w:rsidP="00BE6A58">
            <w:pPr>
              <w:spacing w:line="240" w:lineRule="auto"/>
            </w:pPr>
          </w:p>
        </w:tc>
      </w:tr>
      <w:tr w:rsidR="00E51EEA" w14:paraId="07DFA749" w14:textId="77777777" w:rsidTr="00BE6A58">
        <w:trPr>
          <w:jc w:val="center"/>
        </w:trPr>
        <w:tc>
          <w:tcPr>
            <w:tcW w:w="7792" w:type="dxa"/>
            <w:tcBorders>
              <w:bottom w:val="nil"/>
            </w:tcBorders>
            <w:shd w:val="clear" w:color="auto" w:fill="auto"/>
            <w:tcMar>
              <w:left w:w="142" w:type="dxa"/>
              <w:right w:w="142" w:type="dxa"/>
            </w:tcMar>
          </w:tcPr>
          <w:p w14:paraId="75F78824" w14:textId="77777777" w:rsidR="00E51EEA" w:rsidRDefault="00E51EEA" w:rsidP="00E51EEA">
            <w:pPr>
              <w:pStyle w:val="Bullet1G"/>
              <w:tabs>
                <w:tab w:val="clear" w:pos="1701"/>
                <w:tab w:val="num" w:pos="170"/>
              </w:tabs>
              <w:ind w:left="170"/>
              <w:rPr>
                <w:lang w:val="en-US"/>
              </w:rPr>
            </w:pPr>
            <w:r w:rsidRPr="003E7F79">
              <w:rPr>
                <w:lang w:val="en-US"/>
              </w:rPr>
              <w:t>All committees formulate victim-specific as well as general recommendations</w:t>
            </w:r>
          </w:p>
          <w:p w14:paraId="342EBEF8" w14:textId="77777777" w:rsidR="00E51EEA" w:rsidRDefault="00E51EEA" w:rsidP="00E51EEA">
            <w:pPr>
              <w:pStyle w:val="Bullet1G"/>
              <w:tabs>
                <w:tab w:val="clear" w:pos="1701"/>
                <w:tab w:val="num" w:pos="170"/>
              </w:tabs>
              <w:ind w:left="170"/>
              <w:rPr>
                <w:lang w:val="en-US"/>
              </w:rPr>
            </w:pPr>
            <w:r>
              <w:rPr>
                <w:lang w:val="en-US"/>
              </w:rPr>
              <w:t>Broad range of measures recommended across treaty bodies</w:t>
            </w:r>
          </w:p>
          <w:p w14:paraId="00610D89" w14:textId="77777777" w:rsidR="00E51EEA" w:rsidRDefault="00E51EEA" w:rsidP="00E51EEA">
            <w:pPr>
              <w:pStyle w:val="Bullet1G"/>
              <w:tabs>
                <w:tab w:val="clear" w:pos="1701"/>
                <w:tab w:val="num" w:pos="170"/>
              </w:tabs>
              <w:ind w:left="170"/>
              <w:rPr>
                <w:lang w:val="en-US"/>
              </w:rPr>
            </w:pPr>
            <w:r>
              <w:rPr>
                <w:lang w:val="en-US"/>
              </w:rPr>
              <w:t>Mostly consistent recommendations in relation to the victim(s) in similar cases</w:t>
            </w:r>
          </w:p>
          <w:p w14:paraId="2650E14A" w14:textId="77777777" w:rsidR="00E51EEA" w:rsidRPr="00000873" w:rsidRDefault="00E51EEA" w:rsidP="00E51EEA">
            <w:pPr>
              <w:pStyle w:val="Bullet1G"/>
              <w:tabs>
                <w:tab w:val="clear" w:pos="1701"/>
                <w:tab w:val="num" w:pos="170"/>
              </w:tabs>
              <w:ind w:left="170"/>
              <w:rPr>
                <w:lang w:val="en-US"/>
              </w:rPr>
            </w:pPr>
            <w:r>
              <w:rPr>
                <w:lang w:val="en-US"/>
              </w:rPr>
              <w:t>Broader range of general measures recommended by some treaty bodies</w:t>
            </w:r>
          </w:p>
        </w:tc>
      </w:tr>
      <w:tr w:rsidR="00E51EEA" w14:paraId="583CDCB3" w14:textId="77777777" w:rsidTr="00BE6A58">
        <w:trPr>
          <w:trHeight w:hRule="exact" w:val="20"/>
          <w:jc w:val="center"/>
        </w:trPr>
        <w:tc>
          <w:tcPr>
            <w:tcW w:w="7792" w:type="dxa"/>
            <w:tcBorders>
              <w:bottom w:val="single" w:sz="4" w:space="0" w:color="auto"/>
            </w:tcBorders>
            <w:shd w:val="clear" w:color="auto" w:fill="auto"/>
          </w:tcPr>
          <w:p w14:paraId="2A213D64" w14:textId="77777777" w:rsidR="00E51EEA" w:rsidRDefault="00E51EEA" w:rsidP="00BE6A58">
            <w:pPr>
              <w:spacing w:line="240" w:lineRule="auto"/>
            </w:pPr>
          </w:p>
        </w:tc>
      </w:tr>
    </w:tbl>
    <w:p w14:paraId="31EBA1C9" w14:textId="77777777" w:rsidR="00E51EEA" w:rsidRPr="00DA5AE9" w:rsidRDefault="00E51EEA" w:rsidP="00E51EEA">
      <w:pPr>
        <w:pStyle w:val="H1G"/>
      </w:pPr>
      <w:r>
        <w:rPr>
          <w:rFonts w:eastAsiaTheme="minorHAnsi"/>
        </w:rPr>
        <w:tab/>
      </w:r>
      <w:r w:rsidRPr="00DA5AE9">
        <w:rPr>
          <w:rFonts w:eastAsiaTheme="minorHAnsi"/>
        </w:rPr>
        <w:t>2.</w:t>
      </w:r>
      <w:r w:rsidRPr="00DA5AE9">
        <w:rPr>
          <w:rFonts w:eastAsiaTheme="minorHAnsi"/>
        </w:rPr>
        <w:tab/>
      </w:r>
      <w:r w:rsidRPr="00DA5AE9">
        <w:t>Different levels of specificity</w:t>
      </w:r>
    </w:p>
    <w:p w14:paraId="37AA5EEE" w14:textId="77777777" w:rsidR="00E51EEA" w:rsidRDefault="00E51EEA" w:rsidP="00786F58">
      <w:pPr>
        <w:pStyle w:val="SingleTxtG"/>
        <w:numPr>
          <w:ilvl w:val="0"/>
          <w:numId w:val="4"/>
        </w:numPr>
        <w:ind w:left="1134" w:firstLine="0"/>
        <w:rPr>
          <w:lang w:val="en-US"/>
        </w:rPr>
      </w:pPr>
      <w:r>
        <w:rPr>
          <w:lang w:val="en-US"/>
        </w:rPr>
        <w:t xml:space="preserve">The level of specificity spans a wide spectrum, from very detailed reparative measures to broadly phrased recommendations that leave much flexibility as to their interpretation and implementation. </w:t>
      </w:r>
    </w:p>
    <w:p w14:paraId="1E08B22B" w14:textId="77777777" w:rsidR="00E51EEA" w:rsidRPr="00DA5AE9" w:rsidRDefault="00E51EEA" w:rsidP="00E51EEA">
      <w:pPr>
        <w:pStyle w:val="H23G"/>
      </w:pPr>
      <w:r>
        <w:rPr>
          <w:rFonts w:eastAsiaTheme="minorHAnsi"/>
        </w:rPr>
        <w:tab/>
      </w:r>
      <w:r>
        <w:rPr>
          <w:rFonts w:eastAsiaTheme="minorHAnsi"/>
        </w:rPr>
        <w:tab/>
      </w:r>
      <w:r w:rsidRPr="00DA5AE9">
        <w:rPr>
          <w:rFonts w:eastAsiaTheme="minorHAnsi"/>
        </w:rPr>
        <w:t>2.1.</w:t>
      </w:r>
      <w:r w:rsidRPr="00DA5AE9">
        <w:rPr>
          <w:rFonts w:eastAsiaTheme="minorHAnsi"/>
        </w:rPr>
        <w:tab/>
      </w:r>
      <w:r w:rsidRPr="00DA5AE9">
        <w:t>Different approaches: specified individual measures only or equally detailed, extensive general recommendations</w:t>
      </w:r>
    </w:p>
    <w:p w14:paraId="4EA7F011" w14:textId="77777777" w:rsidR="00E51EEA" w:rsidRPr="00DA5AE9" w:rsidRDefault="00E51EEA" w:rsidP="00786F58">
      <w:pPr>
        <w:pStyle w:val="SingleTxtG"/>
        <w:numPr>
          <w:ilvl w:val="0"/>
          <w:numId w:val="4"/>
        </w:numPr>
        <w:ind w:left="1134" w:firstLine="0"/>
      </w:pPr>
      <w:r w:rsidRPr="00DA5AE9">
        <w:t>Overall, CCPR and CAT recommendations tend to be less detailed, especially regarding guarantees of non-repetition. The proportion of broadly phrased recommendations in CCPR jurisprudence far exceeds that of other committees. For example, CCPR sets out the general recommendation to prevent similar future violations without any further detail</w:t>
      </w:r>
      <w:r w:rsidRPr="00000873">
        <w:rPr>
          <w:rStyle w:val="FootnoteReference"/>
        </w:rPr>
        <w:footnoteReference w:id="56"/>
      </w:r>
      <w:r w:rsidRPr="00DA5AE9">
        <w:t xml:space="preserve"> in 47 out of the 95 views in which it found a violation in 2018-2019, compared with 1 out of 19 for CAT and 2 out of 8 for CRC. By contrast, the type of victim-specific measures recommended by CCPR is systematically specified apart from one exception.</w:t>
      </w:r>
      <w:r w:rsidRPr="00000873">
        <w:rPr>
          <w:rStyle w:val="FootnoteReference"/>
        </w:rPr>
        <w:footnoteReference w:id="57"/>
      </w:r>
      <w:r w:rsidRPr="00DA5AE9">
        <w:t xml:space="preserve"> It should be noted that in a few cases, CCPR recommendations in relation to the victim are more detailed and extensive than usual. These communications have in common that their authors are represented by leading litigation NGOs that benefit from the necessary expertise to request relevant reparations measures in their complaint.</w:t>
      </w:r>
      <w:r w:rsidRPr="00000873">
        <w:rPr>
          <w:rStyle w:val="FootnoteReference"/>
        </w:rPr>
        <w:footnoteReference w:id="58"/>
      </w:r>
      <w:r w:rsidRPr="00DA5AE9">
        <w:t xml:space="preserve"> Therefore, it seems that CCPR is more likely to recommend more specific measures when these have been identified and requested in the complaint. </w:t>
      </w:r>
    </w:p>
    <w:p w14:paraId="1BB18ADA" w14:textId="77777777" w:rsidR="00E51EEA" w:rsidRDefault="00E51EEA" w:rsidP="00786F58">
      <w:pPr>
        <w:pStyle w:val="SingleTxtG"/>
        <w:numPr>
          <w:ilvl w:val="0"/>
          <w:numId w:val="4"/>
        </w:numPr>
        <w:ind w:left="1134" w:firstLine="0"/>
        <w:rPr>
          <w:lang w:val="en-US"/>
        </w:rPr>
      </w:pPr>
      <w:r>
        <w:rPr>
          <w:lang w:val="en-US"/>
        </w:rPr>
        <w:t>On the other hand, CEDAW, CRPD and CESCR consistently phrase their recommendations</w:t>
      </w:r>
      <w:r w:rsidRPr="005D6083">
        <w:rPr>
          <w:lang w:val="en-US"/>
        </w:rPr>
        <w:t xml:space="preserve"> </w:t>
      </w:r>
      <w:r>
        <w:rPr>
          <w:lang w:val="en-US"/>
        </w:rPr>
        <w:t xml:space="preserve">in specific terms, including guarantees of non-repetition, many of which echo concluding observations. </w:t>
      </w:r>
      <w:r w:rsidRPr="00192841">
        <w:rPr>
          <w:lang w:val="en-US"/>
        </w:rPr>
        <w:t>Interestingly, while the range of CESCR general recommendations tends to be limited to the dissemination of views and the review of the domestic framework, legislation and/or practices, CESCR recommendations are very specific regarding such structural changes</w:t>
      </w:r>
      <w:r>
        <w:rPr>
          <w:lang w:val="en-US"/>
        </w:rPr>
        <w:t>.</w:t>
      </w:r>
      <w:r w:rsidRPr="00000873">
        <w:rPr>
          <w:rStyle w:val="FootnoteReference"/>
        </w:rPr>
        <w:footnoteReference w:id="59"/>
      </w:r>
      <w:r>
        <w:rPr>
          <w:lang w:val="en-US"/>
        </w:rPr>
        <w:t xml:space="preserve"> In comparison, CEDAW and CRPD recommendations are as detailed but also more varied in terms general recommendations as they include the provision of training to relevant officials, awareness-raising and capacity-building for example. </w:t>
      </w:r>
    </w:p>
    <w:p w14:paraId="05289C66" w14:textId="77777777" w:rsidR="00E51EEA" w:rsidRDefault="00E51EEA" w:rsidP="00786F58">
      <w:pPr>
        <w:pStyle w:val="SingleTxtG"/>
        <w:numPr>
          <w:ilvl w:val="0"/>
          <w:numId w:val="4"/>
        </w:numPr>
        <w:ind w:left="1134" w:firstLine="0"/>
        <w:rPr>
          <w:lang w:val="en-US"/>
        </w:rPr>
      </w:pPr>
      <w:r>
        <w:rPr>
          <w:lang w:val="en-US"/>
        </w:rPr>
        <w:t xml:space="preserve">Therefore, based on the research sample, CCPR seems to generally formulate individual measures in more specific terms and leave more flexibility to the State party concerned to implement the remedial measures. By contrast, CEDAW, CRPD and CESCR phrase both sets of recommendations in as much detail. </w:t>
      </w:r>
    </w:p>
    <w:p w14:paraId="0204A84F" w14:textId="77777777" w:rsidR="00E51EEA" w:rsidRPr="00DA5AE9" w:rsidRDefault="00E51EEA" w:rsidP="00E51EEA">
      <w:pPr>
        <w:pStyle w:val="H23G"/>
      </w:pPr>
      <w:r>
        <w:rPr>
          <w:rFonts w:eastAsiaTheme="minorHAnsi"/>
        </w:rPr>
        <w:tab/>
      </w:r>
      <w:r>
        <w:rPr>
          <w:rFonts w:eastAsiaTheme="minorHAnsi"/>
        </w:rPr>
        <w:tab/>
      </w:r>
      <w:r w:rsidRPr="00DA5AE9">
        <w:rPr>
          <w:rFonts w:eastAsiaTheme="minorHAnsi"/>
        </w:rPr>
        <w:t>2.2.</w:t>
      </w:r>
      <w:r w:rsidRPr="00DA5AE9">
        <w:rPr>
          <w:rFonts w:eastAsiaTheme="minorHAnsi"/>
        </w:rPr>
        <w:tab/>
      </w:r>
      <w:r w:rsidRPr="00DA5AE9">
        <w:t>Varying levels of detail regarding similar measures</w:t>
      </w:r>
    </w:p>
    <w:p w14:paraId="07B99B78" w14:textId="77777777" w:rsidR="00E51EEA" w:rsidRDefault="00E51EEA" w:rsidP="00786F58">
      <w:pPr>
        <w:pStyle w:val="SingleTxtG"/>
        <w:numPr>
          <w:ilvl w:val="0"/>
          <w:numId w:val="4"/>
        </w:numPr>
        <w:ind w:left="1134" w:firstLine="0"/>
        <w:rPr>
          <w:color w:val="000000"/>
          <w:shd w:val="clear" w:color="auto" w:fill="FFFFFF"/>
        </w:rPr>
      </w:pPr>
      <w:r>
        <w:rPr>
          <w:lang w:val="en-US"/>
        </w:rPr>
        <w:t xml:space="preserve">The level of detail in which committees recommend similar measures vary. </w:t>
      </w:r>
      <w:r w:rsidRPr="005352A8">
        <w:rPr>
          <w:lang w:val="en-US"/>
        </w:rPr>
        <w:t xml:space="preserve">With regard to compensation, </w:t>
      </w:r>
      <w:r>
        <w:rPr>
          <w:lang w:val="en-US"/>
        </w:rPr>
        <w:t>which is the most common type of reparation recommended by the treaty bodies, the general practice is that</w:t>
      </w:r>
      <w:r w:rsidRPr="005352A8">
        <w:rPr>
          <w:lang w:val="en-US"/>
        </w:rPr>
        <w:t xml:space="preserve"> committees never specify any particular amount of money,</w:t>
      </w:r>
      <w:r w:rsidRPr="00000873">
        <w:rPr>
          <w:rStyle w:val="FootnoteReference"/>
        </w:rPr>
        <w:footnoteReference w:id="60"/>
      </w:r>
      <w:r w:rsidRPr="005352A8">
        <w:rPr>
          <w:lang w:val="en-US"/>
        </w:rPr>
        <w:t xml:space="preserve"> unlike the European Court of Human Rights for instance.</w:t>
      </w:r>
      <w:r w:rsidRPr="00000873">
        <w:rPr>
          <w:rStyle w:val="FootnoteReference"/>
        </w:rPr>
        <w:footnoteReference w:id="61"/>
      </w:r>
      <w:r w:rsidRPr="005352A8">
        <w:rPr>
          <w:lang w:val="en-US"/>
        </w:rPr>
        <w:t xml:space="preserve"> </w:t>
      </w:r>
      <w:r>
        <w:rPr>
          <w:lang w:val="en-US"/>
        </w:rPr>
        <w:t>The</w:t>
      </w:r>
      <w:r w:rsidRPr="005352A8">
        <w:rPr>
          <w:lang w:val="en-US"/>
        </w:rPr>
        <w:t xml:space="preserve"> UN </w:t>
      </w:r>
      <w:r w:rsidRPr="005352A8">
        <w:rPr>
          <w:bCs/>
          <w:color w:val="000000"/>
          <w:szCs w:val="18"/>
        </w:rPr>
        <w:t xml:space="preserve">Basic </w:t>
      </w:r>
      <w:r w:rsidRPr="00786F58">
        <w:rPr>
          <w:lang w:val="en-US"/>
        </w:rPr>
        <w:t>Principles</w:t>
      </w:r>
      <w:r w:rsidRPr="005352A8">
        <w:rPr>
          <w:bCs/>
          <w:color w:val="000000"/>
          <w:szCs w:val="18"/>
        </w:rPr>
        <w:t xml:space="preserve"> and Guidelines on the Right to a Remedy and Reparation</w:t>
      </w:r>
      <w:r w:rsidRPr="005352A8">
        <w:t xml:space="preserve"> </w:t>
      </w:r>
      <w:r>
        <w:t>offer</w:t>
      </w:r>
      <w:r w:rsidRPr="005352A8">
        <w:t xml:space="preserve"> </w:t>
      </w:r>
      <w:r>
        <w:t xml:space="preserve">some guidance and provide </w:t>
      </w:r>
      <w:r w:rsidRPr="005352A8">
        <w:t xml:space="preserve">that </w:t>
      </w:r>
      <w:r w:rsidRPr="0036494D">
        <w:t>“</w:t>
      </w:r>
      <w:r w:rsidRPr="0036494D">
        <w:rPr>
          <w:rFonts w:ascii="Calibri" w:hAnsi="Calibri"/>
        </w:rPr>
        <w:t>[c]</w:t>
      </w:r>
      <w:r w:rsidRPr="0036494D">
        <w:t>ompensation</w:t>
      </w:r>
      <w:r w:rsidRPr="005352A8">
        <w:t xml:space="preserve"> </w:t>
      </w:r>
      <w:r w:rsidRPr="005352A8">
        <w:rPr>
          <w:color w:val="000000"/>
          <w:shd w:val="clear" w:color="auto" w:fill="FFFFFF"/>
        </w:rPr>
        <w:t>should be provided for any economically assessable damage, as appropriate and proportional to the gravity of the violation and the circumstances of each case.”</w:t>
      </w:r>
      <w:r w:rsidRPr="00000873">
        <w:rPr>
          <w:rStyle w:val="FootnoteReference"/>
        </w:rPr>
        <w:footnoteReference w:id="62"/>
      </w:r>
      <w:r w:rsidRPr="005352A8">
        <w:rPr>
          <w:color w:val="000000"/>
          <w:shd w:val="clear" w:color="auto" w:fill="FFFFFF"/>
        </w:rPr>
        <w:t xml:space="preserve"> </w:t>
      </w:r>
      <w:r>
        <w:rPr>
          <w:color w:val="000000"/>
          <w:shd w:val="clear" w:color="auto" w:fill="FFFFFF"/>
        </w:rPr>
        <w:t>However when requesting the concerned State party to provide compensation to the author of the communication, most committees only specify that compensation should be “fair” or “adequate”.</w:t>
      </w:r>
      <w:r w:rsidRPr="00000873">
        <w:rPr>
          <w:rStyle w:val="FootnoteReference"/>
        </w:rPr>
        <w:footnoteReference w:id="63"/>
      </w:r>
      <w:r>
        <w:rPr>
          <w:color w:val="000000"/>
          <w:shd w:val="clear" w:color="auto" w:fill="FFFFFF"/>
        </w:rPr>
        <w:t xml:space="preserve"> In one case only, CCPR specifies that the State party should provide </w:t>
      </w:r>
      <w:r w:rsidRPr="005352A8">
        <w:rPr>
          <w:color w:val="000000"/>
          <w:shd w:val="clear" w:color="auto" w:fill="FFFFFF"/>
        </w:rPr>
        <w:t>“prompt, fair and adequate compensation, proportional to the gravity of the violations suffered”</w:t>
      </w:r>
      <w:r>
        <w:rPr>
          <w:color w:val="000000"/>
          <w:shd w:val="clear" w:color="auto" w:fill="FFFFFF"/>
        </w:rPr>
        <w:t>.</w:t>
      </w:r>
      <w:r w:rsidRPr="00000873">
        <w:rPr>
          <w:rStyle w:val="FootnoteReference"/>
        </w:rPr>
        <w:footnoteReference w:id="64"/>
      </w:r>
      <w:r>
        <w:rPr>
          <w:color w:val="000000"/>
          <w:shd w:val="clear" w:color="auto" w:fill="FFFFFF"/>
        </w:rPr>
        <w:t xml:space="preserve"> For its part, CEDAW commonly mentions that compensation should be </w:t>
      </w:r>
      <w:r w:rsidRPr="005352A8">
        <w:rPr>
          <w:color w:val="000000"/>
          <w:shd w:val="clear" w:color="auto" w:fill="FFFFFF"/>
        </w:rPr>
        <w:t>“proportionate to the physical, psychological and material damage suffered</w:t>
      </w:r>
      <w:r>
        <w:rPr>
          <w:color w:val="000000"/>
          <w:shd w:val="clear" w:color="auto" w:fill="FFFFFF"/>
        </w:rPr>
        <w:t>”</w:t>
      </w:r>
      <w:r w:rsidRPr="005352A8">
        <w:rPr>
          <w:color w:val="000000"/>
          <w:shd w:val="clear" w:color="auto" w:fill="FFFFFF"/>
        </w:rPr>
        <w:t xml:space="preserve"> and</w:t>
      </w:r>
      <w:r>
        <w:rPr>
          <w:color w:val="000000"/>
          <w:shd w:val="clear" w:color="auto" w:fill="FFFFFF"/>
        </w:rPr>
        <w:t>/or</w:t>
      </w:r>
      <w:r w:rsidRPr="005352A8">
        <w:rPr>
          <w:color w:val="000000"/>
          <w:shd w:val="clear" w:color="auto" w:fill="FFFFFF"/>
        </w:rPr>
        <w:t xml:space="preserve"> </w:t>
      </w:r>
      <w:r>
        <w:rPr>
          <w:color w:val="000000"/>
          <w:shd w:val="clear" w:color="auto" w:fill="FFFFFF"/>
        </w:rPr>
        <w:t>“</w:t>
      </w:r>
      <w:r w:rsidRPr="005352A8">
        <w:rPr>
          <w:color w:val="000000"/>
          <w:shd w:val="clear" w:color="auto" w:fill="FFFFFF"/>
        </w:rPr>
        <w:t>commensurate with the gravity</w:t>
      </w:r>
      <w:r>
        <w:rPr>
          <w:color w:val="000000"/>
          <w:shd w:val="clear" w:color="auto" w:fill="FFFFFF"/>
        </w:rPr>
        <w:t>”</w:t>
      </w:r>
      <w:r w:rsidRPr="005352A8">
        <w:rPr>
          <w:color w:val="000000"/>
          <w:shd w:val="clear" w:color="auto" w:fill="FFFFFF"/>
        </w:rPr>
        <w:t xml:space="preserve"> </w:t>
      </w:r>
      <w:r>
        <w:rPr>
          <w:color w:val="000000"/>
          <w:shd w:val="clear" w:color="auto" w:fill="FFFFFF"/>
        </w:rPr>
        <w:t xml:space="preserve">or the seriousness </w:t>
      </w:r>
      <w:r w:rsidRPr="005352A8">
        <w:rPr>
          <w:color w:val="000000"/>
          <w:shd w:val="clear" w:color="auto" w:fill="FFFFFF"/>
        </w:rPr>
        <w:t xml:space="preserve">of the </w:t>
      </w:r>
      <w:r>
        <w:rPr>
          <w:color w:val="000000"/>
          <w:shd w:val="clear" w:color="auto" w:fill="FFFFFF"/>
        </w:rPr>
        <w:t xml:space="preserve">rights </w:t>
      </w:r>
      <w:r w:rsidRPr="005352A8">
        <w:rPr>
          <w:color w:val="000000"/>
          <w:shd w:val="clear" w:color="auto" w:fill="FFFFFF"/>
        </w:rPr>
        <w:t>violations</w:t>
      </w:r>
      <w:r>
        <w:rPr>
          <w:color w:val="000000"/>
          <w:shd w:val="clear" w:color="auto" w:fill="FFFFFF"/>
        </w:rPr>
        <w:t>.</w:t>
      </w:r>
      <w:r w:rsidRPr="00000873">
        <w:rPr>
          <w:rStyle w:val="FootnoteReference"/>
        </w:rPr>
        <w:footnoteReference w:id="65"/>
      </w:r>
      <w:r>
        <w:rPr>
          <w:color w:val="000000"/>
          <w:shd w:val="clear" w:color="auto" w:fill="FFFFFF"/>
        </w:rPr>
        <w:t xml:space="preserve"> </w:t>
      </w:r>
    </w:p>
    <w:p w14:paraId="768E09FC" w14:textId="77777777" w:rsidR="00E51EEA" w:rsidRDefault="00E51EEA" w:rsidP="00786F58">
      <w:pPr>
        <w:pStyle w:val="SingleTxtG"/>
        <w:numPr>
          <w:ilvl w:val="0"/>
          <w:numId w:val="4"/>
        </w:numPr>
        <w:ind w:left="1134" w:firstLine="0"/>
        <w:rPr>
          <w:color w:val="000000"/>
          <w:shd w:val="clear" w:color="auto" w:fill="FFFFFF"/>
        </w:rPr>
      </w:pPr>
      <w:r>
        <w:rPr>
          <w:color w:val="000000"/>
          <w:shd w:val="clear" w:color="auto" w:fill="FFFFFF"/>
        </w:rPr>
        <w:t>Concerning the most common guarantee of non-repetition i.e., the review of the national framework, relevant legislation and/or practices, the practice seems mostly consistent across the system. In most cases, treaty bodies specify the content of the necessary change in legislation, procedures and practices to bring them in line with the relevant treaty and international standards. For example, in repetitive cases, CRC explains what the Spanish age-determination procedures for unaccompanied children should entail to be consistent with the Convention.</w:t>
      </w:r>
      <w:r w:rsidRPr="00000873">
        <w:rPr>
          <w:rStyle w:val="FootnoteReference"/>
        </w:rPr>
        <w:footnoteReference w:id="66"/>
      </w:r>
      <w:r>
        <w:rPr>
          <w:color w:val="000000"/>
          <w:shd w:val="clear" w:color="auto" w:fill="FFFFFF"/>
        </w:rPr>
        <w:t xml:space="preserve"> Likewise CAT specifies that the extradition procedure in Morocco should include an assessment of the risk of torture in the event of extradition.</w:t>
      </w:r>
      <w:r w:rsidRPr="00000873">
        <w:rPr>
          <w:rStyle w:val="FootnoteReference"/>
        </w:rPr>
        <w:footnoteReference w:id="67"/>
      </w:r>
      <w:r>
        <w:rPr>
          <w:color w:val="000000"/>
          <w:shd w:val="clear" w:color="auto" w:fill="FFFFFF"/>
        </w:rPr>
        <w:t xml:space="preserve"> CEDAW and CESCR systematically indicate what the requested review should entail. CCPR’s practice is not as consistent, although the committee sometimes provides much detail.</w:t>
      </w:r>
      <w:r w:rsidRPr="00000873">
        <w:rPr>
          <w:rStyle w:val="FootnoteReference"/>
        </w:rPr>
        <w:footnoteReference w:id="68"/>
      </w:r>
    </w:p>
    <w:p w14:paraId="4221ECA4" w14:textId="77777777" w:rsidR="00E51EEA" w:rsidRDefault="00E51EEA" w:rsidP="00786F58">
      <w:pPr>
        <w:pStyle w:val="SingleTxtG"/>
        <w:numPr>
          <w:ilvl w:val="0"/>
          <w:numId w:val="4"/>
        </w:numPr>
        <w:ind w:left="1134" w:firstLine="0"/>
        <w:rPr>
          <w:lang w:val="en-US"/>
        </w:rPr>
      </w:pPr>
      <w:r>
        <w:rPr>
          <w:lang w:val="en-US"/>
        </w:rPr>
        <w:t>However, in a smaller number of cases, the committees limit their general recommendations to broader requests. For example, CCPR recommends in several cases that the State party review the</w:t>
      </w:r>
      <w:r w:rsidRPr="00156878">
        <w:rPr>
          <w:lang w:val="en-US"/>
        </w:rPr>
        <w:t xml:space="preserve"> national legislation and </w:t>
      </w:r>
      <w:r>
        <w:rPr>
          <w:lang w:val="en-US"/>
        </w:rPr>
        <w:t>its</w:t>
      </w:r>
      <w:r w:rsidRPr="00156878">
        <w:rPr>
          <w:lang w:val="en-US"/>
        </w:rPr>
        <w:t xml:space="preserve"> implementation to make it compatible with its obligations</w:t>
      </w:r>
      <w:r>
        <w:rPr>
          <w:lang w:val="en-US"/>
        </w:rPr>
        <w:t xml:space="preserve"> under the Covenant.</w:t>
      </w:r>
      <w:r w:rsidRPr="00000873">
        <w:rPr>
          <w:rStyle w:val="FootnoteReference"/>
        </w:rPr>
        <w:footnoteReference w:id="69"/>
      </w:r>
      <w:r>
        <w:rPr>
          <w:lang w:val="en-US"/>
        </w:rPr>
        <w:t xml:space="preserve"> In one case, CRPD requests that the State party “adopt the necessary amendments to the relevant laws, regulations, policies and programmes”.</w:t>
      </w:r>
      <w:r w:rsidRPr="00000873">
        <w:rPr>
          <w:rStyle w:val="FootnoteReference"/>
        </w:rPr>
        <w:footnoteReference w:id="70"/>
      </w:r>
      <w:r>
        <w:rPr>
          <w:lang w:val="en-US"/>
        </w:rPr>
        <w:t xml:space="preserve"> </w:t>
      </w:r>
    </w:p>
    <w:p w14:paraId="2A80340F" w14:textId="77777777" w:rsidR="00E51EEA" w:rsidRPr="00993EDE" w:rsidRDefault="00E51EEA" w:rsidP="00786F58">
      <w:pPr>
        <w:pStyle w:val="SingleTxtG"/>
        <w:numPr>
          <w:ilvl w:val="0"/>
          <w:numId w:val="4"/>
        </w:numPr>
        <w:ind w:left="1134" w:firstLine="0"/>
        <w:rPr>
          <w:lang w:val="en-US"/>
        </w:rPr>
      </w:pPr>
      <w:r>
        <w:rPr>
          <w:lang w:val="en-US"/>
        </w:rPr>
        <w:t>CRPD, in one instance, while not providing details as to the content of the requested review, specifies how the review process should be conducted i.e., “</w:t>
      </w:r>
      <w:r w:rsidRPr="006B2BC3">
        <w:rPr>
          <w:lang w:val="en-US"/>
        </w:rPr>
        <w:t>in close consultation with persons with disabilities and their representative organizations</w:t>
      </w:r>
      <w:r>
        <w:rPr>
          <w:lang w:val="en-US"/>
        </w:rPr>
        <w:t>”.</w:t>
      </w:r>
      <w:r w:rsidRPr="00000873">
        <w:rPr>
          <w:rStyle w:val="FootnoteReference"/>
        </w:rPr>
        <w:footnoteReference w:id="71"/>
      </w:r>
    </w:p>
    <w:p w14:paraId="1359ED2F" w14:textId="77777777" w:rsidR="00E51EEA" w:rsidRPr="00DA5AE9" w:rsidRDefault="00E51EEA" w:rsidP="00E51EEA">
      <w:pPr>
        <w:pStyle w:val="HChG"/>
      </w:pPr>
      <w:r>
        <w:rPr>
          <w:rFonts w:eastAsiaTheme="minorHAnsi"/>
        </w:rPr>
        <w:tab/>
      </w:r>
      <w:r w:rsidRPr="00DA5AE9">
        <w:rPr>
          <w:rFonts w:eastAsiaTheme="minorHAnsi"/>
        </w:rPr>
        <w:t>III.</w:t>
      </w:r>
      <w:r w:rsidRPr="00DA5AE9">
        <w:rPr>
          <w:rFonts w:eastAsiaTheme="minorHAnsi"/>
        </w:rPr>
        <w:tab/>
      </w:r>
      <w:r w:rsidRPr="00DA5AE9">
        <w:t>How implementation is measured</w:t>
      </w:r>
    </w:p>
    <w:p w14:paraId="7BECCD5B" w14:textId="77777777" w:rsidR="00E51EEA" w:rsidRPr="00DA5AE9" w:rsidRDefault="00E51EEA" w:rsidP="00E51EEA">
      <w:pPr>
        <w:pStyle w:val="H1G"/>
      </w:pPr>
      <w:r>
        <w:rPr>
          <w:rFonts w:eastAsiaTheme="minorHAnsi"/>
        </w:rPr>
        <w:tab/>
      </w:r>
      <w:r w:rsidRPr="00DA5AE9">
        <w:rPr>
          <w:rFonts w:eastAsiaTheme="minorHAnsi"/>
        </w:rPr>
        <w:t>1.</w:t>
      </w:r>
      <w:r w:rsidRPr="00DA5AE9">
        <w:rPr>
          <w:rFonts w:eastAsiaTheme="minorHAnsi"/>
        </w:rPr>
        <w:tab/>
      </w:r>
      <w:r w:rsidRPr="00DA5AE9">
        <w:t xml:space="preserve">Treaty body follow-up processes </w:t>
      </w:r>
    </w:p>
    <w:p w14:paraId="468F1F7C" w14:textId="77777777" w:rsidR="00E51EEA" w:rsidRPr="00DA5AE9" w:rsidRDefault="00E51EEA" w:rsidP="00E51EEA">
      <w:pPr>
        <w:pStyle w:val="H23G"/>
      </w:pPr>
      <w:r>
        <w:rPr>
          <w:rFonts w:eastAsiaTheme="minorHAnsi"/>
        </w:rPr>
        <w:tab/>
      </w:r>
      <w:r>
        <w:rPr>
          <w:rFonts w:eastAsiaTheme="minorHAnsi"/>
        </w:rPr>
        <w:tab/>
      </w:r>
      <w:r w:rsidRPr="00DA5AE9">
        <w:rPr>
          <w:rFonts w:eastAsiaTheme="minorHAnsi"/>
        </w:rPr>
        <w:t>1.1.</w:t>
      </w:r>
      <w:r w:rsidRPr="00DA5AE9">
        <w:rPr>
          <w:rFonts w:eastAsiaTheme="minorHAnsi"/>
        </w:rPr>
        <w:tab/>
      </w:r>
      <w:r w:rsidRPr="00DA5AE9">
        <w:t>Different modalities and common reliance on the State party’s response</w:t>
      </w:r>
    </w:p>
    <w:p w14:paraId="7BB7A299" w14:textId="77777777" w:rsidR="00E51EEA" w:rsidRPr="000E2D36" w:rsidRDefault="00E51EEA" w:rsidP="00786F58">
      <w:pPr>
        <w:pStyle w:val="SingleTxtG"/>
        <w:numPr>
          <w:ilvl w:val="0"/>
          <w:numId w:val="4"/>
        </w:numPr>
        <w:ind w:left="1134" w:firstLine="0"/>
      </w:pPr>
      <w:r w:rsidRPr="002600EE">
        <w:t>All treaty bodies have developed follow-up mechanisms to measure the implementation of their views and established rapporteurs on follow-up to views to facilitate the process. All the committees request the concerned State party to provide information in writing on the measures taken to implement the views and corresponding recommendations within a certain time limit (usually 6 months).</w:t>
      </w:r>
      <w:r w:rsidRPr="00000873">
        <w:rPr>
          <w:rStyle w:val="FootnoteReference"/>
        </w:rPr>
        <w:footnoteReference w:id="72"/>
      </w:r>
      <w:r>
        <w:t xml:space="preserve"> This information is then transmitted to the complainant(s) for comments.</w:t>
      </w:r>
      <w:r w:rsidRPr="002600EE">
        <w:t xml:space="preserve"> In addition, CRC requests the State party to include this information in its next periodic report to the committee. </w:t>
      </w:r>
      <w:r>
        <w:t>More generally, the link between the follow-up to views and the reporting procedure has been highlighted as a way to enhance effectiveness.</w:t>
      </w:r>
      <w:r w:rsidRPr="00000873">
        <w:rPr>
          <w:rStyle w:val="FootnoteReference"/>
        </w:rPr>
        <w:footnoteReference w:id="73"/>
      </w:r>
      <w:r>
        <w:t xml:space="preserve"> </w:t>
      </w:r>
      <w:r w:rsidRPr="000E2D36">
        <w:rPr>
          <w:lang w:val="en-US"/>
        </w:rPr>
        <w:t xml:space="preserve">Cases closed </w:t>
      </w:r>
      <w:r w:rsidRPr="000E2D36">
        <w:t>with an unsatisfactory assessment could be formally moved for further consideration under the respective treaty body</w:t>
      </w:r>
      <w:r>
        <w:t xml:space="preserve"> reporting procedure to encourage the State party to follow upon the remedial measures recommended in the relevant views.</w:t>
      </w:r>
      <w:r w:rsidRPr="00000873">
        <w:rPr>
          <w:rStyle w:val="FootnoteReference"/>
        </w:rPr>
        <w:footnoteReference w:id="74"/>
      </w:r>
      <w:r>
        <w:t xml:space="preserve"> </w:t>
      </w:r>
    </w:p>
    <w:p w14:paraId="4EE5BD85" w14:textId="77777777" w:rsidR="00E51EEA" w:rsidRDefault="00E51EEA" w:rsidP="00786F58">
      <w:pPr>
        <w:pStyle w:val="SingleTxtG"/>
        <w:numPr>
          <w:ilvl w:val="0"/>
          <w:numId w:val="4"/>
        </w:numPr>
        <w:ind w:left="1134" w:firstLine="0"/>
      </w:pPr>
      <w:r>
        <w:t>Besides, i</w:t>
      </w:r>
      <w:r w:rsidRPr="002600EE">
        <w:t>n one exceptional, interesting instance, CCPR requires that the State party “indicate the specific domestic authorities that are in charge of implementing each measure of reparation” in the victim-specific part of the section on remedies.</w:t>
      </w:r>
      <w:r w:rsidRPr="00000873">
        <w:rPr>
          <w:rStyle w:val="FootnoteReference"/>
        </w:rPr>
        <w:footnoteReference w:id="75"/>
      </w:r>
      <w:r w:rsidRPr="002600EE">
        <w:t xml:space="preserve"> Identifying the relevant authorities responsible for implementing the recommended measures seems like an effective way of facilitating the follow-up to views.</w:t>
      </w:r>
      <w:r>
        <w:t xml:space="preserve"> This was already put forward for discussion and possible endorsement by the Chairs in 2018.</w:t>
      </w:r>
      <w:r w:rsidRPr="00000873">
        <w:rPr>
          <w:rStyle w:val="FootnoteReference"/>
        </w:rPr>
        <w:footnoteReference w:id="76"/>
      </w:r>
    </w:p>
    <w:p w14:paraId="5EA46D8F" w14:textId="77777777" w:rsidR="00E51EEA" w:rsidRDefault="00E51EEA" w:rsidP="00786F58">
      <w:pPr>
        <w:pStyle w:val="SingleTxtG"/>
        <w:numPr>
          <w:ilvl w:val="0"/>
          <w:numId w:val="4"/>
        </w:numPr>
        <w:ind w:left="1134" w:firstLine="0"/>
      </w:pPr>
      <w:r w:rsidRPr="00786F58">
        <w:rPr>
          <w:lang w:val="en-US"/>
        </w:rPr>
        <w:t>Essentially, follow-up to views relies upon the quality and level of response received from</w:t>
      </w:r>
      <w:r w:rsidRPr="005B1282">
        <w:t xml:space="preserve"> the relevant State Party,</w:t>
      </w:r>
      <w:r>
        <w:t xml:space="preserve"> which is very uneven.</w:t>
      </w:r>
      <w:r w:rsidRPr="00000873">
        <w:rPr>
          <w:rStyle w:val="FootnoteReference"/>
        </w:rPr>
        <w:footnoteReference w:id="77"/>
      </w:r>
      <w:r>
        <w:t xml:space="preserve"> This constitutes a major limitation to the follow-up process since the information provided is not always complete. For example, in one instance, CAT received information regarding guarantees of non-repetition only, with no mention of the measures relating to the victim even though these were drafted in specific, detailed terms.</w:t>
      </w:r>
      <w:r w:rsidRPr="00000873">
        <w:rPr>
          <w:rStyle w:val="FootnoteReference"/>
        </w:rPr>
        <w:footnoteReference w:id="78"/>
      </w:r>
      <w:r>
        <w:t xml:space="preserve"> </w:t>
      </w:r>
    </w:p>
    <w:p w14:paraId="650BE369" w14:textId="77777777" w:rsidR="00E51EEA" w:rsidRPr="00D540A3" w:rsidRDefault="00E51EEA" w:rsidP="00786F58">
      <w:pPr>
        <w:pStyle w:val="SingleTxtG"/>
        <w:numPr>
          <w:ilvl w:val="0"/>
          <w:numId w:val="4"/>
        </w:numPr>
        <w:ind w:left="1134" w:firstLine="0"/>
      </w:pPr>
      <w:r>
        <w:t xml:space="preserve">Furthermore, due to insufficient resources, treaty bodies are more reactive than proactive in terms of follow-up to their views i.e., follow-up information is processed when it is received. </w:t>
      </w:r>
    </w:p>
    <w:p w14:paraId="14201288" w14:textId="77777777" w:rsidR="00E51EEA" w:rsidRPr="00DA5AE9" w:rsidRDefault="00E51EEA" w:rsidP="00E51EEA">
      <w:pPr>
        <w:pStyle w:val="H23G"/>
      </w:pPr>
      <w:r>
        <w:rPr>
          <w:rFonts w:eastAsiaTheme="minorHAnsi"/>
        </w:rPr>
        <w:tab/>
      </w:r>
      <w:r>
        <w:rPr>
          <w:rFonts w:eastAsiaTheme="minorHAnsi"/>
        </w:rPr>
        <w:tab/>
      </w:r>
      <w:r w:rsidRPr="00DA5AE9">
        <w:rPr>
          <w:rFonts w:eastAsiaTheme="minorHAnsi"/>
        </w:rPr>
        <w:t>1.2.</w:t>
      </w:r>
      <w:r w:rsidRPr="00DA5AE9">
        <w:rPr>
          <w:rFonts w:eastAsiaTheme="minorHAnsi"/>
        </w:rPr>
        <w:tab/>
      </w:r>
      <w:r w:rsidRPr="00DA5AE9">
        <w:t>Resource limitations: understaffed PUAS and need for a digital portal</w:t>
      </w:r>
    </w:p>
    <w:p w14:paraId="2D73A7A6" w14:textId="77777777" w:rsidR="00E51EEA" w:rsidRPr="00DA5AE9" w:rsidRDefault="00E51EEA" w:rsidP="00786F58">
      <w:pPr>
        <w:pStyle w:val="SingleTxtG"/>
        <w:numPr>
          <w:ilvl w:val="0"/>
          <w:numId w:val="4"/>
        </w:numPr>
        <w:ind w:left="1134" w:firstLine="0"/>
      </w:pPr>
      <w:r w:rsidRPr="00DA5AE9">
        <w:t>Based on the research and discussion with PUAS, it appears that follow-up processes are not as efficient as they could be due to a lack of resources, both in terms of additional staff and modern, digital tools. PUAS limited human resources means that the team is not provided with the means necessary to process follow-up submissions received from the parties to the case. As a result, follow-up reports cannot be prepared in a timely manner for rapporteurs on follow-up.</w:t>
      </w:r>
      <w:r w:rsidRPr="00000873">
        <w:rPr>
          <w:rStyle w:val="FootnoteReference"/>
        </w:rPr>
        <w:footnoteReference w:id="79"/>
      </w:r>
    </w:p>
    <w:p w14:paraId="48F366A4" w14:textId="77777777" w:rsidR="00E51EEA" w:rsidRPr="00DA5AE9" w:rsidRDefault="00E51EEA" w:rsidP="00786F58">
      <w:pPr>
        <w:pStyle w:val="SingleTxtG"/>
        <w:numPr>
          <w:ilvl w:val="0"/>
          <w:numId w:val="4"/>
        </w:numPr>
        <w:ind w:left="1134" w:firstLine="0"/>
      </w:pPr>
      <w:r w:rsidRPr="00DA5AE9">
        <w:t>Moreover, as demonstrated by this very research exercise, follow-up information is not always easily accessible and/or up-to-date, where available.</w:t>
      </w:r>
      <w:r w:rsidRPr="00000873">
        <w:rPr>
          <w:rStyle w:val="FootnoteReference"/>
        </w:rPr>
        <w:footnoteReference w:id="80"/>
      </w:r>
      <w:r w:rsidRPr="00DA5AE9">
        <w:t xml:space="preserve"> One of the main difficulties was to link follow-up information to relevant cases. It would be extremely useful to be able to link follow-up information to the relevant case, which is not possible at the moment as the information is in different locations. In addition, being able to search cases and follow-up information by country for example, would also be useful to identify trends and challenges that could possibly be addressed in the reporting procedure for example. Having a digital portal that enables this information to be available and searchable would greatly facilitate treaty body work and enhance efficiency.</w:t>
      </w:r>
    </w:p>
    <w:p w14:paraId="3CB58B87" w14:textId="77777777" w:rsidR="00E51EEA" w:rsidRPr="00DA5AE9" w:rsidRDefault="00E51EEA" w:rsidP="00E51EEA">
      <w:pPr>
        <w:pStyle w:val="H1G"/>
      </w:pPr>
      <w:r>
        <w:rPr>
          <w:rFonts w:eastAsiaTheme="minorHAnsi"/>
        </w:rPr>
        <w:tab/>
      </w:r>
      <w:r w:rsidRPr="00DA5AE9">
        <w:rPr>
          <w:rFonts w:eastAsiaTheme="minorHAnsi"/>
        </w:rPr>
        <w:t>2.</w:t>
      </w:r>
      <w:r w:rsidRPr="00DA5AE9">
        <w:rPr>
          <w:rFonts w:eastAsiaTheme="minorHAnsi"/>
        </w:rPr>
        <w:tab/>
      </w:r>
      <w:r w:rsidRPr="00DA5AE9">
        <w:t>Discrepancies in follow-up documentation</w:t>
      </w:r>
    </w:p>
    <w:p w14:paraId="1BB68DBE" w14:textId="77777777" w:rsidR="00E51EEA" w:rsidRDefault="00E51EEA" w:rsidP="00786F58">
      <w:pPr>
        <w:pStyle w:val="SingleTxtG"/>
        <w:numPr>
          <w:ilvl w:val="0"/>
          <w:numId w:val="4"/>
        </w:numPr>
        <w:ind w:left="1134" w:firstLine="0"/>
        <w:rPr>
          <w:lang w:val="en-US"/>
        </w:rPr>
      </w:pPr>
      <w:r w:rsidRPr="009827E5">
        <w:rPr>
          <w:lang w:val="en-US"/>
        </w:rPr>
        <w:t xml:space="preserve">Practices </w:t>
      </w:r>
      <w:r>
        <w:rPr>
          <w:lang w:val="en-US"/>
        </w:rPr>
        <w:t xml:space="preserve">vary concerning the presentation and location of follow-up information to views. CCPR, CAT, CEDAW, CRPD, CRC, CESCR and CED prepare separate follow-up reports to views. These clearly present the remedial measures recommended by the committee, the follow-up submissions received from the State party and/or the author of the communication, followed by the committee’s assessment. Such follow-up reports are generally accessible on the main </w:t>
      </w:r>
      <w:r w:rsidRPr="00D465C9">
        <w:rPr>
          <w:lang w:val="en-US"/>
        </w:rPr>
        <w:t>webpage of the respective committees</w:t>
      </w:r>
      <w:r>
        <w:rPr>
          <w:lang w:val="en-US"/>
        </w:rPr>
        <w:t xml:space="preserve">. CRC, CED and CESCR follow-up reports are less accessible </w:t>
      </w:r>
      <w:r w:rsidRPr="00D465C9">
        <w:t xml:space="preserve">as these have to be looked for either on the Juris data base or in the </w:t>
      </w:r>
      <w:r>
        <w:t xml:space="preserve">relevant session </w:t>
      </w:r>
      <w:r w:rsidRPr="00D465C9">
        <w:t>documents relating to individual communications</w:t>
      </w:r>
      <w:r w:rsidRPr="00D465C9">
        <w:rPr>
          <w:lang w:val="en-US"/>
        </w:rPr>
        <w:t xml:space="preserve">. </w:t>
      </w:r>
      <w:r>
        <w:rPr>
          <w:lang w:val="en-US"/>
        </w:rPr>
        <w:t xml:space="preserve">CRPD follow-up information that is available on the main webpage is not up-to-date and the latest reports are not easily accessible as these are located, like CRC and CESCR, in the relevant sessions documents. In addition, </w:t>
      </w:r>
      <w:r w:rsidRPr="00D465C9">
        <w:rPr>
          <w:lang w:val="en-US"/>
        </w:rPr>
        <w:t>CRC publishes a table of</w:t>
      </w:r>
      <w:r>
        <w:rPr>
          <w:lang w:val="en-US"/>
        </w:rPr>
        <w:t xml:space="preserve"> views and follow-up status on its main webpage, although this is not up-to-date with the latest follow-up reports. Finally, CERD follow-up information is not easily accessible since it is only available in its annual reports in the form of a table that lists individual communications and CERD assessment. Moreover, CERD does not present follow-up information submitted by the parties, which does not facilitate understanding how follow-up information is assessed and implementation of recommendations measured. </w:t>
      </w:r>
    </w:p>
    <w:p w14:paraId="45686161" w14:textId="77777777" w:rsidR="00E51EEA" w:rsidRPr="00DA5AE9" w:rsidRDefault="00E51EEA" w:rsidP="00E51EEA">
      <w:pPr>
        <w:pStyle w:val="H1G"/>
      </w:pPr>
      <w:r>
        <w:rPr>
          <w:rFonts w:eastAsiaTheme="minorHAnsi"/>
        </w:rPr>
        <w:tab/>
      </w:r>
      <w:r w:rsidRPr="00DA5AE9">
        <w:rPr>
          <w:rFonts w:eastAsiaTheme="minorHAnsi"/>
        </w:rPr>
        <w:t>3.</w:t>
      </w:r>
      <w:r w:rsidRPr="00DA5AE9">
        <w:rPr>
          <w:rFonts w:eastAsiaTheme="minorHAnsi"/>
        </w:rPr>
        <w:tab/>
      </w:r>
      <w:r w:rsidRPr="00DA5AE9">
        <w:t>Different assessment criteria and grading systems</w:t>
      </w:r>
    </w:p>
    <w:p w14:paraId="506C9849" w14:textId="77777777" w:rsidR="00E51EEA" w:rsidRDefault="00E51EEA" w:rsidP="00786F58">
      <w:pPr>
        <w:pStyle w:val="SingleTxtG"/>
        <w:numPr>
          <w:ilvl w:val="0"/>
          <w:numId w:val="4"/>
        </w:numPr>
        <w:ind w:left="1134" w:firstLine="0"/>
        <w:rPr>
          <w:lang w:val="en-US"/>
        </w:rPr>
      </w:pPr>
      <w:r>
        <w:rPr>
          <w:lang w:val="en-US"/>
        </w:rPr>
        <w:t>Currently, assessment criteria and grading systems regarding follow-up to views are not streamlined, although some have been simplified.</w:t>
      </w:r>
      <w:r w:rsidRPr="00000873">
        <w:rPr>
          <w:rStyle w:val="FootnoteReference"/>
        </w:rPr>
        <w:footnoteReference w:id="81"/>
      </w:r>
      <w:r>
        <w:rPr>
          <w:lang w:val="en-US"/>
        </w:rPr>
        <w:t xml:space="preserve"> This lack of coherence and use of various assessment criteria was already identified as a challenge in 2017.</w:t>
      </w:r>
      <w:r w:rsidRPr="00000873">
        <w:rPr>
          <w:rStyle w:val="FootnoteReference"/>
        </w:rPr>
        <w:footnoteReference w:id="82"/>
      </w:r>
      <w:r>
        <w:rPr>
          <w:lang w:val="en-US"/>
        </w:rPr>
        <w:t xml:space="preserve"> </w:t>
      </w:r>
    </w:p>
    <w:p w14:paraId="711AFE62" w14:textId="77777777" w:rsidR="00E51EEA" w:rsidRDefault="00E51EEA" w:rsidP="00786F58">
      <w:pPr>
        <w:pStyle w:val="SingleTxtG"/>
        <w:numPr>
          <w:ilvl w:val="0"/>
          <w:numId w:val="4"/>
        </w:numPr>
        <w:ind w:left="1134" w:firstLine="0"/>
        <w:rPr>
          <w:lang w:val="en-US"/>
        </w:rPr>
      </w:pPr>
      <w:r>
        <w:rPr>
          <w:lang w:val="en-US"/>
        </w:rPr>
        <w:t>CCPR and CEDAW assess follow-up information received from the State party based on 5 criteria:</w:t>
      </w:r>
      <w:r w:rsidRPr="00000873">
        <w:rPr>
          <w:rStyle w:val="FootnoteReference"/>
        </w:rPr>
        <w:footnoteReference w:id="83"/>
      </w:r>
      <w:r>
        <w:rPr>
          <w:lang w:val="en-US"/>
        </w:rPr>
        <w:t xml:space="preserve"> </w:t>
      </w:r>
    </w:p>
    <w:p w14:paraId="339DFBF3" w14:textId="77777777" w:rsidR="00E51EEA" w:rsidRPr="00DA5AE9" w:rsidRDefault="00E51EEA" w:rsidP="00786F58">
      <w:pPr>
        <w:pStyle w:val="Bullet1G"/>
      </w:pPr>
      <w:r w:rsidRPr="00DA5AE9">
        <w:t>A: reply/action largely satisfactory</w:t>
      </w:r>
    </w:p>
    <w:p w14:paraId="4ED766FA" w14:textId="77777777" w:rsidR="00E51EEA" w:rsidRPr="00786F58" w:rsidRDefault="00E51EEA" w:rsidP="00786F58">
      <w:pPr>
        <w:pStyle w:val="Bullet1G"/>
      </w:pPr>
      <w:r w:rsidRPr="00786F58">
        <w:t>B: reply/action partially satisfactory</w:t>
      </w:r>
    </w:p>
    <w:p w14:paraId="38966C86" w14:textId="77777777" w:rsidR="00E51EEA" w:rsidRPr="00786F58" w:rsidRDefault="00E51EEA" w:rsidP="00786F58">
      <w:pPr>
        <w:pStyle w:val="Bullet1G"/>
      </w:pPr>
      <w:r w:rsidRPr="00786F58">
        <w:t>C: reply/action not satisfactory</w:t>
      </w:r>
    </w:p>
    <w:p w14:paraId="7DCE1323" w14:textId="77777777" w:rsidR="00E51EEA" w:rsidRPr="00786F58" w:rsidRDefault="00E51EEA" w:rsidP="00786F58">
      <w:pPr>
        <w:pStyle w:val="Bullet1G"/>
      </w:pPr>
      <w:r w:rsidRPr="00786F58">
        <w:t>D: no cooperation with the Committee</w:t>
      </w:r>
    </w:p>
    <w:p w14:paraId="65C12A56" w14:textId="0714D444" w:rsidR="00E51EEA" w:rsidRPr="00786F58" w:rsidRDefault="00E51EEA" w:rsidP="00786F58">
      <w:pPr>
        <w:pStyle w:val="Bullet1G"/>
      </w:pPr>
      <w:r w:rsidRPr="00786F58">
        <w:t>E: Information or measures taken are contrary to or reflect rejection of the recommendation</w:t>
      </w:r>
    </w:p>
    <w:p w14:paraId="3E821290" w14:textId="77777777" w:rsidR="00E51EEA" w:rsidRDefault="00E51EEA" w:rsidP="00786F58">
      <w:pPr>
        <w:pStyle w:val="SingleTxtG"/>
        <w:numPr>
          <w:ilvl w:val="0"/>
          <w:numId w:val="4"/>
        </w:numPr>
        <w:ind w:left="1134" w:firstLine="0"/>
        <w:rPr>
          <w:lang w:val="en-US"/>
        </w:rPr>
      </w:pPr>
      <w:r w:rsidRPr="007B6611">
        <w:rPr>
          <w:lang w:val="en-US"/>
        </w:rPr>
        <w:t>CRC</w:t>
      </w:r>
      <w:r>
        <w:rPr>
          <w:lang w:val="en-US"/>
        </w:rPr>
        <w:t>, CRPD and CED assessment is based on 4 criteria:</w:t>
      </w:r>
      <w:r w:rsidRPr="00000873">
        <w:rPr>
          <w:rStyle w:val="FootnoteReference"/>
        </w:rPr>
        <w:footnoteReference w:id="84"/>
      </w:r>
    </w:p>
    <w:p w14:paraId="1F0EF8AE" w14:textId="77777777" w:rsidR="00E51EEA" w:rsidRPr="00786F58" w:rsidRDefault="00E51EEA" w:rsidP="00786F58">
      <w:pPr>
        <w:pStyle w:val="Bullet1G"/>
      </w:pPr>
      <w:r w:rsidRPr="00786F58">
        <w:t>A: Compliance</w:t>
      </w:r>
    </w:p>
    <w:p w14:paraId="1C66E0F0" w14:textId="77777777" w:rsidR="00E51EEA" w:rsidRPr="00786F58" w:rsidRDefault="00E51EEA" w:rsidP="00786F58">
      <w:pPr>
        <w:pStyle w:val="Bullet1G"/>
      </w:pPr>
      <w:r w:rsidRPr="00786F58">
        <w:t>B: Partial compliance</w:t>
      </w:r>
    </w:p>
    <w:p w14:paraId="31D013BB" w14:textId="77777777" w:rsidR="00E51EEA" w:rsidRPr="00786F58" w:rsidRDefault="00E51EEA" w:rsidP="00786F58">
      <w:pPr>
        <w:pStyle w:val="Bullet1G"/>
      </w:pPr>
      <w:r w:rsidRPr="00786F58">
        <w:t>C: Non-compliance</w:t>
      </w:r>
    </w:p>
    <w:p w14:paraId="1691BDC9" w14:textId="77777777" w:rsidR="00E51EEA" w:rsidRPr="00786F58" w:rsidRDefault="00E51EEA" w:rsidP="00786F58">
      <w:pPr>
        <w:pStyle w:val="Bullet1G"/>
      </w:pPr>
      <w:r w:rsidRPr="00786F58">
        <w:t>D: No reply</w:t>
      </w:r>
    </w:p>
    <w:p w14:paraId="702A7B1E" w14:textId="77777777" w:rsidR="00E51EEA" w:rsidRDefault="00E51EEA" w:rsidP="00786F58">
      <w:pPr>
        <w:pStyle w:val="SingleTxtG"/>
        <w:numPr>
          <w:ilvl w:val="0"/>
          <w:numId w:val="4"/>
        </w:numPr>
        <w:ind w:left="1134" w:firstLine="0"/>
        <w:rPr>
          <w:lang w:val="en-US"/>
        </w:rPr>
      </w:pPr>
      <w:r w:rsidRPr="00C74EA1">
        <w:rPr>
          <w:lang w:val="en-US"/>
        </w:rPr>
        <w:t>CAT</w:t>
      </w:r>
      <w:r>
        <w:rPr>
          <w:lang w:val="en-US"/>
        </w:rPr>
        <w:t xml:space="preserve"> and CERD assessment are based on 3 criteria:</w:t>
      </w:r>
      <w:r w:rsidRPr="00000873">
        <w:rPr>
          <w:rStyle w:val="FootnoteReference"/>
        </w:rPr>
        <w:footnoteReference w:id="85"/>
      </w:r>
    </w:p>
    <w:p w14:paraId="28C22975" w14:textId="77777777" w:rsidR="00E51EEA" w:rsidRPr="00786F58" w:rsidRDefault="00E51EEA" w:rsidP="00786F58">
      <w:pPr>
        <w:pStyle w:val="Bullet1G"/>
      </w:pPr>
      <w:r w:rsidRPr="00786F58">
        <w:t>Satisfactory</w:t>
      </w:r>
    </w:p>
    <w:p w14:paraId="3BBD3536" w14:textId="77777777" w:rsidR="00E51EEA" w:rsidRPr="00786F58" w:rsidRDefault="00E51EEA" w:rsidP="00786F58">
      <w:pPr>
        <w:pStyle w:val="Bullet1G"/>
      </w:pPr>
      <w:r w:rsidRPr="00786F58">
        <w:t>Partly satisfactory</w:t>
      </w:r>
    </w:p>
    <w:p w14:paraId="64AF2BEF" w14:textId="77777777" w:rsidR="00E51EEA" w:rsidRPr="00786F58" w:rsidRDefault="00E51EEA" w:rsidP="00786F58">
      <w:pPr>
        <w:pStyle w:val="Bullet1G"/>
      </w:pPr>
      <w:r w:rsidRPr="00786F58">
        <w:t>Not satisfactory</w:t>
      </w:r>
    </w:p>
    <w:p w14:paraId="2F356F6E" w14:textId="77777777" w:rsidR="00E51EEA" w:rsidRDefault="00E51EEA" w:rsidP="00786F58">
      <w:pPr>
        <w:pStyle w:val="SingleTxtG"/>
        <w:numPr>
          <w:ilvl w:val="0"/>
          <w:numId w:val="4"/>
        </w:numPr>
        <w:ind w:left="1134" w:firstLine="0"/>
      </w:pPr>
      <w:r>
        <w:rPr>
          <w:lang w:val="en-US"/>
        </w:rPr>
        <w:t xml:space="preserve">Based on their mostly common elements, existing </w:t>
      </w:r>
      <w:r>
        <w:t xml:space="preserve">assessment criteria and grading systems could therefore be discussed and streamlined across treaty bodies. </w:t>
      </w:r>
    </w:p>
    <w:p w14:paraId="30008F40" w14:textId="77777777" w:rsidR="00E51EEA" w:rsidRPr="00DA5AE9" w:rsidRDefault="00E51EEA" w:rsidP="00E51EEA">
      <w:pPr>
        <w:pStyle w:val="H1G"/>
      </w:pPr>
      <w:r>
        <w:rPr>
          <w:rFonts w:eastAsiaTheme="minorHAnsi"/>
        </w:rPr>
        <w:tab/>
      </w:r>
      <w:r w:rsidRPr="00DA5AE9">
        <w:rPr>
          <w:rFonts w:eastAsiaTheme="minorHAnsi"/>
        </w:rPr>
        <w:t>4.</w:t>
      </w:r>
      <w:r w:rsidRPr="00DA5AE9">
        <w:rPr>
          <w:rFonts w:eastAsiaTheme="minorHAnsi"/>
        </w:rPr>
        <w:tab/>
      </w:r>
      <w:r w:rsidRPr="00DA5AE9">
        <w:t>Impact of specificity of recommendations on implementation</w:t>
      </w:r>
    </w:p>
    <w:p w14:paraId="20845E3F" w14:textId="77777777" w:rsidR="00E51EEA" w:rsidRDefault="00E51EEA" w:rsidP="00786F58">
      <w:pPr>
        <w:pStyle w:val="SingleTxtG"/>
        <w:numPr>
          <w:ilvl w:val="0"/>
          <w:numId w:val="4"/>
        </w:numPr>
        <w:ind w:left="1134" w:firstLine="0"/>
      </w:pPr>
      <w:r>
        <w:t xml:space="preserve">The issue of the </w:t>
      </w:r>
      <w:r w:rsidRPr="00A943A5">
        <w:t>impact of the specificity</w:t>
      </w:r>
      <w:r>
        <w:t xml:space="preserve"> of the recommendations on the follow-up procedure was addressed during the 2017 expert meeting on follow-up to treaty body recommendations. However, no conclusions were drawn in that respect on that particular occasion.</w:t>
      </w:r>
      <w:r w:rsidRPr="00000873">
        <w:rPr>
          <w:rStyle w:val="FootnoteReference"/>
        </w:rPr>
        <w:footnoteReference w:id="86"/>
      </w:r>
      <w:r>
        <w:t xml:space="preserve"> </w:t>
      </w:r>
    </w:p>
    <w:p w14:paraId="1120621E" w14:textId="77777777" w:rsidR="00E51EEA" w:rsidRDefault="00E51EEA" w:rsidP="00786F58">
      <w:pPr>
        <w:pStyle w:val="SingleTxtG"/>
        <w:numPr>
          <w:ilvl w:val="0"/>
          <w:numId w:val="4"/>
        </w:numPr>
        <w:ind w:left="1134" w:firstLine="0"/>
      </w:pPr>
      <w:r>
        <w:t xml:space="preserve">The limited number of </w:t>
      </w:r>
      <w:r w:rsidRPr="00481556">
        <w:t>follow-up reports</w:t>
      </w:r>
      <w:r>
        <w:t xml:space="preserve"> available in relation to a small number of views adopted by CCPR, CESCR, CAT and CRC over the research period</w:t>
      </w:r>
      <w:r w:rsidRPr="00000873">
        <w:rPr>
          <w:rStyle w:val="FootnoteReference"/>
        </w:rPr>
        <w:footnoteReference w:id="87"/>
      </w:r>
      <w:r>
        <w:t xml:space="preserve"> tends to demonstrate that </w:t>
      </w:r>
      <w:r w:rsidRPr="00557F15">
        <w:t>specific and detailed recommendations lead to more effective follow-up</w:t>
      </w:r>
      <w:r>
        <w:t>. Committees consistently assess whether the recommended case review or release has occurred,</w:t>
      </w:r>
      <w:r w:rsidRPr="00000873">
        <w:rPr>
          <w:rStyle w:val="FootnoteReference"/>
        </w:rPr>
        <w:footnoteReference w:id="88"/>
      </w:r>
      <w:r>
        <w:t xml:space="preserve"> investigations have been launched,</w:t>
      </w:r>
      <w:r w:rsidRPr="00000873">
        <w:rPr>
          <w:rStyle w:val="FootnoteReference"/>
        </w:rPr>
        <w:footnoteReference w:id="89"/>
      </w:r>
      <w:r>
        <w:t xml:space="preserve"> legislations and practices have been reviewed or are being reviewed to be consistent with the relevant treaty.</w:t>
      </w:r>
      <w:r w:rsidRPr="00000873">
        <w:rPr>
          <w:rStyle w:val="FootnoteReference"/>
        </w:rPr>
        <w:footnoteReference w:id="90"/>
      </w:r>
      <w:r>
        <w:t xml:space="preserve"> </w:t>
      </w:r>
    </w:p>
    <w:p w14:paraId="2260DA76" w14:textId="77777777" w:rsidR="00E51EEA" w:rsidRPr="008918B6" w:rsidRDefault="00E51EEA" w:rsidP="00786F58">
      <w:pPr>
        <w:pStyle w:val="SingleTxtG"/>
        <w:numPr>
          <w:ilvl w:val="0"/>
          <w:numId w:val="4"/>
        </w:numPr>
        <w:ind w:left="1134" w:firstLine="0"/>
      </w:pPr>
      <w:r w:rsidRPr="008918B6">
        <w:t>By contrast, the limited sample of available reports shows that not much information is provided regarding measures of compensation and guarantees of non-repetition when these are broadly phrased. Accordingly, it seems that in order to be measurable under the respective follow-up procedures to views and effective in preventing similar violations from occurring in the future, general measures of non-repetition should be as specific and clearly spelled out as possible.</w:t>
      </w:r>
    </w:p>
    <w:p w14:paraId="78A9B83B" w14:textId="77777777" w:rsidR="00E51EEA" w:rsidRPr="008918B6" w:rsidRDefault="00E51EEA" w:rsidP="00786F58">
      <w:pPr>
        <w:pStyle w:val="SingleTxtG"/>
        <w:numPr>
          <w:ilvl w:val="0"/>
          <w:numId w:val="4"/>
        </w:numPr>
        <w:ind w:left="1134" w:firstLine="0"/>
      </w:pPr>
      <w:r w:rsidRPr="008918B6">
        <w:t>Concerning compensation, apart from one notable exception, the only indication that appears in reports from the concerned victims is when none has been received.</w:t>
      </w:r>
      <w:r w:rsidRPr="00000873">
        <w:rPr>
          <w:rStyle w:val="FootnoteReference"/>
        </w:rPr>
        <w:footnoteReference w:id="91"/>
      </w:r>
      <w:r w:rsidRPr="008918B6">
        <w:t xml:space="preserve"> In other cases, no information is provided in that respect.</w:t>
      </w:r>
      <w:r w:rsidRPr="00000873">
        <w:rPr>
          <w:rStyle w:val="FootnoteReference"/>
        </w:rPr>
        <w:footnoteReference w:id="92"/>
      </w:r>
      <w:r w:rsidRPr="008918B6">
        <w:t xml:space="preserve"> The only exception concerns the follow-up to CESCR decision in the Trujillo Calero v. Ecuador case, in which both parties discuss specific amounts of money and the Committee encourages them to pursue negotiations in order to reach an agreement on adequate compensation.</w:t>
      </w:r>
      <w:r w:rsidRPr="00000873">
        <w:rPr>
          <w:rStyle w:val="FootnoteReference"/>
        </w:rPr>
        <w:footnoteReference w:id="93"/>
      </w:r>
      <w:r w:rsidRPr="008918B6">
        <w:t xml:space="preserve"> Therefore, based on this sample, it is difficult to assess what committees or victims consider to be “adequate” or “fair” compensation. </w:t>
      </w:r>
    </w:p>
    <w:p w14:paraId="220DA7B2" w14:textId="77777777" w:rsidR="00E51EEA" w:rsidRPr="008918B6" w:rsidRDefault="00E51EEA" w:rsidP="00786F58">
      <w:pPr>
        <w:pStyle w:val="SingleTxtG"/>
        <w:numPr>
          <w:ilvl w:val="0"/>
          <w:numId w:val="4"/>
        </w:numPr>
        <w:ind w:left="1134" w:firstLine="0"/>
      </w:pPr>
      <w:r w:rsidRPr="008918B6">
        <w:t>Similarly, regarding guarantees of non-repetition, no information is provided in follow-up reports relating to several cases where these are left unspecified according to the usual, imprecise CCPR formulation: “The State party is also under an obligation to take all steps necessary to prevent similar violations from occurring in the future.”</w:t>
      </w:r>
      <w:r w:rsidRPr="00000873">
        <w:rPr>
          <w:rStyle w:val="FootnoteReference"/>
        </w:rPr>
        <w:footnoteReference w:id="94"/>
      </w:r>
      <w:r w:rsidRPr="008918B6">
        <w:t xml:space="preserve"> </w:t>
      </w:r>
    </w:p>
    <w:p w14:paraId="00E71FAD" w14:textId="77777777" w:rsidR="00E51EEA" w:rsidRPr="008918B6" w:rsidRDefault="00E51EEA" w:rsidP="00786F58">
      <w:pPr>
        <w:pStyle w:val="SingleTxtG"/>
        <w:numPr>
          <w:ilvl w:val="0"/>
          <w:numId w:val="4"/>
        </w:numPr>
        <w:ind w:left="1134" w:firstLine="0"/>
      </w:pPr>
      <w:r w:rsidRPr="008918B6">
        <w:t xml:space="preserve">Where measures are broadly phrased, it is difficult to check whether the absence of information provided and presumably the non-implementation is due to a lack of specificity or to a different reason (lack of political will to implement the recommendations, lack of capacity etc.). </w:t>
      </w:r>
    </w:p>
    <w:p w14:paraId="3DB6D251" w14:textId="77777777" w:rsidR="00E51EEA" w:rsidRDefault="00E51EEA" w:rsidP="00786F58">
      <w:pPr>
        <w:pStyle w:val="SingleTxtG"/>
        <w:numPr>
          <w:ilvl w:val="0"/>
          <w:numId w:val="4"/>
        </w:numPr>
        <w:ind w:left="1134" w:firstLine="0"/>
      </w:pPr>
      <w:r w:rsidRPr="008918B6">
        <w:t>On the other hand, CESCR views, in which remedial measures are formulated in much detail, seem to encourage all stakeholders (the State party concerned, the author and a third-party in one case</w:t>
      </w:r>
      <w:r w:rsidRPr="00000873">
        <w:rPr>
          <w:rStyle w:val="FootnoteReference"/>
        </w:rPr>
        <w:footnoteReference w:id="95"/>
      </w:r>
      <w:r w:rsidRPr="008918B6">
        <w:t>) to submit more precise follow-up information. As a result, the Committee’s assessment is also more specific. However, it has been noted that follow-up of recommendations is not necessarily simplified when recommendations are numerous and specified, as can be the case for CESCR, CEDAW and CRPD for example.</w:t>
      </w:r>
      <w:r w:rsidRPr="00000873">
        <w:rPr>
          <w:rStyle w:val="FootnoteReference"/>
        </w:rPr>
        <w:footnoteReference w:id="96"/>
      </w:r>
      <w:r w:rsidRPr="008918B6">
        <w:t xml:space="preserve"> </w:t>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51EEA" w14:paraId="42CE3268" w14:textId="77777777" w:rsidTr="00BE6A58">
        <w:trPr>
          <w:trHeight w:hRule="exact" w:val="240"/>
          <w:jc w:val="center"/>
        </w:trPr>
        <w:tc>
          <w:tcPr>
            <w:tcW w:w="7654" w:type="dxa"/>
            <w:tcBorders>
              <w:top w:val="single" w:sz="4" w:space="0" w:color="auto"/>
            </w:tcBorders>
            <w:shd w:val="clear" w:color="auto" w:fill="auto"/>
          </w:tcPr>
          <w:p w14:paraId="29AF362F" w14:textId="77777777" w:rsidR="00E51EEA" w:rsidRPr="008918B6" w:rsidRDefault="00E51EEA" w:rsidP="00BE6A58">
            <w:pPr>
              <w:pBdr>
                <w:top w:val="single" w:sz="4" w:space="1" w:color="auto"/>
                <w:left w:val="single" w:sz="4" w:space="4" w:color="auto"/>
                <w:bottom w:val="single" w:sz="4" w:space="1" w:color="auto"/>
                <w:right w:val="single" w:sz="4" w:space="4" w:color="auto"/>
              </w:pBdr>
              <w:jc w:val="both"/>
              <w:rPr>
                <w:b/>
                <w:bCs/>
                <w:lang w:val="en-US"/>
              </w:rPr>
            </w:pPr>
            <w:r w:rsidRPr="008918B6">
              <w:rPr>
                <w:b/>
                <w:bCs/>
                <w:lang w:val="en-US"/>
              </w:rPr>
              <w:t>Good practices and common elements</w:t>
            </w:r>
          </w:p>
          <w:p w14:paraId="41BE7653" w14:textId="77777777" w:rsidR="00E51EEA" w:rsidRPr="008918B6" w:rsidRDefault="00E51EEA" w:rsidP="00BE6A58">
            <w:pPr>
              <w:spacing w:line="240" w:lineRule="auto"/>
            </w:pPr>
          </w:p>
        </w:tc>
      </w:tr>
      <w:tr w:rsidR="00E51EEA" w14:paraId="7148B1C7" w14:textId="77777777" w:rsidTr="00BE6A58">
        <w:trPr>
          <w:jc w:val="center"/>
        </w:trPr>
        <w:tc>
          <w:tcPr>
            <w:tcW w:w="7654" w:type="dxa"/>
            <w:tcBorders>
              <w:bottom w:val="nil"/>
            </w:tcBorders>
            <w:shd w:val="clear" w:color="auto" w:fill="auto"/>
            <w:tcMar>
              <w:left w:w="142" w:type="dxa"/>
              <w:right w:w="142" w:type="dxa"/>
            </w:tcMar>
          </w:tcPr>
          <w:p w14:paraId="7B709AF7" w14:textId="77777777" w:rsidR="00E51EEA" w:rsidRPr="008918B6" w:rsidRDefault="00E51EEA" w:rsidP="00E51EEA">
            <w:pPr>
              <w:pStyle w:val="Bullet1G"/>
              <w:tabs>
                <w:tab w:val="clear" w:pos="1701"/>
                <w:tab w:val="num" w:pos="170"/>
              </w:tabs>
              <w:ind w:left="170"/>
              <w:rPr>
                <w:lang w:val="en-US"/>
              </w:rPr>
            </w:pPr>
            <w:r w:rsidRPr="008918B6">
              <w:rPr>
                <w:lang w:val="en-US"/>
              </w:rPr>
              <w:t>Efforts towards more specific, precise recommendations, especially those related to the victim</w:t>
            </w:r>
          </w:p>
          <w:p w14:paraId="29F5F81B" w14:textId="77777777" w:rsidR="00E51EEA" w:rsidRPr="008918B6" w:rsidRDefault="00E51EEA" w:rsidP="00E51EEA">
            <w:pPr>
              <w:pStyle w:val="Bullet1G"/>
              <w:tabs>
                <w:tab w:val="clear" w:pos="1701"/>
                <w:tab w:val="num" w:pos="170"/>
              </w:tabs>
              <w:ind w:left="170"/>
              <w:rPr>
                <w:lang w:val="en-US"/>
              </w:rPr>
            </w:pPr>
            <w:r w:rsidRPr="008918B6">
              <w:rPr>
                <w:lang w:val="en-US"/>
              </w:rPr>
              <w:t>Greater clarity and precision seem to enable more effective follow-up</w:t>
            </w:r>
          </w:p>
          <w:p w14:paraId="5C3BFFBF" w14:textId="77777777" w:rsidR="00E51EEA" w:rsidRPr="008918B6" w:rsidRDefault="00E51EEA" w:rsidP="00E51EEA">
            <w:pPr>
              <w:pStyle w:val="Bullet1G"/>
              <w:tabs>
                <w:tab w:val="clear" w:pos="1701"/>
                <w:tab w:val="num" w:pos="170"/>
              </w:tabs>
              <w:ind w:left="170"/>
              <w:rPr>
                <w:lang w:val="en-US"/>
              </w:rPr>
            </w:pPr>
            <w:r w:rsidRPr="008918B6">
              <w:rPr>
                <w:lang w:val="en-US"/>
              </w:rPr>
              <w:t>CRC systematic request to provide information in the next periodic report and CCPR once-found request to identify the relevant authorities in charge of implementing each measure of reparation seem like good practices to measure implementation</w:t>
            </w:r>
          </w:p>
          <w:p w14:paraId="04CF175C" w14:textId="77777777" w:rsidR="00E51EEA" w:rsidRPr="008918B6" w:rsidRDefault="00E51EEA" w:rsidP="00E51EEA">
            <w:pPr>
              <w:pStyle w:val="Bullet1G"/>
              <w:tabs>
                <w:tab w:val="clear" w:pos="1701"/>
                <w:tab w:val="num" w:pos="170"/>
              </w:tabs>
              <w:ind w:left="170"/>
              <w:rPr>
                <w:lang w:val="en-US"/>
              </w:rPr>
            </w:pPr>
            <w:r w:rsidRPr="008918B6">
              <w:rPr>
                <w:lang w:val="en-US"/>
              </w:rPr>
              <w:t>The link between the follow-up to views and the reporting procedure could be further explored</w:t>
            </w:r>
          </w:p>
          <w:p w14:paraId="17BFD727" w14:textId="77777777" w:rsidR="00E51EEA" w:rsidRPr="008918B6" w:rsidRDefault="00E51EEA" w:rsidP="00E51EEA">
            <w:pPr>
              <w:pStyle w:val="Bullet1G"/>
              <w:tabs>
                <w:tab w:val="clear" w:pos="1701"/>
                <w:tab w:val="num" w:pos="170"/>
              </w:tabs>
              <w:ind w:left="170"/>
              <w:rPr>
                <w:lang w:val="en-US"/>
              </w:rPr>
            </w:pPr>
            <w:r w:rsidRPr="008918B6">
              <w:rPr>
                <w:lang w:val="en-US"/>
              </w:rPr>
              <w:t>Separate follow-up reports, as is the most widely shared practice, are more accessible than having the information in annual reports. Linking follow-up information to each case on a digital data base would make this information even more accessible</w:t>
            </w:r>
          </w:p>
          <w:p w14:paraId="35ADA585" w14:textId="77777777" w:rsidR="00E51EEA" w:rsidRPr="008918B6" w:rsidRDefault="00E51EEA" w:rsidP="00E51EEA">
            <w:pPr>
              <w:pStyle w:val="Bullet1G"/>
              <w:tabs>
                <w:tab w:val="clear" w:pos="1701"/>
                <w:tab w:val="num" w:pos="170"/>
              </w:tabs>
              <w:ind w:left="170"/>
              <w:rPr>
                <w:lang w:val="en-US"/>
              </w:rPr>
            </w:pPr>
            <w:r w:rsidRPr="008918B6">
              <w:rPr>
                <w:lang w:val="en-US"/>
              </w:rPr>
              <w:t>Presenting a summary of follow-up submissions, as is also the main practice, facilitates understanding how follow-up is assessed and implementation measured</w:t>
            </w:r>
          </w:p>
          <w:p w14:paraId="61B3BB8D" w14:textId="77777777" w:rsidR="00E51EEA" w:rsidRPr="008918B6" w:rsidRDefault="00E51EEA" w:rsidP="00E51EEA">
            <w:pPr>
              <w:pStyle w:val="Bullet1G"/>
              <w:tabs>
                <w:tab w:val="clear" w:pos="1701"/>
                <w:tab w:val="num" w:pos="170"/>
              </w:tabs>
              <w:ind w:left="170"/>
              <w:rPr>
                <w:lang w:val="en-US"/>
              </w:rPr>
            </w:pPr>
            <w:r w:rsidRPr="008918B6">
              <w:rPr>
                <w:lang w:val="en-US"/>
              </w:rPr>
              <w:t>Based on common elements in assessment criteria and grading systems, these could be streamlined across treaty bodies</w:t>
            </w:r>
          </w:p>
          <w:p w14:paraId="472F0111" w14:textId="77777777" w:rsidR="00E51EEA" w:rsidRPr="008918B6" w:rsidRDefault="00E51EEA" w:rsidP="00E51EEA">
            <w:pPr>
              <w:pStyle w:val="Bullet1G"/>
              <w:tabs>
                <w:tab w:val="clear" w:pos="1701"/>
                <w:tab w:val="num" w:pos="170"/>
              </w:tabs>
              <w:ind w:left="170"/>
              <w:rPr>
                <w:lang w:val="en-US"/>
              </w:rPr>
            </w:pPr>
            <w:r w:rsidRPr="008918B6">
              <w:rPr>
                <w:lang w:val="en-US"/>
              </w:rPr>
              <w:t>Common need for additional resources to facilitate follow-up to views and measure implementation of reparative measures (both human resources and modern, digital tools)</w:t>
            </w:r>
          </w:p>
        </w:tc>
      </w:tr>
      <w:tr w:rsidR="00E51EEA" w14:paraId="00A87C2B" w14:textId="77777777" w:rsidTr="00BE6A58">
        <w:trPr>
          <w:trHeight w:hRule="exact" w:val="20"/>
          <w:jc w:val="center"/>
        </w:trPr>
        <w:tc>
          <w:tcPr>
            <w:tcW w:w="7654" w:type="dxa"/>
            <w:tcBorders>
              <w:bottom w:val="single" w:sz="4" w:space="0" w:color="auto"/>
            </w:tcBorders>
            <w:shd w:val="clear" w:color="auto" w:fill="auto"/>
          </w:tcPr>
          <w:p w14:paraId="0CD91FE0" w14:textId="77777777" w:rsidR="00E51EEA" w:rsidRDefault="00E51EEA" w:rsidP="00BE6A58">
            <w:pPr>
              <w:spacing w:line="240" w:lineRule="auto"/>
            </w:pPr>
          </w:p>
        </w:tc>
      </w:tr>
    </w:tbl>
    <w:p w14:paraId="5AB01C0A" w14:textId="77777777" w:rsidR="00E51EEA" w:rsidRPr="008918B6" w:rsidRDefault="00E51EEA" w:rsidP="00E51EEA">
      <w:pPr>
        <w:pStyle w:val="HChG"/>
      </w:pPr>
      <w:r>
        <w:rPr>
          <w:rFonts w:eastAsiaTheme="minorHAnsi"/>
        </w:rPr>
        <w:tab/>
      </w:r>
      <w:r w:rsidRPr="008918B6">
        <w:rPr>
          <w:rFonts w:eastAsiaTheme="minorHAnsi"/>
        </w:rPr>
        <w:t>IV.</w:t>
      </w:r>
      <w:r w:rsidRPr="008918B6">
        <w:rPr>
          <w:rFonts w:eastAsiaTheme="minorHAnsi"/>
        </w:rPr>
        <w:tab/>
      </w:r>
      <w:r w:rsidRPr="008918B6">
        <w:t>Steps towards a more coherent approach</w:t>
      </w:r>
    </w:p>
    <w:p w14:paraId="3130A219" w14:textId="77777777" w:rsidR="00E51EEA" w:rsidRPr="00832684" w:rsidRDefault="00E51EEA" w:rsidP="00786F58">
      <w:pPr>
        <w:pStyle w:val="SingleTxtG"/>
        <w:numPr>
          <w:ilvl w:val="0"/>
          <w:numId w:val="4"/>
        </w:numPr>
        <w:ind w:left="1134" w:firstLine="0"/>
      </w:pPr>
      <w:r w:rsidRPr="00832684">
        <w:t>To enhance coherence and clarity on measures of reparation, 3 committees have developed guidance. To date, the Human Rights Committee is the only treaty body that has developed and adopted guidelines on this subject.</w:t>
      </w:r>
      <w:r w:rsidRPr="00000873">
        <w:rPr>
          <w:rStyle w:val="FootnoteReference"/>
        </w:rPr>
        <w:footnoteReference w:id="97"/>
      </w:r>
      <w:r w:rsidRPr="00832684">
        <w:t xml:space="preserve"> For their part, CAT and CEDAW have addressed the issue in a general comment</w:t>
      </w:r>
      <w:r w:rsidRPr="00000873">
        <w:rPr>
          <w:rStyle w:val="FootnoteReference"/>
        </w:rPr>
        <w:footnoteReference w:id="98"/>
      </w:r>
      <w:r w:rsidRPr="00832684">
        <w:t xml:space="preserve"> and 2 general recommendations respectively.</w:t>
      </w:r>
      <w:r w:rsidRPr="00000873">
        <w:rPr>
          <w:rStyle w:val="FootnoteReference"/>
        </w:rPr>
        <w:footnoteReference w:id="99"/>
      </w:r>
      <w:r w:rsidRPr="00832684">
        <w:t xml:space="preserve"> </w:t>
      </w:r>
    </w:p>
    <w:p w14:paraId="31C75EB1" w14:textId="77777777" w:rsidR="00E51EEA" w:rsidRPr="00832684" w:rsidRDefault="00E51EEA" w:rsidP="00786F58">
      <w:pPr>
        <w:pStyle w:val="SingleTxtG"/>
        <w:numPr>
          <w:ilvl w:val="0"/>
          <w:numId w:val="4"/>
        </w:numPr>
        <w:ind w:left="1134" w:firstLine="0"/>
      </w:pPr>
      <w:r w:rsidRPr="00832684">
        <w:t>These documents recognize the different forms of reparation, in line with the UN Basic Principles.</w:t>
      </w:r>
      <w:r w:rsidRPr="00000873">
        <w:rPr>
          <w:rStyle w:val="FootnoteReference"/>
        </w:rPr>
        <w:footnoteReference w:id="100"/>
      </w:r>
      <w:r w:rsidRPr="00832684">
        <w:t xml:space="preserve"> Logically, CAT General Comment is tailored to victims of torture and ill-treatment, while CEDAW General Recommendations deals with discrimination against women and women victims/survivors of gender-based violence. As in its views (and concluding observations), CEDAW emphasizes the need to address the underlying issues that cause or contribute to the violations.</w:t>
      </w:r>
      <w:r w:rsidRPr="00000873">
        <w:rPr>
          <w:rStyle w:val="FootnoteReference"/>
        </w:rPr>
        <w:footnoteReference w:id="101"/>
      </w:r>
      <w:r w:rsidRPr="00832684">
        <w:t xml:space="preserve"> CAT General Comment provides much detail regarding the various types of remedies and is much more extensive than CCPR Guidelines on measures of rehabilitation and compensation. </w:t>
      </w:r>
    </w:p>
    <w:p w14:paraId="48887C53" w14:textId="77777777" w:rsidR="00E51EEA" w:rsidRDefault="00E51EEA" w:rsidP="00786F58">
      <w:pPr>
        <w:pStyle w:val="SingleTxtG"/>
        <w:numPr>
          <w:ilvl w:val="0"/>
          <w:numId w:val="4"/>
        </w:numPr>
        <w:ind w:left="1134" w:firstLine="0"/>
      </w:pPr>
      <w:r w:rsidRPr="00832684">
        <w:t>Apart from the differences in CAT and CEDAW guidance due to the specificity of “their” treaty and approaches, the only noticeable divergence is the omission of proportionality of reparative measures in CCPR Guidelines. In line with the UN Basic Principles, both CAT and CEDAW indicate that measures of reparation should be proportionate to the gravity of the violations committed.</w:t>
      </w:r>
      <w:r w:rsidRPr="00000873">
        <w:rPr>
          <w:rStyle w:val="FootnoteReference"/>
        </w:rPr>
        <w:footnoteReference w:id="102"/>
      </w:r>
    </w:p>
    <w:tbl>
      <w:tblPr>
        <w:tblW w:w="0" w:type="auto"/>
        <w:jc w:val="center"/>
        <w:tblBorders>
          <w:left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7654"/>
      </w:tblGrid>
      <w:tr w:rsidR="00E51EEA" w14:paraId="7942EFBD" w14:textId="77777777" w:rsidTr="00BE6A58">
        <w:trPr>
          <w:trHeight w:hRule="exact" w:val="240"/>
          <w:jc w:val="center"/>
        </w:trPr>
        <w:tc>
          <w:tcPr>
            <w:tcW w:w="7654" w:type="dxa"/>
            <w:tcBorders>
              <w:top w:val="single" w:sz="4" w:space="0" w:color="auto"/>
            </w:tcBorders>
            <w:shd w:val="clear" w:color="auto" w:fill="auto"/>
          </w:tcPr>
          <w:p w14:paraId="371655B1" w14:textId="77777777" w:rsidR="00E51EEA" w:rsidRPr="008918B6" w:rsidRDefault="00E51EEA" w:rsidP="00BE6A58">
            <w:pPr>
              <w:spacing w:line="240" w:lineRule="auto"/>
              <w:rPr>
                <w:b/>
                <w:bCs/>
                <w:lang w:val="en-US"/>
              </w:rPr>
            </w:pPr>
            <w:r w:rsidRPr="008918B6">
              <w:rPr>
                <w:b/>
                <w:bCs/>
                <w:lang w:val="en-US"/>
              </w:rPr>
              <w:t>Good practices and common elements</w:t>
            </w:r>
          </w:p>
          <w:p w14:paraId="6EE24376" w14:textId="77777777" w:rsidR="00E51EEA" w:rsidRDefault="00E51EEA" w:rsidP="00BE6A58">
            <w:pPr>
              <w:spacing w:line="240" w:lineRule="auto"/>
            </w:pPr>
          </w:p>
        </w:tc>
      </w:tr>
      <w:tr w:rsidR="00E51EEA" w14:paraId="4D158786" w14:textId="77777777" w:rsidTr="00BE6A58">
        <w:trPr>
          <w:jc w:val="center"/>
        </w:trPr>
        <w:tc>
          <w:tcPr>
            <w:tcW w:w="7654" w:type="dxa"/>
            <w:tcBorders>
              <w:bottom w:val="nil"/>
            </w:tcBorders>
            <w:shd w:val="clear" w:color="auto" w:fill="auto"/>
            <w:tcMar>
              <w:left w:w="142" w:type="dxa"/>
              <w:right w:w="142" w:type="dxa"/>
            </w:tcMar>
          </w:tcPr>
          <w:p w14:paraId="17F418D4" w14:textId="77777777" w:rsidR="00E51EEA" w:rsidRPr="008918B6" w:rsidRDefault="00E51EEA" w:rsidP="00E51EEA">
            <w:pPr>
              <w:pStyle w:val="Bullet1G"/>
              <w:tabs>
                <w:tab w:val="clear" w:pos="1701"/>
                <w:tab w:val="num" w:pos="170"/>
              </w:tabs>
              <w:ind w:left="170"/>
              <w:rPr>
                <w:lang w:val="en-US"/>
              </w:rPr>
            </w:pPr>
            <w:r w:rsidRPr="008918B6">
              <w:rPr>
                <w:lang w:val="en-US"/>
              </w:rPr>
              <w:t xml:space="preserve">Steps towards a more coherent approach to remedies </w:t>
            </w:r>
          </w:p>
          <w:p w14:paraId="0A69378A" w14:textId="77777777" w:rsidR="00E51EEA" w:rsidRPr="008918B6" w:rsidRDefault="00E51EEA" w:rsidP="00E51EEA">
            <w:pPr>
              <w:pStyle w:val="Bullet1G"/>
              <w:tabs>
                <w:tab w:val="clear" w:pos="1701"/>
                <w:tab w:val="num" w:pos="170"/>
              </w:tabs>
              <w:ind w:left="170"/>
              <w:rPr>
                <w:lang w:val="en-US"/>
              </w:rPr>
            </w:pPr>
            <w:r w:rsidRPr="008918B6">
              <w:rPr>
                <w:lang w:val="en-US"/>
              </w:rPr>
              <w:t>Existing guidance mostly consistent</w:t>
            </w:r>
          </w:p>
          <w:p w14:paraId="0184574B" w14:textId="77777777" w:rsidR="00E51EEA" w:rsidRPr="008918B6" w:rsidRDefault="00E51EEA" w:rsidP="00E51EEA">
            <w:pPr>
              <w:pStyle w:val="Bullet1G"/>
              <w:tabs>
                <w:tab w:val="clear" w:pos="1701"/>
                <w:tab w:val="num" w:pos="170"/>
              </w:tabs>
              <w:ind w:left="170"/>
              <w:rPr>
                <w:lang w:val="en-US"/>
              </w:rPr>
            </w:pPr>
            <w:r w:rsidRPr="008918B6">
              <w:rPr>
                <w:lang w:val="en-US"/>
              </w:rPr>
              <w:t>Good basis to build upon</w:t>
            </w:r>
          </w:p>
        </w:tc>
      </w:tr>
      <w:tr w:rsidR="00E51EEA" w14:paraId="0086B7B8" w14:textId="77777777" w:rsidTr="00BE6A58">
        <w:trPr>
          <w:trHeight w:hRule="exact" w:val="20"/>
          <w:jc w:val="center"/>
        </w:trPr>
        <w:tc>
          <w:tcPr>
            <w:tcW w:w="7654" w:type="dxa"/>
            <w:tcBorders>
              <w:bottom w:val="single" w:sz="4" w:space="0" w:color="auto"/>
            </w:tcBorders>
            <w:shd w:val="clear" w:color="auto" w:fill="auto"/>
          </w:tcPr>
          <w:p w14:paraId="4DFD111F" w14:textId="77777777" w:rsidR="00E51EEA" w:rsidRDefault="00E51EEA" w:rsidP="00BE6A58">
            <w:pPr>
              <w:spacing w:line="240" w:lineRule="auto"/>
            </w:pPr>
          </w:p>
        </w:tc>
      </w:tr>
    </w:tbl>
    <w:p w14:paraId="4B42BF12" w14:textId="77777777" w:rsidR="00E51EEA" w:rsidRPr="008918B6" w:rsidRDefault="00E51EEA" w:rsidP="00E51EEA">
      <w:pPr>
        <w:pStyle w:val="HChG"/>
      </w:pPr>
      <w:r w:rsidRPr="008918B6">
        <w:rPr>
          <w:rFonts w:eastAsiaTheme="minorHAnsi"/>
        </w:rPr>
        <w:tab/>
        <w:t>V.</w:t>
      </w:r>
      <w:r w:rsidRPr="008918B6">
        <w:rPr>
          <w:rFonts w:eastAsiaTheme="minorHAnsi"/>
        </w:rPr>
        <w:tab/>
      </w:r>
      <w:r w:rsidRPr="008918B6">
        <w:t>Proposals for enhancing coherence based on common elements and good practices</w:t>
      </w:r>
    </w:p>
    <w:p w14:paraId="5AA8FC57" w14:textId="77777777" w:rsidR="00E51EEA" w:rsidRPr="00832684" w:rsidRDefault="00E51EEA" w:rsidP="00786F58">
      <w:pPr>
        <w:pStyle w:val="SingleTxtG"/>
        <w:numPr>
          <w:ilvl w:val="0"/>
          <w:numId w:val="4"/>
        </w:numPr>
        <w:ind w:left="1134" w:firstLine="0"/>
      </w:pPr>
      <w:r w:rsidRPr="00832684">
        <w:t xml:space="preserve">To improve coherence and clarity regarding measures of reparation recommended by the treaty bodies, guidance could be made available to all actors involved in the communications procedures. </w:t>
      </w:r>
    </w:p>
    <w:p w14:paraId="1FE58301" w14:textId="77777777" w:rsidR="00E51EEA" w:rsidRPr="00832684" w:rsidRDefault="00E51EEA" w:rsidP="00E51EEA">
      <w:pPr>
        <w:pStyle w:val="H1G"/>
      </w:pPr>
      <w:r>
        <w:rPr>
          <w:rFonts w:eastAsiaTheme="minorHAnsi"/>
        </w:rPr>
        <w:tab/>
      </w:r>
      <w:r w:rsidRPr="00832684">
        <w:rPr>
          <w:rFonts w:eastAsiaTheme="minorHAnsi"/>
        </w:rPr>
        <w:t>1.</w:t>
      </w:r>
      <w:r w:rsidRPr="00832684">
        <w:rPr>
          <w:rFonts w:eastAsiaTheme="minorHAnsi"/>
        </w:rPr>
        <w:tab/>
      </w:r>
      <w:r w:rsidRPr="00832684">
        <w:t>Consolidate and provide guidance to all stakeholders</w:t>
      </w:r>
    </w:p>
    <w:p w14:paraId="42DF7855" w14:textId="77777777" w:rsidR="00E51EEA" w:rsidRPr="00F20880" w:rsidRDefault="00E51EEA" w:rsidP="00786F58">
      <w:pPr>
        <w:pStyle w:val="SingleTxtG"/>
        <w:numPr>
          <w:ilvl w:val="0"/>
          <w:numId w:val="4"/>
        </w:numPr>
        <w:ind w:left="1134" w:firstLine="0"/>
      </w:pPr>
      <w:r w:rsidRPr="00F20880">
        <w:rPr>
          <w:lang w:val="en-US"/>
        </w:rPr>
        <w:t>Based on the available guidance and the present findings, a common document could present an overview of the jurisprudence of the committees regarding measures of reparation. This document would help all stakeholders, including authors of communications, to identify appropriate remedies, as well as foster coherence and clarity throughout the system in that area.</w:t>
      </w:r>
      <w:r>
        <w:rPr>
          <w:lang w:val="en-US"/>
        </w:rPr>
        <w:t xml:space="preserve"> </w:t>
      </w:r>
    </w:p>
    <w:p w14:paraId="12182CD9" w14:textId="77777777" w:rsidR="00E51EEA" w:rsidRDefault="00E51EEA" w:rsidP="00786F58">
      <w:pPr>
        <w:pStyle w:val="SingleTxtG"/>
        <w:numPr>
          <w:ilvl w:val="0"/>
          <w:numId w:val="4"/>
        </w:numPr>
        <w:ind w:left="1134" w:firstLine="0"/>
        <w:rPr>
          <w:lang w:val="en-US"/>
        </w:rPr>
      </w:pPr>
      <w:r w:rsidRPr="00F42318">
        <w:rPr>
          <w:lang w:val="en-US"/>
        </w:rPr>
        <w:t>When processing communications, if not already specified in the complaint, committees generally seek clarification from the author(s) as to what type of reparation they would like to obtain from the State party. This information forms part of the new guidance to submit individual communications through the common complaint form.</w:t>
      </w:r>
      <w:r w:rsidRPr="00000873">
        <w:rPr>
          <w:rStyle w:val="FootnoteReference"/>
        </w:rPr>
        <w:footnoteReference w:id="103"/>
      </w:r>
      <w:r w:rsidRPr="00F42318">
        <w:rPr>
          <w:lang w:val="en-US"/>
        </w:rPr>
        <w:t xml:space="preserve"> </w:t>
      </w:r>
      <w:r>
        <w:rPr>
          <w:lang w:val="en-US"/>
        </w:rPr>
        <w:t xml:space="preserve">However, the existing guidance is committee-specific, located on various webpages and, regarding CAT and CEDAW, part of a general comment or two different general recommendations. Therefore, it is not easily accessible. </w:t>
      </w:r>
    </w:p>
    <w:p w14:paraId="447D3DC0" w14:textId="77777777" w:rsidR="00E51EEA" w:rsidRDefault="00E51EEA" w:rsidP="00786F58">
      <w:pPr>
        <w:pStyle w:val="SingleTxtG"/>
        <w:numPr>
          <w:ilvl w:val="0"/>
          <w:numId w:val="4"/>
        </w:numPr>
        <w:ind w:left="1134" w:firstLine="0"/>
        <w:rPr>
          <w:lang w:val="en-US"/>
        </w:rPr>
      </w:pPr>
      <w:r>
        <w:rPr>
          <w:lang w:val="en-US"/>
        </w:rPr>
        <w:t xml:space="preserve">Besides, although treaty bodies have discussed the issue of remedies, including at meetings of Chairpersons, it is not clear whether they are aware of each other’s practices in that area. </w:t>
      </w:r>
    </w:p>
    <w:p w14:paraId="13B6BC14" w14:textId="77777777" w:rsidR="00E51EEA" w:rsidRPr="00786F58" w:rsidRDefault="00E51EEA" w:rsidP="00786F58">
      <w:pPr>
        <w:pStyle w:val="SingleTxtG"/>
        <w:numPr>
          <w:ilvl w:val="0"/>
          <w:numId w:val="4"/>
        </w:numPr>
        <w:ind w:left="1134" w:firstLine="0"/>
      </w:pPr>
      <w:r w:rsidRPr="00786F58">
        <w:t>A common document would solve both problems while improving coherence and clarity.</w:t>
      </w:r>
    </w:p>
    <w:p w14:paraId="645A101F" w14:textId="77777777" w:rsidR="00E51EEA" w:rsidRPr="004104DD" w:rsidRDefault="00E51EEA" w:rsidP="00786F58">
      <w:pPr>
        <w:pStyle w:val="SingleTxtG"/>
        <w:numPr>
          <w:ilvl w:val="0"/>
          <w:numId w:val="4"/>
        </w:numPr>
        <w:ind w:left="1134" w:firstLine="0"/>
        <w:rPr>
          <w:lang w:val="en-US"/>
        </w:rPr>
      </w:pPr>
      <w:r>
        <w:rPr>
          <w:lang w:val="en-US"/>
        </w:rPr>
        <w:t>The question of how to proceed remains. It has been proposed to extend CCPR Guidelines to all treaty bodies.</w:t>
      </w:r>
      <w:r w:rsidRPr="00000873">
        <w:rPr>
          <w:rStyle w:val="FootnoteReference"/>
        </w:rPr>
        <w:footnoteReference w:id="104"/>
      </w:r>
      <w:r>
        <w:rPr>
          <w:lang w:val="en-US"/>
        </w:rPr>
        <w:t xml:space="preserve"> Another option would be for all treaty bodies dealing with individual communications to develop a common document together. </w:t>
      </w:r>
    </w:p>
    <w:p w14:paraId="6E2972B0" w14:textId="77777777" w:rsidR="00E51EEA" w:rsidRPr="008918B6" w:rsidRDefault="00E51EEA" w:rsidP="00E51EEA">
      <w:pPr>
        <w:pStyle w:val="H1G"/>
      </w:pPr>
      <w:r>
        <w:rPr>
          <w:rFonts w:eastAsiaTheme="minorHAnsi"/>
        </w:rPr>
        <w:tab/>
      </w:r>
      <w:r w:rsidRPr="008918B6">
        <w:rPr>
          <w:rFonts w:eastAsiaTheme="minorHAnsi"/>
        </w:rPr>
        <w:t>2.</w:t>
      </w:r>
      <w:r w:rsidRPr="008918B6">
        <w:rPr>
          <w:rFonts w:eastAsiaTheme="minorHAnsi"/>
        </w:rPr>
        <w:tab/>
      </w:r>
      <w:r w:rsidRPr="008918B6">
        <w:t>Possible common elements to consider when preparing the guidance</w:t>
      </w:r>
    </w:p>
    <w:p w14:paraId="4721CCB0" w14:textId="77777777" w:rsidR="00E51EEA" w:rsidRPr="00BD364B" w:rsidRDefault="00E51EEA" w:rsidP="00786F58">
      <w:pPr>
        <w:pStyle w:val="SingleTxtG"/>
        <w:numPr>
          <w:ilvl w:val="0"/>
          <w:numId w:val="4"/>
        </w:numPr>
        <w:ind w:left="1134" w:firstLine="0"/>
        <w:rPr>
          <w:lang w:val="en-US"/>
        </w:rPr>
      </w:pPr>
      <w:r>
        <w:rPr>
          <w:lang w:val="en-US"/>
        </w:rPr>
        <w:t xml:space="preserve">Taking into account each committee’s specificity, the proposed common guidance document could include the following elements: </w:t>
      </w:r>
    </w:p>
    <w:p w14:paraId="76B6546D" w14:textId="77777777" w:rsidR="00E51EEA" w:rsidRDefault="00E51EEA" w:rsidP="00786F58">
      <w:pPr>
        <w:pStyle w:val="SingleTxtG"/>
        <w:numPr>
          <w:ilvl w:val="0"/>
          <w:numId w:val="4"/>
        </w:numPr>
        <w:ind w:left="1134" w:firstLine="0"/>
        <w:rPr>
          <w:lang w:val="en-US"/>
        </w:rPr>
      </w:pPr>
      <w:r>
        <w:rPr>
          <w:lang w:val="en-US"/>
        </w:rPr>
        <w:t>To enhance coherence and clarity:</w:t>
      </w:r>
    </w:p>
    <w:p w14:paraId="4BD1C74B" w14:textId="77777777" w:rsidR="00E51EEA" w:rsidRPr="00786F58" w:rsidRDefault="00E51EEA" w:rsidP="00786F58">
      <w:pPr>
        <w:pStyle w:val="Bullet1G"/>
      </w:pPr>
      <w:r w:rsidRPr="00786F58">
        <w:t>Formalize the practice to request the author(s) to include expected measures of reparation in their communication a) in the common guidance and b) for greater clarity, include in the new form for submitting individual communications to treaty bodies.</w:t>
      </w:r>
      <w:r w:rsidRPr="00786F58">
        <w:footnoteReference w:id="105"/>
      </w:r>
      <w:r w:rsidRPr="00786F58">
        <w:t xml:space="preserve"> This could be clarified in the instructions relating to point “11. Claim” by adding, for example “Please indicate the specific measures of reparation that you would like to obtain from the State party”. Currently, this advice only features in the guidance document for submitting individual communications, not in the complaint form itself.</w:t>
      </w:r>
    </w:p>
    <w:p w14:paraId="49D75F16" w14:textId="77777777" w:rsidR="00E51EEA" w:rsidRPr="00786F58" w:rsidRDefault="00E51EEA" w:rsidP="00786F58">
      <w:pPr>
        <w:pStyle w:val="Bullet1G"/>
      </w:pPr>
      <w:r w:rsidRPr="00786F58">
        <w:t>Present and list the different types of measures as already provided in the existing guidance, ideally including treaty-specific examples as well as examples of similar measures recommended by different treaty-bodies regarding similar issues/situations.</w:t>
      </w:r>
      <w:r w:rsidRPr="00786F58">
        <w:footnoteReference w:id="106"/>
      </w:r>
    </w:p>
    <w:p w14:paraId="6667BCD6" w14:textId="77777777" w:rsidR="00E51EEA" w:rsidRPr="00786F58" w:rsidRDefault="00E51EEA" w:rsidP="00786F58">
      <w:pPr>
        <w:pStyle w:val="Bullet1G"/>
      </w:pPr>
      <w:r w:rsidRPr="00786F58">
        <w:t>In line with most of the existing guidance, provide that measures of reparation should be proportionate to the gravity of the violations suffered.</w:t>
      </w:r>
      <w:r w:rsidRPr="00786F58">
        <w:footnoteReference w:id="107"/>
      </w:r>
    </w:p>
    <w:p w14:paraId="34C44286" w14:textId="77777777" w:rsidR="00E51EEA" w:rsidRPr="008918B6" w:rsidRDefault="00E51EEA" w:rsidP="00786F58">
      <w:pPr>
        <w:pStyle w:val="SingleTxtG"/>
        <w:numPr>
          <w:ilvl w:val="0"/>
          <w:numId w:val="4"/>
        </w:numPr>
        <w:ind w:left="1134" w:firstLine="0"/>
      </w:pPr>
      <w:r w:rsidRPr="008918B6">
        <w:t>To measure whether reparation is full and effective, possible criteria could include:</w:t>
      </w:r>
    </w:p>
    <w:p w14:paraId="6838CDEB" w14:textId="77777777" w:rsidR="00E51EEA" w:rsidRPr="00786F58" w:rsidRDefault="00E51EEA" w:rsidP="00786F58">
      <w:pPr>
        <w:pStyle w:val="Bullet1G"/>
      </w:pPr>
      <w:r w:rsidRPr="00786F58">
        <w:t>If the measures of reparation recommended are victim-centered;</w:t>
      </w:r>
    </w:p>
    <w:p w14:paraId="664095E6" w14:textId="77777777" w:rsidR="00E51EEA" w:rsidRPr="00786F58" w:rsidRDefault="00E51EEA" w:rsidP="00786F58">
      <w:pPr>
        <w:pStyle w:val="Bullet1G"/>
      </w:pPr>
      <w:r w:rsidRPr="00786F58">
        <w:t>If the victim considers that the measures of reparation are satisfactory;</w:t>
      </w:r>
    </w:p>
    <w:p w14:paraId="56C3771D" w14:textId="77777777" w:rsidR="00E51EEA" w:rsidRPr="00786F58" w:rsidRDefault="00E51EEA" w:rsidP="00786F58">
      <w:pPr>
        <w:pStyle w:val="Bullet1G"/>
      </w:pPr>
      <w:r w:rsidRPr="00786F58">
        <w:t>If the measures are specific enough to enable effective follow-up.</w:t>
      </w:r>
    </w:p>
    <w:p w14:paraId="23BD7638" w14:textId="77777777" w:rsidR="00E51EEA" w:rsidRPr="00966328" w:rsidRDefault="00E51EEA" w:rsidP="00786F58">
      <w:pPr>
        <w:pStyle w:val="SingleTxtG"/>
        <w:numPr>
          <w:ilvl w:val="0"/>
          <w:numId w:val="4"/>
        </w:numPr>
        <w:ind w:left="1134" w:firstLine="0"/>
        <w:rPr>
          <w:lang w:val="en-US"/>
        </w:rPr>
      </w:pPr>
      <w:r w:rsidRPr="00DB3EF5">
        <w:rPr>
          <w:lang w:val="en-US"/>
        </w:rPr>
        <w:t xml:space="preserve">To </w:t>
      </w:r>
      <w:r>
        <w:rPr>
          <w:lang w:val="en-US"/>
        </w:rPr>
        <w:t xml:space="preserve">facilitate </w:t>
      </w:r>
      <w:r w:rsidRPr="00DB3EF5">
        <w:rPr>
          <w:lang w:val="en-US"/>
        </w:rPr>
        <w:t>measur</w:t>
      </w:r>
      <w:r>
        <w:rPr>
          <w:lang w:val="en-US"/>
        </w:rPr>
        <w:t>ing</w:t>
      </w:r>
      <w:r w:rsidRPr="00DB3EF5">
        <w:rPr>
          <w:lang w:val="en-US"/>
        </w:rPr>
        <w:t xml:space="preserve"> implementation</w:t>
      </w:r>
      <w:r>
        <w:rPr>
          <w:lang w:val="en-US"/>
        </w:rPr>
        <w:t>:</w:t>
      </w:r>
    </w:p>
    <w:p w14:paraId="366CFE4A" w14:textId="77777777" w:rsidR="00E51EEA" w:rsidRPr="00E51EEA" w:rsidRDefault="00E51EEA" w:rsidP="00E51EEA">
      <w:pPr>
        <w:pStyle w:val="Bullet1G"/>
      </w:pPr>
      <w:r w:rsidRPr="00E51EEA">
        <w:t>Regarding their formulation, measures of reparation should be as specified and clearly spelled out as possible to enable effective follow-up by treaty bodies and civil society organizations. For example, identifying the specific shortcomings at the national level would assist not only the state authorities responsible for rectifying the situation but also other stakeholders involved in the implementation phase.</w:t>
      </w:r>
    </w:p>
    <w:p w14:paraId="0E641C5A" w14:textId="77777777" w:rsidR="00E51EEA" w:rsidRPr="00E51EEA" w:rsidRDefault="00E51EEA" w:rsidP="00E51EEA">
      <w:pPr>
        <w:pStyle w:val="Bullet1G"/>
      </w:pPr>
      <w:r w:rsidRPr="00E51EEA">
        <w:t>Request the concerned State party to identify the relevant national authorities that are responsible for implementing each measure of reparation.</w:t>
      </w:r>
      <w:r w:rsidRPr="00E51EEA">
        <w:footnoteReference w:id="108"/>
      </w:r>
    </w:p>
    <w:p w14:paraId="31A05667" w14:textId="77777777" w:rsidR="00E51EEA" w:rsidRPr="00E51EEA" w:rsidRDefault="00E51EEA" w:rsidP="00E51EEA">
      <w:pPr>
        <w:pStyle w:val="Bullet1G"/>
      </w:pPr>
      <w:r w:rsidRPr="00E51EEA">
        <w:t>Extend CRC systematic request to provide information on measures taken in the next periodic report. See also CEDAW practice whereby follow-up of general measures is done in the reporting procedure.</w:t>
      </w:r>
      <w:r w:rsidRPr="00E51EEA">
        <w:footnoteReference w:id="109"/>
      </w:r>
    </w:p>
    <w:p w14:paraId="6F1F7F9D" w14:textId="77777777" w:rsidR="00E51EEA" w:rsidRPr="00E51EEA" w:rsidRDefault="00E51EEA" w:rsidP="00E51EEA">
      <w:pPr>
        <w:pStyle w:val="Bullet1G"/>
      </w:pPr>
      <w:r w:rsidRPr="00E51EEA">
        <w:t>Regardless of the specificity of measures of reparation, the small number of follow-up reports available (only 35) regarding the 138 views researched highlights two issues. Firstly, follow-up processes are reliant on the quality of the State party’s response (when information is provided, not to mention the low level of compliance with time limits). As found in the reports that are available, the quality of the information provided by the State party concerned is inconsistent and rarely covers all the measures of reparation recommended. Secondly, the low number of reports available indicates insufficient resources at PUAS to process the information received, as highlighted in a number of reports.</w:t>
      </w:r>
      <w:r w:rsidRPr="00E51EEA">
        <w:footnoteReference w:id="110"/>
      </w:r>
      <w:r w:rsidRPr="00E51EEA">
        <w:t xml:space="preserve"> Therefore, PUAS capacity should be strengthened, ideally with both G and P additional positions dedicated to the follow-up on views. In addition, as recommended in the co-facilitators report</w:t>
      </w:r>
      <w:r w:rsidRPr="00E51EEA">
        <w:footnoteReference w:id="111"/>
      </w:r>
      <w:r w:rsidRPr="00E51EEA">
        <w:t xml:space="preserve"> and rightly recognized as a “pressing need”,</w:t>
      </w:r>
      <w:r w:rsidRPr="00E51EEA">
        <w:footnoteReference w:id="112"/>
      </w:r>
      <w:r w:rsidRPr="00E51EEA">
        <w:t xml:space="preserve"> a digital portal to enhance access to the relevant information and facilitate PUAS work seems essential.</w:t>
      </w:r>
    </w:p>
    <w:p w14:paraId="266F8DD7" w14:textId="77777777" w:rsidR="00E51EEA" w:rsidRPr="00E51EEA" w:rsidRDefault="00E51EEA" w:rsidP="00E51EEA">
      <w:pPr>
        <w:pStyle w:val="Bullet1G"/>
      </w:pPr>
      <w:r w:rsidRPr="00E51EEA">
        <w:t>To address non-cooperation from the State party, cases closed with an unsatisfactory assessment could be formally moved for further consideration under the respective treaty body country review / reporting procedure.</w:t>
      </w:r>
      <w:r w:rsidRPr="00E51EEA">
        <w:footnoteReference w:id="113"/>
      </w:r>
    </w:p>
    <w:p w14:paraId="20A148D9" w14:textId="77777777" w:rsidR="00E51EEA" w:rsidRPr="00A71E0A" w:rsidRDefault="00E51EEA" w:rsidP="00786F58">
      <w:pPr>
        <w:pStyle w:val="SingleTxtG"/>
        <w:numPr>
          <w:ilvl w:val="0"/>
          <w:numId w:val="4"/>
        </w:numPr>
        <w:ind w:left="1134" w:firstLine="0"/>
      </w:pPr>
      <w:r>
        <w:t xml:space="preserve">Finally, for the guidance to be useful, the document should be easily accessible and ideally translated in all UN official languages. </w:t>
      </w:r>
    </w:p>
    <w:p w14:paraId="66747B34" w14:textId="77777777" w:rsidR="00E51EEA" w:rsidRPr="00000873" w:rsidRDefault="00E51EEA" w:rsidP="00E51EEA">
      <w:pPr>
        <w:pStyle w:val="H1G"/>
      </w:pPr>
      <w:r>
        <w:rPr>
          <w:rFonts w:eastAsiaTheme="minorHAnsi"/>
        </w:rPr>
        <w:tab/>
      </w:r>
      <w:r w:rsidRPr="00000873">
        <w:rPr>
          <w:rFonts w:eastAsiaTheme="minorHAnsi"/>
        </w:rPr>
        <w:t>3.</w:t>
      </w:r>
      <w:r w:rsidRPr="00000873">
        <w:rPr>
          <w:rFonts w:eastAsiaTheme="minorHAnsi"/>
        </w:rPr>
        <w:tab/>
      </w:r>
      <w:r w:rsidRPr="00000873">
        <w:t>Other considerations</w:t>
      </w:r>
    </w:p>
    <w:p w14:paraId="1DA779F2" w14:textId="77777777" w:rsidR="00E51EEA" w:rsidRPr="00EB0FE9" w:rsidRDefault="00E51EEA" w:rsidP="00786F58">
      <w:pPr>
        <w:pStyle w:val="SingleTxtG"/>
        <w:numPr>
          <w:ilvl w:val="0"/>
          <w:numId w:val="4"/>
        </w:numPr>
        <w:ind w:left="1134" w:firstLine="0"/>
        <w:rPr>
          <w:lang w:val="en-US"/>
        </w:rPr>
      </w:pPr>
      <w:r w:rsidRPr="00EB0FE9">
        <w:rPr>
          <w:lang w:val="en-US"/>
        </w:rPr>
        <w:t xml:space="preserve">Other considerations stem from the present project. Although not </w:t>
      </w:r>
      <w:r>
        <w:rPr>
          <w:lang w:val="en-US"/>
        </w:rPr>
        <w:t xml:space="preserve">always </w:t>
      </w:r>
      <w:r w:rsidRPr="00EB0FE9">
        <w:rPr>
          <w:lang w:val="en-US"/>
        </w:rPr>
        <w:t>directly related to measures of reparations, these are nonetheless relevant to the broader issue of coordination between treaty bodies</w:t>
      </w:r>
      <w:r>
        <w:rPr>
          <w:lang w:val="en-US"/>
        </w:rPr>
        <w:t xml:space="preserve"> and efficiency of the system</w:t>
      </w:r>
      <w:r w:rsidRPr="00EB0FE9">
        <w:rPr>
          <w:lang w:val="en-US"/>
        </w:rPr>
        <w:t xml:space="preserve">. </w:t>
      </w:r>
    </w:p>
    <w:p w14:paraId="3CFDFCA6" w14:textId="77777777" w:rsidR="00E51EEA" w:rsidRPr="00EB0FE9" w:rsidRDefault="00E51EEA" w:rsidP="00E51EEA">
      <w:pPr>
        <w:pStyle w:val="Bullet1G"/>
        <w:rPr>
          <w:lang w:val="en-US"/>
        </w:rPr>
      </w:pPr>
      <w:r w:rsidRPr="00EB0FE9">
        <w:rPr>
          <w:i/>
          <w:iCs/>
          <w:lang w:val="en-US"/>
        </w:rPr>
        <w:t>Repetitive cases</w:t>
      </w:r>
      <w:r w:rsidRPr="00EB0FE9">
        <w:rPr>
          <w:lang w:val="en-US"/>
        </w:rPr>
        <w:t xml:space="preserve">. </w:t>
      </w:r>
      <w:r>
        <w:rPr>
          <w:lang w:val="en-US"/>
        </w:rPr>
        <w:t>S</w:t>
      </w:r>
      <w:r w:rsidRPr="00EB0FE9">
        <w:rPr>
          <w:lang w:val="en-US"/>
        </w:rPr>
        <w:t xml:space="preserve">imilar cases </w:t>
      </w:r>
      <w:r>
        <w:rPr>
          <w:lang w:val="en-US"/>
        </w:rPr>
        <w:t xml:space="preserve">could be grouped together </w:t>
      </w:r>
      <w:r w:rsidRPr="00EB0FE9">
        <w:rPr>
          <w:lang w:val="en-US"/>
        </w:rPr>
        <w:t>to draw attention to the systemic nature of the violations and improve efficiency.</w:t>
      </w:r>
    </w:p>
    <w:p w14:paraId="7D04BDA9" w14:textId="7A000075" w:rsidR="00E51EEA" w:rsidRDefault="00E51EEA" w:rsidP="00E51EEA">
      <w:pPr>
        <w:pStyle w:val="Bullet1G"/>
        <w:rPr>
          <w:lang w:val="en-US"/>
        </w:rPr>
      </w:pPr>
      <w:r w:rsidRPr="00EB0FE9">
        <w:rPr>
          <w:i/>
          <w:iCs/>
          <w:lang w:val="en-US"/>
        </w:rPr>
        <w:t>Coordination of LOIPRs</w:t>
      </w:r>
      <w:r w:rsidRPr="00EB0FE9">
        <w:rPr>
          <w:lang w:val="en-US"/>
        </w:rPr>
        <w:t xml:space="preserve">. </w:t>
      </w:r>
      <w:r>
        <w:rPr>
          <w:lang w:val="en-US"/>
        </w:rPr>
        <w:t>Based on the existing practice,</w:t>
      </w:r>
      <w:r w:rsidRPr="00000873">
        <w:rPr>
          <w:rStyle w:val="FootnoteReference"/>
        </w:rPr>
        <w:footnoteReference w:id="114"/>
      </w:r>
      <w:r>
        <w:rPr>
          <w:lang w:val="en-US"/>
        </w:rPr>
        <w:t xml:space="preserve"> follow-up to views could be systematically taken into account as an i</w:t>
      </w:r>
      <w:r w:rsidRPr="00EB0FE9">
        <w:rPr>
          <w:lang w:val="en-US"/>
        </w:rPr>
        <w:t xml:space="preserve">ndicator when drafting </w:t>
      </w:r>
      <w:r>
        <w:rPr>
          <w:lang w:val="en-US"/>
        </w:rPr>
        <w:t>lists of issues prior to reporting,</w:t>
      </w:r>
      <w:r w:rsidRPr="00EB0FE9">
        <w:rPr>
          <w:lang w:val="en-US"/>
        </w:rPr>
        <w:t xml:space="preserve"> esp</w:t>
      </w:r>
      <w:r>
        <w:rPr>
          <w:lang w:val="en-US"/>
        </w:rPr>
        <w:t>ecially</w:t>
      </w:r>
      <w:r w:rsidRPr="00EB0FE9">
        <w:rPr>
          <w:lang w:val="en-US"/>
        </w:rPr>
        <w:t xml:space="preserve"> re</w:t>
      </w:r>
      <w:r>
        <w:rPr>
          <w:lang w:val="en-US"/>
        </w:rPr>
        <w:t>garding</w:t>
      </w:r>
      <w:r w:rsidRPr="00EB0FE9">
        <w:rPr>
          <w:lang w:val="en-US"/>
        </w:rPr>
        <w:t xml:space="preserve"> systemic issues</w:t>
      </w:r>
      <w:r>
        <w:rPr>
          <w:lang w:val="en-US"/>
        </w:rPr>
        <w:t xml:space="preserve">. </w:t>
      </w:r>
    </w:p>
    <w:p w14:paraId="529AD73A" w14:textId="4502756F" w:rsidR="00E51EEA" w:rsidRDefault="00E51EEA" w:rsidP="00E51EEA">
      <w:pPr>
        <w:pStyle w:val="Bullet1G"/>
        <w:rPr>
          <w:lang w:val="en-US"/>
        </w:rPr>
      </w:pPr>
      <w:r w:rsidRPr="007C17CA">
        <w:rPr>
          <w:i/>
          <w:iCs/>
          <w:lang w:val="en-US"/>
        </w:rPr>
        <w:t>Improve access to and organization of information on follow-up to views</w:t>
      </w:r>
      <w:r>
        <w:rPr>
          <w:lang w:val="en-US"/>
        </w:rPr>
        <w:t xml:space="preserve">. </w:t>
      </w:r>
      <w:r w:rsidRPr="007C17CA">
        <w:rPr>
          <w:lang w:val="en-US"/>
        </w:rPr>
        <w:t>Follow-up recommendations could be made available on a common database for all UNTBs</w:t>
      </w:r>
      <w:r>
        <w:rPr>
          <w:lang w:val="en-US"/>
        </w:rPr>
        <w:t>, including by country.</w:t>
      </w:r>
      <w:r w:rsidRPr="00000873">
        <w:rPr>
          <w:rStyle w:val="FootnoteReference"/>
        </w:rPr>
        <w:footnoteReference w:id="115"/>
      </w:r>
      <w:r w:rsidRPr="007C17CA">
        <w:rPr>
          <w:lang w:val="en-US"/>
        </w:rPr>
        <w:t xml:space="preserve"> </w:t>
      </w:r>
      <w:r>
        <w:rPr>
          <w:lang w:val="en-US"/>
        </w:rPr>
        <w:t>It would also be useful to include all views adopted by the treaty bodies in the Universal Human Rights Index and index them, using artificial intelligence tools.</w:t>
      </w:r>
      <w:r w:rsidRPr="00000873">
        <w:rPr>
          <w:rStyle w:val="FootnoteReference"/>
        </w:rPr>
        <w:footnoteReference w:id="116"/>
      </w:r>
      <w:r>
        <w:rPr>
          <w:lang w:val="en-US"/>
        </w:rPr>
        <w:t xml:space="preserve"> </w:t>
      </w:r>
      <w:r w:rsidRPr="007C17CA">
        <w:rPr>
          <w:lang w:val="en-US"/>
        </w:rPr>
        <w:t>The</w:t>
      </w:r>
      <w:r>
        <w:rPr>
          <w:lang w:val="en-US"/>
        </w:rPr>
        <w:t xml:space="preserve"> </w:t>
      </w:r>
      <w:r w:rsidRPr="007C17CA">
        <w:rPr>
          <w:lang w:val="en-US"/>
        </w:rPr>
        <w:t>need for a compilation of follow-up recommendations, prior to the dialogue with each State party</w:t>
      </w:r>
      <w:r>
        <w:rPr>
          <w:lang w:val="en-US"/>
        </w:rPr>
        <w:t xml:space="preserve"> has also been highlighted.</w:t>
      </w:r>
      <w:r w:rsidRPr="00000873">
        <w:rPr>
          <w:rStyle w:val="FootnoteReference"/>
        </w:rPr>
        <w:footnoteReference w:id="117"/>
      </w:r>
    </w:p>
    <w:p w14:paraId="3A1A49D3" w14:textId="21A7ED1A" w:rsidR="00E51EEA" w:rsidRPr="007F465B" w:rsidRDefault="00E51EEA" w:rsidP="00E51EEA">
      <w:pPr>
        <w:pStyle w:val="Bullet1G"/>
        <w:rPr>
          <w:lang w:val="en-US"/>
        </w:rPr>
      </w:pPr>
      <w:r w:rsidRPr="007F465B">
        <w:rPr>
          <w:rFonts w:cstheme="minorHAnsi"/>
          <w:i/>
          <w:iCs/>
          <w:lang w:val="en-US"/>
        </w:rPr>
        <w:t>Closing cases</w:t>
      </w:r>
      <w:r w:rsidRPr="007F465B">
        <w:rPr>
          <w:rFonts w:cstheme="minorHAnsi"/>
          <w:lang w:val="en-US"/>
        </w:rPr>
        <w:t xml:space="preserve">. The issue of whether it would be appropriate to </w:t>
      </w:r>
      <w:r w:rsidRPr="007F465B">
        <w:rPr>
          <w:lang w:val="en-US"/>
        </w:rPr>
        <w:t>establish a timeframe for keeping follow-up open and close cases after a certain number of years could be further discussed.</w:t>
      </w:r>
      <w:r w:rsidRPr="00000873">
        <w:rPr>
          <w:rStyle w:val="FootnoteReference"/>
        </w:rPr>
        <w:footnoteReference w:id="118"/>
      </w:r>
      <w:r w:rsidRPr="007F465B">
        <w:rPr>
          <w:lang w:val="en-US"/>
        </w:rPr>
        <w:t xml:space="preserve"> From the perspective of the victim and keeping in mind the purpose of individual communication procedures, the relevance of keeping follow-up open, sometimes after more than 10 years, can be questioned. Beyond a certain timeframe, the failure to provide an effective remedy could be recognized.</w:t>
      </w:r>
      <w:r w:rsidRPr="00000873">
        <w:rPr>
          <w:rStyle w:val="FootnoteReference"/>
        </w:rPr>
        <w:footnoteReference w:id="119"/>
      </w:r>
      <w:r w:rsidRPr="007F465B">
        <w:rPr>
          <w:lang w:val="en-US"/>
        </w:rPr>
        <w:t xml:space="preserve"> However, a standard timeframe would not suit all types of remedies, especially complex, structural measures for example. Furthermore, the fact that treaty bodies do not play a proactive role in terms of follow-up represents another issue that would have to be taken into account.</w:t>
      </w:r>
      <w:r w:rsidRPr="00000873">
        <w:rPr>
          <w:rStyle w:val="FootnoteReference"/>
        </w:rPr>
        <w:footnoteReference w:id="120"/>
      </w:r>
    </w:p>
    <w:p w14:paraId="7E88B8C0" w14:textId="69CB3EBD" w:rsidR="00E130AB" w:rsidRPr="00786F58" w:rsidRDefault="00E51EEA" w:rsidP="00786F58">
      <w:pPr>
        <w:spacing w:before="240"/>
        <w:ind w:left="1134" w:right="1134"/>
        <w:jc w:val="center"/>
        <w:rPr>
          <w:u w:val="single"/>
        </w:rPr>
      </w:pPr>
      <w:r>
        <w:rPr>
          <w:u w:val="single"/>
        </w:rPr>
        <w:tab/>
      </w:r>
      <w:r>
        <w:rPr>
          <w:u w:val="single"/>
        </w:rPr>
        <w:tab/>
      </w:r>
      <w:r>
        <w:rPr>
          <w:u w:val="single"/>
        </w:rPr>
        <w:tab/>
      </w:r>
    </w:p>
    <w:sectPr w:rsidR="00E130AB" w:rsidRPr="00786F58" w:rsidSect="00E51EEA">
      <w:headerReference w:type="even" r:id="rId7"/>
      <w:headerReference w:type="default" r:id="rId8"/>
      <w:footerReference w:type="even" r:id="rId9"/>
      <w:footerReference w:type="default" r:id="rId10"/>
      <w:footerReference w:type="first" r:id="rId11"/>
      <w:endnotePr>
        <w:numFmt w:val="decimal"/>
      </w:endnotePr>
      <w:pgSz w:w="11907" w:h="16840" w:code="9"/>
      <w:pgMar w:top="1417" w:right="1134" w:bottom="709"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2356C10" w14:textId="77777777" w:rsidR="00BE6A58" w:rsidRDefault="00BE6A58"/>
  </w:endnote>
  <w:endnote w:type="continuationSeparator" w:id="0">
    <w:p w14:paraId="69774533" w14:textId="77777777" w:rsidR="00BE6A58" w:rsidRDefault="00BE6A58"/>
  </w:endnote>
  <w:endnote w:type="continuationNotice" w:id="1">
    <w:p w14:paraId="54D0EF91" w14:textId="77777777" w:rsidR="00BE6A58" w:rsidRDefault="00BE6A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5A52B9" w14:textId="73BA7C32" w:rsidR="00BE6A58" w:rsidRPr="00E51EEA" w:rsidRDefault="00BE6A58" w:rsidP="00E51EEA">
    <w:pPr>
      <w:pStyle w:val="Footer"/>
      <w:tabs>
        <w:tab w:val="right" w:pos="9638"/>
      </w:tabs>
      <w:rPr>
        <w:sz w:val="18"/>
      </w:rPr>
    </w:pPr>
    <w:r w:rsidRPr="00E51EEA">
      <w:rPr>
        <w:b/>
        <w:sz w:val="18"/>
      </w:rPr>
      <w:fldChar w:fldCharType="begin"/>
    </w:r>
    <w:r w:rsidRPr="00E51EEA">
      <w:rPr>
        <w:b/>
        <w:sz w:val="18"/>
      </w:rPr>
      <w:instrText xml:space="preserve"> PAGE  \* MERGEFORMAT </w:instrText>
    </w:r>
    <w:r w:rsidRPr="00E51EEA">
      <w:rPr>
        <w:b/>
        <w:sz w:val="18"/>
      </w:rPr>
      <w:fldChar w:fldCharType="separate"/>
    </w:r>
    <w:r w:rsidRPr="00E51EEA">
      <w:rPr>
        <w:b/>
        <w:noProof/>
        <w:sz w:val="18"/>
      </w:rPr>
      <w:t>2</w:t>
    </w:r>
    <w:r w:rsidRPr="00E51EEA">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5EED2" w14:textId="66F404D5" w:rsidR="00BE6A58" w:rsidRPr="00E51EEA" w:rsidRDefault="00BE6A58" w:rsidP="00E51EEA">
    <w:pPr>
      <w:pStyle w:val="Footer"/>
      <w:tabs>
        <w:tab w:val="right" w:pos="9638"/>
      </w:tabs>
      <w:rPr>
        <w:b/>
        <w:sz w:val="18"/>
      </w:rPr>
    </w:pPr>
    <w:r>
      <w:tab/>
    </w:r>
    <w:r w:rsidRPr="00E51EEA">
      <w:rPr>
        <w:b/>
        <w:sz w:val="18"/>
      </w:rPr>
      <w:fldChar w:fldCharType="begin"/>
    </w:r>
    <w:r w:rsidRPr="00E51EEA">
      <w:rPr>
        <w:b/>
        <w:sz w:val="18"/>
      </w:rPr>
      <w:instrText xml:space="preserve"> PAGE  \* MERGEFORMAT </w:instrText>
    </w:r>
    <w:r w:rsidRPr="00E51EEA">
      <w:rPr>
        <w:b/>
        <w:sz w:val="18"/>
      </w:rPr>
      <w:fldChar w:fldCharType="separate"/>
    </w:r>
    <w:r w:rsidRPr="00E51EEA">
      <w:rPr>
        <w:b/>
        <w:noProof/>
        <w:sz w:val="18"/>
      </w:rPr>
      <w:t>3</w:t>
    </w:r>
    <w:r w:rsidRPr="00E51EEA">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D8BA14" w14:textId="0E4AF819" w:rsidR="00BE6A58" w:rsidRPr="00E51EEA" w:rsidRDefault="00BE6A58">
    <w:r>
      <w:rPr>
        <w:noProof/>
        <w:lang w:val="fr-FR" w:eastAsia="fr-FR"/>
      </w:rPr>
      <w:drawing>
        <wp:anchor distT="0" distB="0" distL="114300" distR="114300" simplePos="0" relativeHeight="251660288" behindDoc="0" locked="1" layoutInCell="1" allowOverlap="1" wp14:anchorId="3DBD1FC1" wp14:editId="1B7806A2">
          <wp:simplePos x="0" y="0"/>
          <wp:positionH relativeFrom="margin">
            <wp:posOffset>5003800</wp:posOffset>
          </wp:positionH>
          <wp:positionV relativeFrom="margin">
            <wp:posOffset>9323705</wp:posOffset>
          </wp:positionV>
          <wp:extent cx="933450" cy="228600"/>
          <wp:effectExtent l="0" t="0" r="0" b="0"/>
          <wp:wrapNone/>
          <wp:docPr id="4" name="Image 1"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t>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5FBE185" w14:textId="77777777" w:rsidR="00BE6A58" w:rsidRPr="000B175B" w:rsidRDefault="00BE6A58" w:rsidP="000B175B">
      <w:pPr>
        <w:tabs>
          <w:tab w:val="right" w:pos="2155"/>
        </w:tabs>
        <w:spacing w:after="80"/>
        <w:ind w:left="680"/>
        <w:rPr>
          <w:u w:val="single"/>
        </w:rPr>
      </w:pPr>
      <w:r>
        <w:rPr>
          <w:u w:val="single"/>
        </w:rPr>
        <w:tab/>
      </w:r>
    </w:p>
  </w:footnote>
  <w:footnote w:type="continuationSeparator" w:id="0">
    <w:p w14:paraId="2C580C83" w14:textId="77777777" w:rsidR="00BE6A58" w:rsidRPr="00FC68B7" w:rsidRDefault="00BE6A58" w:rsidP="00FC68B7">
      <w:pPr>
        <w:tabs>
          <w:tab w:val="left" w:pos="2155"/>
        </w:tabs>
        <w:spacing w:after="80"/>
        <w:ind w:left="680"/>
        <w:rPr>
          <w:u w:val="single"/>
        </w:rPr>
      </w:pPr>
      <w:r>
        <w:rPr>
          <w:u w:val="single"/>
        </w:rPr>
        <w:tab/>
      </w:r>
    </w:p>
  </w:footnote>
  <w:footnote w:type="continuationNotice" w:id="1">
    <w:p w14:paraId="0D0435D4" w14:textId="77777777" w:rsidR="00BE6A58" w:rsidRDefault="00BE6A58"/>
  </w:footnote>
  <w:footnote w:id="2">
    <w:p w14:paraId="1220F6A1" w14:textId="77777777" w:rsidR="00BE6A58" w:rsidRPr="00EB4904" w:rsidRDefault="00BE6A58" w:rsidP="00E51EEA">
      <w:pPr>
        <w:pStyle w:val="FootnoteText"/>
        <w:rPr>
          <w:lang w:val="fr-FR"/>
        </w:rPr>
      </w:pPr>
      <w:r>
        <w:rPr>
          <w:lang w:val="fr-FR"/>
        </w:rPr>
        <w:tab/>
      </w:r>
      <w:r w:rsidRPr="00000873">
        <w:rPr>
          <w:rStyle w:val="FootnoteReference"/>
        </w:rPr>
        <w:footnoteRef/>
      </w:r>
      <w:r w:rsidRPr="00887CFA">
        <w:rPr>
          <w:lang w:val="fr-FR"/>
        </w:rPr>
        <w:t xml:space="preserve"> </w:t>
      </w:r>
      <w:r>
        <w:rPr>
          <w:lang w:val="fr-FR"/>
        </w:rPr>
        <w:tab/>
        <w:t>A</w:t>
      </w:r>
      <w:r w:rsidRPr="00887CFA">
        <w:rPr>
          <w:lang w:val="fr-FR"/>
        </w:rPr>
        <w:t>rticle 2 ICCPR; article 14 CAT; article 39 CRC</w:t>
      </w:r>
      <w:r>
        <w:rPr>
          <w:lang w:val="fr-FR"/>
        </w:rPr>
        <w:t xml:space="preserve">. </w:t>
      </w:r>
    </w:p>
  </w:footnote>
  <w:footnote w:id="3">
    <w:p w14:paraId="15A237E3" w14:textId="77777777" w:rsidR="00BE6A58" w:rsidRPr="006D5A1D" w:rsidRDefault="00BE6A58" w:rsidP="00E51EEA">
      <w:pPr>
        <w:pStyle w:val="FootnoteText"/>
        <w:rPr>
          <w:lang w:val="fr-FR"/>
        </w:rPr>
      </w:pPr>
      <w:r>
        <w:rPr>
          <w:lang w:val="fr-FR"/>
        </w:rPr>
        <w:tab/>
      </w:r>
      <w:r w:rsidRPr="00000873">
        <w:rPr>
          <w:rStyle w:val="FootnoteReference"/>
        </w:rPr>
        <w:footnoteRef/>
      </w:r>
      <w:r w:rsidRPr="006D5A1D">
        <w:rPr>
          <w:lang w:val="fr-FR"/>
        </w:rPr>
        <w:t xml:space="preserve"> </w:t>
      </w:r>
      <w:r>
        <w:rPr>
          <w:lang w:val="fr-FR"/>
        </w:rPr>
        <w:tab/>
      </w:r>
      <w:r w:rsidRPr="006D5A1D">
        <w:rPr>
          <w:lang w:val="fr-FR"/>
        </w:rPr>
        <w:t xml:space="preserve">Article 9(1) OP-ICESCR; </w:t>
      </w:r>
      <w:r>
        <w:rPr>
          <w:lang w:val="fr-FR"/>
        </w:rPr>
        <w:t>a</w:t>
      </w:r>
      <w:r w:rsidRPr="006D5A1D">
        <w:rPr>
          <w:lang w:val="fr-FR"/>
        </w:rPr>
        <w:t>rticle 7(3) OP</w:t>
      </w:r>
      <w:r>
        <w:rPr>
          <w:lang w:val="fr-FR"/>
        </w:rPr>
        <w:t>-CEDAW ; article 10(5) OP-CRC-IC ; article 5 OP-CRPD ; article 31(5) ICPPED ; article 14(7)(b) ICERD ; article 22(7) CAT.</w:t>
      </w:r>
    </w:p>
  </w:footnote>
  <w:footnote w:id="4">
    <w:p w14:paraId="0B46B830" w14:textId="77777777" w:rsidR="00BE6A58" w:rsidRPr="00065008" w:rsidRDefault="00BE6A58" w:rsidP="00E51EEA">
      <w:pPr>
        <w:pStyle w:val="FootnoteText"/>
      </w:pPr>
      <w:r>
        <w:tab/>
      </w:r>
      <w:r w:rsidRPr="00000873">
        <w:rPr>
          <w:rStyle w:val="FootnoteReference"/>
        </w:rPr>
        <w:footnoteRef/>
      </w:r>
      <w:r>
        <w:t xml:space="preserve"> </w:t>
      </w:r>
      <w:r>
        <w:tab/>
        <w:t xml:space="preserve">For more details and examples of what each category entails, see </w:t>
      </w:r>
      <w:r w:rsidRPr="00BE3706">
        <w:rPr>
          <w:bCs/>
          <w:color w:val="000000"/>
          <w:szCs w:val="18"/>
        </w:rPr>
        <w:t>Basic Principles and Guidelines on the Right to a Remedy and Reparation for Victims of Gross Violations of International Human Rights Law and Serious Violations of International Humanitarian Law</w:t>
      </w:r>
      <w:r>
        <w:rPr>
          <w:bCs/>
          <w:color w:val="000000"/>
          <w:szCs w:val="18"/>
        </w:rPr>
        <w:t>, paras 19-23.</w:t>
      </w:r>
    </w:p>
  </w:footnote>
  <w:footnote w:id="5">
    <w:p w14:paraId="3314D02C" w14:textId="77777777" w:rsidR="00BE6A58" w:rsidRPr="00000873" w:rsidRDefault="00BE6A58" w:rsidP="00E51EEA">
      <w:pPr>
        <w:pStyle w:val="FootnoteText"/>
      </w:pPr>
      <w:r>
        <w:rPr>
          <w:rFonts w:asciiTheme="minorHAnsi" w:hAnsiTheme="minorHAnsi"/>
        </w:rPr>
        <w:tab/>
      </w:r>
      <w:r w:rsidRPr="00000873">
        <w:rPr>
          <w:rStyle w:val="FootnoteReference"/>
        </w:rPr>
        <w:footnoteRef/>
      </w:r>
      <w:r w:rsidRPr="00C76253">
        <w:rPr>
          <w:rFonts w:asciiTheme="minorHAnsi" w:hAnsiTheme="minorHAnsi"/>
        </w:rPr>
        <w:t xml:space="preserve"> </w:t>
      </w:r>
      <w:r>
        <w:rPr>
          <w:rFonts w:asciiTheme="minorHAnsi" w:hAnsiTheme="minorHAnsi"/>
        </w:rPr>
        <w:tab/>
      </w:r>
      <w:r w:rsidRPr="00000873">
        <w:t>HRI/MC/2018/3, Identifying progress achieved in aligning the working methods and practices of the treaty bodies, Note by the Secretariat, 23 March 2018, para. 87.</w:t>
      </w:r>
    </w:p>
  </w:footnote>
  <w:footnote w:id="6">
    <w:p w14:paraId="4082ED71" w14:textId="77777777" w:rsidR="00BE6A58" w:rsidRPr="00D04D74" w:rsidRDefault="00BE6A58" w:rsidP="00E51EEA">
      <w:pPr>
        <w:pStyle w:val="FootnoteText"/>
      </w:pPr>
      <w:r>
        <w:tab/>
      </w:r>
      <w:r w:rsidRPr="00000873">
        <w:rPr>
          <w:rStyle w:val="FootnoteReference"/>
        </w:rPr>
        <w:footnoteRef/>
      </w:r>
      <w:r>
        <w:t xml:space="preserve"> </w:t>
      </w:r>
      <w:r>
        <w:tab/>
        <w:t>Non-exhaustive list of views provided by OHCHR based on the cases available on the data base.</w:t>
      </w:r>
    </w:p>
  </w:footnote>
  <w:footnote w:id="7">
    <w:p w14:paraId="79DBF07F" w14:textId="77777777" w:rsidR="00BE6A58" w:rsidRPr="0033204F" w:rsidRDefault="00BE6A58" w:rsidP="00E51EEA">
      <w:pPr>
        <w:pStyle w:val="FootnoteText"/>
      </w:pPr>
      <w:r>
        <w:tab/>
      </w:r>
      <w:r w:rsidRPr="00000873">
        <w:rPr>
          <w:rStyle w:val="FootnoteReference"/>
        </w:rPr>
        <w:footnoteRef/>
      </w:r>
      <w:r>
        <w:t xml:space="preserve"> </w:t>
      </w:r>
      <w:r>
        <w:tab/>
        <w:t xml:space="preserve">The sample is limited to views adopted in 2018-2019 to allow for a review of follow-up information received since then. </w:t>
      </w:r>
    </w:p>
  </w:footnote>
  <w:footnote w:id="8">
    <w:p w14:paraId="05A64049" w14:textId="77777777" w:rsidR="00BE6A58" w:rsidRPr="00F713CE" w:rsidRDefault="00BE6A58" w:rsidP="00E51EEA">
      <w:pPr>
        <w:pStyle w:val="FootnoteText"/>
      </w:pPr>
      <w:r>
        <w:tab/>
      </w:r>
      <w:r w:rsidRPr="00000873">
        <w:rPr>
          <w:rStyle w:val="FootnoteReference"/>
        </w:rPr>
        <w:footnoteRef/>
      </w:r>
      <w:r>
        <w:t xml:space="preserve"> </w:t>
      </w:r>
      <w:r>
        <w:tab/>
        <w:t>See separate Excel document that gathers all this information.</w:t>
      </w:r>
    </w:p>
  </w:footnote>
  <w:footnote w:id="9">
    <w:p w14:paraId="55FCE5A5" w14:textId="77777777" w:rsidR="00BE6A58" w:rsidRPr="00EB4904" w:rsidRDefault="00BE6A58" w:rsidP="00E51EEA">
      <w:pPr>
        <w:pStyle w:val="FootnoteText"/>
      </w:pPr>
      <w:r>
        <w:tab/>
      </w:r>
      <w:r w:rsidRPr="00000873">
        <w:rPr>
          <w:rStyle w:val="FootnoteReference"/>
        </w:rPr>
        <w:footnoteRef/>
      </w:r>
      <w:r>
        <w:t xml:space="preserve"> </w:t>
      </w:r>
      <w:r>
        <w:tab/>
      </w:r>
      <w:r>
        <w:rPr>
          <w:lang w:val="en-US"/>
        </w:rPr>
        <w:t>In 2018, the Human Rights Committee adopted 102 decisions out of a total of 19</w:t>
      </w:r>
      <w:r w:rsidRPr="00F42318">
        <w:rPr>
          <w:lang w:val="en-US"/>
        </w:rPr>
        <w:t xml:space="preserve">1 </w:t>
      </w:r>
      <w:r>
        <w:rPr>
          <w:lang w:val="en-US"/>
        </w:rPr>
        <w:t>by all treaty bodies. In 2019, the same Committee adopted 134 decisions out of 268 in total. CAT is the second treaty body to have adopted most decisions over the same period with 55 decisions adopted in 2018 and 63 decisions in 2019. Figures provided by OHCHR.</w:t>
      </w:r>
    </w:p>
  </w:footnote>
  <w:footnote w:id="10">
    <w:p w14:paraId="6202BC76" w14:textId="77777777" w:rsidR="00BE6A58" w:rsidRPr="00E51EEA" w:rsidRDefault="00BE6A58" w:rsidP="00E51EEA">
      <w:pPr>
        <w:pStyle w:val="FootnoteText"/>
      </w:pPr>
      <w:r>
        <w:rPr>
          <w:rFonts w:asciiTheme="minorHAnsi" w:hAnsiTheme="minorHAnsi"/>
        </w:rPr>
        <w:tab/>
      </w:r>
      <w:r w:rsidRPr="00000873">
        <w:rPr>
          <w:rStyle w:val="FootnoteReference"/>
        </w:rPr>
        <w:footnoteRef/>
      </w:r>
      <w:r w:rsidRPr="00B76EEC">
        <w:rPr>
          <w:rFonts w:asciiTheme="minorHAnsi" w:hAnsiTheme="minorHAnsi"/>
        </w:rPr>
        <w:t xml:space="preserve"> </w:t>
      </w:r>
      <w:r>
        <w:rPr>
          <w:rFonts w:asciiTheme="minorHAnsi" w:hAnsiTheme="minorHAnsi"/>
        </w:rPr>
        <w:tab/>
      </w:r>
      <w:r w:rsidRPr="00E51EEA">
        <w:t xml:space="preserve">CED and CERD adopted views in one case reach in 2020. See CED, E.L.A. v. France, views adopted on 25 September 2020, CED/C/19/D/3/2019; CERD, Lars-Anders Ågren et al. v. Sweden, views adopted on 18 November 2020, CERD/C/97/D/58/2016. </w:t>
      </w:r>
    </w:p>
  </w:footnote>
  <w:footnote w:id="11">
    <w:p w14:paraId="1E04ECB0" w14:textId="77777777" w:rsidR="00BE6A58" w:rsidRPr="00D31D15" w:rsidRDefault="00BE6A58" w:rsidP="00E51EEA">
      <w:pPr>
        <w:pStyle w:val="FootnoteText"/>
      </w:pPr>
      <w:r>
        <w:tab/>
      </w:r>
      <w:r w:rsidRPr="00000873">
        <w:rPr>
          <w:rStyle w:val="FootnoteReference"/>
        </w:rPr>
        <w:footnoteRef/>
      </w:r>
      <w:r>
        <w:t xml:space="preserve"> </w:t>
      </w:r>
      <w:r>
        <w:tab/>
      </w:r>
      <w:r w:rsidRPr="00D31D15">
        <w:t>HRI/MC/2018/3, para. 87</w:t>
      </w:r>
      <w:r>
        <w:t>; A/71/270, Report of the Chairs of the human rights treaty bodies on their 28</w:t>
      </w:r>
      <w:r w:rsidRPr="006D5FAB">
        <w:rPr>
          <w:vertAlign w:val="superscript"/>
        </w:rPr>
        <w:t>th</w:t>
      </w:r>
      <w:r>
        <w:t xml:space="preserve"> annual meeting, 2 August 2016, para. 36; A/72/177, Report of the Chairs of the human rights treaty bodies on their 29</w:t>
      </w:r>
      <w:r w:rsidRPr="006D5FAB">
        <w:rPr>
          <w:vertAlign w:val="superscript"/>
        </w:rPr>
        <w:t>th</w:t>
      </w:r>
      <w:r>
        <w:t xml:space="preserve"> annual meeting, 20 July 2017, para. 51.</w:t>
      </w:r>
    </w:p>
  </w:footnote>
  <w:footnote w:id="12">
    <w:p w14:paraId="3DF8CC0B" w14:textId="77777777" w:rsidR="00BE6A58" w:rsidRPr="00E51EEA" w:rsidRDefault="00BE6A58" w:rsidP="00E51EEA">
      <w:pPr>
        <w:pStyle w:val="FootnoteText"/>
      </w:pPr>
      <w:r>
        <w:rPr>
          <w:rFonts w:asciiTheme="minorHAnsi" w:hAnsiTheme="minorHAnsi"/>
        </w:rPr>
        <w:tab/>
      </w:r>
      <w:r w:rsidRPr="00000873">
        <w:rPr>
          <w:rStyle w:val="FootnoteReference"/>
        </w:rPr>
        <w:footnoteRef/>
      </w:r>
      <w:r w:rsidRPr="00262388">
        <w:rPr>
          <w:rFonts w:asciiTheme="minorHAnsi" w:hAnsiTheme="minorHAnsi"/>
        </w:rPr>
        <w:t xml:space="preserve"> </w:t>
      </w:r>
      <w:r>
        <w:rPr>
          <w:rFonts w:asciiTheme="minorHAnsi" w:hAnsiTheme="minorHAnsi"/>
        </w:rPr>
        <w:tab/>
      </w:r>
      <w:r w:rsidRPr="00E51EEA">
        <w:t>CEDAW: Concerning the author of the communication/In general; CESCR: Recommendations in respect of the authors/General recommendations; CRPD: Concerning the author/In general.</w:t>
      </w:r>
    </w:p>
  </w:footnote>
  <w:footnote w:id="13">
    <w:p w14:paraId="0CB88D01" w14:textId="77777777" w:rsidR="00BE6A58" w:rsidRPr="003C5A02" w:rsidRDefault="00BE6A58" w:rsidP="00E51EEA">
      <w:pPr>
        <w:pStyle w:val="FootnoteText"/>
      </w:pPr>
      <w:r>
        <w:tab/>
      </w:r>
      <w:r w:rsidRPr="00000873">
        <w:rPr>
          <w:rStyle w:val="FootnoteReference"/>
        </w:rPr>
        <w:footnoteRef/>
      </w:r>
      <w:r>
        <w:t xml:space="preserve"> </w:t>
      </w:r>
      <w:r>
        <w:tab/>
        <w:t>Meeting with PUAS, 10 December 2021.</w:t>
      </w:r>
    </w:p>
  </w:footnote>
  <w:footnote w:id="14">
    <w:p w14:paraId="1F060C06" w14:textId="77777777" w:rsidR="00BE6A58" w:rsidRPr="00C5466C" w:rsidRDefault="00BE6A58" w:rsidP="00E51EEA">
      <w:pPr>
        <w:pStyle w:val="FootnoteText"/>
      </w:pPr>
      <w:r>
        <w:tab/>
      </w:r>
      <w:r w:rsidRPr="00000873">
        <w:rPr>
          <w:rStyle w:val="FootnoteReference"/>
        </w:rPr>
        <w:footnoteRef/>
      </w:r>
      <w:r>
        <w:t xml:space="preserve"> </w:t>
      </w:r>
      <w:r>
        <w:tab/>
      </w:r>
      <w:r w:rsidRPr="00C5466C">
        <w:t xml:space="preserve">See </w:t>
      </w:r>
      <w:r w:rsidRPr="00C5466C">
        <w:rPr>
          <w:i/>
          <w:iCs/>
        </w:rPr>
        <w:t>infra</w:t>
      </w:r>
      <w:r w:rsidRPr="00C5466C">
        <w:t>.</w:t>
      </w:r>
    </w:p>
  </w:footnote>
  <w:footnote w:id="15">
    <w:p w14:paraId="4607FF8C" w14:textId="77777777" w:rsidR="00BE6A58" w:rsidRPr="005E2F2E" w:rsidRDefault="00BE6A58" w:rsidP="00E51EEA">
      <w:pPr>
        <w:pStyle w:val="FootnoteText"/>
      </w:pPr>
      <w:r>
        <w:tab/>
      </w:r>
      <w:r w:rsidRPr="00000873">
        <w:rPr>
          <w:rStyle w:val="FootnoteReference"/>
        </w:rPr>
        <w:footnoteRef/>
      </w:r>
      <w:r>
        <w:t xml:space="preserve"> </w:t>
      </w:r>
      <w:r>
        <w:tab/>
        <w:t>Article 14(7) ICED; a</w:t>
      </w:r>
      <w:r w:rsidRPr="00EB4904">
        <w:t>rticle 10(5) OP-CRC-IC, </w:t>
      </w:r>
      <w:r>
        <w:t xml:space="preserve">article 9(1) OP-ICESCR, article 7(3) OP-CEDAW and article 5 OP-CRPD. Although not part of the research sample, CED mentions article 31(5) ICPPED. </w:t>
      </w:r>
    </w:p>
  </w:footnote>
  <w:footnote w:id="16">
    <w:p w14:paraId="3BE36EA2" w14:textId="77777777" w:rsidR="00BE6A58" w:rsidRPr="00810935" w:rsidRDefault="00BE6A58" w:rsidP="00E51EEA">
      <w:pPr>
        <w:pStyle w:val="FootnoteText"/>
      </w:pPr>
      <w:r>
        <w:tab/>
      </w:r>
      <w:r w:rsidRPr="00000873">
        <w:rPr>
          <w:rStyle w:val="FootnoteReference"/>
        </w:rPr>
        <w:footnoteRef/>
      </w:r>
      <w:r w:rsidRPr="00E17D0D">
        <w:t xml:space="preserve"> </w:t>
      </w:r>
      <w:r>
        <w:tab/>
        <w:t>See also CCPR Guidelines on measures of reparation under OP-ICCPR, CCPR/C/158, 30 November 2016, para. 3</w:t>
      </w:r>
      <w:r w:rsidRPr="00E17D0D">
        <w:t>. Depending on cases, CCPR mentions</w:t>
      </w:r>
      <w:r>
        <w:t xml:space="preserve"> </w:t>
      </w:r>
      <w:r>
        <w:rPr>
          <w:lang w:val="en-US"/>
        </w:rPr>
        <w:t xml:space="preserve">article 2(3)(a) relating to the right to an effective remedy or article 2(1) that deals with the obligation to respect the rights enshrined in the Covenant without discrimination. </w:t>
      </w:r>
    </w:p>
  </w:footnote>
  <w:footnote w:id="17">
    <w:p w14:paraId="1F180F5A" w14:textId="77777777" w:rsidR="00BE6A58" w:rsidRPr="00E128EF" w:rsidRDefault="00BE6A58" w:rsidP="00E51EEA">
      <w:pPr>
        <w:pStyle w:val="FootnoteText"/>
      </w:pPr>
      <w:r>
        <w:tab/>
      </w:r>
      <w:r w:rsidRPr="00000873">
        <w:rPr>
          <w:rStyle w:val="FootnoteReference"/>
        </w:rPr>
        <w:footnoteRef/>
      </w:r>
      <w:r>
        <w:t xml:space="preserve"> </w:t>
      </w:r>
      <w:r>
        <w:tab/>
      </w:r>
      <w:r w:rsidRPr="00E128EF">
        <w:rPr>
          <w:i/>
          <w:iCs/>
        </w:rPr>
        <w:t>Khater v. Morocco</w:t>
      </w:r>
      <w:r>
        <w:t xml:space="preserve">, views adopted on 22 November 2019, </w:t>
      </w:r>
      <w:r w:rsidRPr="00E128EF">
        <w:t>CAT/C/68/D/782/2016</w:t>
      </w:r>
      <w:r>
        <w:t>, para. 12.</w:t>
      </w:r>
    </w:p>
  </w:footnote>
  <w:footnote w:id="18">
    <w:p w14:paraId="7911A2A5" w14:textId="77777777" w:rsidR="00BE6A58" w:rsidRPr="00E51EEA" w:rsidRDefault="00BE6A58" w:rsidP="00E51EEA">
      <w:pPr>
        <w:pStyle w:val="FootnoteText"/>
      </w:pPr>
      <w:r>
        <w:rPr>
          <w:rFonts w:asciiTheme="minorHAnsi" w:eastAsiaTheme="minorHAnsi" w:hAnsiTheme="minorHAnsi" w:cstheme="minorBidi"/>
        </w:rPr>
        <w:tab/>
      </w:r>
      <w:r w:rsidRPr="00000873">
        <w:rPr>
          <w:rStyle w:val="FootnoteReference"/>
        </w:rPr>
        <w:footnoteRef/>
      </w:r>
      <w:r w:rsidRPr="00764DD2">
        <w:rPr>
          <w:rFonts w:asciiTheme="minorHAnsi" w:eastAsiaTheme="minorHAnsi" w:hAnsiTheme="minorHAnsi" w:cstheme="minorBidi"/>
        </w:rPr>
        <w:t xml:space="preserve"> </w:t>
      </w:r>
      <w:r>
        <w:rPr>
          <w:rFonts w:asciiTheme="minorHAnsi" w:eastAsiaTheme="minorHAnsi" w:hAnsiTheme="minorHAnsi" w:cstheme="minorBidi"/>
        </w:rPr>
        <w:tab/>
      </w:r>
      <w:r w:rsidRPr="00E51EEA">
        <w:rPr>
          <w:rFonts w:eastAsiaTheme="minorHAnsi"/>
        </w:rPr>
        <w:t>Gabdulkhakov v. Russian Federation,</w:t>
      </w:r>
      <w:r w:rsidRPr="00E51EEA">
        <w:t xml:space="preserve"> views adopted on 17 May 2018, CAT/C/63/D/637/2014, para. 11.</w:t>
      </w:r>
    </w:p>
  </w:footnote>
  <w:footnote w:id="19">
    <w:p w14:paraId="34998190" w14:textId="77777777" w:rsidR="00BE6A58" w:rsidRPr="00A96BC8" w:rsidRDefault="00BE6A58" w:rsidP="00E51EEA">
      <w:pPr>
        <w:pStyle w:val="FootnoteText"/>
      </w:pPr>
      <w:r>
        <w:tab/>
      </w:r>
      <w:r w:rsidRPr="00000873">
        <w:rPr>
          <w:rStyle w:val="FootnoteReference"/>
        </w:rPr>
        <w:footnoteRef/>
      </w:r>
      <w:r>
        <w:t xml:space="preserve"> </w:t>
      </w:r>
      <w:r>
        <w:tab/>
      </w:r>
      <w:r w:rsidRPr="00A96BC8">
        <w:t>HRI/MC/2018/CRP.2, Expert meeting on follow-up to treaty body recommendations</w:t>
      </w:r>
      <w:r>
        <w:t xml:space="preserve">, 21 March 2018, </w:t>
      </w:r>
      <w:r w:rsidRPr="00A96BC8">
        <w:t>para. 22</w:t>
      </w:r>
      <w:r>
        <w:t>.</w:t>
      </w:r>
    </w:p>
  </w:footnote>
  <w:footnote w:id="20">
    <w:p w14:paraId="000C4144" w14:textId="77777777" w:rsidR="00BE6A58" w:rsidRPr="00CD083A" w:rsidRDefault="00BE6A58" w:rsidP="00E51EEA">
      <w:pPr>
        <w:pStyle w:val="FootnoteText"/>
      </w:pPr>
      <w:r>
        <w:tab/>
      </w:r>
      <w:r w:rsidRPr="00000873">
        <w:rPr>
          <w:rStyle w:val="FootnoteReference"/>
        </w:rPr>
        <w:footnoteRef/>
      </w:r>
      <w:r>
        <w:t xml:space="preserve"> </w:t>
      </w:r>
      <w:r>
        <w:tab/>
        <w:t>For an overview, s</w:t>
      </w:r>
      <w:r w:rsidRPr="00CD083A">
        <w:t xml:space="preserve">ee </w:t>
      </w:r>
      <w:r>
        <w:t xml:space="preserve">the </w:t>
      </w:r>
      <w:r w:rsidRPr="00CD083A">
        <w:t>separate</w:t>
      </w:r>
      <w:r>
        <w:t xml:space="preserve"> “Forms of reparation” table presenting the various measures recommended in views adopted by the treaty bodies in 2018-2019 where a violation has been found.</w:t>
      </w:r>
    </w:p>
  </w:footnote>
  <w:footnote w:id="21">
    <w:p w14:paraId="713079E8" w14:textId="77777777" w:rsidR="00BE6A58" w:rsidRPr="007562CD" w:rsidRDefault="00BE6A58" w:rsidP="00E51EEA">
      <w:pPr>
        <w:pStyle w:val="FootnoteText"/>
      </w:pPr>
      <w:r>
        <w:tab/>
      </w:r>
      <w:r w:rsidRPr="00000873">
        <w:rPr>
          <w:rStyle w:val="FootnoteReference"/>
        </w:rPr>
        <w:footnoteRef/>
      </w:r>
      <w:r w:rsidRPr="007562CD">
        <w:t xml:space="preserve"> </w:t>
      </w:r>
      <w:r>
        <w:tab/>
      </w:r>
      <w:r w:rsidRPr="007562CD">
        <w:t>C</w:t>
      </w:r>
      <w:r>
        <w:t>RC</w:t>
      </w:r>
      <w:r w:rsidRPr="007562CD">
        <w:t xml:space="preserve">, </w:t>
      </w:r>
      <w:r w:rsidRPr="007562CD">
        <w:rPr>
          <w:i/>
          <w:iCs/>
        </w:rPr>
        <w:t>N.B.F. v. Spain</w:t>
      </w:r>
      <w:r w:rsidRPr="007562CD">
        <w:t xml:space="preserve">, views adopted on </w:t>
      </w:r>
      <w:r>
        <w:t xml:space="preserve">27 September 2018, </w:t>
      </w:r>
      <w:r w:rsidRPr="007562CD">
        <w:t>CRC/C/79/D/11/2017</w:t>
      </w:r>
      <w:r>
        <w:t xml:space="preserve">, para. 13. </w:t>
      </w:r>
      <w:r>
        <w:rPr>
          <w:lang w:val="en-US"/>
        </w:rPr>
        <w:t>In t</w:t>
      </w:r>
      <w:r>
        <w:t>his particular case, CRC</w:t>
      </w:r>
      <w:r w:rsidRPr="00D660D5">
        <w:t xml:space="preserve"> addresses the repetitive issue of age determination procedures for unaccompanied children in </w:t>
      </w:r>
      <w:r>
        <w:t>Spain</w:t>
      </w:r>
      <w:r w:rsidRPr="00D660D5">
        <w:t xml:space="preserve">. However, in similar cases, </w:t>
      </w:r>
      <w:r>
        <w:t xml:space="preserve">CRC </w:t>
      </w:r>
      <w:r w:rsidRPr="00D660D5">
        <w:t>also recommended victim-specific measures of reparation</w:t>
      </w:r>
      <w:r>
        <w:t xml:space="preserve"> to redress similar violations</w:t>
      </w:r>
      <w:r w:rsidRPr="00D660D5">
        <w:t>.</w:t>
      </w:r>
      <w:r>
        <w:t xml:space="preserve"> See CRC, </w:t>
      </w:r>
      <w:r w:rsidRPr="005E2631">
        <w:rPr>
          <w:i/>
          <w:iCs/>
        </w:rPr>
        <w:t>J.A.B. v. Spain</w:t>
      </w:r>
      <w:r>
        <w:t xml:space="preserve">, views adopted on 31 May 2019, </w:t>
      </w:r>
      <w:r w:rsidRPr="000E1C30">
        <w:t>CRC/C/81/D/22/2017</w:t>
      </w:r>
      <w:r>
        <w:t xml:space="preserve">, para. 14; </w:t>
      </w:r>
      <w:r w:rsidRPr="005E2631">
        <w:rPr>
          <w:i/>
          <w:iCs/>
        </w:rPr>
        <w:t>A.L. v. Spain</w:t>
      </w:r>
      <w:r>
        <w:t xml:space="preserve">, views adopted on 31 May 2019, </w:t>
      </w:r>
      <w:r w:rsidRPr="005E2631">
        <w:t>CRC/C/81/D/16/2017</w:t>
      </w:r>
      <w:r>
        <w:t xml:space="preserve">, para. 13; </w:t>
      </w:r>
      <w:r w:rsidRPr="005E2631">
        <w:rPr>
          <w:i/>
          <w:iCs/>
        </w:rPr>
        <w:t>R.K. v. Spain</w:t>
      </w:r>
      <w:r>
        <w:t xml:space="preserve">, views adopted on 18 September 2019, </w:t>
      </w:r>
      <w:r w:rsidRPr="005E2631">
        <w:t>CRC/C/82/D/27/2017</w:t>
      </w:r>
      <w:r>
        <w:t xml:space="preserve">, para. 10; </w:t>
      </w:r>
      <w:r w:rsidRPr="005E2631">
        <w:rPr>
          <w:i/>
          <w:iCs/>
        </w:rPr>
        <w:t>M.T. v. Spain</w:t>
      </w:r>
      <w:r>
        <w:t xml:space="preserve">, views adopted on 18 September 2019, </w:t>
      </w:r>
      <w:r w:rsidRPr="005E2631">
        <w:t>CRC/C/82/D/17/2017</w:t>
      </w:r>
      <w:r>
        <w:t>, para. 14.</w:t>
      </w:r>
    </w:p>
  </w:footnote>
  <w:footnote w:id="22">
    <w:p w14:paraId="6BC1BFED" w14:textId="77777777" w:rsidR="00BE6A58" w:rsidRPr="00E51EEA" w:rsidRDefault="00BE6A58" w:rsidP="00E51EEA">
      <w:pPr>
        <w:pStyle w:val="FootnoteText"/>
      </w:pPr>
      <w:r>
        <w:rPr>
          <w:rFonts w:asciiTheme="minorHAnsi" w:hAnsiTheme="minorHAnsi"/>
        </w:rPr>
        <w:tab/>
      </w:r>
      <w:r w:rsidRPr="00000873">
        <w:rPr>
          <w:rStyle w:val="FootnoteReference"/>
        </w:rPr>
        <w:footnoteRef/>
      </w:r>
      <w:r w:rsidRPr="008A143C">
        <w:rPr>
          <w:rFonts w:asciiTheme="minorHAnsi" w:hAnsiTheme="minorHAnsi"/>
        </w:rPr>
        <w:t xml:space="preserve"> </w:t>
      </w:r>
      <w:r>
        <w:rPr>
          <w:rFonts w:asciiTheme="minorHAnsi" w:hAnsiTheme="minorHAnsi"/>
        </w:rPr>
        <w:tab/>
      </w:r>
      <w:r w:rsidRPr="00E51EEA">
        <w:rPr>
          <w:rFonts w:eastAsiaTheme="minorHAnsi"/>
        </w:rPr>
        <w:t>CCPR, Elena Popova v. Russian Federation, views adopted on 6 April 2018, CCPR/C/122/D/2217/2012, para. 9; Kirill Nepomnyashchiy v. Russian Federation, views adopted on 17 July 2018, CCPR/C/123/D/2318/2013, para. 9; Tatyana Severinets v. Belarus, views adopted on 19 July 2018, CCPR/C/123/D/2230/2012, para. 10.</w:t>
      </w:r>
    </w:p>
  </w:footnote>
  <w:footnote w:id="23">
    <w:p w14:paraId="02ECDE50" w14:textId="77777777" w:rsidR="00BE6A58" w:rsidRPr="00E51EEA" w:rsidRDefault="00BE6A58" w:rsidP="00E51EEA">
      <w:pPr>
        <w:pStyle w:val="FootnoteText"/>
      </w:pPr>
      <w:r>
        <w:rPr>
          <w:rFonts w:asciiTheme="minorHAnsi" w:hAnsiTheme="minorHAnsi"/>
        </w:rPr>
        <w:tab/>
      </w:r>
      <w:r w:rsidRPr="00000873">
        <w:rPr>
          <w:rStyle w:val="FootnoteReference"/>
        </w:rPr>
        <w:footnoteRef/>
      </w:r>
      <w:r w:rsidRPr="00F963E1">
        <w:rPr>
          <w:rFonts w:asciiTheme="minorHAnsi" w:hAnsiTheme="minorHAnsi"/>
        </w:rPr>
        <w:t xml:space="preserve"> </w:t>
      </w:r>
      <w:r>
        <w:rPr>
          <w:rFonts w:asciiTheme="minorHAnsi" w:hAnsiTheme="minorHAnsi"/>
        </w:rPr>
        <w:tab/>
      </w:r>
      <w:r w:rsidRPr="00E51EEA">
        <w:rPr>
          <w:rFonts w:eastAsiaTheme="minorHAnsi"/>
        </w:rPr>
        <w:t>CCPR, Zhuravlev v. Belarus, views adopted on 25 July 2019, CCPR/C/126/D/2495/2014, para. 10.</w:t>
      </w:r>
    </w:p>
  </w:footnote>
  <w:footnote w:id="24">
    <w:p w14:paraId="5419563D" w14:textId="77777777" w:rsidR="00BE6A58" w:rsidRPr="009225ED" w:rsidRDefault="00BE6A58" w:rsidP="00E51EEA">
      <w:pPr>
        <w:pStyle w:val="FootnoteText"/>
      </w:pPr>
      <w:r>
        <w:tab/>
      </w:r>
      <w:r w:rsidRPr="00000873">
        <w:rPr>
          <w:rStyle w:val="FootnoteReference"/>
        </w:rPr>
        <w:footnoteRef/>
      </w:r>
      <w:r w:rsidRPr="009225ED">
        <w:t xml:space="preserve"> </w:t>
      </w:r>
      <w:r>
        <w:tab/>
      </w:r>
      <w:r w:rsidRPr="009225ED">
        <w:t xml:space="preserve">CCPR, </w:t>
      </w:r>
      <w:r w:rsidRPr="007F237F">
        <w:rPr>
          <w:i/>
          <w:iCs/>
        </w:rPr>
        <w:t>Midiam Iricelda Valdez Cantú et al. v. Mexico</w:t>
      </w:r>
      <w:r w:rsidRPr="009225ED">
        <w:t xml:space="preserve">, views adopted on </w:t>
      </w:r>
      <w:r>
        <w:t xml:space="preserve">24 October 2019, </w:t>
      </w:r>
      <w:r w:rsidRPr="009225ED">
        <w:t>CCPR/C/127/D/2766/2016</w:t>
      </w:r>
      <w:r>
        <w:t xml:space="preserve">, para. 14; </w:t>
      </w:r>
      <w:r w:rsidRPr="007F237F">
        <w:rPr>
          <w:i/>
          <w:iCs/>
        </w:rPr>
        <w:t>Padilla et al. v. Mexico</w:t>
      </w:r>
      <w:r>
        <w:t xml:space="preserve">, views adopted on 25 July 2019, </w:t>
      </w:r>
      <w:r w:rsidRPr="009225ED">
        <w:t>CCPR/C/126/D/2750/2016</w:t>
      </w:r>
      <w:r>
        <w:t xml:space="preserve">, para. </w:t>
      </w:r>
      <w:r w:rsidRPr="00C5466C">
        <w:rPr>
          <w:lang w:val="es-ES"/>
        </w:rPr>
        <w:t xml:space="preserve">11; </w:t>
      </w:r>
      <w:r w:rsidRPr="00C5466C">
        <w:rPr>
          <w:i/>
          <w:iCs/>
          <w:lang w:val="es-ES"/>
        </w:rPr>
        <w:t>Carlos Moreno Zamora et al. v. Mexico</w:t>
      </w:r>
      <w:r w:rsidRPr="00C5466C">
        <w:rPr>
          <w:lang w:val="es-ES"/>
        </w:rPr>
        <w:t xml:space="preserve">, views adopted on 5 November 2019, CCPR/C/127/D/2760/2016, para. </w:t>
      </w:r>
      <w:r>
        <w:t xml:space="preserve">14; </w:t>
      </w:r>
      <w:r w:rsidRPr="007F237F">
        <w:rPr>
          <w:i/>
          <w:iCs/>
        </w:rPr>
        <w:t>Tikanath and Ramhari Kandel v. Nepal</w:t>
      </w:r>
      <w:r>
        <w:t xml:space="preserve">, views adopted on 15 July 2019, </w:t>
      </w:r>
      <w:r w:rsidRPr="009225ED">
        <w:t>CCPR/C/126/D/2560/2015</w:t>
      </w:r>
      <w:r>
        <w:t xml:space="preserve">, para. 9; </w:t>
      </w:r>
      <w:r w:rsidRPr="007F237F">
        <w:rPr>
          <w:i/>
          <w:iCs/>
        </w:rPr>
        <w:t>Arab Millis v. Algeria</w:t>
      </w:r>
      <w:r>
        <w:t xml:space="preserve">, views adopted on 6 April 2018, </w:t>
      </w:r>
      <w:r w:rsidRPr="009225ED">
        <w:t>CCPR/C/122/D/2398/2014</w:t>
      </w:r>
      <w:r>
        <w:t xml:space="preserve">, para. 9. </w:t>
      </w:r>
    </w:p>
  </w:footnote>
  <w:footnote w:id="25">
    <w:p w14:paraId="6B0E3E52" w14:textId="77777777" w:rsidR="00BE6A58" w:rsidRPr="00572DEE" w:rsidRDefault="00BE6A58" w:rsidP="00E51EEA">
      <w:pPr>
        <w:pStyle w:val="FootnoteText"/>
      </w:pPr>
      <w:r>
        <w:tab/>
      </w:r>
      <w:r w:rsidRPr="00000873">
        <w:rPr>
          <w:rStyle w:val="FootnoteReference"/>
        </w:rPr>
        <w:footnoteRef/>
      </w:r>
      <w:r>
        <w:t xml:space="preserve"> </w:t>
      </w:r>
      <w:r>
        <w:tab/>
        <w:t xml:space="preserve">CAT, </w:t>
      </w:r>
      <w:r w:rsidRPr="00C36B0E">
        <w:rPr>
          <w:i/>
          <w:iCs/>
        </w:rPr>
        <w:t>Ismet Bakay v. Moroc</w:t>
      </w:r>
      <w:r>
        <w:rPr>
          <w:i/>
          <w:iCs/>
        </w:rPr>
        <w:t>c</w:t>
      </w:r>
      <w:r w:rsidRPr="00C36B0E">
        <w:rPr>
          <w:i/>
          <w:iCs/>
        </w:rPr>
        <w:t>o</w:t>
      </w:r>
      <w:r>
        <w:t xml:space="preserve">, views adopted on 4 December 2019, </w:t>
      </w:r>
      <w:r w:rsidRPr="00D97889">
        <w:t>CAT/C/68/D/826/2017</w:t>
      </w:r>
      <w:r>
        <w:t xml:space="preserve">, para. 9; </w:t>
      </w:r>
      <w:r w:rsidRPr="00C36B0E">
        <w:rPr>
          <w:i/>
          <w:iCs/>
        </w:rPr>
        <w:t>Hany Khater v. Morocco</w:t>
      </w:r>
      <w:r>
        <w:t xml:space="preserve">, views adopted on 22 November 2019, </w:t>
      </w:r>
      <w:r w:rsidRPr="0076260A">
        <w:t>CAT/C/68/D/782/2016</w:t>
      </w:r>
      <w:r>
        <w:t xml:space="preserve">, para. 12; </w:t>
      </w:r>
      <w:r w:rsidRPr="00C36B0E">
        <w:rPr>
          <w:i/>
          <w:iCs/>
        </w:rPr>
        <w:t>Ferhat Erdogan v. Morocco</w:t>
      </w:r>
      <w:r>
        <w:t xml:space="preserve">, views adopted on 10 May 2019, </w:t>
      </w:r>
      <w:r w:rsidRPr="00310F37">
        <w:t>CAT/C/66/D/827/2017</w:t>
      </w:r>
      <w:r>
        <w:t xml:space="preserve">, para. 11; </w:t>
      </w:r>
      <w:r w:rsidRPr="00C36B0E">
        <w:rPr>
          <w:i/>
          <w:iCs/>
        </w:rPr>
        <w:t>Mustafa Onder v. Morocco</w:t>
      </w:r>
      <w:r>
        <w:t xml:space="preserve">, views adopted on 10 May 2019, </w:t>
      </w:r>
      <w:r w:rsidRPr="001C5F9A">
        <w:t>CAT/C/66/D/845/2017</w:t>
      </w:r>
      <w:r>
        <w:t xml:space="preserve">, para. 9; </w:t>
      </w:r>
      <w:r w:rsidRPr="00C36B0E">
        <w:rPr>
          <w:i/>
          <w:iCs/>
        </w:rPr>
        <w:t>Elmas Ayden v. Morocco</w:t>
      </w:r>
      <w:r>
        <w:t xml:space="preserve">, views adopted on 10 May 2019, </w:t>
      </w:r>
      <w:r w:rsidRPr="00C36B0E">
        <w:t>CAT/C/66/D/846/2017</w:t>
      </w:r>
      <w:r>
        <w:t>, para. 10.</w:t>
      </w:r>
    </w:p>
  </w:footnote>
  <w:footnote w:id="26">
    <w:p w14:paraId="1C79D0AB" w14:textId="77777777" w:rsidR="00BE6A58" w:rsidRPr="00572DEE" w:rsidRDefault="00BE6A58" w:rsidP="00E51EEA">
      <w:pPr>
        <w:pStyle w:val="FootnoteText"/>
      </w:pPr>
      <w:r>
        <w:tab/>
      </w:r>
      <w:r w:rsidRPr="00000873">
        <w:rPr>
          <w:rStyle w:val="FootnoteReference"/>
        </w:rPr>
        <w:footnoteRef/>
      </w:r>
      <w:r>
        <w:t xml:space="preserve"> </w:t>
      </w:r>
      <w:r>
        <w:tab/>
        <w:t xml:space="preserve">CAT, </w:t>
      </w:r>
      <w:r w:rsidRPr="00ED5453">
        <w:rPr>
          <w:i/>
          <w:iCs/>
        </w:rPr>
        <w:t>Flor Agustina Calfunao Paillalef v. Switzerland</w:t>
      </w:r>
      <w:r>
        <w:t xml:space="preserve">, views adopted on 5 December 2019, </w:t>
      </w:r>
      <w:r w:rsidRPr="00957F2D">
        <w:t>CAT/C/68/D/882/2018</w:t>
      </w:r>
      <w:r>
        <w:t xml:space="preserve">, para. 9; </w:t>
      </w:r>
      <w:r w:rsidRPr="00ED5453">
        <w:rPr>
          <w:i/>
          <w:iCs/>
        </w:rPr>
        <w:t>M.G. v. Switzerland</w:t>
      </w:r>
      <w:r>
        <w:t xml:space="preserve">, views adopted on 7 December 2018, </w:t>
      </w:r>
      <w:r w:rsidRPr="00957F2D">
        <w:t>CAT/C/65/D/811/2017</w:t>
      </w:r>
      <w:r>
        <w:t>, para. 9.</w:t>
      </w:r>
    </w:p>
  </w:footnote>
  <w:footnote w:id="27">
    <w:p w14:paraId="0846F3C9" w14:textId="77777777" w:rsidR="00BE6A58" w:rsidRPr="009C3669" w:rsidRDefault="00BE6A58" w:rsidP="00E51EEA">
      <w:pPr>
        <w:pStyle w:val="FootnoteText"/>
      </w:pPr>
      <w:r>
        <w:tab/>
      </w:r>
      <w:r w:rsidRPr="00000873">
        <w:rPr>
          <w:rStyle w:val="FootnoteReference"/>
        </w:rPr>
        <w:footnoteRef/>
      </w:r>
      <w:r>
        <w:t xml:space="preserve"> </w:t>
      </w:r>
      <w:r>
        <w:tab/>
        <w:t xml:space="preserve">CAT, </w:t>
      </w:r>
      <w:r w:rsidRPr="00D60135">
        <w:rPr>
          <w:i/>
          <w:iCs/>
        </w:rPr>
        <w:t>I.A. v. Sweden</w:t>
      </w:r>
      <w:r>
        <w:t xml:space="preserve">, views adopted on 23 April 2019, </w:t>
      </w:r>
      <w:r w:rsidRPr="007D0D76">
        <w:t>CAT/C/66/D/729/2016</w:t>
      </w:r>
      <w:r>
        <w:t xml:space="preserve">, para. 11; </w:t>
      </w:r>
      <w:r w:rsidRPr="00D60135">
        <w:rPr>
          <w:i/>
          <w:iCs/>
        </w:rPr>
        <w:t>R.H. v. Sweden</w:t>
      </w:r>
      <w:r>
        <w:t xml:space="preserve">, views adopted on 10 May 2018, </w:t>
      </w:r>
      <w:r w:rsidRPr="00A01A6A">
        <w:t>CAT/C/63/D/750/2016</w:t>
      </w:r>
      <w:r>
        <w:t xml:space="preserve">, para. 10; </w:t>
      </w:r>
      <w:r w:rsidRPr="00941DF9">
        <w:rPr>
          <w:i/>
          <w:iCs/>
        </w:rPr>
        <w:t>A.</w:t>
      </w:r>
      <w:r w:rsidRPr="00D60135">
        <w:rPr>
          <w:i/>
          <w:iCs/>
        </w:rPr>
        <w:t>Sh. et al. v. Switzerland</w:t>
      </w:r>
      <w:r>
        <w:t xml:space="preserve">, views adopted on 4 May 2018, </w:t>
      </w:r>
      <w:r w:rsidRPr="009653E2">
        <w:t>CAT/C/63/D/717/2015</w:t>
      </w:r>
      <w:r>
        <w:t>, para. 11.</w:t>
      </w:r>
    </w:p>
  </w:footnote>
  <w:footnote w:id="28">
    <w:p w14:paraId="25031A52" w14:textId="77777777" w:rsidR="00BE6A58" w:rsidRPr="002875BD" w:rsidRDefault="00BE6A58" w:rsidP="00E51EEA">
      <w:pPr>
        <w:pStyle w:val="FootnoteText"/>
      </w:pPr>
      <w:r>
        <w:tab/>
      </w:r>
      <w:r w:rsidRPr="00000873">
        <w:rPr>
          <w:rStyle w:val="FootnoteReference"/>
        </w:rPr>
        <w:footnoteRef/>
      </w:r>
      <w:r>
        <w:t xml:space="preserve"> </w:t>
      </w:r>
      <w:r>
        <w:tab/>
      </w:r>
      <w:r w:rsidRPr="002875BD">
        <w:t>CED</w:t>
      </w:r>
      <w:r>
        <w:t xml:space="preserve">, </w:t>
      </w:r>
      <w:r>
        <w:rPr>
          <w:i/>
          <w:iCs/>
        </w:rPr>
        <w:t>E.L.A. v. France</w:t>
      </w:r>
      <w:r>
        <w:t>, views adopted on 25 September 2020, CED/C/19/D/3/2019, para. 9.</w:t>
      </w:r>
    </w:p>
  </w:footnote>
  <w:footnote w:id="29">
    <w:p w14:paraId="03158D64" w14:textId="77777777" w:rsidR="00BE6A58" w:rsidRPr="00BB78F1" w:rsidRDefault="00BE6A58" w:rsidP="00E51EEA">
      <w:pPr>
        <w:pStyle w:val="FootnoteText"/>
      </w:pPr>
      <w:r>
        <w:tab/>
      </w:r>
      <w:r w:rsidRPr="00000873">
        <w:rPr>
          <w:rStyle w:val="FootnoteReference"/>
        </w:rPr>
        <w:footnoteRef/>
      </w:r>
      <w:r>
        <w:t xml:space="preserve"> </w:t>
      </w:r>
      <w:r>
        <w:tab/>
      </w:r>
      <w:r w:rsidRPr="00B41149">
        <w:rPr>
          <w:i/>
          <w:iCs/>
        </w:rPr>
        <w:t>Sarita Devi Sharma, Bijaya Sharma Paudel and Basanta Sharma Paudel v. Nepal</w:t>
      </w:r>
      <w:r>
        <w:t xml:space="preserve">, views adopted on 6 April 2018, </w:t>
      </w:r>
      <w:r w:rsidRPr="00AB4183">
        <w:t>CCPR/C/122/D/2364/2014</w:t>
      </w:r>
      <w:r>
        <w:t xml:space="preserve">, para. 3.23; </w:t>
      </w:r>
      <w:r w:rsidRPr="00B41149">
        <w:rPr>
          <w:i/>
          <w:iCs/>
        </w:rPr>
        <w:t>Himal and Devi Sharma v. Nepal</w:t>
      </w:r>
      <w:r>
        <w:t xml:space="preserve">, views adopted on 6 April 2018, </w:t>
      </w:r>
      <w:r w:rsidRPr="00AB4183">
        <w:t>CCPR/C/122/D/2265/2013</w:t>
      </w:r>
      <w:r>
        <w:t xml:space="preserve">, para. 3.15; </w:t>
      </w:r>
      <w:r w:rsidRPr="00B41149">
        <w:rPr>
          <w:i/>
          <w:iCs/>
        </w:rPr>
        <w:t>Gyan Devi Bolakhe v. Nepal</w:t>
      </w:r>
      <w:r>
        <w:t xml:space="preserve">, views adopted on 19 July 2018, </w:t>
      </w:r>
      <w:r w:rsidRPr="00AB4183">
        <w:t>CCPR/C/123/D/2658/2015</w:t>
      </w:r>
      <w:r>
        <w:t>, para. 3.14.</w:t>
      </w:r>
    </w:p>
  </w:footnote>
  <w:footnote w:id="30">
    <w:p w14:paraId="6CDDE162" w14:textId="77777777" w:rsidR="00BE6A58" w:rsidRPr="00BB78F1" w:rsidRDefault="00BE6A58" w:rsidP="00E51EEA">
      <w:pPr>
        <w:pStyle w:val="FootnoteText"/>
      </w:pPr>
      <w:r>
        <w:tab/>
      </w:r>
      <w:r w:rsidRPr="00000873">
        <w:rPr>
          <w:rStyle w:val="FootnoteReference"/>
        </w:rPr>
        <w:footnoteRef/>
      </w:r>
      <w:r>
        <w:t xml:space="preserve"> </w:t>
      </w:r>
      <w:r>
        <w:tab/>
        <w:t xml:space="preserve">CCPR, </w:t>
      </w:r>
      <w:r w:rsidRPr="00B41149">
        <w:rPr>
          <w:i/>
          <w:iCs/>
        </w:rPr>
        <w:t>Prashanta Kumar Pandey v. Nepal</w:t>
      </w:r>
      <w:r>
        <w:t xml:space="preserve">, views adopted on 30 October 2018, </w:t>
      </w:r>
      <w:r w:rsidRPr="002C63F2">
        <w:t>CCPR/C/124/D/2413/2014</w:t>
      </w:r>
      <w:r>
        <w:t>, para. 10(e).</w:t>
      </w:r>
    </w:p>
  </w:footnote>
  <w:footnote w:id="31">
    <w:p w14:paraId="171C6551" w14:textId="77777777" w:rsidR="00BE6A58" w:rsidRPr="00EE3161" w:rsidRDefault="00BE6A58" w:rsidP="00E51EEA">
      <w:pPr>
        <w:pStyle w:val="FootnoteText"/>
      </w:pPr>
      <w:r>
        <w:tab/>
      </w:r>
      <w:r w:rsidRPr="00000873">
        <w:rPr>
          <w:rStyle w:val="FootnoteReference"/>
        </w:rPr>
        <w:footnoteRef/>
      </w:r>
      <w:r>
        <w:t xml:space="preserve"> </w:t>
      </w:r>
      <w:r>
        <w:tab/>
        <w:t xml:space="preserve">CCPR, </w:t>
      </w:r>
      <w:r w:rsidRPr="00EE3161">
        <w:rPr>
          <w:i/>
          <w:iCs/>
        </w:rPr>
        <w:t>Bholi Pharaka v. Nepal</w:t>
      </w:r>
      <w:r>
        <w:t xml:space="preserve">, views adopted on 15 July 2019, </w:t>
      </w:r>
      <w:r w:rsidRPr="00EE3161">
        <w:t>CCPR/C/126/D/2773/2016</w:t>
      </w:r>
      <w:r>
        <w:t>.</w:t>
      </w:r>
    </w:p>
  </w:footnote>
  <w:footnote w:id="32">
    <w:p w14:paraId="37679072" w14:textId="77777777" w:rsidR="00BE6A58" w:rsidRPr="00D04DEF" w:rsidRDefault="00BE6A58" w:rsidP="00E51EEA">
      <w:pPr>
        <w:pStyle w:val="FootnoteText"/>
      </w:pPr>
      <w:r>
        <w:tab/>
      </w:r>
      <w:r w:rsidRPr="00000873">
        <w:rPr>
          <w:rStyle w:val="FootnoteReference"/>
        </w:rPr>
        <w:footnoteRef/>
      </w:r>
      <w:r>
        <w:t xml:space="preserve"> </w:t>
      </w:r>
      <w:r>
        <w:tab/>
        <w:t>Such rarity is due to the limited sample of views researched as well as the fact that most of those were adopted by the Human Rights Committee.</w:t>
      </w:r>
    </w:p>
  </w:footnote>
  <w:footnote w:id="33">
    <w:p w14:paraId="1B1D2BD9" w14:textId="77777777" w:rsidR="00BE6A58" w:rsidRPr="00F14E05" w:rsidRDefault="00BE6A58" w:rsidP="00E51EEA">
      <w:pPr>
        <w:pStyle w:val="FootnoteText"/>
      </w:pPr>
      <w:r>
        <w:tab/>
      </w:r>
      <w:r w:rsidRPr="00000873">
        <w:rPr>
          <w:rStyle w:val="FootnoteReference"/>
        </w:rPr>
        <w:footnoteRef/>
      </w:r>
      <w:r>
        <w:t xml:space="preserve"> </w:t>
      </w:r>
      <w:r>
        <w:tab/>
        <w:t xml:space="preserve">See, </w:t>
      </w:r>
      <w:r w:rsidRPr="00747651">
        <w:rPr>
          <w:i/>
          <w:iCs/>
        </w:rPr>
        <w:t>inter alia</w:t>
      </w:r>
      <w:r>
        <w:t xml:space="preserve">, CCPR, </w:t>
      </w:r>
      <w:r w:rsidRPr="00747651">
        <w:rPr>
          <w:i/>
          <w:iCs/>
        </w:rPr>
        <w:t>Padilla et al. v. Mexico</w:t>
      </w:r>
      <w:r>
        <w:t xml:space="preserve">, views adopted on 15 July 2019, </w:t>
      </w:r>
      <w:r w:rsidRPr="00747651">
        <w:t>CCPR/C/126/D/2750/2016</w:t>
      </w:r>
      <w:r>
        <w:t xml:space="preserve">, para. 11(g); </w:t>
      </w:r>
      <w:r w:rsidRPr="00B41149">
        <w:rPr>
          <w:i/>
          <w:iCs/>
        </w:rPr>
        <w:t>Gyan Devi Bolakhe v. Nepal</w:t>
      </w:r>
      <w:r>
        <w:t xml:space="preserve">, views adopted on 19 July 2018, </w:t>
      </w:r>
      <w:r w:rsidRPr="00AB4183">
        <w:t>CCPR/C/123/D/2658/2015</w:t>
      </w:r>
      <w:r>
        <w:t xml:space="preserve">, para. 9(d); </w:t>
      </w:r>
      <w:r w:rsidRPr="00036319">
        <w:t>Prashanta Kumar Pandey</w:t>
      </w:r>
      <w:r>
        <w:t xml:space="preserve"> v. Nepal, views adopted on 30 October 2018, </w:t>
      </w:r>
      <w:r w:rsidRPr="002C63F2">
        <w:t>CCPR/C/124/D/2413/2014</w:t>
      </w:r>
      <w:r>
        <w:t>, para. 10(d).</w:t>
      </w:r>
    </w:p>
  </w:footnote>
  <w:footnote w:id="34">
    <w:p w14:paraId="4927F3C8" w14:textId="77777777" w:rsidR="00BE6A58" w:rsidRPr="00F14E05" w:rsidRDefault="00BE6A58" w:rsidP="00E51EEA">
      <w:pPr>
        <w:pStyle w:val="FootnoteText"/>
      </w:pPr>
      <w:r>
        <w:tab/>
      </w:r>
      <w:r w:rsidRPr="00000873">
        <w:rPr>
          <w:rStyle w:val="FootnoteReference"/>
        </w:rPr>
        <w:footnoteRef/>
      </w:r>
      <w:r>
        <w:t xml:space="preserve"> </w:t>
      </w:r>
      <w:r>
        <w:tab/>
        <w:t xml:space="preserve">CAT, </w:t>
      </w:r>
      <w:r w:rsidRPr="004F3D05">
        <w:rPr>
          <w:i/>
          <w:iCs/>
        </w:rPr>
        <w:t>Danil Gabdulkhakov v. Russian Federation</w:t>
      </w:r>
      <w:r>
        <w:t xml:space="preserve">, views adopted on 17 May 2018, </w:t>
      </w:r>
      <w:r w:rsidRPr="00965DF0">
        <w:t>CAT/C/63/D/637/2014</w:t>
      </w:r>
      <w:r>
        <w:t xml:space="preserve">, para. 11(c); </w:t>
      </w:r>
      <w:r w:rsidRPr="00AF7224">
        <w:t>A</w:t>
      </w:r>
      <w:r w:rsidRPr="004F3D05">
        <w:rPr>
          <w:i/>
          <w:iCs/>
        </w:rPr>
        <w:t>.N. v. Switzerland</w:t>
      </w:r>
      <w:r>
        <w:t xml:space="preserve">, views adopted on 3 August 2018, </w:t>
      </w:r>
      <w:r w:rsidRPr="00AF7224">
        <w:t>CAT/C/64/D/742/2016</w:t>
      </w:r>
      <w:r>
        <w:t xml:space="preserve">, para. 10; </w:t>
      </w:r>
      <w:r w:rsidRPr="004F3D05">
        <w:rPr>
          <w:i/>
          <w:iCs/>
        </w:rPr>
        <w:t>A. v. Bosnia and Herzegovina,</w:t>
      </w:r>
      <w:r>
        <w:t xml:space="preserve"> views adopted on 2 August 2019, </w:t>
      </w:r>
      <w:r w:rsidRPr="00AF7224">
        <w:t>CAT/C/67/D/854/2017</w:t>
      </w:r>
      <w:r>
        <w:t xml:space="preserve">, para. 9(b); </w:t>
      </w:r>
      <w:r w:rsidRPr="004F3D05">
        <w:rPr>
          <w:i/>
          <w:iCs/>
        </w:rPr>
        <w:t>E.L.G. v. Spain</w:t>
      </w:r>
      <w:r>
        <w:t xml:space="preserve">, views adopted on 26 November 2019, </w:t>
      </w:r>
      <w:r w:rsidRPr="007F1851">
        <w:t>CAT/C/68/D/818/2017</w:t>
      </w:r>
      <w:r>
        <w:t>, para. 10(a).</w:t>
      </w:r>
    </w:p>
  </w:footnote>
  <w:footnote w:id="35">
    <w:p w14:paraId="1CC0123B" w14:textId="77777777" w:rsidR="00BE6A58" w:rsidRPr="00F14E05" w:rsidRDefault="00BE6A58" w:rsidP="00E51EEA">
      <w:pPr>
        <w:pStyle w:val="FootnoteText"/>
      </w:pPr>
      <w:r>
        <w:tab/>
      </w:r>
      <w:r w:rsidRPr="00000873">
        <w:rPr>
          <w:rStyle w:val="FootnoteReference"/>
        </w:rPr>
        <w:footnoteRef/>
      </w:r>
      <w:r>
        <w:t xml:space="preserve"> </w:t>
      </w:r>
      <w:r>
        <w:tab/>
        <w:t xml:space="preserve">CRPD, </w:t>
      </w:r>
      <w:r w:rsidRPr="00844ECB">
        <w:rPr>
          <w:i/>
          <w:iCs/>
        </w:rPr>
        <w:t>Al Adam v. Saudi Arabia</w:t>
      </w:r>
      <w:r>
        <w:t xml:space="preserve">, views adopted on 20 September 2018, </w:t>
      </w:r>
      <w:r w:rsidRPr="00F14E05">
        <w:t>CRPD/C/20/D/38/2016</w:t>
      </w:r>
      <w:r>
        <w:t>, para. 12.</w:t>
      </w:r>
    </w:p>
  </w:footnote>
  <w:footnote w:id="36">
    <w:p w14:paraId="0F881B5B" w14:textId="77777777" w:rsidR="00BE6A58" w:rsidRPr="00432B55" w:rsidRDefault="00BE6A58" w:rsidP="00E51EEA">
      <w:pPr>
        <w:pStyle w:val="FootnoteText"/>
      </w:pPr>
      <w:r>
        <w:tab/>
      </w:r>
      <w:r w:rsidRPr="00000873">
        <w:rPr>
          <w:rStyle w:val="FootnoteReference"/>
        </w:rPr>
        <w:footnoteRef/>
      </w:r>
      <w:r>
        <w:t xml:space="preserve"> </w:t>
      </w:r>
      <w:r>
        <w:tab/>
        <w:t xml:space="preserve">See, </w:t>
      </w:r>
      <w:r w:rsidRPr="00AA0F0A">
        <w:rPr>
          <w:i/>
          <w:iCs/>
        </w:rPr>
        <w:t>inter alia</w:t>
      </w:r>
      <w:r>
        <w:t xml:space="preserve">, CCPR, </w:t>
      </w:r>
      <w:r w:rsidRPr="00E21A82">
        <w:rPr>
          <w:i/>
          <w:iCs/>
        </w:rPr>
        <w:t>Q.A. v. Sweden</w:t>
      </w:r>
      <w:r>
        <w:t xml:space="preserve">, views adopted on 30 October 2019, </w:t>
      </w:r>
      <w:r w:rsidRPr="00AA0F0A">
        <w:t>CCPR/C/127/D/3070/2017</w:t>
      </w:r>
      <w:r>
        <w:t xml:space="preserve">, para. 11; </w:t>
      </w:r>
      <w:r w:rsidRPr="00E21A82">
        <w:t>R</w:t>
      </w:r>
      <w:r w:rsidRPr="00E21A82">
        <w:rPr>
          <w:i/>
          <w:iCs/>
        </w:rPr>
        <w:t>.M. and F.M. v. Denmark</w:t>
      </w:r>
      <w:r>
        <w:t xml:space="preserve">, views adopted on 24 July 2019, </w:t>
      </w:r>
      <w:r w:rsidRPr="00480FB1">
        <w:t>CCPR/C/126/D/2685/2015</w:t>
      </w:r>
      <w:r>
        <w:t xml:space="preserve">, para. 11; </w:t>
      </w:r>
      <w:r w:rsidRPr="005E784F">
        <w:rPr>
          <w:i/>
          <w:iCs/>
        </w:rPr>
        <w:t>A.B.H. v. Denmark</w:t>
      </w:r>
      <w:r>
        <w:t xml:space="preserve">, views adopted on 8 July 2019, </w:t>
      </w:r>
      <w:r w:rsidRPr="005E784F">
        <w:t>CCPR/C/126/D/2603/2015</w:t>
      </w:r>
      <w:r>
        <w:t xml:space="preserve">, para. 11; </w:t>
      </w:r>
      <w:r w:rsidRPr="00236069">
        <w:rPr>
          <w:i/>
          <w:iCs/>
        </w:rPr>
        <w:t>Bayush Alemseged Araya v. Denmark</w:t>
      </w:r>
      <w:r>
        <w:t xml:space="preserve">, views adopted on 13 July 2018, </w:t>
      </w:r>
      <w:r w:rsidRPr="00236069">
        <w:t>CCPR/C/123/D/2575/2015</w:t>
      </w:r>
      <w:r>
        <w:t xml:space="preserve">, para. 11. For CAT cases, </w:t>
      </w:r>
      <w:r w:rsidRPr="00464DB3">
        <w:rPr>
          <w:i/>
          <w:iCs/>
        </w:rPr>
        <w:t>see supra</w:t>
      </w:r>
      <w:r w:rsidRPr="00464DB3">
        <w:t xml:space="preserve"> footnote 2</w:t>
      </w:r>
      <w:r>
        <w:t xml:space="preserve">5. </w:t>
      </w:r>
    </w:p>
  </w:footnote>
  <w:footnote w:id="37">
    <w:p w14:paraId="738E3531" w14:textId="77777777" w:rsidR="00BE6A58" w:rsidRPr="00262388" w:rsidRDefault="00BE6A58" w:rsidP="00E51EEA">
      <w:pPr>
        <w:pStyle w:val="FootnoteText"/>
        <w:rPr>
          <w:rFonts w:asciiTheme="minorHAnsi" w:hAnsiTheme="minorHAnsi"/>
        </w:rPr>
      </w:pPr>
      <w:r>
        <w:rPr>
          <w:rFonts w:asciiTheme="minorHAnsi" w:hAnsiTheme="minorHAnsi"/>
        </w:rPr>
        <w:tab/>
      </w:r>
      <w:r w:rsidRPr="00000873">
        <w:rPr>
          <w:rStyle w:val="FootnoteReference"/>
        </w:rPr>
        <w:footnoteRef/>
      </w:r>
      <w:r w:rsidRPr="00262388">
        <w:rPr>
          <w:rFonts w:asciiTheme="minorHAnsi" w:hAnsiTheme="minorHAnsi"/>
        </w:rPr>
        <w:t xml:space="preserve"> </w:t>
      </w:r>
      <w:r>
        <w:rPr>
          <w:rFonts w:asciiTheme="minorHAnsi" w:hAnsiTheme="minorHAnsi"/>
        </w:rPr>
        <w:tab/>
      </w:r>
      <w:r w:rsidRPr="00000873">
        <w:t>S</w:t>
      </w:r>
      <w:r w:rsidRPr="00000873">
        <w:rPr>
          <w:rFonts w:eastAsiaTheme="minorHAnsi"/>
        </w:rPr>
        <w:t>ee HRI/MC/2018/3, para. 89: CERD and CAT “tend to limit their recommendations to remedies for the victim</w:t>
      </w:r>
      <w:r w:rsidRPr="00262388">
        <w:rPr>
          <w:rFonts w:asciiTheme="minorHAnsi" w:eastAsiaTheme="minorHAnsi" w:hAnsiTheme="minorHAnsi"/>
        </w:rPr>
        <w:t xml:space="preserve">”. </w:t>
      </w:r>
    </w:p>
  </w:footnote>
  <w:footnote w:id="38">
    <w:p w14:paraId="319B8F6A" w14:textId="77777777" w:rsidR="00BE6A58" w:rsidRPr="00C51172" w:rsidRDefault="00BE6A58" w:rsidP="00E51EEA">
      <w:pPr>
        <w:pStyle w:val="FootnoteText"/>
      </w:pPr>
      <w:r>
        <w:tab/>
      </w:r>
      <w:r w:rsidRPr="00000873">
        <w:rPr>
          <w:rStyle w:val="FootnoteReference"/>
        </w:rPr>
        <w:footnoteRef/>
      </w:r>
      <w:r>
        <w:t xml:space="preserve"> </w:t>
      </w:r>
      <w:r>
        <w:tab/>
      </w:r>
      <w:r w:rsidRPr="00464DB3">
        <w:t xml:space="preserve">See </w:t>
      </w:r>
      <w:r w:rsidRPr="00464DB3">
        <w:rPr>
          <w:i/>
          <w:iCs/>
        </w:rPr>
        <w:t>supra</w:t>
      </w:r>
      <w:r w:rsidRPr="00464DB3">
        <w:t xml:space="preserve"> footnotes 2</w:t>
      </w:r>
      <w:r>
        <w:t>5</w:t>
      </w:r>
      <w:r w:rsidRPr="00464DB3">
        <w:t xml:space="preserve"> and </w:t>
      </w:r>
      <w:r>
        <w:t>34</w:t>
      </w:r>
      <w:r w:rsidRPr="00464DB3">
        <w:t>.</w:t>
      </w:r>
    </w:p>
  </w:footnote>
  <w:footnote w:id="39">
    <w:p w14:paraId="37D99DAA" w14:textId="77777777" w:rsidR="00BE6A58" w:rsidRPr="002D2D85" w:rsidRDefault="00BE6A58" w:rsidP="00E51EEA">
      <w:pPr>
        <w:pStyle w:val="FootnoteText"/>
      </w:pPr>
      <w:r>
        <w:tab/>
      </w:r>
      <w:r w:rsidRPr="00000873">
        <w:rPr>
          <w:rStyle w:val="FootnoteReference"/>
        </w:rPr>
        <w:footnoteRef/>
      </w:r>
      <w:r>
        <w:t xml:space="preserve"> </w:t>
      </w:r>
      <w:r>
        <w:tab/>
        <w:t>CCPR generally requests the State party to “</w:t>
      </w:r>
      <w:r w:rsidRPr="00183174">
        <w:t>publish the present Views and to have them widely disseminated in the official languages of the State party</w:t>
      </w:r>
      <w:r>
        <w:t>”; CRC requests the State party to “</w:t>
      </w:r>
      <w:r w:rsidRPr="00CD0C46">
        <w:t>publish the present Views and to disseminate them widely</w:t>
      </w:r>
      <w:r>
        <w:t>”; CEDAW requests “</w:t>
      </w:r>
      <w:r w:rsidRPr="00897ED2">
        <w:t>to publish the present views and recommendations and to have them widely disseminated in the State party, in order to reach all sectors of society</w:t>
      </w:r>
      <w:r>
        <w:t>.”; CESCR recommends to “</w:t>
      </w:r>
      <w:r w:rsidRPr="00A50020">
        <w:t>publish the Views of the Committee and to distribute them widely, in an accessible format, so that they reach all sectors of the population</w:t>
      </w:r>
      <w:r>
        <w:t>.”; CRPD: “</w:t>
      </w:r>
      <w:r w:rsidRPr="00BD12DC">
        <w:t>Publish the present Views and circulate them widely in accessible formats so that they are available to all sectors of the population</w:t>
      </w:r>
      <w:r>
        <w:t>.”</w:t>
      </w:r>
    </w:p>
  </w:footnote>
  <w:footnote w:id="40">
    <w:p w14:paraId="32825987" w14:textId="77777777" w:rsidR="00BE6A58" w:rsidRPr="003C5AD5" w:rsidRDefault="00BE6A58" w:rsidP="00E51EEA">
      <w:pPr>
        <w:pStyle w:val="FootnoteText"/>
      </w:pPr>
      <w:r>
        <w:tab/>
      </w:r>
      <w:r w:rsidRPr="00000873">
        <w:rPr>
          <w:rStyle w:val="FootnoteReference"/>
        </w:rPr>
        <w:footnoteRef/>
      </w:r>
      <w:r>
        <w:t xml:space="preserve"> </w:t>
      </w:r>
      <w:r>
        <w:tab/>
        <w:t>“</w:t>
      </w:r>
      <w:r w:rsidRPr="003C5AD5">
        <w:t>Make public the present decision and disseminate its content widely, with a view to preventing similar violations of the Convention in the future</w:t>
      </w:r>
      <w:r>
        <w:t xml:space="preserve">”. See CAT, </w:t>
      </w:r>
      <w:r w:rsidRPr="00D51799">
        <w:rPr>
          <w:i/>
          <w:iCs/>
        </w:rPr>
        <w:t>Paul Zentveld v. New Zealand</w:t>
      </w:r>
      <w:r>
        <w:t xml:space="preserve">, views adopted on 4 December 2019, </w:t>
      </w:r>
      <w:r w:rsidRPr="00D51799">
        <w:t>CAT/C/68/D/852/2017</w:t>
      </w:r>
      <w:r>
        <w:t>, para. 11(c).</w:t>
      </w:r>
    </w:p>
  </w:footnote>
  <w:footnote w:id="41">
    <w:p w14:paraId="4DB1508E" w14:textId="77777777" w:rsidR="00BE6A58" w:rsidRPr="009908B4" w:rsidRDefault="00BE6A58" w:rsidP="00E51EEA">
      <w:pPr>
        <w:pStyle w:val="FootnoteText"/>
      </w:pPr>
      <w:r>
        <w:tab/>
      </w:r>
      <w:r w:rsidRPr="00000873">
        <w:rPr>
          <w:rStyle w:val="FootnoteReference"/>
        </w:rPr>
        <w:footnoteRef/>
      </w:r>
      <w:r>
        <w:t xml:space="preserve"> </w:t>
      </w:r>
      <w:r>
        <w:tab/>
        <w:t>“</w:t>
      </w:r>
      <w:r w:rsidRPr="009908B4">
        <w:t>Make public the present decision and disseminate its content widely, in particular, though not solely, among members of the security forces and prison personnel who are in charge of persons deprived of their liberty</w:t>
      </w:r>
      <w:r>
        <w:t xml:space="preserve">”. See CAT, </w:t>
      </w:r>
      <w:r w:rsidRPr="009908B4">
        <w:rPr>
          <w:i/>
          <w:iCs/>
        </w:rPr>
        <w:t>Estela Deolinda Yrusta and Alejandra del Valle Yrusta v. Argentina</w:t>
      </w:r>
      <w:r>
        <w:t xml:space="preserve">, views adopted on 23 November 2018, </w:t>
      </w:r>
      <w:r w:rsidRPr="001314CB">
        <w:t>CAT/C/65/D/778/2016</w:t>
      </w:r>
      <w:r>
        <w:t>, para. 9(e).</w:t>
      </w:r>
    </w:p>
  </w:footnote>
  <w:footnote w:id="42">
    <w:p w14:paraId="266C407D" w14:textId="77777777" w:rsidR="00BE6A58" w:rsidRPr="00000873" w:rsidRDefault="00BE6A58" w:rsidP="00E51EEA">
      <w:pPr>
        <w:pStyle w:val="FootnoteText"/>
      </w:pPr>
      <w:r>
        <w:rPr>
          <w:rFonts w:asciiTheme="minorHAnsi" w:hAnsiTheme="minorHAnsi"/>
        </w:rPr>
        <w:tab/>
      </w:r>
      <w:r w:rsidRPr="00000873">
        <w:rPr>
          <w:rStyle w:val="FootnoteReference"/>
        </w:rPr>
        <w:footnoteRef/>
      </w:r>
      <w:r w:rsidRPr="00554735">
        <w:rPr>
          <w:rFonts w:asciiTheme="minorHAnsi" w:hAnsiTheme="minorHAnsi"/>
        </w:rPr>
        <w:t xml:space="preserve"> </w:t>
      </w:r>
      <w:r>
        <w:rPr>
          <w:rFonts w:asciiTheme="minorHAnsi" w:hAnsiTheme="minorHAnsi"/>
        </w:rPr>
        <w:tab/>
      </w:r>
      <w:r w:rsidRPr="00000873">
        <w:t>CCPR, Konstantin Zhukovsky v. Belarus, views adopted on 8 November 2019, CCPR/C/127/D/2724/2016 and CCPR/C/127/D/2977/2017, paras 9 and 11 respectively; Vitaly Lopasov v. Belarus, views adopted on 25 July 2019, CCPR/C/126/D/2269/2013, para. 10; Leonid Sudalenko and Anatoly Poplavny v. Belarus, views adopted on 4 April 2018, CCPR/C/122/D/2190/2012, para. 10; Tatyana Severinets v. Belarus, views adopted on 19 July 2018, CCPR/C/123/D/2230/2012, para. 10; Pavel Levinov v. Belarus, views adopted on 19 July 2018, CCPR/C/123/D/2239/2013, CCPR/C/123/D/2236/2013 and CCPR/C/123/D/2235/2013, para. 8.</w:t>
      </w:r>
    </w:p>
  </w:footnote>
  <w:footnote w:id="43">
    <w:p w14:paraId="21F2BA47" w14:textId="77777777" w:rsidR="00BE6A58" w:rsidRPr="00C5466C" w:rsidRDefault="00BE6A58" w:rsidP="00E51EEA">
      <w:pPr>
        <w:pStyle w:val="FootnoteText"/>
        <w:rPr>
          <w:lang w:val="es-ES"/>
        </w:rPr>
      </w:pPr>
      <w:r>
        <w:tab/>
      </w:r>
      <w:r w:rsidRPr="00000873">
        <w:rPr>
          <w:rStyle w:val="FootnoteReference"/>
        </w:rPr>
        <w:footnoteRef/>
      </w:r>
      <w:r>
        <w:t xml:space="preserve"> </w:t>
      </w:r>
      <w:r>
        <w:tab/>
      </w:r>
      <w:r w:rsidRPr="00C113F4">
        <w:t>CCP</w:t>
      </w:r>
      <w:r>
        <w:t xml:space="preserve">R, </w:t>
      </w:r>
      <w:r w:rsidRPr="00C113F4">
        <w:rPr>
          <w:i/>
          <w:iCs/>
        </w:rPr>
        <w:t>Bakhytzhan Toregozhina v. Kazakhstan</w:t>
      </w:r>
      <w:r>
        <w:t xml:space="preserve">, views adopted on 25 July 2019, </w:t>
      </w:r>
      <w:r w:rsidRPr="00C113F4">
        <w:t>CCPR/C/126/D/2434/2014</w:t>
      </w:r>
      <w:r>
        <w:t xml:space="preserve">, para. 10; </w:t>
      </w:r>
      <w:r w:rsidRPr="004E2762">
        <w:rPr>
          <w:i/>
          <w:iCs/>
        </w:rPr>
        <w:t>Bakytgul Suleymenova v. Kazakhstan</w:t>
      </w:r>
      <w:r>
        <w:t xml:space="preserve">, views adopted on 17 July 2019, </w:t>
      </w:r>
      <w:r w:rsidRPr="004E2762">
        <w:t>CCPR/C/126/D/2416/2014</w:t>
      </w:r>
      <w:r>
        <w:t xml:space="preserve">, para. 11; </w:t>
      </w:r>
      <w:r w:rsidRPr="004E2762">
        <w:rPr>
          <w:i/>
          <w:iCs/>
        </w:rPr>
        <w:t>Esenbek Ukteshbaev v. Kazakhstan</w:t>
      </w:r>
      <w:r>
        <w:t xml:space="preserve">, views adopted on 17 July 2019, </w:t>
      </w:r>
      <w:r w:rsidRPr="004E2762">
        <w:t>CCPR/C/126/D/2420/2014</w:t>
      </w:r>
      <w:r>
        <w:t xml:space="preserve">, para. 11; </w:t>
      </w:r>
      <w:r w:rsidRPr="004E2762">
        <w:rPr>
          <w:i/>
          <w:iCs/>
        </w:rPr>
        <w:t>Berik Zhagiparov v. Kazakhstan</w:t>
      </w:r>
      <w:r>
        <w:t xml:space="preserve">, views adopted on 25 October 2018, </w:t>
      </w:r>
      <w:r w:rsidRPr="004E2762">
        <w:t>CCPR/C/124/D/2441/2014</w:t>
      </w:r>
      <w:r>
        <w:t xml:space="preserve">, para. </w:t>
      </w:r>
      <w:r w:rsidRPr="00C5466C">
        <w:rPr>
          <w:lang w:val="es-ES"/>
        </w:rPr>
        <w:t>15.</w:t>
      </w:r>
    </w:p>
  </w:footnote>
  <w:footnote w:id="44">
    <w:p w14:paraId="77E0F87A" w14:textId="77777777" w:rsidR="00BE6A58" w:rsidRPr="00EA740F" w:rsidRDefault="00BE6A58" w:rsidP="00E51EEA">
      <w:pPr>
        <w:pStyle w:val="FootnoteText"/>
      </w:pPr>
      <w:r>
        <w:rPr>
          <w:lang w:val="es-ES"/>
        </w:rPr>
        <w:tab/>
      </w:r>
      <w:r w:rsidRPr="00000873">
        <w:rPr>
          <w:rStyle w:val="FootnoteReference"/>
        </w:rPr>
        <w:footnoteRef/>
      </w:r>
      <w:r w:rsidRPr="00C5466C">
        <w:rPr>
          <w:lang w:val="es-ES"/>
        </w:rPr>
        <w:t xml:space="preserve"> </w:t>
      </w:r>
      <w:r>
        <w:rPr>
          <w:lang w:val="es-ES"/>
        </w:rPr>
        <w:tab/>
      </w:r>
      <w:r w:rsidRPr="00C5466C">
        <w:rPr>
          <w:i/>
          <w:iCs/>
          <w:lang w:val="es-ES"/>
        </w:rPr>
        <w:t>Sarita Devi Sharma, Bijaya Sharma Paudel and Basanta Sharma Paudel v. Nepal</w:t>
      </w:r>
      <w:r w:rsidRPr="00C5466C">
        <w:rPr>
          <w:lang w:val="es-ES"/>
        </w:rPr>
        <w:t xml:space="preserve">, </w:t>
      </w:r>
      <w:r w:rsidRPr="00C5466C">
        <w:rPr>
          <w:i/>
          <w:iCs/>
          <w:lang w:val="es-ES"/>
        </w:rPr>
        <w:t>op. cit.</w:t>
      </w:r>
      <w:r w:rsidRPr="00C5466C">
        <w:rPr>
          <w:lang w:val="es-ES"/>
        </w:rPr>
        <w:t xml:space="preserve">, para. 11; </w:t>
      </w:r>
      <w:r w:rsidRPr="00C5466C">
        <w:rPr>
          <w:i/>
          <w:iCs/>
          <w:lang w:val="es-ES"/>
        </w:rPr>
        <w:t>Himal and Devi Sharma v. Nepal</w:t>
      </w:r>
      <w:r w:rsidRPr="00C5466C">
        <w:rPr>
          <w:lang w:val="es-ES"/>
        </w:rPr>
        <w:t xml:space="preserve">, </w:t>
      </w:r>
      <w:r w:rsidRPr="00C5466C">
        <w:rPr>
          <w:i/>
          <w:iCs/>
          <w:lang w:val="es-ES"/>
        </w:rPr>
        <w:t>op. cit.</w:t>
      </w:r>
      <w:r w:rsidRPr="00C5466C">
        <w:rPr>
          <w:lang w:val="es-ES"/>
        </w:rPr>
        <w:t xml:space="preserve">, para. 12; </w:t>
      </w:r>
      <w:r w:rsidRPr="00C5466C">
        <w:rPr>
          <w:i/>
          <w:iCs/>
          <w:lang w:val="es-ES"/>
        </w:rPr>
        <w:t>Gyan Devi Bolakhe v. Nepal</w:t>
      </w:r>
      <w:r w:rsidRPr="00C5466C">
        <w:rPr>
          <w:lang w:val="es-ES"/>
        </w:rPr>
        <w:t xml:space="preserve">, </w:t>
      </w:r>
      <w:r w:rsidRPr="00C5466C">
        <w:rPr>
          <w:i/>
          <w:iCs/>
          <w:lang w:val="es-ES"/>
        </w:rPr>
        <w:t>op. cit.</w:t>
      </w:r>
      <w:r w:rsidRPr="00C5466C">
        <w:rPr>
          <w:lang w:val="es-ES"/>
        </w:rPr>
        <w:t xml:space="preserve">, para. 9; </w:t>
      </w:r>
      <w:r w:rsidRPr="00C5466C">
        <w:rPr>
          <w:i/>
          <w:iCs/>
          <w:lang w:val="es-ES"/>
        </w:rPr>
        <w:t>Prashanta Kumar Pandey v. Nepal</w:t>
      </w:r>
      <w:r w:rsidRPr="00C5466C">
        <w:rPr>
          <w:lang w:val="es-ES"/>
        </w:rPr>
        <w:t xml:space="preserve">, </w:t>
      </w:r>
      <w:r w:rsidRPr="00C5466C">
        <w:rPr>
          <w:i/>
          <w:iCs/>
          <w:lang w:val="es-ES"/>
        </w:rPr>
        <w:t>op. cit.</w:t>
      </w:r>
      <w:r w:rsidRPr="00C5466C">
        <w:rPr>
          <w:lang w:val="es-ES"/>
        </w:rPr>
        <w:t xml:space="preserve">, para. </w:t>
      </w:r>
      <w:r>
        <w:t xml:space="preserve">10; </w:t>
      </w:r>
      <w:r w:rsidRPr="00221F3D">
        <w:rPr>
          <w:i/>
          <w:iCs/>
        </w:rPr>
        <w:t>Tikanath and Ramhari Kandel v. Nepal</w:t>
      </w:r>
      <w:r>
        <w:t xml:space="preserve">, views adopted on 15 July 2019, </w:t>
      </w:r>
      <w:r w:rsidRPr="006E4E70">
        <w:t>CCPR/C/126/D/2560/2015</w:t>
      </w:r>
      <w:r>
        <w:t xml:space="preserve">, para. 9; </w:t>
      </w:r>
      <w:r w:rsidRPr="00611FC5">
        <w:rPr>
          <w:i/>
          <w:iCs/>
        </w:rPr>
        <w:t>Fulmati Nyaya v. Nepal</w:t>
      </w:r>
      <w:r>
        <w:t xml:space="preserve">, views adopted on 18 March 2019, </w:t>
      </w:r>
      <w:r w:rsidRPr="00805BC9">
        <w:t>CCPR/C/125/D/2556/2015</w:t>
      </w:r>
      <w:r>
        <w:t>, para. 9.</w:t>
      </w:r>
    </w:p>
  </w:footnote>
  <w:footnote w:id="45">
    <w:p w14:paraId="0CA9537D" w14:textId="77777777" w:rsidR="00BE6A58" w:rsidRPr="00E06524" w:rsidRDefault="00BE6A58" w:rsidP="00E51EEA">
      <w:pPr>
        <w:pStyle w:val="FootnoteText"/>
      </w:pPr>
      <w:r>
        <w:tab/>
      </w:r>
      <w:r w:rsidRPr="00000873">
        <w:rPr>
          <w:rStyle w:val="FootnoteReference"/>
        </w:rPr>
        <w:footnoteRef/>
      </w:r>
      <w:r>
        <w:t xml:space="preserve"> </w:t>
      </w:r>
      <w:r>
        <w:tab/>
        <w:t xml:space="preserve">CAT, </w:t>
      </w:r>
      <w:r w:rsidRPr="00C36B0E">
        <w:rPr>
          <w:i/>
          <w:iCs/>
        </w:rPr>
        <w:t xml:space="preserve">Ismet Bakay v. </w:t>
      </w:r>
      <w:r w:rsidRPr="00A61C3A">
        <w:t>Morocco</w:t>
      </w:r>
      <w:r>
        <w:t xml:space="preserve">, </w:t>
      </w:r>
      <w:r w:rsidRPr="00A61C3A">
        <w:rPr>
          <w:i/>
          <w:iCs/>
        </w:rPr>
        <w:t>op.cit</w:t>
      </w:r>
      <w:r>
        <w:t xml:space="preserve">., para. 9; </w:t>
      </w:r>
      <w:r w:rsidRPr="00C36B0E">
        <w:rPr>
          <w:i/>
          <w:iCs/>
        </w:rPr>
        <w:t>Hany Khater v. Morocco</w:t>
      </w:r>
      <w:r>
        <w:t xml:space="preserve">, </w:t>
      </w:r>
      <w:r w:rsidRPr="00A61C3A">
        <w:rPr>
          <w:i/>
          <w:iCs/>
        </w:rPr>
        <w:t>op.cit</w:t>
      </w:r>
      <w:r>
        <w:t xml:space="preserve">., para. </w:t>
      </w:r>
      <w:r w:rsidRPr="0043364D">
        <w:t xml:space="preserve">12; </w:t>
      </w:r>
      <w:r w:rsidRPr="0043364D">
        <w:rPr>
          <w:i/>
          <w:iCs/>
        </w:rPr>
        <w:t>Ferhat Erdogan v. Morocco</w:t>
      </w:r>
      <w:r w:rsidRPr="0043364D">
        <w:t xml:space="preserve">, </w:t>
      </w:r>
      <w:r w:rsidRPr="0043364D">
        <w:rPr>
          <w:i/>
          <w:iCs/>
        </w:rPr>
        <w:t>op.cit</w:t>
      </w:r>
      <w:r w:rsidRPr="0043364D">
        <w:t xml:space="preserve">., para. 11; </w:t>
      </w:r>
      <w:r w:rsidRPr="0043364D">
        <w:rPr>
          <w:i/>
          <w:iCs/>
        </w:rPr>
        <w:t>Mustafa Onder v. Morocco</w:t>
      </w:r>
      <w:r w:rsidRPr="0043364D">
        <w:t xml:space="preserve">, </w:t>
      </w:r>
      <w:r w:rsidRPr="0043364D">
        <w:rPr>
          <w:i/>
          <w:iCs/>
        </w:rPr>
        <w:t>op.cit</w:t>
      </w:r>
      <w:r w:rsidRPr="0043364D">
        <w:t xml:space="preserve">., para. </w:t>
      </w:r>
      <w:r>
        <w:t xml:space="preserve">9; </w:t>
      </w:r>
      <w:r w:rsidRPr="00C36B0E">
        <w:rPr>
          <w:i/>
          <w:iCs/>
        </w:rPr>
        <w:t>Elmas Ayden v. Morocco</w:t>
      </w:r>
      <w:r>
        <w:t xml:space="preserve">, </w:t>
      </w:r>
      <w:r w:rsidRPr="00A61C3A">
        <w:rPr>
          <w:i/>
          <w:iCs/>
        </w:rPr>
        <w:t>op.cit</w:t>
      </w:r>
      <w:r>
        <w:t>.,, para. 10.</w:t>
      </w:r>
    </w:p>
  </w:footnote>
  <w:footnote w:id="46">
    <w:p w14:paraId="56F49CEE" w14:textId="77777777" w:rsidR="00BE6A58" w:rsidRPr="00554735" w:rsidRDefault="00BE6A58" w:rsidP="00E51EEA">
      <w:pPr>
        <w:pStyle w:val="FootnoteText"/>
      </w:pPr>
      <w:r>
        <w:tab/>
      </w:r>
      <w:r w:rsidRPr="00000873">
        <w:rPr>
          <w:rStyle w:val="FootnoteReference"/>
        </w:rPr>
        <w:footnoteRef/>
      </w:r>
      <w:r w:rsidRPr="00554735">
        <w:t xml:space="preserve"> </w:t>
      </w:r>
      <w:r>
        <w:tab/>
      </w:r>
      <w:r w:rsidRPr="00554735">
        <w:t xml:space="preserve">CRC, </w:t>
      </w:r>
      <w:r w:rsidRPr="00554735">
        <w:rPr>
          <w:i/>
          <w:iCs/>
        </w:rPr>
        <w:t>M.T. v. Spain</w:t>
      </w:r>
      <w:r w:rsidRPr="00554735">
        <w:t xml:space="preserve">, views adopted on 18 September 2019, CRC/C/82/D/17/2017, para. 14(a); </w:t>
      </w:r>
      <w:r w:rsidRPr="00554735">
        <w:rPr>
          <w:i/>
          <w:iCs/>
        </w:rPr>
        <w:t>A.L. v. Spain</w:t>
      </w:r>
      <w:r w:rsidRPr="00554735">
        <w:t xml:space="preserve">, views adopted on 31 May 2019, CRC/C/81/D/16/2017, para. 13; </w:t>
      </w:r>
      <w:r w:rsidRPr="00554735">
        <w:rPr>
          <w:i/>
          <w:iCs/>
        </w:rPr>
        <w:t>J.A.B. v. Spain</w:t>
      </w:r>
      <w:r w:rsidRPr="00554735">
        <w:t xml:space="preserve">, views adopted on 31 May 2019, CRC/C/81/D/22/2017, para. 14; </w:t>
      </w:r>
      <w:r w:rsidRPr="00554735">
        <w:rPr>
          <w:i/>
          <w:iCs/>
        </w:rPr>
        <w:t>N.B.F. v. Spain</w:t>
      </w:r>
      <w:r w:rsidRPr="00554735">
        <w:t>, views adopted on 27 September 2018, CRC/C/79/D/11/2017, para. 13.</w:t>
      </w:r>
    </w:p>
  </w:footnote>
  <w:footnote w:id="47">
    <w:p w14:paraId="01352AFC" w14:textId="77777777" w:rsidR="00BE6A58" w:rsidRPr="00370C3F" w:rsidRDefault="00BE6A58" w:rsidP="00E51EEA">
      <w:pPr>
        <w:pStyle w:val="FootnoteText"/>
      </w:pPr>
      <w:r>
        <w:tab/>
      </w:r>
      <w:r w:rsidRPr="00000873">
        <w:rPr>
          <w:rStyle w:val="FootnoteReference"/>
        </w:rPr>
        <w:footnoteRef/>
      </w:r>
      <w:r>
        <w:t xml:space="preserve"> </w:t>
      </w:r>
      <w:r>
        <w:tab/>
      </w:r>
      <w:r w:rsidRPr="00A17B8F">
        <w:t>Guidelines on measures of reparation under the Optional Protocol to the International Covenant on Civil and Political Rights</w:t>
      </w:r>
      <w:r>
        <w:t>, CCPR/C/158, 30 November 2016, para. 13(d).</w:t>
      </w:r>
    </w:p>
  </w:footnote>
  <w:footnote w:id="48">
    <w:p w14:paraId="6FBEB4D3" w14:textId="77777777" w:rsidR="00BE6A58" w:rsidRPr="00E809F1" w:rsidRDefault="00BE6A58" w:rsidP="00E51EEA">
      <w:pPr>
        <w:pStyle w:val="FootnoteText"/>
        <w:rPr>
          <w:rFonts w:asciiTheme="minorHAnsi" w:hAnsiTheme="minorHAnsi"/>
        </w:rPr>
      </w:pPr>
      <w:r>
        <w:rPr>
          <w:rFonts w:asciiTheme="minorHAnsi" w:hAnsiTheme="minorHAnsi"/>
        </w:rPr>
        <w:tab/>
      </w:r>
      <w:r w:rsidRPr="00000873">
        <w:rPr>
          <w:rStyle w:val="FootnoteReference"/>
        </w:rPr>
        <w:footnoteRef/>
      </w:r>
      <w:r w:rsidRPr="00E809F1">
        <w:rPr>
          <w:rFonts w:asciiTheme="minorHAnsi" w:hAnsiTheme="minorHAnsi"/>
        </w:rPr>
        <w:t xml:space="preserve"> </w:t>
      </w:r>
      <w:r>
        <w:rPr>
          <w:rFonts w:asciiTheme="minorHAnsi" w:hAnsiTheme="minorHAnsi"/>
        </w:rPr>
        <w:tab/>
      </w:r>
      <w:r w:rsidRPr="00E809F1">
        <w:rPr>
          <w:rFonts w:asciiTheme="minorHAnsi" w:hAnsiTheme="minorHAnsi"/>
        </w:rPr>
        <w:t>See also CAT General Comment No. 3 guidance addressing the scope of the right to redress and mentioning “</w:t>
      </w:r>
      <w:r w:rsidRPr="00E809F1">
        <w:rPr>
          <w:rFonts w:asciiTheme="minorHAnsi" w:hAnsiTheme="minorHAnsi"/>
          <w:color w:val="000000"/>
        </w:rPr>
        <w:t xml:space="preserve">training for law enforcement officials as well as military and security forces” </w:t>
      </w:r>
      <w:r>
        <w:rPr>
          <w:rFonts w:asciiTheme="minorHAnsi" w:hAnsiTheme="minorHAnsi"/>
          <w:color w:val="000000"/>
        </w:rPr>
        <w:t>as guarantee of non-repetition, para. 18.</w:t>
      </w:r>
    </w:p>
  </w:footnote>
  <w:footnote w:id="49">
    <w:p w14:paraId="022BF419" w14:textId="77777777" w:rsidR="00BE6A58" w:rsidRPr="00917AA8" w:rsidRDefault="00BE6A58" w:rsidP="00E51EEA">
      <w:pPr>
        <w:pStyle w:val="FootnoteText"/>
      </w:pPr>
      <w:r>
        <w:tab/>
      </w:r>
      <w:r w:rsidRPr="00000873">
        <w:rPr>
          <w:rStyle w:val="FootnoteReference"/>
        </w:rPr>
        <w:footnoteRef/>
      </w:r>
      <w:r>
        <w:t xml:space="preserve"> </w:t>
      </w:r>
      <w:r>
        <w:tab/>
        <w:t xml:space="preserve">See </w:t>
      </w:r>
      <w:r w:rsidRPr="001E361E">
        <w:rPr>
          <w:i/>
          <w:iCs/>
        </w:rPr>
        <w:t>Danil Gabdulkhakov v. Russian Federation</w:t>
      </w:r>
      <w:r>
        <w:t xml:space="preserve">, views adopted on 17 May 2018, </w:t>
      </w:r>
      <w:r w:rsidRPr="004058FC">
        <w:t>CAT/C/63/D/637/2014</w:t>
      </w:r>
      <w:r>
        <w:t>, para. 11 (d).</w:t>
      </w:r>
    </w:p>
  </w:footnote>
  <w:footnote w:id="50">
    <w:p w14:paraId="6B40223F" w14:textId="77777777" w:rsidR="00BE6A58" w:rsidRPr="00947308" w:rsidRDefault="00BE6A58" w:rsidP="00E51EEA">
      <w:pPr>
        <w:pStyle w:val="FootnoteText"/>
      </w:pPr>
      <w:r>
        <w:tab/>
      </w:r>
      <w:r w:rsidRPr="00000873">
        <w:rPr>
          <w:rStyle w:val="FootnoteReference"/>
        </w:rPr>
        <w:footnoteRef/>
      </w:r>
      <w:r>
        <w:t xml:space="preserve"> </w:t>
      </w:r>
      <w:r>
        <w:tab/>
        <w:t>Concluding observations on the sixth report of the Russian Federation, CAT/C/RUS/CO/6, 28 August 2018, para. 45.</w:t>
      </w:r>
    </w:p>
  </w:footnote>
  <w:footnote w:id="51">
    <w:p w14:paraId="166EA974" w14:textId="77777777" w:rsidR="00BE6A58" w:rsidRPr="00E51EEA" w:rsidRDefault="00BE6A58" w:rsidP="00E51EEA">
      <w:pPr>
        <w:pStyle w:val="FootnoteText"/>
      </w:pPr>
      <w:r>
        <w:tab/>
      </w:r>
      <w:r w:rsidRPr="00000873">
        <w:rPr>
          <w:rStyle w:val="FootnoteReference"/>
        </w:rPr>
        <w:footnoteRef/>
      </w:r>
      <w:r w:rsidRPr="001F2B7B">
        <w:t xml:space="preserve"> </w:t>
      </w:r>
      <w:r>
        <w:tab/>
      </w:r>
      <w:r w:rsidRPr="00E51EEA">
        <w:t>CRPD, Fiona Given v. Australia, views adopted on 16 February 2018, CRPD/C/19/D/19/2014, para. 9(a)(iii); Iuliia Domina and Max Bendtsen v. Denmark, views adopted on 31st August 2018,</w:t>
      </w:r>
      <w:r w:rsidRPr="001F2B7B">
        <w:t xml:space="preserve"> </w:t>
      </w:r>
      <w:r w:rsidRPr="00E51EEA">
        <w:t>CRPD/C/20/D/39/2017, para. 9(a)(iii); Y v. Tanzania, views adopted on 31st August 2018, CRPD/C/20/D/23/2014, para. 9(a)(iii).</w:t>
      </w:r>
    </w:p>
  </w:footnote>
  <w:footnote w:id="52">
    <w:p w14:paraId="2E67742D" w14:textId="77777777" w:rsidR="00BE6A58" w:rsidRPr="00E51EEA" w:rsidRDefault="00BE6A58" w:rsidP="00E51EEA">
      <w:pPr>
        <w:pStyle w:val="FootnoteText"/>
      </w:pPr>
      <w:r w:rsidRPr="00E51EEA">
        <w:tab/>
      </w:r>
      <w:r w:rsidRPr="00E51EEA">
        <w:rPr>
          <w:rStyle w:val="FootnoteReference"/>
        </w:rPr>
        <w:footnoteRef/>
      </w:r>
      <w:r w:rsidRPr="00E51EEA">
        <w:t xml:space="preserve"> </w:t>
      </w:r>
      <w:r w:rsidRPr="00E51EEA">
        <w:tab/>
        <w:t>CRPD, J.H. v. Australia, views adopted on 31st August 2018, CRPD/C/20/D/35/2016, para. 9.</w:t>
      </w:r>
    </w:p>
  </w:footnote>
  <w:footnote w:id="53">
    <w:p w14:paraId="51E09C31" w14:textId="77777777" w:rsidR="00BE6A58" w:rsidRPr="00D607B9" w:rsidRDefault="00BE6A58" w:rsidP="00E51EEA">
      <w:pPr>
        <w:pStyle w:val="FootnoteText"/>
        <w:rPr>
          <w:rFonts w:ascii="Calibri" w:hAnsi="Calibri"/>
        </w:rPr>
      </w:pPr>
      <w:r w:rsidRPr="00E51EEA">
        <w:tab/>
      </w:r>
      <w:r w:rsidRPr="00E51EEA">
        <w:rPr>
          <w:rStyle w:val="FootnoteReference"/>
        </w:rPr>
        <w:footnoteRef/>
      </w:r>
      <w:r w:rsidRPr="00E51EEA">
        <w:rPr>
          <w:rStyle w:val="FootnoteReference"/>
        </w:rPr>
        <w:t xml:space="preserve"> </w:t>
      </w:r>
      <w:r w:rsidRPr="00E51EEA">
        <w:rPr>
          <w:rStyle w:val="FootnoteReference"/>
        </w:rPr>
        <w:tab/>
      </w:r>
      <w:r w:rsidRPr="00E51EEA">
        <w:t>CRPD, Al Adam v. Saudi Arabia, views adopted on 20 September 2018, CRPD/C/20/D/38/2016.</w:t>
      </w:r>
    </w:p>
  </w:footnote>
  <w:footnote w:id="54">
    <w:p w14:paraId="30D4E655" w14:textId="77777777" w:rsidR="00BE6A58" w:rsidRPr="00D7756B" w:rsidRDefault="00BE6A58" w:rsidP="00E51EEA">
      <w:pPr>
        <w:pStyle w:val="FootnoteText"/>
      </w:pPr>
      <w:r>
        <w:tab/>
      </w:r>
      <w:r w:rsidRPr="00000873">
        <w:rPr>
          <w:rStyle w:val="FootnoteReference"/>
        </w:rPr>
        <w:footnoteRef/>
      </w:r>
      <w:r>
        <w:t xml:space="preserve"> </w:t>
      </w:r>
      <w:r>
        <w:tab/>
        <w:t xml:space="preserve">CEDAW, </w:t>
      </w:r>
      <w:r w:rsidRPr="00D7756B">
        <w:rPr>
          <w:i/>
          <w:iCs/>
        </w:rPr>
        <w:t>X. and Y. v. Russian Federation</w:t>
      </w:r>
      <w:r>
        <w:t xml:space="preserve">, views adopted on 16 July 2019, </w:t>
      </w:r>
      <w:r w:rsidRPr="00D7756B">
        <w:t>CEDAW/C/73/D/100/2016</w:t>
      </w:r>
      <w:r>
        <w:t>, para. 11(a)(iii).</w:t>
      </w:r>
    </w:p>
  </w:footnote>
  <w:footnote w:id="55">
    <w:p w14:paraId="72951F3F" w14:textId="77777777" w:rsidR="00BE6A58" w:rsidRPr="00D7756B" w:rsidRDefault="00BE6A58" w:rsidP="00E51EEA">
      <w:pPr>
        <w:pStyle w:val="FootnoteText"/>
      </w:pPr>
      <w:r>
        <w:tab/>
      </w:r>
      <w:r w:rsidRPr="00000873">
        <w:rPr>
          <w:rStyle w:val="FootnoteReference"/>
        </w:rPr>
        <w:footnoteRef/>
      </w:r>
      <w:r>
        <w:t xml:space="preserve"> </w:t>
      </w:r>
      <w:r>
        <w:tab/>
        <w:t xml:space="preserve">CEDAW, </w:t>
      </w:r>
      <w:r w:rsidRPr="00B74034">
        <w:rPr>
          <w:i/>
          <w:iCs/>
        </w:rPr>
        <w:t>X. v. Timor-Leste</w:t>
      </w:r>
      <w:r>
        <w:t xml:space="preserve">, views adopted on 26 February 2018, </w:t>
      </w:r>
      <w:r w:rsidRPr="00B74034">
        <w:t>CEDAW/C/69/D/88/2015</w:t>
      </w:r>
      <w:r>
        <w:t xml:space="preserve">, para. 8(b)(iii); </w:t>
      </w:r>
      <w:r w:rsidRPr="00781046">
        <w:rPr>
          <w:i/>
          <w:iCs/>
        </w:rPr>
        <w:t>J.I. v. Finland,</w:t>
      </w:r>
      <w:r>
        <w:t xml:space="preserve"> views adopted on 5 March 2018, </w:t>
      </w:r>
      <w:r w:rsidRPr="00781046">
        <w:t>CEDAW/C/69/D/103/2016</w:t>
      </w:r>
      <w:r>
        <w:t>, para. 10(b)(ii).</w:t>
      </w:r>
    </w:p>
  </w:footnote>
  <w:footnote w:id="56">
    <w:p w14:paraId="5DDCA1F4" w14:textId="77777777" w:rsidR="00BE6A58" w:rsidRPr="003B7ED7" w:rsidRDefault="00BE6A58" w:rsidP="00E51EEA">
      <w:pPr>
        <w:pStyle w:val="FootnoteText"/>
      </w:pPr>
      <w:r>
        <w:tab/>
      </w:r>
      <w:r w:rsidRPr="00000873">
        <w:rPr>
          <w:rStyle w:val="FootnoteReference"/>
        </w:rPr>
        <w:footnoteRef/>
      </w:r>
      <w:r>
        <w:t xml:space="preserve"> </w:t>
      </w:r>
      <w:r>
        <w:tab/>
        <w:t>“</w:t>
      </w:r>
      <w:r w:rsidRPr="003B7ED7">
        <w:t>The State party is also under an obligation to take all steps necessary to prevent similar violations from occurring again in the future</w:t>
      </w:r>
      <w:r>
        <w:t>.”</w:t>
      </w:r>
    </w:p>
  </w:footnote>
  <w:footnote w:id="57">
    <w:p w14:paraId="743E0765" w14:textId="77777777" w:rsidR="00BE6A58" w:rsidRPr="006B083C" w:rsidRDefault="00BE6A58" w:rsidP="00E51EEA">
      <w:pPr>
        <w:pStyle w:val="FootnoteText"/>
      </w:pPr>
      <w:r>
        <w:tab/>
      </w:r>
      <w:r w:rsidRPr="00000873">
        <w:rPr>
          <w:rStyle w:val="FootnoteReference"/>
        </w:rPr>
        <w:footnoteRef/>
      </w:r>
      <w:r>
        <w:t xml:space="preserve"> </w:t>
      </w:r>
      <w:r>
        <w:tab/>
        <w:t xml:space="preserve">Exceptionally, in one case where the violation resulted from the domestic law and procedures regarding referendums, CCPR focuses on guarantees of non-repetition and sets out a very broad recommendation in relation to the authors. CCPR, </w:t>
      </w:r>
      <w:r w:rsidRPr="006B083C">
        <w:rPr>
          <w:i/>
          <w:iCs/>
        </w:rPr>
        <w:t>Mario Staderini and Michele De Lucia v. Italy</w:t>
      </w:r>
      <w:r>
        <w:t xml:space="preserve">, views adopted on 6 November 2019, </w:t>
      </w:r>
      <w:r w:rsidRPr="006B083C">
        <w:t>CCPR/C/127/D/2656/2015</w:t>
      </w:r>
      <w:r>
        <w:t>, para. 11: “t</w:t>
      </w:r>
      <w:r w:rsidRPr="00280F6A">
        <w:t>he State party is under an obligation to provide the authors with an effective remedy. This requires it to make full reparation to individuals whose Covenant rights have been violated.</w:t>
      </w:r>
      <w:r>
        <w:t>”</w:t>
      </w:r>
    </w:p>
  </w:footnote>
  <w:footnote w:id="58">
    <w:p w14:paraId="0AAEB444"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D421D6">
        <w:rPr>
          <w:rFonts w:asciiTheme="minorHAnsi" w:hAnsiTheme="minorHAnsi"/>
        </w:rPr>
        <w:t xml:space="preserve"> </w:t>
      </w:r>
      <w:r>
        <w:rPr>
          <w:rFonts w:asciiTheme="minorHAnsi" w:hAnsiTheme="minorHAnsi"/>
        </w:rPr>
        <w:tab/>
      </w:r>
      <w:r w:rsidRPr="00F82758">
        <w:t>In all 7 complaints brought against Nepal, the authors were represented by TRIAL in 6 cases and REDRESS in 1 case. Similarly, in 3 communications relating to enforced disappearance cases in Mexico, the authors were represented by i(dh)eas and the Mexican Commission for the Defence and Promotion of Human Rights. Other examples include a journalist represented by Article 19 (Lydia Cacho Ribeiro v. Mexico, views adopted on 17 July 2018, CCPR/C/123/D/2767/2016) and 2 communications involving Paraguay in which their authors were represented by Base Investigaciones Sociales (BaseIS) and the Paraguayan Human Rights Coordinating Committee (CODEHUPY) (Evelio Ramón Giménez v. Paraguay, views adopted on 25 July 2018, CCPR/C/123/D/2372/2014 and Cáceres et al. v. Paraguay, views adopted on 25 July 2019, CCPR/C/126/D/2751/2016).</w:t>
      </w:r>
    </w:p>
  </w:footnote>
  <w:footnote w:id="59">
    <w:p w14:paraId="6B4650DE" w14:textId="77777777" w:rsidR="00BE6A58" w:rsidRPr="0042783A" w:rsidRDefault="00BE6A58" w:rsidP="00E51EEA">
      <w:pPr>
        <w:pStyle w:val="FootnoteText"/>
      </w:pPr>
      <w:r>
        <w:tab/>
      </w:r>
      <w:r w:rsidRPr="00000873">
        <w:rPr>
          <w:rStyle w:val="FootnoteReference"/>
        </w:rPr>
        <w:footnoteRef/>
      </w:r>
      <w:r>
        <w:t xml:space="preserve"> </w:t>
      </w:r>
      <w:r>
        <w:tab/>
        <w:t>It should be noted that the sample of CESCR views is also very limited: 3 only over the research period.</w:t>
      </w:r>
    </w:p>
  </w:footnote>
  <w:footnote w:id="60">
    <w:p w14:paraId="03994F63" w14:textId="77777777" w:rsidR="00BE6A58" w:rsidRPr="002C742D" w:rsidRDefault="00BE6A58" w:rsidP="00E51EEA">
      <w:pPr>
        <w:pStyle w:val="FootnoteText"/>
      </w:pPr>
      <w:r>
        <w:tab/>
      </w:r>
      <w:r w:rsidRPr="00000873">
        <w:rPr>
          <w:rStyle w:val="FootnoteReference"/>
        </w:rPr>
        <w:footnoteRef/>
      </w:r>
      <w:r>
        <w:t xml:space="preserve"> </w:t>
      </w:r>
      <w:r>
        <w:tab/>
        <w:t>This general rule is set out in CCPR Guidelines on measures of reparation, para. 9.</w:t>
      </w:r>
    </w:p>
  </w:footnote>
  <w:footnote w:id="61">
    <w:p w14:paraId="2B872A76" w14:textId="77777777" w:rsidR="00BE6A58" w:rsidRPr="00B72360" w:rsidRDefault="00BE6A58" w:rsidP="00E51EEA">
      <w:pPr>
        <w:pStyle w:val="FootnoteText"/>
      </w:pPr>
      <w:r>
        <w:tab/>
      </w:r>
      <w:r w:rsidRPr="00000873">
        <w:rPr>
          <w:rStyle w:val="FootnoteReference"/>
        </w:rPr>
        <w:footnoteRef/>
      </w:r>
      <w:r>
        <w:t xml:space="preserve"> </w:t>
      </w:r>
      <w:r>
        <w:tab/>
      </w:r>
      <w:r w:rsidRPr="00B72360">
        <w:t xml:space="preserve">This issue was raised during the expert meeting on </w:t>
      </w:r>
      <w:r>
        <w:t>follow-up to treaty body recommendations held in October 2017: “</w:t>
      </w:r>
      <w:r w:rsidRPr="00AE39E8">
        <w:t xml:space="preserve">It </w:t>
      </w:r>
      <w:r w:rsidRPr="00D0611D">
        <w:t>might</w:t>
      </w:r>
      <w:r w:rsidRPr="00AE39E8">
        <w:t xml:space="preserve"> be more effective to order a specific amount, like the European Court of Human Rights </w:t>
      </w:r>
      <w:r w:rsidRPr="00AE39E8">
        <w:rPr>
          <w:rFonts w:eastAsiaTheme="minorEastAsia" w:hint="eastAsia"/>
        </w:rPr>
        <w:t>(</w:t>
      </w:r>
      <w:r w:rsidRPr="00AE39E8">
        <w:t>ECHR</w:t>
      </w:r>
      <w:r w:rsidRPr="00AE39E8">
        <w:rPr>
          <w:rFonts w:eastAsiaTheme="minorEastAsia" w:hint="eastAsia"/>
        </w:rPr>
        <w:t>)</w:t>
      </w:r>
      <w:r w:rsidRPr="00AE39E8">
        <w:t>, so that states do not have to go through the process of determining it</w:t>
      </w:r>
      <w:r>
        <w:t>.” See HRI/MC/2018/CRP.2, 21 March 2018, para. 21.</w:t>
      </w:r>
    </w:p>
  </w:footnote>
  <w:footnote w:id="62">
    <w:p w14:paraId="7B74ABC2" w14:textId="77777777" w:rsidR="00BE6A58" w:rsidRPr="00B30EF8" w:rsidRDefault="00BE6A58" w:rsidP="00E51EEA">
      <w:pPr>
        <w:pStyle w:val="FootnoteText"/>
      </w:pPr>
      <w:r>
        <w:tab/>
      </w:r>
      <w:r w:rsidRPr="00000873">
        <w:rPr>
          <w:rStyle w:val="FootnoteReference"/>
        </w:rPr>
        <w:footnoteRef/>
      </w:r>
      <w:r>
        <w:t xml:space="preserve"> </w:t>
      </w:r>
      <w:r>
        <w:tab/>
      </w:r>
      <w:r w:rsidRPr="00BE3706">
        <w:rPr>
          <w:bCs/>
          <w:color w:val="000000"/>
          <w:szCs w:val="18"/>
        </w:rPr>
        <w:t>Basic Principles and Guidelines on the Right to a Remedy and Reparation for Victims of Gross Violations of International Human Rights Law and Serious Violations of International Humanitarian Law</w:t>
      </w:r>
      <w:r>
        <w:rPr>
          <w:bCs/>
          <w:color w:val="000000"/>
          <w:szCs w:val="18"/>
        </w:rPr>
        <w:t>, para. 20.</w:t>
      </w:r>
    </w:p>
  </w:footnote>
  <w:footnote w:id="63">
    <w:p w14:paraId="45EE28D6" w14:textId="77777777" w:rsidR="00BE6A58" w:rsidRPr="00081ECC" w:rsidRDefault="00BE6A58" w:rsidP="00E51EEA">
      <w:pPr>
        <w:pStyle w:val="FootnoteText"/>
      </w:pPr>
      <w:r>
        <w:tab/>
      </w:r>
      <w:r w:rsidRPr="00000873">
        <w:rPr>
          <w:rStyle w:val="FootnoteReference"/>
        </w:rPr>
        <w:footnoteRef/>
      </w:r>
      <w:r>
        <w:t xml:space="preserve"> </w:t>
      </w:r>
      <w:r>
        <w:tab/>
      </w:r>
      <w:r w:rsidRPr="00081ECC">
        <w:t>In 38 ou</w:t>
      </w:r>
      <w:r>
        <w:t>t of the 95 views researched that were adopted by CCPR in 2018-2019.</w:t>
      </w:r>
    </w:p>
  </w:footnote>
  <w:footnote w:id="64">
    <w:p w14:paraId="5CA18137" w14:textId="77777777" w:rsidR="00BE6A58" w:rsidRPr="004A573E" w:rsidRDefault="00BE6A58" w:rsidP="00E51EEA">
      <w:pPr>
        <w:pStyle w:val="FootnoteText"/>
      </w:pPr>
      <w:r>
        <w:tab/>
      </w:r>
      <w:r w:rsidRPr="00000873">
        <w:rPr>
          <w:rStyle w:val="FootnoteReference"/>
        </w:rPr>
        <w:footnoteRef/>
      </w:r>
      <w:r>
        <w:t xml:space="preserve"> </w:t>
      </w:r>
      <w:r>
        <w:tab/>
      </w:r>
      <w:r w:rsidRPr="004A573E">
        <w:t xml:space="preserve">CCPR, </w:t>
      </w:r>
      <w:r w:rsidRPr="004A573E">
        <w:rPr>
          <w:i/>
          <w:iCs/>
        </w:rPr>
        <w:t>Bholi Pharaka v. Nepal</w:t>
      </w:r>
      <w:r w:rsidRPr="004A573E">
        <w:t xml:space="preserve">, </w:t>
      </w:r>
      <w:r w:rsidRPr="004A573E">
        <w:rPr>
          <w:i/>
          <w:iCs/>
        </w:rPr>
        <w:t>op.</w:t>
      </w:r>
      <w:r>
        <w:rPr>
          <w:i/>
          <w:iCs/>
        </w:rPr>
        <w:t xml:space="preserve"> cit.</w:t>
      </w:r>
      <w:r w:rsidRPr="004A573E">
        <w:t>, para. 9(d).</w:t>
      </w:r>
    </w:p>
  </w:footnote>
  <w:footnote w:id="65">
    <w:p w14:paraId="3AE71544" w14:textId="77777777" w:rsidR="00BE6A58" w:rsidRPr="00DD7ADF" w:rsidRDefault="00BE6A58" w:rsidP="00E51EEA">
      <w:pPr>
        <w:pStyle w:val="FootnoteText"/>
      </w:pPr>
      <w:r>
        <w:tab/>
      </w:r>
      <w:r w:rsidRPr="00000873">
        <w:rPr>
          <w:rStyle w:val="FootnoteReference"/>
        </w:rPr>
        <w:footnoteRef/>
      </w:r>
      <w:r>
        <w:t xml:space="preserve"> </w:t>
      </w:r>
      <w:r>
        <w:tab/>
        <w:t xml:space="preserve">CEDAW, </w:t>
      </w:r>
      <w:r w:rsidRPr="00DD7ADF">
        <w:rPr>
          <w:i/>
          <w:iCs/>
        </w:rPr>
        <w:t>S.L. v. Bulgaria</w:t>
      </w:r>
      <w:r>
        <w:t xml:space="preserve">, views adopted on 19 July 2019, </w:t>
      </w:r>
      <w:r w:rsidRPr="00BF41FD">
        <w:t>CEDAW/C/73/D/99/2016</w:t>
      </w:r>
      <w:r>
        <w:t xml:space="preserve">, para. 7.15(a)(ii); </w:t>
      </w:r>
      <w:r w:rsidRPr="003E71AE">
        <w:rPr>
          <w:i/>
          <w:iCs/>
        </w:rPr>
        <w:t>X. and Y. v. Russian Federation</w:t>
      </w:r>
      <w:r>
        <w:t xml:space="preserve">, views adopted on 16 July 2019, </w:t>
      </w:r>
      <w:r w:rsidRPr="005D2267">
        <w:t>CEDAW/C/73/D/100/2016</w:t>
      </w:r>
      <w:r>
        <w:t xml:space="preserve">, para. 11(a)(ii); </w:t>
      </w:r>
      <w:r w:rsidRPr="005A708C">
        <w:rPr>
          <w:i/>
          <w:iCs/>
        </w:rPr>
        <w:t>X. v. Timor-Leste</w:t>
      </w:r>
      <w:r>
        <w:t xml:space="preserve">, views adopted on 26 February 2018, </w:t>
      </w:r>
      <w:r w:rsidRPr="005A708C">
        <w:t>CEDAW/C/69/D/88/2015</w:t>
      </w:r>
      <w:r>
        <w:t xml:space="preserve">, para. 8(a)(ii); </w:t>
      </w:r>
      <w:r w:rsidRPr="00C92AAB">
        <w:rPr>
          <w:i/>
          <w:iCs/>
        </w:rPr>
        <w:t>J.I. v. Finland</w:t>
      </w:r>
      <w:r>
        <w:t xml:space="preserve">, views adopted on 5 March 2018, </w:t>
      </w:r>
      <w:r w:rsidRPr="00635CFC">
        <w:t>CEDAW/C/69/D/103/2016</w:t>
      </w:r>
      <w:r>
        <w:t>, para. 10(a)(ii).</w:t>
      </w:r>
    </w:p>
  </w:footnote>
  <w:footnote w:id="66">
    <w:p w14:paraId="4E2795F6" w14:textId="77777777" w:rsidR="00BE6A58" w:rsidRPr="002F5300" w:rsidRDefault="00BE6A58" w:rsidP="00E51EEA">
      <w:pPr>
        <w:pStyle w:val="FootnoteText"/>
      </w:pPr>
      <w:r>
        <w:tab/>
      </w:r>
      <w:r w:rsidRPr="00000873">
        <w:rPr>
          <w:rStyle w:val="FootnoteReference"/>
        </w:rPr>
        <w:footnoteRef/>
      </w:r>
      <w:r>
        <w:t xml:space="preserve"> </w:t>
      </w:r>
      <w:r>
        <w:tab/>
      </w:r>
      <w:r w:rsidRPr="00554735">
        <w:t xml:space="preserve">CRC, </w:t>
      </w:r>
      <w:r w:rsidRPr="00554735">
        <w:rPr>
          <w:i/>
          <w:iCs/>
        </w:rPr>
        <w:t>M.T. v. Spain</w:t>
      </w:r>
      <w:r w:rsidRPr="00554735">
        <w:t xml:space="preserve">, </w:t>
      </w:r>
      <w:r w:rsidRPr="00F8635F">
        <w:rPr>
          <w:i/>
          <w:iCs/>
        </w:rPr>
        <w:t>op. cit.</w:t>
      </w:r>
      <w:r w:rsidRPr="00554735">
        <w:t xml:space="preserve">, para. 14(a); </w:t>
      </w:r>
      <w:r w:rsidRPr="00554735">
        <w:rPr>
          <w:i/>
          <w:iCs/>
        </w:rPr>
        <w:t>A.L. v. Spain</w:t>
      </w:r>
      <w:r w:rsidRPr="00554735">
        <w:t xml:space="preserve">, </w:t>
      </w:r>
      <w:r w:rsidRPr="00F8635F">
        <w:rPr>
          <w:i/>
          <w:iCs/>
        </w:rPr>
        <w:t>op. cit.</w:t>
      </w:r>
      <w:r>
        <w:t>,</w:t>
      </w:r>
      <w:r w:rsidRPr="00554735">
        <w:t xml:space="preserve"> para. 13; </w:t>
      </w:r>
      <w:r w:rsidRPr="00554735">
        <w:rPr>
          <w:i/>
          <w:iCs/>
        </w:rPr>
        <w:t>J.A.B. v. Spain</w:t>
      </w:r>
      <w:r w:rsidRPr="00554735">
        <w:t xml:space="preserve">, </w:t>
      </w:r>
      <w:r w:rsidRPr="00F8635F">
        <w:rPr>
          <w:i/>
          <w:iCs/>
        </w:rPr>
        <w:t>op. cit.</w:t>
      </w:r>
      <w:r w:rsidRPr="00554735">
        <w:t xml:space="preserve">, para. 14; </w:t>
      </w:r>
      <w:r w:rsidRPr="00554735">
        <w:rPr>
          <w:i/>
          <w:iCs/>
        </w:rPr>
        <w:t>N.B.F. v. Spain</w:t>
      </w:r>
      <w:r w:rsidRPr="00554735">
        <w:t xml:space="preserve">, </w:t>
      </w:r>
      <w:r w:rsidRPr="00F8635F">
        <w:rPr>
          <w:i/>
          <w:iCs/>
        </w:rPr>
        <w:t>op. cit.</w:t>
      </w:r>
      <w:r w:rsidRPr="00554735">
        <w:t>, para. 13.</w:t>
      </w:r>
    </w:p>
  </w:footnote>
  <w:footnote w:id="67">
    <w:p w14:paraId="5FB0EA6A" w14:textId="77777777" w:rsidR="00BE6A58" w:rsidRPr="000F57BB" w:rsidRDefault="00BE6A58" w:rsidP="00E51EEA">
      <w:pPr>
        <w:pStyle w:val="FootnoteText"/>
      </w:pPr>
      <w:r>
        <w:tab/>
      </w:r>
      <w:r w:rsidRPr="00000873">
        <w:rPr>
          <w:rStyle w:val="FootnoteReference"/>
        </w:rPr>
        <w:footnoteRef/>
      </w:r>
      <w:r>
        <w:t xml:space="preserve"> </w:t>
      </w:r>
      <w:r>
        <w:tab/>
        <w:t xml:space="preserve">CAT, </w:t>
      </w:r>
      <w:r w:rsidRPr="00C36B0E">
        <w:rPr>
          <w:i/>
          <w:iCs/>
        </w:rPr>
        <w:t>Ismet Bakay v. Moroc</w:t>
      </w:r>
      <w:r>
        <w:rPr>
          <w:i/>
          <w:iCs/>
        </w:rPr>
        <w:t>c</w:t>
      </w:r>
      <w:r w:rsidRPr="00C36B0E">
        <w:rPr>
          <w:i/>
          <w:iCs/>
        </w:rPr>
        <w:t>o</w:t>
      </w:r>
      <w:r>
        <w:t xml:space="preserve">, </w:t>
      </w:r>
      <w:r w:rsidRPr="00F8635F">
        <w:rPr>
          <w:i/>
          <w:iCs/>
        </w:rPr>
        <w:t>op. cit.</w:t>
      </w:r>
      <w:r>
        <w:t xml:space="preserve">, para. 9; </w:t>
      </w:r>
      <w:r w:rsidRPr="00C36B0E">
        <w:rPr>
          <w:i/>
          <w:iCs/>
        </w:rPr>
        <w:t>Hany Khater v. Morocco</w:t>
      </w:r>
      <w:r>
        <w:t xml:space="preserve">, </w:t>
      </w:r>
      <w:r w:rsidRPr="00F8635F">
        <w:rPr>
          <w:i/>
          <w:iCs/>
        </w:rPr>
        <w:t>op. cit.</w:t>
      </w:r>
      <w:r>
        <w:t xml:space="preserve">, para. </w:t>
      </w:r>
      <w:r w:rsidRPr="00C5466C">
        <w:rPr>
          <w:lang w:val="es-ES"/>
        </w:rPr>
        <w:t xml:space="preserve">12; </w:t>
      </w:r>
      <w:r w:rsidRPr="00C5466C">
        <w:rPr>
          <w:i/>
          <w:iCs/>
          <w:lang w:val="es-ES"/>
        </w:rPr>
        <w:t>Ferhat Erdogan v. Morocco</w:t>
      </w:r>
      <w:r w:rsidRPr="00C5466C">
        <w:rPr>
          <w:lang w:val="es-ES"/>
        </w:rPr>
        <w:t xml:space="preserve">, </w:t>
      </w:r>
      <w:r w:rsidRPr="00C5466C">
        <w:rPr>
          <w:i/>
          <w:iCs/>
          <w:lang w:val="es-ES"/>
        </w:rPr>
        <w:t>op. cit.</w:t>
      </w:r>
      <w:r w:rsidRPr="00C5466C">
        <w:rPr>
          <w:lang w:val="es-ES"/>
        </w:rPr>
        <w:t xml:space="preserve">, para. 11; </w:t>
      </w:r>
      <w:r w:rsidRPr="00C5466C">
        <w:rPr>
          <w:i/>
          <w:iCs/>
          <w:lang w:val="es-ES"/>
        </w:rPr>
        <w:t>Mustafa Onder v. Morocco</w:t>
      </w:r>
      <w:r w:rsidRPr="00C5466C">
        <w:rPr>
          <w:lang w:val="es-ES"/>
        </w:rPr>
        <w:t xml:space="preserve">, </w:t>
      </w:r>
      <w:r w:rsidRPr="00C5466C">
        <w:rPr>
          <w:i/>
          <w:iCs/>
          <w:lang w:val="es-ES"/>
        </w:rPr>
        <w:t>op. cit.</w:t>
      </w:r>
      <w:r w:rsidRPr="00C5466C">
        <w:rPr>
          <w:lang w:val="es-ES"/>
        </w:rPr>
        <w:t xml:space="preserve">, para. 9; </w:t>
      </w:r>
      <w:r w:rsidRPr="00C5466C">
        <w:rPr>
          <w:i/>
          <w:iCs/>
          <w:lang w:val="es-ES"/>
        </w:rPr>
        <w:t>Elmas Ayden v. Morocco</w:t>
      </w:r>
      <w:r w:rsidRPr="00C5466C">
        <w:rPr>
          <w:lang w:val="es-ES"/>
        </w:rPr>
        <w:t xml:space="preserve">, </w:t>
      </w:r>
      <w:r w:rsidRPr="00C5466C">
        <w:rPr>
          <w:i/>
          <w:iCs/>
          <w:lang w:val="es-ES"/>
        </w:rPr>
        <w:t>op. cit.</w:t>
      </w:r>
      <w:r w:rsidRPr="00C5466C">
        <w:rPr>
          <w:lang w:val="es-ES"/>
        </w:rPr>
        <w:t xml:space="preserve">, para. </w:t>
      </w:r>
      <w:r>
        <w:t>10.</w:t>
      </w:r>
    </w:p>
  </w:footnote>
  <w:footnote w:id="68">
    <w:p w14:paraId="211DBB80" w14:textId="77777777" w:rsidR="00BE6A58" w:rsidRPr="00E83EEC" w:rsidRDefault="00BE6A58" w:rsidP="00E51EEA">
      <w:pPr>
        <w:pStyle w:val="FootnoteText"/>
      </w:pPr>
      <w:r>
        <w:tab/>
      </w:r>
      <w:r w:rsidRPr="00000873">
        <w:rPr>
          <w:rStyle w:val="FootnoteReference"/>
        </w:rPr>
        <w:footnoteRef/>
      </w:r>
      <w:r>
        <w:t xml:space="preserve"> </w:t>
      </w:r>
      <w:r>
        <w:tab/>
        <w:t xml:space="preserve">See, for example, </w:t>
      </w:r>
      <w:r w:rsidRPr="004A573E">
        <w:t xml:space="preserve">CCPR, </w:t>
      </w:r>
      <w:r w:rsidRPr="004A573E">
        <w:rPr>
          <w:i/>
          <w:iCs/>
        </w:rPr>
        <w:t>Bholi Pharaka v. Nepal</w:t>
      </w:r>
      <w:r w:rsidRPr="004A573E">
        <w:t xml:space="preserve">, </w:t>
      </w:r>
      <w:r w:rsidRPr="004A573E">
        <w:rPr>
          <w:i/>
          <w:iCs/>
        </w:rPr>
        <w:t>op.</w:t>
      </w:r>
      <w:r>
        <w:rPr>
          <w:i/>
          <w:iCs/>
        </w:rPr>
        <w:t xml:space="preserve"> cit.</w:t>
      </w:r>
      <w:r w:rsidRPr="004A573E">
        <w:t>,</w:t>
      </w:r>
      <w:r>
        <w:t xml:space="preserve"> para. 9.</w:t>
      </w:r>
    </w:p>
  </w:footnote>
  <w:footnote w:id="69">
    <w:p w14:paraId="0CAEF2EC" w14:textId="77777777" w:rsidR="00BE6A58" w:rsidRPr="00C5466C" w:rsidRDefault="00BE6A58" w:rsidP="00E51EEA">
      <w:pPr>
        <w:pStyle w:val="FootnoteText"/>
        <w:rPr>
          <w:lang w:val="es-ES"/>
        </w:rPr>
      </w:pPr>
      <w:r>
        <w:tab/>
      </w:r>
      <w:r w:rsidRPr="00000873">
        <w:rPr>
          <w:rStyle w:val="FootnoteReference"/>
        </w:rPr>
        <w:footnoteRef/>
      </w:r>
      <w:r w:rsidRPr="00C5466C">
        <w:t xml:space="preserve"> </w:t>
      </w:r>
      <w:r>
        <w:tab/>
      </w:r>
      <w:r w:rsidRPr="00C5466C">
        <w:t xml:space="preserve">CCPR, </w:t>
      </w:r>
      <w:r w:rsidRPr="00C5466C">
        <w:rPr>
          <w:i/>
          <w:iCs/>
        </w:rPr>
        <w:t>Konstantin Zhukovsky v. Belarus</w:t>
      </w:r>
      <w:r w:rsidRPr="00C5466C">
        <w:t xml:space="preserve">, </w:t>
      </w:r>
      <w:r w:rsidRPr="00C5466C">
        <w:rPr>
          <w:i/>
          <w:iCs/>
        </w:rPr>
        <w:t>op. cit.</w:t>
      </w:r>
      <w:r w:rsidRPr="00C5466C">
        <w:t xml:space="preserve">, para. </w:t>
      </w:r>
      <w:r w:rsidRPr="00D4388C">
        <w:t xml:space="preserve">8. </w:t>
      </w:r>
      <w:r>
        <w:t xml:space="preserve">See similar recommendation in repetitive cases dealing with freedom of expression and association in Belarus. </w:t>
      </w:r>
      <w:r w:rsidRPr="00DD3B37">
        <w:t xml:space="preserve">CCPR, </w:t>
      </w:r>
      <w:r w:rsidRPr="00DD3B37">
        <w:rPr>
          <w:i/>
          <w:iCs/>
        </w:rPr>
        <w:t>Pavel Levinov v. Belarus</w:t>
      </w:r>
      <w:r w:rsidRPr="00DD3B37">
        <w:t xml:space="preserve">, </w:t>
      </w:r>
      <w:r w:rsidRPr="00DD3B37">
        <w:rPr>
          <w:i/>
          <w:iCs/>
        </w:rPr>
        <w:t xml:space="preserve">op. cit., </w:t>
      </w:r>
      <w:r w:rsidRPr="00DD3B37">
        <w:t xml:space="preserve">para. 8(b); </w:t>
      </w:r>
      <w:r w:rsidRPr="00DD3B37">
        <w:rPr>
          <w:i/>
          <w:iCs/>
        </w:rPr>
        <w:t>Andrei Strizhak v. Belarus</w:t>
      </w:r>
      <w:r>
        <w:t xml:space="preserve">, </w:t>
      </w:r>
      <w:r w:rsidRPr="00DD3B37">
        <w:rPr>
          <w:i/>
          <w:iCs/>
        </w:rPr>
        <w:t xml:space="preserve">op. cit., </w:t>
      </w:r>
      <w:r w:rsidRPr="00DD3B37">
        <w:t>para. 8(b)</w:t>
      </w:r>
      <w:r>
        <w:t xml:space="preserve">; </w:t>
      </w:r>
      <w:r w:rsidRPr="00C437FF">
        <w:rPr>
          <w:i/>
          <w:iCs/>
        </w:rPr>
        <w:t>Vitaly Lopasov v. Belarus</w:t>
      </w:r>
      <w:r>
        <w:t xml:space="preserve">, </w:t>
      </w:r>
      <w:r w:rsidRPr="00DD3B37">
        <w:rPr>
          <w:i/>
          <w:iCs/>
        </w:rPr>
        <w:t xml:space="preserve">op. cit., </w:t>
      </w:r>
      <w:r w:rsidRPr="00DD3B37">
        <w:t xml:space="preserve">para. </w:t>
      </w:r>
      <w:r>
        <w:t>10</w:t>
      </w:r>
      <w:r w:rsidRPr="00DD3B37">
        <w:t>(b)</w:t>
      </w:r>
      <w:r>
        <w:t>.</w:t>
      </w:r>
      <w:r w:rsidRPr="00DD3B37">
        <w:t> </w:t>
      </w:r>
      <w:r>
        <w:t xml:space="preserve">See also </w:t>
      </w:r>
      <w:r w:rsidRPr="001D02A3">
        <w:rPr>
          <w:i/>
          <w:iCs/>
        </w:rPr>
        <w:t>Rebeca Elvira Delgado Burgoa v. Bolivia</w:t>
      </w:r>
      <w:r>
        <w:t xml:space="preserve">, views adopted on 28 March 2018, </w:t>
      </w:r>
      <w:r w:rsidRPr="001D02A3">
        <w:t>CCPR/C/122/D/2628/2015</w:t>
      </w:r>
      <w:r>
        <w:t xml:space="preserve">, para. 13 and </w:t>
      </w:r>
      <w:r w:rsidRPr="00917C17">
        <w:rPr>
          <w:i/>
          <w:iCs/>
        </w:rPr>
        <w:t>Eduardo Humberto Maldonado Iporre v. Bolivia</w:t>
      </w:r>
      <w:r>
        <w:t xml:space="preserve">, views adopted the same day, </w:t>
      </w:r>
      <w:r w:rsidRPr="00917C17">
        <w:t>CCPR/C/122/D/2629/2015</w:t>
      </w:r>
      <w:r>
        <w:t xml:space="preserve">, para. </w:t>
      </w:r>
      <w:r w:rsidRPr="00C5466C">
        <w:rPr>
          <w:lang w:val="es-ES"/>
        </w:rPr>
        <w:t>13.</w:t>
      </w:r>
    </w:p>
  </w:footnote>
  <w:footnote w:id="70">
    <w:p w14:paraId="2EA9FDE9" w14:textId="77777777" w:rsidR="00BE6A58" w:rsidRPr="00C5466C" w:rsidRDefault="00BE6A58" w:rsidP="00E51EEA">
      <w:pPr>
        <w:pStyle w:val="FootnoteText"/>
        <w:rPr>
          <w:lang w:val="es-ES"/>
        </w:rPr>
      </w:pPr>
      <w:r>
        <w:rPr>
          <w:lang w:val="es-ES"/>
        </w:rPr>
        <w:tab/>
      </w:r>
      <w:r w:rsidRPr="00000873">
        <w:rPr>
          <w:rStyle w:val="FootnoteReference"/>
        </w:rPr>
        <w:footnoteRef/>
      </w:r>
      <w:r w:rsidRPr="00C5466C">
        <w:rPr>
          <w:lang w:val="es-ES"/>
        </w:rPr>
        <w:t xml:space="preserve"> </w:t>
      </w:r>
      <w:r>
        <w:rPr>
          <w:lang w:val="es-ES"/>
        </w:rPr>
        <w:tab/>
      </w:r>
      <w:r w:rsidRPr="00C5466C">
        <w:rPr>
          <w:lang w:val="es-ES"/>
        </w:rPr>
        <w:t xml:space="preserve">CRPD, </w:t>
      </w:r>
      <w:r w:rsidRPr="00C5466C">
        <w:rPr>
          <w:i/>
          <w:iCs/>
          <w:lang w:val="es-ES"/>
        </w:rPr>
        <w:t>J.H. v. Australia</w:t>
      </w:r>
      <w:r w:rsidRPr="00C5466C">
        <w:rPr>
          <w:lang w:val="es-ES"/>
        </w:rPr>
        <w:t xml:space="preserve">, </w:t>
      </w:r>
      <w:r w:rsidRPr="00C5466C">
        <w:rPr>
          <w:i/>
          <w:iCs/>
          <w:lang w:val="es-ES"/>
        </w:rPr>
        <w:t>op. cit.</w:t>
      </w:r>
      <w:r w:rsidRPr="00C5466C">
        <w:rPr>
          <w:lang w:val="es-ES"/>
        </w:rPr>
        <w:t>, para. 8(b)(ii).</w:t>
      </w:r>
    </w:p>
  </w:footnote>
  <w:footnote w:id="71">
    <w:p w14:paraId="4A7E93A2" w14:textId="77777777" w:rsidR="00BE6A58" w:rsidRPr="00D4388C" w:rsidRDefault="00BE6A58" w:rsidP="00E51EEA">
      <w:pPr>
        <w:pStyle w:val="FootnoteText"/>
      </w:pPr>
      <w:r>
        <w:rPr>
          <w:lang w:val="es-ES"/>
        </w:rPr>
        <w:tab/>
      </w:r>
      <w:r w:rsidRPr="00000873">
        <w:rPr>
          <w:rStyle w:val="FootnoteReference"/>
        </w:rPr>
        <w:footnoteRef/>
      </w:r>
      <w:r w:rsidRPr="00C5466C">
        <w:rPr>
          <w:lang w:val="es-ES"/>
        </w:rPr>
        <w:t xml:space="preserve"> </w:t>
      </w:r>
      <w:r>
        <w:rPr>
          <w:lang w:val="es-ES"/>
        </w:rPr>
        <w:tab/>
      </w:r>
      <w:r w:rsidRPr="00C5466C">
        <w:rPr>
          <w:lang w:val="es-ES"/>
        </w:rPr>
        <w:t xml:space="preserve">CRPD, </w:t>
      </w:r>
      <w:r w:rsidRPr="00C5466C">
        <w:rPr>
          <w:i/>
          <w:iCs/>
          <w:lang w:val="es-ES"/>
        </w:rPr>
        <w:t>J.H. v. Australia</w:t>
      </w:r>
      <w:r w:rsidRPr="00C5466C">
        <w:rPr>
          <w:lang w:val="es-ES"/>
        </w:rPr>
        <w:t xml:space="preserve">, </w:t>
      </w:r>
      <w:r w:rsidRPr="00C5466C">
        <w:rPr>
          <w:i/>
          <w:iCs/>
          <w:lang w:val="es-ES"/>
        </w:rPr>
        <w:t>op. cit.</w:t>
      </w:r>
      <w:r w:rsidRPr="00C5466C">
        <w:rPr>
          <w:lang w:val="es-ES"/>
        </w:rPr>
        <w:t xml:space="preserve">, para. </w:t>
      </w:r>
      <w:r>
        <w:t>8(b)(ii).</w:t>
      </w:r>
    </w:p>
  </w:footnote>
  <w:footnote w:id="72">
    <w:p w14:paraId="74F28C55"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C65259">
        <w:rPr>
          <w:rFonts w:asciiTheme="minorHAnsi" w:hAnsiTheme="minorHAnsi"/>
        </w:rPr>
        <w:t xml:space="preserve"> </w:t>
      </w:r>
      <w:r>
        <w:rPr>
          <w:rFonts w:asciiTheme="minorHAnsi" w:hAnsiTheme="minorHAnsi"/>
        </w:rPr>
        <w:tab/>
      </w:r>
      <w:r w:rsidRPr="00F82758">
        <w:t>CAT and CERD request this information within 90 days of the notification of the views; all other committees within 180 days. As part of the elements that have already been put forward for discussion and possible endorsement by the Chairs in 2018, it was proposed that the “time frame for the State party to provide information on measures taken to comply with or follow up on the Views should be six months, starting from the date of transmittal of the Views to the State party”.  See HRI/MC/2018/4, Procedures of the human rights treaty bodies for following up on concluding observations, decisions and Views, 19 March 2018, para. 12(b).</w:t>
      </w:r>
    </w:p>
  </w:footnote>
  <w:footnote w:id="73">
    <w:p w14:paraId="17FE9AF5"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1E2FFC">
        <w:rPr>
          <w:rFonts w:asciiTheme="minorHAnsi" w:hAnsiTheme="minorHAnsi"/>
        </w:rPr>
        <w:t xml:space="preserve"> </w:t>
      </w:r>
      <w:r>
        <w:rPr>
          <w:rFonts w:asciiTheme="minorHAnsi" w:hAnsiTheme="minorHAnsi"/>
        </w:rPr>
        <w:tab/>
      </w:r>
      <w:r w:rsidRPr="00F82758">
        <w:t>In 2018, it was recommended for possible endorsement by the Chairs that States parties “should systematically be requested to provide updates on implementation during the dialogue (reporting), as is currently the practice”. See HRI/MC/2018/4, op. cit., para. 12(f).</w:t>
      </w:r>
    </w:p>
  </w:footnote>
  <w:footnote w:id="74">
    <w:p w14:paraId="1D8B6912" w14:textId="77777777" w:rsidR="00BE6A58" w:rsidRPr="00FE7175" w:rsidRDefault="00BE6A58" w:rsidP="00E51EEA">
      <w:pPr>
        <w:pStyle w:val="FootnoteText"/>
      </w:pPr>
      <w:r>
        <w:tab/>
      </w:r>
      <w:r w:rsidRPr="00000873">
        <w:rPr>
          <w:rStyle w:val="FootnoteReference"/>
        </w:rPr>
        <w:footnoteRef/>
      </w:r>
      <w:r>
        <w:t xml:space="preserve"> </w:t>
      </w:r>
      <w:r>
        <w:tab/>
      </w:r>
      <w:r w:rsidRPr="00FE7175">
        <w:t>Meet</w:t>
      </w:r>
      <w:r>
        <w:t>ing with PUAS.</w:t>
      </w:r>
    </w:p>
  </w:footnote>
  <w:footnote w:id="75">
    <w:p w14:paraId="084A96A2" w14:textId="77777777" w:rsidR="00BE6A58" w:rsidRPr="005C534B" w:rsidRDefault="00BE6A58" w:rsidP="00E51EEA">
      <w:pPr>
        <w:pStyle w:val="FootnoteText"/>
        <w:rPr>
          <w:lang w:val="es-ES"/>
        </w:rPr>
      </w:pPr>
      <w:r>
        <w:rPr>
          <w:lang w:val="es-ES"/>
        </w:rPr>
        <w:tab/>
      </w:r>
      <w:r w:rsidRPr="00000873">
        <w:rPr>
          <w:rStyle w:val="FootnoteReference"/>
        </w:rPr>
        <w:footnoteRef/>
      </w:r>
      <w:r w:rsidRPr="00C55ABE">
        <w:rPr>
          <w:lang w:val="es-ES"/>
        </w:rPr>
        <w:t xml:space="preserve"> </w:t>
      </w:r>
      <w:r>
        <w:rPr>
          <w:lang w:val="es-ES"/>
        </w:rPr>
        <w:tab/>
      </w:r>
      <w:r w:rsidRPr="00C55ABE">
        <w:rPr>
          <w:lang w:val="es-ES"/>
        </w:rPr>
        <w:t xml:space="preserve">CCPR, </w:t>
      </w:r>
      <w:r w:rsidRPr="00C55ABE">
        <w:rPr>
          <w:i/>
          <w:iCs/>
          <w:lang w:val="es-ES"/>
        </w:rPr>
        <w:t>Bholi Pharaka v. Nepal</w:t>
      </w:r>
      <w:r w:rsidRPr="00C55ABE">
        <w:rPr>
          <w:lang w:val="es-ES"/>
        </w:rPr>
        <w:t xml:space="preserve">, </w:t>
      </w:r>
      <w:r w:rsidRPr="00C55ABE">
        <w:rPr>
          <w:i/>
          <w:iCs/>
          <w:lang w:val="es-ES"/>
        </w:rPr>
        <w:t>op. cit.</w:t>
      </w:r>
      <w:r w:rsidRPr="00C55ABE">
        <w:rPr>
          <w:lang w:val="es-ES"/>
        </w:rPr>
        <w:t xml:space="preserve">, para. </w:t>
      </w:r>
      <w:r w:rsidRPr="005C534B">
        <w:rPr>
          <w:lang w:val="es-ES"/>
        </w:rPr>
        <w:t>9(e).</w:t>
      </w:r>
    </w:p>
  </w:footnote>
  <w:footnote w:id="76">
    <w:p w14:paraId="30817615"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C55ABE">
        <w:rPr>
          <w:rFonts w:asciiTheme="minorHAnsi" w:hAnsiTheme="minorHAnsi"/>
        </w:rPr>
        <w:t xml:space="preserve"> </w:t>
      </w:r>
      <w:r>
        <w:rPr>
          <w:rFonts w:asciiTheme="minorHAnsi" w:hAnsiTheme="minorHAnsi"/>
        </w:rPr>
        <w:tab/>
      </w:r>
      <w:r w:rsidRPr="00F82758">
        <w:t>See HRI/MC/2018/4, op. cit., para. 12(a)(ii): “requests which authority is competent, in particular with respect to the remedy sought from the committee”.</w:t>
      </w:r>
    </w:p>
  </w:footnote>
  <w:footnote w:id="77">
    <w:p w14:paraId="719BC411" w14:textId="77777777" w:rsidR="00BE6A58" w:rsidRPr="00703B38" w:rsidRDefault="00BE6A58" w:rsidP="00E51EEA">
      <w:pPr>
        <w:pStyle w:val="FootnoteText"/>
      </w:pPr>
      <w:r>
        <w:tab/>
      </w:r>
      <w:r w:rsidRPr="00000873">
        <w:rPr>
          <w:rStyle w:val="FootnoteReference"/>
        </w:rPr>
        <w:footnoteRef/>
      </w:r>
      <w:r>
        <w:t xml:space="preserve"> </w:t>
      </w:r>
      <w:r>
        <w:tab/>
      </w:r>
      <w:r w:rsidRPr="00703B38">
        <w:t>The compl</w:t>
      </w:r>
      <w:r>
        <w:t>ainant also submits information, but in response to the State’s submission(s).</w:t>
      </w:r>
    </w:p>
  </w:footnote>
  <w:footnote w:id="78">
    <w:p w14:paraId="7FBDA21A" w14:textId="77777777" w:rsidR="00BE6A58" w:rsidRPr="004F3D05" w:rsidRDefault="00BE6A58" w:rsidP="00E51EEA">
      <w:pPr>
        <w:pStyle w:val="FootnoteText"/>
      </w:pPr>
      <w:r>
        <w:tab/>
      </w:r>
      <w:r w:rsidRPr="00000873">
        <w:rPr>
          <w:rStyle w:val="FootnoteReference"/>
        </w:rPr>
        <w:footnoteRef/>
      </w:r>
      <w:r>
        <w:tab/>
      </w:r>
      <w:r w:rsidRPr="00BB3138">
        <w:t>See CAT/C/68/3</w:t>
      </w:r>
      <w:r>
        <w:t xml:space="preserve">, para. 44, relating to </w:t>
      </w:r>
      <w:r w:rsidRPr="00BB3138">
        <w:rPr>
          <w:i/>
          <w:iCs/>
        </w:rPr>
        <w:t>A. v. Bosnia and Herzegovina</w:t>
      </w:r>
      <w:r>
        <w:t xml:space="preserve">, </w:t>
      </w:r>
      <w:r>
        <w:rPr>
          <w:i/>
          <w:iCs/>
        </w:rPr>
        <w:t>op. cit.</w:t>
      </w:r>
      <w:r>
        <w:t xml:space="preserve">, in which the committee has recommended specific measures of compensation, rehabilitation </w:t>
      </w:r>
      <w:r w:rsidRPr="004F3D05">
        <w:t>(medical and psychological care)</w:t>
      </w:r>
      <w:r>
        <w:t xml:space="preserve"> and</w:t>
      </w:r>
      <w:r w:rsidRPr="004F3D05">
        <w:t xml:space="preserve"> satisfaction (public apology)</w:t>
      </w:r>
      <w:r>
        <w:t>.</w:t>
      </w:r>
    </w:p>
  </w:footnote>
  <w:footnote w:id="79">
    <w:p w14:paraId="2900CF3C"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6E70CD">
        <w:rPr>
          <w:rFonts w:asciiTheme="minorHAnsi" w:hAnsiTheme="minorHAnsi"/>
        </w:rPr>
        <w:t xml:space="preserve"> </w:t>
      </w:r>
      <w:r>
        <w:rPr>
          <w:rFonts w:asciiTheme="minorHAnsi" w:hAnsiTheme="minorHAnsi"/>
        </w:rPr>
        <w:tab/>
      </w:r>
      <w:r w:rsidRPr="00F82758">
        <w:t>See HRI/MC/2018/4, op. cit., para. 3: “the resource constraints of OHCHR to attend to the additional workload generated by the follow-up procedures were highlighted considering the current workload of reviewing the reports of States parties and individual communications. In particular, it was pointed out that follow-up procedures were not included in the calculation of the human resources provided by the General Assembly to OHCHR for supporting the human rights treaty bodies”.</w:t>
      </w:r>
    </w:p>
  </w:footnote>
  <w:footnote w:id="80">
    <w:p w14:paraId="1F1AFA27" w14:textId="77777777" w:rsidR="00BE6A58" w:rsidRPr="002C0B5B" w:rsidRDefault="00BE6A58" w:rsidP="00E51EEA">
      <w:pPr>
        <w:pStyle w:val="FootnoteText"/>
      </w:pPr>
      <w:r>
        <w:tab/>
      </w:r>
      <w:r w:rsidRPr="00000873">
        <w:rPr>
          <w:rStyle w:val="FootnoteReference"/>
        </w:rPr>
        <w:footnoteRef/>
      </w:r>
      <w:r>
        <w:t xml:space="preserve"> </w:t>
      </w:r>
      <w:r>
        <w:tab/>
        <w:t>See next paragraph.</w:t>
      </w:r>
    </w:p>
  </w:footnote>
  <w:footnote w:id="81">
    <w:p w14:paraId="68FB7D56" w14:textId="77777777" w:rsidR="00BE6A58" w:rsidRPr="00137D23" w:rsidRDefault="00BE6A58" w:rsidP="00E51EEA">
      <w:pPr>
        <w:pStyle w:val="FootnoteText"/>
      </w:pPr>
      <w:r>
        <w:tab/>
      </w:r>
      <w:r w:rsidRPr="00000873">
        <w:rPr>
          <w:rStyle w:val="FootnoteReference"/>
        </w:rPr>
        <w:footnoteRef/>
      </w:r>
      <w:r>
        <w:t xml:space="preserve"> </w:t>
      </w:r>
      <w:r>
        <w:tab/>
        <w:t xml:space="preserve">Some grading systems used to be more complex, with sub-grades such as B1, B2 etc. </w:t>
      </w:r>
    </w:p>
  </w:footnote>
  <w:footnote w:id="82">
    <w:p w14:paraId="13043DE9" w14:textId="77777777" w:rsidR="00BE6A58" w:rsidRPr="00CC2D5F" w:rsidRDefault="00BE6A58" w:rsidP="00E51EEA">
      <w:pPr>
        <w:pStyle w:val="FootnoteText"/>
      </w:pPr>
      <w:r>
        <w:tab/>
      </w:r>
      <w:r w:rsidRPr="00000873">
        <w:rPr>
          <w:rStyle w:val="FootnoteReference"/>
        </w:rPr>
        <w:footnoteRef/>
      </w:r>
      <w:r>
        <w:t xml:space="preserve"> </w:t>
      </w:r>
      <w:r>
        <w:tab/>
        <w:t>See HRI/MC/2018/CRP.2, Expert meeting on follow-up to treaty body recommendations (held in 2017), 21 March 2018, para. 6.</w:t>
      </w:r>
    </w:p>
  </w:footnote>
  <w:footnote w:id="83">
    <w:p w14:paraId="24C7DC2D" w14:textId="77777777" w:rsidR="00BE6A58" w:rsidRPr="00DC1C14" w:rsidRDefault="00BE6A58" w:rsidP="00E51EEA">
      <w:pPr>
        <w:pStyle w:val="FootnoteText"/>
      </w:pPr>
      <w:r>
        <w:tab/>
      </w:r>
      <w:r w:rsidRPr="00000873">
        <w:rPr>
          <w:rStyle w:val="FootnoteReference"/>
        </w:rPr>
        <w:footnoteRef/>
      </w:r>
      <w:r w:rsidRPr="00DC1C14">
        <w:t xml:space="preserve"> </w:t>
      </w:r>
      <w:r>
        <w:tab/>
      </w:r>
      <w:r w:rsidRPr="00DC1C14">
        <w:t xml:space="preserve">As revised by CCPR at its </w:t>
      </w:r>
      <w:r w:rsidRPr="00393CEE">
        <w:t>118th session (17 October–4 November 2016)</w:t>
      </w:r>
      <w:r>
        <w:t>. See also CEDAW “General information on follow-up to views”, available on CEDAW main webpage under “Follow-up to views”. CCPR, a</w:t>
      </w:r>
      <w:r w:rsidRPr="00393CEE">
        <w:t xml:space="preserve">t its 121st session, decided to revise its methodology and procedure for monitoring follow-up on its Views. </w:t>
      </w:r>
      <w:r>
        <w:t xml:space="preserve">It decided, </w:t>
      </w:r>
      <w:r w:rsidRPr="003A4765">
        <w:rPr>
          <w:i/>
          <w:iCs/>
        </w:rPr>
        <w:t>inter alia</w:t>
      </w:r>
      <w:r>
        <w:t xml:space="preserve">, </w:t>
      </w:r>
      <w:r w:rsidRPr="00BF287F">
        <w:rPr>
          <w:rFonts w:eastAsia="SimSun"/>
          <w:lang w:eastAsia="zh-CN"/>
        </w:rPr>
        <w:t>that</w:t>
      </w:r>
      <w:r>
        <w:rPr>
          <w:rFonts w:eastAsia="SimSun"/>
          <w:b/>
          <w:lang w:eastAsia="zh-CN"/>
        </w:rPr>
        <w:t xml:space="preserve"> </w:t>
      </w:r>
      <w:r w:rsidRPr="00E86F21">
        <w:rPr>
          <w:rFonts w:eastAsia="SimSun"/>
          <w:lang w:eastAsia="zh-CN"/>
        </w:rPr>
        <w:t>g</w:t>
      </w:r>
      <w:r w:rsidRPr="00393CEE">
        <w:t xml:space="preserve">rading </w:t>
      </w:r>
      <w:r>
        <w:t xml:space="preserve">would </w:t>
      </w:r>
      <w:r w:rsidRPr="00393CEE">
        <w:t xml:space="preserve">no longer be applied in cases where the </w:t>
      </w:r>
      <w:r>
        <w:t>v</w:t>
      </w:r>
      <w:r w:rsidRPr="00393CEE">
        <w:t>iews have been merely published and/or circulated</w:t>
      </w:r>
      <w:r>
        <w:t xml:space="preserve"> and </w:t>
      </w:r>
      <w:r w:rsidRPr="00BF287F">
        <w:rPr>
          <w:rFonts w:eastAsia="SimSun"/>
          <w:lang w:eastAsia="zh-CN"/>
        </w:rPr>
        <w:t>that</w:t>
      </w:r>
      <w:r>
        <w:rPr>
          <w:rFonts w:eastAsia="SimSun"/>
          <w:b/>
          <w:lang w:eastAsia="zh-CN"/>
        </w:rPr>
        <w:t xml:space="preserve"> </w:t>
      </w:r>
      <w:r w:rsidRPr="00E86F21">
        <w:rPr>
          <w:rFonts w:eastAsia="SimSun"/>
          <w:lang w:eastAsia="zh-CN"/>
        </w:rPr>
        <w:t>g</w:t>
      </w:r>
      <w:r w:rsidRPr="00E86F21">
        <w:t>ra</w:t>
      </w:r>
      <w:r>
        <w:t>ding would</w:t>
      </w:r>
      <w:r w:rsidRPr="00393CEE">
        <w:t xml:space="preserve"> be applied for the State party’s response on measures of non-repetition </w:t>
      </w:r>
      <w:r w:rsidRPr="00E82F55">
        <w:t>only</w:t>
      </w:r>
      <w:r w:rsidRPr="00393CEE">
        <w:t xml:space="preserve"> if such measures </w:t>
      </w:r>
      <w:r>
        <w:t xml:space="preserve">were </w:t>
      </w:r>
      <w:r w:rsidRPr="00393CEE">
        <w:t xml:space="preserve">specifically included in the </w:t>
      </w:r>
      <w:r>
        <w:t>views.</w:t>
      </w:r>
    </w:p>
  </w:footnote>
  <w:footnote w:id="84">
    <w:p w14:paraId="22567D98" w14:textId="77777777" w:rsidR="00BE6A58" w:rsidRPr="00017DDD" w:rsidRDefault="00BE6A58" w:rsidP="00E51EEA">
      <w:pPr>
        <w:pStyle w:val="FootnoteText"/>
      </w:pPr>
      <w:r>
        <w:tab/>
      </w:r>
      <w:r w:rsidRPr="00000873">
        <w:rPr>
          <w:rStyle w:val="FootnoteReference"/>
        </w:rPr>
        <w:footnoteRef/>
      </w:r>
      <w:r>
        <w:t xml:space="preserve"> </w:t>
      </w:r>
      <w:r>
        <w:tab/>
        <w:t>As recalled in</w:t>
      </w:r>
      <w:r w:rsidRPr="00017DDD">
        <w:t xml:space="preserve"> CRC</w:t>
      </w:r>
      <w:r>
        <w:t>, CRPD and</w:t>
      </w:r>
      <w:r w:rsidRPr="00017DDD">
        <w:t xml:space="preserve"> CED </w:t>
      </w:r>
      <w:r>
        <w:t>follow-up progress reports on individual communications (for example, CRC/C/82/2; CRPD/C/22/4; CED/C/19/3).</w:t>
      </w:r>
    </w:p>
  </w:footnote>
  <w:footnote w:id="85">
    <w:p w14:paraId="6B1D027D" w14:textId="77777777" w:rsidR="00BE6A58" w:rsidRPr="00B77381" w:rsidRDefault="00BE6A58" w:rsidP="00E51EEA">
      <w:pPr>
        <w:pStyle w:val="FootnoteText"/>
      </w:pPr>
      <w:r>
        <w:tab/>
      </w:r>
      <w:r w:rsidRPr="00000873">
        <w:rPr>
          <w:rStyle w:val="FootnoteReference"/>
        </w:rPr>
        <w:footnoteRef/>
      </w:r>
      <w:r w:rsidRPr="00B77381">
        <w:t xml:space="preserve"> </w:t>
      </w:r>
      <w:r>
        <w:tab/>
      </w:r>
      <w:r w:rsidRPr="00B77381">
        <w:t>Meeting with PUAS.</w:t>
      </w:r>
    </w:p>
  </w:footnote>
  <w:footnote w:id="86">
    <w:p w14:paraId="52F5602F" w14:textId="77777777" w:rsidR="00BE6A58" w:rsidRPr="00B77381" w:rsidRDefault="00BE6A58" w:rsidP="00E51EEA">
      <w:pPr>
        <w:pStyle w:val="FootnoteText"/>
      </w:pPr>
      <w:r>
        <w:tab/>
      </w:r>
      <w:r w:rsidRPr="00000873">
        <w:rPr>
          <w:rStyle w:val="FootnoteReference"/>
        </w:rPr>
        <w:footnoteRef/>
      </w:r>
      <w:r w:rsidRPr="00B77381">
        <w:t xml:space="preserve"> </w:t>
      </w:r>
      <w:r>
        <w:tab/>
      </w:r>
      <w:r w:rsidRPr="00B77381">
        <w:t xml:space="preserve">HRI/MC/2018/CRP.2, </w:t>
      </w:r>
      <w:r w:rsidRPr="00B77381">
        <w:rPr>
          <w:i/>
          <w:iCs/>
        </w:rPr>
        <w:t>op. cit.</w:t>
      </w:r>
      <w:r w:rsidRPr="00B77381">
        <w:t>, paras 11-22.</w:t>
      </w:r>
    </w:p>
  </w:footnote>
  <w:footnote w:id="87">
    <w:p w14:paraId="2A77BEC5"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752C5A">
        <w:rPr>
          <w:rFonts w:asciiTheme="minorHAnsi" w:hAnsiTheme="minorHAnsi"/>
        </w:rPr>
        <w:t xml:space="preserve"> </w:t>
      </w:r>
      <w:r>
        <w:rPr>
          <w:rFonts w:asciiTheme="minorHAnsi" w:hAnsiTheme="minorHAnsi"/>
        </w:rPr>
        <w:tab/>
      </w:r>
      <w:r w:rsidRPr="00F82758">
        <w:t xml:space="preserve">CCPR: follow-up reports available in relation to 10/95 cases on the OHCHR website; CAT: reports available in relation to 11/19 cases; CRC: reports available in relation to 8/8 cases; CESCR reports available regarding 3/3 cases; CRPD reports available in relation to 2/6 cases; CERD: follow-up information (not a report per se but a table in the annual report) available regarding the only case reviewed in 2019. CEDAW’s most recent report available is dated 7 October 2019 regarding views adopted in 2015-2017. Following the meeting with PUAS, the follow-up reports in relation to 2/6 cases were shared although the document is not publicly available yet. </w:t>
      </w:r>
    </w:p>
  </w:footnote>
  <w:footnote w:id="88">
    <w:p w14:paraId="4EDE6149" w14:textId="77777777" w:rsidR="00BE6A58" w:rsidRPr="002D4677" w:rsidRDefault="00BE6A58" w:rsidP="00E51EEA">
      <w:pPr>
        <w:pStyle w:val="FootnoteText"/>
      </w:pPr>
      <w:r>
        <w:tab/>
      </w:r>
      <w:r w:rsidRPr="00000873">
        <w:rPr>
          <w:rStyle w:val="FootnoteReference"/>
        </w:rPr>
        <w:footnoteRef/>
      </w:r>
      <w:r>
        <w:t xml:space="preserve"> </w:t>
      </w:r>
      <w:r>
        <w:tab/>
        <w:t xml:space="preserve">See </w:t>
      </w:r>
      <w:r w:rsidRPr="00B24351">
        <w:t>CCPR/C/127/3, para. 7</w:t>
      </w:r>
      <w:r>
        <w:t xml:space="preserve"> relating to </w:t>
      </w:r>
      <w:r w:rsidRPr="0015389C">
        <w:rPr>
          <w:i/>
          <w:iCs/>
        </w:rPr>
        <w:t>Khairullo Saidov v. Tajikistan</w:t>
      </w:r>
      <w:r>
        <w:rPr>
          <w:i/>
          <w:iCs/>
        </w:rPr>
        <w:t>, op</w:t>
      </w:r>
      <w:r w:rsidRPr="004E093C">
        <w:rPr>
          <w:i/>
          <w:iCs/>
        </w:rPr>
        <w:t>.</w:t>
      </w:r>
      <w:r>
        <w:rPr>
          <w:i/>
          <w:iCs/>
        </w:rPr>
        <w:t xml:space="preserve"> </w:t>
      </w:r>
      <w:r w:rsidRPr="004E093C">
        <w:rPr>
          <w:i/>
          <w:iCs/>
        </w:rPr>
        <w:t>cit</w:t>
      </w:r>
      <w:r>
        <w:t xml:space="preserve">.; </w:t>
      </w:r>
      <w:r w:rsidRPr="004E093C">
        <w:t>CCPR/C/127/3, para. 3</w:t>
      </w:r>
      <w:r>
        <w:t xml:space="preserve"> relating to </w:t>
      </w:r>
      <w:r w:rsidRPr="004E093C">
        <w:rPr>
          <w:i/>
          <w:iCs/>
        </w:rPr>
        <w:t>C.L. and Z.L. v. Denmark</w:t>
      </w:r>
      <w:r>
        <w:t xml:space="preserve">, </w:t>
      </w:r>
      <w:r w:rsidRPr="004E093C">
        <w:rPr>
          <w:i/>
          <w:iCs/>
        </w:rPr>
        <w:t>op.</w:t>
      </w:r>
      <w:r>
        <w:rPr>
          <w:i/>
          <w:iCs/>
        </w:rPr>
        <w:t xml:space="preserve"> </w:t>
      </w:r>
      <w:r w:rsidRPr="004E093C">
        <w:rPr>
          <w:i/>
          <w:iCs/>
        </w:rPr>
        <w:t>cit</w:t>
      </w:r>
      <w:r>
        <w:t xml:space="preserve">.; </w:t>
      </w:r>
      <w:r w:rsidRPr="00631509">
        <w:t>CAT/C/68/3</w:t>
      </w:r>
      <w:r>
        <w:t>,</w:t>
      </w:r>
      <w:r w:rsidRPr="00631509">
        <w:t xml:space="preserve"> para. 32</w:t>
      </w:r>
      <w:r>
        <w:t xml:space="preserve"> regarding </w:t>
      </w:r>
      <w:r w:rsidRPr="00631509">
        <w:rPr>
          <w:i/>
          <w:iCs/>
        </w:rPr>
        <w:t>A.N. v. Switzerland</w:t>
      </w:r>
      <w:r>
        <w:t xml:space="preserve">, </w:t>
      </w:r>
      <w:r w:rsidRPr="00631509">
        <w:rPr>
          <w:i/>
          <w:iCs/>
        </w:rPr>
        <w:t>op. cit</w:t>
      </w:r>
      <w:r>
        <w:t xml:space="preserve">.; </w:t>
      </w:r>
      <w:r w:rsidRPr="00631509">
        <w:t>CAT/C/68/3 para. 34</w:t>
      </w:r>
      <w:r>
        <w:t xml:space="preserve">, </w:t>
      </w:r>
      <w:r w:rsidRPr="00631509">
        <w:t>CAT/C/67/3, paras. 19-21</w:t>
      </w:r>
      <w:r>
        <w:t xml:space="preserve"> and </w:t>
      </w:r>
      <w:r w:rsidRPr="00631509">
        <w:t>CAT/C/66/3, paras 30-32</w:t>
      </w:r>
      <w:r>
        <w:t xml:space="preserve"> relating to </w:t>
      </w:r>
      <w:r w:rsidRPr="00631509">
        <w:rPr>
          <w:i/>
          <w:iCs/>
        </w:rPr>
        <w:t>Adam Harun v. Switzerland</w:t>
      </w:r>
      <w:r>
        <w:t xml:space="preserve">, </w:t>
      </w:r>
      <w:r w:rsidRPr="00631509">
        <w:rPr>
          <w:i/>
          <w:iCs/>
        </w:rPr>
        <w:t>op. cit</w:t>
      </w:r>
      <w:r>
        <w:t xml:space="preserve">.; </w:t>
      </w:r>
      <w:r w:rsidRPr="007500B3">
        <w:t>CAT/C/68/3 para. 39</w:t>
      </w:r>
      <w:r>
        <w:t xml:space="preserve">, </w:t>
      </w:r>
      <w:r w:rsidRPr="007500B3">
        <w:t>CAT/C/67/3, paras 25-27</w:t>
      </w:r>
      <w:r>
        <w:t xml:space="preserve"> and </w:t>
      </w:r>
      <w:r w:rsidRPr="007500B3">
        <w:t>CAT/C/66/3, paras 36-40</w:t>
      </w:r>
      <w:r>
        <w:t xml:space="preserve"> regarding </w:t>
      </w:r>
      <w:r w:rsidRPr="007500B3">
        <w:rPr>
          <w:i/>
          <w:iCs/>
        </w:rPr>
        <w:t xml:space="preserve">M.G. v. </w:t>
      </w:r>
      <w:r w:rsidRPr="007500B3">
        <w:t>Switzerland</w:t>
      </w:r>
      <w:r>
        <w:t xml:space="preserve">, </w:t>
      </w:r>
      <w:r w:rsidRPr="007500B3">
        <w:rPr>
          <w:i/>
          <w:iCs/>
        </w:rPr>
        <w:t>op</w:t>
      </w:r>
      <w:r w:rsidRPr="00631509">
        <w:rPr>
          <w:i/>
          <w:iCs/>
        </w:rPr>
        <w:t>. cit</w:t>
      </w:r>
      <w:r>
        <w:t>.</w:t>
      </w:r>
    </w:p>
  </w:footnote>
  <w:footnote w:id="89">
    <w:p w14:paraId="4446FF91" w14:textId="77777777" w:rsidR="00BE6A58" w:rsidRPr="00F2122B" w:rsidRDefault="00BE6A58" w:rsidP="00E51EEA">
      <w:pPr>
        <w:pStyle w:val="FootnoteText"/>
      </w:pPr>
      <w:r>
        <w:tab/>
      </w:r>
      <w:r w:rsidRPr="00000873">
        <w:rPr>
          <w:rStyle w:val="FootnoteReference"/>
        </w:rPr>
        <w:footnoteRef/>
      </w:r>
      <w:r w:rsidRPr="00961F61">
        <w:t xml:space="preserve"> </w:t>
      </w:r>
      <w:r>
        <w:tab/>
      </w:r>
      <w:r w:rsidRPr="00961F61">
        <w:t>See</w:t>
      </w:r>
      <w:r>
        <w:t xml:space="preserve">, </w:t>
      </w:r>
      <w:r>
        <w:rPr>
          <w:i/>
          <w:iCs/>
        </w:rPr>
        <w:t>inter alia</w:t>
      </w:r>
      <w:r>
        <w:t>,</w:t>
      </w:r>
      <w:r w:rsidRPr="00961F61">
        <w:t xml:space="preserve"> CAT/C/66/3, paras 33-35, CAT/C/67/3, paras 22-24 and CAT/C/68/3 para. 36 in relation to </w:t>
      </w:r>
      <w:r>
        <w:rPr>
          <w:i/>
          <w:iCs/>
        </w:rPr>
        <w:t>Yrusta v. Argentina</w:t>
      </w:r>
      <w:r>
        <w:t xml:space="preserve">, </w:t>
      </w:r>
      <w:r>
        <w:rPr>
          <w:i/>
          <w:iCs/>
        </w:rPr>
        <w:t>op. cit.</w:t>
      </w:r>
      <w:r>
        <w:t xml:space="preserve">; </w:t>
      </w:r>
      <w:r w:rsidRPr="00DA4B07">
        <w:t>CCPR/C/130/R.2</w:t>
      </w:r>
      <w:r>
        <w:t xml:space="preserve">, para. 4 in relation to </w:t>
      </w:r>
      <w:r w:rsidRPr="00DA4B07">
        <w:rPr>
          <w:i/>
          <w:iCs/>
        </w:rPr>
        <w:t>Cáceres et al. v. Paraguay</w:t>
      </w:r>
      <w:r>
        <w:t xml:space="preserve">, views adopted on 25 July 2019, </w:t>
      </w:r>
      <w:r w:rsidRPr="00D9081C">
        <w:t>CCPR/C/126/D/2751/2016</w:t>
      </w:r>
      <w:r>
        <w:t xml:space="preserve">; </w:t>
      </w:r>
      <w:r w:rsidRPr="00DA4B07">
        <w:t>CCPR/C/130/R.2</w:t>
      </w:r>
      <w:r>
        <w:t xml:space="preserve">, para. 3 relating to </w:t>
      </w:r>
      <w:r w:rsidRPr="00F2122B">
        <w:rPr>
          <w:i/>
          <w:iCs/>
        </w:rPr>
        <w:t>Padilla et al. v. Mexico</w:t>
      </w:r>
      <w:r>
        <w:t xml:space="preserve">, </w:t>
      </w:r>
      <w:r>
        <w:rPr>
          <w:i/>
          <w:iCs/>
        </w:rPr>
        <w:t>op. cit.</w:t>
      </w:r>
    </w:p>
  </w:footnote>
  <w:footnote w:id="90">
    <w:p w14:paraId="72C7338A" w14:textId="77777777" w:rsidR="00BE6A58" w:rsidRPr="00F82758" w:rsidRDefault="00BE6A58" w:rsidP="00E51EEA">
      <w:pPr>
        <w:pStyle w:val="FootnoteText"/>
      </w:pPr>
      <w:r>
        <w:rPr>
          <w:rFonts w:asciiTheme="minorHAnsi" w:hAnsiTheme="minorHAnsi"/>
          <w:sz w:val="20"/>
        </w:rPr>
        <w:tab/>
      </w:r>
      <w:r w:rsidRPr="00000873">
        <w:rPr>
          <w:rStyle w:val="FootnoteReference"/>
        </w:rPr>
        <w:footnoteRef/>
      </w:r>
      <w:r w:rsidRPr="00905870">
        <w:rPr>
          <w:rFonts w:asciiTheme="minorHAnsi" w:hAnsiTheme="minorHAnsi"/>
          <w:sz w:val="20"/>
        </w:rPr>
        <w:t xml:space="preserve"> </w:t>
      </w:r>
      <w:r>
        <w:rPr>
          <w:rFonts w:asciiTheme="minorHAnsi" w:hAnsiTheme="minorHAnsi"/>
          <w:sz w:val="20"/>
        </w:rPr>
        <w:tab/>
      </w:r>
      <w:r w:rsidRPr="00F82758">
        <w:t>See CAT/C/68/3, para. 44, relating to A. v. Bosnia and Herzegovina, op. cit. (legislation amendment process); CRC/C/82/R.1 in relation to N.B.F. v. Spain, op. cit. (age-determination procedure under review); CCPR/C/127/3, para. 6 relating to Andrea Vandom v. Republic of Korea, views adopted on 12 July 2018, CCPR/C/123/D/2273/2013 (review of the legislation providing for mandatory HIV and drug tests on the grounds of nationality and race); CCPR/C/127/3, para. 4 regarding Sonia Yaker v. France, views adopted on 17 July 2018, CCPR/C/123/D/2747/2016 (absence of legislation review); E/C.12/70/3, para. 2 regarding López Albán et al. v. Spain, views adopted on 11 October 2019 (implementation of legislation, review of the legal framework); E/C.12/68/3 regarding Trujillo Callero v. Ecuador, views adopted on 26 March 2018 (review of legal framework, new legislation adopted).</w:t>
      </w:r>
    </w:p>
  </w:footnote>
  <w:footnote w:id="91">
    <w:p w14:paraId="5F113B7A" w14:textId="77777777" w:rsidR="00BE6A58" w:rsidRPr="00D61F61" w:rsidRDefault="00BE6A58" w:rsidP="00E51EEA">
      <w:pPr>
        <w:pStyle w:val="FootnoteText"/>
      </w:pPr>
      <w:r>
        <w:tab/>
      </w:r>
      <w:r w:rsidRPr="00000873">
        <w:rPr>
          <w:rStyle w:val="FootnoteReference"/>
        </w:rPr>
        <w:footnoteRef/>
      </w:r>
      <w:r>
        <w:t xml:space="preserve"> </w:t>
      </w:r>
      <w:r>
        <w:tab/>
      </w:r>
      <w:r w:rsidRPr="00AB0A4E">
        <w:t>See CAT/C/68/3 para. 36</w:t>
      </w:r>
      <w:r>
        <w:t xml:space="preserve">, regarding Yrusta v. Argetina, op. cit.; </w:t>
      </w:r>
      <w:r w:rsidRPr="00EB45F7">
        <w:t>CCPR/C/128/4, para. 5,</w:t>
      </w:r>
      <w:r>
        <w:t xml:space="preserve"> in relation to </w:t>
      </w:r>
      <w:r w:rsidRPr="00EB45F7">
        <w:rPr>
          <w:i/>
          <w:iCs/>
        </w:rPr>
        <w:t>Oleksii Katashynskyi v. Ukraine</w:t>
      </w:r>
      <w:r>
        <w:t xml:space="preserve">, views adopted on 25 July 2018, </w:t>
      </w:r>
      <w:r w:rsidRPr="00636FF4">
        <w:t>CCPR/C/123/D/2250/2013</w:t>
      </w:r>
      <w:r>
        <w:t xml:space="preserve">; </w:t>
      </w:r>
      <w:r w:rsidRPr="00D61F61">
        <w:t>CCPR/C/127/3, para. 6</w:t>
      </w:r>
      <w:r>
        <w:t xml:space="preserve"> relating to </w:t>
      </w:r>
      <w:r w:rsidRPr="00A73CB8">
        <w:rPr>
          <w:i/>
          <w:iCs/>
        </w:rPr>
        <w:t xml:space="preserve">Andrea Vandom v. </w:t>
      </w:r>
      <w:r>
        <w:rPr>
          <w:i/>
          <w:iCs/>
        </w:rPr>
        <w:t>R</w:t>
      </w:r>
      <w:r w:rsidRPr="00A73CB8">
        <w:rPr>
          <w:i/>
          <w:iCs/>
        </w:rPr>
        <w:t>epublic of Korea</w:t>
      </w:r>
      <w:r>
        <w:rPr>
          <w:i/>
          <w:iCs/>
        </w:rPr>
        <w:t>, op. cit.</w:t>
      </w:r>
    </w:p>
  </w:footnote>
  <w:footnote w:id="92">
    <w:p w14:paraId="3323AB63" w14:textId="77777777" w:rsidR="00BE6A58" w:rsidRPr="003818CD" w:rsidRDefault="00BE6A58" w:rsidP="00E51EEA">
      <w:pPr>
        <w:pStyle w:val="FootnoteText"/>
      </w:pPr>
      <w:r>
        <w:tab/>
      </w:r>
      <w:r w:rsidRPr="00000873">
        <w:rPr>
          <w:rStyle w:val="FootnoteReference"/>
        </w:rPr>
        <w:footnoteRef/>
      </w:r>
      <w:r>
        <w:t xml:space="preserve"> </w:t>
      </w:r>
      <w:r>
        <w:tab/>
      </w:r>
      <w:r w:rsidRPr="00FC46DC">
        <w:t>CCPR/C/127/3, para. 4</w:t>
      </w:r>
      <w:r>
        <w:t xml:space="preserve"> regarding </w:t>
      </w:r>
      <w:r w:rsidRPr="00FC46DC">
        <w:rPr>
          <w:i/>
          <w:iCs/>
        </w:rPr>
        <w:t>Sonia Yaker v. France</w:t>
      </w:r>
      <w:r>
        <w:t xml:space="preserve">, </w:t>
      </w:r>
      <w:r>
        <w:rPr>
          <w:i/>
          <w:iCs/>
        </w:rPr>
        <w:t>op. cit.</w:t>
      </w:r>
      <w:r>
        <w:t xml:space="preserve">; </w:t>
      </w:r>
      <w:r w:rsidRPr="00DC08E9">
        <w:t>CCPR/C/127/3, para 1</w:t>
      </w:r>
      <w:r>
        <w:t xml:space="preserve"> relating to </w:t>
      </w:r>
      <w:r w:rsidRPr="00DC08E9">
        <w:rPr>
          <w:i/>
          <w:iCs/>
        </w:rPr>
        <w:t>Nell Toussaint v. Canada</w:t>
      </w:r>
      <w:r>
        <w:t xml:space="preserve">, views adopted on 24 July 2018, </w:t>
      </w:r>
      <w:r w:rsidRPr="00DC08E9">
        <w:t>CCPR/C/123/D/2348/2014</w:t>
      </w:r>
      <w:r>
        <w:t xml:space="preserve">; </w:t>
      </w:r>
      <w:r w:rsidRPr="003D6FDD">
        <w:t>CCPR/C/127/3, para. 7</w:t>
      </w:r>
      <w:r>
        <w:t xml:space="preserve"> </w:t>
      </w:r>
      <w:r w:rsidRPr="003818CD">
        <w:t xml:space="preserve">regarding </w:t>
      </w:r>
      <w:r w:rsidRPr="003818CD">
        <w:rPr>
          <w:i/>
          <w:iCs/>
        </w:rPr>
        <w:t>Khairullo Saidov v. Tajikistan, op. cit</w:t>
      </w:r>
      <w:r w:rsidRPr="003818CD">
        <w:t>.</w:t>
      </w:r>
    </w:p>
  </w:footnote>
  <w:footnote w:id="93">
    <w:p w14:paraId="7A72B64D" w14:textId="28051628" w:rsidR="00BE6A58" w:rsidRPr="00786F58" w:rsidRDefault="00786F58" w:rsidP="00786F58">
      <w:pPr>
        <w:pStyle w:val="FootnoteText"/>
        <w:rPr>
          <w:rStyle w:val="FootnoteTextChar"/>
        </w:rPr>
      </w:pPr>
      <w:r>
        <w:tab/>
      </w:r>
      <w:r w:rsidR="00BE6A58" w:rsidRPr="00000873">
        <w:rPr>
          <w:rStyle w:val="FootnoteReference"/>
        </w:rPr>
        <w:footnoteRef/>
      </w:r>
      <w:r w:rsidR="00BE6A58" w:rsidRPr="003818CD">
        <w:t xml:space="preserve"> </w:t>
      </w:r>
      <w:r>
        <w:tab/>
      </w:r>
      <w:r w:rsidR="00BE6A58" w:rsidRPr="00786F58">
        <w:rPr>
          <w:rStyle w:val="FootnoteTextChar"/>
        </w:rPr>
        <w:t>See CESCR report on follow-up to views, E/C.12/68/3, 3 November 2020, p. 7: “The Committee encourages the parties to continue their dialogue in good faith to reach an agreement on adequate compensation for the author. The Committee requests the parties to inform it of the content and outcome of such negotiations, and requests in particular the author to provide further information regarding the content of her claims [for more money than what was offered by the State party]and their direct relation to the violations.”</w:t>
      </w:r>
    </w:p>
  </w:footnote>
  <w:footnote w:id="94">
    <w:p w14:paraId="1DC890CD" w14:textId="77777777" w:rsidR="00BE6A58" w:rsidRPr="008856DE" w:rsidRDefault="00BE6A58" w:rsidP="00E51EEA">
      <w:pPr>
        <w:pStyle w:val="FootnoteText"/>
      </w:pPr>
      <w:r>
        <w:rPr>
          <w:lang w:val="es-ES"/>
        </w:rPr>
        <w:tab/>
      </w:r>
      <w:r w:rsidRPr="00000873">
        <w:rPr>
          <w:rStyle w:val="FootnoteReference"/>
        </w:rPr>
        <w:footnoteRef/>
      </w:r>
      <w:r w:rsidRPr="00C5466C">
        <w:rPr>
          <w:lang w:val="es-ES"/>
        </w:rPr>
        <w:t xml:space="preserve"> </w:t>
      </w:r>
      <w:r>
        <w:rPr>
          <w:lang w:val="es-ES"/>
        </w:rPr>
        <w:tab/>
      </w:r>
      <w:r w:rsidRPr="00C5466C">
        <w:rPr>
          <w:lang w:val="es-ES"/>
        </w:rPr>
        <w:t xml:space="preserve">CCPR/C/127/3, para. 7 regarding </w:t>
      </w:r>
      <w:r w:rsidRPr="00C5466C">
        <w:rPr>
          <w:i/>
          <w:iCs/>
          <w:lang w:val="es-ES"/>
        </w:rPr>
        <w:t>Khairullo Saidov v. Tajikistan, op. cit</w:t>
      </w:r>
      <w:r w:rsidRPr="00C5466C">
        <w:rPr>
          <w:lang w:val="es-ES"/>
        </w:rPr>
        <w:t xml:space="preserve">.; CCPR/C/127/3, para. </w:t>
      </w:r>
      <w:r w:rsidRPr="00BC3A79">
        <w:t>8</w:t>
      </w:r>
      <w:r>
        <w:t xml:space="preserve"> relating to </w:t>
      </w:r>
      <w:r w:rsidRPr="00BC3A79">
        <w:rPr>
          <w:i/>
          <w:iCs/>
        </w:rPr>
        <w:t>Kuvvatali Murodov v. Tajikistan</w:t>
      </w:r>
      <w:r>
        <w:rPr>
          <w:i/>
          <w:iCs/>
        </w:rPr>
        <w:t>, op</w:t>
      </w:r>
      <w:r w:rsidRPr="004E093C">
        <w:rPr>
          <w:i/>
          <w:iCs/>
        </w:rPr>
        <w:t>.</w:t>
      </w:r>
      <w:r>
        <w:rPr>
          <w:i/>
          <w:iCs/>
        </w:rPr>
        <w:t xml:space="preserve"> </w:t>
      </w:r>
      <w:r w:rsidRPr="004E093C">
        <w:rPr>
          <w:i/>
          <w:iCs/>
        </w:rPr>
        <w:t>cit</w:t>
      </w:r>
      <w:r>
        <w:t>.;</w:t>
      </w:r>
      <w:r w:rsidRPr="008856DE">
        <w:t xml:space="preserve"> </w:t>
      </w:r>
      <w:r w:rsidRPr="00DA4B07">
        <w:t>CCPR/C/130/R.2</w:t>
      </w:r>
      <w:r>
        <w:t xml:space="preserve">, para. </w:t>
      </w:r>
      <w:r w:rsidRPr="00C5466C">
        <w:rPr>
          <w:lang w:val="es-ES"/>
        </w:rPr>
        <w:t xml:space="preserve">3 relating to </w:t>
      </w:r>
      <w:r w:rsidRPr="00C5466C">
        <w:rPr>
          <w:i/>
          <w:iCs/>
          <w:lang w:val="es-ES"/>
        </w:rPr>
        <w:t>Padilla et al. v. Mexico</w:t>
      </w:r>
      <w:r w:rsidRPr="00C5466C">
        <w:rPr>
          <w:lang w:val="es-ES"/>
        </w:rPr>
        <w:t xml:space="preserve">, </w:t>
      </w:r>
      <w:r w:rsidRPr="00C5466C">
        <w:rPr>
          <w:i/>
          <w:iCs/>
          <w:lang w:val="es-ES"/>
        </w:rPr>
        <w:t>op. cit.</w:t>
      </w:r>
      <w:r w:rsidRPr="00C5466C">
        <w:rPr>
          <w:lang w:val="es-ES"/>
        </w:rPr>
        <w:t xml:space="preserve">; CCPR/C/130/R.2, para. </w:t>
      </w:r>
      <w:r>
        <w:t xml:space="preserve">4 in relation to </w:t>
      </w:r>
      <w:r w:rsidRPr="00DA4B07">
        <w:rPr>
          <w:i/>
          <w:iCs/>
        </w:rPr>
        <w:t>Cáceres et al. v. Paraguay</w:t>
      </w:r>
      <w:r>
        <w:t xml:space="preserve">, </w:t>
      </w:r>
      <w:r>
        <w:rPr>
          <w:i/>
          <w:iCs/>
        </w:rPr>
        <w:t>op. cit</w:t>
      </w:r>
      <w:r>
        <w:t>.</w:t>
      </w:r>
    </w:p>
  </w:footnote>
  <w:footnote w:id="95">
    <w:p w14:paraId="3267C072" w14:textId="77777777" w:rsidR="00BE6A58" w:rsidRPr="00F82758" w:rsidRDefault="00BE6A58" w:rsidP="00E51EEA">
      <w:pPr>
        <w:pStyle w:val="FootnoteText"/>
      </w:pPr>
      <w:r>
        <w:rPr>
          <w:rFonts w:asciiTheme="minorHAnsi" w:hAnsiTheme="minorHAnsi"/>
          <w:sz w:val="20"/>
        </w:rPr>
        <w:tab/>
      </w:r>
      <w:r w:rsidRPr="00000873">
        <w:rPr>
          <w:rStyle w:val="FootnoteReference"/>
        </w:rPr>
        <w:footnoteRef/>
      </w:r>
      <w:r w:rsidRPr="00E207D5">
        <w:rPr>
          <w:rFonts w:asciiTheme="minorHAnsi" w:hAnsiTheme="minorHAnsi"/>
          <w:sz w:val="20"/>
        </w:rPr>
        <w:t xml:space="preserve"> </w:t>
      </w:r>
      <w:r>
        <w:rPr>
          <w:rFonts w:asciiTheme="minorHAnsi" w:hAnsiTheme="minorHAnsi"/>
          <w:sz w:val="20"/>
        </w:rPr>
        <w:tab/>
      </w:r>
      <w:r w:rsidRPr="00F82758">
        <w:t>See third-party intervention in the follow-up to López Albán et al. v. Spain, views adopted on 11 October 2019, follow-up report E/C.12/70/3, 22 October 2021, pp. 3-4.</w:t>
      </w:r>
    </w:p>
  </w:footnote>
  <w:footnote w:id="96">
    <w:p w14:paraId="514EA330" w14:textId="77777777" w:rsidR="00BE6A58" w:rsidRPr="006F7676" w:rsidRDefault="00BE6A58" w:rsidP="00E51EEA">
      <w:pPr>
        <w:pStyle w:val="FootnoteText"/>
      </w:pPr>
      <w:r>
        <w:tab/>
      </w:r>
      <w:r w:rsidRPr="00000873">
        <w:rPr>
          <w:rStyle w:val="FootnoteReference"/>
        </w:rPr>
        <w:footnoteRef/>
      </w:r>
      <w:r>
        <w:t xml:space="preserve"> </w:t>
      </w:r>
      <w:r>
        <w:tab/>
        <w:t>Meeting with PUAS.</w:t>
      </w:r>
    </w:p>
  </w:footnote>
  <w:footnote w:id="97">
    <w:p w14:paraId="50D7571B" w14:textId="77777777" w:rsidR="00BE6A58" w:rsidRPr="006F03D5" w:rsidRDefault="00BE6A58" w:rsidP="00E51EEA">
      <w:pPr>
        <w:pStyle w:val="FootnoteText"/>
      </w:pPr>
      <w:r>
        <w:tab/>
      </w:r>
      <w:r w:rsidRPr="00000873">
        <w:rPr>
          <w:rStyle w:val="FootnoteReference"/>
        </w:rPr>
        <w:footnoteRef/>
      </w:r>
      <w:r>
        <w:t xml:space="preserve"> </w:t>
      </w:r>
      <w:r>
        <w:tab/>
        <w:t xml:space="preserve">CCPR/C/158, 30 November 2016, </w:t>
      </w:r>
      <w:r w:rsidRPr="00A17B8F">
        <w:t>Guidelines on measures of reparation under the Optional Protocol to the International Covenant on Civil and Political Rights</w:t>
      </w:r>
      <w:r>
        <w:t>.</w:t>
      </w:r>
    </w:p>
  </w:footnote>
  <w:footnote w:id="98">
    <w:p w14:paraId="70358B82" w14:textId="77777777" w:rsidR="00BE6A58" w:rsidRPr="00126187" w:rsidRDefault="00BE6A58" w:rsidP="00E51EEA">
      <w:pPr>
        <w:pStyle w:val="FootnoteText"/>
      </w:pPr>
      <w:r>
        <w:tab/>
      </w:r>
      <w:r w:rsidRPr="00000873">
        <w:rPr>
          <w:rStyle w:val="FootnoteReference"/>
        </w:rPr>
        <w:footnoteRef/>
      </w:r>
      <w:r>
        <w:t xml:space="preserve"> </w:t>
      </w:r>
      <w:r>
        <w:tab/>
      </w:r>
      <w:r w:rsidRPr="00126187">
        <w:t>CAT G</w:t>
      </w:r>
      <w:r>
        <w:t>eneral Comment</w:t>
      </w:r>
      <w:r w:rsidRPr="00126187">
        <w:t xml:space="preserve"> No. 3</w:t>
      </w:r>
      <w:r>
        <w:t xml:space="preserve"> (</w:t>
      </w:r>
      <w:r w:rsidRPr="00126187">
        <w:t>2012</w:t>
      </w:r>
      <w:r>
        <w:t xml:space="preserve">), Implementation of article 14 by States parties, addressing the </w:t>
      </w:r>
      <w:r w:rsidRPr="00126187">
        <w:t>scope of the right to redress</w:t>
      </w:r>
      <w:r>
        <w:t xml:space="preserve">, paras 6-18. </w:t>
      </w:r>
    </w:p>
  </w:footnote>
  <w:footnote w:id="99">
    <w:p w14:paraId="5135FF39" w14:textId="77777777" w:rsidR="00BE6A58" w:rsidRPr="0069719C" w:rsidRDefault="00BE6A58" w:rsidP="00E51EEA">
      <w:pPr>
        <w:pStyle w:val="FootnoteText"/>
      </w:pPr>
      <w:r>
        <w:tab/>
      </w:r>
      <w:r w:rsidRPr="00000873">
        <w:rPr>
          <w:rStyle w:val="FootnoteReference"/>
        </w:rPr>
        <w:footnoteRef/>
      </w:r>
      <w:r>
        <w:t xml:space="preserve"> </w:t>
      </w:r>
      <w:r>
        <w:tab/>
      </w:r>
      <w:r w:rsidRPr="00126187">
        <w:t>CEDAW G</w:t>
      </w:r>
      <w:r>
        <w:t>eneral Recommendation</w:t>
      </w:r>
      <w:r w:rsidRPr="00126187">
        <w:t xml:space="preserve"> No. 35</w:t>
      </w:r>
      <w:r>
        <w:t xml:space="preserve"> (</w:t>
      </w:r>
      <w:r w:rsidRPr="00126187">
        <w:t>2017</w:t>
      </w:r>
      <w:r>
        <w:t>)</w:t>
      </w:r>
      <w:r w:rsidRPr="00126187">
        <w:t xml:space="preserve"> on </w:t>
      </w:r>
      <w:r>
        <w:t xml:space="preserve">gender-based violence against women, para. 46 and General Recommendation No. 33 (2015), para. 19 addressing the provision of remedies. </w:t>
      </w:r>
    </w:p>
  </w:footnote>
  <w:footnote w:id="100">
    <w:p w14:paraId="1F8D176F" w14:textId="77777777" w:rsidR="00BE6A58" w:rsidRPr="00F80BDB" w:rsidRDefault="00BE6A58" w:rsidP="00E51EEA">
      <w:pPr>
        <w:pStyle w:val="FootnoteText"/>
      </w:pPr>
      <w:r>
        <w:tab/>
      </w:r>
      <w:r w:rsidRPr="00000873">
        <w:rPr>
          <w:rStyle w:val="FootnoteReference"/>
        </w:rPr>
        <w:footnoteRef/>
      </w:r>
      <w:r>
        <w:t xml:space="preserve"> </w:t>
      </w:r>
      <w:r>
        <w:tab/>
      </w:r>
      <w:r w:rsidRPr="00BE3706">
        <w:rPr>
          <w:bCs/>
          <w:color w:val="000000"/>
          <w:szCs w:val="18"/>
        </w:rPr>
        <w:t>Basic Principles and Guidelines on the Right to a Remedy and Reparation for Victims of Gross Violations of International Human Rights Law and Serious Violations of International Humanitarian Law</w:t>
      </w:r>
      <w:r>
        <w:rPr>
          <w:bCs/>
          <w:color w:val="000000"/>
          <w:szCs w:val="18"/>
        </w:rPr>
        <w:t xml:space="preserve">. </w:t>
      </w:r>
    </w:p>
  </w:footnote>
  <w:footnote w:id="101">
    <w:p w14:paraId="02C8BC1E" w14:textId="77777777" w:rsidR="00BE6A58" w:rsidRPr="00F82758" w:rsidRDefault="00BE6A58" w:rsidP="00E51EEA">
      <w:pPr>
        <w:pStyle w:val="FootnoteText"/>
      </w:pPr>
      <w:r>
        <w:rPr>
          <w:rFonts w:asciiTheme="minorHAnsi" w:hAnsiTheme="minorHAnsi"/>
        </w:rPr>
        <w:tab/>
      </w:r>
      <w:r w:rsidRPr="00000873">
        <w:rPr>
          <w:rStyle w:val="FootnoteReference"/>
        </w:rPr>
        <w:footnoteRef/>
      </w:r>
      <w:r>
        <w:rPr>
          <w:rFonts w:asciiTheme="minorHAnsi" w:hAnsiTheme="minorHAnsi"/>
        </w:rPr>
        <w:t xml:space="preserve"> </w:t>
      </w:r>
      <w:r>
        <w:rPr>
          <w:rFonts w:asciiTheme="minorHAnsi" w:hAnsiTheme="minorHAnsi"/>
        </w:rPr>
        <w:tab/>
      </w:r>
      <w:r w:rsidRPr="00F82758">
        <w:t>General Recommendation No. 35: “States should design transformative reparation programmes that help to address the underlying discrimination or disadvantage which caused or contributed significantly to the violation, taking account of individual, institutional and structural aspects”, para. 47.</w:t>
      </w:r>
    </w:p>
  </w:footnote>
  <w:footnote w:id="102">
    <w:p w14:paraId="69E5869D" w14:textId="77777777" w:rsidR="00BE6A58" w:rsidRPr="00EB02FB" w:rsidRDefault="00BE6A58" w:rsidP="00E51EEA">
      <w:pPr>
        <w:pStyle w:val="FootnoteText"/>
      </w:pPr>
      <w:r>
        <w:tab/>
      </w:r>
      <w:r w:rsidRPr="00000873">
        <w:rPr>
          <w:rStyle w:val="FootnoteReference"/>
        </w:rPr>
        <w:footnoteRef/>
      </w:r>
      <w:r>
        <w:t xml:space="preserve"> </w:t>
      </w:r>
      <w:r>
        <w:tab/>
        <w:t xml:space="preserve">CAT General Comment No. 3, </w:t>
      </w:r>
      <w:r w:rsidRPr="00EB02FB">
        <w:rPr>
          <w:i/>
          <w:iCs/>
        </w:rPr>
        <w:t>op. cit</w:t>
      </w:r>
      <w:r>
        <w:t xml:space="preserve">., para. 6; CEDAW General Recommendation No. 35, </w:t>
      </w:r>
      <w:r w:rsidRPr="002B4B1F">
        <w:rPr>
          <w:i/>
          <w:iCs/>
        </w:rPr>
        <w:t>op. cit</w:t>
      </w:r>
      <w:r>
        <w:t xml:space="preserve">., para. 46 and General Recommendation No. 33, </w:t>
      </w:r>
      <w:r w:rsidRPr="00125C37">
        <w:rPr>
          <w:i/>
          <w:iCs/>
        </w:rPr>
        <w:t>op. cit</w:t>
      </w:r>
      <w:r>
        <w:t>., para. 19(b).</w:t>
      </w:r>
    </w:p>
  </w:footnote>
  <w:footnote w:id="103">
    <w:p w14:paraId="256A2C53" w14:textId="77777777" w:rsidR="00BE6A58" w:rsidRPr="003C4AB1" w:rsidRDefault="00BE6A58" w:rsidP="00E51EEA">
      <w:pPr>
        <w:pStyle w:val="FootnoteText"/>
      </w:pPr>
      <w:r>
        <w:tab/>
      </w:r>
      <w:r w:rsidRPr="00000873">
        <w:rPr>
          <w:rStyle w:val="FootnoteReference"/>
        </w:rPr>
        <w:footnoteRef/>
      </w:r>
      <w:r>
        <w:t xml:space="preserve"> </w:t>
      </w:r>
      <w:r>
        <w:tab/>
        <w:t>Guidance for Submitting an Individual Communication to the UN Treaty Bodies, para. 14, “Claim”: “I</w:t>
      </w:r>
      <w:r w:rsidRPr="00E632D5">
        <w:t xml:space="preserve">t is also advisable to indicate the </w:t>
      </w:r>
      <w:r>
        <w:t>specific</w:t>
      </w:r>
      <w:r w:rsidRPr="00E632D5">
        <w:t xml:space="preserve"> remedies that the author would like to obtain from the State party, should the </w:t>
      </w:r>
      <w:r>
        <w:t>C</w:t>
      </w:r>
      <w:r w:rsidRPr="00E632D5">
        <w:t>ommittee conclude that the facts before it disclose a violation</w:t>
      </w:r>
      <w:r>
        <w:t>.”</w:t>
      </w:r>
    </w:p>
  </w:footnote>
  <w:footnote w:id="104">
    <w:p w14:paraId="75333D39" w14:textId="77777777" w:rsidR="00BE6A58" w:rsidRPr="00F82758" w:rsidRDefault="00BE6A58" w:rsidP="00E51EEA">
      <w:pPr>
        <w:pStyle w:val="FootnoteText"/>
      </w:pPr>
      <w:r>
        <w:rPr>
          <w:rFonts w:asciiTheme="minorHAnsi" w:hAnsiTheme="minorHAnsi"/>
        </w:rPr>
        <w:tab/>
      </w:r>
      <w:r w:rsidRPr="00000873">
        <w:rPr>
          <w:rStyle w:val="FootnoteReference"/>
        </w:rPr>
        <w:footnoteRef/>
      </w:r>
      <w:r w:rsidRPr="005441EA">
        <w:rPr>
          <w:rFonts w:asciiTheme="minorHAnsi" w:hAnsiTheme="minorHAnsi"/>
        </w:rPr>
        <w:t xml:space="preserve"> </w:t>
      </w:r>
      <w:r>
        <w:rPr>
          <w:rFonts w:asciiTheme="minorHAnsi" w:hAnsiTheme="minorHAnsi"/>
        </w:rPr>
        <w:tab/>
      </w:r>
      <w:r w:rsidRPr="00F82758">
        <w:t>Centre for Fundamental Rights, Hertie School, Strengthening and Enhancing the Effective Functioning of the UN Human Rights Treaty Body System Individual Complaint Mechanisms, Recommendations from Members of Academia and Civil Society in View of the 2020 UN Human Rights Treaty Body Review, July 2020, Recommendation 4.</w:t>
      </w:r>
    </w:p>
  </w:footnote>
  <w:footnote w:id="105">
    <w:p w14:paraId="49C0A213" w14:textId="77777777" w:rsidR="00BE6A58" w:rsidRPr="00181962" w:rsidRDefault="00BE6A58" w:rsidP="00E51EEA">
      <w:pPr>
        <w:pStyle w:val="FootnoteText"/>
      </w:pPr>
      <w:r>
        <w:tab/>
      </w:r>
      <w:r w:rsidRPr="00000873">
        <w:rPr>
          <w:rStyle w:val="FootnoteReference"/>
        </w:rPr>
        <w:footnoteRef/>
      </w:r>
      <w:r>
        <w:t xml:space="preserve"> </w:t>
      </w:r>
      <w:r>
        <w:tab/>
      </w:r>
      <w:r>
        <w:rPr>
          <w:lang w:val="en-US"/>
        </w:rPr>
        <w:t>See CCPR Guidelines on measures of reparation, para. 4. See also new guidance for submitting individual communications, para. 14: “</w:t>
      </w:r>
      <w:r>
        <w:t>I</w:t>
      </w:r>
      <w:r w:rsidRPr="00E632D5">
        <w:t xml:space="preserve">t is also advisable to indicate the </w:t>
      </w:r>
      <w:r>
        <w:t>specific</w:t>
      </w:r>
      <w:r w:rsidRPr="00E632D5">
        <w:t xml:space="preserve"> remedies that the author would like to obtain from the State party, should the </w:t>
      </w:r>
      <w:r>
        <w:t>C</w:t>
      </w:r>
      <w:r w:rsidRPr="00E632D5">
        <w:t>ommittee conclude that the facts before it disclose a violation</w:t>
      </w:r>
      <w:r>
        <w:t>.” In its current version, this is not highlighted in the complaint form itself.</w:t>
      </w:r>
    </w:p>
  </w:footnote>
  <w:footnote w:id="106">
    <w:p w14:paraId="7E16A22B" w14:textId="77777777" w:rsidR="00BE6A58" w:rsidRPr="007E7355" w:rsidRDefault="00BE6A58" w:rsidP="00E51EEA">
      <w:pPr>
        <w:pStyle w:val="FootnoteText"/>
      </w:pPr>
      <w:r>
        <w:tab/>
      </w:r>
      <w:r w:rsidRPr="00000873">
        <w:rPr>
          <w:rStyle w:val="FootnoteReference"/>
        </w:rPr>
        <w:footnoteRef/>
      </w:r>
      <w:r>
        <w:t xml:space="preserve"> </w:t>
      </w:r>
      <w:r>
        <w:tab/>
        <w:t xml:space="preserve">As found in the research sample, for example measures of rehabilitation for victims of torture, restitution measures in deportation cases (refrain from deporting, reassess claim) etc. </w:t>
      </w:r>
    </w:p>
  </w:footnote>
  <w:footnote w:id="107">
    <w:p w14:paraId="455841B5" w14:textId="77777777" w:rsidR="00BE6A58" w:rsidRPr="006C7A07" w:rsidRDefault="00BE6A58" w:rsidP="00E51EEA">
      <w:pPr>
        <w:pStyle w:val="FootnoteText"/>
      </w:pPr>
      <w:r>
        <w:tab/>
      </w:r>
      <w:r w:rsidRPr="00000873">
        <w:rPr>
          <w:rStyle w:val="FootnoteReference"/>
        </w:rPr>
        <w:footnoteRef/>
      </w:r>
      <w:r>
        <w:t xml:space="preserve"> </w:t>
      </w:r>
      <w:r>
        <w:tab/>
        <w:t xml:space="preserve">As provided in the UN Basic principles, CAT General Comment No. 3 and CEDAW General Recommendations Nos 33 and 35, but not in the CCPR Guidelines on measures of reparation. </w:t>
      </w:r>
    </w:p>
  </w:footnote>
  <w:footnote w:id="108">
    <w:p w14:paraId="65DDA0C8" w14:textId="77777777" w:rsidR="00BE6A58" w:rsidRPr="00ED17B5" w:rsidRDefault="00BE6A58" w:rsidP="00E51EEA">
      <w:pPr>
        <w:pStyle w:val="FootnoteText"/>
      </w:pPr>
      <w:r>
        <w:tab/>
      </w:r>
      <w:r w:rsidRPr="00000873">
        <w:rPr>
          <w:rStyle w:val="FootnoteReference"/>
        </w:rPr>
        <w:footnoteRef/>
      </w:r>
      <w:r>
        <w:t xml:space="preserve"> </w:t>
      </w:r>
      <w:r>
        <w:tab/>
        <w:t xml:space="preserve">Based on one example found in </w:t>
      </w:r>
      <w:r w:rsidRPr="00E0020E">
        <w:t>CCPR</w:t>
      </w:r>
      <w:r>
        <w:t xml:space="preserve"> jurisprudence: “</w:t>
      </w:r>
      <w:r w:rsidRPr="00FC36C2">
        <w:t>indicate the specific domestic authorities that are in charge of implementing each measure of reparation</w:t>
      </w:r>
      <w:r>
        <w:t xml:space="preserve">”. </w:t>
      </w:r>
      <w:r w:rsidRPr="00C55ABE">
        <w:t xml:space="preserve">See CCPR, </w:t>
      </w:r>
      <w:r w:rsidRPr="00C55ABE">
        <w:rPr>
          <w:i/>
          <w:iCs/>
        </w:rPr>
        <w:t>Bholi Pharaka v. Nepal</w:t>
      </w:r>
      <w:r w:rsidRPr="00C55ABE">
        <w:t xml:space="preserve">, </w:t>
      </w:r>
      <w:r w:rsidRPr="00C55ABE">
        <w:rPr>
          <w:i/>
          <w:iCs/>
        </w:rPr>
        <w:t>op. cit.</w:t>
      </w:r>
      <w:r w:rsidRPr="00C55ABE">
        <w:t xml:space="preserve">, para. </w:t>
      </w:r>
      <w:r w:rsidRPr="00ED17B5">
        <w:t xml:space="preserve">9(e). See also HRI/MC/2018/4, </w:t>
      </w:r>
      <w:r w:rsidRPr="00ED17B5">
        <w:rPr>
          <w:i/>
          <w:iCs/>
        </w:rPr>
        <w:t>op. cit.</w:t>
      </w:r>
      <w:r w:rsidRPr="00ED17B5">
        <w:t>, para. 12(a)(ii): “</w:t>
      </w:r>
      <w:r w:rsidRPr="00ED17B5">
        <w:rPr>
          <w:color w:val="000000"/>
        </w:rPr>
        <w:t>requests which authority is competent, in particular with respect to the remedy sought from the committee”.</w:t>
      </w:r>
    </w:p>
  </w:footnote>
  <w:footnote w:id="109">
    <w:p w14:paraId="026E054E" w14:textId="77777777" w:rsidR="00BE6A58" w:rsidRPr="00F82758" w:rsidRDefault="00BE6A58" w:rsidP="00E51EEA">
      <w:pPr>
        <w:pStyle w:val="FootnoteText"/>
      </w:pPr>
      <w:r>
        <w:tab/>
      </w:r>
      <w:r w:rsidRPr="00000873">
        <w:rPr>
          <w:rStyle w:val="FootnoteReference"/>
        </w:rPr>
        <w:footnoteRef/>
      </w:r>
      <w:r w:rsidRPr="00C55ABE">
        <w:t xml:space="preserve"> </w:t>
      </w:r>
      <w:r>
        <w:tab/>
      </w:r>
      <w:r w:rsidRPr="00F82758">
        <w:t xml:space="preserve">HRI/MC/2018/CRP.2, para. 27. “The Committee on the Elimination of Discrimination </w:t>
      </w:r>
      <w:r w:rsidRPr="00F82758">
        <w:rPr>
          <w:rFonts w:eastAsiaTheme="minorEastAsia" w:hint="eastAsia"/>
        </w:rPr>
        <w:t>a</w:t>
      </w:r>
      <w:r w:rsidRPr="00F82758">
        <w:t xml:space="preserve">gainst Women (CEDAW) has the most experience in giving detailed general measures, but their follow-up is done in the reporting procedure. Members </w:t>
      </w:r>
      <w:r w:rsidRPr="00F82758">
        <w:rPr>
          <w:rFonts w:eastAsiaTheme="minorHAnsi"/>
        </w:rPr>
        <w:t>more and more often systematically ask questions about the implementation of their views”.</w:t>
      </w:r>
    </w:p>
  </w:footnote>
  <w:footnote w:id="110">
    <w:p w14:paraId="51CE4359" w14:textId="77777777" w:rsidR="00BE6A58" w:rsidRPr="00B85D5E" w:rsidRDefault="00BE6A58" w:rsidP="00E51EEA">
      <w:pPr>
        <w:pStyle w:val="FootnoteText"/>
      </w:pPr>
      <w:r>
        <w:tab/>
      </w:r>
      <w:r w:rsidRPr="00000873">
        <w:rPr>
          <w:rStyle w:val="FootnoteReference"/>
        </w:rPr>
        <w:footnoteRef/>
      </w:r>
      <w:r>
        <w:t xml:space="preserve"> </w:t>
      </w:r>
      <w:r>
        <w:tab/>
        <w:t xml:space="preserve">Most recently, the co-facilitators acknowledged the insufficient human, financial and technical resources allocated to PUAS. Co-facilitators’ report on the process of the consideration of the state of the UN human rights treaty body system, para. 21. </w:t>
      </w:r>
    </w:p>
  </w:footnote>
  <w:footnote w:id="111">
    <w:p w14:paraId="70FA8825" w14:textId="77777777" w:rsidR="00BE6A58" w:rsidRPr="000C3DEB" w:rsidRDefault="00BE6A58" w:rsidP="00E51EEA">
      <w:pPr>
        <w:pStyle w:val="FootnoteText"/>
      </w:pPr>
      <w:r>
        <w:tab/>
      </w:r>
      <w:r w:rsidRPr="00000873">
        <w:rPr>
          <w:rStyle w:val="FootnoteReference"/>
        </w:rPr>
        <w:footnoteRef/>
      </w:r>
      <w:r>
        <w:t xml:space="preserve"> </w:t>
      </w:r>
      <w:r>
        <w:tab/>
        <w:t>Co-facilitators report on the process of the consideration of the state of the UN human rights treaty body system, para. 22.</w:t>
      </w:r>
    </w:p>
  </w:footnote>
  <w:footnote w:id="112">
    <w:p w14:paraId="5645E9FA" w14:textId="77777777" w:rsidR="00BE6A58" w:rsidRPr="00002535" w:rsidRDefault="00BE6A58" w:rsidP="00E51EEA">
      <w:pPr>
        <w:pStyle w:val="FootnoteText"/>
      </w:pPr>
      <w:r>
        <w:tab/>
      </w:r>
      <w:r w:rsidRPr="00000873">
        <w:rPr>
          <w:rStyle w:val="FootnoteReference"/>
        </w:rPr>
        <w:footnoteRef/>
      </w:r>
      <w:r>
        <w:t xml:space="preserve"> </w:t>
      </w:r>
      <w:r>
        <w:tab/>
        <w:t>Status of the human rights treaty body system, third biennal report of the Secretary-General, A/74/643, para. 57.</w:t>
      </w:r>
    </w:p>
  </w:footnote>
  <w:footnote w:id="113">
    <w:p w14:paraId="532E0372" w14:textId="77777777" w:rsidR="00BE6A58" w:rsidRPr="00583D28" w:rsidRDefault="00BE6A58" w:rsidP="00E51EEA">
      <w:pPr>
        <w:pStyle w:val="FootnoteText"/>
      </w:pPr>
      <w:r>
        <w:tab/>
      </w:r>
      <w:r w:rsidRPr="00000873">
        <w:rPr>
          <w:rStyle w:val="FootnoteReference"/>
        </w:rPr>
        <w:footnoteRef/>
      </w:r>
      <w:r>
        <w:t xml:space="preserve"> </w:t>
      </w:r>
      <w:r>
        <w:tab/>
        <w:t>Meeting with PUAS.</w:t>
      </w:r>
    </w:p>
  </w:footnote>
  <w:footnote w:id="114">
    <w:p w14:paraId="27470E46" w14:textId="77777777" w:rsidR="00BE6A58" w:rsidRPr="00FD3141" w:rsidRDefault="00BE6A58" w:rsidP="00E51EEA">
      <w:pPr>
        <w:pStyle w:val="FootnoteText"/>
      </w:pPr>
      <w:r>
        <w:tab/>
      </w:r>
      <w:r w:rsidRPr="00000873">
        <w:rPr>
          <w:rStyle w:val="FootnoteReference"/>
        </w:rPr>
        <w:footnoteRef/>
      </w:r>
      <w:r>
        <w:t xml:space="preserve"> </w:t>
      </w:r>
      <w:r>
        <w:tab/>
        <w:t xml:space="preserve">As already performed by CCPR on a regular basis. </w:t>
      </w:r>
    </w:p>
  </w:footnote>
  <w:footnote w:id="115">
    <w:p w14:paraId="6BFB4F72" w14:textId="77777777" w:rsidR="00BE6A58" w:rsidRPr="00120FDE" w:rsidRDefault="00BE6A58" w:rsidP="00E51EEA">
      <w:pPr>
        <w:pStyle w:val="FootnoteText"/>
      </w:pPr>
      <w:r>
        <w:tab/>
      </w:r>
      <w:r w:rsidRPr="00000873">
        <w:rPr>
          <w:rStyle w:val="FootnoteReference"/>
        </w:rPr>
        <w:footnoteRef/>
      </w:r>
      <w:r>
        <w:t xml:space="preserve"> </w:t>
      </w:r>
      <w:r>
        <w:tab/>
      </w:r>
      <w:r w:rsidRPr="00156A7D">
        <w:t xml:space="preserve">As suggested </w:t>
      </w:r>
      <w:r>
        <w:t xml:space="preserve">at the 2017 expert meeting on follow-up to treaty body recommendations. See HRI/MC/2018/CRP.2, </w:t>
      </w:r>
      <w:r>
        <w:rPr>
          <w:i/>
          <w:iCs/>
        </w:rPr>
        <w:t>op. cit.</w:t>
      </w:r>
      <w:r>
        <w:t>, para. 10: “</w:t>
      </w:r>
      <w:r w:rsidRPr="00AE39E8">
        <w:t>Re-organise follow up to views, country by country on a common database for all UNTB</w:t>
      </w:r>
      <w:r w:rsidRPr="00AE39E8">
        <w:rPr>
          <w:rFonts w:eastAsiaTheme="minorEastAsia" w:hint="eastAsia"/>
          <w:lang w:eastAsia="ja-JP"/>
        </w:rPr>
        <w:t>s</w:t>
      </w:r>
      <w:r>
        <w:rPr>
          <w:rFonts w:eastAsiaTheme="minorEastAsia"/>
          <w:lang w:eastAsia="ja-JP"/>
        </w:rPr>
        <w:t>”.</w:t>
      </w:r>
    </w:p>
  </w:footnote>
  <w:footnote w:id="116">
    <w:p w14:paraId="2323B536" w14:textId="77777777" w:rsidR="00BE6A58" w:rsidRPr="00D22CAE" w:rsidRDefault="00BE6A58" w:rsidP="00E51EEA">
      <w:pPr>
        <w:pStyle w:val="FootnoteText"/>
      </w:pPr>
      <w:r>
        <w:tab/>
      </w:r>
      <w:r w:rsidRPr="00000873">
        <w:rPr>
          <w:rStyle w:val="FootnoteReference"/>
        </w:rPr>
        <w:footnoteRef/>
      </w:r>
      <w:r>
        <w:t xml:space="preserve"> </w:t>
      </w:r>
      <w:r>
        <w:tab/>
        <w:t>Meeting with PUAS.</w:t>
      </w:r>
    </w:p>
  </w:footnote>
  <w:footnote w:id="117">
    <w:p w14:paraId="2BEBA891" w14:textId="77777777" w:rsidR="00BE6A58" w:rsidRPr="00DB2780" w:rsidRDefault="00BE6A58" w:rsidP="00E51EEA">
      <w:pPr>
        <w:pStyle w:val="FootnoteText"/>
      </w:pPr>
      <w:r>
        <w:tab/>
      </w:r>
      <w:r w:rsidRPr="00000873">
        <w:rPr>
          <w:rStyle w:val="FootnoteReference"/>
        </w:rPr>
        <w:footnoteRef/>
      </w:r>
      <w:r w:rsidRPr="00DB2780">
        <w:t xml:space="preserve"> </w:t>
      </w:r>
      <w:r>
        <w:tab/>
      </w:r>
      <w:r w:rsidRPr="00DB2780">
        <w:t xml:space="preserve">HRI/MC/2018/CRP.2, Expert meeting on follow-up to treaty body recommendations, 21 March 2018, para. 10. </w:t>
      </w:r>
    </w:p>
  </w:footnote>
  <w:footnote w:id="118">
    <w:p w14:paraId="0AAE9540" w14:textId="77777777" w:rsidR="00BE6A58" w:rsidRPr="00A837FA" w:rsidRDefault="00BE6A58" w:rsidP="00E51EEA">
      <w:pPr>
        <w:pStyle w:val="FootnoteText"/>
      </w:pPr>
      <w:r>
        <w:rPr>
          <w:rFonts w:asciiTheme="minorHAnsi" w:hAnsiTheme="minorHAnsi"/>
          <w:sz w:val="20"/>
        </w:rPr>
        <w:tab/>
      </w:r>
      <w:r w:rsidRPr="00000873">
        <w:rPr>
          <w:rStyle w:val="FootnoteReference"/>
        </w:rPr>
        <w:footnoteRef/>
      </w:r>
      <w:r w:rsidRPr="00156A7D">
        <w:rPr>
          <w:rFonts w:asciiTheme="minorHAnsi" w:hAnsiTheme="minorHAnsi"/>
          <w:sz w:val="20"/>
        </w:rPr>
        <w:t xml:space="preserve"> </w:t>
      </w:r>
      <w:r>
        <w:rPr>
          <w:rFonts w:asciiTheme="minorHAnsi" w:hAnsiTheme="minorHAnsi"/>
          <w:sz w:val="20"/>
        </w:rPr>
        <w:tab/>
      </w:r>
      <w:r w:rsidRPr="00F82758">
        <w:t>See HRI/MC/2018/4, op. cit., in which it was suggested that the follow-up dialogue should be suspended “if three years have elapsed since the adoption of the Views”, para. 12(j).</w:t>
      </w:r>
    </w:p>
  </w:footnote>
  <w:footnote w:id="119">
    <w:p w14:paraId="66A0722B" w14:textId="77777777" w:rsidR="00BE6A58" w:rsidRPr="00843F4E" w:rsidRDefault="00BE6A58" w:rsidP="00E51EEA">
      <w:pPr>
        <w:pStyle w:val="FootnoteText"/>
      </w:pPr>
      <w:r>
        <w:tab/>
      </w:r>
      <w:r w:rsidRPr="00000873">
        <w:rPr>
          <w:rStyle w:val="FootnoteReference"/>
        </w:rPr>
        <w:footnoteRef/>
      </w:r>
      <w:r>
        <w:t xml:space="preserve"> </w:t>
      </w:r>
      <w:r>
        <w:tab/>
      </w:r>
      <w:r w:rsidRPr="006D5E1D">
        <w:t>See CCPR practice to “suspend cases for which no further information has been provided in the past five years</w:t>
      </w:r>
      <w:r w:rsidRPr="00393CEE">
        <w:t xml:space="preserve"> either by the State party concerned or by the author(s) and/or counsel, moving them to a separate category of “cases without sufficient information on satisfactory implementation</w:t>
      </w:r>
      <w:r>
        <w:t>.</w:t>
      </w:r>
      <w:r w:rsidRPr="00393CEE">
        <w:t>”</w:t>
      </w:r>
      <w:r>
        <w:t xml:space="preserve"> CCPR/C/130/R.2, 19 November 2020, para. 6.</w:t>
      </w:r>
    </w:p>
  </w:footnote>
  <w:footnote w:id="120">
    <w:p w14:paraId="3448C51F" w14:textId="77777777" w:rsidR="00BE6A58" w:rsidRPr="005C534B" w:rsidRDefault="00BE6A58" w:rsidP="00E51EEA">
      <w:pPr>
        <w:pStyle w:val="FootnoteText"/>
      </w:pPr>
      <w:r>
        <w:tab/>
      </w:r>
      <w:r w:rsidRPr="00000873">
        <w:rPr>
          <w:rStyle w:val="FootnoteReference"/>
        </w:rPr>
        <w:footnoteRef/>
      </w:r>
      <w:r>
        <w:t xml:space="preserve"> </w:t>
      </w:r>
      <w:r>
        <w:tab/>
      </w:r>
      <w:r w:rsidRPr="005C534B">
        <w:t>Meeting with PUAS.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CDA82B3" w14:textId="7E5D1BFD" w:rsidR="00BE6A58" w:rsidRPr="00E51EEA" w:rsidRDefault="00771B3F">
    <w:pPr>
      <w:pStyle w:val="Header"/>
    </w:pPr>
    <w:r>
      <w:fldChar w:fldCharType="begin"/>
    </w:r>
    <w:r>
      <w:instrText xml:space="preserve"> TITLE  \* MERGEFORMAT </w:instrText>
    </w:r>
    <w:r>
      <w:fldChar w:fldCharType="separate"/>
    </w:r>
    <w:r w:rsidR="00BE6A58">
      <w:t>HRI/MC/2022/CRP.2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976928A" w14:textId="4D60833F" w:rsidR="00BE6A58" w:rsidRPr="00E51EEA" w:rsidRDefault="00771B3F" w:rsidP="00E51EEA">
    <w:pPr>
      <w:pStyle w:val="Header"/>
      <w:jc w:val="right"/>
    </w:pPr>
    <w:r>
      <w:fldChar w:fldCharType="begin"/>
    </w:r>
    <w:r>
      <w:instrText xml:space="preserve"> TITLE  \* MERGEFORMAT </w:instrText>
    </w:r>
    <w:r>
      <w:fldChar w:fldCharType="separate"/>
    </w:r>
    <w:r w:rsidR="00BE6A58">
      <w:t>HRI/MC/2022/CRP.2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31C75735"/>
    <w:multiLevelType w:val="hybridMultilevel"/>
    <w:tmpl w:val="A60A5D4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3"/>
  </w:num>
  <w:num w:numId="3">
    <w:abstractNumId w:val="1"/>
  </w:num>
  <w:num w:numId="4">
    <w:abstractNumId w:val="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n-US" w:vendorID="64" w:dllVersion="0" w:nlCheck="1" w:checkStyle="0"/>
  <w:activeWritingStyle w:appName="MSWord" w:lang="fr-FR" w:vendorID="64" w:dllVersion="0" w:nlCheck="1" w:checkStyle="0"/>
  <w:activeWritingStyle w:appName="MSWord" w:lang="es-ES" w:vendorID="64" w:dllVersion="0" w:nlCheck="1" w:checkStyle="0"/>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E51EEA"/>
    <w:rsid w:val="00050F6B"/>
    <w:rsid w:val="0006283C"/>
    <w:rsid w:val="00072C8C"/>
    <w:rsid w:val="000766DD"/>
    <w:rsid w:val="000931C0"/>
    <w:rsid w:val="000B175B"/>
    <w:rsid w:val="000B3A0F"/>
    <w:rsid w:val="000B675E"/>
    <w:rsid w:val="000E0415"/>
    <w:rsid w:val="001B4B04"/>
    <w:rsid w:val="001C6663"/>
    <w:rsid w:val="001C7895"/>
    <w:rsid w:val="001D26DF"/>
    <w:rsid w:val="001F1320"/>
    <w:rsid w:val="001F3AED"/>
    <w:rsid w:val="00211E0B"/>
    <w:rsid w:val="002D4629"/>
    <w:rsid w:val="003107FA"/>
    <w:rsid w:val="003229D8"/>
    <w:rsid w:val="0033745A"/>
    <w:rsid w:val="0039277A"/>
    <w:rsid w:val="003972E0"/>
    <w:rsid w:val="003A6806"/>
    <w:rsid w:val="003C2CC4"/>
    <w:rsid w:val="003D4B23"/>
    <w:rsid w:val="003E30A6"/>
    <w:rsid w:val="004325CB"/>
    <w:rsid w:val="00442210"/>
    <w:rsid w:val="00446DE4"/>
    <w:rsid w:val="004A41CA"/>
    <w:rsid w:val="00503228"/>
    <w:rsid w:val="00505384"/>
    <w:rsid w:val="005258BB"/>
    <w:rsid w:val="005420F2"/>
    <w:rsid w:val="005B3DB3"/>
    <w:rsid w:val="00611FC4"/>
    <w:rsid w:val="006176FB"/>
    <w:rsid w:val="00627ED0"/>
    <w:rsid w:val="00640B26"/>
    <w:rsid w:val="00665595"/>
    <w:rsid w:val="006A7392"/>
    <w:rsid w:val="006E564B"/>
    <w:rsid w:val="0072632A"/>
    <w:rsid w:val="007369EB"/>
    <w:rsid w:val="00771B3F"/>
    <w:rsid w:val="00786F58"/>
    <w:rsid w:val="007B6BA5"/>
    <w:rsid w:val="007C3390"/>
    <w:rsid w:val="007C4F4B"/>
    <w:rsid w:val="007F0B83"/>
    <w:rsid w:val="007F6611"/>
    <w:rsid w:val="008175E9"/>
    <w:rsid w:val="008242D7"/>
    <w:rsid w:val="008311A3"/>
    <w:rsid w:val="00861F97"/>
    <w:rsid w:val="00871FD5"/>
    <w:rsid w:val="008979B1"/>
    <w:rsid w:val="008A6B25"/>
    <w:rsid w:val="008A6C4F"/>
    <w:rsid w:val="008E0E46"/>
    <w:rsid w:val="00907AD2"/>
    <w:rsid w:val="00963CBA"/>
    <w:rsid w:val="00974A8D"/>
    <w:rsid w:val="00991261"/>
    <w:rsid w:val="009F3A17"/>
    <w:rsid w:val="00A1427D"/>
    <w:rsid w:val="00A37D4B"/>
    <w:rsid w:val="00A43A48"/>
    <w:rsid w:val="00A72F22"/>
    <w:rsid w:val="00A748A6"/>
    <w:rsid w:val="00A879A4"/>
    <w:rsid w:val="00AC145F"/>
    <w:rsid w:val="00B30179"/>
    <w:rsid w:val="00B33EC0"/>
    <w:rsid w:val="00B81E12"/>
    <w:rsid w:val="00BC74E9"/>
    <w:rsid w:val="00BE4F74"/>
    <w:rsid w:val="00BE618E"/>
    <w:rsid w:val="00BE6A58"/>
    <w:rsid w:val="00C17699"/>
    <w:rsid w:val="00C463DD"/>
    <w:rsid w:val="00C745C3"/>
    <w:rsid w:val="00CE4A8F"/>
    <w:rsid w:val="00D2031B"/>
    <w:rsid w:val="00D25FE2"/>
    <w:rsid w:val="00D317BB"/>
    <w:rsid w:val="00D43252"/>
    <w:rsid w:val="00D978C6"/>
    <w:rsid w:val="00DA67AD"/>
    <w:rsid w:val="00DB5D0F"/>
    <w:rsid w:val="00DC5F89"/>
    <w:rsid w:val="00DF0F82"/>
    <w:rsid w:val="00DF12F7"/>
    <w:rsid w:val="00E02C81"/>
    <w:rsid w:val="00E130AB"/>
    <w:rsid w:val="00E3517E"/>
    <w:rsid w:val="00E51EEA"/>
    <w:rsid w:val="00E7260F"/>
    <w:rsid w:val="00E87921"/>
    <w:rsid w:val="00E96630"/>
    <w:rsid w:val="00ED7A2A"/>
    <w:rsid w:val="00EF1D7F"/>
    <w:rsid w:val="00F20223"/>
    <w:rsid w:val="00F53EDA"/>
    <w:rsid w:val="00F7753D"/>
    <w:rsid w:val="00F85F34"/>
    <w:rsid w:val="00FA06F7"/>
    <w:rsid w:val="00FB171A"/>
    <w:rsid w:val="00FC68B7"/>
    <w:rsid w:val="00FD7BF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D34E5D8"/>
  <w15:docId w15:val="{14034A59-DF17-4745-9212-2654772D21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lsdException w:name="macro" w:semiHidden="1" w:unhideWhenUsed="1"/>
    <w:lsdException w:name="toa heading" w:semiHidden="1" w:unhideWhenUsed="1"/>
    <w:lsdException w:name="List" w:semiHidden="1"/>
    <w:lsdException w:name="List Bullet" w:semiHidden="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lsdException w:name="List Continue 3" w:semiHidden="1"/>
    <w:lsdException w:name="List Continue 4" w:semiHidden="1"/>
    <w:lsdException w:name="List Continue 5" w:semiHidden="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39"/>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58BB"/>
    <w:pPr>
      <w:suppressAutoHyphens/>
      <w:spacing w:line="240" w:lineRule="atLeast"/>
    </w:pPr>
    <w:rPr>
      <w:lang w:val="en-GB" w:eastAsia="en-US"/>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semiHidden/>
    <w:qFormat/>
    <w:rsid w:val="00503228"/>
    <w:pPr>
      <w:spacing w:line="240" w:lineRule="auto"/>
      <w:outlineLvl w:val="1"/>
    </w:pPr>
  </w:style>
  <w:style w:type="paragraph" w:styleId="Heading3">
    <w:name w:val="heading 3"/>
    <w:basedOn w:val="Normal"/>
    <w:next w:val="Normal"/>
    <w:semiHidden/>
    <w:qFormat/>
    <w:rsid w:val="00503228"/>
    <w:pPr>
      <w:spacing w:line="240" w:lineRule="auto"/>
      <w:outlineLvl w:val="2"/>
    </w:pPr>
  </w:style>
  <w:style w:type="paragraph" w:styleId="Heading4">
    <w:name w:val="heading 4"/>
    <w:basedOn w:val="Normal"/>
    <w:next w:val="Normal"/>
    <w:semiHidden/>
    <w:qFormat/>
    <w:rsid w:val="00503228"/>
    <w:pPr>
      <w:spacing w:line="240" w:lineRule="auto"/>
      <w:outlineLvl w:val="3"/>
    </w:pPr>
  </w:style>
  <w:style w:type="paragraph" w:styleId="Heading5">
    <w:name w:val="heading 5"/>
    <w:basedOn w:val="Normal"/>
    <w:next w:val="Normal"/>
    <w:semiHidden/>
    <w:qFormat/>
    <w:rsid w:val="00503228"/>
    <w:pPr>
      <w:spacing w:line="240" w:lineRule="auto"/>
      <w:outlineLvl w:val="4"/>
    </w:pPr>
  </w:style>
  <w:style w:type="paragraph" w:styleId="Heading6">
    <w:name w:val="heading 6"/>
    <w:basedOn w:val="Normal"/>
    <w:next w:val="Normal"/>
    <w:semiHidden/>
    <w:qFormat/>
    <w:rsid w:val="00503228"/>
    <w:pPr>
      <w:spacing w:line="240" w:lineRule="auto"/>
      <w:outlineLvl w:val="5"/>
    </w:pPr>
  </w:style>
  <w:style w:type="paragraph" w:styleId="Heading7">
    <w:name w:val="heading 7"/>
    <w:basedOn w:val="Normal"/>
    <w:next w:val="Normal"/>
    <w:semiHidden/>
    <w:qFormat/>
    <w:rsid w:val="00503228"/>
    <w:pPr>
      <w:spacing w:line="240" w:lineRule="auto"/>
      <w:outlineLvl w:val="6"/>
    </w:pPr>
  </w:style>
  <w:style w:type="paragraph" w:styleId="Heading8">
    <w:name w:val="heading 8"/>
    <w:basedOn w:val="Normal"/>
    <w:next w:val="Normal"/>
    <w:semiHidden/>
    <w:qFormat/>
    <w:rsid w:val="00503228"/>
    <w:pPr>
      <w:spacing w:line="240" w:lineRule="auto"/>
      <w:outlineLvl w:val="7"/>
    </w:pPr>
  </w:style>
  <w:style w:type="paragraph" w:styleId="Heading9">
    <w:name w:val="heading 9"/>
    <w:basedOn w:val="Normal"/>
    <w:next w:val="Normal"/>
    <w:semiHidden/>
    <w:qFormat/>
    <w:rsid w:val="00503228"/>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qFormat/>
    <w:rsid w:val="00503228"/>
    <w:pPr>
      <w:spacing w:after="120"/>
      <w:ind w:left="1134" w:right="1134"/>
      <w:jc w:val="both"/>
    </w:pPr>
  </w:style>
  <w:style w:type="paragraph" w:customStyle="1" w:styleId="HMG">
    <w:name w:val="_ H __M_G"/>
    <w:basedOn w:val="Normal"/>
    <w:next w:val="Normal"/>
    <w:qFormat/>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03228"/>
    <w:rPr>
      <w:rFonts w:ascii="Times New Roman" w:hAnsi="Times New Roman"/>
      <w:sz w:val="18"/>
      <w:vertAlign w:val="superscript"/>
    </w:rPr>
  </w:style>
  <w:style w:type="character" w:styleId="EndnoteReference">
    <w:name w:val="endnote reference"/>
    <w:aliases w:val="1_G"/>
    <w:basedOn w:val="FootnoteReference"/>
    <w:qFormat/>
    <w:rsid w:val="00503228"/>
    <w:rPr>
      <w:rFonts w:ascii="Times New Roman" w:hAnsi="Times New Roman"/>
      <w:sz w:val="18"/>
      <w:vertAlign w:val="superscript"/>
    </w:rPr>
  </w:style>
  <w:style w:type="paragraph" w:styleId="Header">
    <w:name w:val="header"/>
    <w:aliases w:val="6_G"/>
    <w:basedOn w:val="Normal"/>
    <w:qFormat/>
    <w:rsid w:val="00503228"/>
    <w:pPr>
      <w:pBdr>
        <w:bottom w:val="single" w:sz="4" w:space="4" w:color="auto"/>
      </w:pBdr>
      <w:spacing w:line="240" w:lineRule="auto"/>
    </w:pPr>
    <w:rPr>
      <w:b/>
      <w:sz w:val="18"/>
    </w:rPr>
  </w:style>
  <w:style w:type="table" w:styleId="TableGrid">
    <w:name w:val="Table Grid"/>
    <w:basedOn w:val="TableNormal"/>
    <w:uiPriority w:val="39"/>
    <w:rsid w:val="00DC5F89"/>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DC5F89"/>
    <w:rPr>
      <w:color w:val="auto"/>
      <w:u w:val="none"/>
    </w:rPr>
  </w:style>
  <w:style w:type="character" w:styleId="FollowedHyperlink">
    <w:name w:val="FollowedHyperlink"/>
    <w:basedOn w:val="DefaultParagraphFont"/>
    <w:semiHidden/>
    <w:rsid w:val="00DC5F89"/>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link w:val="FootnoteTextChar"/>
    <w:uiPriority w:val="99"/>
    <w:qFormat/>
    <w:rsid w:val="00503228"/>
    <w:pPr>
      <w:tabs>
        <w:tab w:val="right" w:pos="1021"/>
      </w:tabs>
      <w:spacing w:line="220" w:lineRule="exact"/>
      <w:ind w:left="1134" w:right="1134" w:hanging="1134"/>
    </w:pPr>
    <w:rPr>
      <w:sz w:val="18"/>
    </w:rPr>
  </w:style>
  <w:style w:type="paragraph" w:styleId="EndnoteText">
    <w:name w:val="endnote text"/>
    <w:aliases w:val="2_G"/>
    <w:basedOn w:val="FootnoteText"/>
    <w:qFormat/>
    <w:rsid w:val="00503228"/>
  </w:style>
  <w:style w:type="character" w:styleId="PageNumber">
    <w:name w:val="page number"/>
    <w:aliases w:val="7_G"/>
    <w:basedOn w:val="DefaultParagraphFont"/>
    <w:qFormat/>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qFormat/>
    <w:rsid w:val="00503228"/>
    <w:pPr>
      <w:numPr>
        <w:numId w:val="1"/>
      </w:numPr>
      <w:spacing w:after="120"/>
      <w:ind w:right="1134"/>
      <w:jc w:val="both"/>
    </w:pPr>
  </w:style>
  <w:style w:type="paragraph" w:styleId="Footer">
    <w:name w:val="footer"/>
    <w:aliases w:val="3_G"/>
    <w:basedOn w:val="Normal"/>
    <w:qFormat/>
    <w:rsid w:val="00503228"/>
    <w:pPr>
      <w:spacing w:line="240" w:lineRule="auto"/>
    </w:pPr>
    <w:rPr>
      <w:sz w:val="16"/>
    </w:rPr>
  </w:style>
  <w:style w:type="paragraph" w:customStyle="1" w:styleId="Bullet2G">
    <w:name w:val="_Bullet 2_G"/>
    <w:basedOn w:val="Normal"/>
    <w:qFormat/>
    <w:rsid w:val="00503228"/>
    <w:pPr>
      <w:numPr>
        <w:numId w:val="2"/>
      </w:numPr>
      <w:spacing w:after="120"/>
      <w:ind w:right="1134"/>
      <w:jc w:val="both"/>
    </w:pPr>
  </w:style>
  <w:style w:type="paragraph" w:customStyle="1" w:styleId="H1G">
    <w:name w:val="_ H_1_G"/>
    <w:basedOn w:val="Normal"/>
    <w:next w:val="Normal"/>
    <w:qFormat/>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03228"/>
    <w:pPr>
      <w:keepNext/>
      <w:keepLines/>
      <w:tabs>
        <w:tab w:val="right" w:pos="851"/>
      </w:tabs>
      <w:spacing w:before="240" w:after="120" w:line="240" w:lineRule="exact"/>
      <w:ind w:left="1134" w:right="1134" w:hanging="1134"/>
    </w:pPr>
  </w:style>
  <w:style w:type="paragraph" w:customStyle="1" w:styleId="ParNoG">
    <w:name w:val="_ParNo_G"/>
    <w:basedOn w:val="SingleTxtG"/>
    <w:qFormat/>
    <w:rsid w:val="000766DD"/>
    <w:pPr>
      <w:numPr>
        <w:numId w:val="3"/>
      </w:numPr>
      <w:suppressAutoHyphens w:val="0"/>
      <w:spacing w:line="240" w:lineRule="auto"/>
    </w:pPr>
  </w:style>
  <w:style w:type="character" w:customStyle="1" w:styleId="FootnoteTextChar">
    <w:name w:val="Footnote Text Char"/>
    <w:aliases w:val="5_G Char"/>
    <w:basedOn w:val="DefaultParagraphFont"/>
    <w:link w:val="FootnoteText"/>
    <w:uiPriority w:val="99"/>
    <w:rsid w:val="00E51EEA"/>
    <w:rPr>
      <w:sz w:val="18"/>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customXml" Target="../customXml/item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customXml" Target="../customXml/item2.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PlainPage\PlainPage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E3DE7A6A656B848A8EA21748CE6E4D4" ma:contentTypeVersion="0" ma:contentTypeDescription="Create a new document." ma:contentTypeScope="" ma:versionID="fcc65cf232e59f42d2e2f986d8680b30">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CE9687A-AFF8-4647-AA59-A59EA45304D7}"/>
</file>

<file path=customXml/itemProps2.xml><?xml version="1.0" encoding="utf-8"?>
<ds:datastoreItem xmlns:ds="http://schemas.openxmlformats.org/officeDocument/2006/customXml" ds:itemID="{E857ED83-8888-4323-A1FE-5751514FE77D}"/>
</file>

<file path=customXml/itemProps3.xml><?xml version="1.0" encoding="utf-8"?>
<ds:datastoreItem xmlns:ds="http://schemas.openxmlformats.org/officeDocument/2006/customXml" ds:itemID="{0BD8842D-1730-4C1F-9050-21F0215B8ABE}"/>
</file>

<file path=docProps/app.xml><?xml version="1.0" encoding="utf-8"?>
<Properties xmlns="http://schemas.openxmlformats.org/officeDocument/2006/extended-properties" xmlns:vt="http://schemas.openxmlformats.org/officeDocument/2006/docPropsVTypes">
  <Template>PlainPage_E.dotm</Template>
  <TotalTime>20</TotalTime>
  <Pages>3</Pages>
  <Words>7375</Words>
  <Characters>42042</Characters>
  <Application>Microsoft Office Word</Application>
  <DocSecurity>0</DocSecurity>
  <Lines>350</Lines>
  <Paragraphs>98</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HRI/MC/2022/CRP.2</vt:lpstr>
      <vt:lpstr/>
    </vt:vector>
  </TitlesOfParts>
  <Company>CSD</Company>
  <LinksUpToDate>false</LinksUpToDate>
  <CharactersWithSpaces>49319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HRI/MC/2022/CRP.2</dc:title>
  <dc:creator>THODIYIL Sindu</dc:creator>
  <cp:lastModifiedBy>THODIYIL Sindu</cp:lastModifiedBy>
  <cp:revision>3</cp:revision>
  <cp:lastPrinted>2008-09-29T11:49:00Z</cp:lastPrinted>
  <dcterms:created xsi:type="dcterms:W3CDTF">2022-03-08T14:31:00Z</dcterms:created>
  <dcterms:modified xsi:type="dcterms:W3CDTF">2022-03-08T15:36:00Z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0x010100CE3DE7A6A656B848A8EA21748CE6E4D4</vt:lpwstr>
  </property>
</Properties>
</file>