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B65" w:rsidRDefault="001F5936" w:rsidP="00855AFC">
      <w:pPr>
        <w:pStyle w:val="SingleTxtG"/>
        <w:spacing w:before="240" w:after="0" w:line="240" w:lineRule="auto"/>
        <w:ind w:left="567"/>
        <w:rPr>
          <w:iCs/>
        </w:rPr>
      </w:pPr>
      <w:bookmarkStart w:id="0" w:name="_GoBack"/>
      <w:bookmarkEnd w:id="0"/>
      <w:r>
        <w:rPr>
          <w:iCs/>
        </w:rPr>
        <w:t xml:space="preserve">15. </w:t>
      </w:r>
      <w:r w:rsidR="007D3BBC" w:rsidRPr="00035156">
        <w:rPr>
          <w:b/>
          <w:i/>
          <w:iCs/>
        </w:rPr>
        <w:t>Actual:</w:t>
      </w:r>
      <w:r w:rsidR="007D3BBC" w:rsidRPr="00035156">
        <w:rPr>
          <w:iCs/>
        </w:rPr>
        <w:t xml:space="preserve"> </w:t>
      </w:r>
      <w:r w:rsidR="00E20B65" w:rsidRPr="00035156">
        <w:rPr>
          <w:color w:val="000000"/>
        </w:rPr>
        <w:t xml:space="preserve">En este sentido, a través de Sentencia de 20 de febrero de 2008, dentro de las sumarias seguidas a Yolanda Austin, James Bernard y Diomedes </w:t>
      </w:r>
      <w:proofErr w:type="spellStart"/>
      <w:r w:rsidR="00E20B65" w:rsidRPr="00035156">
        <w:rPr>
          <w:color w:val="000000"/>
        </w:rPr>
        <w:t>Kaa</w:t>
      </w:r>
      <w:proofErr w:type="spellEnd"/>
      <w:r w:rsidR="00E20B65" w:rsidRPr="00035156">
        <w:rPr>
          <w:color w:val="000000"/>
        </w:rPr>
        <w:t xml:space="preserve">, </w:t>
      </w:r>
      <w:r w:rsidR="00E20B65" w:rsidRPr="00035156">
        <w:rPr>
          <w:b/>
          <w:color w:val="000000"/>
        </w:rPr>
        <w:t>sancionados</w:t>
      </w:r>
      <w:r w:rsidR="00E20B65" w:rsidRPr="00035156">
        <w:rPr>
          <w:color w:val="000000"/>
        </w:rPr>
        <w:t xml:space="preserve"> por el Delito contra la Administración de Justicia en perjuicio de David Viteri, que al referirse al termino de tortura, lo conceptuó de la siguiente manera: </w:t>
      </w:r>
      <w:r w:rsidR="00E20B65" w:rsidRPr="00035156">
        <w:rPr>
          <w:iCs/>
        </w:rPr>
        <w:t xml:space="preserve">“Se entenderá por tortura todo acto realizado intencionalmente por el cual se </w:t>
      </w:r>
      <w:proofErr w:type="spellStart"/>
      <w:r w:rsidR="00E20B65" w:rsidRPr="00035156">
        <w:rPr>
          <w:iCs/>
        </w:rPr>
        <w:t>inflinjan</w:t>
      </w:r>
      <w:proofErr w:type="spellEnd"/>
      <w:r w:rsidR="00E20B65" w:rsidRPr="00035156">
        <w:rPr>
          <w:iCs/>
        </w:rPr>
        <w:t xml:space="preserve"> a una persona </w:t>
      </w:r>
      <w:r w:rsidR="00E20B65" w:rsidRPr="00035156">
        <w:rPr>
          <w:b/>
          <w:iCs/>
        </w:rPr>
        <w:t xml:space="preserve">pernas </w:t>
      </w:r>
      <w:r w:rsidR="00E20B65" w:rsidRPr="00035156">
        <w:rPr>
          <w:iCs/>
        </w:rPr>
        <w:t>o sufrimientos físicos o mentales, con fines de investigación criminal, como medio intimidatorio, como castigo personal, como medida preventiva, como pena o cualquier otro fin. Se entenderá también como tortura la aplicación sobre una persona de métodos tendientes a anular la personalidad de la víctima o disminuir su capacidad física o mental, aunque no causen dolor físico o angustia psíquica”.</w:t>
      </w:r>
    </w:p>
    <w:p w:rsidR="00E20B65" w:rsidRDefault="001F5936" w:rsidP="00855AFC">
      <w:pPr>
        <w:pStyle w:val="SingleTxtG"/>
        <w:spacing w:before="240" w:after="0" w:line="240" w:lineRule="auto"/>
        <w:ind w:left="567"/>
        <w:rPr>
          <w:iCs/>
        </w:rPr>
      </w:pPr>
      <w:r>
        <w:rPr>
          <w:iCs/>
        </w:rPr>
        <w:t xml:space="preserve">15. </w:t>
      </w:r>
      <w:r w:rsidR="007D3BBC" w:rsidRPr="00035156">
        <w:rPr>
          <w:b/>
          <w:i/>
          <w:iCs/>
        </w:rPr>
        <w:t>Corregido:</w:t>
      </w:r>
      <w:r w:rsidR="007D3BBC" w:rsidRPr="00035156">
        <w:rPr>
          <w:iCs/>
        </w:rPr>
        <w:t xml:space="preserve"> </w:t>
      </w:r>
      <w:r w:rsidR="00E20B65" w:rsidRPr="00035156">
        <w:rPr>
          <w:color w:val="000000"/>
        </w:rPr>
        <w:t xml:space="preserve">En este sentido, a través de Sentencia de 20 de febrero de 2008, dentro de las sumarias seguidas a Yolanda Austin, James Bernard y Diomedes </w:t>
      </w:r>
      <w:proofErr w:type="spellStart"/>
      <w:r w:rsidR="00E20B65" w:rsidRPr="00035156">
        <w:rPr>
          <w:color w:val="000000"/>
        </w:rPr>
        <w:t>Kaa</w:t>
      </w:r>
      <w:proofErr w:type="spellEnd"/>
      <w:r w:rsidR="00E20B65" w:rsidRPr="00035156">
        <w:rPr>
          <w:color w:val="000000"/>
        </w:rPr>
        <w:t xml:space="preserve">, por </w:t>
      </w:r>
      <w:r w:rsidR="00E20B65" w:rsidRPr="00035156">
        <w:rPr>
          <w:b/>
          <w:color w:val="000000"/>
        </w:rPr>
        <w:t>la presunta comisión</w:t>
      </w:r>
      <w:r w:rsidR="00E20B65" w:rsidRPr="00035156">
        <w:rPr>
          <w:color w:val="000000"/>
        </w:rPr>
        <w:t xml:space="preserve"> del Delito contra la Administración de Justicia en perjuicio de David Viteri, que al referirse al termino de tortura, lo conceptuó de la siguiente manera: </w:t>
      </w:r>
      <w:r w:rsidR="00E20B65" w:rsidRPr="00035156">
        <w:rPr>
          <w:iCs/>
        </w:rPr>
        <w:t>“Se entenderá por tortura todo acto realizado intencionalmente por el cua</w:t>
      </w:r>
      <w:r w:rsidR="006E7EC0" w:rsidRPr="00035156">
        <w:rPr>
          <w:iCs/>
        </w:rPr>
        <w:t xml:space="preserve">l se </w:t>
      </w:r>
      <w:proofErr w:type="spellStart"/>
      <w:r w:rsidR="006E7EC0" w:rsidRPr="00035156">
        <w:rPr>
          <w:iCs/>
        </w:rPr>
        <w:t>inflinjan</w:t>
      </w:r>
      <w:proofErr w:type="spellEnd"/>
      <w:r w:rsidR="006E7EC0" w:rsidRPr="00035156">
        <w:rPr>
          <w:iCs/>
        </w:rPr>
        <w:t xml:space="preserve"> a una persona </w:t>
      </w:r>
      <w:r w:rsidR="006E7EC0" w:rsidRPr="00035156">
        <w:rPr>
          <w:b/>
          <w:iCs/>
        </w:rPr>
        <w:t>pe</w:t>
      </w:r>
      <w:r w:rsidR="00E20B65" w:rsidRPr="00035156">
        <w:rPr>
          <w:b/>
          <w:iCs/>
        </w:rPr>
        <w:t>nas</w:t>
      </w:r>
      <w:r w:rsidR="00E20B65" w:rsidRPr="00035156">
        <w:rPr>
          <w:iCs/>
        </w:rPr>
        <w:t xml:space="preserve"> o sufrimientos físicos o mentales, con fines de investigación criminal, como medio intimidatorio, como castigo personal, como medida preventiva, como pena o cualquier otro fin. Se entenderá también como tortura la aplicación sobre una persona de métodos tendientes a anular la personalidad de la víctima o disminuir su capacidad física o mental, aunque no causen dolor físico o angustia psíquica”.</w:t>
      </w:r>
    </w:p>
    <w:p w:rsidR="00EF7EE2" w:rsidRDefault="00EF7EE2" w:rsidP="00855AFC">
      <w:pPr>
        <w:pStyle w:val="SingleTxtG"/>
        <w:spacing w:before="240" w:after="0"/>
        <w:ind w:left="567"/>
      </w:pPr>
      <w:r>
        <w:rPr>
          <w:iCs/>
        </w:rPr>
        <w:t xml:space="preserve">168. </w:t>
      </w:r>
      <w:r w:rsidRPr="00EF7EE2">
        <w:rPr>
          <w:b/>
          <w:i/>
          <w:iCs/>
        </w:rPr>
        <w:t>Actual</w:t>
      </w:r>
      <w:r>
        <w:rPr>
          <w:iCs/>
        </w:rPr>
        <w:t>:</w:t>
      </w:r>
      <w:r w:rsidRPr="00EF7EE2">
        <w:t xml:space="preserve"> </w:t>
      </w:r>
      <w:r w:rsidRPr="00BF7AA8">
        <w:t>El Régimen Especial de Responsabilidad Penal para la Adolescencia se encuentra regulado mediante Ley 40 de 26 de</w:t>
      </w:r>
      <w:r>
        <w:t>.</w:t>
      </w:r>
    </w:p>
    <w:p w:rsidR="00EF7EE2" w:rsidRPr="00BF7AA8" w:rsidRDefault="00EF7EE2" w:rsidP="00855AFC">
      <w:pPr>
        <w:pStyle w:val="SingleTxtG"/>
        <w:spacing w:before="240" w:after="0"/>
        <w:ind w:left="567"/>
        <w:rPr>
          <w:color w:val="000000"/>
        </w:rPr>
      </w:pPr>
      <w:r w:rsidRPr="00BF7AA8">
        <w:t>168.</w:t>
      </w:r>
      <w:r>
        <w:t xml:space="preserve"> </w:t>
      </w:r>
      <w:r w:rsidRPr="00EF7EE2">
        <w:rPr>
          <w:b/>
          <w:i/>
        </w:rPr>
        <w:t>Corregido</w:t>
      </w:r>
      <w:r>
        <w:t xml:space="preserve">: </w:t>
      </w:r>
      <w:r w:rsidRPr="00BF7AA8">
        <w:t>El Régimen Especial de Responsabilidad Penal para la Adolescencia se encuentra regulado mediante Ley 40 de 26 de</w:t>
      </w:r>
      <w:r>
        <w:t xml:space="preserve"> </w:t>
      </w:r>
      <w:r w:rsidRPr="00EF7EE2">
        <w:rPr>
          <w:b/>
        </w:rPr>
        <w:t>Agosto de 1999</w:t>
      </w:r>
      <w:r>
        <w:t>.</w:t>
      </w:r>
    </w:p>
    <w:p w:rsidR="00E7360B" w:rsidRDefault="00EF7EE2" w:rsidP="00855AFC">
      <w:pPr>
        <w:pStyle w:val="SingleTxtG"/>
        <w:spacing w:before="240" w:after="0" w:line="240" w:lineRule="auto"/>
        <w:ind w:left="567"/>
      </w:pPr>
      <w:r>
        <w:rPr>
          <w:iCs/>
        </w:rPr>
        <w:t xml:space="preserve"> </w:t>
      </w:r>
      <w:r w:rsidR="00E7360B" w:rsidRPr="00035156">
        <w:t xml:space="preserve">169. </w:t>
      </w:r>
      <w:r w:rsidR="007D3BBC" w:rsidRPr="00035156">
        <w:rPr>
          <w:b/>
          <w:i/>
          <w:iCs/>
        </w:rPr>
        <w:t xml:space="preserve">Actual: </w:t>
      </w:r>
      <w:r w:rsidR="00E7360B" w:rsidRPr="00035156">
        <w:t xml:space="preserve">El artículo </w:t>
      </w:r>
      <w:r w:rsidR="00E7360B" w:rsidRPr="00035156">
        <w:rPr>
          <w:b/>
        </w:rPr>
        <w:t>129</w:t>
      </w:r>
      <w:r w:rsidR="00E7360B" w:rsidRPr="00035156">
        <w:t xml:space="preserve"> de la misma ley establece que: “Las sanciones que puede imponer el juez penal de adolescentes son de tres clases: las sanciones socioeducativas, las órdenes de orientación y supervisión y las sanciones privativas de libertad”. Estas últimas tienen un carácter excepcional. </w:t>
      </w:r>
    </w:p>
    <w:p w:rsidR="00E7360B" w:rsidRDefault="00E7360B" w:rsidP="00855AFC">
      <w:pPr>
        <w:spacing w:before="240" w:after="0" w:line="240" w:lineRule="auto"/>
        <w:ind w:left="567" w:right="1183"/>
        <w:jc w:val="both"/>
        <w:rPr>
          <w:rFonts w:ascii="Times New Roman" w:hAnsi="Times New Roman" w:cs="Times New Roman"/>
          <w:sz w:val="20"/>
          <w:szCs w:val="20"/>
        </w:rPr>
      </w:pPr>
      <w:r w:rsidRPr="00035156">
        <w:rPr>
          <w:rFonts w:ascii="Times New Roman" w:hAnsi="Times New Roman" w:cs="Times New Roman"/>
          <w:sz w:val="20"/>
          <w:szCs w:val="20"/>
        </w:rPr>
        <w:t xml:space="preserve">169. </w:t>
      </w:r>
      <w:r w:rsidR="007D3BBC" w:rsidRPr="00035156">
        <w:rPr>
          <w:rFonts w:ascii="Times New Roman" w:hAnsi="Times New Roman" w:cs="Times New Roman"/>
          <w:b/>
          <w:i/>
          <w:sz w:val="20"/>
          <w:szCs w:val="20"/>
        </w:rPr>
        <w:t>Corregido:</w:t>
      </w:r>
      <w:r w:rsidR="007D3BBC" w:rsidRPr="00035156">
        <w:rPr>
          <w:rFonts w:ascii="Times New Roman" w:hAnsi="Times New Roman" w:cs="Times New Roman"/>
          <w:sz w:val="20"/>
          <w:szCs w:val="20"/>
        </w:rPr>
        <w:t xml:space="preserve"> </w:t>
      </w:r>
      <w:r w:rsidRPr="00035156">
        <w:rPr>
          <w:rFonts w:ascii="Times New Roman" w:hAnsi="Times New Roman" w:cs="Times New Roman"/>
          <w:sz w:val="20"/>
          <w:szCs w:val="20"/>
        </w:rPr>
        <w:t xml:space="preserve">El artículo </w:t>
      </w:r>
      <w:r w:rsidRPr="00035156">
        <w:rPr>
          <w:rFonts w:ascii="Times New Roman" w:hAnsi="Times New Roman" w:cs="Times New Roman"/>
          <w:b/>
          <w:sz w:val="20"/>
          <w:szCs w:val="20"/>
        </w:rPr>
        <w:t>128</w:t>
      </w:r>
      <w:r w:rsidRPr="00035156">
        <w:rPr>
          <w:rFonts w:ascii="Times New Roman" w:hAnsi="Times New Roman" w:cs="Times New Roman"/>
          <w:sz w:val="20"/>
          <w:szCs w:val="20"/>
        </w:rPr>
        <w:t xml:space="preserve"> de la misma ley establece que: “Las sanciones que puede imponer el juez penal de adolescentes son de tres clases: las sanciones socioeducativas, las órdenes de orientación y supervisión y las sanciones privativas de libertad”. Estas últimas tienen un carácter excepcional.</w:t>
      </w:r>
    </w:p>
    <w:p w:rsidR="007B36E1" w:rsidRDefault="007B36E1" w:rsidP="00855AFC">
      <w:pPr>
        <w:pStyle w:val="SingleTxtG"/>
        <w:spacing w:before="240"/>
        <w:ind w:left="567"/>
        <w:rPr>
          <w:color w:val="000000"/>
        </w:rPr>
      </w:pPr>
      <w:r w:rsidRPr="00BF7AA8">
        <w:t>172.</w:t>
      </w:r>
      <w:r>
        <w:t xml:space="preserve"> </w:t>
      </w:r>
      <w:r w:rsidRPr="007B36E1">
        <w:rPr>
          <w:b/>
          <w:i/>
        </w:rPr>
        <w:t>Actual:</w:t>
      </w:r>
      <w:r>
        <w:t xml:space="preserve"> </w:t>
      </w:r>
      <w:r w:rsidRPr="00BF7AA8">
        <w:t xml:space="preserve">Para los adolescentes de 15 a 18 años de edad, el Instituto de Estudios Interdisciplinarios supervisa las sanciones socioeducativas impuestas por el juez penal de adolescentes, tales como sanciones socioeducativas como la participación obligatoria en programas de asistencia, la prestación de servicios a la comunidad y la reparación de daños a la víctima. Actualmente el Estado panameño se encuentra trabajando en el fortalecimiento de este tipo de </w:t>
      </w:r>
      <w:r w:rsidRPr="00C278AC">
        <w:rPr>
          <w:b/>
        </w:rPr>
        <w:t>medidas</w:t>
      </w:r>
      <w:r w:rsidRPr="00BF7AA8">
        <w:t xml:space="preserve">, contando con el respaldo de UNICEF. Asimismo </w:t>
      </w:r>
      <w:r w:rsidRPr="00BF7AA8">
        <w:rPr>
          <w:color w:val="000000"/>
        </w:rPr>
        <w:t>se cuenta con el apoyo de diversas organizaciones no gubernamentales para la creación de oportunidades y e</w:t>
      </w:r>
      <w:r>
        <w:rPr>
          <w:color w:val="000000"/>
        </w:rPr>
        <w:t>l seguimiento de estos jóvenes.</w:t>
      </w:r>
    </w:p>
    <w:p w:rsidR="007B36E1" w:rsidRPr="00BF7AA8" w:rsidRDefault="007B36E1" w:rsidP="00855AFC">
      <w:pPr>
        <w:pStyle w:val="SingleTxtG"/>
        <w:spacing w:before="240"/>
        <w:ind w:left="567"/>
        <w:rPr>
          <w:color w:val="000000"/>
        </w:rPr>
      </w:pPr>
      <w:r w:rsidRPr="00BF7AA8">
        <w:t>172.</w:t>
      </w:r>
      <w:r>
        <w:t xml:space="preserve"> </w:t>
      </w:r>
      <w:r w:rsidRPr="007B36E1">
        <w:rPr>
          <w:b/>
          <w:i/>
        </w:rPr>
        <w:t>Corregido:</w:t>
      </w:r>
      <w:r>
        <w:t xml:space="preserve"> </w:t>
      </w:r>
      <w:r w:rsidRPr="00BF7AA8">
        <w:t xml:space="preserve">Para los adolescentes de 15 a 18 años de edad, el Instituto de Estudios Interdisciplinarios supervisa las sanciones socioeducativas impuestas por el juez penal de adolescentes, tales como sanciones socioeducativas como la participación obligatoria en programas de asistencia, la prestación de servicios a la comunidad y la reparación de daños a la víctima. Actualmente el Estado panameño se encuentra trabajando en el fortalecimiento de este tipo de </w:t>
      </w:r>
      <w:r w:rsidR="00C278AC" w:rsidRPr="00C278AC">
        <w:rPr>
          <w:b/>
        </w:rPr>
        <w:t>programas</w:t>
      </w:r>
      <w:r w:rsidRPr="00BF7AA8">
        <w:t xml:space="preserve">, contando con el respaldo de UNICEF. </w:t>
      </w:r>
      <w:r w:rsidRPr="00BF7AA8">
        <w:lastRenderedPageBreak/>
        <w:t xml:space="preserve">Asimismo </w:t>
      </w:r>
      <w:r w:rsidRPr="00BF7AA8">
        <w:rPr>
          <w:color w:val="000000"/>
        </w:rPr>
        <w:t>se cuenta con el apoyo de diversas organizaciones no gubernamentales para la creación de oportunidades y e</w:t>
      </w:r>
      <w:r>
        <w:rPr>
          <w:color w:val="000000"/>
        </w:rPr>
        <w:t>l seguimiento de estos jóvenes.</w:t>
      </w:r>
    </w:p>
    <w:p w:rsidR="00ED3FB1" w:rsidRDefault="00ED3FB1" w:rsidP="00855AFC">
      <w:pPr>
        <w:pStyle w:val="SingleTxtG"/>
        <w:spacing w:before="240"/>
        <w:ind w:left="567"/>
      </w:pPr>
      <w:r w:rsidRPr="00BF7AA8">
        <w:t>218.</w:t>
      </w:r>
      <w:r>
        <w:t xml:space="preserve"> </w:t>
      </w:r>
      <w:r w:rsidRPr="00ED3FB1">
        <w:rPr>
          <w:b/>
          <w:i/>
        </w:rPr>
        <w:t>Actual:</w:t>
      </w:r>
      <w:r>
        <w:t xml:space="preserve"> </w:t>
      </w:r>
      <w:r w:rsidRPr="00BF7AA8">
        <w:t xml:space="preserve">También se está trabajando en el mejoramiento de la infraestructura penitenciaria, pues consideramos que una adecuada infraestructura es necesaria para contar con un ambiente propicio para la rehabilitación de las personas privadas de libertad en condiciones de seguridad, pero especialmente para garantizar sus derechos humanos. En este sentido, actualmente se está llevando a cabo un plan de mejoramiento de los centros penitenciarios La Joya y La Joyita y se tiene planificado </w:t>
      </w:r>
      <w:r w:rsidRPr="00ED3FB1">
        <w:rPr>
          <w:b/>
        </w:rPr>
        <w:t xml:space="preserve">tres (3) </w:t>
      </w:r>
      <w:r w:rsidRPr="00BF7AA8">
        <w:t xml:space="preserve">nuevos centros penitenciarios para adultos, </w:t>
      </w:r>
      <w:r w:rsidRPr="00ED3FB1">
        <w:rPr>
          <w:b/>
        </w:rPr>
        <w:t xml:space="preserve">dos </w:t>
      </w:r>
      <w:r w:rsidRPr="00ED3FB1">
        <w:t>de ellos</w:t>
      </w:r>
      <w:r w:rsidRPr="00BF7AA8">
        <w:t xml:space="preserve"> que reemplazarán estructuras actuales y uno estará ubicado en la provincia de Darién, donde no existe un centro penitenciario. De los otros </w:t>
      </w:r>
      <w:r w:rsidRPr="00ED3FB1">
        <w:rPr>
          <w:b/>
        </w:rPr>
        <w:t>dos</w:t>
      </w:r>
      <w:r w:rsidRPr="00BF7AA8">
        <w:t>, uno</w:t>
      </w:r>
      <w:r>
        <w:t xml:space="preserve"> </w:t>
      </w:r>
      <w:r w:rsidRPr="00BF7AA8">
        <w:t>estará en la provincia de Panamá, será destinado exclusivamente para mujeres y contará con un área maternal,</w:t>
      </w:r>
      <w:r>
        <w:t xml:space="preserve"> </w:t>
      </w:r>
      <w:r w:rsidRPr="00BF7AA8">
        <w:t>el otro estará ubicado en la Provincia de Colón y contará con un área para hombres y otra área para mujeres, esta últim</w:t>
      </w:r>
      <w:r>
        <w:t>a también con un área maternal.</w:t>
      </w:r>
    </w:p>
    <w:p w:rsidR="00ED3FB1" w:rsidRPr="00BF7AA8" w:rsidRDefault="00ED3FB1" w:rsidP="00855AFC">
      <w:pPr>
        <w:pStyle w:val="SingleTxtG"/>
        <w:spacing w:before="240"/>
        <w:ind w:left="567"/>
      </w:pPr>
      <w:r w:rsidRPr="00BF7AA8">
        <w:t>218.</w:t>
      </w:r>
      <w:r>
        <w:t xml:space="preserve"> </w:t>
      </w:r>
      <w:r>
        <w:rPr>
          <w:b/>
          <w:i/>
        </w:rPr>
        <w:t>Corregido</w:t>
      </w:r>
      <w:r w:rsidRPr="00ED3FB1">
        <w:rPr>
          <w:b/>
          <w:i/>
        </w:rPr>
        <w:t>:</w:t>
      </w:r>
      <w:r>
        <w:t xml:space="preserve"> </w:t>
      </w:r>
      <w:r w:rsidRPr="00BF7AA8">
        <w:t xml:space="preserve">También se está trabajando en el mejoramiento de la infraestructura penitenciaria, pues consideramos que una adecuada infraestructura es necesaria para contar con un ambiente propicio para la rehabilitación de las personas privadas de libertad en condiciones de seguridad, pero especialmente para garantizar sus derechos humanos. En este sentido, actualmente se está llevando a cabo un plan de mejoramiento de los centros penitenciarios La Joya y La Joyita y se tiene planificado </w:t>
      </w:r>
      <w:r w:rsidR="00EF0C1D" w:rsidRPr="00EF0C1D">
        <w:rPr>
          <w:b/>
        </w:rPr>
        <w:t>cuatro</w:t>
      </w:r>
      <w:r w:rsidRPr="00EF0C1D">
        <w:rPr>
          <w:b/>
        </w:rPr>
        <w:t xml:space="preserve"> (</w:t>
      </w:r>
      <w:r w:rsidR="00EF0C1D" w:rsidRPr="00EF0C1D">
        <w:rPr>
          <w:b/>
        </w:rPr>
        <w:t>4</w:t>
      </w:r>
      <w:r w:rsidRPr="00EF0C1D">
        <w:rPr>
          <w:b/>
        </w:rPr>
        <w:t>)</w:t>
      </w:r>
      <w:r w:rsidRPr="00BF7AA8">
        <w:t xml:space="preserve"> nuevos centros penitenciarios para adultos, </w:t>
      </w:r>
      <w:r w:rsidR="00EF0C1D" w:rsidRPr="00EF0C1D">
        <w:rPr>
          <w:b/>
        </w:rPr>
        <w:t>tres</w:t>
      </w:r>
      <w:r w:rsidR="00EF0C1D">
        <w:t xml:space="preserve"> </w:t>
      </w:r>
      <w:r w:rsidRPr="00BF7AA8">
        <w:t xml:space="preserve">de ellos que reemplazarán estructuras actuales y uno estará ubicado en la provincia de Darién, donde no existe un centro penitenciario. De los otros </w:t>
      </w:r>
      <w:r w:rsidR="00EF0C1D" w:rsidRPr="00EF0C1D">
        <w:rPr>
          <w:b/>
        </w:rPr>
        <w:t>tres</w:t>
      </w:r>
      <w:r w:rsidRPr="00BF7AA8">
        <w:t>, uno</w:t>
      </w:r>
      <w:r>
        <w:t xml:space="preserve"> </w:t>
      </w:r>
      <w:r w:rsidRPr="00BF7AA8">
        <w:t>estará en la provincia de Panamá, será destinado exclusivamente para mujeres y contará con un área maternal,</w:t>
      </w:r>
      <w:r>
        <w:t xml:space="preserve"> </w:t>
      </w:r>
      <w:r w:rsidRPr="00BF7AA8">
        <w:t>el otro estará ubicado en la Provincia de Colón y contará con un área para hombres y otra área para mujeres, esta últim</w:t>
      </w:r>
      <w:r w:rsidR="00EF0C1D">
        <w:t>a también con un área maternal</w:t>
      </w:r>
      <w:r w:rsidR="00EF0C1D" w:rsidRPr="00EF0C1D">
        <w:rPr>
          <w:b/>
        </w:rPr>
        <w:t>;</w:t>
      </w:r>
      <w:r w:rsidR="00EF0C1D">
        <w:t xml:space="preserve"> </w:t>
      </w:r>
      <w:r w:rsidR="00EF0C1D" w:rsidRPr="00EF0C1D">
        <w:rPr>
          <w:b/>
        </w:rPr>
        <w:t>y el tercero estará ubicado en la Provincia de Chiriquí</w:t>
      </w:r>
      <w:r w:rsidR="00EF0C1D">
        <w:t>.</w:t>
      </w:r>
    </w:p>
    <w:p w:rsidR="00ED3FB1" w:rsidRDefault="00ED3FB1" w:rsidP="00ED3FB1">
      <w:pPr>
        <w:pStyle w:val="SingleTxtG"/>
        <w:ind w:left="567"/>
      </w:pPr>
    </w:p>
    <w:p w:rsidR="00ED3FB1" w:rsidRPr="00BF7AA8" w:rsidRDefault="00ED3FB1" w:rsidP="00ED3FB1">
      <w:pPr>
        <w:pStyle w:val="SingleTxtG"/>
        <w:ind w:left="567"/>
      </w:pPr>
    </w:p>
    <w:p w:rsidR="00ED3FB1" w:rsidRPr="00035156" w:rsidRDefault="00ED3FB1" w:rsidP="00E25A9B">
      <w:pPr>
        <w:pStyle w:val="Sinespaciado"/>
        <w:ind w:left="567" w:right="1183"/>
        <w:jc w:val="both"/>
        <w:rPr>
          <w:rFonts w:ascii="Times New Roman" w:hAnsi="Times New Roman" w:cs="Times New Roman"/>
          <w:sz w:val="20"/>
          <w:szCs w:val="20"/>
          <w:lang w:val="es-ES"/>
        </w:rPr>
      </w:pPr>
    </w:p>
    <w:p w:rsidR="00491856" w:rsidRPr="00035156" w:rsidRDefault="00491856" w:rsidP="00E25A9B">
      <w:pPr>
        <w:pStyle w:val="SingleTxtG"/>
        <w:spacing w:after="0" w:line="240" w:lineRule="auto"/>
        <w:ind w:left="0"/>
        <w:rPr>
          <w:iCs/>
        </w:rPr>
      </w:pPr>
    </w:p>
    <w:p w:rsidR="00E20B65" w:rsidRPr="00035156" w:rsidRDefault="00E20B65" w:rsidP="00E25A9B">
      <w:pPr>
        <w:pStyle w:val="SingleTxtG"/>
        <w:spacing w:after="0" w:line="240" w:lineRule="auto"/>
        <w:ind w:left="0"/>
        <w:rPr>
          <w:iCs/>
        </w:rPr>
      </w:pPr>
    </w:p>
    <w:p w:rsidR="00E20B65" w:rsidRPr="00035156" w:rsidRDefault="00E20B65" w:rsidP="00E25A9B">
      <w:pPr>
        <w:spacing w:after="0" w:line="240" w:lineRule="auto"/>
        <w:rPr>
          <w:rFonts w:ascii="Times New Roman" w:hAnsi="Times New Roman" w:cs="Times New Roman"/>
          <w:sz w:val="20"/>
          <w:szCs w:val="20"/>
          <w:lang w:val="es-ES"/>
        </w:rPr>
      </w:pPr>
    </w:p>
    <w:sectPr w:rsidR="00E20B65" w:rsidRPr="00035156" w:rsidSect="00855AFC">
      <w:headerReference w:type="default" r:id="rId7"/>
      <w:pgSz w:w="12240" w:h="15840"/>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F8C" w:rsidRDefault="00813F8C" w:rsidP="00813533">
      <w:pPr>
        <w:spacing w:after="0" w:line="240" w:lineRule="auto"/>
      </w:pPr>
      <w:r>
        <w:separator/>
      </w:r>
    </w:p>
  </w:endnote>
  <w:endnote w:type="continuationSeparator" w:id="0">
    <w:p w:rsidR="00813F8C" w:rsidRDefault="00813F8C" w:rsidP="00813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F8C" w:rsidRDefault="00813F8C" w:rsidP="00813533">
      <w:pPr>
        <w:spacing w:after="0" w:line="240" w:lineRule="auto"/>
      </w:pPr>
      <w:r>
        <w:separator/>
      </w:r>
    </w:p>
  </w:footnote>
  <w:footnote w:type="continuationSeparator" w:id="0">
    <w:p w:rsidR="00813F8C" w:rsidRDefault="00813F8C" w:rsidP="008135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3533" w:rsidRPr="00813533" w:rsidRDefault="00813533" w:rsidP="00813533">
    <w:pPr>
      <w:pStyle w:val="Encabezado"/>
      <w:jc w:val="center"/>
      <w:rPr>
        <w:b/>
      </w:rPr>
    </w:pPr>
    <w:r w:rsidRPr="00813533">
      <w:rPr>
        <w:b/>
      </w:rPr>
      <w:t>FE DE ERRATAS PRESENTADO POR LA REPÚBLICA DE PANAMÁ AL IV INFORME AL COMITÉ CONTRA LA TORTURA</w:t>
    </w:r>
  </w:p>
  <w:p w:rsidR="00813533" w:rsidRPr="00813533" w:rsidRDefault="00813533" w:rsidP="00813533">
    <w:pPr>
      <w:pStyle w:val="Encabezado"/>
      <w:jc w:val="center"/>
      <w:rPr>
        <w:b/>
      </w:rPr>
    </w:pPr>
    <w:r w:rsidRPr="00813533">
      <w:rPr>
        <w:b/>
      </w:rPr>
      <w:t>CAT/</w:t>
    </w:r>
    <w:r w:rsidR="00886AC4">
      <w:rPr>
        <w:b/>
      </w:rPr>
      <w:t>C/PAN/4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409"/>
    <w:rsid w:val="00035156"/>
    <w:rsid w:val="001B6FBA"/>
    <w:rsid w:val="001F5936"/>
    <w:rsid w:val="0029027F"/>
    <w:rsid w:val="00491856"/>
    <w:rsid w:val="004C023B"/>
    <w:rsid w:val="006E7EC0"/>
    <w:rsid w:val="007B36E1"/>
    <w:rsid w:val="007D3BBC"/>
    <w:rsid w:val="007F581B"/>
    <w:rsid w:val="00813533"/>
    <w:rsid w:val="00813F8C"/>
    <w:rsid w:val="00855AFC"/>
    <w:rsid w:val="00865B3F"/>
    <w:rsid w:val="00886AC4"/>
    <w:rsid w:val="008F28A6"/>
    <w:rsid w:val="00A27358"/>
    <w:rsid w:val="00C278AC"/>
    <w:rsid w:val="00CC56DE"/>
    <w:rsid w:val="00D65434"/>
    <w:rsid w:val="00DA5D1F"/>
    <w:rsid w:val="00E06250"/>
    <w:rsid w:val="00E20B65"/>
    <w:rsid w:val="00E25A9B"/>
    <w:rsid w:val="00E557B0"/>
    <w:rsid w:val="00E60409"/>
    <w:rsid w:val="00E7360B"/>
    <w:rsid w:val="00E81DD2"/>
    <w:rsid w:val="00ED3FB1"/>
    <w:rsid w:val="00EF0C1D"/>
    <w:rsid w:val="00EF7EE2"/>
    <w:rsid w:val="00F9522C"/>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rsid w:val="00E20B65"/>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Sinespaciado">
    <w:name w:val="No Spacing"/>
    <w:uiPriority w:val="1"/>
    <w:qFormat/>
    <w:rsid w:val="00491856"/>
    <w:pPr>
      <w:spacing w:after="0" w:line="240" w:lineRule="auto"/>
    </w:pPr>
  </w:style>
  <w:style w:type="paragraph" w:styleId="Encabezado">
    <w:name w:val="header"/>
    <w:basedOn w:val="Normal"/>
    <w:link w:val="EncabezadoCar"/>
    <w:uiPriority w:val="99"/>
    <w:unhideWhenUsed/>
    <w:rsid w:val="0081353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13533"/>
  </w:style>
  <w:style w:type="paragraph" w:styleId="Piedepgina">
    <w:name w:val="footer"/>
    <w:basedOn w:val="Normal"/>
    <w:link w:val="PiedepginaCar"/>
    <w:uiPriority w:val="99"/>
    <w:unhideWhenUsed/>
    <w:rsid w:val="0081353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35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rsid w:val="00E20B65"/>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Sinespaciado">
    <w:name w:val="No Spacing"/>
    <w:uiPriority w:val="1"/>
    <w:qFormat/>
    <w:rsid w:val="00491856"/>
    <w:pPr>
      <w:spacing w:after="0" w:line="240" w:lineRule="auto"/>
    </w:pPr>
  </w:style>
  <w:style w:type="paragraph" w:styleId="Encabezado">
    <w:name w:val="header"/>
    <w:basedOn w:val="Normal"/>
    <w:link w:val="EncabezadoCar"/>
    <w:uiPriority w:val="99"/>
    <w:unhideWhenUsed/>
    <w:rsid w:val="0081353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13533"/>
  </w:style>
  <w:style w:type="paragraph" w:styleId="Piedepgina">
    <w:name w:val="footer"/>
    <w:basedOn w:val="Normal"/>
    <w:link w:val="PiedepginaCar"/>
    <w:uiPriority w:val="99"/>
    <w:unhideWhenUsed/>
    <w:rsid w:val="0081353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35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38AECE-A690-49EA-9E05-D8567A0E3190}"/>
</file>

<file path=customXml/itemProps2.xml><?xml version="1.0" encoding="utf-8"?>
<ds:datastoreItem xmlns:ds="http://schemas.openxmlformats.org/officeDocument/2006/customXml" ds:itemID="{3164FB31-C4E0-4ECF-B179-8D04073D87DE}"/>
</file>

<file path=customXml/itemProps3.xml><?xml version="1.0" encoding="utf-8"?>
<ds:datastoreItem xmlns:ds="http://schemas.openxmlformats.org/officeDocument/2006/customXml" ds:itemID="{85AD3F2C-C913-483D-9608-D1098BBDCA78}"/>
</file>

<file path=docProps/app.xml><?xml version="1.0" encoding="utf-8"?>
<Properties xmlns="http://schemas.openxmlformats.org/officeDocument/2006/extended-properties" xmlns:vt="http://schemas.openxmlformats.org/officeDocument/2006/docPropsVTypes">
  <Template>Normal</Template>
  <TotalTime>0</TotalTime>
  <Pages>2</Pages>
  <Words>904</Words>
  <Characters>4978</Characters>
  <Application>Microsoft Office Word</Application>
  <DocSecurity>4</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REP-10</dc:creator>
  <cp:lastModifiedBy>Portugal Falcón</cp:lastModifiedBy>
  <cp:revision>2</cp:revision>
  <dcterms:created xsi:type="dcterms:W3CDTF">2017-07-11T10:32:00Z</dcterms:created>
  <dcterms:modified xsi:type="dcterms:W3CDTF">2017-07-11T10:32:00Z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