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3B15F4" w14:textId="6DCE861E" w:rsidR="007051FE" w:rsidRDefault="00DF5E2F" w:rsidP="00DF5E2F">
      <w:pPr>
        <w:pStyle w:val="BodyText"/>
        <w:ind w:left="0"/>
        <w:jc w:val="left"/>
        <w:rPr>
          <w:rFonts w:ascii="Times New Roman"/>
          <w:sz w:val="11"/>
        </w:rPr>
      </w:pPr>
      <w:bookmarkStart w:id="0" w:name="_GoBack"/>
      <w:bookmarkEnd w:id="0"/>
      <w:r>
        <w:rPr>
          <w:noProof/>
          <w:lang w:val="en-GB" w:eastAsia="en-GB"/>
        </w:rPr>
        <w:drawing>
          <wp:anchor distT="0" distB="0" distL="114300" distR="114300" simplePos="0" relativeHeight="251673599" behindDoc="0" locked="0" layoutInCell="1" allowOverlap="1" wp14:anchorId="0CFD80F2" wp14:editId="2410658D">
            <wp:simplePos x="0" y="0"/>
            <wp:positionH relativeFrom="page">
              <wp:posOffset>-369570</wp:posOffset>
            </wp:positionH>
            <wp:positionV relativeFrom="page">
              <wp:posOffset>794385</wp:posOffset>
            </wp:positionV>
            <wp:extent cx="7921625" cy="750570"/>
            <wp:effectExtent l="0" t="0" r="3175" b="0"/>
            <wp:wrapSquare wrapText="bothSides"/>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3150" r="68415" b="91127"/>
                    <a:stretch/>
                  </pic:blipFill>
                  <pic:spPr bwMode="auto">
                    <a:xfrm>
                      <a:off x="0" y="0"/>
                      <a:ext cx="7921625" cy="7505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79744" behindDoc="0" locked="0" layoutInCell="1" allowOverlap="1" wp14:anchorId="29D8F12B" wp14:editId="3F7D4A08">
            <wp:simplePos x="0" y="0"/>
            <wp:positionH relativeFrom="margin">
              <wp:posOffset>-649696</wp:posOffset>
            </wp:positionH>
            <wp:positionV relativeFrom="margin">
              <wp:posOffset>511356</wp:posOffset>
            </wp:positionV>
            <wp:extent cx="7009765" cy="1174750"/>
            <wp:effectExtent l="0" t="0" r="635" b="635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31308" t="3527" r="45075" b="88916"/>
                    <a:stretch/>
                  </pic:blipFill>
                  <pic:spPr bwMode="auto">
                    <a:xfrm>
                      <a:off x="0" y="0"/>
                      <a:ext cx="7009765" cy="1174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75290">
        <w:rPr>
          <w:rFonts w:ascii="Times New Roman"/>
          <w:sz w:val="11"/>
        </w:rPr>
        <w:t xml:space="preserve"> </w:t>
      </w:r>
    </w:p>
    <w:p w14:paraId="26FC2DDA" w14:textId="77777777" w:rsidR="00DF5E2F" w:rsidRPr="00DF5E2F" w:rsidRDefault="00DF5E2F" w:rsidP="00DF5E2F">
      <w:pPr>
        <w:pStyle w:val="BodyText"/>
        <w:ind w:left="0"/>
        <w:jc w:val="left"/>
        <w:rPr>
          <w:rFonts w:ascii="Times New Roman"/>
          <w:sz w:val="11"/>
        </w:rPr>
      </w:pPr>
    </w:p>
    <w:p w14:paraId="68CCB22E" w14:textId="43FF8ED8" w:rsidR="0066751F" w:rsidRPr="0066751F" w:rsidRDefault="0066751F" w:rsidP="0066751F">
      <w:pPr>
        <w:spacing w:before="200"/>
        <w:jc w:val="both"/>
        <w:rPr>
          <w:rFonts w:ascii="Trebuchet MS" w:hAnsi="Trebuchet MS" w:cs="Times New Roman"/>
          <w:b/>
          <w:bCs/>
          <w:color w:val="C00000"/>
          <w:w w:val="110"/>
          <w:sz w:val="36"/>
          <w:szCs w:val="36"/>
        </w:rPr>
      </w:pPr>
      <w:r w:rsidRPr="0066751F">
        <w:rPr>
          <w:rFonts w:ascii="Trebuchet MS" w:hAnsi="Trebuchet MS" w:cs="Times New Roman"/>
          <w:b/>
          <w:bCs/>
          <w:color w:val="C00000"/>
          <w:w w:val="110"/>
          <w:sz w:val="36"/>
          <w:szCs w:val="36"/>
        </w:rPr>
        <w:t>Situación de la salud y derechos sexuales y derechos reproductivos en Guatemala</w:t>
      </w:r>
    </w:p>
    <w:p w14:paraId="69907979" w14:textId="7D32936A" w:rsidR="00994593" w:rsidRDefault="00994593" w:rsidP="0066751F">
      <w:pPr>
        <w:spacing w:before="200"/>
        <w:jc w:val="both"/>
        <w:rPr>
          <w:rFonts w:ascii="Trebuchet MS" w:hAnsi="Trebuchet MS" w:cs="Times New Roman"/>
          <w:b/>
          <w:bCs/>
          <w:spacing w:val="-2"/>
          <w:w w:val="115"/>
          <w:sz w:val="28"/>
          <w:szCs w:val="28"/>
        </w:rPr>
      </w:pPr>
      <w:r w:rsidRPr="00994593">
        <w:rPr>
          <w:b/>
          <w:bCs/>
          <w:noProof/>
          <w:sz w:val="28"/>
          <w:szCs w:val="28"/>
          <w:lang w:val="en-GB" w:eastAsia="en-GB"/>
        </w:rPr>
        <w:drawing>
          <wp:anchor distT="0" distB="0" distL="114300" distR="114300" simplePos="0" relativeHeight="251681792" behindDoc="0" locked="0" layoutInCell="1" allowOverlap="1" wp14:anchorId="0DE5159A" wp14:editId="7234BD6D">
            <wp:simplePos x="0" y="0"/>
            <wp:positionH relativeFrom="page">
              <wp:posOffset>3782695</wp:posOffset>
            </wp:positionH>
            <wp:positionV relativeFrom="paragraph">
              <wp:posOffset>450124</wp:posOffset>
            </wp:positionV>
            <wp:extent cx="3779520" cy="3435350"/>
            <wp:effectExtent l="0" t="0" r="0" b="0"/>
            <wp:wrapThrough wrapText="bothSides">
              <wp:wrapPolygon edited="0">
                <wp:start x="0" y="0"/>
                <wp:lineTo x="0" y="21440"/>
                <wp:lineTo x="21448" y="21440"/>
                <wp:lineTo x="21448" y="0"/>
                <wp:lineTo x="0"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3479" t="8893" b="-1"/>
                    <a:stretch/>
                  </pic:blipFill>
                  <pic:spPr bwMode="auto">
                    <a:xfrm>
                      <a:off x="0" y="0"/>
                      <a:ext cx="3779520" cy="3435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6751F" w:rsidRPr="0066751F">
        <w:rPr>
          <w:rFonts w:ascii="Trebuchet MS" w:hAnsi="Trebuchet MS" w:cs="Times New Roman"/>
          <w:b/>
          <w:bCs/>
          <w:w w:val="110"/>
          <w:sz w:val="28"/>
          <w:szCs w:val="28"/>
        </w:rPr>
        <w:t>Contribución presentada al Comité de Derechos</w:t>
      </w:r>
      <w:r w:rsidR="0066751F" w:rsidRPr="0066751F">
        <w:rPr>
          <w:rFonts w:ascii="Trebuchet MS" w:hAnsi="Trebuchet MS" w:cs="Times New Roman"/>
          <w:b/>
          <w:bCs/>
          <w:spacing w:val="1"/>
          <w:w w:val="110"/>
          <w:sz w:val="28"/>
          <w:szCs w:val="28"/>
        </w:rPr>
        <w:t xml:space="preserve"> </w:t>
      </w:r>
      <w:r w:rsidR="0066751F" w:rsidRPr="0066751F">
        <w:rPr>
          <w:rFonts w:ascii="Trebuchet MS" w:hAnsi="Trebuchet MS" w:cs="Times New Roman"/>
          <w:b/>
          <w:bCs/>
          <w:spacing w:val="-2"/>
          <w:w w:val="115"/>
          <w:sz w:val="28"/>
          <w:szCs w:val="28"/>
        </w:rPr>
        <w:t>Económicos Sociales y Culturales</w:t>
      </w:r>
    </w:p>
    <w:p w14:paraId="1803D727" w14:textId="36D7505B" w:rsidR="00DF5E2F" w:rsidRPr="00994593" w:rsidRDefault="002A0756" w:rsidP="0066751F">
      <w:pPr>
        <w:spacing w:before="200"/>
        <w:jc w:val="both"/>
        <w:rPr>
          <w:spacing w:val="-2"/>
          <w:w w:val="115"/>
          <w:sz w:val="28"/>
          <w:szCs w:val="28"/>
        </w:rPr>
      </w:pPr>
      <w:r w:rsidRPr="00994593">
        <w:rPr>
          <w:sz w:val="28"/>
          <w:szCs w:val="28"/>
        </w:rPr>
        <w:t xml:space="preserve">Sesión 72 - Sep </w:t>
      </w:r>
      <w:r w:rsidR="00994593" w:rsidRPr="00994593">
        <w:rPr>
          <w:sz w:val="28"/>
          <w:szCs w:val="28"/>
        </w:rPr>
        <w:t>-</w:t>
      </w:r>
      <w:r w:rsidRPr="00994593">
        <w:rPr>
          <w:sz w:val="28"/>
          <w:szCs w:val="28"/>
        </w:rPr>
        <w:t xml:space="preserve"> Oct 2022</w:t>
      </w:r>
    </w:p>
    <w:p w14:paraId="4C17900B" w14:textId="45678C9C" w:rsidR="00DF5E2F" w:rsidRDefault="00994593" w:rsidP="0066751F">
      <w:pPr>
        <w:spacing w:before="200"/>
        <w:jc w:val="both"/>
        <w:rPr>
          <w:rFonts w:ascii="Trebuchet MS" w:hAnsi="Trebuchet MS" w:cs="Times New Roman"/>
          <w:b/>
          <w:bCs/>
          <w:spacing w:val="-2"/>
          <w:w w:val="115"/>
          <w:sz w:val="28"/>
          <w:szCs w:val="28"/>
        </w:rPr>
      </w:pPr>
      <w:r>
        <w:rPr>
          <w:b/>
          <w:noProof/>
          <w:lang w:val="en-GB" w:eastAsia="en-GB"/>
        </w:rPr>
        <mc:AlternateContent>
          <mc:Choice Requires="wps">
            <w:drawing>
              <wp:anchor distT="0" distB="0" distL="114300" distR="114300" simplePos="0" relativeHeight="251674624" behindDoc="0" locked="0" layoutInCell="1" allowOverlap="1" wp14:anchorId="4FF416BE" wp14:editId="257F409B">
                <wp:simplePos x="0" y="0"/>
                <wp:positionH relativeFrom="margin">
                  <wp:posOffset>-150223</wp:posOffset>
                </wp:positionH>
                <wp:positionV relativeFrom="paragraph">
                  <wp:posOffset>137251</wp:posOffset>
                </wp:positionV>
                <wp:extent cx="5727700" cy="12700"/>
                <wp:effectExtent l="0" t="0" r="25400" b="25400"/>
                <wp:wrapNone/>
                <wp:docPr id="16" name="Conector recto 16"/>
                <wp:cNvGraphicFramePr/>
                <a:graphic xmlns:a="http://schemas.openxmlformats.org/drawingml/2006/main">
                  <a:graphicData uri="http://schemas.microsoft.com/office/word/2010/wordprocessingShape">
                    <wps:wsp>
                      <wps:cNvCnPr/>
                      <wps:spPr>
                        <a:xfrm flipV="1">
                          <a:off x="0" y="0"/>
                          <a:ext cx="5727700" cy="12700"/>
                        </a:xfrm>
                        <a:prstGeom prst="line">
                          <a:avLst/>
                        </a:prstGeom>
                        <a:ln w="635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177BBBE" id="Conector recto 16" o:spid="_x0000_s1026" style="position:absolute;flip:y;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85pt,10.8pt" to="439.1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" strokecolor="gray [1629]" strokeweight=".5pt">
                <w10:wrap anchorx="margin"/>
              </v:line>
            </w:pict>
          </mc:Fallback>
        </mc:AlternateContent>
      </w:r>
    </w:p>
    <w:p w14:paraId="167D439B" w14:textId="06FA24EF" w:rsidR="00DF5E2F" w:rsidRDefault="00DF5E2F" w:rsidP="0066751F">
      <w:pPr>
        <w:spacing w:before="200"/>
        <w:jc w:val="both"/>
        <w:rPr>
          <w:rFonts w:ascii="Trebuchet MS" w:hAnsi="Trebuchet MS" w:cs="Times New Roman"/>
          <w:b/>
          <w:bCs/>
          <w:spacing w:val="-2"/>
          <w:w w:val="115"/>
          <w:sz w:val="28"/>
          <w:szCs w:val="28"/>
        </w:rPr>
      </w:pPr>
    </w:p>
    <w:p w14:paraId="04262BB3" w14:textId="50810AF9" w:rsidR="0058674A" w:rsidRDefault="0058674A" w:rsidP="0066751F">
      <w:pPr>
        <w:spacing w:before="200"/>
        <w:jc w:val="both"/>
        <w:rPr>
          <w:rFonts w:ascii="Trebuchet MS" w:hAnsi="Trebuchet MS" w:cs="Times New Roman"/>
          <w:b/>
          <w:bCs/>
          <w:spacing w:val="-2"/>
          <w:w w:val="115"/>
          <w:sz w:val="28"/>
          <w:szCs w:val="28"/>
        </w:rPr>
      </w:pPr>
    </w:p>
    <w:p w14:paraId="570C4CA5" w14:textId="14512288" w:rsidR="00DF5E2F" w:rsidRDefault="00DF5E2F" w:rsidP="0066751F">
      <w:pPr>
        <w:spacing w:before="200"/>
        <w:jc w:val="both"/>
        <w:rPr>
          <w:rFonts w:ascii="Trebuchet MS" w:hAnsi="Trebuchet MS" w:cs="Times New Roman"/>
          <w:b/>
          <w:bCs/>
          <w:spacing w:val="-2"/>
          <w:w w:val="115"/>
          <w:sz w:val="28"/>
          <w:szCs w:val="28"/>
        </w:rPr>
      </w:pPr>
    </w:p>
    <w:p w14:paraId="07A68A76" w14:textId="77777777" w:rsidR="00994593" w:rsidRDefault="00994593" w:rsidP="0066751F">
      <w:pPr>
        <w:spacing w:before="200"/>
        <w:jc w:val="both"/>
        <w:rPr>
          <w:rFonts w:ascii="Trebuchet MS" w:hAnsi="Trebuchet MS" w:cs="Times New Roman"/>
          <w:b/>
          <w:bCs/>
          <w:spacing w:val="-2"/>
          <w:w w:val="115"/>
          <w:sz w:val="28"/>
          <w:szCs w:val="28"/>
        </w:rPr>
      </w:pPr>
    </w:p>
    <w:p w14:paraId="735F3D35" w14:textId="5277C766" w:rsidR="0058674A" w:rsidRDefault="0058674A" w:rsidP="0066751F">
      <w:pPr>
        <w:spacing w:before="200"/>
        <w:jc w:val="both"/>
        <w:rPr>
          <w:rFonts w:ascii="Trebuchet MS" w:hAnsi="Trebuchet MS" w:cs="Times New Roman"/>
          <w:b/>
          <w:bCs/>
          <w:spacing w:val="-2"/>
          <w:w w:val="115"/>
          <w:sz w:val="28"/>
          <w:szCs w:val="28"/>
        </w:rPr>
      </w:pPr>
    </w:p>
    <w:p w14:paraId="58297948" w14:textId="77777777" w:rsidR="0058674A" w:rsidRDefault="0058674A" w:rsidP="0066751F">
      <w:pPr>
        <w:spacing w:before="200"/>
        <w:jc w:val="both"/>
        <w:rPr>
          <w:rFonts w:ascii="Trebuchet MS" w:hAnsi="Trebuchet MS" w:cs="Times New Roman"/>
          <w:b/>
          <w:bCs/>
          <w:spacing w:val="-2"/>
          <w:w w:val="115"/>
          <w:sz w:val="28"/>
          <w:szCs w:val="28"/>
        </w:rPr>
      </w:pPr>
    </w:p>
    <w:p w14:paraId="59C92689" w14:textId="3D0740A2" w:rsidR="0058674A" w:rsidRPr="00994593" w:rsidRDefault="00DF5E2F" w:rsidP="00994593">
      <w:pPr>
        <w:pStyle w:val="BodyText"/>
        <w:ind w:left="0"/>
        <w:jc w:val="left"/>
        <w:rPr>
          <w:rFonts w:ascii="Arial" w:eastAsia="Arial" w:hAnsi="Arial" w:cs="Arial"/>
          <w:b/>
          <w:bCs/>
          <w:color w:val="C00000"/>
          <w:sz w:val="24"/>
          <w:szCs w:val="24"/>
          <w:lang w:val="es" w:eastAsia="es-GT"/>
        </w:rPr>
      </w:pPr>
      <w:r w:rsidRPr="0058674A">
        <w:rPr>
          <w:rFonts w:ascii="Arial" w:eastAsia="Arial" w:hAnsi="Arial" w:cs="Arial"/>
          <w:b/>
          <w:bCs/>
          <w:color w:val="C00000"/>
          <w:sz w:val="24"/>
          <w:szCs w:val="24"/>
          <w:lang w:val="es" w:eastAsia="es-GT"/>
        </w:rPr>
        <w:t xml:space="preserve">El presente informe es presentado por la Comunidad de Acción del Programa We Lead/Nosotras </w:t>
      </w:r>
      <w:r w:rsidR="00994593">
        <w:rPr>
          <w:rFonts w:ascii="Arial" w:eastAsia="Arial" w:hAnsi="Arial" w:cs="Arial"/>
          <w:b/>
          <w:bCs/>
          <w:color w:val="C00000"/>
          <w:sz w:val="24"/>
          <w:szCs w:val="24"/>
          <w:lang w:val="es" w:eastAsia="es-GT"/>
        </w:rPr>
        <w:t>L</w:t>
      </w:r>
      <w:r w:rsidRPr="0058674A">
        <w:rPr>
          <w:rFonts w:ascii="Arial" w:eastAsia="Arial" w:hAnsi="Arial" w:cs="Arial"/>
          <w:b/>
          <w:bCs/>
          <w:color w:val="C00000"/>
          <w:sz w:val="24"/>
          <w:szCs w:val="24"/>
          <w:lang w:val="es" w:eastAsia="es-GT"/>
        </w:rPr>
        <w:t>ideramos en Guatemala.</w:t>
      </w:r>
    </w:p>
    <w:p w14:paraId="00000004" w14:textId="47671CD0" w:rsidR="00E15A1E" w:rsidRDefault="00C53903" w:rsidP="0058674A">
      <w:pPr>
        <w:spacing w:before="200"/>
        <w:jc w:val="both"/>
      </w:pPr>
      <w:r>
        <w:t xml:space="preserve">Esta coalición está conformada por organizaciones de sociedad civil y colectivas de mujeres diversas que trabajan en el </w:t>
      </w:r>
      <w:r>
        <w:t>fortalecimiento y el posicionamiento de la participación política de las mujeres jóvenes cuyas demandas han sido desatendidas por el Estado. A través de este informe, se aborda la situación particular de los derechos sexuales y reproductivos de las mujeres</w:t>
      </w:r>
      <w:r>
        <w:t xml:space="preserve"> jóvenes y adolescentes en Guatemala, poniendo en el centro a las Titulares de Derechos -TdD- que integran el programa </w:t>
      </w:r>
      <w:r>
        <w:rPr>
          <w:i/>
        </w:rPr>
        <w:t>WeLead</w:t>
      </w:r>
      <w:r>
        <w:t>: las que viven con VIH; las que se identifican como lesbianas, bisexuales, trans o intersex -LBTI-; las que viven con discapacidad</w:t>
      </w:r>
      <w:r>
        <w:t xml:space="preserve"> y las que son migrantes o han sido afectadas por el desplazamiento. Lo anterior desde una mirada interseccional que reconoce sus múltiples experiencias e identidades.</w:t>
      </w:r>
    </w:p>
    <w:p w14:paraId="5345AD40" w14:textId="77777777" w:rsidR="007051FE" w:rsidRDefault="007051FE" w:rsidP="007051FE">
      <w:pPr>
        <w:spacing w:before="200"/>
        <w:jc w:val="both"/>
      </w:pPr>
    </w:p>
    <w:p w14:paraId="00000005" w14:textId="77777777" w:rsidR="00E15A1E" w:rsidRDefault="00C53903" w:rsidP="003A2C13">
      <w:pPr>
        <w:numPr>
          <w:ilvl w:val="0"/>
          <w:numId w:val="2"/>
        </w:numPr>
        <w:spacing w:before="200"/>
        <w:ind w:left="567"/>
        <w:jc w:val="both"/>
        <w:rPr>
          <w:b/>
        </w:rPr>
      </w:pPr>
      <w:r>
        <w:rPr>
          <w:b/>
        </w:rPr>
        <w:lastRenderedPageBreak/>
        <w:t>Contexto</w:t>
      </w:r>
    </w:p>
    <w:p w14:paraId="00000006" w14:textId="041CD94E" w:rsidR="00E15A1E" w:rsidRDefault="00C53903">
      <w:pPr>
        <w:numPr>
          <w:ilvl w:val="0"/>
          <w:numId w:val="1"/>
        </w:numPr>
        <w:spacing w:before="200"/>
        <w:ind w:left="0"/>
        <w:jc w:val="both"/>
      </w:pPr>
      <w:r>
        <w:t xml:space="preserve">Guatemala está habitada por 14, 901, 286 personas, de las </w:t>
      </w:r>
      <w:r w:rsidR="008C3D51">
        <w:t>cuales, 7</w:t>
      </w:r>
      <w:r>
        <w:t>, 678, 190 son mujeres. Respecto al pueblo de pertenencia, el 41.74% se identifica como maya, el 55.95% como ladina, 1.75% como xinka, y el 0.18%, el 0.13% y el 0.25% como afrodescendiente, garífuna y extranjera respectivamente. Asimismo, el país se encuen</w:t>
      </w:r>
      <w:r>
        <w:t>tra sostenido principalmente por personas jóvenes,</w:t>
      </w:r>
      <w:r w:rsidR="00BB2212">
        <w:t xml:space="preserve"> 6 de cada 10 personas jóvenes que forman parte de la Población Económicamente Activa -PEA-</w:t>
      </w:r>
      <w:r w:rsidR="00BB2212">
        <w:rPr>
          <w:rStyle w:val="FootnoteReference"/>
        </w:rPr>
        <w:footnoteReference w:id="1"/>
      </w:r>
      <w:r w:rsidR="00BB2212">
        <w:t xml:space="preserve"> tienen entre 19 y 24 años. Además,</w:t>
      </w:r>
      <w:r>
        <w:t xml:space="preserve"> sólo respecto a la población femenina</w:t>
      </w:r>
      <w:r w:rsidR="00BB2212">
        <w:t xml:space="preserve"> total</w:t>
      </w:r>
      <w:r>
        <w:t xml:space="preserve">, el ​​33.84% tienen entre 13 y 29 </w:t>
      </w:r>
      <w:r>
        <w:t>años</w:t>
      </w:r>
      <w:r>
        <w:rPr>
          <w:vertAlign w:val="superscript"/>
        </w:rPr>
        <w:footnoteReference w:id="2"/>
      </w:r>
      <w:r>
        <w:t xml:space="preserve">. </w:t>
      </w:r>
    </w:p>
    <w:p w14:paraId="00000007" w14:textId="77777777" w:rsidR="00E15A1E" w:rsidRDefault="00C53903">
      <w:pPr>
        <w:numPr>
          <w:ilvl w:val="0"/>
          <w:numId w:val="1"/>
        </w:numPr>
        <w:spacing w:before="200"/>
        <w:ind w:left="0"/>
        <w:jc w:val="both"/>
      </w:pPr>
      <w:r>
        <w:t>Referente a la situación específica de las mujeres jóvenes de los grupos de titulares de derechos priorizados, se ha hecho evidente que las condiciones de vida son afectadas por la constante desigualdad, el racismo, la violencia y la exclusión a la</w:t>
      </w:r>
      <w:r>
        <w:t xml:space="preserve">s que son expuestas de manera reiterada. Esta situación implica que existan riesgos de sufrir distintas manifestaciones y grados de violencia, violencia sexual, de género, discriminación y lesbo-bi-trans-intersexfobia. </w:t>
      </w:r>
    </w:p>
    <w:p w14:paraId="00000008" w14:textId="77777777" w:rsidR="00E15A1E" w:rsidRDefault="00C53903">
      <w:pPr>
        <w:numPr>
          <w:ilvl w:val="0"/>
          <w:numId w:val="1"/>
        </w:numPr>
        <w:spacing w:before="200"/>
        <w:ind w:left="0"/>
        <w:jc w:val="both"/>
      </w:pPr>
      <w:r>
        <w:t>Aunque se han aprobado leyes, políti</w:t>
      </w:r>
      <w:r>
        <w:t>cas y programas en el marco del proceso constitucional y en cumplimiento a marcos internacionales para proteger la vida de las mujeres, niñas, adolescentes y jóvenes, estos no han sido de cumplimiento real y por lo tanto, han resultado inefectivos. La evid</w:t>
      </w:r>
      <w:r>
        <w:t>encia de ello es la violencia contra estas sujetas que ha incrementado alarmantemente como consecuencia de la poca garantía de los derechos humanos contemplados en ellos. El marco jurídico existente está desactualizado y carece de enfoques sensibilizadores</w:t>
      </w:r>
      <w:r>
        <w:t xml:space="preserve"> con las múltiples posiciones de las sujetas políticas que se necesitan para que la protección que brinde sea integral y significativa. Para ello, es necesario que con urgencia se rediseñen y actualicen, en torno al enfoque interseccional, intercultural, d</w:t>
      </w:r>
      <w:r>
        <w:t>e juventud, de género y de derechos humanos.</w:t>
      </w:r>
    </w:p>
    <w:p w14:paraId="00000009" w14:textId="77777777" w:rsidR="00E15A1E" w:rsidRDefault="00C53903">
      <w:pPr>
        <w:numPr>
          <w:ilvl w:val="0"/>
          <w:numId w:val="1"/>
        </w:numPr>
        <w:spacing w:before="200"/>
        <w:ind w:left="0"/>
        <w:jc w:val="both"/>
      </w:pPr>
      <w:r>
        <w:t>En los últimos cinco años se ha establecido una tendencia regresiva en materia de derechos humanos, especialmente de los derechos sexuales y reproductivos, en el que se ha priorizado aprobar e implementar políti</w:t>
      </w:r>
      <w:r>
        <w:t>cas y leyes que los restringen. Por esta razón, en este informe se desglosa la situación de los derechos humanos que son abordados en el Pacto Internacional de Derechos Económicos, Sociales y Culturales -DESC- con el propósito de visibilizar la situación d</w:t>
      </w:r>
      <w:r>
        <w:t>e este grupo de mujeres jóvenes.</w:t>
      </w:r>
    </w:p>
    <w:p w14:paraId="0000000A" w14:textId="77777777" w:rsidR="00E15A1E" w:rsidRDefault="00C53903" w:rsidP="003A2C13">
      <w:pPr>
        <w:numPr>
          <w:ilvl w:val="0"/>
          <w:numId w:val="2"/>
        </w:numPr>
        <w:spacing w:before="200"/>
        <w:ind w:left="567"/>
        <w:jc w:val="both"/>
        <w:rPr>
          <w:b/>
        </w:rPr>
      </w:pPr>
      <w:r>
        <w:rPr>
          <w:b/>
        </w:rPr>
        <w:t>Máximo de los recursos disponibles (art. 2, párr. 1)</w:t>
      </w:r>
    </w:p>
    <w:p w14:paraId="0000000B" w14:textId="77777777" w:rsidR="00E15A1E" w:rsidRDefault="00C53903">
      <w:pPr>
        <w:numPr>
          <w:ilvl w:val="0"/>
          <w:numId w:val="1"/>
        </w:numPr>
        <w:spacing w:before="200"/>
        <w:ind w:left="0"/>
        <w:jc w:val="both"/>
      </w:pPr>
      <w:r>
        <w:t>El Estado de Guatemala evade sus responsabilidades con la garantía de los derechos económicos, sociales y culturales, mediante la escasa asignación presupuestaria y la fa</w:t>
      </w:r>
      <w:r>
        <w:t>lta de voluntad política para cubrir la máxima ejecución pertinente de la misma. Siendo un reto que, los gastos efectivamente sean dirigidos a acciones que arrojen resultados de impacto en las poblaciones metas.</w:t>
      </w:r>
    </w:p>
    <w:p w14:paraId="0000000C" w14:textId="77777777" w:rsidR="00E15A1E" w:rsidRDefault="00C53903">
      <w:pPr>
        <w:numPr>
          <w:ilvl w:val="0"/>
          <w:numId w:val="1"/>
        </w:numPr>
        <w:spacing w:before="200"/>
        <w:ind w:left="0"/>
        <w:jc w:val="both"/>
      </w:pPr>
      <w:r>
        <w:t>El Ministerio de Desarrollo Social -MIDES- e</w:t>
      </w:r>
      <w:r>
        <w:t xml:space="preserve">s la entidad del Ejecutivo encargada de promover políticas y acciones que mejoren las condiciones sociales de las personas guatemaltecas. Sin embargo, la gestión de sus labores ha sido ampliamente cuestionada. Dentro de su estructura </w:t>
      </w:r>
      <w:r>
        <w:lastRenderedPageBreak/>
        <w:t>estratégica, se incluy</w:t>
      </w:r>
      <w:r>
        <w:t xml:space="preserve">e un programa dirigido a </w:t>
      </w:r>
      <w:r>
        <w:rPr>
          <w:i/>
        </w:rPr>
        <w:t xml:space="preserve">Servicios para la igualdad de género y pueblos indígenas, </w:t>
      </w:r>
      <w:r>
        <w:t>pero tan solo prioriza acciones administrativas. Y, aún siendo así, en 2020 se le asignaron Q. 223,000.00, a los que finalmente se les hizo un recorte de Q. 222,000.00</w:t>
      </w:r>
      <w:r>
        <w:rPr>
          <w:vertAlign w:val="superscript"/>
        </w:rPr>
        <w:footnoteReference w:id="3"/>
      </w:r>
      <w:r>
        <w:t xml:space="preserve">. Es </w:t>
      </w:r>
      <w:r>
        <w:t>importante que estas acciones sean redefinidas para acciones sustantivas.</w:t>
      </w:r>
    </w:p>
    <w:p w14:paraId="0000000D" w14:textId="77777777" w:rsidR="00E15A1E" w:rsidRDefault="00C53903">
      <w:pPr>
        <w:numPr>
          <w:ilvl w:val="0"/>
          <w:numId w:val="1"/>
        </w:numPr>
        <w:spacing w:before="200"/>
        <w:ind w:left="0"/>
        <w:jc w:val="both"/>
      </w:pPr>
      <w:r>
        <w:t xml:space="preserve">El </w:t>
      </w:r>
      <w:r>
        <w:rPr>
          <w:i/>
        </w:rPr>
        <w:t xml:space="preserve">Programa social Jóvenes protagonistas, </w:t>
      </w:r>
      <w:r>
        <w:t>es la estrategia que normativamente busca involucrar a la juventud para reducir sus situaciones de vulnerabilidad y riesgo social. Sin embar</w:t>
      </w:r>
      <w:r>
        <w:t xml:space="preserve">go, prioritariamente este se enfoca en la prevención </w:t>
      </w:r>
      <w:r>
        <w:rPr>
          <w:i/>
        </w:rPr>
        <w:t>de la delincuencia en adolescentes y jóvenes,</w:t>
      </w:r>
      <w:r>
        <w:t xml:space="preserve"> y en 2020 se le recortaron Q. 23, 003, 910. 00 de los Q. 27, 509, 512. 00 inicialmente asignados al programa. Adicionalmente, solo se logró una ejecución del</w:t>
      </w:r>
      <w:r>
        <w:t xml:space="preserve"> 77%</w:t>
      </w:r>
      <w:r>
        <w:rPr>
          <w:vertAlign w:val="superscript"/>
        </w:rPr>
        <w:footnoteReference w:id="4"/>
      </w:r>
      <w:r>
        <w:t xml:space="preserve">. </w:t>
      </w:r>
    </w:p>
    <w:p w14:paraId="0000000E" w14:textId="77777777" w:rsidR="00E15A1E" w:rsidRDefault="00C53903">
      <w:pPr>
        <w:numPr>
          <w:ilvl w:val="0"/>
          <w:numId w:val="1"/>
        </w:numPr>
        <w:spacing w:before="200"/>
        <w:ind w:left="0"/>
        <w:jc w:val="both"/>
      </w:pPr>
      <w:r>
        <w:t xml:space="preserve">Además, se ha despreocupado la atención multidimensional de la violencia y violaciones a derechos humanos, como lo son los embarazos en niñas y adolescentes. En 2020 y 2021, el MIDES reporta no haber ejecutado el </w:t>
      </w:r>
      <w:r>
        <w:rPr>
          <w:i/>
        </w:rPr>
        <w:t xml:space="preserve">Proyecto de servicio cívico “Joven </w:t>
      </w:r>
      <w:r>
        <w:rPr>
          <w:i/>
        </w:rPr>
        <w:t xml:space="preserve">trabajando por mi país, contribuyendo en la prevención de embarazos en adolescentes”, </w:t>
      </w:r>
      <w:r>
        <w:t>poniendo como excusa la condición de la pandemia por COVID-19. Lo cierto es que, antes de este contexto, los resultados no fueron favorables. Entre junio y noviembre de 2</w:t>
      </w:r>
      <w:r>
        <w:t>019, el MIDES indica haber ejecutado el proyecto. De los Q. 364, 000.00 asignados, tan solo se ejecutaron Q. 181, 080.00, con lo que se realizaron únicamente 15 capacitaciones sobre: Inducción al Servicio Cívico, Información del Ministerio de Desarrollo So</w:t>
      </w:r>
      <w:r>
        <w:t>cial, Introducción a PLANEA</w:t>
      </w:r>
      <w:r>
        <w:rPr>
          <w:vertAlign w:val="superscript"/>
        </w:rPr>
        <w:footnoteReference w:id="5"/>
      </w:r>
      <w:r>
        <w:t>, Guatemala 2018-2022, Liderazgo, Trabajo en Equipo, Liderazgo parte II, Educación Integrada en la Sexualidad -EIS-, Derecho Laboral en la Mujer, Tecnología, Valores Humanos, Relaciones Interpersonales, Como hacer un CV, Plan de</w:t>
      </w:r>
      <w:r>
        <w:t xml:space="preserve"> Vida, Como recrearse sanamente, Protección y Seguridad Vial</w:t>
      </w:r>
      <w:r>
        <w:rPr>
          <w:vertAlign w:val="superscript"/>
        </w:rPr>
        <w:footnoteReference w:id="6"/>
      </w:r>
      <w:r>
        <w:t>.</w:t>
      </w:r>
    </w:p>
    <w:p w14:paraId="0000000F" w14:textId="4229A530" w:rsidR="00E15A1E" w:rsidRDefault="00C53903">
      <w:pPr>
        <w:numPr>
          <w:ilvl w:val="0"/>
          <w:numId w:val="1"/>
        </w:numPr>
        <w:spacing w:before="200"/>
        <w:ind w:left="0"/>
        <w:jc w:val="both"/>
      </w:pPr>
      <w:r>
        <w:rPr>
          <w:highlight w:val="white"/>
        </w:rPr>
        <w:t>Sobre las violaciones a los compromisos estatales respecto al más alto nivel posible de salud, los servicios públicos presentan serias carencias cualitativas, producto de la desatención del for</w:t>
      </w:r>
      <w:r>
        <w:rPr>
          <w:highlight w:val="white"/>
        </w:rPr>
        <w:t>talecimiento presupuestario del Ministerio de Salud Pública y Asistencia Social -</w:t>
      </w:r>
      <w:r>
        <w:t>MSPAS-</w:t>
      </w:r>
      <w:r>
        <w:rPr>
          <w:highlight w:val="white"/>
        </w:rPr>
        <w:t>, rector en estas acciones. Solamente el rubro de servicios de planificación familiar presentó una reducción de 6,557,156.00 quetzales en 2019; 5,705,227.00 quetzales en</w:t>
      </w:r>
      <w:r>
        <w:rPr>
          <w:highlight w:val="white"/>
        </w:rPr>
        <w:t xml:space="preserve"> 2020 y 5,918,188.00 quetzales en 2021</w:t>
      </w:r>
      <w:r>
        <w:rPr>
          <w:highlight w:val="white"/>
          <w:vertAlign w:val="superscript"/>
        </w:rPr>
        <w:footnoteReference w:id="7"/>
      </w:r>
      <w:r>
        <w:rPr>
          <w:highlight w:val="white"/>
        </w:rPr>
        <w:t>.</w:t>
      </w:r>
    </w:p>
    <w:p w14:paraId="00000010" w14:textId="77777777" w:rsidR="00E15A1E" w:rsidRDefault="00C53903">
      <w:pPr>
        <w:numPr>
          <w:ilvl w:val="0"/>
          <w:numId w:val="1"/>
        </w:numPr>
        <w:spacing w:before="200"/>
        <w:ind w:left="0"/>
        <w:jc w:val="both"/>
      </w:pPr>
      <w:r>
        <w:t xml:space="preserve">El Programa Nacional de Salud Reproductiva -PNSR- del </w:t>
      </w:r>
      <w:r>
        <w:rPr>
          <w:highlight w:val="white"/>
        </w:rPr>
        <w:t xml:space="preserve">MSPAS </w:t>
      </w:r>
      <w:r>
        <w:t xml:space="preserve">debe ser el eje articulador más importante en la materia para atender las necesidades de las mujeres jóvenes titulares de derechos. Sin embargo, su </w:t>
      </w:r>
      <w:r>
        <w:t>presupuesto también ha presentado deficiencias. Este recibe una asignación del 15% de los impuestos sobre la distribución de bebidas alcohólicas destiladas. Sin embargo, en 2021 se redujeron 734,010.00 quetzales de lo percibido para el MSPAS.</w:t>
      </w:r>
    </w:p>
    <w:p w14:paraId="00000011" w14:textId="77777777" w:rsidR="00E15A1E" w:rsidRDefault="00C53903">
      <w:pPr>
        <w:numPr>
          <w:ilvl w:val="0"/>
          <w:numId w:val="1"/>
        </w:numPr>
        <w:spacing w:before="200"/>
        <w:ind w:left="0"/>
        <w:jc w:val="both"/>
      </w:pPr>
      <w:r>
        <w:rPr>
          <w:highlight w:val="white"/>
        </w:rPr>
        <w:t>Otra expresió</w:t>
      </w:r>
      <w:r>
        <w:rPr>
          <w:highlight w:val="white"/>
        </w:rPr>
        <w:t xml:space="preserve">n del desinterés del Estado por garantizar la salud sexual y reproductiva, se manifiesta en el recorte que el MSPAS realizó en 2020 a las actividades de </w:t>
      </w:r>
      <w:r>
        <w:t xml:space="preserve">Prevención de Embarazos en Adolescentes y Jóvenes, </w:t>
      </w:r>
      <w:r>
        <w:rPr>
          <w:highlight w:val="white"/>
        </w:rPr>
        <w:t>siendo este de Q. 9,587,229.04; y, Q. 1,497,135.60 p</w:t>
      </w:r>
      <w:r>
        <w:rPr>
          <w:highlight w:val="white"/>
        </w:rPr>
        <w:t xml:space="preserve">ara la Prevención de Infecciones de Transmisión Sexual; ambas contenidas en su programa </w:t>
      </w:r>
      <w:r>
        <w:rPr>
          <w:highlight w:val="white"/>
        </w:rPr>
        <w:lastRenderedPageBreak/>
        <w:t>de juventud</w:t>
      </w:r>
      <w:r>
        <w:rPr>
          <w:highlight w:val="white"/>
          <w:vertAlign w:val="superscript"/>
        </w:rPr>
        <w:footnoteReference w:id="8"/>
      </w:r>
      <w:r>
        <w:rPr>
          <w:highlight w:val="white"/>
        </w:rPr>
        <w:t>. En 2021, la problemática se agudizó, se le recortaron 11,572,631 quetzales al primer rubro y 25,650 al segundo. En 2022, se removieron 71,336 quetzales de</w:t>
      </w:r>
      <w:r>
        <w:rPr>
          <w:highlight w:val="white"/>
        </w:rPr>
        <w:t xml:space="preserve"> la primera línea de actividades y 156,381 de la segunda. Los recortes presupuestarios no han cesado. </w:t>
      </w:r>
    </w:p>
    <w:p w14:paraId="00000012" w14:textId="77777777" w:rsidR="00E15A1E" w:rsidRDefault="00C53903">
      <w:pPr>
        <w:numPr>
          <w:ilvl w:val="0"/>
          <w:numId w:val="1"/>
        </w:numPr>
        <w:spacing w:before="200"/>
        <w:ind w:left="0"/>
        <w:jc w:val="both"/>
      </w:pPr>
      <w:r>
        <w:rPr>
          <w:highlight w:val="white"/>
        </w:rPr>
        <w:t>Desde el sector de salud también preocupa el constante recorte presupuestario en los rubros de VIH. En 2022, se recortaron 223,715 quetzales del presupue</w:t>
      </w:r>
      <w:r>
        <w:rPr>
          <w:highlight w:val="white"/>
        </w:rPr>
        <w:t>sto asignado a servicios de prevención de ITS, VIH/SIDA del MSPAS</w:t>
      </w:r>
      <w:r>
        <w:rPr>
          <w:highlight w:val="white"/>
          <w:vertAlign w:val="superscript"/>
        </w:rPr>
        <w:footnoteReference w:id="9"/>
      </w:r>
      <w:r>
        <w:rPr>
          <w:highlight w:val="white"/>
        </w:rPr>
        <w:t>. Esto agudiza los niveles de desabastecimiento en la red de hospitales públicos del país. Como resultado, las mujeres que viven con VIH se enfrentan a interrupciones y cambios compulsivos d</w:t>
      </w:r>
      <w:r>
        <w:rPr>
          <w:highlight w:val="white"/>
        </w:rPr>
        <w:t>el tratamiento sin información. Esto pone en riesgo el acceso a servicios de salud dignos de miles de mujeres.</w:t>
      </w:r>
    </w:p>
    <w:p w14:paraId="00000013" w14:textId="77777777" w:rsidR="00E15A1E" w:rsidRDefault="00C53903">
      <w:pPr>
        <w:numPr>
          <w:ilvl w:val="0"/>
          <w:numId w:val="1"/>
        </w:numPr>
        <w:spacing w:before="200"/>
        <w:ind w:left="0"/>
        <w:jc w:val="both"/>
      </w:pPr>
      <w:r>
        <w:rPr>
          <w:highlight w:val="white"/>
        </w:rPr>
        <w:t>Según datos del Instituto Centroamericano de Estudios Fiscales -ICEFI-</w:t>
      </w:r>
      <w:r>
        <w:rPr>
          <w:highlight w:val="white"/>
          <w:vertAlign w:val="superscript"/>
        </w:rPr>
        <w:footnoteReference w:id="10"/>
      </w:r>
      <w:r>
        <w:rPr>
          <w:highlight w:val="white"/>
        </w:rPr>
        <w:t>, en 2021 se realizó una asignación de 0.4 millones de quetzales a las acc</w:t>
      </w:r>
      <w:r>
        <w:rPr>
          <w:highlight w:val="white"/>
        </w:rPr>
        <w:t>iones de prevención de VIH en niñez del MSPAS; en esta ocasión solo se ejecutó el 78.3%. En el mismo rubro, a mayo de 2022, se reporta una asignación de 0.3 millones de quetzales, la cual aún no ha sido ejecutada.</w:t>
      </w:r>
    </w:p>
    <w:p w14:paraId="00000014" w14:textId="77777777" w:rsidR="00E15A1E" w:rsidRDefault="00C53903">
      <w:pPr>
        <w:numPr>
          <w:ilvl w:val="0"/>
          <w:numId w:val="1"/>
        </w:numPr>
        <w:spacing w:before="200"/>
        <w:ind w:left="0"/>
        <w:jc w:val="both"/>
      </w:pPr>
      <w:r>
        <w:t>A pesar de que el marco legal y político n</w:t>
      </w:r>
      <w:r>
        <w:t>acional e internacional reconoce el derecho a Educación Integral en Sexualidad -EIS- y se sostiene sobre el principio de universalidad de los derechos humanos, el Estado de Guatemala continúa relegando su compromiso con la garantía de la misma. Además de l</w:t>
      </w:r>
      <w:r>
        <w:t>as deficiencias cualitativas, existen claras carencias presupuestarias. Según el Ministerio de Educación -MINEDUC-</w:t>
      </w:r>
      <w:r>
        <w:rPr>
          <w:vertAlign w:val="superscript"/>
        </w:rPr>
        <w:footnoteReference w:id="11"/>
      </w:r>
      <w:r>
        <w:t>, en 2022 se registra una asignación de 750,000 quetzales a la Estrategia de EIS, de la cual se han ejecutado 24,907 quetzales a junio del pr</w:t>
      </w:r>
      <w:r>
        <w:t xml:space="preserve">esente año. </w:t>
      </w:r>
    </w:p>
    <w:p w14:paraId="00000015" w14:textId="77777777" w:rsidR="00E15A1E" w:rsidRDefault="00C53903" w:rsidP="003A2C13">
      <w:pPr>
        <w:numPr>
          <w:ilvl w:val="0"/>
          <w:numId w:val="2"/>
        </w:numPr>
        <w:spacing w:before="200"/>
        <w:ind w:left="567"/>
        <w:jc w:val="both"/>
        <w:rPr>
          <w:b/>
        </w:rPr>
      </w:pPr>
      <w:r>
        <w:rPr>
          <w:b/>
        </w:rPr>
        <w:t>No discriminación (art. 2, párr. 2)</w:t>
      </w:r>
    </w:p>
    <w:p w14:paraId="00000016" w14:textId="77777777" w:rsidR="00E15A1E" w:rsidRDefault="00C53903" w:rsidP="003A2C13">
      <w:pPr>
        <w:numPr>
          <w:ilvl w:val="1"/>
          <w:numId w:val="2"/>
        </w:numPr>
        <w:spacing w:before="200"/>
        <w:ind w:left="426"/>
        <w:jc w:val="both"/>
        <w:rPr>
          <w:b/>
        </w:rPr>
      </w:pPr>
      <w:r>
        <w:rPr>
          <w:b/>
        </w:rPr>
        <w:t>Marco jurídico discriminatorio</w:t>
      </w:r>
    </w:p>
    <w:p w14:paraId="00000017" w14:textId="77777777" w:rsidR="00E15A1E" w:rsidRDefault="00C53903">
      <w:pPr>
        <w:numPr>
          <w:ilvl w:val="0"/>
          <w:numId w:val="1"/>
        </w:numPr>
        <w:spacing w:before="200"/>
        <w:ind w:left="0"/>
        <w:jc w:val="both"/>
      </w:pPr>
      <w:r>
        <w:t>Durante los últimos cinco años, Guatemala ha experimentado un escenario de retrocesos democráticos, apuntalados por grupos religiosos conservadores que interactúan o están inse</w:t>
      </w:r>
      <w:r>
        <w:t>rtos en las instituciones gubernamentales, en el que se ha visto con preocupación las tendencias regresivas en materia de derechos sexuales y reproductivos y de otros bienes jurídicos y políticos vinculados a estos derechos como el derecho a la integridad,</w:t>
      </w:r>
      <w:r>
        <w:t xml:space="preserve"> a la vida y a la identidad.</w:t>
      </w:r>
    </w:p>
    <w:p w14:paraId="00000018" w14:textId="77777777" w:rsidR="00E15A1E" w:rsidRDefault="00C53903">
      <w:pPr>
        <w:numPr>
          <w:ilvl w:val="0"/>
          <w:numId w:val="1"/>
        </w:numPr>
        <w:spacing w:before="200"/>
        <w:ind w:left="0"/>
        <w:jc w:val="both"/>
      </w:pPr>
      <w:r>
        <w:t xml:space="preserve">En 2017, algunos diputados y algunas diputadas del Congreso de la República en conjunto con la Coordinadora Evangélica Nacional de Guatemala, presentaron la Iniciativa No. 5272 </w:t>
      </w:r>
      <w:r>
        <w:rPr>
          <w:b/>
          <w:i/>
        </w:rPr>
        <w:t>“Ley de Protección a la Vida y la Familia”</w:t>
      </w:r>
      <w:r>
        <w:t xml:space="preserve">.  Esta </w:t>
      </w:r>
      <w:r>
        <w:t>iniciativa vulnera distintos derechos humanos, promoviendo y legalizando el ejercicio de la violencia y la discriminación contra la población LGBTIQ+, el aumento de penas por aborto, incluida la creación de delitos por aborto espontáneo y por “hablar de fo</w:t>
      </w:r>
      <w:r>
        <w:t>rma pública o privada” sobre aborto; así como la prohibición de la EIS.</w:t>
      </w:r>
    </w:p>
    <w:p w14:paraId="00000019" w14:textId="77777777" w:rsidR="00E15A1E" w:rsidRDefault="00C53903">
      <w:pPr>
        <w:numPr>
          <w:ilvl w:val="0"/>
          <w:numId w:val="1"/>
        </w:numPr>
        <w:spacing w:before="200"/>
        <w:ind w:left="0"/>
        <w:jc w:val="both"/>
      </w:pPr>
      <w:r>
        <w:t xml:space="preserve">Esta iniciativa fue aprobada el día 8 de marzo de 2022, durante la conmemoración del </w:t>
      </w:r>
      <w:r>
        <w:rPr>
          <w:b/>
          <w:i/>
        </w:rPr>
        <w:t>“Día Internacional de la Mujer”,</w:t>
      </w:r>
      <w:r>
        <w:t xml:space="preserve"> con 119 votos en el Congreso de la República bajo el Decreto 18-20</w:t>
      </w:r>
      <w:r>
        <w:t xml:space="preserve">22 “Ley de Protección a la Vida y la Familia”. Ante la presión ciudadana nacional, de la </w:t>
      </w:r>
      <w:r>
        <w:lastRenderedPageBreak/>
        <w:t>comunidad internacional y los llamados de varios comités de DDHH de las Naciones Unidas al Estado, el mismo fue archivado y quedó sin vigencia una semana después.</w:t>
      </w:r>
    </w:p>
    <w:p w14:paraId="0000001A" w14:textId="77777777" w:rsidR="00E15A1E" w:rsidRDefault="00C53903">
      <w:pPr>
        <w:numPr>
          <w:ilvl w:val="0"/>
          <w:numId w:val="1"/>
        </w:numPr>
        <w:spacing w:before="200"/>
        <w:ind w:left="0"/>
        <w:jc w:val="both"/>
      </w:pPr>
      <w:r>
        <w:t xml:space="preserve">En septiembre de 2021, 19 diputados y diputadas del Congreso de la República, impulsaron: </w:t>
      </w:r>
      <w:r>
        <w:rPr>
          <w:b/>
          <w:i/>
        </w:rPr>
        <w:t>la iniciativa 5940</w:t>
      </w:r>
      <w:r>
        <w:t xml:space="preserve"> </w:t>
      </w:r>
      <w:r>
        <w:rPr>
          <w:b/>
          <w:i/>
        </w:rPr>
        <w:t>“Ley para Garantizar la Protección Integral de la Niñez y Adolescencia contra los Trastornos de la Identidad de Género</w:t>
      </w:r>
      <w:r>
        <w:rPr>
          <w:i/>
        </w:rPr>
        <w:t>”</w:t>
      </w:r>
      <w:r>
        <w:t>, que apunta a sostener disc</w:t>
      </w:r>
      <w:r>
        <w:t>ursos de odio, patologiza a las personas trans que podría conducir a las “terapias de conversión”, asimismo, clasifica como “pornográfico” cualquier contenido que visibilice la experiencia de personas trans en programas de educación sexual o medios de comu</w:t>
      </w:r>
      <w:r>
        <w:t>nicación.</w:t>
      </w:r>
    </w:p>
    <w:p w14:paraId="0000001B" w14:textId="77777777" w:rsidR="00E15A1E" w:rsidRDefault="00C53903">
      <w:pPr>
        <w:numPr>
          <w:ilvl w:val="0"/>
          <w:numId w:val="1"/>
        </w:numPr>
        <w:spacing w:before="200"/>
        <w:ind w:left="0"/>
        <w:jc w:val="both"/>
      </w:pPr>
      <w:r>
        <w:t xml:space="preserve">En octubre de 2021, el Estado de Guatemala se adhiere al </w:t>
      </w:r>
      <w:r>
        <w:rPr>
          <w:b/>
          <w:i/>
        </w:rPr>
        <w:t>“Consenso de Ginebra para Promover la Salud de la Mujer y la Promoción de la Familia”</w:t>
      </w:r>
      <w:r>
        <w:t>. Esta acción representó para el Gobierno una oportunidad para manifestarse desde su postura conservador</w:t>
      </w:r>
      <w:r>
        <w:t>a frente a la comunidad internacional y posicionarse en contra de la agenda de derechos humanos de las mujeres y de los derechos sexuales y reproductivos, especialmente frente a los esfuerzos que se han desarrollado por garantizar servicios de aborto segur</w:t>
      </w:r>
      <w:r>
        <w:t>o. Sin embargo, desde la legislación y el marco político se han contravenido los esfuerzos y todos los caminos de posibilidad para garantizar el acceso a aborto legal y seguro.</w:t>
      </w:r>
    </w:p>
    <w:p w14:paraId="0000001C" w14:textId="77777777" w:rsidR="00E15A1E" w:rsidRDefault="00C53903">
      <w:pPr>
        <w:numPr>
          <w:ilvl w:val="0"/>
          <w:numId w:val="1"/>
        </w:numPr>
        <w:spacing w:before="200"/>
        <w:ind w:left="0"/>
        <w:jc w:val="both"/>
      </w:pPr>
      <w:r>
        <w:t>Aunque en el Cuarto Informe presentado por parte del Estado de Guatemala en 201</w:t>
      </w:r>
      <w:r>
        <w:t>9 en el párrafo 12 sobre la No Discriminación, se informó como avance que el MINEDUC a través del programa EIS, y sus fascículos de VIH se abordaba la no discriminación, y frenar el acoso escolar homofóbico o bullying, se hace necesario informar que las ac</w:t>
      </w:r>
      <w:r>
        <w:t xml:space="preserve">ciones de regresividad evidencian que no están en línea de frenar la discriminación por cuestión de orientación, identidad de género y expresión de género. Actualmente está vigente la </w:t>
      </w:r>
      <w:r>
        <w:rPr>
          <w:b/>
          <w:i/>
        </w:rPr>
        <w:t>Política de Protección a la Vida y la Institucionalidad de la Familia</w:t>
      </w:r>
      <w:r>
        <w:t xml:space="preserve"> </w:t>
      </w:r>
      <w:r>
        <w:rPr>
          <w:b/>
          <w:i/>
        </w:rPr>
        <w:t>(2</w:t>
      </w:r>
      <w:r>
        <w:rPr>
          <w:b/>
          <w:i/>
        </w:rPr>
        <w:t>021-2032)</w:t>
      </w:r>
      <w:r>
        <w:t xml:space="preserve"> que fue aprobada el 20 de julio de 2021, en la que su objetivo principal es la prohibición de la educación sexual y el acceso a información sobre diversidad sexual, lo que atenta fuertemente al sistema educativo y a miles de niñas, adolescentes y</w:t>
      </w:r>
      <w:r>
        <w:t xml:space="preserve"> jóvenes que tienen derecho a acceder a información y a visibilizar la escuela como un espacio seguro.</w:t>
      </w:r>
    </w:p>
    <w:p w14:paraId="0000001D" w14:textId="77777777" w:rsidR="00E15A1E" w:rsidRDefault="00C53903">
      <w:pPr>
        <w:numPr>
          <w:ilvl w:val="0"/>
          <w:numId w:val="1"/>
        </w:numPr>
        <w:spacing w:before="200"/>
        <w:ind w:left="0"/>
        <w:jc w:val="both"/>
      </w:pPr>
      <w:r>
        <w:t xml:space="preserve">El 9 de febrero de 2022, el Congreso de la República aprobó el </w:t>
      </w:r>
      <w:r>
        <w:rPr>
          <w:b/>
          <w:i/>
        </w:rPr>
        <w:t>Decreto 9-2022, para nombrar el 9 de marzo de cada año como el “Día por la Vida y la Famil</w:t>
      </w:r>
      <w:r>
        <w:rPr>
          <w:b/>
          <w:i/>
        </w:rPr>
        <w:t>ia”</w:t>
      </w:r>
      <w:r>
        <w:t xml:space="preserve">, en el que se establece que todas las instituciones gubernamentales deben realizar actividades en la que se destaquen la importancia del respeto a la vida y a la familia, el No al aborto y el No a la violencia. El 9 de marzo de este año, se realizó la </w:t>
      </w:r>
      <w:r>
        <w:t>primera acción pública nombrando a Guatemala como la</w:t>
      </w:r>
      <w:r>
        <w:rPr>
          <w:i/>
        </w:rPr>
        <w:t xml:space="preserve"> </w:t>
      </w:r>
      <w:r>
        <w:rPr>
          <w:b/>
          <w:i/>
        </w:rPr>
        <w:t>“Capital Provida de Iberoamérica”</w:t>
      </w:r>
      <w:r>
        <w:t>.  Esta actividad se realizó en el marco del Congreso Iberoamericano de la Vida y la Familia, liderado por varias organizaciones religiosas de la región. El contenido sim</w:t>
      </w:r>
      <w:r>
        <w:t>bólico de esta acción, otorga un campo de control discursivo altamente religioso al Estado, que puede minar las posibilidades de poner en agenda pública, temas vinculados a libertades y derechos sociales, especialmente en relación a mujeres y población LGB</w:t>
      </w:r>
      <w:r>
        <w:t xml:space="preserve">TIQ+. </w:t>
      </w:r>
    </w:p>
    <w:p w14:paraId="0000001E" w14:textId="00280743" w:rsidR="00E15A1E" w:rsidRDefault="00C53903">
      <w:pPr>
        <w:numPr>
          <w:ilvl w:val="0"/>
          <w:numId w:val="1"/>
        </w:numPr>
        <w:spacing w:before="200"/>
        <w:ind w:left="0"/>
        <w:jc w:val="both"/>
      </w:pPr>
      <w:r>
        <w:t xml:space="preserve">Es evidente que durante los últimos años, el Estado ha adoptado una narrativa conservadora para impulsar acciones que restringen el acceso a los derechos sexuales y reproductivos de las mujeres jóvenes titulares de derechos. </w:t>
      </w:r>
      <w:r w:rsidR="00876A61">
        <w:t>La promulgación de leyes regresivas aumenta</w:t>
      </w:r>
      <w:r>
        <w:t xml:space="preserve"> el control sobre los cuerpos de las mujeres jóvenes en su diversidad y restringen el espacio para la participación y manifestación social, como la </w:t>
      </w:r>
      <w:r>
        <w:rPr>
          <w:b/>
          <w:i/>
        </w:rPr>
        <w:t>Ley de ONGs, Decreto No. 4-2020,</w:t>
      </w:r>
      <w:r>
        <w:t xml:space="preserve"> que busca controlar toda acción de </w:t>
      </w:r>
      <w:r w:rsidR="00876A61">
        <w:t>la sociedad civil</w:t>
      </w:r>
      <w:r>
        <w:t xml:space="preserve"> que</w:t>
      </w:r>
      <w:r>
        <w:t xml:space="preserve"> vaya en contra del “orden público”, </w:t>
      </w:r>
      <w:r>
        <w:lastRenderedPageBreak/>
        <w:t>criminalizando a los movimientos sociales, a las activistas y defensoras de derechos humanos.</w:t>
      </w:r>
    </w:p>
    <w:p w14:paraId="0000001F" w14:textId="77777777" w:rsidR="00E15A1E" w:rsidRDefault="00C53903">
      <w:pPr>
        <w:numPr>
          <w:ilvl w:val="0"/>
          <w:numId w:val="1"/>
        </w:numPr>
        <w:spacing w:before="200"/>
        <w:ind w:left="0"/>
        <w:jc w:val="both"/>
      </w:pPr>
      <w:r>
        <w:t xml:space="preserve">En mayo de 2022 se presentó la </w:t>
      </w:r>
      <w:r>
        <w:rPr>
          <w:b/>
          <w:i/>
        </w:rPr>
        <w:t>iniciativa 6076 “Ley para el Fortalecimiento de las Fuerzas de Seguridad Pública y del Ejércit</w:t>
      </w:r>
      <w:r>
        <w:rPr>
          <w:b/>
          <w:i/>
        </w:rPr>
        <w:t>o de Guatemala</w:t>
      </w:r>
      <w:r>
        <w:rPr>
          <w:b/>
          <w:i/>
          <w:vertAlign w:val="superscript"/>
        </w:rPr>
        <w:footnoteReference w:id="12"/>
      </w:r>
      <w:r>
        <w:rPr>
          <w:b/>
          <w:i/>
        </w:rPr>
        <w:t xml:space="preserve">”. </w:t>
      </w:r>
      <w:r>
        <w:t>Esta contraviene gravemente el ejercicio de derechos sociales y libertades políticas, poniendo en riesgo el trabajo de las mujeres activistas, pues faculta a las Fuerzas Armadas tomar medidas autoritarias para evitar cualquier tipo de man</w:t>
      </w:r>
      <w:r>
        <w:t xml:space="preserve">ifestación. Aunque el 24 de agosto de la junta directiva del Congreso de la República decidió </w:t>
      </w:r>
      <w:r>
        <w:rPr>
          <w:i/>
        </w:rPr>
        <w:t>engavetarla</w:t>
      </w:r>
      <w:r>
        <w:rPr>
          <w:i/>
          <w:vertAlign w:val="superscript"/>
        </w:rPr>
        <w:footnoteReference w:id="13"/>
      </w:r>
      <w:r>
        <w:rPr>
          <w:i/>
        </w:rPr>
        <w:t xml:space="preserve"> </w:t>
      </w:r>
      <w:r>
        <w:t>(figura que jurídicamente no existe) es una amenaza latente el imponer acciones represivas para las personas. Sin embargo, poco después el diputado J</w:t>
      </w:r>
      <w:r>
        <w:t>ulio Lainfiesta de la UCN recordó que en cualquier momento pueden requerir su aprobación en tercera lectura</w:t>
      </w:r>
      <w:r>
        <w:rPr>
          <w:vertAlign w:val="superscript"/>
        </w:rPr>
        <w:footnoteReference w:id="14"/>
      </w:r>
      <w:r>
        <w:t>.</w:t>
      </w:r>
    </w:p>
    <w:p w14:paraId="00000020" w14:textId="5503B738" w:rsidR="00E15A1E" w:rsidRDefault="00C53903">
      <w:pPr>
        <w:numPr>
          <w:ilvl w:val="0"/>
          <w:numId w:val="1"/>
        </w:numPr>
        <w:spacing w:before="200"/>
        <w:ind w:left="0"/>
        <w:jc w:val="both"/>
      </w:pPr>
      <w:r>
        <w:t>Al respecto, es importante recordar al Estado de Guatemala el compromiso de generar acciones que respondan y vayan alineadas a las recomendaciones</w:t>
      </w:r>
      <w:r>
        <w:t xml:space="preserve"> que este comité ha realizado, pues tal y como se establece en el párrafo 25 de las Recomendaciones Generales de este Comité “la no </w:t>
      </w:r>
      <w:r w:rsidR="00876A61">
        <w:t>discriminación</w:t>
      </w:r>
      <w:r>
        <w:t xml:space="preserve"> por razón de sexo, garantizada en el artículo 2 numeral 2 del Pacto, y la igualdad de las mujeres, garantizad</w:t>
      </w:r>
      <w:r>
        <w:t>a en el artículo 3, requiere eliminar no sólo la discriminación directa, sino también la indirecta, y asegurar la igualdad formal y sustantiva”.</w:t>
      </w:r>
    </w:p>
    <w:p w14:paraId="00000021" w14:textId="77777777" w:rsidR="00E15A1E" w:rsidRDefault="00C53903">
      <w:pPr>
        <w:numPr>
          <w:ilvl w:val="0"/>
          <w:numId w:val="1"/>
        </w:numPr>
        <w:spacing w:before="200"/>
        <w:ind w:left="0"/>
        <w:jc w:val="both"/>
      </w:pPr>
      <w:r>
        <w:t xml:space="preserve">La discriminación afecta de forma diferenciada a las mujeres, interseccionando diversas categorías que definen </w:t>
      </w:r>
      <w:r>
        <w:t>sus vidas. En Guatemala se reporta que la discriminación hacia personas trans en 2021, alcanzó el 59%, y en el 9% de los casos, estos hechos de violencia y discriminación ocurren en servicios de salud. Asimismo, las posibilidades de acceder a mecanismos de</w:t>
      </w:r>
      <w:r>
        <w:t xml:space="preserve"> denuncia y justicia reparativa son limitadas. En el país se reportó que el 72% de las personas trans agredidas no iniciaron ningún proceso, especialmente por la poca confianza en el sistema de justicia.</w:t>
      </w:r>
      <w:r>
        <w:rPr>
          <w:vertAlign w:val="superscript"/>
        </w:rPr>
        <w:footnoteReference w:id="15"/>
      </w:r>
      <w:r>
        <w:t xml:space="preserve"> </w:t>
      </w:r>
    </w:p>
    <w:p w14:paraId="00000022" w14:textId="77777777" w:rsidR="00E15A1E" w:rsidRDefault="00C53903" w:rsidP="003A2C13">
      <w:pPr>
        <w:numPr>
          <w:ilvl w:val="1"/>
          <w:numId w:val="2"/>
        </w:numPr>
        <w:spacing w:before="200"/>
        <w:ind w:left="426"/>
        <w:jc w:val="both"/>
        <w:rPr>
          <w:b/>
        </w:rPr>
      </w:pPr>
      <w:r>
        <w:rPr>
          <w:b/>
        </w:rPr>
        <w:t>Violencia contra las mujeres</w:t>
      </w:r>
    </w:p>
    <w:p w14:paraId="00000023" w14:textId="4586A1DF" w:rsidR="00E15A1E" w:rsidRDefault="00C53903">
      <w:pPr>
        <w:numPr>
          <w:ilvl w:val="0"/>
          <w:numId w:val="1"/>
        </w:numPr>
        <w:spacing w:before="200"/>
        <w:ind w:left="0"/>
        <w:jc w:val="both"/>
      </w:pPr>
      <w:r>
        <w:t xml:space="preserve">Un Estado silencioso para las mujeres, perpetúa la violencia a través de sostener contextos </w:t>
      </w:r>
      <w:r w:rsidR="003A2C13">
        <w:t>y prácticas</w:t>
      </w:r>
      <w:r>
        <w:t xml:space="preserve"> culturales que han normalizado la violencia de forma deliberada. En 2019, la Secretaría Contra la Violencia Sexual, Explotación y Trata de Personas -SVE</w:t>
      </w:r>
      <w:r>
        <w:t>T-</w:t>
      </w:r>
      <w:r>
        <w:rPr>
          <w:vertAlign w:val="superscript"/>
        </w:rPr>
        <w:footnoteReference w:id="16"/>
      </w:r>
      <w:r>
        <w:t>, reportó 4,019 casos de violencia sexual contra mujeres entre 15 y 29 años. Para el mismo rango etario, se registraron 3,303 en 2020 y 4,241 en 2021. Además, en estos tres años se identificó que los porcentajes más altos de estos casos se concentran en</w:t>
      </w:r>
      <w:r>
        <w:t xml:space="preserve"> niñas y adolescentes entre 10 y 19 años.</w:t>
      </w:r>
    </w:p>
    <w:p w14:paraId="00000024" w14:textId="77777777" w:rsidR="00E15A1E" w:rsidRDefault="00C53903">
      <w:pPr>
        <w:numPr>
          <w:ilvl w:val="0"/>
          <w:numId w:val="1"/>
        </w:numPr>
        <w:spacing w:before="200"/>
        <w:ind w:left="0"/>
        <w:jc w:val="both"/>
      </w:pPr>
      <w:r>
        <w:lastRenderedPageBreak/>
        <w:t>El Ministerio Público -MP-</w:t>
      </w:r>
      <w:r>
        <w:rPr>
          <w:vertAlign w:val="superscript"/>
        </w:rPr>
        <w:footnoteReference w:id="17"/>
      </w:r>
      <w:r>
        <w:t>, reporta que el 66% de las alertas Isabel-Claudina por desaparición de mujeres que continuaban activas al 31 de diciembre de 2021, se encontraban en edades de 18 a 29 años. Además, en 20</w:t>
      </w:r>
      <w:r>
        <w:t>20 se registraron 3,263 denuncias por violencia contra la mujer. Sin embargo, en el portal estadístico del Observatorio de las Mujeres del MP, se reunieron 54,914 denuncias de este tipo; esto permite identificar inconsistencias en el tratamiento de datos o</w:t>
      </w:r>
      <w:r>
        <w:t>ficiales, pues la problemática sigue en escalada. A julio de 2022, en este mismo sitio en línea se registran 27,659 sobrevivientes de este tipo de violencia.</w:t>
      </w:r>
    </w:p>
    <w:p w14:paraId="00000025" w14:textId="77777777" w:rsidR="00E15A1E" w:rsidRDefault="00C53903">
      <w:pPr>
        <w:numPr>
          <w:ilvl w:val="0"/>
          <w:numId w:val="1"/>
        </w:numPr>
        <w:spacing w:before="200"/>
        <w:ind w:left="0"/>
        <w:jc w:val="both"/>
      </w:pPr>
      <w:r>
        <w:t>Aunque el Estado de Guatemala en su cuarto informe periódico del CDESC en 2019, reportó acciones s</w:t>
      </w:r>
      <w:r>
        <w:t>obre la No Discriminación en proceso de capacitación a personal de la Policía Nacional Civil -PNC- para eliminar la violencia y discriminación a personas LGTBI, desafortunadamente, la falta de datos</w:t>
      </w:r>
      <w:r>
        <w:rPr>
          <w:vertAlign w:val="superscript"/>
        </w:rPr>
        <w:footnoteReference w:id="18"/>
      </w:r>
      <w:r>
        <w:t xml:space="preserve"> y de voluntad política para incorporar categorías difere</w:t>
      </w:r>
      <w:r>
        <w:t>nciadas por población, invisibilizan la forma particular en la que la violencia se manifiesta. Al respecto, no se pueden contextualizar con certeza las distintas amenazas que enfrentan las mujeres LBTI. Según datos de Grupo de Apoyo Xela</w:t>
      </w:r>
      <w:r>
        <w:rPr>
          <w:vertAlign w:val="superscript"/>
        </w:rPr>
        <w:footnoteReference w:id="19"/>
      </w:r>
      <w:r>
        <w:t>, de 949 denuncias</w:t>
      </w:r>
      <w:r>
        <w:t xml:space="preserve"> registradas que fueron interpuestas ante el MP por abusos y violencias a personas de la comunidad LGBTIQ+, únicamente un 1.8% (17) de los casos denunciados llegaron a sentencia, mientras que un 28% (270) de los casos, se encontraban en investigación.</w:t>
      </w:r>
    </w:p>
    <w:p w14:paraId="00000026" w14:textId="1FBA551C" w:rsidR="00E15A1E" w:rsidRDefault="00C53903">
      <w:pPr>
        <w:numPr>
          <w:ilvl w:val="0"/>
          <w:numId w:val="1"/>
        </w:numPr>
        <w:spacing w:before="200"/>
        <w:ind w:left="0"/>
        <w:jc w:val="both"/>
      </w:pPr>
      <w:r>
        <w:t>Segú</w:t>
      </w:r>
      <w:r>
        <w:t xml:space="preserve">n datos del Censo de 2018, 179,081 personas entre 13 y 30 años son migrantes recientes. De ellas, 56.76% son mujeres (101,643). </w:t>
      </w:r>
      <w:r w:rsidR="00876A61">
        <w:t>Aun</w:t>
      </w:r>
      <w:r>
        <w:t xml:space="preserve"> así, Guatemala no produce datos estadísticos confiables y diferenciados por identidad de género, edad, etnia u orientación s</w:t>
      </w:r>
      <w:r>
        <w:t>exual que permitan evaluar a profundidad la situación de la violencia contra mujeres migrantes.</w:t>
      </w:r>
    </w:p>
    <w:p w14:paraId="00000027" w14:textId="474D1DF3" w:rsidR="00E15A1E" w:rsidRDefault="00C53903">
      <w:pPr>
        <w:numPr>
          <w:ilvl w:val="0"/>
          <w:numId w:val="1"/>
        </w:numPr>
        <w:spacing w:before="200"/>
        <w:ind w:left="0"/>
        <w:jc w:val="both"/>
      </w:pPr>
      <w:r>
        <w:t xml:space="preserve">Las mujeres migrantes jóvenes se enfrentan a formas específicas de violencia, dentro de las cuales destaca </w:t>
      </w:r>
      <w:r w:rsidR="00876A61">
        <w:t>la violencia</w:t>
      </w:r>
      <w:r>
        <w:t xml:space="preserve"> sexual. En un estudio publicado por el F</w:t>
      </w:r>
      <w:r>
        <w:t>ondo de Población de las Naciones Unidas -UNFPA- y el Instituto Centroamericano de Estudios Sociales y Desarrollo INCEDES-</w:t>
      </w:r>
      <w:r>
        <w:rPr>
          <w:vertAlign w:val="superscript"/>
        </w:rPr>
        <w:footnoteReference w:id="20"/>
      </w:r>
      <w:r>
        <w:t xml:space="preserve">, la </w:t>
      </w:r>
      <w:r w:rsidR="00876A61">
        <w:t>percepción</w:t>
      </w:r>
      <w:r>
        <w:t xml:space="preserve"> de riesgo probable de ocurrencia de violencia contra las mujeres en la migración aparece en todas las etapas de su ci</w:t>
      </w:r>
      <w:r>
        <w:t>clo de vida con una percepción de riesgo muy grave (5.2 de 10) en la adolescencia y juventud. De estas, la violencia sexual es percibida como la segunda con los índices más altos (7 de 10). Quienes perciben mayor riesgo son las mujeres trans, seguidas de l</w:t>
      </w:r>
      <w:r>
        <w:t>as mujeres lesbianas. A pesar de esto, el Estado de Guatemala no ha implementado mecanismos eficaces para atender el riesgo de violencia, especialmente violencia sexual, que se ejerce en contra las mujeres migrantes.</w:t>
      </w:r>
    </w:p>
    <w:p w14:paraId="00000028" w14:textId="77777777" w:rsidR="00E15A1E" w:rsidRDefault="00C53903">
      <w:pPr>
        <w:numPr>
          <w:ilvl w:val="0"/>
          <w:numId w:val="1"/>
        </w:numPr>
        <w:spacing w:before="200"/>
        <w:ind w:left="0"/>
        <w:jc w:val="both"/>
      </w:pPr>
      <w:r>
        <w:t>En las observaciones finales</w:t>
      </w:r>
      <w:r>
        <w:rPr>
          <w:vertAlign w:val="superscript"/>
        </w:rPr>
        <w:footnoteReference w:id="21"/>
      </w:r>
      <w:r>
        <w:t xml:space="preserve"> sobre el </w:t>
      </w:r>
      <w:r>
        <w:t xml:space="preserve">tercer informe periódico de Guatemala ante el CDESC, se remitió la recomendación para reforzar y ampliar los programas de asesoramiento jurídico, asignando los recursos necesarios a los juzgados y tribunales de femicidio y otras formas de violencia contra </w:t>
      </w:r>
      <w:r>
        <w:t>la mujer. Durante los primeros meses de 2022 según datos del Observatorio de violencia contra la mujer del MP</w:t>
      </w:r>
      <w:r>
        <w:rPr>
          <w:vertAlign w:val="superscript"/>
        </w:rPr>
        <w:footnoteReference w:id="22"/>
      </w:r>
      <w:r>
        <w:t xml:space="preserve">, se han reportado 45,996 víctimas de delitos contra </w:t>
      </w:r>
      <w:r>
        <w:lastRenderedPageBreak/>
        <w:t>mujeres y niñez; 4,938 víctimas de violencia sexual y 29,402 víctimas de violencia contra las</w:t>
      </w:r>
      <w:r>
        <w:t xml:space="preserve"> mujeres; lo que significa que Guatemala sigue destacándose como un lugar inseguro para las mujeres. A pesar de estas cifras, estas formas de violencia siguen siendo desestimadas por las autoridades del Estado, tal es el caso del viceministro del Ministeri</w:t>
      </w:r>
      <w:r>
        <w:t>o de Gobernación -MINGOB-, quien públicamente reconoció que las muertes violentas de las mujeres son en realidad “crímenes pasionales”</w:t>
      </w:r>
      <w:r>
        <w:rPr>
          <w:vertAlign w:val="superscript"/>
        </w:rPr>
        <w:footnoteReference w:id="23"/>
      </w:r>
      <w:r>
        <w:t>.</w:t>
      </w:r>
    </w:p>
    <w:p w14:paraId="00000029" w14:textId="77777777" w:rsidR="00E15A1E" w:rsidRDefault="00C53903">
      <w:pPr>
        <w:numPr>
          <w:ilvl w:val="0"/>
          <w:numId w:val="1"/>
        </w:numPr>
        <w:spacing w:before="200"/>
        <w:ind w:left="0"/>
        <w:jc w:val="both"/>
      </w:pPr>
      <w:r>
        <w:t>La violencia sexual es una realidad para las mujeres jóvenes en Guatemala. El Instituto Nacional de Ciencias Forenses -</w:t>
      </w:r>
      <w:r>
        <w:t>INACIF- registró en 2021 un total de 7,251 casos de delitos sexuales en mujeres, de los cuales el 33.4% de los casos registrados fueron en mujeres jóvenes entre los 15 a 29 años y el 5.7% en mujeres adultas entre los 30 a 64 años</w:t>
      </w:r>
      <w:r>
        <w:rPr>
          <w:vertAlign w:val="superscript"/>
        </w:rPr>
        <w:footnoteReference w:id="24"/>
      </w:r>
      <w:r>
        <w:t xml:space="preserve">. </w:t>
      </w:r>
    </w:p>
    <w:p w14:paraId="0000002A" w14:textId="77777777" w:rsidR="00E15A1E" w:rsidRDefault="00C53903" w:rsidP="003A2C13">
      <w:pPr>
        <w:numPr>
          <w:ilvl w:val="0"/>
          <w:numId w:val="2"/>
        </w:numPr>
        <w:spacing w:before="200"/>
        <w:ind w:left="567"/>
        <w:jc w:val="both"/>
        <w:rPr>
          <w:b/>
        </w:rPr>
      </w:pPr>
      <w:r>
        <w:rPr>
          <w:b/>
        </w:rPr>
        <w:t xml:space="preserve">Derecho a la seguridad </w:t>
      </w:r>
      <w:r>
        <w:rPr>
          <w:b/>
        </w:rPr>
        <w:t>social (art. 9)</w:t>
      </w:r>
    </w:p>
    <w:p w14:paraId="1F992A3A" w14:textId="476A8CF5" w:rsidR="003A2C13" w:rsidRPr="003A2C13" w:rsidRDefault="00C53903" w:rsidP="003A2C13">
      <w:pPr>
        <w:numPr>
          <w:ilvl w:val="0"/>
          <w:numId w:val="1"/>
        </w:numPr>
        <w:spacing w:before="200"/>
        <w:ind w:left="0"/>
        <w:jc w:val="both"/>
      </w:pPr>
      <w:r>
        <w:rPr>
          <w:highlight w:val="white"/>
        </w:rPr>
        <w:t>El acceso a la seguridad social continúa siendo un derecho limitado a pocas personas que logran una vacante laboral en la formalidad</w:t>
      </w:r>
      <w:r w:rsidR="003A2C13">
        <w:rPr>
          <w:highlight w:val="white"/>
        </w:rPr>
        <w:t>, además de la precariedad laboral a la que se enfrentan las personas jóvenes. Solamente 6 de cada 10 se encuentran empleados y empleadas en el sector privado y 1 de cada 14 trabajan en el gobierno. Mientras que, 3 de cada 4 trabajan sin respaldo de un contrato, no reciben pago de prestaciones y consecuentemente, tampoco tiene afiliación al seguro social</w:t>
      </w:r>
      <w:r w:rsidR="007F179A">
        <w:rPr>
          <w:highlight w:val="white"/>
        </w:rPr>
        <w:t>. Además, 6 de cada 10 se desempeñan como trabajadores y trabajadoras no remuneradas.</w:t>
      </w:r>
      <w:r w:rsidR="003A2C13">
        <w:rPr>
          <w:rStyle w:val="FootnoteReference"/>
          <w:highlight w:val="white"/>
        </w:rPr>
        <w:footnoteReference w:id="25"/>
      </w:r>
      <w:r>
        <w:rPr>
          <w:highlight w:val="white"/>
        </w:rPr>
        <w:t xml:space="preserve">. </w:t>
      </w:r>
    </w:p>
    <w:p w14:paraId="75D023EF" w14:textId="2AE14823" w:rsidR="00BB2212" w:rsidRDefault="003A2C13" w:rsidP="003A2C13">
      <w:pPr>
        <w:numPr>
          <w:ilvl w:val="0"/>
          <w:numId w:val="1"/>
        </w:numPr>
        <w:spacing w:before="200"/>
        <w:ind w:left="0"/>
        <w:jc w:val="both"/>
      </w:pPr>
      <w:r>
        <w:rPr>
          <w:highlight w:val="white"/>
        </w:rPr>
        <w:t>Las mujeres jóvenes se enfrentan a un contexto que limita el acceso a servicios de salud pertinentes, públicos y gratuitos.  Según el Instituto Nacional de Estadística -INE-, el 66% de las mujeres jóvenes que trabajan lo hacen en el sector informal, lo que implica que carecen de seguro social. Esta escasa cobertura genera que la salud y otros derechos vinculados, sean inaccesibles para la mayoría de las mujeres. El seguro social les permite acudir a servicios médicos de forma gratuita y pública, pero de otra forma implica que las mujeres inviertan ostentosos montos para cubrir sus necesidades básicas, especialmente las referidas a salud sexual y reproductiva.</w:t>
      </w:r>
    </w:p>
    <w:p w14:paraId="0000002C" w14:textId="77777777" w:rsidR="00E15A1E" w:rsidRDefault="00C53903">
      <w:pPr>
        <w:numPr>
          <w:ilvl w:val="0"/>
          <w:numId w:val="1"/>
        </w:numPr>
        <w:spacing w:before="200"/>
        <w:ind w:left="0"/>
        <w:jc w:val="both"/>
      </w:pPr>
      <w:r>
        <w:rPr>
          <w:highlight w:val="white"/>
        </w:rPr>
        <w:t>En el Instituto Gua</w:t>
      </w:r>
      <w:r>
        <w:rPr>
          <w:highlight w:val="white"/>
        </w:rPr>
        <w:t>temalteco de Seguridad Social -IGSS-, el ente rector en esta temática, registró como trabajadores afiliados y afiliadas a 20,880 hombres y 7,574 mujeres en 2018; 19,159 hombres y 7,402 mujeres en 2019; 15,212 hombres y 5,349 mujeres en 2020; y, 17,093 homb</w:t>
      </w:r>
      <w:r>
        <w:rPr>
          <w:highlight w:val="white"/>
        </w:rPr>
        <w:t xml:space="preserve">res y 5,798 mujeres en 2021. Como puede observarse, la proporción de mujeres que cuentan con seguro social ha sido siempre menor que los hombres, en estos tres años no han alcanzado a representar ni la tercera parte. La desigualdad en el ejercicio de este </w:t>
      </w:r>
      <w:r>
        <w:rPr>
          <w:highlight w:val="white"/>
        </w:rPr>
        <w:t xml:space="preserve">derecho incrementa también en razón de la etnia. En 2018, del total de mujeres afiliadas, solamente el 1.70% se identifican como mayas; 1.92% en 2019, 2.38% en 2020 y 2.72% en 2021. </w:t>
      </w:r>
    </w:p>
    <w:p w14:paraId="0000002D" w14:textId="77777777" w:rsidR="00E15A1E" w:rsidRDefault="00C53903">
      <w:pPr>
        <w:numPr>
          <w:ilvl w:val="0"/>
          <w:numId w:val="2"/>
        </w:numPr>
        <w:spacing w:before="200"/>
        <w:jc w:val="both"/>
        <w:rPr>
          <w:b/>
        </w:rPr>
      </w:pPr>
      <w:r>
        <w:rPr>
          <w:b/>
        </w:rPr>
        <w:t>Protección de la familia y el niño (la niña) (art. 10)</w:t>
      </w:r>
    </w:p>
    <w:p w14:paraId="0000002E" w14:textId="77777777" w:rsidR="00E15A1E" w:rsidRDefault="00C53903">
      <w:pPr>
        <w:numPr>
          <w:ilvl w:val="0"/>
          <w:numId w:val="1"/>
        </w:numPr>
        <w:spacing w:before="200"/>
        <w:ind w:left="0"/>
        <w:jc w:val="both"/>
      </w:pPr>
      <w:r>
        <w:rPr>
          <w:highlight w:val="white"/>
        </w:rPr>
        <w:lastRenderedPageBreak/>
        <w:t>El Estado incumple</w:t>
      </w:r>
      <w:r>
        <w:rPr>
          <w:highlight w:val="white"/>
        </w:rPr>
        <w:t xml:space="preserve"> su compromiso de protección y asistencia en favor de las niñas y las adolescentes. Entre las múltiples violaciones a los derechos de las infancias, los embarazos forzados son una violencia contra las niñas y adolescentes que se ha normalizado sobremanera </w:t>
      </w:r>
      <w:r>
        <w:rPr>
          <w:highlight w:val="white"/>
        </w:rPr>
        <w:t>en el país. El MSPAS</w:t>
      </w:r>
      <w:r>
        <w:rPr>
          <w:highlight w:val="white"/>
          <w:vertAlign w:val="superscript"/>
        </w:rPr>
        <w:footnoteReference w:id="26"/>
      </w:r>
      <w:r>
        <w:rPr>
          <w:highlight w:val="white"/>
        </w:rPr>
        <w:t xml:space="preserve"> registró 334,963 embarazadas entre 15 y 18 años, de 2018 a mayo de 2022. Por otro lado, el Observatorio en Salud Sexual y Reproductiva -OSAR-</w:t>
      </w:r>
      <w:r>
        <w:rPr>
          <w:highlight w:val="white"/>
          <w:vertAlign w:val="superscript"/>
        </w:rPr>
        <w:footnoteReference w:id="27"/>
      </w:r>
      <w:r>
        <w:rPr>
          <w:highlight w:val="white"/>
        </w:rPr>
        <w:t xml:space="preserve"> registra  46,140 embarazos de niñas y adolescentes entre 10 y 19 años, solamente de enero a</w:t>
      </w:r>
      <w:r>
        <w:rPr>
          <w:highlight w:val="white"/>
        </w:rPr>
        <w:t xml:space="preserve"> mayo de 2022. Esto también alerta sobre el subregistro de datos oficiales.</w:t>
      </w:r>
    </w:p>
    <w:p w14:paraId="0000002F" w14:textId="77777777" w:rsidR="00E15A1E" w:rsidRDefault="00C53903">
      <w:pPr>
        <w:numPr>
          <w:ilvl w:val="0"/>
          <w:numId w:val="1"/>
        </w:numPr>
        <w:spacing w:before="200"/>
        <w:ind w:left="0"/>
        <w:jc w:val="both"/>
      </w:pPr>
      <w:r>
        <w:rPr>
          <w:highlight w:val="white"/>
        </w:rPr>
        <w:t>Los embarazos forzados son una forma de violencia sexual y tortura que se ha normalizado en el país y que vulneran los derechos de las niñas y mujeres jóvenes. Desde 2018 hasta may</w:t>
      </w:r>
      <w:r>
        <w:rPr>
          <w:highlight w:val="white"/>
        </w:rPr>
        <w:t xml:space="preserve">o de 2022, el MSPAS </w:t>
      </w:r>
      <w:r>
        <w:rPr>
          <w:highlight w:val="white"/>
          <w:vertAlign w:val="superscript"/>
        </w:rPr>
        <w:footnoteReference w:id="28"/>
      </w:r>
      <w:r>
        <w:rPr>
          <w:highlight w:val="white"/>
        </w:rPr>
        <w:t xml:space="preserve">registró 334,963 embarazadas entre 15 y 18 años. Sin embargo, en 2021, este ministerio únicamente reportó que el 7.53% de los casos de mortalidad materna en 2021 correspondían a abortos y amenazas de aborto. </w:t>
      </w:r>
    </w:p>
    <w:p w14:paraId="00000030" w14:textId="77777777" w:rsidR="00E15A1E" w:rsidRDefault="00C53903">
      <w:pPr>
        <w:numPr>
          <w:ilvl w:val="0"/>
          <w:numId w:val="1"/>
        </w:numPr>
        <w:spacing w:before="200"/>
        <w:ind w:left="0"/>
        <w:jc w:val="both"/>
      </w:pPr>
      <w:r>
        <w:rPr>
          <w:highlight w:val="white"/>
        </w:rPr>
        <w:t>Aunque Guatemala se compro</w:t>
      </w:r>
      <w:r>
        <w:rPr>
          <w:highlight w:val="white"/>
        </w:rPr>
        <w:t>metió a “establecer una política de protección de los niños y los adolescentes con miras a protegerlos mejor contra los actos de violencia y los delitos cometidos contra ellos, así como en relación con el elevado número de embarazos precoces”</w:t>
      </w:r>
      <w:r>
        <w:rPr>
          <w:highlight w:val="white"/>
          <w:vertAlign w:val="superscript"/>
        </w:rPr>
        <w:footnoteReference w:id="29"/>
      </w:r>
      <w:r>
        <w:rPr>
          <w:highlight w:val="white"/>
        </w:rPr>
        <w:t>; En estos tr</w:t>
      </w:r>
      <w:r>
        <w:rPr>
          <w:highlight w:val="white"/>
        </w:rPr>
        <w:t>es años, se identificó que los porcentajes más altos de estos casos se concentran en niñas y adolescentes entre 10 y 19 años. Según el MINEDUC</w:t>
      </w:r>
      <w:r>
        <w:rPr>
          <w:highlight w:val="white"/>
          <w:vertAlign w:val="superscript"/>
        </w:rPr>
        <w:footnoteReference w:id="30"/>
      </w:r>
      <w:r>
        <w:rPr>
          <w:highlight w:val="white"/>
        </w:rPr>
        <w:t>, de 2018 a 2021, 454 niñas y adolescentes abandonaron sus estudios debido a embarazos.</w:t>
      </w:r>
    </w:p>
    <w:p w14:paraId="00000031" w14:textId="77777777" w:rsidR="00E15A1E" w:rsidRDefault="00C53903">
      <w:pPr>
        <w:numPr>
          <w:ilvl w:val="0"/>
          <w:numId w:val="1"/>
        </w:numPr>
        <w:spacing w:before="200"/>
        <w:ind w:left="0"/>
        <w:jc w:val="both"/>
      </w:pPr>
      <w:r>
        <w:rPr>
          <w:highlight w:val="white"/>
        </w:rPr>
        <w:t>A pesar de los alarmantes</w:t>
      </w:r>
      <w:r>
        <w:rPr>
          <w:highlight w:val="white"/>
        </w:rPr>
        <w:t xml:space="preserve"> datos sobre niñas y adolescentes forzadas a llevar adelante un embarazo, las respuestas del Estado no han sido satisfactorias. El programa VIDA del MIDES, normativamente se define como un programa de transferencias monetarias para promover la asistencia a</w:t>
      </w:r>
      <w:r>
        <w:rPr>
          <w:highlight w:val="white"/>
        </w:rPr>
        <w:t xml:space="preserve"> los servicios de salud de las niñas y adolescentes embarazadas o madres, menores de 14 años, víctimas de violencia sexual, cuyos casos hayan sido judicializados</w:t>
      </w:r>
      <w:r>
        <w:t xml:space="preserve">. Sin embargo, solamente 117 niñas y adolescentes fueron usuarias del programa en 2019, 164 en </w:t>
      </w:r>
      <w:r>
        <w:t>2020 y 179 en 2021</w:t>
      </w:r>
      <w:r>
        <w:rPr>
          <w:vertAlign w:val="superscript"/>
        </w:rPr>
        <w:footnoteReference w:id="31"/>
      </w:r>
      <w:r>
        <w:t>.</w:t>
      </w:r>
      <w:r>
        <w:rPr>
          <w:highlight w:val="white"/>
        </w:rPr>
        <w:t xml:space="preserve"> Aunque en cualquiera de los casos, las niñas y adolescentes no deberían ser madres, el acceso de justicia para aquellas que han iniciado algún proceso judicial, tampoco es pronta ni pertinente. </w:t>
      </w:r>
    </w:p>
    <w:p w14:paraId="00000032" w14:textId="667F024C" w:rsidR="00E15A1E" w:rsidRDefault="00C53903">
      <w:pPr>
        <w:numPr>
          <w:ilvl w:val="0"/>
          <w:numId w:val="1"/>
        </w:numPr>
        <w:spacing w:before="200"/>
        <w:ind w:left="0"/>
        <w:jc w:val="both"/>
      </w:pPr>
      <w:r>
        <w:rPr>
          <w:highlight w:val="white"/>
        </w:rPr>
        <w:t xml:space="preserve">Una deuda pendiente del Estado de </w:t>
      </w:r>
      <w:r>
        <w:rPr>
          <w:highlight w:val="white"/>
        </w:rPr>
        <w:t>Guatemala es la revisión de la legislación, tal y como este Comité le recomienda en el párrafo 23 de las observaciones finales al Estado de Guatemala. En él se le insta a prever excepciones a la proh</w:t>
      </w:r>
      <w:r w:rsidR="00876A61">
        <w:rPr>
          <w:highlight w:val="white"/>
        </w:rPr>
        <w:t>ib</w:t>
      </w:r>
      <w:r>
        <w:rPr>
          <w:highlight w:val="white"/>
        </w:rPr>
        <w:t>ició</w:t>
      </w:r>
      <w:r w:rsidR="00876A61">
        <w:rPr>
          <w:highlight w:val="white"/>
        </w:rPr>
        <w:t>n</w:t>
      </w:r>
      <w:r>
        <w:rPr>
          <w:highlight w:val="white"/>
        </w:rPr>
        <w:t xml:space="preserve"> del aborto, incluyendo para casos de embarazos po</w:t>
      </w:r>
      <w:r>
        <w:rPr>
          <w:highlight w:val="white"/>
        </w:rPr>
        <w:t>r violación. Las organizaciones, colectivas y mujeres jóvenes en Guatemala exigen al Estado la despenalización del aborto en el país para que las mujeres puedan acceder de forma segura a este servicio y a abrir puertas para que las niñas, adolescentes, muj</w:t>
      </w:r>
      <w:r>
        <w:rPr>
          <w:highlight w:val="white"/>
        </w:rPr>
        <w:t>eres y personas gestantes decidan sobre su cuerpo y se garantice una verdadera calidad de vida.</w:t>
      </w:r>
    </w:p>
    <w:p w14:paraId="00000033" w14:textId="77777777" w:rsidR="00E15A1E" w:rsidRDefault="00C53903">
      <w:pPr>
        <w:numPr>
          <w:ilvl w:val="0"/>
          <w:numId w:val="2"/>
        </w:numPr>
        <w:spacing w:before="200"/>
        <w:jc w:val="both"/>
        <w:rPr>
          <w:b/>
        </w:rPr>
      </w:pPr>
      <w:r>
        <w:rPr>
          <w:b/>
        </w:rPr>
        <w:t>Derecho a la salud física y mental (art. 12)</w:t>
      </w:r>
    </w:p>
    <w:p w14:paraId="00000034" w14:textId="77777777" w:rsidR="00E15A1E" w:rsidRDefault="00C53903">
      <w:pPr>
        <w:spacing w:before="200"/>
        <w:jc w:val="both"/>
        <w:rPr>
          <w:b/>
        </w:rPr>
      </w:pPr>
      <w:r>
        <w:rPr>
          <w:b/>
        </w:rPr>
        <w:lastRenderedPageBreak/>
        <w:t>Servicios de Salud Sexual y Reproductiva</w:t>
      </w:r>
    </w:p>
    <w:p w14:paraId="00000035" w14:textId="77777777" w:rsidR="00E15A1E" w:rsidRDefault="00C53903">
      <w:pPr>
        <w:numPr>
          <w:ilvl w:val="0"/>
          <w:numId w:val="1"/>
        </w:numPr>
        <w:spacing w:before="200"/>
        <w:ind w:left="0"/>
        <w:jc w:val="both"/>
        <w:rPr>
          <w:highlight w:val="white"/>
        </w:rPr>
      </w:pPr>
      <w:r>
        <w:rPr>
          <w:highlight w:val="white"/>
        </w:rPr>
        <w:t>Los datos del último Censo poblacional reflejan indicadores interesantes r</w:t>
      </w:r>
      <w:r>
        <w:rPr>
          <w:highlight w:val="white"/>
        </w:rPr>
        <w:t xml:space="preserve">especto a la reproducción de la población. Los datos del porcentaje de mujeres en edad fértil, muestra que pasaron del 47.1% del total de la población femenina en 2002, al 53.8% durante el 2022. Esto evidencia que es importante que el Estado garantice las </w:t>
      </w:r>
      <w:r>
        <w:rPr>
          <w:highlight w:val="white"/>
        </w:rPr>
        <w:t>condiciones necesarias y suficientes para el acceso a información, prevención de la violencia y servicios de calidad de salud sexual y reproductiva.</w:t>
      </w:r>
    </w:p>
    <w:p w14:paraId="00000036" w14:textId="77777777" w:rsidR="00E15A1E" w:rsidRDefault="00C53903">
      <w:pPr>
        <w:numPr>
          <w:ilvl w:val="0"/>
          <w:numId w:val="1"/>
        </w:numPr>
        <w:spacing w:before="200"/>
        <w:ind w:left="0"/>
        <w:jc w:val="both"/>
        <w:rPr>
          <w:highlight w:val="white"/>
        </w:rPr>
      </w:pPr>
      <w:r>
        <w:t>Solamente sobre acceso a métodos anticonceptivos, puede hallarse serias deficiencias. Después del recorte q</w:t>
      </w:r>
      <w:r>
        <w:t xml:space="preserve">ue, en 2021, hizo el MSPAS a los servicios de planificación familiar, con un presupuesto final asignado de 41, 830, 218.00 quetzales y en un país con 4, 055, 156 mujeres en edad reproductiva, se estima que el MSPAS invierte apenas 10.32 quetzales por cada </w:t>
      </w:r>
      <w:r>
        <w:t>una de ellas</w:t>
      </w:r>
      <w:r>
        <w:rPr>
          <w:vertAlign w:val="superscript"/>
        </w:rPr>
        <w:footnoteReference w:id="32"/>
      </w:r>
      <w:r>
        <w:t xml:space="preserve">. </w:t>
      </w:r>
    </w:p>
    <w:p w14:paraId="00000037" w14:textId="77777777" w:rsidR="00E15A1E" w:rsidRDefault="00C53903">
      <w:pPr>
        <w:numPr>
          <w:ilvl w:val="0"/>
          <w:numId w:val="1"/>
        </w:numPr>
        <w:spacing w:before="200"/>
        <w:ind w:left="0"/>
        <w:jc w:val="both"/>
        <w:rPr>
          <w:highlight w:val="white"/>
        </w:rPr>
      </w:pPr>
      <w:r>
        <w:t>El acceso a servicios de salud en general es limitado en Guatemala, principalmente porque las asignaciones presupuestarias se concentran en los sectores urbanos y, en la capital del país. Además del enfoque administrativo de esta asignación</w:t>
      </w:r>
      <w:r>
        <w:t>. Según las cifras de la Encuesta Nacional de Salud Materno Infantil 2014/2015, las necesidades insatisfechas en la planificación familiar alcanzan hasta el 13.9% de las mujeres casadas o unidas, de los cuales 8.4% son para limitar embarazos y el 5.5% para</w:t>
      </w:r>
      <w:r>
        <w:t xml:space="preserve"> espaciar. Estas necesidades insatisfechas se hacen mayores en el área rural donde alcanzan hasta el 16.6% de mujeres y también si la mujer es de etnia indígena, llegan a ser de 17.4% en las mismas.</w:t>
      </w:r>
      <w:r>
        <w:rPr>
          <w:vertAlign w:val="superscript"/>
        </w:rPr>
        <w:footnoteReference w:id="33"/>
      </w:r>
    </w:p>
    <w:p w14:paraId="00000038" w14:textId="77777777" w:rsidR="00E15A1E" w:rsidRDefault="00C53903">
      <w:pPr>
        <w:numPr>
          <w:ilvl w:val="0"/>
          <w:numId w:val="1"/>
        </w:numPr>
        <w:spacing w:before="200"/>
        <w:ind w:left="0"/>
        <w:jc w:val="both"/>
        <w:rPr>
          <w:highlight w:val="white"/>
        </w:rPr>
      </w:pPr>
      <w:r>
        <w:t>La prestación de servicios de salud diferenciada según d</w:t>
      </w:r>
      <w:r>
        <w:t xml:space="preserve">istintas categorías sociodemográficas de las personas es un derecho ampliamente atropellado por el Estado, especialmente cuando estas refieren al sexo, el género y la etnia. En noviembre de 2015, se aprobó la Estrategia de Atención Integral y Diferenciada </w:t>
      </w:r>
      <w:r>
        <w:t>en Salud para las Personas Trans en Guatemala. En este documento, el MSPAS asume el compromiso de brindar atención sin estigma, exclusión o discriminación y desde un enfoque biopsicosocial. Sin embargo, la estrategia no ha sido incluida en el presupuesto d</w:t>
      </w:r>
      <w:r>
        <w:t>el MSPAS para su efectiva implementación, incluso después de 5 años después de su publicación y socialización oficial.  Esta situación obstaculiza el acceso a la salud en condiciones de dignidad e igualdad, perpetuando la discriminación, exclusión y violen</w:t>
      </w:r>
      <w:r>
        <w:t>cia que proveedores de servicios de salud ejercen en contra de las personas trans.</w:t>
      </w:r>
    </w:p>
    <w:p w14:paraId="00000039" w14:textId="77777777" w:rsidR="00E15A1E" w:rsidRDefault="00C53903">
      <w:pPr>
        <w:numPr>
          <w:ilvl w:val="0"/>
          <w:numId w:val="1"/>
        </w:numPr>
        <w:spacing w:before="200"/>
        <w:ind w:left="0"/>
        <w:jc w:val="both"/>
        <w:rPr>
          <w:highlight w:val="white"/>
        </w:rPr>
      </w:pPr>
      <w:r>
        <w:t xml:space="preserve">En 2019, el MSPAS incorporó el Manual de lineamientos de atención integral en salud para lesbianas, gais y bisexuales -LGB-. Este manual tiene como fin garantizar el acceso </w:t>
      </w:r>
      <w:r>
        <w:t>a la salud con enfoque de derechos humanos, género, pertinencia cultural, libre de estigma y discriminación. Sin embargo, este documento no cuenta con información diferenciada relativa a mujeres jóvenes ni pertinencia intercultural. Cabe resaltar que, en l</w:t>
      </w:r>
      <w:r>
        <w:t>a realidad, este manual no está siendo implementado por lo que la mayoría de las personas prestadoras de servicios de salud no cuentan con la información necesaria para garantizar el acceso a la salud sexual y reproductiva a mujeres lesbianas y bisexuales.</w:t>
      </w:r>
    </w:p>
    <w:p w14:paraId="0000003A" w14:textId="77777777" w:rsidR="00E15A1E" w:rsidRDefault="00C53903">
      <w:pPr>
        <w:numPr>
          <w:ilvl w:val="0"/>
          <w:numId w:val="1"/>
        </w:numPr>
        <w:spacing w:before="200"/>
        <w:ind w:left="0"/>
        <w:jc w:val="both"/>
        <w:rPr>
          <w:highlight w:val="white"/>
        </w:rPr>
      </w:pPr>
      <w:r>
        <w:lastRenderedPageBreak/>
        <w:t xml:space="preserve">En 2013, se aprobó el Manual para la Atención de la Salud Sexual y Reproductiva de mujeres que viven con VIH y VIH avanzado (SIDA). Este documento tiene como fin brindar lineamientos técnicos para el abordaje integral de la salud sexual y reproductiva de </w:t>
      </w:r>
      <w:r>
        <w:t>mujeres que viven con VIH. A pesar de los esfuerzos de la sociedad civil, este manual no está siendo implementado en las Unidades de Atención Integral -UAI-. Las carencias en la atención a mujeres jóvenes con VIH, representa limitaciones en el acceso a inf</w:t>
      </w:r>
      <w:r>
        <w:t>ormación sobre maternidad, planificación familiar, formas de transmisión y prevención del VIH y otras ITS y vivencia segura de la sexualidad en pareja.</w:t>
      </w:r>
    </w:p>
    <w:p w14:paraId="0000003B" w14:textId="77777777" w:rsidR="00E15A1E" w:rsidRDefault="00C53903">
      <w:pPr>
        <w:numPr>
          <w:ilvl w:val="0"/>
          <w:numId w:val="2"/>
        </w:numPr>
        <w:spacing w:before="200"/>
        <w:jc w:val="both"/>
        <w:rPr>
          <w:b/>
        </w:rPr>
      </w:pPr>
      <w:r>
        <w:rPr>
          <w:b/>
        </w:rPr>
        <w:t>Derecho a la educación (arts. 13 y 14)</w:t>
      </w:r>
    </w:p>
    <w:p w14:paraId="0000003C" w14:textId="4D121010" w:rsidR="00E15A1E" w:rsidRDefault="00C53903">
      <w:pPr>
        <w:numPr>
          <w:ilvl w:val="0"/>
          <w:numId w:val="1"/>
        </w:numPr>
        <w:spacing w:before="200"/>
        <w:ind w:left="0"/>
        <w:jc w:val="both"/>
      </w:pPr>
      <w:r>
        <w:t>La EIS es un derecho humano incluido en la amplia garantía del ac</w:t>
      </w:r>
      <w:r>
        <w:t>ceso a educación en general, pues también debe orientarse hacia el pleno desarrollo de la personalidad humana y del sentido de su dignidad. A pesar de que el marco legal y político nacional e internacional reconoce el derecho a EIS y se sostiene sobre el p</w:t>
      </w:r>
      <w:r>
        <w:t xml:space="preserve">rincipio de universalidad de los derechos humanos, el Estado de Guatemala continúa relegando su compromiso con la garantía de la misma. En 2021, se aprobó </w:t>
      </w:r>
      <w:r w:rsidR="00876A61">
        <w:t>la Política</w:t>
      </w:r>
      <w:r>
        <w:t xml:space="preserve"> Pública de Protección a la Vida y la Institucionalidad de la Familia, que abiertamente pr</w:t>
      </w:r>
      <w:r>
        <w:t>ohíbe cualquier tipo de educación en sexualidad que ponga en cuestión los valores tradicionales. Esta política, que estará vigente hasta 2032, representa una amenaza evidente a los derechos humanos y a la dignidad de las mujeres jóvenes titulares de derech</w:t>
      </w:r>
      <w:r>
        <w:t>os.</w:t>
      </w:r>
    </w:p>
    <w:p w14:paraId="0000003D" w14:textId="77777777" w:rsidR="00E15A1E" w:rsidRDefault="00C53903">
      <w:pPr>
        <w:numPr>
          <w:ilvl w:val="0"/>
          <w:numId w:val="1"/>
        </w:numPr>
        <w:spacing w:before="200"/>
        <w:ind w:left="0"/>
        <w:jc w:val="both"/>
      </w:pPr>
      <w:r>
        <w:t>La EIS se concibe también como una herramienta para identificar y prevenir la violencia en espacios educativos, pero al ser un derecho negado por el Estado, también se corre el riesgo de no garantizar espacios educativos seguros libres de violencia y a</w:t>
      </w:r>
      <w:r>
        <w:t>coso sexual. Aunque los datos oficiales constantemente presentan inconsistencias, el MINEDUC</w:t>
      </w:r>
      <w:r>
        <w:rPr>
          <w:vertAlign w:val="superscript"/>
        </w:rPr>
        <w:footnoteReference w:id="34"/>
      </w:r>
      <w:r>
        <w:t xml:space="preserve"> reportó 39 casos de violencia en espacios educativos de 2018 a 2021. Estas cifras esconden detrás el silencio con el que se vive la violencia en estos ambientes y</w:t>
      </w:r>
      <w:r>
        <w:t xml:space="preserve"> que vulneran directamente el derecho a vidas dignas y educación.</w:t>
      </w:r>
    </w:p>
    <w:p w14:paraId="0000003E" w14:textId="77777777" w:rsidR="00E15A1E" w:rsidRDefault="00C53903">
      <w:pPr>
        <w:numPr>
          <w:ilvl w:val="0"/>
          <w:numId w:val="1"/>
        </w:numPr>
        <w:spacing w:before="200"/>
        <w:ind w:left="0"/>
        <w:jc w:val="both"/>
      </w:pPr>
      <w:r>
        <w:t xml:space="preserve">Técnicamente, para atender esta realidad, se creó un </w:t>
      </w:r>
      <w:r>
        <w:rPr>
          <w:i/>
        </w:rPr>
        <w:t>“Protocolo de identificación, atención y referencia de casos de violencia dentro del sistema educativo nacional”</w:t>
      </w:r>
      <w:r>
        <w:t>; Y en 2011, se aprobó la</w:t>
      </w:r>
      <w:r>
        <w:t xml:space="preserve"> </w:t>
      </w:r>
      <w:r>
        <w:rPr>
          <w:i/>
        </w:rPr>
        <w:t>“Guía para la prevención del acoso escolar (bullying)”.</w:t>
      </w:r>
      <w:r>
        <w:t xml:space="preserve"> Sin embargo, ambos documentos tienen como fin brindar herramientas a docentes, directores y supervisores para frenar el acoso y la violencia en espacios escolares, incluyendo la violencia sexual y la</w:t>
      </w:r>
      <w:r>
        <w:t xml:space="preserve"> discriminación. Sin embargo, estos están desactualizados y en la realidad no se implementan, porque existe un generalizado desconocimiento por parte del personal que tiene a su cargo la implementación. </w:t>
      </w:r>
    </w:p>
    <w:p w14:paraId="0000003F" w14:textId="77777777" w:rsidR="00E15A1E" w:rsidRDefault="00C53903">
      <w:pPr>
        <w:numPr>
          <w:ilvl w:val="0"/>
          <w:numId w:val="1"/>
        </w:numPr>
        <w:spacing w:before="200"/>
        <w:ind w:left="0"/>
        <w:jc w:val="both"/>
      </w:pPr>
      <w:r>
        <w:t>En 2020, el MSPAS y el MINEDUC ratificaron el conven</w:t>
      </w:r>
      <w:r>
        <w:t>io de cooperación interinstitucional Prevenir con Educación 2021-2025. Por medio de este acuerdo, el Estado de Guatemala asumió el compromiso de incluir EIS (aunque no incluye temas de orientación sexual ni identidad y expresión de género) en los programas</w:t>
      </w:r>
      <w:r>
        <w:t xml:space="preserve"> escolares y brindar servicios de salud sexual y reproductiva diferenciados a jóvenes y adolescentes. A pesar de que esta iniciativa se impulsó desde 2008, los avances para alcanzar los objetivos de dicho acuerdo han sido escasos, especialmente por parte d</w:t>
      </w:r>
      <w:r>
        <w:t>el MINEDUC. Catorce años después, sigue sin ser garantizado el acceso a EIS y los servicios de salud sexual y reproductiva son muy limitados.</w:t>
      </w:r>
    </w:p>
    <w:p w14:paraId="00000040" w14:textId="77777777" w:rsidR="00E15A1E" w:rsidRDefault="00C53903">
      <w:pPr>
        <w:numPr>
          <w:ilvl w:val="0"/>
          <w:numId w:val="1"/>
        </w:numPr>
        <w:spacing w:before="200"/>
        <w:ind w:left="0"/>
        <w:jc w:val="both"/>
      </w:pPr>
      <w:r>
        <w:lastRenderedPageBreak/>
        <w:t xml:space="preserve">Además, el Estado de Guatemala asegura, en sus </w:t>
      </w:r>
      <w:r>
        <w:rPr>
          <w:i/>
        </w:rPr>
        <w:t>Respuestas de Guatemala a la lista de cuestiones relativa a su cuar</w:t>
      </w:r>
      <w:r>
        <w:rPr>
          <w:i/>
        </w:rPr>
        <w:t>to informe periódico</w:t>
      </w:r>
      <w:r>
        <w:rPr>
          <w:i/>
          <w:vertAlign w:val="superscript"/>
        </w:rPr>
        <w:footnoteReference w:id="35"/>
      </w:r>
      <w:r>
        <w:t xml:space="preserve">, que la </w:t>
      </w:r>
      <w:r>
        <w:rPr>
          <w:i/>
        </w:rPr>
        <w:t>Estrategia Nacional de Educación para la Convivencia Pacífica y Prevención de Violencia,</w:t>
      </w:r>
      <w:r>
        <w:t xml:space="preserve"> es la forma más pertinente de prevenir, atender y resarcir la violencia y el acoso sexual en los centros educativos, sin embargo, esta ma</w:t>
      </w:r>
      <w:r>
        <w:t>yoritariamente se concentra en capacitaciones que no arrojan resultados significativos. Además, esta culminó en 2020 y, no se cuentan con mecanismos de actualización ni evaluación. Resulta inadmisible que el Estado responda a la lista de cuestiones del Com</w:t>
      </w:r>
      <w:r>
        <w:t xml:space="preserve">ité DESC, con este argumento. </w:t>
      </w:r>
    </w:p>
    <w:p w14:paraId="00000041" w14:textId="77777777" w:rsidR="00E15A1E" w:rsidRDefault="00C53903">
      <w:pPr>
        <w:numPr>
          <w:ilvl w:val="0"/>
          <w:numId w:val="2"/>
        </w:numPr>
        <w:spacing w:before="200"/>
        <w:jc w:val="both"/>
        <w:rPr>
          <w:b/>
        </w:rPr>
      </w:pPr>
      <w:r>
        <w:rPr>
          <w:b/>
        </w:rPr>
        <w:t>Recomendaciones</w:t>
      </w:r>
    </w:p>
    <w:p w14:paraId="00000042" w14:textId="77777777" w:rsidR="00E15A1E" w:rsidRDefault="00C53903">
      <w:pPr>
        <w:spacing w:before="200"/>
        <w:jc w:val="both"/>
      </w:pPr>
      <w:r>
        <w:rPr>
          <w:sz w:val="24"/>
          <w:szCs w:val="24"/>
        </w:rPr>
        <w:t>Se recomienda al Estado de Guatemala:</w:t>
      </w:r>
    </w:p>
    <w:p w14:paraId="00000043" w14:textId="77777777" w:rsidR="00E15A1E" w:rsidRDefault="00C53903">
      <w:pPr>
        <w:numPr>
          <w:ilvl w:val="0"/>
          <w:numId w:val="1"/>
        </w:numPr>
        <w:spacing w:before="200"/>
        <w:ind w:left="0"/>
        <w:jc w:val="both"/>
      </w:pPr>
      <w:r>
        <w:rPr>
          <w:sz w:val="24"/>
          <w:szCs w:val="24"/>
        </w:rPr>
        <w:t xml:space="preserve">El gobierno de Guatemala deberá garantizar condiciones y recursos financieros transparentes para que atiendan las necesidades de las mujeres jóvenes titulares de derechos </w:t>
      </w:r>
      <w:r>
        <w:rPr>
          <w:sz w:val="24"/>
          <w:szCs w:val="24"/>
        </w:rPr>
        <w:t>en torno a sus derechos sociales, sexuales y reproductivos. Asimismo, que no se recorten recursos sino se aumente lo necesario para garantizar un impacto positivo y real para el desarrollo de sus vidas. Y, promover y garantizar el máximo cumplimiento en la</w:t>
      </w:r>
      <w:r>
        <w:rPr>
          <w:sz w:val="24"/>
          <w:szCs w:val="24"/>
        </w:rPr>
        <w:t xml:space="preserve"> ejecución del mismo.  </w:t>
      </w:r>
    </w:p>
    <w:p w14:paraId="00000044" w14:textId="7CE88140" w:rsidR="00E15A1E" w:rsidRDefault="00C53903">
      <w:pPr>
        <w:numPr>
          <w:ilvl w:val="0"/>
          <w:numId w:val="1"/>
        </w:numPr>
        <w:spacing w:before="200"/>
        <w:ind w:left="0"/>
        <w:jc w:val="both"/>
      </w:pPr>
      <w:r>
        <w:rPr>
          <w:sz w:val="24"/>
          <w:szCs w:val="24"/>
        </w:rPr>
        <w:t>Garantizar que la asignación presupuestaria al MIDES se concentre en la ejecución de acciones que efectivamente promuevan la participación de las poblaciones en situaciones de vulnerabilidad y la promoción de mejoras en las condicio</w:t>
      </w:r>
      <w:r>
        <w:rPr>
          <w:sz w:val="24"/>
          <w:szCs w:val="24"/>
        </w:rPr>
        <w:t xml:space="preserve">nes de vida y desarrollo social. Asimismo, es necesario que se operativicen estratégicamente los </w:t>
      </w:r>
      <w:r>
        <w:rPr>
          <w:i/>
          <w:sz w:val="24"/>
          <w:szCs w:val="24"/>
        </w:rPr>
        <w:t xml:space="preserve">Servicios para la igualdad de género y pueblos indígenas, </w:t>
      </w:r>
      <w:r>
        <w:rPr>
          <w:sz w:val="24"/>
          <w:szCs w:val="24"/>
        </w:rPr>
        <w:t xml:space="preserve">evitando que </w:t>
      </w:r>
      <w:r w:rsidR="00876A61">
        <w:rPr>
          <w:sz w:val="24"/>
          <w:szCs w:val="24"/>
        </w:rPr>
        <w:t>la concentración de recursos se realice</w:t>
      </w:r>
      <w:r>
        <w:rPr>
          <w:sz w:val="24"/>
          <w:szCs w:val="24"/>
        </w:rPr>
        <w:t xml:space="preserve"> en cuestiones administrativas. </w:t>
      </w:r>
    </w:p>
    <w:p w14:paraId="00000045" w14:textId="77777777" w:rsidR="00E15A1E" w:rsidRDefault="00C53903">
      <w:pPr>
        <w:numPr>
          <w:ilvl w:val="0"/>
          <w:numId w:val="1"/>
        </w:numPr>
        <w:spacing w:before="200"/>
        <w:ind w:left="0"/>
        <w:jc w:val="both"/>
      </w:pPr>
      <w:r>
        <w:rPr>
          <w:sz w:val="24"/>
          <w:szCs w:val="24"/>
        </w:rPr>
        <w:t>El MIDES, deberá</w:t>
      </w:r>
      <w:r>
        <w:rPr>
          <w:sz w:val="24"/>
          <w:szCs w:val="24"/>
        </w:rPr>
        <w:t xml:space="preserve"> garantizar que su presupuesto se concentre en las acciones que promueven la participación de las poblaciones en situación de vulnerabilidad. Deberá dirigir acciones, crear programas y realizar mesas de trabajo dirigidas a las mujeres con discapacidad, que</w:t>
      </w:r>
      <w:r>
        <w:rPr>
          <w:sz w:val="24"/>
          <w:szCs w:val="24"/>
        </w:rPr>
        <w:t xml:space="preserve"> viven con VIH, migrantes y LBT, pues son cuatro grupos sociales que viven al margen de la exclusión y desigualdad.</w:t>
      </w:r>
    </w:p>
    <w:p w14:paraId="00000046" w14:textId="77777777" w:rsidR="00E15A1E" w:rsidRDefault="00C53903">
      <w:pPr>
        <w:numPr>
          <w:ilvl w:val="0"/>
          <w:numId w:val="1"/>
        </w:numPr>
        <w:spacing w:before="200"/>
        <w:ind w:left="0"/>
        <w:jc w:val="both"/>
      </w:pPr>
      <w:r>
        <w:rPr>
          <w:sz w:val="24"/>
          <w:szCs w:val="24"/>
        </w:rPr>
        <w:t xml:space="preserve">Exigir al MIDES la derogación del </w:t>
      </w:r>
      <w:r>
        <w:rPr>
          <w:i/>
          <w:sz w:val="24"/>
          <w:szCs w:val="24"/>
        </w:rPr>
        <w:t xml:space="preserve">Proyecto de servicio cívico “Joven trabajando por mi país, contribuyendo en la prevención de embarazos en </w:t>
      </w:r>
      <w:r>
        <w:rPr>
          <w:i/>
          <w:sz w:val="24"/>
          <w:szCs w:val="24"/>
        </w:rPr>
        <w:t>adolescentes”</w:t>
      </w:r>
      <w:r>
        <w:rPr>
          <w:sz w:val="24"/>
          <w:szCs w:val="24"/>
        </w:rPr>
        <w:t>, puesto que no ha reportado resultados de impacto y, mantiene un alto sentido patriótico que desvincula al Estado de su responsabilidad de garantizar vidas dignas a las niñas y las adolescentes. En su lugar, es importante que se implemente un</w:t>
      </w:r>
      <w:r>
        <w:rPr>
          <w:sz w:val="24"/>
          <w:szCs w:val="24"/>
        </w:rPr>
        <w:t xml:space="preserve"> proyecto estratégico ampliamente deliberado con personas expertas y organizaciones de sociedad civil que responsabilice estratégicamente a las instituciones correspondientes.  </w:t>
      </w:r>
    </w:p>
    <w:p w14:paraId="00000047" w14:textId="77777777" w:rsidR="00E15A1E" w:rsidRDefault="00C53903">
      <w:pPr>
        <w:numPr>
          <w:ilvl w:val="0"/>
          <w:numId w:val="1"/>
        </w:numPr>
        <w:spacing w:before="200"/>
        <w:ind w:left="0"/>
        <w:jc w:val="both"/>
      </w:pPr>
      <w:r>
        <w:rPr>
          <w:sz w:val="24"/>
          <w:szCs w:val="24"/>
        </w:rPr>
        <w:t xml:space="preserve">El MSPAS deberá contar con un presupuesto coherente con las necesidades de salud sexual y reproductiva, garantizando que se evite a toda costa los recortes a los programas y las acciones que están principalmente enfocadas en la dotación de </w:t>
      </w:r>
      <w:r>
        <w:rPr>
          <w:sz w:val="24"/>
          <w:szCs w:val="24"/>
        </w:rPr>
        <w:lastRenderedPageBreak/>
        <w:t>servicios e insu</w:t>
      </w:r>
      <w:r>
        <w:rPr>
          <w:sz w:val="24"/>
          <w:szCs w:val="24"/>
        </w:rPr>
        <w:t xml:space="preserve">mos de planificación familiar, salud materno-infantil, Prevención de Embarazos en Adolescentes y Jóvenes, Prevención de ITS, VIH/SIDA y todas aquellas que estén contenidas en los derechos sexuales y reproductivos. </w:t>
      </w:r>
    </w:p>
    <w:p w14:paraId="00000048" w14:textId="77777777" w:rsidR="00E15A1E" w:rsidRDefault="00C53903">
      <w:pPr>
        <w:numPr>
          <w:ilvl w:val="0"/>
          <w:numId w:val="1"/>
        </w:numPr>
        <w:spacing w:before="200"/>
        <w:ind w:left="0"/>
        <w:jc w:val="both"/>
      </w:pPr>
      <w:r>
        <w:rPr>
          <w:sz w:val="24"/>
          <w:szCs w:val="24"/>
        </w:rPr>
        <w:t>Garantizar que el PNSR reciba completamen</w:t>
      </w:r>
      <w:r>
        <w:rPr>
          <w:sz w:val="24"/>
          <w:szCs w:val="24"/>
        </w:rPr>
        <w:t>te el 15% de los impuestos sobre la distribución de bebidas alcohólicas destiladas, que establece la legislación guatemalteca. Asimismo, es necesario evaluar y actualizar los montos que por normativa se asignan a este programa, promoviendo que se increment</w:t>
      </w:r>
      <w:r>
        <w:rPr>
          <w:sz w:val="24"/>
          <w:szCs w:val="24"/>
        </w:rPr>
        <w:t>e la inversión de manera coherente y proporcional con la demanda de servicios de salud reproductiva.</w:t>
      </w:r>
    </w:p>
    <w:p w14:paraId="00000049" w14:textId="77777777" w:rsidR="00E15A1E" w:rsidRDefault="00C53903">
      <w:pPr>
        <w:numPr>
          <w:ilvl w:val="0"/>
          <w:numId w:val="1"/>
        </w:numPr>
        <w:spacing w:before="200"/>
        <w:ind w:left="0"/>
        <w:jc w:val="both"/>
      </w:pPr>
      <w:r>
        <w:rPr>
          <w:sz w:val="24"/>
          <w:szCs w:val="24"/>
        </w:rPr>
        <w:t>Dar seguimiento a la iniciativa de ley 5371 “Iniciativa que dispone aprobar el protocolo por el que se enmienda el acuerdo sobre los ADPIC</w:t>
      </w:r>
      <w:r>
        <w:rPr>
          <w:sz w:val="24"/>
          <w:szCs w:val="24"/>
          <w:vertAlign w:val="superscript"/>
        </w:rPr>
        <w:footnoteReference w:id="36"/>
      </w:r>
      <w:r>
        <w:rPr>
          <w:sz w:val="24"/>
          <w:szCs w:val="24"/>
        </w:rPr>
        <w:t xml:space="preserve">, hecho en </w:t>
      </w:r>
      <w:r>
        <w:rPr>
          <w:sz w:val="24"/>
          <w:szCs w:val="24"/>
        </w:rPr>
        <w:t>Ginebra el 6 de diciembre de 2005”. Esto para facilitar la obtención de versiones genéricas de medicamentos patentados a menor costo.</w:t>
      </w:r>
    </w:p>
    <w:p w14:paraId="0000004A" w14:textId="77777777" w:rsidR="00E15A1E" w:rsidRDefault="00C53903">
      <w:pPr>
        <w:numPr>
          <w:ilvl w:val="0"/>
          <w:numId w:val="1"/>
        </w:numPr>
        <w:spacing w:before="200"/>
        <w:ind w:left="0"/>
        <w:jc w:val="both"/>
      </w:pPr>
      <w:r>
        <w:rPr>
          <w:sz w:val="24"/>
          <w:szCs w:val="24"/>
        </w:rPr>
        <w:t>Instalar una Mesa Técnica Interinstitucional, con la participación del Programa Nacional de ITS/VIH/Sida, el Programa Naci</w:t>
      </w:r>
      <w:r>
        <w:rPr>
          <w:sz w:val="24"/>
          <w:szCs w:val="24"/>
        </w:rPr>
        <w:t>onal de Salud Reproductiva, coordinadores de UAI, Unidad de Monitoreo y Evaluación del Programa Nacional de ITS/VIH/Sida, sociedad civil y otros actores para impulsar la actualización e implementación (con especial atención a mujeres jóvenes) del “Manual p</w:t>
      </w:r>
      <w:r>
        <w:rPr>
          <w:sz w:val="24"/>
          <w:szCs w:val="24"/>
        </w:rPr>
        <w:t>ara la Atención de la Salud Sexual y Salud Reproductiva de las mujeres con VIH y VIH Avanzado” y el Acuerdo Ministerial 4-2015.</w:t>
      </w:r>
    </w:p>
    <w:p w14:paraId="0000004B" w14:textId="77777777" w:rsidR="00E15A1E" w:rsidRDefault="00C53903">
      <w:pPr>
        <w:numPr>
          <w:ilvl w:val="0"/>
          <w:numId w:val="1"/>
        </w:numPr>
        <w:spacing w:before="200"/>
        <w:ind w:left="0"/>
        <w:jc w:val="both"/>
      </w:pPr>
      <w:r>
        <w:rPr>
          <w:sz w:val="24"/>
          <w:szCs w:val="24"/>
        </w:rPr>
        <w:t>Incluir la “Estrategia de Atención Integral y Diferenciada en Salud para las Personas Trans” en el plan operativo del MSPAS para</w:t>
      </w:r>
      <w:r>
        <w:rPr>
          <w:sz w:val="24"/>
          <w:szCs w:val="24"/>
        </w:rPr>
        <w:t xml:space="preserve"> que el Congreso asigne el presupuesto y los recursos necesarios para que esta sea conocida e implementada por las personas proveedoras de salud en Guatemala.</w:t>
      </w:r>
    </w:p>
    <w:p w14:paraId="0000004C" w14:textId="4D40C5C4" w:rsidR="00E15A1E" w:rsidRDefault="00C53903">
      <w:pPr>
        <w:numPr>
          <w:ilvl w:val="0"/>
          <w:numId w:val="1"/>
        </w:numPr>
        <w:spacing w:before="200"/>
        <w:ind w:left="0"/>
        <w:jc w:val="both"/>
      </w:pPr>
      <w:r>
        <w:rPr>
          <w:sz w:val="24"/>
          <w:szCs w:val="24"/>
        </w:rPr>
        <w:t>El Estado de Guatemala deberá realizar y aprobar una Ley de Educación Integral en Sexualidad para</w:t>
      </w:r>
      <w:r>
        <w:rPr>
          <w:sz w:val="24"/>
          <w:szCs w:val="24"/>
        </w:rPr>
        <w:t xml:space="preserve"> que el Ministerio de Educación garantice el acceso en todo el sistema educativo nacional desde un enfoque de género, derechos humanos y laicidad. Asimismo deberá asignar presupuesto y actualizar los contenidos, </w:t>
      </w:r>
      <w:r w:rsidR="00876A61">
        <w:rPr>
          <w:sz w:val="24"/>
          <w:szCs w:val="24"/>
        </w:rPr>
        <w:t>criterios</w:t>
      </w:r>
      <w:r>
        <w:rPr>
          <w:sz w:val="24"/>
          <w:szCs w:val="24"/>
        </w:rPr>
        <w:t xml:space="preserve"> y paradigmas de tal forma que esta</w:t>
      </w:r>
      <w:r>
        <w:rPr>
          <w:sz w:val="24"/>
          <w:szCs w:val="24"/>
        </w:rPr>
        <w:t xml:space="preserve"> parta de posicionamientos científicos libres de estigmas, roles de género, preceptos morales y discriminación.</w:t>
      </w:r>
    </w:p>
    <w:p w14:paraId="0000004D" w14:textId="77777777" w:rsidR="00E15A1E" w:rsidRDefault="00C53903">
      <w:pPr>
        <w:numPr>
          <w:ilvl w:val="0"/>
          <w:numId w:val="1"/>
        </w:numPr>
        <w:spacing w:before="200"/>
        <w:ind w:left="0"/>
        <w:jc w:val="both"/>
      </w:pPr>
      <w:r>
        <w:rPr>
          <w:sz w:val="24"/>
          <w:szCs w:val="24"/>
        </w:rPr>
        <w:t>Abolir toda legislación y política pública, vigente o archivada, que atente contra los derechos humanos: emitir dictamen desfavorable a la Inici</w:t>
      </w:r>
      <w:r>
        <w:rPr>
          <w:sz w:val="24"/>
          <w:szCs w:val="24"/>
        </w:rPr>
        <w:t xml:space="preserve">ativa 5940 “Ley para Garantizar la Protección Integral de la Niñez y Adolescencia contra los Trastornos de la Identidad de Género”; improbar y eliminar la iniciativa 6076 </w:t>
      </w:r>
      <w:r>
        <w:rPr>
          <w:i/>
          <w:sz w:val="24"/>
          <w:szCs w:val="24"/>
        </w:rPr>
        <w:t>“Ley para el Fortalecimiento de las Fuerzas de Seguridad Pública y del Ejército de Gu</w:t>
      </w:r>
      <w:r>
        <w:rPr>
          <w:i/>
          <w:sz w:val="24"/>
          <w:szCs w:val="24"/>
        </w:rPr>
        <w:t>atemala”</w:t>
      </w:r>
      <w:r>
        <w:rPr>
          <w:sz w:val="24"/>
          <w:szCs w:val="24"/>
        </w:rPr>
        <w:t xml:space="preserve">;  declarar sin vigencia la “Política Pública de Protección a la Vida y la Institucionalidad de la Familia 2022-2032”; y, derogar el </w:t>
      </w:r>
      <w:r>
        <w:rPr>
          <w:i/>
          <w:sz w:val="24"/>
          <w:szCs w:val="24"/>
        </w:rPr>
        <w:t>Decreto No. 4-2020 “Ley de ONGs”</w:t>
      </w:r>
      <w:r>
        <w:rPr>
          <w:sz w:val="24"/>
          <w:szCs w:val="24"/>
        </w:rPr>
        <w:t xml:space="preserve"> y el </w:t>
      </w:r>
      <w:r>
        <w:rPr>
          <w:i/>
          <w:sz w:val="24"/>
          <w:szCs w:val="24"/>
        </w:rPr>
        <w:lastRenderedPageBreak/>
        <w:t>Decreto 9-2022, para nombrar el 9 de marzo de cada año como el “Día por la Vi</w:t>
      </w:r>
      <w:r>
        <w:rPr>
          <w:i/>
          <w:sz w:val="24"/>
          <w:szCs w:val="24"/>
        </w:rPr>
        <w:t>da y la Familia”</w:t>
      </w:r>
      <w:r>
        <w:rPr>
          <w:sz w:val="24"/>
          <w:szCs w:val="24"/>
        </w:rPr>
        <w:t>; para que estos dejen de ser utilizados para amedrentar a las mujeres, a la población LGBTIQ+ y a las activistas y defensoras de derechos humanos.</w:t>
      </w:r>
    </w:p>
    <w:p w14:paraId="0000004E" w14:textId="77777777" w:rsidR="00E15A1E" w:rsidRDefault="00C53903">
      <w:pPr>
        <w:numPr>
          <w:ilvl w:val="0"/>
          <w:numId w:val="1"/>
        </w:numPr>
        <w:spacing w:before="200"/>
        <w:ind w:left="0"/>
        <w:jc w:val="both"/>
      </w:pPr>
      <w:r>
        <w:rPr>
          <w:sz w:val="24"/>
          <w:szCs w:val="24"/>
        </w:rPr>
        <w:t>Abstenerse de participar en eventos que, como el Congreso Iberoamericano de la Vida y la Fam</w:t>
      </w:r>
      <w:r>
        <w:rPr>
          <w:sz w:val="24"/>
          <w:szCs w:val="24"/>
        </w:rPr>
        <w:t>ilia, otorgan al Estado una posición contradictoria y violatoria al carácter laico de la gestión pública. Además, es necesario dejar de usar el título de “Capital Provida de Iberoamérica” como argumento central para las acciones estatales, pues instaura cr</w:t>
      </w:r>
      <w:r>
        <w:rPr>
          <w:sz w:val="24"/>
          <w:szCs w:val="24"/>
        </w:rPr>
        <w:t>eencias religiosas y morales en las respuestas a necesidades sociales y políticas.</w:t>
      </w:r>
    </w:p>
    <w:p w14:paraId="0000004F" w14:textId="77777777" w:rsidR="00E15A1E" w:rsidRDefault="00C53903">
      <w:pPr>
        <w:numPr>
          <w:ilvl w:val="0"/>
          <w:numId w:val="1"/>
        </w:numPr>
        <w:spacing w:before="200"/>
        <w:ind w:left="0"/>
        <w:jc w:val="both"/>
      </w:pPr>
      <w:r>
        <w:rPr>
          <w:sz w:val="24"/>
          <w:szCs w:val="24"/>
        </w:rPr>
        <w:t>Reconocer y abordar la evidente y sostenida escalada de violencia contra las mujeres sin subestimar ni revictimizar a las sobrevivientes. De forma tal que, paralelo a la rec</w:t>
      </w:r>
      <w:r>
        <w:rPr>
          <w:sz w:val="24"/>
          <w:szCs w:val="24"/>
        </w:rPr>
        <w:t xml:space="preserve">olección y publicación transparente de evidencia, se incorporen acciones efectivas para la prevención, la atención y el resarcimiento de todas las formas de violencia contra las mujeres. Asimismo, incorporar el concepto jurídico de </w:t>
      </w:r>
      <w:r>
        <w:rPr>
          <w:i/>
          <w:sz w:val="24"/>
          <w:szCs w:val="24"/>
        </w:rPr>
        <w:t xml:space="preserve">feminicidio </w:t>
      </w:r>
      <w:r>
        <w:rPr>
          <w:sz w:val="24"/>
          <w:szCs w:val="24"/>
        </w:rPr>
        <w:t>para nombrar</w:t>
      </w:r>
      <w:r>
        <w:rPr>
          <w:sz w:val="24"/>
          <w:szCs w:val="24"/>
        </w:rPr>
        <w:t xml:space="preserve"> y visibilizar las muertes violentas contra las mujeres en razón del sexo y el género.</w:t>
      </w:r>
    </w:p>
    <w:p w14:paraId="00000050" w14:textId="77777777" w:rsidR="00E15A1E" w:rsidRDefault="00C53903">
      <w:pPr>
        <w:numPr>
          <w:ilvl w:val="0"/>
          <w:numId w:val="1"/>
        </w:numPr>
        <w:spacing w:before="200"/>
        <w:ind w:left="0"/>
        <w:jc w:val="both"/>
      </w:pPr>
      <w:r>
        <w:rPr>
          <w:sz w:val="24"/>
          <w:szCs w:val="24"/>
        </w:rPr>
        <w:t>Garantizar la transparencia y la desagregación de categorías en la recolección y publicación de datos relacionados a violencia y todo tipo de violación a los derechos hu</w:t>
      </w:r>
      <w:r>
        <w:rPr>
          <w:sz w:val="24"/>
          <w:szCs w:val="24"/>
        </w:rPr>
        <w:t xml:space="preserve">manos de las mujeres en Guatemala. Es importante incorporar categorías basadas en la orientación sexual, la identidad y expresión de género, la situación migratoria, entre otras. </w:t>
      </w:r>
    </w:p>
    <w:p w14:paraId="00000051" w14:textId="77777777" w:rsidR="00E15A1E" w:rsidRDefault="00C53903">
      <w:pPr>
        <w:numPr>
          <w:ilvl w:val="0"/>
          <w:numId w:val="1"/>
        </w:numPr>
        <w:spacing w:before="200"/>
        <w:ind w:left="0"/>
        <w:jc w:val="both"/>
      </w:pPr>
      <w:r>
        <w:rPr>
          <w:sz w:val="24"/>
          <w:szCs w:val="24"/>
        </w:rPr>
        <w:t xml:space="preserve">Actualizar la Ley contra el Femicidio y Otras Formas de Violencia Contra la </w:t>
      </w:r>
      <w:r>
        <w:rPr>
          <w:sz w:val="24"/>
          <w:szCs w:val="24"/>
        </w:rPr>
        <w:t>Mujer para que el artículo 20 incluya de forma específica la obligación del INE de generar indicadores e información oficial sobre mujeres migrantes e incluirlas en el Sistema Nacional de Información Sobre Violencia contra la Mujer. Lo anterior garantizand</w:t>
      </w:r>
      <w:r>
        <w:rPr>
          <w:sz w:val="24"/>
          <w:szCs w:val="24"/>
        </w:rPr>
        <w:t>o que los datos generados sean diferenciados y detallados sobre la situación de violencia sexual que atraviesan las migrantes en el país, específicamente de las mujeres, niñas y adolescentes.</w:t>
      </w:r>
    </w:p>
    <w:p w14:paraId="00000052" w14:textId="77777777" w:rsidR="00E15A1E" w:rsidRDefault="00C53903">
      <w:pPr>
        <w:numPr>
          <w:ilvl w:val="0"/>
          <w:numId w:val="1"/>
        </w:numPr>
        <w:spacing w:before="200"/>
        <w:ind w:left="0"/>
        <w:jc w:val="both"/>
      </w:pPr>
      <w:r>
        <w:rPr>
          <w:sz w:val="24"/>
          <w:szCs w:val="24"/>
        </w:rPr>
        <w:t>Garantizar procesos de acompañamiento integral a las sobrevivien</w:t>
      </w:r>
      <w:r>
        <w:rPr>
          <w:sz w:val="24"/>
          <w:szCs w:val="24"/>
        </w:rPr>
        <w:t>tes de violencia contra la mujer, para que no se ponga en duda la denuncia de las mujeres por razón de género, orientación, identidad y expresión de género y no se les revictimice. Asimismo, es necesario desconcentrar las responsabilidades del sector justi</w:t>
      </w:r>
      <w:r>
        <w:rPr>
          <w:sz w:val="24"/>
          <w:szCs w:val="24"/>
        </w:rPr>
        <w:t xml:space="preserve">cia, para que quienes lo requieran puedan acceder de manera pronta a los canales disponibles para atender y resarcir cualquier forma de violencia. </w:t>
      </w:r>
    </w:p>
    <w:p w14:paraId="00000053" w14:textId="77777777" w:rsidR="00E15A1E" w:rsidRDefault="00C53903">
      <w:pPr>
        <w:numPr>
          <w:ilvl w:val="0"/>
          <w:numId w:val="1"/>
        </w:numPr>
        <w:spacing w:before="200"/>
        <w:ind w:left="0"/>
        <w:jc w:val="both"/>
      </w:pPr>
      <w:r>
        <w:rPr>
          <w:sz w:val="24"/>
          <w:szCs w:val="24"/>
        </w:rPr>
        <w:t>Ampliar el sistema de seguridad social, para que las mujeres que laboran en el sector informal cuenten con o</w:t>
      </w:r>
      <w:r>
        <w:rPr>
          <w:sz w:val="24"/>
          <w:szCs w:val="24"/>
        </w:rPr>
        <w:t>portunidades públicas de acceso a servicios de salud sexual y reproductiva y con ello, se extienda el derecho a salud reconocido por el Pacto Internacional de Derechos Económicos, Sociales y Culturales.</w:t>
      </w:r>
    </w:p>
    <w:p w14:paraId="00000054" w14:textId="77777777" w:rsidR="00E15A1E" w:rsidRDefault="00C53903">
      <w:pPr>
        <w:numPr>
          <w:ilvl w:val="0"/>
          <w:numId w:val="1"/>
        </w:numPr>
        <w:spacing w:before="200"/>
        <w:ind w:left="0"/>
        <w:jc w:val="both"/>
      </w:pPr>
      <w:r>
        <w:rPr>
          <w:sz w:val="24"/>
          <w:szCs w:val="24"/>
        </w:rPr>
        <w:lastRenderedPageBreak/>
        <w:t xml:space="preserve">Desnormalizar los embarazos en niñas y adolescentes, </w:t>
      </w:r>
      <w:r>
        <w:rPr>
          <w:sz w:val="24"/>
          <w:szCs w:val="24"/>
        </w:rPr>
        <w:t xml:space="preserve">otorgándole el reconocimiento como forma de violencia y tortura que ejerce y ampara el Estado contra la niñez en el país, al no proveer acciones preventivas, informativas, sensibilizadoras y estratégicas que impacten realmente en las condiciones de vida. </w:t>
      </w:r>
    </w:p>
    <w:p w14:paraId="00000055" w14:textId="77777777" w:rsidR="00E15A1E" w:rsidRDefault="00C53903">
      <w:pPr>
        <w:numPr>
          <w:ilvl w:val="0"/>
          <w:numId w:val="1"/>
        </w:numPr>
        <w:spacing w:before="200"/>
        <w:ind w:left="0"/>
        <w:jc w:val="both"/>
      </w:pPr>
      <w:r>
        <w:rPr>
          <w:sz w:val="24"/>
          <w:szCs w:val="24"/>
        </w:rPr>
        <w:t>Despenalizar el aborto en todas sus causales, garantizando que las mujeres, niñas y adolescentes no sean condenadas a maternidades forzadas ni a la insalubridad de los procesos de interrupción del embarazo que se realizan en clandestinidad. Es de vital imp</w:t>
      </w:r>
      <w:r>
        <w:rPr>
          <w:sz w:val="24"/>
          <w:szCs w:val="24"/>
        </w:rPr>
        <w:t xml:space="preserve">ortancia que el Estado además de garantizar estos servicios públicos, proceda en el reconocimiento del aborto como un derecho humano. </w:t>
      </w:r>
    </w:p>
    <w:p w14:paraId="00000056" w14:textId="77777777" w:rsidR="00E15A1E" w:rsidRDefault="00C53903">
      <w:pPr>
        <w:numPr>
          <w:ilvl w:val="0"/>
          <w:numId w:val="1"/>
        </w:numPr>
        <w:spacing w:before="200"/>
        <w:ind w:left="0"/>
        <w:jc w:val="both"/>
      </w:pPr>
      <w:r>
        <w:rPr>
          <w:sz w:val="24"/>
          <w:szCs w:val="24"/>
        </w:rPr>
        <w:t>​​</w:t>
      </w:r>
      <w:r>
        <w:rPr>
          <w:sz w:val="24"/>
          <w:szCs w:val="24"/>
        </w:rPr>
        <w:t xml:space="preserve">Mejorar el programa VIDA del MIDES para que efectivamente considere los diversos contextos de las niñas y adolescentes </w:t>
      </w:r>
      <w:r>
        <w:rPr>
          <w:sz w:val="24"/>
          <w:szCs w:val="24"/>
        </w:rPr>
        <w:t xml:space="preserve">embarazadas y, asimismo, incorpore acciones para nacionalizar este programa y además se orienten al fortalecimiento del sistema de justicia para que se resuelvan con prontitud y pertinencia las denuncias de violencia sexual. </w:t>
      </w:r>
    </w:p>
    <w:p w14:paraId="00000057" w14:textId="77777777" w:rsidR="00E15A1E" w:rsidRDefault="00C53903">
      <w:pPr>
        <w:numPr>
          <w:ilvl w:val="0"/>
          <w:numId w:val="1"/>
        </w:numPr>
        <w:spacing w:before="200"/>
        <w:ind w:left="0"/>
        <w:jc w:val="both"/>
      </w:pPr>
      <w:r>
        <w:rPr>
          <w:sz w:val="24"/>
          <w:szCs w:val="24"/>
        </w:rPr>
        <w:t>Actualizar e implementar, a tr</w:t>
      </w:r>
      <w:r>
        <w:rPr>
          <w:sz w:val="24"/>
          <w:szCs w:val="24"/>
        </w:rPr>
        <w:t>avés de un marco estratégico ampliamente discutido con organizaciones de sociedad civil especializadas, el “Protocolo de identificación, atención y referencia de casos de violencia dentro del sistema educativo nacional” y la “Guía para la prevención del ac</w:t>
      </w:r>
      <w:r>
        <w:rPr>
          <w:sz w:val="24"/>
          <w:szCs w:val="24"/>
        </w:rPr>
        <w:t>oso escolar (bullying)” para dar respuesta efectiva a los altos indicadores de violencia escolar, incluyendo violencia sexual, que afectan especialmente a niñas y a adolescentes.</w:t>
      </w:r>
    </w:p>
    <w:p w14:paraId="00000058" w14:textId="77777777" w:rsidR="00E15A1E" w:rsidRDefault="00C53903">
      <w:pPr>
        <w:numPr>
          <w:ilvl w:val="0"/>
          <w:numId w:val="1"/>
        </w:numPr>
        <w:spacing w:before="200"/>
        <w:ind w:left="0"/>
        <w:jc w:val="both"/>
      </w:pPr>
      <w:r>
        <w:rPr>
          <w:sz w:val="24"/>
          <w:szCs w:val="24"/>
        </w:rPr>
        <w:t xml:space="preserve">Aprobar una Ley de Personas con Discapacidad que sea inclusiva, pertinente e </w:t>
      </w:r>
      <w:r>
        <w:rPr>
          <w:sz w:val="24"/>
          <w:szCs w:val="24"/>
        </w:rPr>
        <w:t>integral para que responda a las necesidades y permita que todo el Estado genere las condiciones de accesibilidad a todos los servicios sin ninguna discriminación.</w:t>
      </w:r>
    </w:p>
    <w:p w14:paraId="00000059" w14:textId="77777777" w:rsidR="00E15A1E" w:rsidRDefault="00C53903">
      <w:pPr>
        <w:numPr>
          <w:ilvl w:val="0"/>
          <w:numId w:val="1"/>
        </w:numPr>
        <w:spacing w:before="200"/>
        <w:ind w:left="0"/>
        <w:jc w:val="both"/>
      </w:pPr>
      <w:r>
        <w:rPr>
          <w:sz w:val="24"/>
          <w:szCs w:val="24"/>
        </w:rPr>
        <w:t xml:space="preserve">El Instituto Nacional de Migración, deberá elaborar un protocolo y registro de la situación </w:t>
      </w:r>
      <w:r>
        <w:rPr>
          <w:sz w:val="24"/>
          <w:szCs w:val="24"/>
        </w:rPr>
        <w:t>en la que viven las mujeres jóvenes en situación de tránsito; permitiendo que las mismas accedan a servicios de salud sexual y reproductiva, y cuenten con el acompañamiento necesario para aquellas que fueron víctimas de violencia y violencia sexual. Asimis</w:t>
      </w:r>
      <w:r>
        <w:rPr>
          <w:sz w:val="24"/>
          <w:szCs w:val="24"/>
        </w:rPr>
        <w:t>mo, el Estado deberá garantizar procesos de justicia y reparar los daños a la vida de las mujeres.</w:t>
      </w:r>
    </w:p>
    <w:sectPr w:rsidR="00E15A1E">
      <w:head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1174AD" w14:textId="77777777" w:rsidR="00375302" w:rsidRDefault="00375302">
      <w:pPr>
        <w:spacing w:line="240" w:lineRule="auto"/>
      </w:pPr>
      <w:r>
        <w:separator/>
      </w:r>
    </w:p>
  </w:endnote>
  <w:endnote w:type="continuationSeparator" w:id="0">
    <w:p w14:paraId="08E08559" w14:textId="77777777" w:rsidR="00375302" w:rsidRDefault="003753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Roboto">
    <w:altName w:val="Times New Roman"/>
    <w:charset w:val="00"/>
    <w:family w:val="auto"/>
    <w:pitch w:val="variable"/>
    <w:sig w:usb0="00000001" w:usb1="5000205B" w:usb2="00000020" w:usb3="00000000" w:csb0="000001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62BB06" w14:textId="77777777" w:rsidR="00375302" w:rsidRDefault="00375302">
      <w:pPr>
        <w:spacing w:line="240" w:lineRule="auto"/>
      </w:pPr>
      <w:r>
        <w:separator/>
      </w:r>
    </w:p>
  </w:footnote>
  <w:footnote w:type="continuationSeparator" w:id="0">
    <w:p w14:paraId="0023DDEA" w14:textId="77777777" w:rsidR="00375302" w:rsidRDefault="00375302">
      <w:pPr>
        <w:spacing w:line="240" w:lineRule="auto"/>
      </w:pPr>
      <w:r>
        <w:continuationSeparator/>
      </w:r>
    </w:p>
  </w:footnote>
  <w:footnote w:id="1">
    <w:p w14:paraId="1E42DBEC" w14:textId="23AC26C1" w:rsidR="00BB2212" w:rsidRPr="003A2C13" w:rsidRDefault="00BB2212" w:rsidP="003A2C13">
      <w:pPr>
        <w:pStyle w:val="FootnoteText"/>
        <w:jc w:val="both"/>
      </w:pPr>
      <w:r>
        <w:rPr>
          <w:rStyle w:val="FootnoteReference"/>
        </w:rPr>
        <w:footnoteRef/>
      </w:r>
      <w:r>
        <w:t xml:space="preserve"> </w:t>
      </w:r>
      <w:r w:rsidR="003A2C13">
        <w:t xml:space="preserve">CONJUVE y UNFPA. (2020). </w:t>
      </w:r>
      <w:r w:rsidR="003A2C13">
        <w:rPr>
          <w:i/>
          <w:iCs/>
        </w:rPr>
        <w:t xml:space="preserve">Juventudes en Guatemala. Documento analítico. </w:t>
      </w:r>
      <w:r w:rsidR="003A2C13">
        <w:t xml:space="preserve">Recuperado de </w:t>
      </w:r>
      <w:r w:rsidR="003A2C13" w:rsidRPr="003A2C13">
        <w:t>https://guatemala.unfpa.org/sites/default/files/pub-pdf/documento20analitico20final.pdf.pdf</w:t>
      </w:r>
    </w:p>
  </w:footnote>
  <w:footnote w:id="2">
    <w:p w14:paraId="0000005A" w14:textId="77777777" w:rsidR="00E15A1E" w:rsidRDefault="00C53903">
      <w:pPr>
        <w:spacing w:line="240" w:lineRule="auto"/>
        <w:rPr>
          <w:sz w:val="20"/>
          <w:szCs w:val="20"/>
        </w:rPr>
      </w:pPr>
      <w:r>
        <w:rPr>
          <w:vertAlign w:val="superscript"/>
        </w:rPr>
        <w:footnoteRef/>
      </w:r>
      <w:r>
        <w:rPr>
          <w:sz w:val="20"/>
          <w:szCs w:val="20"/>
        </w:rPr>
        <w:t xml:space="preserve"> Según Censo de Población y Vivienda 2018, Guatemala.</w:t>
      </w:r>
    </w:p>
  </w:footnote>
  <w:footnote w:id="3">
    <w:p w14:paraId="0000005B" w14:textId="77777777" w:rsidR="00E15A1E" w:rsidRDefault="00C53903">
      <w:pPr>
        <w:spacing w:line="240" w:lineRule="auto"/>
        <w:rPr>
          <w:sz w:val="20"/>
          <w:szCs w:val="20"/>
        </w:rPr>
      </w:pPr>
      <w:r>
        <w:rPr>
          <w:vertAlign w:val="superscript"/>
        </w:rPr>
        <w:footnoteRef/>
      </w:r>
      <w:r>
        <w:rPr>
          <w:sz w:val="20"/>
          <w:szCs w:val="20"/>
        </w:rPr>
        <w:t xml:space="preserve"> Según Reporte </w:t>
      </w:r>
      <w:r>
        <w:rPr>
          <w:rFonts w:ascii="Roboto" w:eastAsia="Roboto" w:hAnsi="Roboto" w:cs="Roboto"/>
          <w:sz w:val="20"/>
          <w:szCs w:val="20"/>
          <w:highlight w:val="white"/>
        </w:rPr>
        <w:t>R00804768 de SICOIN.</w:t>
      </w:r>
    </w:p>
  </w:footnote>
  <w:footnote w:id="4">
    <w:p w14:paraId="0000005C" w14:textId="77777777" w:rsidR="00E15A1E" w:rsidRDefault="00C53903">
      <w:pPr>
        <w:spacing w:line="240" w:lineRule="auto"/>
        <w:rPr>
          <w:i/>
          <w:sz w:val="20"/>
          <w:szCs w:val="20"/>
        </w:rPr>
      </w:pPr>
      <w:r>
        <w:rPr>
          <w:vertAlign w:val="superscript"/>
        </w:rPr>
        <w:footnoteRef/>
      </w:r>
      <w:r>
        <w:rPr>
          <w:sz w:val="20"/>
          <w:szCs w:val="20"/>
        </w:rPr>
        <w:t xml:space="preserve"> </w:t>
      </w:r>
      <w:r>
        <w:rPr>
          <w:i/>
          <w:sz w:val="20"/>
          <w:szCs w:val="20"/>
        </w:rPr>
        <w:t>Ídem</w:t>
      </w:r>
    </w:p>
  </w:footnote>
  <w:footnote w:id="5">
    <w:p w14:paraId="0000005E" w14:textId="77777777" w:rsidR="00E15A1E" w:rsidRDefault="00C53903">
      <w:pPr>
        <w:spacing w:line="240" w:lineRule="auto"/>
        <w:rPr>
          <w:sz w:val="20"/>
          <w:szCs w:val="20"/>
        </w:rPr>
      </w:pPr>
      <w:r>
        <w:rPr>
          <w:vertAlign w:val="superscript"/>
        </w:rPr>
        <w:footnoteRef/>
      </w:r>
      <w:r>
        <w:rPr>
          <w:sz w:val="20"/>
          <w:szCs w:val="20"/>
        </w:rPr>
        <w:t xml:space="preserve"> Pla</w:t>
      </w:r>
      <w:r>
        <w:rPr>
          <w:sz w:val="20"/>
          <w:szCs w:val="20"/>
        </w:rPr>
        <w:t>n Nacional de Prevención de Embarazos en Adolescentes 2018-2022</w:t>
      </w:r>
    </w:p>
  </w:footnote>
  <w:footnote w:id="6">
    <w:p w14:paraId="0000005D" w14:textId="77777777" w:rsidR="00E15A1E" w:rsidRDefault="00C53903">
      <w:pPr>
        <w:spacing w:line="240" w:lineRule="auto"/>
        <w:rPr>
          <w:sz w:val="20"/>
          <w:szCs w:val="20"/>
        </w:rPr>
      </w:pPr>
      <w:r>
        <w:rPr>
          <w:vertAlign w:val="superscript"/>
        </w:rPr>
        <w:footnoteRef/>
      </w:r>
      <w:r>
        <w:rPr>
          <w:sz w:val="20"/>
          <w:szCs w:val="20"/>
        </w:rPr>
        <w:t xml:space="preserve"> Según Resolución MIDES-IP-0292-2022/AM/oacp por acceso a información pública</w:t>
      </w:r>
    </w:p>
  </w:footnote>
  <w:footnote w:id="7">
    <w:p w14:paraId="00000061" w14:textId="77777777" w:rsidR="00E15A1E" w:rsidRDefault="00C53903">
      <w:pPr>
        <w:spacing w:line="240" w:lineRule="auto"/>
        <w:rPr>
          <w:sz w:val="20"/>
          <w:szCs w:val="20"/>
        </w:rPr>
      </w:pPr>
      <w:r>
        <w:rPr>
          <w:vertAlign w:val="superscript"/>
        </w:rPr>
        <w:footnoteRef/>
      </w:r>
      <w:r>
        <w:rPr>
          <w:sz w:val="20"/>
          <w:szCs w:val="20"/>
        </w:rPr>
        <w:t xml:space="preserve"> Según reporte R00804768 de SICOIN.</w:t>
      </w:r>
    </w:p>
  </w:footnote>
  <w:footnote w:id="8">
    <w:p w14:paraId="00000060" w14:textId="77777777" w:rsidR="00E15A1E" w:rsidRDefault="00C53903">
      <w:pPr>
        <w:spacing w:line="240" w:lineRule="auto"/>
        <w:rPr>
          <w:sz w:val="20"/>
          <w:szCs w:val="20"/>
        </w:rPr>
      </w:pPr>
      <w:r>
        <w:rPr>
          <w:vertAlign w:val="superscript"/>
        </w:rPr>
        <w:footnoteRef/>
      </w:r>
      <w:r>
        <w:rPr>
          <w:sz w:val="20"/>
          <w:szCs w:val="20"/>
        </w:rPr>
        <w:t xml:space="preserve"> Según reporte R00821119 de SICOIN.</w:t>
      </w:r>
    </w:p>
  </w:footnote>
  <w:footnote w:id="9">
    <w:p w14:paraId="00000062" w14:textId="77777777" w:rsidR="00E15A1E" w:rsidRDefault="00C53903">
      <w:pPr>
        <w:spacing w:line="240" w:lineRule="auto"/>
        <w:rPr>
          <w:sz w:val="20"/>
          <w:szCs w:val="20"/>
        </w:rPr>
      </w:pPr>
      <w:r>
        <w:rPr>
          <w:vertAlign w:val="superscript"/>
        </w:rPr>
        <w:footnoteRef/>
      </w:r>
      <w:r>
        <w:rPr>
          <w:sz w:val="20"/>
          <w:szCs w:val="20"/>
        </w:rPr>
        <w:t xml:space="preserve">  </w:t>
      </w:r>
      <w:r>
        <w:rPr>
          <w:rFonts w:ascii="Calibri" w:eastAsia="Calibri" w:hAnsi="Calibri" w:cs="Calibri"/>
          <w:sz w:val="20"/>
          <w:szCs w:val="20"/>
          <w:highlight w:val="white"/>
        </w:rPr>
        <w:t>Según reporte R00804768 de SICOIN.</w:t>
      </w:r>
    </w:p>
  </w:footnote>
  <w:footnote w:id="10">
    <w:p w14:paraId="00000063" w14:textId="77777777" w:rsidR="00E15A1E" w:rsidRDefault="00C53903">
      <w:pPr>
        <w:spacing w:line="240" w:lineRule="auto"/>
        <w:rPr>
          <w:sz w:val="20"/>
          <w:szCs w:val="20"/>
        </w:rPr>
      </w:pPr>
      <w:r>
        <w:rPr>
          <w:vertAlign w:val="superscript"/>
        </w:rPr>
        <w:footnoteRef/>
      </w:r>
      <w:r>
        <w:rPr>
          <w:sz w:val="20"/>
          <w:szCs w:val="20"/>
        </w:rPr>
        <w:t xml:space="preserve">  https://icefi.org/ipna/dashboards.php</w:t>
      </w:r>
    </w:p>
  </w:footnote>
  <w:footnote w:id="11">
    <w:p w14:paraId="00000064" w14:textId="77777777" w:rsidR="00E15A1E" w:rsidRDefault="00C53903">
      <w:pPr>
        <w:spacing w:line="240" w:lineRule="auto"/>
        <w:rPr>
          <w:sz w:val="20"/>
          <w:szCs w:val="20"/>
        </w:rPr>
      </w:pPr>
      <w:r>
        <w:rPr>
          <w:vertAlign w:val="superscript"/>
        </w:rPr>
        <w:footnoteRef/>
      </w:r>
      <w:r>
        <w:rPr>
          <w:sz w:val="20"/>
          <w:szCs w:val="20"/>
        </w:rPr>
        <w:t xml:space="preserve"> Según oficio de información pública No. Digecade-0186-2022</w:t>
      </w:r>
    </w:p>
  </w:footnote>
  <w:footnote w:id="12">
    <w:p w14:paraId="00000078" w14:textId="77777777" w:rsidR="00E15A1E" w:rsidRDefault="00C53903">
      <w:pPr>
        <w:spacing w:line="240" w:lineRule="auto"/>
        <w:rPr>
          <w:sz w:val="20"/>
          <w:szCs w:val="20"/>
        </w:rPr>
      </w:pPr>
      <w:r>
        <w:rPr>
          <w:vertAlign w:val="superscript"/>
        </w:rPr>
        <w:footnoteRef/>
      </w:r>
      <w:r>
        <w:rPr>
          <w:sz w:val="20"/>
          <w:szCs w:val="20"/>
        </w:rPr>
        <w:t xml:space="preserve"> https://www.congreso.gob.gt/detalle_pdf/iniciativas/5930</w:t>
      </w:r>
    </w:p>
  </w:footnote>
  <w:footnote w:id="13">
    <w:p w14:paraId="0000007D" w14:textId="77777777" w:rsidR="00E15A1E" w:rsidRDefault="00C53903">
      <w:pPr>
        <w:spacing w:line="240" w:lineRule="auto"/>
        <w:rPr>
          <w:sz w:val="20"/>
          <w:szCs w:val="20"/>
        </w:rPr>
      </w:pPr>
      <w:r>
        <w:rPr>
          <w:vertAlign w:val="superscript"/>
        </w:rPr>
        <w:footnoteRef/>
      </w:r>
      <w:r>
        <w:rPr>
          <w:sz w:val="20"/>
          <w:szCs w:val="20"/>
        </w:rPr>
        <w:t xml:space="preserve"> https://www.prensalibre.com/guatemala/politica/junta-directiva-del-congreso-acuerda-engavetar-</w:t>
      </w:r>
      <w:r>
        <w:rPr>
          <w:sz w:val="20"/>
          <w:szCs w:val="20"/>
        </w:rPr>
        <w:t>iniciativa-6076-que-regula-uso-de-fuerza-publica-en-manifestaciones-breaking/</w:t>
      </w:r>
    </w:p>
  </w:footnote>
  <w:footnote w:id="14">
    <w:p w14:paraId="0000007E" w14:textId="77777777" w:rsidR="00E15A1E" w:rsidRDefault="00C53903">
      <w:pPr>
        <w:spacing w:line="240" w:lineRule="auto"/>
        <w:rPr>
          <w:sz w:val="20"/>
          <w:szCs w:val="20"/>
        </w:rPr>
      </w:pPr>
      <w:r>
        <w:rPr>
          <w:vertAlign w:val="superscript"/>
        </w:rPr>
        <w:footnoteRef/>
      </w:r>
      <w:r>
        <w:rPr>
          <w:sz w:val="20"/>
          <w:szCs w:val="20"/>
        </w:rPr>
        <w:t xml:space="preserve"> https://lahora.gt/nacionales/engelberth-blanco/2022/08/24/pese-a-promesa-a-48-cantones-diputado-de-ucn-no-descarta-iniciativa-antimanifestaciones/</w:t>
      </w:r>
    </w:p>
  </w:footnote>
  <w:footnote w:id="15">
    <w:p w14:paraId="00000073" w14:textId="77777777" w:rsidR="00E15A1E" w:rsidRDefault="00C53903">
      <w:pPr>
        <w:spacing w:line="240" w:lineRule="auto"/>
        <w:rPr>
          <w:sz w:val="20"/>
          <w:szCs w:val="20"/>
        </w:rPr>
      </w:pPr>
      <w:r>
        <w:rPr>
          <w:vertAlign w:val="superscript"/>
        </w:rPr>
        <w:footnoteRef/>
      </w:r>
      <w:r>
        <w:rPr>
          <w:sz w:val="20"/>
          <w:szCs w:val="20"/>
        </w:rPr>
        <w:t xml:space="preserve"> REDLACTRANS (2021). </w:t>
      </w:r>
      <w:r>
        <w:rPr>
          <w:i/>
          <w:sz w:val="20"/>
          <w:szCs w:val="20"/>
        </w:rPr>
        <w:t>Informe</w:t>
      </w:r>
      <w:r>
        <w:rPr>
          <w:i/>
          <w:sz w:val="20"/>
          <w:szCs w:val="20"/>
        </w:rPr>
        <w:t xml:space="preserve"> regional 2021 sobre violaciones a los derechos humanos de las personas trans en Latinoamérica y el Caribe:</w:t>
      </w:r>
      <w:r>
        <w:rPr>
          <w:sz w:val="20"/>
          <w:szCs w:val="20"/>
        </w:rPr>
        <w:t xml:space="preserve"> </w:t>
      </w:r>
      <w:r>
        <w:rPr>
          <w:i/>
          <w:sz w:val="20"/>
          <w:szCs w:val="20"/>
        </w:rPr>
        <w:t>No muero, me matan</w:t>
      </w:r>
      <w:r>
        <w:rPr>
          <w:sz w:val="20"/>
          <w:szCs w:val="20"/>
        </w:rPr>
        <w:t>. Recuperado de http://redlactrans.org.ar/site/wp-content/uploads/2022/03/INFORME-REGIONAL-CEDOSTALC-2021-NO-MUERO-ME-MATAN.pdf</w:t>
      </w:r>
    </w:p>
  </w:footnote>
  <w:footnote w:id="16">
    <w:p w14:paraId="00000079" w14:textId="77777777" w:rsidR="00E15A1E" w:rsidRDefault="00C53903">
      <w:pPr>
        <w:spacing w:line="240" w:lineRule="auto"/>
        <w:rPr>
          <w:sz w:val="20"/>
          <w:szCs w:val="20"/>
        </w:rPr>
      </w:pPr>
      <w:r>
        <w:rPr>
          <w:vertAlign w:val="superscript"/>
        </w:rPr>
        <w:footnoteRef/>
      </w:r>
      <w:r>
        <w:rPr>
          <w:sz w:val="20"/>
          <w:szCs w:val="20"/>
        </w:rPr>
        <w:t xml:space="preserve"> </w:t>
      </w:r>
      <w:r>
        <w:rPr>
          <w:sz w:val="20"/>
          <w:szCs w:val="20"/>
        </w:rPr>
        <w:t>Según resolución de petición de información pública SVET-UIP-010-2022</w:t>
      </w:r>
    </w:p>
  </w:footnote>
  <w:footnote w:id="17">
    <w:p w14:paraId="00000065" w14:textId="77777777" w:rsidR="00E15A1E" w:rsidRDefault="00C53903">
      <w:pPr>
        <w:spacing w:line="240" w:lineRule="auto"/>
        <w:rPr>
          <w:sz w:val="20"/>
          <w:szCs w:val="20"/>
        </w:rPr>
      </w:pPr>
      <w:r>
        <w:rPr>
          <w:vertAlign w:val="superscript"/>
        </w:rPr>
        <w:footnoteRef/>
      </w:r>
      <w:r>
        <w:rPr>
          <w:sz w:val="20"/>
          <w:szCs w:val="20"/>
        </w:rPr>
        <w:t xml:space="preserve"> Según resolución de petición de información pública al MP DIP/G 2022 - 001193 / komg</w:t>
      </w:r>
    </w:p>
  </w:footnote>
  <w:footnote w:id="18">
    <w:p w14:paraId="00000069" w14:textId="77777777" w:rsidR="00E15A1E" w:rsidRDefault="00C53903">
      <w:pPr>
        <w:spacing w:line="240" w:lineRule="auto"/>
        <w:rPr>
          <w:sz w:val="20"/>
          <w:szCs w:val="20"/>
        </w:rPr>
      </w:pPr>
      <w:r>
        <w:rPr>
          <w:vertAlign w:val="superscript"/>
        </w:rPr>
        <w:footnoteRef/>
      </w:r>
      <w:r>
        <w:rPr>
          <w:sz w:val="20"/>
          <w:szCs w:val="20"/>
        </w:rPr>
        <w:t xml:space="preserve"> Grupo de apoyo Xela, Abuso y vulneración a los derechos de la comunidad LGBTIQ+ en Guatemala. Disponible en: https://www.gaxong.gt/datos-abiertos-gax/2021.html</w:t>
      </w:r>
    </w:p>
  </w:footnote>
  <w:footnote w:id="19">
    <w:p w14:paraId="00000066" w14:textId="77777777" w:rsidR="00E15A1E" w:rsidRDefault="00C53903">
      <w:pPr>
        <w:spacing w:line="240" w:lineRule="auto"/>
        <w:rPr>
          <w:sz w:val="20"/>
          <w:szCs w:val="20"/>
        </w:rPr>
      </w:pPr>
      <w:r>
        <w:rPr>
          <w:vertAlign w:val="superscript"/>
        </w:rPr>
        <w:footnoteRef/>
      </w:r>
      <w:r>
        <w:rPr>
          <w:sz w:val="20"/>
          <w:szCs w:val="20"/>
        </w:rPr>
        <w:t xml:space="preserve"> https://www.gaxong.gt/datos-abiertos-gax/2021.html</w:t>
      </w:r>
    </w:p>
  </w:footnote>
  <w:footnote w:id="20">
    <w:p w14:paraId="00000076" w14:textId="77777777" w:rsidR="00E15A1E" w:rsidRDefault="00C53903">
      <w:pPr>
        <w:spacing w:line="240" w:lineRule="auto"/>
        <w:rPr>
          <w:sz w:val="20"/>
          <w:szCs w:val="20"/>
        </w:rPr>
      </w:pPr>
      <w:r>
        <w:rPr>
          <w:vertAlign w:val="superscript"/>
        </w:rPr>
        <w:footnoteRef/>
      </w:r>
      <w:r>
        <w:rPr>
          <w:sz w:val="20"/>
          <w:szCs w:val="20"/>
        </w:rPr>
        <w:t xml:space="preserve"> INCEDES, UNFPA. Normalización y violenci</w:t>
      </w:r>
      <w:r>
        <w:rPr>
          <w:sz w:val="20"/>
          <w:szCs w:val="20"/>
        </w:rPr>
        <w:t>a. Violencia contra las mujeres en las migraciones. Disponible en: https://n9.cl/83iv</w:t>
      </w:r>
    </w:p>
  </w:footnote>
  <w:footnote w:id="21">
    <w:p w14:paraId="0000006A" w14:textId="77777777" w:rsidR="00E15A1E" w:rsidRDefault="00C53903">
      <w:pPr>
        <w:spacing w:line="240" w:lineRule="auto"/>
        <w:rPr>
          <w:sz w:val="20"/>
          <w:szCs w:val="20"/>
        </w:rPr>
      </w:pPr>
      <w:r>
        <w:rPr>
          <w:vertAlign w:val="superscript"/>
        </w:rPr>
        <w:footnoteRef/>
      </w:r>
      <w:r>
        <w:rPr>
          <w:sz w:val="20"/>
          <w:szCs w:val="20"/>
        </w:rPr>
        <w:t xml:space="preserve"> </w:t>
      </w:r>
      <w:r>
        <w:rPr>
          <w:rFonts w:ascii="Roboto" w:eastAsia="Roboto" w:hAnsi="Roboto" w:cs="Roboto"/>
          <w:sz w:val="20"/>
          <w:szCs w:val="20"/>
          <w:highlight w:val="white"/>
        </w:rPr>
        <w:t>(E/C.12/GTM/CO/3)</w:t>
      </w:r>
    </w:p>
  </w:footnote>
  <w:footnote w:id="22">
    <w:p w14:paraId="0000006B" w14:textId="77777777" w:rsidR="00E15A1E" w:rsidRDefault="00C53903">
      <w:pPr>
        <w:spacing w:line="240" w:lineRule="auto"/>
        <w:rPr>
          <w:sz w:val="20"/>
          <w:szCs w:val="20"/>
        </w:rPr>
      </w:pPr>
      <w:r>
        <w:rPr>
          <w:vertAlign w:val="superscript"/>
        </w:rPr>
        <w:footnoteRef/>
      </w:r>
      <w:r>
        <w:rPr>
          <w:sz w:val="20"/>
          <w:szCs w:val="20"/>
        </w:rPr>
        <w:t xml:space="preserve"> </w:t>
      </w:r>
      <w:hyperlink r:id="rId1">
        <w:r>
          <w:rPr>
            <w:rFonts w:ascii="Roboto" w:eastAsia="Roboto" w:hAnsi="Roboto" w:cs="Roboto"/>
            <w:color w:val="1A73E8"/>
            <w:sz w:val="20"/>
            <w:szCs w:val="20"/>
            <w:highlight w:val="white"/>
          </w:rPr>
          <w:t>https://observatorio.mp.gob.gt</w:t>
        </w:r>
      </w:hyperlink>
      <w:r>
        <w:rPr>
          <w:sz w:val="20"/>
          <w:szCs w:val="20"/>
        </w:rPr>
        <w:t>/</w:t>
      </w:r>
    </w:p>
  </w:footnote>
  <w:footnote w:id="23">
    <w:p w14:paraId="00000077" w14:textId="77777777" w:rsidR="00E15A1E" w:rsidRDefault="00C53903">
      <w:pPr>
        <w:spacing w:line="240" w:lineRule="auto"/>
        <w:rPr>
          <w:sz w:val="20"/>
          <w:szCs w:val="20"/>
        </w:rPr>
      </w:pPr>
      <w:r>
        <w:rPr>
          <w:vertAlign w:val="superscript"/>
        </w:rPr>
        <w:footnoteRef/>
      </w:r>
      <w:r>
        <w:rPr>
          <w:sz w:val="20"/>
          <w:szCs w:val="20"/>
        </w:rPr>
        <w:t>https://lahora.gt/nacionales/analucia/2022/07/28/viceministro-ha</w:t>
      </w:r>
      <w:r>
        <w:rPr>
          <w:sz w:val="20"/>
          <w:szCs w:val="20"/>
        </w:rPr>
        <w:t>blaba-de-extorsiones-pero-sus-declaraciones-generan-rechazo/</w:t>
      </w:r>
    </w:p>
  </w:footnote>
  <w:footnote w:id="24">
    <w:p w14:paraId="00000067" w14:textId="77777777" w:rsidR="00E15A1E" w:rsidRDefault="00C53903">
      <w:pPr>
        <w:spacing w:line="240" w:lineRule="auto"/>
        <w:rPr>
          <w:i/>
          <w:sz w:val="20"/>
          <w:szCs w:val="20"/>
        </w:rPr>
      </w:pPr>
      <w:r>
        <w:rPr>
          <w:vertAlign w:val="superscript"/>
        </w:rPr>
        <w:footnoteRef/>
      </w:r>
      <w:r>
        <w:rPr>
          <w:sz w:val="20"/>
          <w:szCs w:val="20"/>
        </w:rPr>
        <w:t xml:space="preserve"> Gossmann, C. y Hernández, J. (2022). </w:t>
      </w:r>
      <w:r>
        <w:rPr>
          <w:i/>
          <w:sz w:val="20"/>
          <w:szCs w:val="20"/>
        </w:rPr>
        <w:t>Diagnóstico del contexto de los programas, los proyectos</w:t>
      </w:r>
    </w:p>
    <w:p w14:paraId="00000068" w14:textId="77777777" w:rsidR="00E15A1E" w:rsidRDefault="00C53903">
      <w:pPr>
        <w:spacing w:line="240" w:lineRule="auto"/>
        <w:rPr>
          <w:sz w:val="20"/>
          <w:szCs w:val="20"/>
        </w:rPr>
      </w:pPr>
      <w:r>
        <w:rPr>
          <w:i/>
          <w:sz w:val="20"/>
          <w:szCs w:val="20"/>
        </w:rPr>
        <w:t>y las acciones orientadas a la garantía de Derechos Sexuales y Derechos Reproductivos en Guatemala.</w:t>
      </w:r>
      <w:r>
        <w:rPr>
          <w:sz w:val="20"/>
          <w:szCs w:val="20"/>
        </w:rPr>
        <w:t xml:space="preserve"> INCIDEJOVEN: Guatemala</w:t>
      </w:r>
    </w:p>
  </w:footnote>
  <w:footnote w:id="25">
    <w:p w14:paraId="511F1E58" w14:textId="631EADF9" w:rsidR="003A2C13" w:rsidRPr="003A2C13" w:rsidRDefault="003A2C13">
      <w:pPr>
        <w:pStyle w:val="FootnoteText"/>
      </w:pPr>
      <w:r>
        <w:rPr>
          <w:rStyle w:val="FootnoteReference"/>
        </w:rPr>
        <w:footnoteRef/>
      </w:r>
      <w:r>
        <w:t xml:space="preserve"> CONJUVE y UNFPA. (2020). </w:t>
      </w:r>
      <w:r>
        <w:rPr>
          <w:i/>
          <w:iCs/>
        </w:rPr>
        <w:t xml:space="preserve">Juventudes en Guatemala. Documento analítico. </w:t>
      </w:r>
      <w:r>
        <w:t xml:space="preserve">Recuperado de </w:t>
      </w:r>
      <w:r w:rsidRPr="003A2C13">
        <w:t>https://guatemala.unfpa.org/sites/default/files/pub-pdf/documento20analitico20final.pdf.pdf</w:t>
      </w:r>
    </w:p>
  </w:footnote>
  <w:footnote w:id="26">
    <w:p w14:paraId="0000005F" w14:textId="77777777" w:rsidR="00E15A1E" w:rsidRDefault="00C53903">
      <w:pPr>
        <w:spacing w:line="240" w:lineRule="auto"/>
        <w:rPr>
          <w:sz w:val="20"/>
          <w:szCs w:val="20"/>
        </w:rPr>
      </w:pPr>
      <w:r>
        <w:rPr>
          <w:vertAlign w:val="superscript"/>
        </w:rPr>
        <w:footnoteRef/>
      </w:r>
      <w:r>
        <w:rPr>
          <w:sz w:val="20"/>
          <w:szCs w:val="20"/>
        </w:rPr>
        <w:t xml:space="preserve"> Según resolución por acceso a información pública al MSPAS UNIP-SI-994-2022</w:t>
      </w:r>
    </w:p>
  </w:footnote>
  <w:footnote w:id="27">
    <w:p w14:paraId="0000007A" w14:textId="77777777" w:rsidR="00E15A1E" w:rsidRDefault="00C53903">
      <w:pPr>
        <w:spacing w:line="240" w:lineRule="auto"/>
        <w:rPr>
          <w:sz w:val="20"/>
          <w:szCs w:val="20"/>
        </w:rPr>
      </w:pPr>
      <w:r>
        <w:rPr>
          <w:vertAlign w:val="superscript"/>
        </w:rPr>
        <w:footnoteRef/>
      </w:r>
      <w:r>
        <w:rPr>
          <w:sz w:val="20"/>
          <w:szCs w:val="20"/>
        </w:rPr>
        <w:t xml:space="preserve"> https://osarguatemala.org/embarazo/</w:t>
      </w:r>
    </w:p>
  </w:footnote>
  <w:footnote w:id="28">
    <w:p w14:paraId="0000006C" w14:textId="77777777" w:rsidR="00E15A1E" w:rsidRDefault="00C53903">
      <w:pPr>
        <w:spacing w:line="240" w:lineRule="auto"/>
        <w:rPr>
          <w:sz w:val="20"/>
          <w:szCs w:val="20"/>
        </w:rPr>
      </w:pPr>
      <w:r>
        <w:rPr>
          <w:vertAlign w:val="superscript"/>
        </w:rPr>
        <w:footnoteRef/>
      </w:r>
      <w:r>
        <w:rPr>
          <w:sz w:val="20"/>
          <w:szCs w:val="20"/>
        </w:rPr>
        <w:t xml:space="preserve"> </w:t>
      </w:r>
      <w:r>
        <w:rPr>
          <w:rFonts w:ascii="Roboto" w:eastAsia="Roboto" w:hAnsi="Roboto" w:cs="Roboto"/>
          <w:sz w:val="20"/>
          <w:szCs w:val="20"/>
          <w:highlight w:val="white"/>
        </w:rPr>
        <w:t>Según resolución por acceso a información pública al MSPAS UNIP-SI-994-2022</w:t>
      </w:r>
    </w:p>
  </w:footnote>
  <w:footnote w:id="29">
    <w:p w14:paraId="00000074" w14:textId="77777777" w:rsidR="00E15A1E" w:rsidRDefault="00C53903">
      <w:pPr>
        <w:spacing w:line="240" w:lineRule="auto"/>
        <w:rPr>
          <w:sz w:val="20"/>
          <w:szCs w:val="20"/>
        </w:rPr>
      </w:pPr>
      <w:r>
        <w:rPr>
          <w:vertAlign w:val="superscript"/>
        </w:rPr>
        <w:footnoteRef/>
      </w:r>
      <w:r>
        <w:rPr>
          <w:sz w:val="20"/>
          <w:szCs w:val="20"/>
        </w:rPr>
        <w:t xml:space="preserve"> Informe del Grupo de Trabajo sobre el Examen Periódico Univer</w:t>
      </w:r>
      <w:r>
        <w:rPr>
          <w:sz w:val="20"/>
          <w:szCs w:val="20"/>
        </w:rPr>
        <w:t>sal, Guatemala, (A/HRC/37/9), 2 de enero de 2018, recomendación 111.140 (Francia)</w:t>
      </w:r>
    </w:p>
  </w:footnote>
  <w:footnote w:id="30">
    <w:p w14:paraId="00000075" w14:textId="77777777" w:rsidR="00E15A1E" w:rsidRDefault="00C53903">
      <w:pPr>
        <w:spacing w:line="240" w:lineRule="auto"/>
        <w:rPr>
          <w:sz w:val="20"/>
          <w:szCs w:val="20"/>
        </w:rPr>
      </w:pPr>
      <w:r>
        <w:rPr>
          <w:vertAlign w:val="superscript"/>
        </w:rPr>
        <w:footnoteRef/>
      </w:r>
      <w:r>
        <w:rPr>
          <w:sz w:val="20"/>
          <w:szCs w:val="20"/>
        </w:rPr>
        <w:t xml:space="preserve"> Según resolución No. 2096-2022 del MINEDUC por acceso a información pública.</w:t>
      </w:r>
    </w:p>
  </w:footnote>
  <w:footnote w:id="31">
    <w:p w14:paraId="0000007C" w14:textId="77777777" w:rsidR="00E15A1E" w:rsidRDefault="00C53903">
      <w:pPr>
        <w:spacing w:line="240" w:lineRule="auto"/>
        <w:rPr>
          <w:sz w:val="20"/>
          <w:szCs w:val="20"/>
        </w:rPr>
      </w:pPr>
      <w:r>
        <w:rPr>
          <w:vertAlign w:val="superscript"/>
        </w:rPr>
        <w:footnoteRef/>
      </w:r>
      <w:r>
        <w:rPr>
          <w:sz w:val="20"/>
          <w:szCs w:val="20"/>
        </w:rPr>
        <w:t xml:space="preserve"> Según oficio MIDES-DAS-LELR-ne-0876-2022</w:t>
      </w:r>
    </w:p>
  </w:footnote>
  <w:footnote w:id="32">
    <w:p w14:paraId="0000006D" w14:textId="77777777" w:rsidR="00E15A1E" w:rsidRDefault="00C53903">
      <w:pPr>
        <w:spacing w:line="240" w:lineRule="auto"/>
        <w:rPr>
          <w:sz w:val="20"/>
          <w:szCs w:val="20"/>
        </w:rPr>
      </w:pPr>
      <w:r>
        <w:rPr>
          <w:vertAlign w:val="superscript"/>
        </w:rPr>
        <w:footnoteRef/>
      </w:r>
      <w:r>
        <w:rPr>
          <w:sz w:val="20"/>
          <w:szCs w:val="20"/>
        </w:rPr>
        <w:t xml:space="preserve"> Molina, K. (2022). ¿Adolescentes capaces de decidi</w:t>
      </w:r>
      <w:r>
        <w:rPr>
          <w:sz w:val="20"/>
          <w:szCs w:val="20"/>
        </w:rPr>
        <w:t>r?: Inversión pública para la prevención de embarazos en niñas y adolescentes. INCIDEJOVEN: Guatemala.</w:t>
      </w:r>
    </w:p>
  </w:footnote>
  <w:footnote w:id="33">
    <w:p w14:paraId="00000070" w14:textId="77777777" w:rsidR="00E15A1E" w:rsidRDefault="00C53903">
      <w:pPr>
        <w:spacing w:line="240" w:lineRule="auto"/>
        <w:rPr>
          <w:sz w:val="20"/>
          <w:szCs w:val="20"/>
        </w:rPr>
      </w:pPr>
      <w:r>
        <w:rPr>
          <w:vertAlign w:val="superscript"/>
        </w:rPr>
        <w:footnoteRef/>
      </w:r>
      <w:r>
        <w:rPr>
          <w:sz w:val="20"/>
          <w:szCs w:val="20"/>
        </w:rPr>
        <w:t xml:space="preserve"> Gossmann, C. y Hernández, J. (2022). Diagnóstico del contexto de los programas, los proyectos</w:t>
      </w:r>
    </w:p>
    <w:p w14:paraId="00000071" w14:textId="77777777" w:rsidR="00E15A1E" w:rsidRDefault="00C53903">
      <w:pPr>
        <w:spacing w:line="240" w:lineRule="auto"/>
        <w:rPr>
          <w:sz w:val="20"/>
          <w:szCs w:val="20"/>
        </w:rPr>
      </w:pPr>
      <w:r>
        <w:rPr>
          <w:sz w:val="20"/>
          <w:szCs w:val="20"/>
        </w:rPr>
        <w:t>y las acciones orientadas a la garantía de Derechos Sexua</w:t>
      </w:r>
      <w:r>
        <w:rPr>
          <w:sz w:val="20"/>
          <w:szCs w:val="20"/>
        </w:rPr>
        <w:t>les y Derechos Reproductivos en Guatemala. INCIDEJOVEN: Guatemala</w:t>
      </w:r>
    </w:p>
  </w:footnote>
  <w:footnote w:id="34">
    <w:p w14:paraId="0000006E" w14:textId="77777777" w:rsidR="00E15A1E" w:rsidRDefault="00C53903">
      <w:pPr>
        <w:spacing w:line="240" w:lineRule="auto"/>
        <w:rPr>
          <w:sz w:val="20"/>
          <w:szCs w:val="20"/>
        </w:rPr>
      </w:pPr>
      <w:r>
        <w:rPr>
          <w:vertAlign w:val="superscript"/>
        </w:rPr>
        <w:footnoteRef/>
      </w:r>
      <w:r>
        <w:rPr>
          <w:sz w:val="20"/>
          <w:szCs w:val="20"/>
        </w:rPr>
        <w:t xml:space="preserve">  Según oficio de información pública del MINEDUC  DIREH-10,730-2022</w:t>
      </w:r>
    </w:p>
  </w:footnote>
  <w:footnote w:id="35">
    <w:p w14:paraId="0000006F" w14:textId="77777777" w:rsidR="00E15A1E" w:rsidRDefault="00C53903">
      <w:pPr>
        <w:spacing w:line="240" w:lineRule="auto"/>
        <w:rPr>
          <w:sz w:val="20"/>
          <w:szCs w:val="20"/>
        </w:rPr>
      </w:pPr>
      <w:r>
        <w:rPr>
          <w:vertAlign w:val="superscript"/>
        </w:rPr>
        <w:footnoteRef/>
      </w:r>
      <w:r>
        <w:rPr>
          <w:sz w:val="20"/>
          <w:szCs w:val="20"/>
        </w:rPr>
        <w:t xml:space="preserve"> E/C.12/GTM/RQ/4 del Comité DESC</w:t>
      </w:r>
    </w:p>
  </w:footnote>
  <w:footnote w:id="36">
    <w:p w14:paraId="0000007B" w14:textId="77777777" w:rsidR="00E15A1E" w:rsidRDefault="00C53903">
      <w:pPr>
        <w:spacing w:line="240" w:lineRule="auto"/>
        <w:rPr>
          <w:sz w:val="20"/>
          <w:szCs w:val="20"/>
        </w:rPr>
      </w:pPr>
      <w:r>
        <w:rPr>
          <w:vertAlign w:val="superscript"/>
        </w:rPr>
        <w:footnoteRef/>
      </w:r>
      <w:r>
        <w:rPr>
          <w:sz w:val="20"/>
          <w:szCs w:val="20"/>
        </w:rPr>
        <w:t xml:space="preserve"> Acuerdo sobre los Aspectos de los Derechos de Propiedad Intelectual relacionados con el Comercio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72" w14:textId="626FBBEE" w:rsidR="00E15A1E" w:rsidRDefault="002D7808">
    <w:r>
      <w:rPr>
        <w:noProof/>
        <w:lang w:val="en-GB" w:eastAsia="en-GB"/>
      </w:rPr>
      <mc:AlternateContent>
        <mc:Choice Requires="wps">
          <w:drawing>
            <wp:anchor distT="0" distB="0" distL="114300" distR="114300" simplePos="0" relativeHeight="251660288" behindDoc="0" locked="0" layoutInCell="0" allowOverlap="1" wp14:anchorId="73898FD8" wp14:editId="7F60515E">
              <wp:simplePos x="0" y="0"/>
              <wp:positionH relativeFrom="margin">
                <wp:align>left</wp:align>
              </wp:positionH>
              <wp:positionV relativeFrom="topMargin">
                <wp:align>center</wp:align>
              </wp:positionV>
              <wp:extent cx="5943600" cy="170815"/>
              <wp:effectExtent l="0" t="0" r="0" b="1905"/>
              <wp:wrapNone/>
              <wp:docPr id="218" name="Cuadro de texto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9F3E0C" w14:textId="67E4A9B4" w:rsidR="002D7808" w:rsidRDefault="002D7808">
                          <w:pPr>
                            <w:spacing w:line="240" w:lineRule="auto"/>
                          </w:pPr>
                          <w:r w:rsidRPr="002D7808">
                            <w:t>Informe al Comité de Derechos Económicos Sociales y Culturales</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3898FD8" id="_x0000_t202" coordsize="21600,21600" o:spt="202" path="m,l,21600r21600,l21600,xe">
              <v:stroke joinstyle="miter"/>
              <v:path gradientshapeok="t" o:connecttype="rect"/>
            </v:shapetype>
            <v:shape id="Cuadro de texto 218" o:spid="_x0000_s1026" type="#_x0000_t202" style="position:absolute;margin-left:0;margin-top:0;width:468pt;height:13.45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" o:allowincell="f" filled="f" stroked="f">
              <v:textbox style="mso-fit-shape-to-text:t" inset=",0,,0">
                <w:txbxContent>
                  <w:p w14:paraId="3B9F3E0C" w14:textId="67E4A9B4" w:rsidR="002D7808" w:rsidRDefault="002D7808">
                    <w:pPr>
                      <w:spacing w:line="240" w:lineRule="auto"/>
                    </w:pPr>
                    <w:r w:rsidRPr="002D7808">
                      <w:t>Informe al Comité de Derechos Económicos Sociales y Culturales</w:t>
                    </w:r>
                  </w:p>
                </w:txbxContent>
              </v:textbox>
              <w10:wrap anchorx="margin" anchory="margin"/>
            </v:shape>
          </w:pict>
        </mc:Fallback>
      </mc:AlternateContent>
    </w:r>
    <w:r>
      <w:rPr>
        <w:noProof/>
        <w:lang w:val="en-GB" w:eastAsia="en-GB"/>
      </w:rPr>
      <mc:AlternateContent>
        <mc:Choice Requires="wps">
          <w:drawing>
            <wp:anchor distT="0" distB="0" distL="114300" distR="114300" simplePos="0" relativeHeight="251659264" behindDoc="0" locked="0" layoutInCell="0" allowOverlap="1" wp14:anchorId="2D1E85C0" wp14:editId="4C68630A">
              <wp:simplePos x="0" y="0"/>
              <wp:positionH relativeFrom="page">
                <wp:align>left</wp:align>
              </wp:positionH>
              <wp:positionV relativeFrom="topMargin">
                <wp:align>center</wp:align>
              </wp:positionV>
              <wp:extent cx="914400" cy="170815"/>
              <wp:effectExtent l="0" t="0" r="0" b="0"/>
              <wp:wrapNone/>
              <wp:docPr id="219" name="Cuadro de texto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rgbClr val="C00000"/>
                      </a:solidFill>
                      <a:ln>
                        <a:noFill/>
                      </a:ln>
                    </wps:spPr>
                    <wps:txbx>
                      <w:txbxContent>
                        <w:p w14:paraId="3E96552D" w14:textId="1CE5032E" w:rsidR="002D7808" w:rsidRDefault="002D7808">
                          <w:pPr>
                            <w:spacing w:line="240" w:lineRule="auto"/>
                            <w:jc w:val="right"/>
                            <w:rPr>
                              <w:color w:val="FFFFFF" w:themeColor="background1"/>
                            </w:rPr>
                          </w:pPr>
                          <w:r>
                            <w:fldChar w:fldCharType="begin"/>
                          </w:r>
                          <w:r>
                            <w:instrText>PAGE   \* MERGEFORMAT</w:instrText>
                          </w:r>
                          <w:r>
                            <w:fldChar w:fldCharType="separate"/>
                          </w:r>
                          <w:r w:rsidR="00C53903" w:rsidRPr="00C53903">
                            <w:rPr>
                              <w:noProof/>
                              <w:color w:val="FFFFFF" w:themeColor="background1"/>
                              <w:lang w:val="es-ES"/>
                            </w:rPr>
                            <w:t>2</w:t>
                          </w:r>
                          <w:r>
                            <w:rPr>
                              <w:color w:val="FFFFFF" w:themeColor="background1"/>
                            </w:rPr>
                            <w:fldChar w:fldCharType="end"/>
                          </w:r>
                        </w:p>
                      </w:txbxContent>
                    </wps:txbx>
                    <wps:bodyPr rot="0" vert="horz" wrap="square" lIns="91440" tIns="0" rIns="91440" bIns="0" anchor="ctr" anchorCtr="0" upright="1">
                      <a:spAutoFit/>
                    </wps:bodyPr>
                  </wps:wsp>
                </a:graphicData>
              </a:graphic>
              <wp14:sizeRelH relativeFrom="leftMargin">
                <wp14:pctWidth>100000</wp14:pctWidth>
              </wp14:sizeRelH>
              <wp14:sizeRelV relativeFrom="page">
                <wp14:pctHeight>0</wp14:pctHeight>
              </wp14:sizeRelV>
            </wp:anchor>
          </w:drawing>
        </mc:Choice>
        <mc:Fallback>
          <w:pict>
            <v:shapetype w14:anchorId="2D1E85C0" id="_x0000_t202" coordsize="21600,21600" o:spt="202" path="m,l,21600r21600,l21600,xe">
              <v:stroke joinstyle="miter"/>
              <v:path gradientshapeok="t" o:connecttype="rect"/>
            </v:shapetype>
            <v:shape id="Cuadro de texto 219" o:spid="_x0000_s1027" type="#_x0000_t202" style="position:absolute;margin-left:0;margin-top:0;width:1in;height:13.45pt;z-index:251659264;visibility:visible;mso-wrap-style:square;mso-width-percent:1000;mso-height-percent:0;mso-wrap-distance-left:9pt;mso-wrap-distance-top:0;mso-wrap-distance-right:9pt;mso-wrap-distance-bottom:0;mso-position-horizontal:left;mso-position-horizontal-relative:page;mso-position-vertical:center;mso-position-vertical-relative:top-margin-area;mso-width-percent:1000;mso-height-percent:0;mso-width-relative:lef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" o:allowincell="f" fillcolor="#c00000" stroked="f">
              <v:textbox style="mso-fit-shape-to-text:t" inset=",0,,0">
                <w:txbxContent>
                  <w:p w14:paraId="3E96552D" w14:textId="1CE5032E" w:rsidR="002D7808" w:rsidRDefault="002D7808">
                    <w:pPr>
                      <w:spacing w:line="240" w:lineRule="auto"/>
                      <w:jc w:val="right"/>
                      <w:rPr>
                        <w:color w:val="FFFFFF" w:themeColor="background1"/>
                      </w:rPr>
                    </w:pPr>
                    <w:r>
                      <w:fldChar w:fldCharType="begin"/>
                    </w:r>
                    <w:r>
                      <w:instrText>PAGE   \* MERGEFORMAT</w:instrText>
                    </w:r>
                    <w:r>
                      <w:fldChar w:fldCharType="separate"/>
                    </w:r>
                    <w:r w:rsidR="00C53903" w:rsidRPr="00C53903">
                      <w:rPr>
                        <w:noProof/>
                        <w:color w:val="FFFFFF" w:themeColor="background1"/>
                        <w:lang w:val="es-ES"/>
                      </w:rPr>
                      <w:t>2</w:t>
                    </w:r>
                    <w:r>
                      <w:rPr>
                        <w:color w:val="FFFFFF" w:themeColor="background1"/>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1442A"/>
    <w:multiLevelType w:val="multilevel"/>
    <w:tmpl w:val="67A81852"/>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798D696A"/>
    <w:multiLevelType w:val="multilevel"/>
    <w:tmpl w:val="9956E5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A1E"/>
    <w:rsid w:val="002A0756"/>
    <w:rsid w:val="002D7808"/>
    <w:rsid w:val="00375290"/>
    <w:rsid w:val="00375302"/>
    <w:rsid w:val="003A2C13"/>
    <w:rsid w:val="0042311C"/>
    <w:rsid w:val="0058674A"/>
    <w:rsid w:val="0066319D"/>
    <w:rsid w:val="0066751F"/>
    <w:rsid w:val="007051FE"/>
    <w:rsid w:val="00720DAA"/>
    <w:rsid w:val="007F179A"/>
    <w:rsid w:val="00876A61"/>
    <w:rsid w:val="008C3D51"/>
    <w:rsid w:val="00994593"/>
    <w:rsid w:val="009A657D"/>
    <w:rsid w:val="00A733CB"/>
    <w:rsid w:val="00BB2212"/>
    <w:rsid w:val="00C107ED"/>
    <w:rsid w:val="00C53903"/>
    <w:rsid w:val="00DF5E2F"/>
    <w:rsid w:val="00E01D7E"/>
    <w:rsid w:val="00E15A1E"/>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0EE7C1"/>
  <w15:docId w15:val="{E89E2F4B-328D-40D1-B087-E64B96812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s-GT"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noteText">
    <w:name w:val="footnote text"/>
    <w:basedOn w:val="Normal"/>
    <w:link w:val="FootnoteTextChar"/>
    <w:uiPriority w:val="99"/>
    <w:semiHidden/>
    <w:unhideWhenUsed/>
    <w:rsid w:val="00BB2212"/>
    <w:pPr>
      <w:spacing w:line="240" w:lineRule="auto"/>
    </w:pPr>
    <w:rPr>
      <w:sz w:val="20"/>
      <w:szCs w:val="20"/>
    </w:rPr>
  </w:style>
  <w:style w:type="character" w:customStyle="1" w:styleId="FootnoteTextChar">
    <w:name w:val="Footnote Text Char"/>
    <w:basedOn w:val="DefaultParagraphFont"/>
    <w:link w:val="FootnoteText"/>
    <w:uiPriority w:val="99"/>
    <w:semiHidden/>
    <w:rsid w:val="00BB2212"/>
    <w:rPr>
      <w:sz w:val="20"/>
      <w:szCs w:val="20"/>
    </w:rPr>
  </w:style>
  <w:style w:type="character" w:styleId="FootnoteReference">
    <w:name w:val="footnote reference"/>
    <w:basedOn w:val="DefaultParagraphFont"/>
    <w:uiPriority w:val="99"/>
    <w:semiHidden/>
    <w:unhideWhenUsed/>
    <w:rsid w:val="00BB2212"/>
    <w:rPr>
      <w:vertAlign w:val="superscript"/>
    </w:rPr>
  </w:style>
  <w:style w:type="paragraph" w:styleId="Header">
    <w:name w:val="header"/>
    <w:basedOn w:val="Normal"/>
    <w:link w:val="HeaderChar"/>
    <w:uiPriority w:val="99"/>
    <w:unhideWhenUsed/>
    <w:rsid w:val="002D7808"/>
    <w:pPr>
      <w:tabs>
        <w:tab w:val="center" w:pos="4419"/>
        <w:tab w:val="right" w:pos="8838"/>
      </w:tabs>
      <w:spacing w:line="240" w:lineRule="auto"/>
    </w:pPr>
  </w:style>
  <w:style w:type="character" w:customStyle="1" w:styleId="HeaderChar">
    <w:name w:val="Header Char"/>
    <w:basedOn w:val="DefaultParagraphFont"/>
    <w:link w:val="Header"/>
    <w:uiPriority w:val="99"/>
    <w:rsid w:val="002D7808"/>
  </w:style>
  <w:style w:type="paragraph" w:styleId="Footer">
    <w:name w:val="footer"/>
    <w:basedOn w:val="Normal"/>
    <w:link w:val="FooterChar"/>
    <w:uiPriority w:val="99"/>
    <w:unhideWhenUsed/>
    <w:rsid w:val="002D7808"/>
    <w:pPr>
      <w:tabs>
        <w:tab w:val="center" w:pos="4419"/>
        <w:tab w:val="right" w:pos="8838"/>
      </w:tabs>
      <w:spacing w:line="240" w:lineRule="auto"/>
    </w:pPr>
  </w:style>
  <w:style w:type="character" w:customStyle="1" w:styleId="FooterChar">
    <w:name w:val="Footer Char"/>
    <w:basedOn w:val="DefaultParagraphFont"/>
    <w:link w:val="Footer"/>
    <w:uiPriority w:val="99"/>
    <w:rsid w:val="002D7808"/>
  </w:style>
  <w:style w:type="paragraph" w:styleId="BodyText">
    <w:name w:val="Body Text"/>
    <w:basedOn w:val="Normal"/>
    <w:link w:val="BodyTextChar"/>
    <w:uiPriority w:val="1"/>
    <w:qFormat/>
    <w:rsid w:val="002D7808"/>
    <w:pPr>
      <w:widowControl w:val="0"/>
      <w:autoSpaceDE w:val="0"/>
      <w:autoSpaceDN w:val="0"/>
      <w:spacing w:line="240" w:lineRule="auto"/>
      <w:ind w:left="582"/>
      <w:jc w:val="both"/>
    </w:pPr>
    <w:rPr>
      <w:rFonts w:ascii="Tahoma" w:eastAsia="Tahoma" w:hAnsi="Tahoma" w:cs="Tahoma"/>
      <w:lang w:val="es-ES" w:eastAsia="en-US"/>
    </w:rPr>
  </w:style>
  <w:style w:type="character" w:customStyle="1" w:styleId="BodyTextChar">
    <w:name w:val="Body Text Char"/>
    <w:basedOn w:val="DefaultParagraphFont"/>
    <w:link w:val="BodyText"/>
    <w:uiPriority w:val="1"/>
    <w:rsid w:val="002D7808"/>
    <w:rPr>
      <w:rFonts w:ascii="Tahoma" w:eastAsia="Tahoma" w:hAnsi="Tahoma" w:cs="Tahoma"/>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observatorio.mp.gob.g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0F0BD8-4A48-46B3-8E66-6A882DCCEE9D}">
  <ds:schemaRefs>
    <ds:schemaRef ds:uri="http://schemas.openxmlformats.org/officeDocument/2006/bibliography"/>
  </ds:schemaRefs>
</ds:datastoreItem>
</file>

<file path=customXml/itemProps2.xml><?xml version="1.0" encoding="utf-8"?>
<ds:datastoreItem xmlns:ds="http://schemas.openxmlformats.org/officeDocument/2006/customXml" ds:itemID="{0CAD9873-AED6-41E5-A774-A975810EC60D}"/>
</file>

<file path=customXml/itemProps3.xml><?xml version="1.0" encoding="utf-8"?>
<ds:datastoreItem xmlns:ds="http://schemas.openxmlformats.org/officeDocument/2006/customXml" ds:itemID="{49B2C7EC-CE43-4752-9334-F7974B01F8D8}"/>
</file>

<file path=customXml/itemProps4.xml><?xml version="1.0" encoding="utf-8"?>
<ds:datastoreItem xmlns:ds="http://schemas.openxmlformats.org/officeDocument/2006/customXml" ds:itemID="{A2E2E20C-76A0-47BB-AAB0-A80422EA757C}"/>
</file>

<file path=docProps/app.xml><?xml version="1.0" encoding="utf-8"?>
<Properties xmlns="http://schemas.openxmlformats.org/officeDocument/2006/extended-properties" xmlns:vt="http://schemas.openxmlformats.org/officeDocument/2006/docPropsVTypes">
  <Template>Normal.dotm</Template>
  <TotalTime>1</TotalTime>
  <Pages>15</Pages>
  <Words>6440</Words>
  <Characters>36714</Characters>
  <Application>Microsoft Office Word</Application>
  <DocSecurity>0</DocSecurity>
  <Lines>305</Lines>
  <Paragraphs>86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43068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Tefy Incide</dc:creator>
  <cp:lastModifiedBy>REYNAUD Céline</cp:lastModifiedBy>
  <cp:revision>2</cp:revision>
  <dcterms:created xsi:type="dcterms:W3CDTF">2022-08-29T07:11:00Z</dcterms:created>
  <dcterms:modified xsi:type="dcterms:W3CDTF">2022-08-29T07:11:00Z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