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F5E34" w:rsidRDefault="00000000">
      <w:pPr>
        <w:rPr>
          <w:rFonts w:ascii="Calibri" w:eastAsia="Calibri" w:hAnsi="Calibri" w:cs="Calibri"/>
          <w:b/>
          <w:sz w:val="32"/>
          <w:szCs w:val="32"/>
        </w:rPr>
      </w:pPr>
      <w:r>
        <w:rPr>
          <w:rFonts w:ascii="Calibri" w:eastAsia="Calibri" w:hAnsi="Calibri" w:cs="Calibri"/>
          <w:b/>
          <w:sz w:val="32"/>
          <w:szCs w:val="32"/>
        </w:rPr>
        <w:t>NGO Report to the Committee on Economic, Social and Cultural Rights on the Follow-Up Procedure for Kuwait</w:t>
      </w:r>
    </w:p>
    <w:p w14:paraId="00000002" w14:textId="77777777" w:rsidR="008F5E34" w:rsidRDefault="00000000">
      <w:pPr>
        <w:spacing w:after="160"/>
        <w:jc w:val="center"/>
        <w:rPr>
          <w:rFonts w:ascii="Calibri" w:eastAsia="Calibri" w:hAnsi="Calibri" w:cs="Calibri"/>
          <w:b/>
          <w:sz w:val="24"/>
          <w:szCs w:val="24"/>
        </w:rPr>
      </w:pPr>
      <w:r>
        <w:rPr>
          <w:rFonts w:ascii="Calibri" w:eastAsia="Calibri" w:hAnsi="Calibri" w:cs="Calibri"/>
          <w:b/>
          <w:sz w:val="24"/>
          <w:szCs w:val="24"/>
        </w:rPr>
        <w:br/>
        <w:t>Submitted 12 January 2024</w:t>
      </w:r>
    </w:p>
    <w:p w14:paraId="00000003" w14:textId="77777777" w:rsidR="008F5E34" w:rsidRDefault="00000000">
      <w:pPr>
        <w:spacing w:after="200"/>
        <w:rPr>
          <w:rFonts w:ascii="Calibri" w:eastAsia="Calibri" w:hAnsi="Calibri" w:cs="Calibri"/>
          <w:b/>
          <w:sz w:val="28"/>
          <w:szCs w:val="28"/>
          <w:u w:val="single"/>
        </w:rPr>
      </w:pPr>
      <w:r>
        <w:rPr>
          <w:rFonts w:ascii="Calibri" w:eastAsia="Calibri" w:hAnsi="Calibri" w:cs="Calibri"/>
          <w:b/>
          <w:sz w:val="28"/>
          <w:szCs w:val="28"/>
          <w:u w:val="single"/>
        </w:rPr>
        <w:t xml:space="preserve">Executive Summary </w:t>
      </w:r>
    </w:p>
    <w:p w14:paraId="00000004" w14:textId="77777777" w:rsidR="008F5E34" w:rsidRDefault="00000000">
      <w:pPr>
        <w:spacing w:after="200"/>
        <w:jc w:val="both"/>
        <w:rPr>
          <w:rFonts w:ascii="Calibri" w:eastAsia="Calibri" w:hAnsi="Calibri" w:cs="Calibri"/>
          <w:sz w:val="24"/>
          <w:szCs w:val="24"/>
        </w:rPr>
      </w:pPr>
      <w:r>
        <w:rPr>
          <w:rFonts w:ascii="Calibri" w:eastAsia="Calibri" w:hAnsi="Calibri" w:cs="Calibri"/>
          <w:sz w:val="24"/>
          <w:szCs w:val="24"/>
        </w:rPr>
        <w:t xml:space="preserve">The coalition of organizations including </w:t>
      </w:r>
      <w:proofErr w:type="spellStart"/>
      <w:r>
        <w:rPr>
          <w:rFonts w:ascii="Calibri" w:eastAsia="Calibri" w:hAnsi="Calibri" w:cs="Calibri"/>
          <w:sz w:val="24"/>
          <w:szCs w:val="24"/>
        </w:rPr>
        <w:t>Equidem</w:t>
      </w:r>
      <w:proofErr w:type="spellEnd"/>
      <w:r>
        <w:rPr>
          <w:rFonts w:ascii="Calibri" w:eastAsia="Calibri" w:hAnsi="Calibri" w:cs="Calibri"/>
          <w:sz w:val="24"/>
          <w:szCs w:val="24"/>
        </w:rPr>
        <w:t>, International Domestic Workers Federation, Global Labor Justice-International Labor Rights Forum, and Solidarity Center (hereafter “Coalition”) submits the following report to the UN Committee on Economic, Social and Cultural Rights (‘the Committee’) in advance of its follow-up review of Kuwait.</w:t>
      </w:r>
    </w:p>
    <w:p w14:paraId="00000005" w14:textId="77777777" w:rsidR="008F5E34" w:rsidRDefault="00000000">
      <w:pPr>
        <w:spacing w:after="200"/>
        <w:jc w:val="both"/>
        <w:rPr>
          <w:rFonts w:ascii="Calibri" w:eastAsia="Calibri" w:hAnsi="Calibri" w:cs="Calibri"/>
          <w:sz w:val="24"/>
          <w:szCs w:val="24"/>
        </w:rPr>
      </w:pPr>
      <w:r>
        <w:rPr>
          <w:rFonts w:ascii="Calibri" w:eastAsia="Calibri" w:hAnsi="Calibri" w:cs="Calibri"/>
          <w:sz w:val="24"/>
          <w:szCs w:val="24"/>
        </w:rPr>
        <w:t xml:space="preserve">This submission, which draws on worker testimony and legal research, presents evidence that neither the written law, nor the implementation, monitoring, and enforcement of existing laws, adequately protect the labor rights of migrant domestic workers in Kuwait. We provide evidence </w:t>
      </w:r>
      <w:r>
        <w:rPr>
          <w:rFonts w:ascii="Calibri" w:eastAsia="Calibri" w:hAnsi="Calibri" w:cs="Calibri"/>
          <w:b/>
          <w:sz w:val="24"/>
          <w:szCs w:val="24"/>
        </w:rPr>
        <w:t>in relation to the Government of Kuwait's response concerning paragraph 23 (c) of the Committee’s concluding observations,</w:t>
      </w:r>
      <w:r>
        <w:rPr>
          <w:rFonts w:ascii="Calibri" w:eastAsia="Calibri" w:hAnsi="Calibri" w:cs="Calibri"/>
          <w:b/>
          <w:sz w:val="24"/>
          <w:szCs w:val="24"/>
          <w:vertAlign w:val="superscript"/>
        </w:rPr>
        <w:footnoteReference w:id="1"/>
      </w:r>
      <w:r>
        <w:rPr>
          <w:rFonts w:ascii="Calibri" w:eastAsia="Calibri" w:hAnsi="Calibri" w:cs="Calibri"/>
          <w:b/>
          <w:sz w:val="24"/>
          <w:szCs w:val="24"/>
        </w:rPr>
        <w:t xml:space="preserve"> </w:t>
      </w:r>
      <w:r>
        <w:rPr>
          <w:rFonts w:ascii="Calibri" w:eastAsia="Calibri" w:hAnsi="Calibri" w:cs="Calibri"/>
          <w:sz w:val="24"/>
          <w:szCs w:val="24"/>
        </w:rPr>
        <w:t xml:space="preserve">which pertains to domestic workers. We include suggested recommendations for Committee members to consider during the follow-up procedure for Kuwait. </w:t>
      </w:r>
    </w:p>
    <w:p w14:paraId="00000006" w14:textId="16F71644" w:rsidR="008F5E34" w:rsidRDefault="00000000">
      <w:pPr>
        <w:spacing w:after="160" w:line="259" w:lineRule="auto"/>
        <w:jc w:val="both"/>
        <w:rPr>
          <w:rFonts w:ascii="Calibri" w:eastAsia="Calibri" w:hAnsi="Calibri" w:cs="Calibri"/>
          <w:sz w:val="24"/>
          <w:szCs w:val="24"/>
        </w:rPr>
      </w:pPr>
      <w:r>
        <w:rPr>
          <w:rFonts w:ascii="Calibri" w:eastAsia="Calibri" w:hAnsi="Calibri" w:cs="Calibri"/>
          <w:sz w:val="24"/>
          <w:szCs w:val="24"/>
        </w:rPr>
        <w:t>Based on evidence provided by migrant domestic workers and domestic-worker labor organizations,</w:t>
      </w:r>
      <w:r>
        <w:rPr>
          <w:rFonts w:ascii="Calibri" w:eastAsia="Calibri" w:hAnsi="Calibri" w:cs="Calibri"/>
          <w:sz w:val="24"/>
          <w:szCs w:val="24"/>
          <w:vertAlign w:val="superscript"/>
        </w:rPr>
        <w:footnoteReference w:id="2"/>
      </w:r>
      <w:r>
        <w:rPr>
          <w:rFonts w:ascii="Calibri" w:eastAsia="Calibri" w:hAnsi="Calibri" w:cs="Calibri"/>
          <w:sz w:val="24"/>
          <w:szCs w:val="24"/>
        </w:rPr>
        <w:t xml:space="preserve"> this submission articulates how migrant domestic workers continue to face exclusions in labor law, structural barriers to reporting violations, and the impacts of the lack of sufficient and effective cooperation between the government and embassies.</w:t>
      </w:r>
      <w:r>
        <w:rPr>
          <w:rFonts w:ascii="Calibri" w:eastAsia="Calibri" w:hAnsi="Calibri" w:cs="Calibri"/>
          <w:sz w:val="24"/>
          <w:szCs w:val="24"/>
          <w:vertAlign w:val="superscript"/>
        </w:rPr>
        <w:footnoteReference w:id="3"/>
      </w:r>
      <w:r>
        <w:rPr>
          <w:rFonts w:ascii="Calibri" w:eastAsia="Calibri" w:hAnsi="Calibri" w:cs="Calibri"/>
          <w:sz w:val="24"/>
          <w:szCs w:val="24"/>
        </w:rPr>
        <w:t xml:space="preserve"> Additionally, the relevant authorities have limited ability to conduct labor inspections in homes where domestic workers are employed: notably, the Public Authority for Manpower’s Domestic Workers Department has a lack of staffing, language barriers, and only operates at one location in the country. Such barriers result in a lack of effective enforcement of laws protecting migrant domestic workers with an attendant lack of access to justice for migrant domestic workers. If the government were effectively monitoring implementation, as per the second part of the Committee’s recommendations with respect to implementing mechanisms to monitor </w:t>
      </w:r>
      <w:r>
        <w:rPr>
          <w:rFonts w:ascii="Calibri" w:eastAsia="Calibri" w:hAnsi="Calibri" w:cs="Calibri"/>
          <w:sz w:val="24"/>
          <w:szCs w:val="24"/>
        </w:rPr>
        <w:lastRenderedPageBreak/>
        <w:t>compliance, it would require the Government to recognize the limitations of the law and take steps to address it.</w:t>
      </w:r>
      <w:r>
        <w:rPr>
          <w:rFonts w:ascii="Calibri" w:eastAsia="Calibri" w:hAnsi="Calibri" w:cs="Calibri"/>
          <w:color w:val="FF0000"/>
          <w:sz w:val="24"/>
          <w:szCs w:val="24"/>
        </w:rPr>
        <w:t xml:space="preserve"> </w:t>
      </w:r>
      <w:r>
        <w:rPr>
          <w:rFonts w:ascii="Calibri" w:eastAsia="Calibri" w:hAnsi="Calibri" w:cs="Calibri"/>
          <w:sz w:val="24"/>
          <w:szCs w:val="24"/>
        </w:rPr>
        <w:t xml:space="preserve">We ask that the Committee take this context into account when evaluating the government of Kuwait’s response in the Follow-Up Procedure. </w:t>
      </w:r>
    </w:p>
    <w:p w14:paraId="00000007" w14:textId="77777777" w:rsidR="008F5E34" w:rsidRDefault="00000000">
      <w:pPr>
        <w:shd w:val="clear" w:color="auto" w:fill="FFFFFF"/>
        <w:spacing w:after="160" w:line="259" w:lineRule="auto"/>
        <w:jc w:val="both"/>
        <w:rPr>
          <w:rFonts w:ascii="Calibri" w:eastAsia="Calibri" w:hAnsi="Calibri" w:cs="Calibri"/>
          <w:b/>
          <w:color w:val="050505"/>
          <w:sz w:val="28"/>
          <w:szCs w:val="28"/>
          <w:u w:val="single"/>
        </w:rPr>
      </w:pPr>
      <w:r>
        <w:rPr>
          <w:rFonts w:ascii="Calibri" w:eastAsia="Calibri" w:hAnsi="Calibri" w:cs="Calibri"/>
          <w:b/>
          <w:color w:val="050505"/>
          <w:sz w:val="28"/>
          <w:szCs w:val="28"/>
          <w:u w:val="single"/>
        </w:rPr>
        <w:t>Concluding observations on the third periodic report of Kuwait</w:t>
      </w:r>
    </w:p>
    <w:p w14:paraId="00000008" w14:textId="77777777" w:rsidR="008F5E34" w:rsidRDefault="00000000">
      <w:pPr>
        <w:shd w:val="clear" w:color="auto" w:fill="FFFFFF"/>
        <w:spacing w:after="160" w:line="259" w:lineRule="auto"/>
        <w:jc w:val="both"/>
        <w:rPr>
          <w:rFonts w:ascii="Calibri" w:eastAsia="Calibri" w:hAnsi="Calibri" w:cs="Calibri"/>
          <w:color w:val="050505"/>
          <w:sz w:val="24"/>
          <w:szCs w:val="24"/>
        </w:rPr>
      </w:pPr>
      <w:r>
        <w:rPr>
          <w:rFonts w:ascii="Calibri" w:eastAsia="Calibri" w:hAnsi="Calibri" w:cs="Calibri"/>
          <w:color w:val="050505"/>
          <w:sz w:val="24"/>
          <w:szCs w:val="24"/>
        </w:rPr>
        <w:t>During its consideration of the third periodic report of Kuwait in 2021, the Committee expressed that while it welcomed the protections provided to migrant domestic workers under the Domestic Workers Act No. 68 of 2015, it was:</w:t>
      </w:r>
    </w:p>
    <w:p w14:paraId="00000009" w14:textId="77777777" w:rsidR="008F5E34" w:rsidRDefault="00000000">
      <w:pPr>
        <w:shd w:val="clear" w:color="auto" w:fill="FFFFFF"/>
        <w:spacing w:after="160" w:line="259" w:lineRule="auto"/>
        <w:ind w:left="720"/>
        <w:jc w:val="both"/>
        <w:rPr>
          <w:rFonts w:ascii="Calibri" w:eastAsia="Calibri" w:hAnsi="Calibri" w:cs="Calibri"/>
          <w:color w:val="050505"/>
          <w:sz w:val="24"/>
          <w:szCs w:val="24"/>
        </w:rPr>
      </w:pPr>
      <w:r>
        <w:rPr>
          <w:rFonts w:ascii="Calibri" w:eastAsia="Calibri" w:hAnsi="Calibri" w:cs="Calibri"/>
          <w:i/>
          <w:color w:val="050505"/>
          <w:sz w:val="24"/>
          <w:szCs w:val="24"/>
        </w:rPr>
        <w:t>“</w:t>
      </w:r>
      <w:proofErr w:type="gramStart"/>
      <w:r>
        <w:rPr>
          <w:rFonts w:ascii="Calibri" w:eastAsia="Calibri" w:hAnsi="Calibri" w:cs="Calibri"/>
          <w:i/>
          <w:color w:val="050505"/>
          <w:sz w:val="24"/>
          <w:szCs w:val="24"/>
        </w:rPr>
        <w:t>concerned</w:t>
      </w:r>
      <w:proofErr w:type="gramEnd"/>
      <w:r>
        <w:rPr>
          <w:rFonts w:ascii="Calibri" w:eastAsia="Calibri" w:hAnsi="Calibri" w:cs="Calibri"/>
          <w:i/>
          <w:color w:val="050505"/>
          <w:sz w:val="24"/>
          <w:szCs w:val="24"/>
        </w:rPr>
        <w:t xml:space="preserve"> about continued reports of exploitation and abuse of migrant domestic workers by employers and is also concerned that the enforcement mechanisms of these protections are insufficient (art. 7).”</w:t>
      </w:r>
      <w:r>
        <w:rPr>
          <w:rFonts w:ascii="Calibri" w:eastAsia="Calibri" w:hAnsi="Calibri" w:cs="Calibri"/>
          <w:i/>
          <w:color w:val="050505"/>
          <w:sz w:val="24"/>
          <w:szCs w:val="24"/>
          <w:vertAlign w:val="superscript"/>
        </w:rPr>
        <w:footnoteReference w:id="4"/>
      </w:r>
      <w:r>
        <w:rPr>
          <w:rFonts w:ascii="Calibri" w:eastAsia="Calibri" w:hAnsi="Calibri" w:cs="Calibri"/>
          <w:color w:val="050505"/>
          <w:sz w:val="24"/>
          <w:szCs w:val="24"/>
        </w:rPr>
        <w:t xml:space="preserve"> </w:t>
      </w:r>
    </w:p>
    <w:p w14:paraId="0000000A" w14:textId="77777777" w:rsidR="008F5E34" w:rsidRDefault="00000000">
      <w:pPr>
        <w:tabs>
          <w:tab w:val="left" w:pos="0"/>
        </w:tabs>
        <w:spacing w:after="160" w:line="259" w:lineRule="auto"/>
        <w:jc w:val="both"/>
        <w:rPr>
          <w:rFonts w:ascii="Calibri" w:eastAsia="Calibri" w:hAnsi="Calibri" w:cs="Calibri"/>
          <w:sz w:val="24"/>
          <w:szCs w:val="24"/>
        </w:rPr>
      </w:pPr>
      <w:r>
        <w:rPr>
          <w:rFonts w:ascii="Calibri" w:eastAsia="Calibri" w:hAnsi="Calibri" w:cs="Calibri"/>
          <w:sz w:val="24"/>
          <w:szCs w:val="24"/>
        </w:rPr>
        <w:t>In para. 23 (c) of its Concluding Observations, the Committee recommended that:</w:t>
      </w:r>
    </w:p>
    <w:p w14:paraId="0000000B" w14:textId="77777777" w:rsidR="008F5E34" w:rsidRDefault="00000000">
      <w:pPr>
        <w:tabs>
          <w:tab w:val="left" w:pos="0"/>
        </w:tabs>
        <w:spacing w:after="160" w:line="259" w:lineRule="auto"/>
        <w:ind w:left="720"/>
        <w:jc w:val="both"/>
        <w:rPr>
          <w:rFonts w:ascii="Calibri" w:eastAsia="Calibri" w:hAnsi="Calibri" w:cs="Calibri"/>
          <w:i/>
          <w:sz w:val="24"/>
          <w:szCs w:val="24"/>
        </w:rPr>
      </w:pPr>
      <w:r>
        <w:rPr>
          <w:rFonts w:ascii="Calibri" w:eastAsia="Calibri" w:hAnsi="Calibri" w:cs="Calibri"/>
          <w:i/>
          <w:sz w:val="24"/>
          <w:szCs w:val="24"/>
        </w:rPr>
        <w:t>“</w:t>
      </w:r>
      <w:proofErr w:type="gramStart"/>
      <w:r>
        <w:rPr>
          <w:rFonts w:ascii="Calibri" w:eastAsia="Calibri" w:hAnsi="Calibri" w:cs="Calibri"/>
          <w:i/>
          <w:sz w:val="24"/>
          <w:szCs w:val="24"/>
        </w:rPr>
        <w:t>the</w:t>
      </w:r>
      <w:proofErr w:type="gramEnd"/>
      <w:r>
        <w:rPr>
          <w:rFonts w:ascii="Calibri" w:eastAsia="Calibri" w:hAnsi="Calibri" w:cs="Calibri"/>
          <w:i/>
          <w:sz w:val="24"/>
          <w:szCs w:val="24"/>
        </w:rPr>
        <w:t xml:space="preserve"> State party take measures to ensure effective enforcement of legislation that protects migrant domestic workers, including… (c) Put in place and implement effective mechanisms to monitor compliance with </w:t>
      </w:r>
      <w:proofErr w:type="spellStart"/>
      <w:r>
        <w:rPr>
          <w:rFonts w:ascii="Calibri" w:eastAsia="Calibri" w:hAnsi="Calibri" w:cs="Calibri"/>
          <w:i/>
          <w:sz w:val="24"/>
          <w:szCs w:val="24"/>
        </w:rPr>
        <w:t>labour</w:t>
      </w:r>
      <w:proofErr w:type="spellEnd"/>
      <w:r>
        <w:rPr>
          <w:rFonts w:ascii="Calibri" w:eastAsia="Calibri" w:hAnsi="Calibri" w:cs="Calibri"/>
          <w:i/>
          <w:sz w:val="24"/>
          <w:szCs w:val="24"/>
        </w:rPr>
        <w:t xml:space="preserve"> laws protecting migrant domestic workers”.</w:t>
      </w:r>
    </w:p>
    <w:p w14:paraId="0000000C" w14:textId="77777777" w:rsidR="008F5E34" w:rsidRDefault="00000000">
      <w:pPr>
        <w:shd w:val="clear" w:color="auto" w:fill="FFFFFF"/>
        <w:spacing w:after="160" w:line="259" w:lineRule="auto"/>
        <w:jc w:val="both"/>
        <w:rPr>
          <w:rFonts w:ascii="Calibri" w:eastAsia="Calibri" w:hAnsi="Calibri" w:cs="Calibri"/>
          <w:b/>
          <w:color w:val="050505"/>
          <w:sz w:val="28"/>
          <w:szCs w:val="28"/>
          <w:u w:val="single"/>
        </w:rPr>
      </w:pPr>
      <w:r>
        <w:rPr>
          <w:rFonts w:ascii="Calibri" w:eastAsia="Calibri" w:hAnsi="Calibri" w:cs="Calibri"/>
          <w:b/>
          <w:color w:val="050505"/>
          <w:sz w:val="28"/>
          <w:szCs w:val="28"/>
          <w:u w:val="single"/>
        </w:rPr>
        <w:t>Follow-up information from the Government of Kuwait</w:t>
      </w:r>
    </w:p>
    <w:p w14:paraId="0000000D" w14:textId="77777777" w:rsidR="008F5E34" w:rsidRDefault="00000000">
      <w:pPr>
        <w:shd w:val="clear" w:color="auto" w:fill="FFFFFF"/>
        <w:spacing w:after="160" w:line="259" w:lineRule="auto"/>
        <w:jc w:val="both"/>
        <w:rPr>
          <w:rFonts w:ascii="Calibri" w:eastAsia="Calibri" w:hAnsi="Calibri" w:cs="Calibri"/>
          <w:color w:val="050505"/>
          <w:sz w:val="24"/>
          <w:szCs w:val="24"/>
        </w:rPr>
      </w:pPr>
      <w:r>
        <w:rPr>
          <w:rFonts w:ascii="Calibri" w:eastAsia="Calibri" w:hAnsi="Calibri" w:cs="Calibri"/>
          <w:color w:val="050505"/>
          <w:sz w:val="24"/>
          <w:szCs w:val="24"/>
        </w:rPr>
        <w:t>In its follow-up information to the Committee, the Government of Kuwait wrote in para. 24:</w:t>
      </w:r>
    </w:p>
    <w:p w14:paraId="0000000E" w14:textId="77777777" w:rsidR="008F5E34" w:rsidRDefault="00000000">
      <w:pPr>
        <w:shd w:val="clear" w:color="auto" w:fill="FFFFFF"/>
        <w:spacing w:after="160" w:line="259" w:lineRule="auto"/>
        <w:ind w:left="1004"/>
        <w:jc w:val="both"/>
        <w:rPr>
          <w:rFonts w:ascii="Calibri" w:eastAsia="Calibri" w:hAnsi="Calibri" w:cs="Calibri"/>
          <w:i/>
          <w:color w:val="050505"/>
          <w:sz w:val="24"/>
          <w:szCs w:val="24"/>
        </w:rPr>
      </w:pPr>
      <w:r>
        <w:rPr>
          <w:rFonts w:ascii="Calibri" w:eastAsia="Calibri" w:hAnsi="Calibri" w:cs="Calibri"/>
          <w:i/>
          <w:color w:val="050505"/>
          <w:sz w:val="24"/>
          <w:szCs w:val="24"/>
        </w:rPr>
        <w:t xml:space="preserve">“As the entity responsible for protecting migrant workers and their rights, the Department for Regulating the Recruitment of Domestic Workers cooperates on these matters with all relevant authorities, including the Ministry of the Interior, the Ministry of Justice (in particular the specialized </w:t>
      </w:r>
      <w:proofErr w:type="spellStart"/>
      <w:r>
        <w:rPr>
          <w:rFonts w:ascii="Calibri" w:eastAsia="Calibri" w:hAnsi="Calibri" w:cs="Calibri"/>
          <w:i/>
          <w:color w:val="050505"/>
          <w:sz w:val="24"/>
          <w:szCs w:val="24"/>
        </w:rPr>
        <w:t>labour</w:t>
      </w:r>
      <w:proofErr w:type="spellEnd"/>
      <w:r>
        <w:rPr>
          <w:rFonts w:ascii="Calibri" w:eastAsia="Calibri" w:hAnsi="Calibri" w:cs="Calibri"/>
          <w:i/>
          <w:color w:val="050505"/>
          <w:sz w:val="24"/>
          <w:szCs w:val="24"/>
        </w:rPr>
        <w:t xml:space="preserve"> courts), the Ministry of Health, the </w:t>
      </w:r>
      <w:proofErr w:type="spellStart"/>
      <w:r>
        <w:rPr>
          <w:rFonts w:ascii="Calibri" w:eastAsia="Calibri" w:hAnsi="Calibri" w:cs="Calibri"/>
          <w:i/>
          <w:color w:val="050505"/>
          <w:sz w:val="24"/>
          <w:szCs w:val="24"/>
        </w:rPr>
        <w:t>Labour</w:t>
      </w:r>
      <w:proofErr w:type="spellEnd"/>
      <w:r>
        <w:rPr>
          <w:rFonts w:ascii="Calibri" w:eastAsia="Calibri" w:hAnsi="Calibri" w:cs="Calibri"/>
          <w:i/>
          <w:color w:val="050505"/>
          <w:sz w:val="24"/>
          <w:szCs w:val="24"/>
        </w:rPr>
        <w:t xml:space="preserve"> Relations Department of the Public Authority for Manpower, the Migrant Workers’ Shelter, the Ministry of Foreign Affairs, and the embassies representing the countries of origin of domestic workers.  The Department engages in ongoing cooperation and coordination with all relevant entities in order to strengthen the mechanisms available for monitoring compliance with, and the application of, </w:t>
      </w:r>
      <w:proofErr w:type="spellStart"/>
      <w:r>
        <w:rPr>
          <w:rFonts w:ascii="Calibri" w:eastAsia="Calibri" w:hAnsi="Calibri" w:cs="Calibri"/>
          <w:i/>
          <w:color w:val="050505"/>
          <w:sz w:val="24"/>
          <w:szCs w:val="24"/>
        </w:rPr>
        <w:t>labour</w:t>
      </w:r>
      <w:proofErr w:type="spellEnd"/>
      <w:r>
        <w:rPr>
          <w:rFonts w:ascii="Calibri" w:eastAsia="Calibri" w:hAnsi="Calibri" w:cs="Calibri"/>
          <w:i/>
          <w:color w:val="050505"/>
          <w:sz w:val="24"/>
          <w:szCs w:val="24"/>
        </w:rPr>
        <w:t xml:space="preserve"> laws on the protection of migrant domestic workers.</w:t>
      </w:r>
      <w:r>
        <w:rPr>
          <w:rFonts w:ascii="Calibri" w:eastAsia="Calibri" w:hAnsi="Calibri" w:cs="Calibri"/>
          <w:i/>
          <w:color w:val="050505"/>
          <w:sz w:val="24"/>
          <w:szCs w:val="24"/>
          <w:vertAlign w:val="superscript"/>
        </w:rPr>
        <w:footnoteReference w:id="5"/>
      </w:r>
    </w:p>
    <w:p w14:paraId="0000000F" w14:textId="77777777" w:rsidR="008F5E34" w:rsidRDefault="00000000">
      <w:pPr>
        <w:spacing w:after="160" w:line="259" w:lineRule="auto"/>
        <w:jc w:val="both"/>
        <w:rPr>
          <w:rFonts w:ascii="Calibri" w:eastAsia="Calibri" w:hAnsi="Calibri" w:cs="Calibri"/>
          <w:b/>
          <w:sz w:val="28"/>
          <w:szCs w:val="28"/>
          <w:u w:val="single"/>
        </w:rPr>
      </w:pPr>
      <w:r>
        <w:rPr>
          <w:rFonts w:ascii="Calibri" w:eastAsia="Calibri" w:hAnsi="Calibri" w:cs="Calibri"/>
          <w:b/>
          <w:sz w:val="28"/>
          <w:szCs w:val="28"/>
          <w:u w:val="single"/>
        </w:rPr>
        <w:t xml:space="preserve">Coalition submission response to Government of Kuwait follow-up information  </w:t>
      </w:r>
    </w:p>
    <w:p w14:paraId="00000010" w14:textId="77777777" w:rsidR="008F5E34" w:rsidRDefault="00000000">
      <w:pPr>
        <w:spacing w:after="160" w:line="259" w:lineRule="auto"/>
        <w:jc w:val="both"/>
        <w:rPr>
          <w:rFonts w:ascii="Calibri" w:eastAsia="Calibri" w:hAnsi="Calibri" w:cs="Calibri"/>
          <w:b/>
          <w:i/>
          <w:sz w:val="28"/>
          <w:szCs w:val="28"/>
          <w:u w:val="single"/>
        </w:rPr>
      </w:pPr>
      <w:r>
        <w:rPr>
          <w:rFonts w:ascii="Calibri" w:eastAsia="Calibri" w:hAnsi="Calibri" w:cs="Calibri"/>
          <w:sz w:val="24"/>
          <w:szCs w:val="24"/>
        </w:rPr>
        <w:lastRenderedPageBreak/>
        <w:t xml:space="preserve">With a particular focus on the first part of the Committee’s recommendation with respect to ensuring effective enforcement, this submission demonstrates that the State party has not adequately implemented the recommendation because it has not ensured the effective enforcement of legislation that protects domestic workers. Notably, this is reflected in labor laws that are discriminatory towards domestic workers, barriers to domestic workers reporting violations, a lack of cooperation between the government and embassies, and limited ability to conduct labor inspections in homes where domestic workers are employed. </w:t>
      </w:r>
      <w:r>
        <w:rPr>
          <w:rFonts w:ascii="Calibri" w:eastAsia="Calibri" w:hAnsi="Calibri" w:cs="Calibri"/>
          <w:sz w:val="24"/>
          <w:szCs w:val="24"/>
        </w:rPr>
        <w:br/>
      </w:r>
      <w:r>
        <w:rPr>
          <w:rFonts w:ascii="Calibri" w:eastAsia="Calibri" w:hAnsi="Calibri" w:cs="Calibri"/>
          <w:b/>
          <w:i/>
          <w:sz w:val="28"/>
          <w:szCs w:val="28"/>
          <w:u w:val="single"/>
        </w:rPr>
        <w:br/>
        <w:t xml:space="preserve">The Government of Kuwait has failed to ensure effective enforcement of legislation that protects migrant domestic workers </w:t>
      </w:r>
    </w:p>
    <w:p w14:paraId="00000011" w14:textId="77777777" w:rsidR="008F5E34" w:rsidRDefault="00000000">
      <w:pPr>
        <w:numPr>
          <w:ilvl w:val="0"/>
          <w:numId w:val="2"/>
        </w:numPr>
        <w:spacing w:after="160" w:line="259" w:lineRule="auto"/>
        <w:jc w:val="both"/>
        <w:rPr>
          <w:rFonts w:ascii="Calibri" w:eastAsia="Calibri" w:hAnsi="Calibri" w:cs="Calibri"/>
          <w:sz w:val="24"/>
          <w:szCs w:val="24"/>
        </w:rPr>
      </w:pPr>
      <w:r>
        <w:rPr>
          <w:rFonts w:ascii="Calibri" w:eastAsia="Calibri" w:hAnsi="Calibri" w:cs="Calibri"/>
          <w:b/>
          <w:sz w:val="24"/>
          <w:szCs w:val="24"/>
          <w:u w:val="single"/>
        </w:rPr>
        <w:t>Existing labor laws do not adequately protect domestic workers</w:t>
      </w:r>
      <w:r>
        <w:rPr>
          <w:rFonts w:ascii="Calibri" w:eastAsia="Calibri" w:hAnsi="Calibri" w:cs="Calibri"/>
          <w:b/>
          <w:sz w:val="24"/>
          <w:szCs w:val="24"/>
        </w:rPr>
        <w:t xml:space="preserve">. </w:t>
      </w:r>
      <w:r>
        <w:rPr>
          <w:rFonts w:ascii="Calibri" w:eastAsia="Calibri" w:hAnsi="Calibri" w:cs="Calibri"/>
          <w:sz w:val="24"/>
          <w:szCs w:val="24"/>
        </w:rPr>
        <w:t>Domestic workers are explicitly excluded from Labor Law No. 6 for 2010. Law No. 68 of 2015 regarding domestic labor was intended to remedy legislative gaps and provide greater protections specifically for domestic workers</w:t>
      </w:r>
      <w:r>
        <w:rPr>
          <w:rFonts w:ascii="Calibri" w:eastAsia="Calibri" w:hAnsi="Calibri" w:cs="Calibri"/>
          <w:b/>
          <w:sz w:val="24"/>
          <w:szCs w:val="24"/>
        </w:rPr>
        <w:t>.</w:t>
      </w:r>
      <w:r>
        <w:rPr>
          <w:rFonts w:ascii="Calibri" w:eastAsia="Calibri" w:hAnsi="Calibri" w:cs="Calibri"/>
          <w:b/>
          <w:sz w:val="24"/>
          <w:szCs w:val="24"/>
          <w:vertAlign w:val="superscript"/>
        </w:rPr>
        <w:footnoteReference w:id="6"/>
      </w:r>
      <w:r>
        <w:rPr>
          <w:rFonts w:ascii="Calibri" w:eastAsia="Calibri" w:hAnsi="Calibri" w:cs="Calibri"/>
          <w:b/>
          <w:sz w:val="24"/>
          <w:szCs w:val="24"/>
        </w:rPr>
        <w:t xml:space="preserve"> </w:t>
      </w:r>
      <w:r>
        <w:rPr>
          <w:rFonts w:ascii="Calibri" w:eastAsia="Calibri" w:hAnsi="Calibri" w:cs="Calibri"/>
          <w:b/>
          <w:sz w:val="24"/>
          <w:szCs w:val="24"/>
          <w:vertAlign w:val="superscript"/>
        </w:rPr>
        <w:footnoteReference w:id="7"/>
      </w:r>
      <w:r>
        <w:rPr>
          <w:rFonts w:ascii="Calibri" w:eastAsia="Calibri" w:hAnsi="Calibri" w:cs="Calibri"/>
          <w:b/>
          <w:sz w:val="24"/>
          <w:szCs w:val="24"/>
        </w:rPr>
        <w:t xml:space="preserve"> </w:t>
      </w:r>
      <w:r>
        <w:rPr>
          <w:rFonts w:ascii="Calibri" w:eastAsia="Calibri" w:hAnsi="Calibri" w:cs="Calibri"/>
          <w:sz w:val="24"/>
          <w:szCs w:val="24"/>
        </w:rPr>
        <w:t xml:space="preserve">However, discriminatory gaps in protections for migrant domestic workers as compared to workers covered by the law for private sector workers continue to exist. For instance, while the national private sector law mandates </w:t>
      </w:r>
      <w:proofErr w:type="gramStart"/>
      <w:r>
        <w:rPr>
          <w:rFonts w:ascii="Calibri" w:eastAsia="Calibri" w:hAnsi="Calibri" w:cs="Calibri"/>
          <w:sz w:val="24"/>
          <w:szCs w:val="24"/>
        </w:rPr>
        <w:t>eight hour</w:t>
      </w:r>
      <w:proofErr w:type="gramEnd"/>
      <w:r>
        <w:rPr>
          <w:rFonts w:ascii="Calibri" w:eastAsia="Calibri" w:hAnsi="Calibri" w:cs="Calibri"/>
          <w:sz w:val="24"/>
          <w:szCs w:val="24"/>
        </w:rPr>
        <w:t xml:space="preserve"> workday maximums, and six hour maximums during Ramadan; Law No. 68 permits domestic workers to work 12 hours per day, and does not provide reduced hours during Ramadan – a period in which domestic workers are at higher risk of exploitation amounting to forced labor. Additionally, while Law No. 68 of 2015 obliges employers to provide compensation to domestic workers for work-related injuries, domestic workers are not entitled to sick leave; whereas under the private sector law, workers are entitled to 15 days of full pay in cases of illness or injury.</w:t>
      </w:r>
      <w:r>
        <w:rPr>
          <w:rFonts w:ascii="Calibri" w:eastAsia="Calibri" w:hAnsi="Calibri" w:cs="Calibri"/>
          <w:sz w:val="24"/>
          <w:szCs w:val="24"/>
          <w:vertAlign w:val="superscript"/>
        </w:rPr>
        <w:footnoteReference w:id="8"/>
      </w:r>
      <w:r>
        <w:rPr>
          <w:rFonts w:ascii="Calibri" w:eastAsia="Calibri" w:hAnsi="Calibri" w:cs="Calibri"/>
          <w:sz w:val="24"/>
          <w:szCs w:val="24"/>
        </w:rPr>
        <w:t xml:space="preserve"> Fundamentally, while the private sector law affords workers the right to organize and form trade unions, there is no mention of freedom of association or the right to organize – the most effective protections against exploitation and forced labor – in the domestic workers act and ministerial decisions.</w:t>
      </w:r>
      <w:r>
        <w:rPr>
          <w:rFonts w:ascii="Calibri" w:eastAsia="Calibri" w:hAnsi="Calibri" w:cs="Calibri"/>
          <w:sz w:val="24"/>
          <w:szCs w:val="24"/>
          <w:vertAlign w:val="superscript"/>
        </w:rPr>
        <w:footnoteReference w:id="9"/>
      </w:r>
    </w:p>
    <w:p w14:paraId="00000012" w14:textId="77777777" w:rsidR="008F5E34" w:rsidRDefault="00000000">
      <w:pPr>
        <w:spacing w:after="160" w:line="259" w:lineRule="auto"/>
        <w:ind w:left="720"/>
        <w:jc w:val="both"/>
        <w:rPr>
          <w:rFonts w:ascii="Calibri" w:eastAsia="Calibri" w:hAnsi="Calibri" w:cs="Calibri"/>
          <w:b/>
          <w:sz w:val="24"/>
          <w:szCs w:val="24"/>
        </w:rPr>
      </w:pPr>
      <w:r>
        <w:rPr>
          <w:rFonts w:ascii="Calibri" w:eastAsia="Calibri" w:hAnsi="Calibri" w:cs="Calibri"/>
          <w:b/>
          <w:sz w:val="24"/>
          <w:szCs w:val="24"/>
        </w:rPr>
        <w:t>These differences amount to discrimination based on employment, in contravention of ILO fundamental principles.</w:t>
      </w:r>
      <w:r>
        <w:rPr>
          <w:rFonts w:ascii="Calibri" w:eastAsia="Calibri" w:hAnsi="Calibri" w:cs="Calibri"/>
          <w:b/>
          <w:sz w:val="24"/>
          <w:szCs w:val="24"/>
          <w:vertAlign w:val="superscript"/>
        </w:rPr>
        <w:footnoteReference w:id="10"/>
      </w:r>
      <w:r>
        <w:rPr>
          <w:rFonts w:ascii="Calibri" w:eastAsia="Calibri" w:hAnsi="Calibri" w:cs="Calibri"/>
          <w:b/>
          <w:sz w:val="24"/>
          <w:szCs w:val="24"/>
        </w:rPr>
        <w:t xml:space="preserve">  </w:t>
      </w:r>
      <w:r>
        <w:rPr>
          <w:rFonts w:ascii="Calibri" w:eastAsia="Calibri" w:hAnsi="Calibri" w:cs="Calibri"/>
          <w:sz w:val="24"/>
          <w:szCs w:val="24"/>
        </w:rPr>
        <w:t xml:space="preserve">This structural discrimination is also contrary to </w:t>
      </w:r>
      <w:r>
        <w:rPr>
          <w:rFonts w:ascii="Calibri" w:eastAsia="Calibri" w:hAnsi="Calibri" w:cs="Calibri"/>
          <w:color w:val="050505"/>
          <w:sz w:val="24"/>
          <w:szCs w:val="24"/>
        </w:rPr>
        <w:t xml:space="preserve">ILO Convention C189 (Domestic Workers’ Convention), which provides that domestic workers are entitled to the same basic rights as those available to other workers in their country. </w:t>
      </w:r>
      <w:r>
        <w:rPr>
          <w:rFonts w:ascii="Calibri" w:eastAsia="Calibri" w:hAnsi="Calibri" w:cs="Calibri"/>
          <w:color w:val="050505"/>
          <w:sz w:val="24"/>
          <w:szCs w:val="24"/>
        </w:rPr>
        <w:lastRenderedPageBreak/>
        <w:t>While Kuwait has not ratified C189, we note it reflects the global standard for protections of domestic workers recognized through ratification by a growing number of states.</w:t>
      </w:r>
      <w:r>
        <w:rPr>
          <w:rFonts w:ascii="Calibri" w:eastAsia="Calibri" w:hAnsi="Calibri" w:cs="Calibri"/>
          <w:color w:val="050505"/>
          <w:sz w:val="24"/>
          <w:szCs w:val="24"/>
          <w:vertAlign w:val="superscript"/>
        </w:rPr>
        <w:footnoteReference w:id="11"/>
      </w:r>
      <w:r>
        <w:rPr>
          <w:rFonts w:ascii="Calibri" w:eastAsia="Calibri" w:hAnsi="Calibri" w:cs="Calibri"/>
          <w:color w:val="050505"/>
          <w:sz w:val="24"/>
          <w:szCs w:val="24"/>
        </w:rPr>
        <w:t xml:space="preserve"> In allowing these gaps, amounting to structural discrimination against migrant domestic workers, to persist, the Government of Kuwait has not adequately ensured the effective implementation of laws protecting migrant domestic workers. </w:t>
      </w:r>
    </w:p>
    <w:p w14:paraId="00000013" w14:textId="77777777" w:rsidR="008F5E34" w:rsidRDefault="00000000">
      <w:pPr>
        <w:numPr>
          <w:ilvl w:val="0"/>
          <w:numId w:val="2"/>
        </w:numPr>
        <w:spacing w:after="160" w:line="259" w:lineRule="auto"/>
        <w:jc w:val="both"/>
        <w:rPr>
          <w:rFonts w:ascii="Calibri" w:eastAsia="Calibri" w:hAnsi="Calibri" w:cs="Calibri"/>
          <w:sz w:val="24"/>
          <w:szCs w:val="24"/>
        </w:rPr>
      </w:pPr>
      <w:r>
        <w:rPr>
          <w:rFonts w:ascii="Calibri" w:eastAsia="Calibri" w:hAnsi="Calibri" w:cs="Calibri"/>
          <w:b/>
          <w:sz w:val="24"/>
          <w:szCs w:val="24"/>
          <w:u w:val="single"/>
        </w:rPr>
        <w:t>Migrant domestic workers face structural barriers to reporting violations</w:t>
      </w:r>
      <w:r>
        <w:rPr>
          <w:rFonts w:ascii="Calibri" w:eastAsia="Calibri" w:hAnsi="Calibri" w:cs="Calibri"/>
          <w:sz w:val="24"/>
          <w:szCs w:val="24"/>
          <w:u w:val="single"/>
        </w:rPr>
        <w:t>.</w:t>
      </w:r>
      <w:r>
        <w:rPr>
          <w:rFonts w:ascii="Calibri" w:eastAsia="Calibri" w:hAnsi="Calibri" w:cs="Calibri"/>
          <w:sz w:val="24"/>
          <w:szCs w:val="24"/>
        </w:rPr>
        <w:t xml:space="preserve"> To file a complaint under the existing complaints mechanism, workers have </w:t>
      </w:r>
      <w:r>
        <w:rPr>
          <w:rFonts w:ascii="Calibri" w:eastAsia="Calibri" w:hAnsi="Calibri" w:cs="Calibri"/>
          <w:color w:val="050505"/>
          <w:sz w:val="24"/>
          <w:szCs w:val="24"/>
        </w:rPr>
        <w:t>to visit multiple government offices</w:t>
      </w:r>
      <w:r>
        <w:rPr>
          <w:rFonts w:ascii="Calibri" w:eastAsia="Calibri" w:hAnsi="Calibri" w:cs="Calibri"/>
          <w:sz w:val="24"/>
          <w:szCs w:val="24"/>
        </w:rPr>
        <w:t xml:space="preserve"> to </w:t>
      </w:r>
      <w:r>
        <w:rPr>
          <w:rFonts w:ascii="Calibri" w:eastAsia="Calibri" w:hAnsi="Calibri" w:cs="Calibri"/>
          <w:color w:val="050505"/>
          <w:sz w:val="24"/>
          <w:szCs w:val="24"/>
        </w:rPr>
        <w:t xml:space="preserve">secure the necessary documents. However, </w:t>
      </w:r>
      <w:r>
        <w:rPr>
          <w:rFonts w:ascii="Calibri" w:eastAsia="Calibri" w:hAnsi="Calibri" w:cs="Calibri"/>
          <w:sz w:val="24"/>
          <w:szCs w:val="24"/>
          <w:highlight w:val="white"/>
        </w:rPr>
        <w:t>domestic workers face severe restrictions to their freedom of movement making it nearly impossible in practice for them to secure the documents necessary to file complaints.</w:t>
      </w:r>
      <w:r>
        <w:rPr>
          <w:rFonts w:ascii="Calibri" w:eastAsia="Calibri" w:hAnsi="Calibri" w:cs="Calibri"/>
          <w:sz w:val="24"/>
          <w:szCs w:val="24"/>
          <w:highlight w:val="white"/>
          <w:vertAlign w:val="superscript"/>
        </w:rPr>
        <w:footnoteReference w:id="12"/>
      </w:r>
      <w:r>
        <w:rPr>
          <w:rFonts w:ascii="Calibri" w:eastAsia="Calibri" w:hAnsi="Calibri" w:cs="Calibri"/>
          <w:sz w:val="24"/>
          <w:szCs w:val="24"/>
          <w:highlight w:val="white"/>
        </w:rPr>
        <w:t xml:space="preserve"> Migrant domestic workers also fear retaliation from their employers if they are found to report violations. One study found that in practice, 55% of domestic workers reported not being allowed to leave the house on their day off, if they are even granted a day off at all</w:t>
      </w:r>
      <w:r>
        <w:rPr>
          <w:rFonts w:ascii="Calibri" w:eastAsia="Calibri" w:hAnsi="Calibri" w:cs="Calibri"/>
          <w:sz w:val="21"/>
          <w:szCs w:val="21"/>
          <w:highlight w:val="white"/>
        </w:rPr>
        <w:t>.</w:t>
      </w:r>
      <w:r>
        <w:rPr>
          <w:rFonts w:ascii="Calibri" w:eastAsia="Calibri" w:hAnsi="Calibri" w:cs="Calibri"/>
          <w:sz w:val="21"/>
          <w:szCs w:val="21"/>
          <w:highlight w:val="white"/>
          <w:vertAlign w:val="superscript"/>
        </w:rPr>
        <w:footnoteReference w:id="13"/>
      </w:r>
      <w:r>
        <w:rPr>
          <w:rFonts w:ascii="Calibri" w:eastAsia="Calibri" w:hAnsi="Calibri" w:cs="Calibri"/>
          <w:sz w:val="21"/>
          <w:szCs w:val="21"/>
          <w:highlight w:val="white"/>
        </w:rPr>
        <w:t xml:space="preserve"> </w:t>
      </w:r>
      <w:r>
        <w:rPr>
          <w:rFonts w:ascii="Calibri" w:eastAsia="Calibri" w:hAnsi="Calibri" w:cs="Calibri"/>
          <w:color w:val="050505"/>
          <w:sz w:val="24"/>
          <w:szCs w:val="24"/>
        </w:rPr>
        <w:t>Without a day off with the freedom to leave the home unsupervised, domestic workers cannot adequately and safely access the means to file complaints or to seek outside assistance from domestic worker organizations or non-governmental worker support organizations. This serves as a direct barrier to access to justice.</w:t>
      </w:r>
    </w:p>
    <w:p w14:paraId="00000014" w14:textId="77777777" w:rsidR="008F5E34" w:rsidRDefault="00000000">
      <w:pPr>
        <w:spacing w:after="160" w:line="259" w:lineRule="auto"/>
        <w:ind w:left="720"/>
        <w:jc w:val="both"/>
        <w:rPr>
          <w:rFonts w:ascii="Calibri" w:eastAsia="Calibri" w:hAnsi="Calibri" w:cs="Calibri"/>
          <w:color w:val="050505"/>
          <w:sz w:val="24"/>
          <w:szCs w:val="24"/>
        </w:rPr>
      </w:pPr>
      <w:r>
        <w:rPr>
          <w:rFonts w:ascii="Calibri" w:eastAsia="Calibri" w:hAnsi="Calibri" w:cs="Calibri"/>
          <w:color w:val="050505"/>
          <w:sz w:val="24"/>
          <w:szCs w:val="24"/>
        </w:rPr>
        <w:t>In 2023, the Kuwaiti Public Authority for Manpower launched an online complaint mechanism through which workers can report violations through the internet, without the need to go to an office in person. However, even with this online option, workers still report significant difficulty in reporting their abuses using such online platforms due to barriers including language, illiteracy, and lack of awareness of the platform.</w:t>
      </w:r>
      <w:r>
        <w:rPr>
          <w:rFonts w:ascii="Calibri" w:eastAsia="Calibri" w:hAnsi="Calibri" w:cs="Calibri"/>
          <w:sz w:val="24"/>
          <w:szCs w:val="24"/>
          <w:highlight w:val="white"/>
          <w:vertAlign w:val="superscript"/>
        </w:rPr>
        <w:footnoteReference w:id="14"/>
      </w:r>
      <w:r>
        <w:rPr>
          <w:rFonts w:ascii="Calibri" w:eastAsia="Calibri" w:hAnsi="Calibri" w:cs="Calibri"/>
          <w:sz w:val="24"/>
          <w:szCs w:val="24"/>
          <w:highlight w:val="white"/>
        </w:rPr>
        <w:t xml:space="preserve"> </w:t>
      </w:r>
      <w:r>
        <w:rPr>
          <w:rFonts w:ascii="Calibri" w:eastAsia="Calibri" w:hAnsi="Calibri" w:cs="Calibri"/>
          <w:sz w:val="24"/>
          <w:szCs w:val="24"/>
          <w:highlight w:val="white"/>
          <w:vertAlign w:val="superscript"/>
        </w:rPr>
        <w:footnoteReference w:id="15"/>
      </w:r>
      <w:r>
        <w:rPr>
          <w:rFonts w:ascii="Calibri" w:eastAsia="Calibri" w:hAnsi="Calibri" w:cs="Calibri"/>
          <w:color w:val="050505"/>
          <w:sz w:val="24"/>
          <w:szCs w:val="24"/>
        </w:rPr>
        <w:t xml:space="preserve"> In practice, the webpage is only accessible in Arabic, and the online platform requires information that domestic workers often do not have access to – like the full name and civil identification number of their employer.</w:t>
      </w:r>
      <w:r>
        <w:rPr>
          <w:rFonts w:ascii="Calibri" w:eastAsia="Calibri" w:hAnsi="Calibri" w:cs="Calibri"/>
          <w:color w:val="050505"/>
          <w:sz w:val="24"/>
          <w:szCs w:val="24"/>
          <w:vertAlign w:val="superscript"/>
        </w:rPr>
        <w:footnoteReference w:id="16"/>
      </w:r>
    </w:p>
    <w:p w14:paraId="00000015" w14:textId="77777777" w:rsidR="008F5E34" w:rsidRDefault="00000000">
      <w:pPr>
        <w:spacing w:after="160" w:line="259" w:lineRule="auto"/>
        <w:ind w:left="720"/>
        <w:jc w:val="both"/>
        <w:rPr>
          <w:rFonts w:ascii="Calibri" w:eastAsia="Calibri" w:hAnsi="Calibri" w:cs="Calibri"/>
          <w:sz w:val="21"/>
          <w:szCs w:val="21"/>
          <w:highlight w:val="white"/>
        </w:rPr>
      </w:pPr>
      <w:r>
        <w:rPr>
          <w:rFonts w:ascii="Calibri" w:eastAsia="Calibri" w:hAnsi="Calibri" w:cs="Calibri"/>
          <w:sz w:val="24"/>
          <w:szCs w:val="24"/>
        </w:rPr>
        <w:t xml:space="preserve">Furthermore, many </w:t>
      </w:r>
      <w:r>
        <w:rPr>
          <w:rFonts w:ascii="Calibri" w:eastAsia="Calibri" w:hAnsi="Calibri" w:cs="Calibri"/>
          <w:sz w:val="24"/>
          <w:szCs w:val="24"/>
          <w:highlight w:val="white"/>
        </w:rPr>
        <w:t>domestic workers express concerns about the repercussions of seeking help or reporting violations to the police because they fear the risk of being detained and deported.</w:t>
      </w:r>
      <w:r>
        <w:rPr>
          <w:rFonts w:ascii="Calibri" w:eastAsia="Calibri" w:hAnsi="Calibri" w:cs="Calibri"/>
          <w:sz w:val="24"/>
          <w:szCs w:val="24"/>
          <w:highlight w:val="white"/>
          <w:vertAlign w:val="superscript"/>
        </w:rPr>
        <w:footnoteReference w:id="17"/>
      </w:r>
      <w:r>
        <w:rPr>
          <w:rFonts w:ascii="Calibri" w:eastAsia="Calibri" w:hAnsi="Calibri" w:cs="Calibri"/>
          <w:sz w:val="24"/>
          <w:szCs w:val="24"/>
          <w:highlight w:val="white"/>
        </w:rPr>
        <w:t xml:space="preserve"> This is due in part to the “absconding” clause in Domestic Workers Law (No. 68 of 2015) – a clause that reinforces the </w:t>
      </w:r>
      <w:r>
        <w:rPr>
          <w:rFonts w:ascii="Calibri" w:eastAsia="Calibri" w:hAnsi="Calibri" w:cs="Calibri"/>
          <w:i/>
          <w:sz w:val="24"/>
          <w:szCs w:val="24"/>
          <w:highlight w:val="white"/>
        </w:rPr>
        <w:t>kafala</w:t>
      </w:r>
      <w:r>
        <w:rPr>
          <w:rFonts w:ascii="Calibri" w:eastAsia="Calibri" w:hAnsi="Calibri" w:cs="Calibri"/>
          <w:sz w:val="24"/>
          <w:szCs w:val="24"/>
          <w:highlight w:val="white"/>
        </w:rPr>
        <w:t xml:space="preserve"> sponsorship system where workers’ visas are tied directly to their employers. Under this clause – through </w:t>
      </w:r>
      <w:r>
        <w:rPr>
          <w:rFonts w:ascii="Calibri" w:eastAsia="Calibri" w:hAnsi="Calibri" w:cs="Calibri"/>
          <w:sz w:val="24"/>
          <w:szCs w:val="24"/>
          <w:highlight w:val="white"/>
        </w:rPr>
        <w:lastRenderedPageBreak/>
        <w:t>which 265 domestic workers were charged in 2022 – domestic workers can be subject to arrest, detention, deportation, and bans to re-enter the country if their employer reports their departure and they do not notify the government that they have left their employer.</w:t>
      </w:r>
      <w:r>
        <w:rPr>
          <w:rFonts w:ascii="Calibri" w:eastAsia="Calibri" w:hAnsi="Calibri" w:cs="Calibri"/>
          <w:vertAlign w:val="superscript"/>
        </w:rPr>
        <w:footnoteReference w:id="18"/>
      </w:r>
      <w:r>
        <w:rPr>
          <w:rFonts w:ascii="Calibri" w:eastAsia="Calibri" w:hAnsi="Calibri" w:cs="Calibri"/>
          <w:sz w:val="24"/>
          <w:szCs w:val="24"/>
          <w:highlight w:val="white"/>
        </w:rPr>
        <w:t xml:space="preserve"> This type of clause represents a security</w:t>
      </w:r>
      <w:r>
        <w:rPr>
          <w:rFonts w:ascii="Calibri" w:eastAsia="Calibri" w:hAnsi="Calibri" w:cs="Calibri"/>
          <w:sz w:val="24"/>
          <w:szCs w:val="24"/>
        </w:rPr>
        <w:t xml:space="preserve"> approach, rather than a rights-based approach, which has led to penalties of deportation in cases of labor dispute between domestic workers and their employers. It further disincentivizes workers from coming forward with complaints. </w:t>
      </w:r>
    </w:p>
    <w:p w14:paraId="00000016" w14:textId="77777777" w:rsidR="008F5E34" w:rsidRDefault="00000000">
      <w:pPr>
        <w:numPr>
          <w:ilvl w:val="0"/>
          <w:numId w:val="2"/>
        </w:numPr>
        <w:spacing w:after="160" w:line="259" w:lineRule="auto"/>
        <w:jc w:val="both"/>
        <w:rPr>
          <w:rFonts w:ascii="Calibri" w:eastAsia="Calibri" w:hAnsi="Calibri" w:cs="Calibri"/>
        </w:rPr>
      </w:pPr>
      <w:r>
        <w:rPr>
          <w:rFonts w:ascii="Calibri" w:eastAsia="Calibri" w:hAnsi="Calibri" w:cs="Calibri"/>
          <w:b/>
          <w:sz w:val="24"/>
          <w:szCs w:val="24"/>
          <w:u w:val="single"/>
        </w:rPr>
        <w:t>Government agencies of the State of Kuwait do not adequately and effectively cooperate with the origin country embassies of migrant domestic workers.</w:t>
      </w:r>
      <w:r>
        <w:rPr>
          <w:rFonts w:ascii="Calibri" w:eastAsia="Calibri" w:hAnsi="Calibri" w:cs="Calibri"/>
          <w:b/>
          <w:sz w:val="24"/>
          <w:szCs w:val="24"/>
        </w:rPr>
        <w:t xml:space="preserve"> </w:t>
      </w:r>
      <w:r>
        <w:rPr>
          <w:rFonts w:ascii="Calibri" w:eastAsia="Calibri" w:hAnsi="Calibri" w:cs="Calibri"/>
          <w:sz w:val="24"/>
          <w:szCs w:val="24"/>
        </w:rPr>
        <w:t>Following the murder of a Filipina domestic in Kuwait in January 2023,</w:t>
      </w:r>
      <w:r>
        <w:rPr>
          <w:rFonts w:ascii="Calibri" w:eastAsia="Calibri" w:hAnsi="Calibri" w:cs="Calibri"/>
          <w:sz w:val="24"/>
          <w:szCs w:val="24"/>
          <w:vertAlign w:val="superscript"/>
        </w:rPr>
        <w:footnoteReference w:id="19"/>
      </w:r>
      <w:r>
        <w:rPr>
          <w:rFonts w:ascii="Calibri" w:eastAsia="Calibri" w:hAnsi="Calibri" w:cs="Calibri"/>
          <w:sz w:val="24"/>
          <w:szCs w:val="24"/>
        </w:rPr>
        <w:t xml:space="preserve"> </w:t>
      </w:r>
      <w:r>
        <w:rPr>
          <w:rFonts w:ascii="Calibri" w:eastAsia="Calibri" w:hAnsi="Calibri" w:cs="Calibri"/>
          <w:sz w:val="24"/>
          <w:szCs w:val="24"/>
          <w:vertAlign w:val="superscript"/>
        </w:rPr>
        <w:footnoteReference w:id="20"/>
      </w:r>
      <w:r>
        <w:rPr>
          <w:rFonts w:ascii="Calibri" w:eastAsia="Calibri" w:hAnsi="Calibri" w:cs="Calibri"/>
          <w:sz w:val="24"/>
          <w:szCs w:val="24"/>
        </w:rPr>
        <w:t xml:space="preserve"> </w:t>
      </w:r>
      <w:r>
        <w:rPr>
          <w:rFonts w:ascii="Calibri" w:eastAsia="Calibri" w:hAnsi="Calibri" w:cs="Calibri"/>
          <w:sz w:val="24"/>
          <w:szCs w:val="24"/>
          <w:vertAlign w:val="superscript"/>
        </w:rPr>
        <w:footnoteReference w:id="21"/>
      </w:r>
      <w:r>
        <w:rPr>
          <w:rFonts w:ascii="Calibri" w:eastAsia="Calibri" w:hAnsi="Calibri" w:cs="Calibri"/>
          <w:sz w:val="24"/>
          <w:szCs w:val="24"/>
        </w:rPr>
        <w:t xml:space="preserve"> the government of the Philippines banned Kuwait-based recruiters from recruiting in the Philippines. Despite this, workers have still been able to travel to Kuwait through irregular channels and transit through third countries, which makes them more vulnerable to exploitation and trafficking.</w:t>
      </w:r>
      <w:r>
        <w:rPr>
          <w:rFonts w:ascii="Calibri" w:eastAsia="Calibri" w:hAnsi="Calibri" w:cs="Calibri"/>
          <w:vertAlign w:val="superscript"/>
        </w:rPr>
        <w:footnoteReference w:id="22"/>
      </w:r>
    </w:p>
    <w:p w14:paraId="00000017" w14:textId="77777777" w:rsidR="008F5E34" w:rsidRDefault="00000000">
      <w:pPr>
        <w:spacing w:after="160" w:line="259" w:lineRule="auto"/>
        <w:ind w:left="720"/>
        <w:jc w:val="both"/>
        <w:rPr>
          <w:rFonts w:ascii="Calibri" w:eastAsia="Calibri" w:hAnsi="Calibri" w:cs="Calibri"/>
          <w:sz w:val="24"/>
          <w:szCs w:val="24"/>
        </w:rPr>
      </w:pPr>
      <w:r>
        <w:rPr>
          <w:rFonts w:ascii="Calibri" w:eastAsia="Calibri" w:hAnsi="Calibri" w:cs="Calibri"/>
          <w:sz w:val="24"/>
          <w:szCs w:val="24"/>
        </w:rPr>
        <w:t xml:space="preserve">Furthermore, when domestic workers flee abusive employers, the government is not </w:t>
      </w:r>
      <w:proofErr w:type="gramStart"/>
      <w:r>
        <w:rPr>
          <w:rFonts w:ascii="Calibri" w:eastAsia="Calibri" w:hAnsi="Calibri" w:cs="Calibri"/>
          <w:sz w:val="24"/>
          <w:szCs w:val="24"/>
        </w:rPr>
        <w:t>adequately  housing</w:t>
      </w:r>
      <w:proofErr w:type="gramEnd"/>
      <w:r>
        <w:rPr>
          <w:rFonts w:ascii="Calibri" w:eastAsia="Calibri" w:hAnsi="Calibri" w:cs="Calibri"/>
          <w:sz w:val="24"/>
          <w:szCs w:val="24"/>
        </w:rPr>
        <w:t xml:space="preserve"> them in shelters. While the Public Authority for Manpower has a women’s shelter, it has a maximum capacity of 500 and entrance is by referral only.</w:t>
      </w:r>
      <w:r>
        <w:rPr>
          <w:rFonts w:ascii="Calibri" w:eastAsia="Calibri" w:hAnsi="Calibri" w:cs="Calibri"/>
          <w:sz w:val="24"/>
          <w:szCs w:val="24"/>
          <w:vertAlign w:val="superscript"/>
        </w:rPr>
        <w:footnoteReference w:id="23"/>
      </w:r>
      <w:r>
        <w:rPr>
          <w:rFonts w:ascii="Calibri" w:eastAsia="Calibri" w:hAnsi="Calibri" w:cs="Calibri"/>
          <w:sz w:val="24"/>
          <w:szCs w:val="24"/>
        </w:rPr>
        <w:t xml:space="preserve"> Origin country embassies also offer shelter beds, but numbers are quite </w:t>
      </w:r>
      <w:proofErr w:type="gramStart"/>
      <w:r>
        <w:rPr>
          <w:rFonts w:ascii="Calibri" w:eastAsia="Calibri" w:hAnsi="Calibri" w:cs="Calibri"/>
          <w:sz w:val="24"/>
          <w:szCs w:val="24"/>
        </w:rPr>
        <w:t>limited;  the</w:t>
      </w:r>
      <w:proofErr w:type="gramEnd"/>
      <w:r>
        <w:rPr>
          <w:rFonts w:ascii="Calibri" w:eastAsia="Calibri" w:hAnsi="Calibri" w:cs="Calibri"/>
          <w:sz w:val="24"/>
          <w:szCs w:val="24"/>
        </w:rPr>
        <w:t xml:space="preserve"> Government of Kuwait has also asked embassies of countries of origin to stop sheltering domestic workers, even while Kuwait state shelters are over capacity. This means that domestic workers – particularly undocumented domestic workers – have no place to seek refuge.</w:t>
      </w:r>
      <w:r>
        <w:rPr>
          <w:rFonts w:ascii="Calibri" w:eastAsia="Calibri" w:hAnsi="Calibri" w:cs="Calibri"/>
          <w:sz w:val="24"/>
          <w:szCs w:val="24"/>
          <w:vertAlign w:val="superscript"/>
        </w:rPr>
        <w:footnoteReference w:id="24"/>
      </w:r>
      <w:r>
        <w:rPr>
          <w:rFonts w:ascii="Calibri" w:eastAsia="Calibri" w:hAnsi="Calibri" w:cs="Calibri"/>
          <w:sz w:val="24"/>
          <w:szCs w:val="24"/>
        </w:rPr>
        <w:t xml:space="preserve"> </w:t>
      </w:r>
    </w:p>
    <w:p w14:paraId="00000018" w14:textId="77777777" w:rsidR="008F5E34" w:rsidRDefault="00000000">
      <w:pPr>
        <w:spacing w:after="160" w:line="259" w:lineRule="auto"/>
        <w:ind w:left="720"/>
        <w:jc w:val="both"/>
        <w:rPr>
          <w:rFonts w:ascii="Calibri" w:eastAsia="Calibri" w:hAnsi="Calibri" w:cs="Calibri"/>
          <w:color w:val="050505"/>
          <w:sz w:val="24"/>
          <w:szCs w:val="24"/>
        </w:rPr>
      </w:pPr>
      <w:r>
        <w:rPr>
          <w:rFonts w:ascii="Calibri" w:eastAsia="Calibri" w:hAnsi="Calibri" w:cs="Calibri"/>
          <w:sz w:val="24"/>
          <w:szCs w:val="24"/>
        </w:rPr>
        <w:t xml:space="preserve">These cases show a lack of coordination, or ineffective coordination, across the Kuwaiti government, and speaks contrary to the Kuwaiti government’s claim that it is collaborating with embassies representing the countries of origin of domestic workers. </w:t>
      </w:r>
    </w:p>
    <w:p w14:paraId="00000019" w14:textId="77777777" w:rsidR="008F5E34" w:rsidRDefault="00000000">
      <w:pPr>
        <w:numPr>
          <w:ilvl w:val="0"/>
          <w:numId w:val="2"/>
        </w:numPr>
        <w:spacing w:after="160" w:line="259" w:lineRule="auto"/>
        <w:jc w:val="both"/>
        <w:rPr>
          <w:rFonts w:ascii="Calibri" w:eastAsia="Calibri" w:hAnsi="Calibri" w:cs="Calibri"/>
          <w:sz w:val="24"/>
          <w:szCs w:val="24"/>
        </w:rPr>
      </w:pPr>
      <w:r>
        <w:rPr>
          <w:rFonts w:ascii="Calibri" w:eastAsia="Calibri" w:hAnsi="Calibri" w:cs="Calibri"/>
          <w:b/>
          <w:sz w:val="24"/>
          <w:szCs w:val="24"/>
          <w:u w:val="single"/>
        </w:rPr>
        <w:lastRenderedPageBreak/>
        <w:t>The government has failed to address structural barriers to labor inspections for migrant domestic workers.</w:t>
      </w:r>
      <w:r>
        <w:rPr>
          <w:rFonts w:ascii="Calibri" w:eastAsia="Calibri" w:hAnsi="Calibri" w:cs="Calibri"/>
          <w:b/>
          <w:sz w:val="24"/>
          <w:szCs w:val="24"/>
        </w:rPr>
        <w:t xml:space="preserve"> </w:t>
      </w:r>
      <w:r>
        <w:rPr>
          <w:rFonts w:ascii="Calibri" w:eastAsia="Calibri" w:hAnsi="Calibri" w:cs="Calibri"/>
          <w:sz w:val="24"/>
          <w:szCs w:val="24"/>
        </w:rPr>
        <w:t xml:space="preserve"> Kuwait has a low number of labor inspectors working to cover inspections. Under the law, the Public Authority on Manpower (the body authorized to carry out labor inspections) is not permitted to inspect working conditions inside the private homes of employers where migrant domestic workers are employed. The Public Authority for Manpower is only permitted to inspect recruitment offices and companies, a severe limitation on the effectiveness of labor inspections for migrant domestic workers. This limitation significantly reduces the ability of the Government of Kuwait to effectively enforce laws protecting migrant domestic workers and limits the possibility of facing a potential labor inspection to deter abuse by employers. </w:t>
      </w:r>
      <w:r>
        <w:rPr>
          <w:rFonts w:ascii="Calibri" w:eastAsia="Calibri" w:hAnsi="Calibri" w:cs="Calibri"/>
          <w:color w:val="050505"/>
          <w:sz w:val="24"/>
          <w:szCs w:val="24"/>
          <w:vertAlign w:val="superscript"/>
        </w:rPr>
        <w:footnoteReference w:id="25"/>
      </w:r>
      <w:r>
        <w:rPr>
          <w:rFonts w:ascii="Calibri" w:eastAsia="Calibri" w:hAnsi="Calibri" w:cs="Calibri"/>
          <w:color w:val="050505"/>
          <w:sz w:val="24"/>
          <w:szCs w:val="24"/>
        </w:rPr>
        <w:t xml:space="preserve"> </w:t>
      </w:r>
    </w:p>
    <w:p w14:paraId="0000001A" w14:textId="77777777" w:rsidR="008F5E34" w:rsidRDefault="00000000">
      <w:pPr>
        <w:spacing w:after="160" w:line="259" w:lineRule="auto"/>
        <w:jc w:val="both"/>
        <w:rPr>
          <w:rFonts w:ascii="Calibri" w:eastAsia="Calibri" w:hAnsi="Calibri" w:cs="Calibri"/>
          <w:b/>
          <w:sz w:val="28"/>
          <w:szCs w:val="28"/>
          <w:u w:val="single"/>
        </w:rPr>
      </w:pPr>
      <w:r>
        <w:rPr>
          <w:rFonts w:ascii="Calibri" w:eastAsia="Calibri" w:hAnsi="Calibri" w:cs="Calibri"/>
          <w:b/>
          <w:sz w:val="28"/>
          <w:szCs w:val="28"/>
          <w:u w:val="single"/>
        </w:rPr>
        <w:t xml:space="preserve">Recommendations </w:t>
      </w:r>
    </w:p>
    <w:p w14:paraId="0000001B" w14:textId="77777777" w:rsidR="008F5E34" w:rsidRDefault="00000000">
      <w:pPr>
        <w:spacing w:after="160" w:line="259" w:lineRule="auto"/>
        <w:jc w:val="both"/>
        <w:rPr>
          <w:rFonts w:ascii="Calibri" w:eastAsia="Calibri" w:hAnsi="Calibri" w:cs="Calibri"/>
          <w:b/>
          <w:sz w:val="28"/>
          <w:szCs w:val="28"/>
          <w:u w:val="single"/>
        </w:rPr>
      </w:pPr>
      <w:r>
        <w:rPr>
          <w:rFonts w:ascii="Calibri" w:eastAsia="Calibri" w:hAnsi="Calibri" w:cs="Calibri"/>
          <w:color w:val="050505"/>
          <w:sz w:val="24"/>
          <w:szCs w:val="24"/>
        </w:rPr>
        <w:t xml:space="preserve">Based on the evidence provided in this submission, the Coalition provides the following recommendations to the Government of Kuwait: </w:t>
      </w:r>
    </w:p>
    <w:p w14:paraId="0000001C" w14:textId="77777777" w:rsidR="008F5E34" w:rsidRDefault="00000000" w:rsidP="00337B3A">
      <w:pPr>
        <w:numPr>
          <w:ilvl w:val="0"/>
          <w:numId w:val="1"/>
        </w:numPr>
        <w:spacing w:line="259" w:lineRule="auto"/>
        <w:rPr>
          <w:rFonts w:ascii="Calibri" w:eastAsia="Calibri" w:hAnsi="Calibri" w:cs="Calibri"/>
          <w:color w:val="050505"/>
          <w:sz w:val="24"/>
          <w:szCs w:val="24"/>
        </w:rPr>
      </w:pPr>
      <w:r>
        <w:rPr>
          <w:rFonts w:ascii="Calibri" w:eastAsia="Calibri" w:hAnsi="Calibri" w:cs="Calibri"/>
          <w:color w:val="050505"/>
          <w:sz w:val="24"/>
          <w:szCs w:val="24"/>
        </w:rPr>
        <w:t xml:space="preserve">Ratify ILO Convention 189 (Domestic Workers’ Convention). </w:t>
      </w:r>
      <w:r>
        <w:rPr>
          <w:rFonts w:ascii="Calibri" w:eastAsia="Calibri" w:hAnsi="Calibri" w:cs="Calibri"/>
          <w:color w:val="050505"/>
          <w:sz w:val="24"/>
          <w:szCs w:val="24"/>
        </w:rPr>
        <w:br/>
      </w:r>
    </w:p>
    <w:p w14:paraId="0000001D" w14:textId="23514F50" w:rsidR="008F5E34" w:rsidRDefault="00000000" w:rsidP="00337B3A">
      <w:pPr>
        <w:numPr>
          <w:ilvl w:val="0"/>
          <w:numId w:val="1"/>
        </w:numPr>
        <w:spacing w:line="259" w:lineRule="auto"/>
        <w:rPr>
          <w:rFonts w:ascii="Calibri" w:eastAsia="Calibri" w:hAnsi="Calibri" w:cs="Calibri"/>
          <w:color w:val="050505"/>
          <w:sz w:val="24"/>
          <w:szCs w:val="24"/>
        </w:rPr>
      </w:pPr>
      <w:r>
        <w:rPr>
          <w:rFonts w:ascii="Calibri" w:eastAsia="Calibri" w:hAnsi="Calibri" w:cs="Calibri"/>
          <w:color w:val="050505"/>
          <w:sz w:val="24"/>
          <w:szCs w:val="24"/>
        </w:rPr>
        <w:t xml:space="preserve">Remove structural barriers to providing protections to migrant domestic workers by extending them all protections provided to workers in the </w:t>
      </w:r>
      <w:r w:rsidR="000677B1">
        <w:rPr>
          <w:rFonts w:ascii="Calibri" w:eastAsia="Calibri" w:hAnsi="Calibri" w:cs="Calibri"/>
          <w:color w:val="050505"/>
          <w:sz w:val="24"/>
          <w:szCs w:val="24"/>
        </w:rPr>
        <w:t>Private</w:t>
      </w:r>
      <w:r>
        <w:rPr>
          <w:rFonts w:ascii="Calibri" w:eastAsia="Calibri" w:hAnsi="Calibri" w:cs="Calibri"/>
          <w:color w:val="050505"/>
          <w:sz w:val="24"/>
          <w:szCs w:val="24"/>
        </w:rPr>
        <w:t xml:space="preserve"> Sector Labor Law, including removing barriers to labor inspections in private homes and the right to freedom of association and collective bargaining. </w:t>
      </w:r>
      <w:r>
        <w:rPr>
          <w:rFonts w:ascii="Calibri" w:eastAsia="Calibri" w:hAnsi="Calibri" w:cs="Calibri"/>
          <w:color w:val="050505"/>
          <w:sz w:val="24"/>
          <w:szCs w:val="24"/>
        </w:rPr>
        <w:br/>
      </w:r>
    </w:p>
    <w:p w14:paraId="0000001E" w14:textId="77777777" w:rsidR="008F5E34" w:rsidRDefault="00000000" w:rsidP="00337B3A">
      <w:pPr>
        <w:numPr>
          <w:ilvl w:val="0"/>
          <w:numId w:val="1"/>
        </w:numPr>
        <w:spacing w:line="259" w:lineRule="auto"/>
        <w:rPr>
          <w:rFonts w:ascii="Calibri" w:eastAsia="Calibri" w:hAnsi="Calibri" w:cs="Calibri"/>
          <w:color w:val="050505"/>
          <w:sz w:val="24"/>
          <w:szCs w:val="24"/>
        </w:rPr>
      </w:pPr>
      <w:r>
        <w:rPr>
          <w:rFonts w:ascii="Calibri" w:eastAsia="Calibri" w:hAnsi="Calibri" w:cs="Calibri"/>
          <w:color w:val="050505"/>
          <w:sz w:val="24"/>
          <w:szCs w:val="24"/>
        </w:rPr>
        <w:t xml:space="preserve">Simplify the procedures for domestic workers to submit complaints, including by ensuring that the Public Authority for Manpower’s online complaint mechanism is available in additional languages spoken by domestic workers. </w:t>
      </w:r>
      <w:r>
        <w:rPr>
          <w:rFonts w:ascii="Calibri" w:eastAsia="Calibri" w:hAnsi="Calibri" w:cs="Calibri"/>
          <w:color w:val="050505"/>
          <w:sz w:val="24"/>
          <w:szCs w:val="24"/>
        </w:rPr>
        <w:br/>
      </w:r>
    </w:p>
    <w:p w14:paraId="0000001F" w14:textId="77777777" w:rsidR="008F5E34" w:rsidRDefault="00000000" w:rsidP="00337B3A">
      <w:pPr>
        <w:numPr>
          <w:ilvl w:val="0"/>
          <w:numId w:val="1"/>
        </w:numPr>
        <w:spacing w:after="160" w:line="259" w:lineRule="auto"/>
        <w:rPr>
          <w:rFonts w:ascii="Calibri" w:eastAsia="Calibri" w:hAnsi="Calibri" w:cs="Calibri"/>
          <w:color w:val="050505"/>
          <w:sz w:val="24"/>
          <w:szCs w:val="24"/>
        </w:rPr>
      </w:pPr>
      <w:r>
        <w:rPr>
          <w:rFonts w:ascii="Calibri" w:eastAsia="Calibri" w:hAnsi="Calibri" w:cs="Calibri"/>
          <w:color w:val="050505"/>
          <w:sz w:val="24"/>
          <w:szCs w:val="24"/>
        </w:rPr>
        <w:t xml:space="preserve">Enhance intergovernmental cooperation and coordination with migrant worker country of origin embassies.  </w:t>
      </w:r>
    </w:p>
    <w:sectPr w:rsidR="008F5E34">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667AB" w14:textId="77777777" w:rsidR="00430095" w:rsidRDefault="00430095">
      <w:pPr>
        <w:spacing w:line="240" w:lineRule="auto"/>
      </w:pPr>
      <w:r>
        <w:separator/>
      </w:r>
    </w:p>
  </w:endnote>
  <w:endnote w:type="continuationSeparator" w:id="0">
    <w:p w14:paraId="77AC94A0" w14:textId="77777777" w:rsidR="00430095" w:rsidRDefault="004300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6" w14:textId="4ED7A7C9" w:rsidR="008F5E34" w:rsidRDefault="00000000">
    <w:pPr>
      <w:jc w:val="right"/>
      <w:rPr>
        <w:rFonts w:ascii="Calibri" w:eastAsia="Calibri" w:hAnsi="Calibri" w:cs="Calibri"/>
      </w:rPr>
    </w:pPr>
    <w:r>
      <w:rPr>
        <w:rFonts w:ascii="Calibri" w:eastAsia="Calibri" w:hAnsi="Calibri" w:cs="Calibri"/>
      </w:rPr>
      <w:fldChar w:fldCharType="begin"/>
    </w:r>
    <w:r>
      <w:rPr>
        <w:rFonts w:ascii="Calibri" w:eastAsia="Calibri" w:hAnsi="Calibri" w:cs="Calibri"/>
      </w:rPr>
      <w:instrText>PAGE</w:instrText>
    </w:r>
    <w:r>
      <w:rPr>
        <w:rFonts w:ascii="Calibri" w:eastAsia="Calibri" w:hAnsi="Calibri" w:cs="Calibri"/>
      </w:rPr>
      <w:fldChar w:fldCharType="separate"/>
    </w:r>
    <w:r w:rsidR="00337B3A">
      <w:rPr>
        <w:rFonts w:ascii="Calibri" w:eastAsia="Calibri" w:hAnsi="Calibri" w:cs="Calibri"/>
        <w:noProof/>
      </w:rPr>
      <w:t>2</w:t>
    </w:r>
    <w:r>
      <w:rPr>
        <w:rFonts w:ascii="Calibri" w:eastAsia="Calibri" w:hAnsi="Calibri" w:cs="Calibri"/>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0" w14:textId="77777777" w:rsidR="008F5E34" w:rsidRDefault="008F5E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5D10F" w14:textId="77777777" w:rsidR="00430095" w:rsidRDefault="00430095">
      <w:pPr>
        <w:spacing w:line="240" w:lineRule="auto"/>
      </w:pPr>
      <w:r>
        <w:separator/>
      </w:r>
    </w:p>
  </w:footnote>
  <w:footnote w:type="continuationSeparator" w:id="0">
    <w:p w14:paraId="66E18043" w14:textId="77777777" w:rsidR="00430095" w:rsidRDefault="00430095">
      <w:pPr>
        <w:spacing w:line="240" w:lineRule="auto"/>
      </w:pPr>
      <w:r>
        <w:continuationSeparator/>
      </w:r>
    </w:p>
  </w:footnote>
  <w:footnote w:id="1">
    <w:p w14:paraId="00000031" w14:textId="77777777" w:rsidR="008F5E34" w:rsidRDefault="00000000">
      <w:pPr>
        <w:spacing w:line="240" w:lineRule="auto"/>
        <w:rPr>
          <w:sz w:val="20"/>
          <w:szCs w:val="20"/>
        </w:rPr>
      </w:pPr>
      <w:r>
        <w:rPr>
          <w:vertAlign w:val="superscript"/>
        </w:rPr>
        <w:footnoteRef/>
      </w:r>
      <w:r>
        <w:rPr>
          <w:rFonts w:ascii="Calibri" w:eastAsia="Calibri" w:hAnsi="Calibri" w:cs="Calibri"/>
          <w:sz w:val="20"/>
          <w:szCs w:val="20"/>
        </w:rPr>
        <w:t xml:space="preserve"> UN Committee on Economic, Social and Cultural Rights, ‘Information received from Kuwait on follow-up to the concluding observations on its third periodic report’, UN Doc E/C.12/KWT/FCO/3 (26 September 2023), </w:t>
      </w:r>
      <w:hyperlink r:id="rId1">
        <w:r>
          <w:rPr>
            <w:rFonts w:ascii="Calibri" w:eastAsia="Calibri" w:hAnsi="Calibri" w:cs="Calibri"/>
            <w:color w:val="0563C1"/>
            <w:sz w:val="20"/>
            <w:szCs w:val="20"/>
            <w:u w:val="single"/>
          </w:rPr>
          <w:t>https://tbinternet.ohchr.org/_layouts/15/treatybodyexternal/Download.aspx?symbolno=E%2FC.12%2FKWT%2FFCO%2F3&amp;Lang=en</w:t>
        </w:r>
      </w:hyperlink>
      <w:r>
        <w:rPr>
          <w:rFonts w:ascii="Calibri" w:eastAsia="Calibri" w:hAnsi="Calibri" w:cs="Calibri"/>
          <w:sz w:val="20"/>
          <w:szCs w:val="20"/>
        </w:rPr>
        <w:t xml:space="preserve">. </w:t>
      </w:r>
    </w:p>
  </w:footnote>
  <w:footnote w:id="2">
    <w:p w14:paraId="0000003B" w14:textId="77777777" w:rsidR="008F5E34"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Evidence on domestic workers experiences provided in this submission are sourced from the International Domestic Workers Federation (IDWF) and Solidarity Center’s extensive fieldwork and worker engagement with domestic workers in Kuwait, including IDWF focus groups conducted with domestic workers between 2021 and 2023. </w:t>
      </w:r>
    </w:p>
  </w:footnote>
  <w:footnote w:id="3">
    <w:p w14:paraId="0000003A" w14:textId="77777777" w:rsidR="008F5E34"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These documented experiences have continued throughout Kuwait’s CESCR periodic review period which began in 2021.</w:t>
      </w:r>
    </w:p>
  </w:footnote>
  <w:footnote w:id="4">
    <w:p w14:paraId="00000020" w14:textId="77777777" w:rsidR="008F5E34"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 Committee on Economic, Social and Cultural Rights, ‘Concluding observations on the third periodic report of Kuwait’, UN Doc E/C.12/KWT/CO/3, (3 November 2021), p</w:t>
      </w:r>
      <w:r>
        <w:rPr>
          <w:rFonts w:ascii="Calibri" w:eastAsia="Calibri" w:hAnsi="Calibri" w:cs="Calibri"/>
          <w:color w:val="050505"/>
          <w:sz w:val="20"/>
          <w:szCs w:val="20"/>
        </w:rPr>
        <w:t>ara 22.</w:t>
      </w:r>
    </w:p>
  </w:footnote>
  <w:footnote w:id="5">
    <w:p w14:paraId="00000021" w14:textId="77777777" w:rsidR="008F5E34"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 Committee on Economic, Social and Cultural Rights, ‘Information received from Kuwait on follow-up to the concluding observations on its third periodic report’, UN Doc E/C.12/KWT/FCO/3 (26 September 2023), </w:t>
      </w:r>
      <w:hyperlink r:id="rId2">
        <w:r>
          <w:rPr>
            <w:rFonts w:ascii="Calibri" w:eastAsia="Calibri" w:hAnsi="Calibri" w:cs="Calibri"/>
            <w:color w:val="0563C1"/>
            <w:sz w:val="20"/>
            <w:szCs w:val="20"/>
            <w:u w:val="single"/>
          </w:rPr>
          <w:t>https://tbinternet.ohchr.org/_layouts/15/treatybodyexternal/Download.aspx?symbolno=E%2FC.12%2FKWT%2FFCO%2F3&amp;Lang=en</w:t>
        </w:r>
      </w:hyperlink>
      <w:r>
        <w:rPr>
          <w:rFonts w:ascii="Calibri" w:eastAsia="Calibri" w:hAnsi="Calibri" w:cs="Calibri"/>
          <w:sz w:val="20"/>
          <w:szCs w:val="20"/>
        </w:rPr>
        <w:t xml:space="preserve">. </w:t>
      </w:r>
    </w:p>
  </w:footnote>
  <w:footnote w:id="6">
    <w:p w14:paraId="00000028" w14:textId="77777777" w:rsidR="008F5E34"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U.S. Department of State, ‘2023 Trafficking in Persons Report: Kuwait,’ (2023),  </w:t>
      </w:r>
      <w:hyperlink r:id="rId3">
        <w:r>
          <w:rPr>
            <w:rFonts w:ascii="Calibri" w:eastAsia="Calibri" w:hAnsi="Calibri" w:cs="Calibri"/>
            <w:color w:val="1155CC"/>
            <w:sz w:val="18"/>
            <w:szCs w:val="18"/>
            <w:u w:val="single"/>
          </w:rPr>
          <w:t>https://www.state.gov/reports/2023-trafficking-in-persons-report/kuwait/</w:t>
        </w:r>
      </w:hyperlink>
      <w:r>
        <w:rPr>
          <w:rFonts w:ascii="Calibri" w:eastAsia="Calibri" w:hAnsi="Calibri" w:cs="Calibri"/>
          <w:sz w:val="18"/>
          <w:szCs w:val="18"/>
        </w:rPr>
        <w:t xml:space="preserve">. </w:t>
      </w:r>
    </w:p>
  </w:footnote>
  <w:footnote w:id="7">
    <w:p w14:paraId="0000002D" w14:textId="77777777" w:rsidR="008F5E34" w:rsidRDefault="00000000">
      <w:pPr>
        <w:spacing w:line="240" w:lineRule="auto"/>
        <w:rPr>
          <w:rFonts w:ascii="Calibri" w:eastAsia="Calibri" w:hAnsi="Calibri" w:cs="Calibri"/>
          <w:sz w:val="18"/>
          <w:szCs w:val="18"/>
        </w:rPr>
      </w:pPr>
      <w:r>
        <w:rPr>
          <w:vertAlign w:val="superscript"/>
        </w:rPr>
        <w:footnoteRef/>
      </w:r>
      <w:r>
        <w:rPr>
          <w:sz w:val="20"/>
          <w:szCs w:val="20"/>
        </w:rPr>
        <w:t xml:space="preserve"> </w:t>
      </w:r>
      <w:r>
        <w:rPr>
          <w:rFonts w:ascii="Calibri" w:eastAsia="Calibri" w:hAnsi="Calibri" w:cs="Calibri"/>
          <w:sz w:val="18"/>
          <w:szCs w:val="18"/>
        </w:rPr>
        <w:t xml:space="preserve">ILO, ‘Regulatory Framework Governing Migrant Workers, (2023), </w:t>
      </w:r>
      <w:hyperlink r:id="rId4">
        <w:r>
          <w:rPr>
            <w:rFonts w:ascii="Calibri" w:eastAsia="Calibri" w:hAnsi="Calibri" w:cs="Calibri"/>
            <w:color w:val="1155CC"/>
            <w:sz w:val="18"/>
            <w:szCs w:val="18"/>
            <w:u w:val="single"/>
          </w:rPr>
          <w:t>https://www.ilo.org/wcmsp5/groups/public/---</w:t>
        </w:r>
        <w:proofErr w:type="spellStart"/>
        <w:r>
          <w:rPr>
            <w:rFonts w:ascii="Calibri" w:eastAsia="Calibri" w:hAnsi="Calibri" w:cs="Calibri"/>
            <w:color w:val="1155CC"/>
            <w:sz w:val="18"/>
            <w:szCs w:val="18"/>
            <w:u w:val="single"/>
          </w:rPr>
          <w:t>arabstates</w:t>
        </w:r>
        <w:proofErr w:type="spellEnd"/>
        <w:r>
          <w:rPr>
            <w:rFonts w:ascii="Calibri" w:eastAsia="Calibri" w:hAnsi="Calibri" w:cs="Calibri"/>
            <w:color w:val="1155CC"/>
            <w:sz w:val="18"/>
            <w:szCs w:val="18"/>
            <w:u w:val="single"/>
          </w:rPr>
          <w:t>/---</w:t>
        </w:r>
        <w:proofErr w:type="spellStart"/>
        <w:r>
          <w:rPr>
            <w:rFonts w:ascii="Calibri" w:eastAsia="Calibri" w:hAnsi="Calibri" w:cs="Calibri"/>
            <w:color w:val="1155CC"/>
            <w:sz w:val="18"/>
            <w:szCs w:val="18"/>
            <w:u w:val="single"/>
          </w:rPr>
          <w:t>ro-beirut</w:t>
        </w:r>
        <w:proofErr w:type="spellEnd"/>
        <w:r>
          <w:rPr>
            <w:rFonts w:ascii="Calibri" w:eastAsia="Calibri" w:hAnsi="Calibri" w:cs="Calibri"/>
            <w:color w:val="1155CC"/>
            <w:sz w:val="18"/>
            <w:szCs w:val="18"/>
            <w:u w:val="single"/>
          </w:rPr>
          <w:t>/documents/publication/wcms_776524.pdf</w:t>
        </w:r>
      </w:hyperlink>
      <w:r>
        <w:rPr>
          <w:rFonts w:ascii="Calibri" w:eastAsia="Calibri" w:hAnsi="Calibri" w:cs="Calibri"/>
          <w:sz w:val="18"/>
          <w:szCs w:val="18"/>
        </w:rPr>
        <w:t xml:space="preserve">. </w:t>
      </w:r>
    </w:p>
  </w:footnote>
  <w:footnote w:id="8">
    <w:p w14:paraId="00000022" w14:textId="77777777" w:rsidR="008F5E34" w:rsidRDefault="00000000">
      <w:pPr>
        <w:spacing w:line="240" w:lineRule="auto"/>
        <w:rPr>
          <w:rFonts w:ascii="Calibri" w:eastAsia="Calibri" w:hAnsi="Calibri" w:cs="Calibri"/>
          <w:sz w:val="18"/>
          <w:szCs w:val="18"/>
        </w:rPr>
      </w:pPr>
      <w:r>
        <w:rPr>
          <w:vertAlign w:val="superscript"/>
        </w:rPr>
        <w:footnoteRef/>
      </w:r>
      <w:r>
        <w:rPr>
          <w:sz w:val="20"/>
          <w:szCs w:val="20"/>
        </w:rPr>
        <w:t xml:space="preserve"> </w:t>
      </w:r>
      <w:r>
        <w:rPr>
          <w:rFonts w:ascii="Calibri" w:eastAsia="Calibri" w:hAnsi="Calibri" w:cs="Calibri"/>
          <w:sz w:val="18"/>
          <w:szCs w:val="18"/>
        </w:rPr>
        <w:t xml:space="preserve">Kuwait Center for Research and Studies, ‘The Rights of Domestic Workers Between Legislative System and Enforcement Through Law No. 68 of Year 2015,’ (2018), </w:t>
      </w:r>
      <w:hyperlink r:id="rId5">
        <w:r>
          <w:rPr>
            <w:rFonts w:ascii="Calibri" w:eastAsia="Calibri" w:hAnsi="Calibri" w:cs="Calibri"/>
            <w:color w:val="1155CC"/>
            <w:sz w:val="18"/>
            <w:szCs w:val="18"/>
            <w:u w:val="single"/>
          </w:rPr>
          <w:t>https://mfasia.org/recruitmentreform/wp-content/uploads/2018/12/Kuwait-Society-for-Human-RightsTheRightsofDomesticWorkers.pdf</w:t>
        </w:r>
      </w:hyperlink>
      <w:r>
        <w:rPr>
          <w:rFonts w:ascii="Calibri" w:eastAsia="Calibri" w:hAnsi="Calibri" w:cs="Calibri"/>
          <w:sz w:val="18"/>
          <w:szCs w:val="18"/>
        </w:rPr>
        <w:t xml:space="preserve">. </w:t>
      </w:r>
    </w:p>
  </w:footnote>
  <w:footnote w:id="9">
    <w:p w14:paraId="00000032" w14:textId="77777777" w:rsidR="008F5E34" w:rsidRDefault="00000000">
      <w:pPr>
        <w:spacing w:line="240" w:lineRule="auto"/>
        <w:rPr>
          <w:sz w:val="20"/>
          <w:szCs w:val="20"/>
        </w:rPr>
      </w:pPr>
      <w:r>
        <w:rPr>
          <w:vertAlign w:val="superscript"/>
        </w:rPr>
        <w:footnoteRef/>
      </w:r>
      <w:r>
        <w:rPr>
          <w:sz w:val="20"/>
          <w:szCs w:val="20"/>
        </w:rPr>
        <w:t xml:space="preserve"> </w:t>
      </w:r>
      <w:r>
        <w:rPr>
          <w:rFonts w:ascii="Calibri" w:eastAsia="Calibri" w:hAnsi="Calibri" w:cs="Calibri"/>
          <w:sz w:val="18"/>
          <w:szCs w:val="18"/>
        </w:rPr>
        <w:t xml:space="preserve">ILO, ‘Regulatory Framework Governing Migrant Workers, (2023), </w:t>
      </w:r>
      <w:hyperlink r:id="rId6">
        <w:r>
          <w:rPr>
            <w:rFonts w:ascii="Calibri" w:eastAsia="Calibri" w:hAnsi="Calibri" w:cs="Calibri"/>
            <w:color w:val="1155CC"/>
            <w:sz w:val="18"/>
            <w:szCs w:val="18"/>
            <w:u w:val="single"/>
          </w:rPr>
          <w:t>https://www.ilo.org/wcmsp5/groups/public/---</w:t>
        </w:r>
        <w:proofErr w:type="spellStart"/>
        <w:r>
          <w:rPr>
            <w:rFonts w:ascii="Calibri" w:eastAsia="Calibri" w:hAnsi="Calibri" w:cs="Calibri"/>
            <w:color w:val="1155CC"/>
            <w:sz w:val="18"/>
            <w:szCs w:val="18"/>
            <w:u w:val="single"/>
          </w:rPr>
          <w:t>arabstates</w:t>
        </w:r>
        <w:proofErr w:type="spellEnd"/>
        <w:r>
          <w:rPr>
            <w:rFonts w:ascii="Calibri" w:eastAsia="Calibri" w:hAnsi="Calibri" w:cs="Calibri"/>
            <w:color w:val="1155CC"/>
            <w:sz w:val="18"/>
            <w:szCs w:val="18"/>
            <w:u w:val="single"/>
          </w:rPr>
          <w:t>/---</w:t>
        </w:r>
        <w:proofErr w:type="spellStart"/>
        <w:r>
          <w:rPr>
            <w:rFonts w:ascii="Calibri" w:eastAsia="Calibri" w:hAnsi="Calibri" w:cs="Calibri"/>
            <w:color w:val="1155CC"/>
            <w:sz w:val="18"/>
            <w:szCs w:val="18"/>
            <w:u w:val="single"/>
          </w:rPr>
          <w:t>ro-beirut</w:t>
        </w:r>
        <w:proofErr w:type="spellEnd"/>
        <w:r>
          <w:rPr>
            <w:rFonts w:ascii="Calibri" w:eastAsia="Calibri" w:hAnsi="Calibri" w:cs="Calibri"/>
            <w:color w:val="1155CC"/>
            <w:sz w:val="18"/>
            <w:szCs w:val="18"/>
            <w:u w:val="single"/>
          </w:rPr>
          <w:t>/documents/publication/wcms_776524.pdf</w:t>
        </w:r>
      </w:hyperlink>
      <w:r>
        <w:rPr>
          <w:rFonts w:ascii="Calibri" w:eastAsia="Calibri" w:hAnsi="Calibri" w:cs="Calibri"/>
          <w:sz w:val="18"/>
          <w:szCs w:val="18"/>
        </w:rPr>
        <w:t xml:space="preserve">. </w:t>
      </w:r>
    </w:p>
  </w:footnote>
  <w:footnote w:id="10">
    <w:p w14:paraId="00000023" w14:textId="77777777" w:rsidR="008F5E34"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ILO, ‘ILO Declaration on Fundamental Principles and Rights at Work and its Follow-up,’ (2022), </w:t>
      </w:r>
      <w:hyperlink r:id="rId7">
        <w:r>
          <w:rPr>
            <w:rFonts w:ascii="Calibri" w:eastAsia="Calibri" w:hAnsi="Calibri" w:cs="Calibri"/>
            <w:color w:val="1155CC"/>
            <w:sz w:val="18"/>
            <w:szCs w:val="18"/>
            <w:u w:val="single"/>
          </w:rPr>
          <w:t>https://www.ilo.org/wcmsp5/groups/public/---</w:t>
        </w:r>
        <w:proofErr w:type="spellStart"/>
        <w:r>
          <w:rPr>
            <w:rFonts w:ascii="Calibri" w:eastAsia="Calibri" w:hAnsi="Calibri" w:cs="Calibri"/>
            <w:color w:val="1155CC"/>
            <w:sz w:val="18"/>
            <w:szCs w:val="18"/>
            <w:u w:val="single"/>
          </w:rPr>
          <w:t>ed_norm</w:t>
        </w:r>
        <w:proofErr w:type="spellEnd"/>
        <w:r>
          <w:rPr>
            <w:rFonts w:ascii="Calibri" w:eastAsia="Calibri" w:hAnsi="Calibri" w:cs="Calibri"/>
            <w:color w:val="1155CC"/>
            <w:sz w:val="18"/>
            <w:szCs w:val="18"/>
            <w:u w:val="single"/>
          </w:rPr>
          <w:t>/---declaration/documents/</w:t>
        </w:r>
        <w:proofErr w:type="spellStart"/>
        <w:r>
          <w:rPr>
            <w:rFonts w:ascii="Calibri" w:eastAsia="Calibri" w:hAnsi="Calibri" w:cs="Calibri"/>
            <w:color w:val="1155CC"/>
            <w:sz w:val="18"/>
            <w:szCs w:val="18"/>
            <w:u w:val="single"/>
          </w:rPr>
          <w:t>normativeinstrument</w:t>
        </w:r>
        <w:proofErr w:type="spellEnd"/>
        <w:r>
          <w:rPr>
            <w:rFonts w:ascii="Calibri" w:eastAsia="Calibri" w:hAnsi="Calibri" w:cs="Calibri"/>
            <w:color w:val="1155CC"/>
            <w:sz w:val="18"/>
            <w:szCs w:val="18"/>
            <w:u w:val="single"/>
          </w:rPr>
          <w:t>/wcms_716594.pdf</w:t>
        </w:r>
      </w:hyperlink>
      <w:r>
        <w:rPr>
          <w:rFonts w:ascii="Calibri" w:eastAsia="Calibri" w:hAnsi="Calibri" w:cs="Calibri"/>
          <w:sz w:val="18"/>
          <w:szCs w:val="18"/>
        </w:rPr>
        <w:t xml:space="preserve">. </w:t>
      </w:r>
    </w:p>
  </w:footnote>
  <w:footnote w:id="11">
    <w:p w14:paraId="00000024" w14:textId="77777777" w:rsidR="008F5E34"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Human Rights Watch, ‘The ILO Domestic Workers Convention: New Standards to Fight Discrimination, Exploitation, and Abuse,’ (2013), </w:t>
      </w:r>
      <w:hyperlink r:id="rId8">
        <w:r>
          <w:rPr>
            <w:rFonts w:ascii="Calibri" w:eastAsia="Calibri" w:hAnsi="Calibri" w:cs="Calibri"/>
            <w:color w:val="1155CC"/>
            <w:sz w:val="18"/>
            <w:szCs w:val="18"/>
            <w:u w:val="single"/>
          </w:rPr>
          <w:t>https://www.hrw.org/sites/default/files/related_material/2013ilo_dw_convention_brochure.pdf</w:t>
        </w:r>
      </w:hyperlink>
      <w:r>
        <w:rPr>
          <w:rFonts w:ascii="Calibri" w:eastAsia="Calibri" w:hAnsi="Calibri" w:cs="Calibri"/>
          <w:sz w:val="18"/>
          <w:szCs w:val="18"/>
        </w:rPr>
        <w:t xml:space="preserve">. </w:t>
      </w:r>
    </w:p>
  </w:footnote>
  <w:footnote w:id="12">
    <w:p w14:paraId="00000037" w14:textId="77777777" w:rsidR="008F5E34" w:rsidRDefault="00000000">
      <w:pPr>
        <w:spacing w:line="240" w:lineRule="auto"/>
        <w:rPr>
          <w:sz w:val="20"/>
          <w:szCs w:val="20"/>
        </w:rPr>
      </w:pPr>
      <w:r>
        <w:rPr>
          <w:vertAlign w:val="superscript"/>
        </w:rPr>
        <w:footnoteRef/>
      </w:r>
      <w:r>
        <w:rPr>
          <w:sz w:val="20"/>
          <w:szCs w:val="20"/>
        </w:rPr>
        <w:t xml:space="preserve"> </w:t>
      </w:r>
      <w:r>
        <w:rPr>
          <w:rFonts w:ascii="Calibri" w:eastAsia="Calibri" w:hAnsi="Calibri" w:cs="Calibri"/>
          <w:sz w:val="18"/>
          <w:szCs w:val="18"/>
        </w:rPr>
        <w:t xml:space="preserve"> Domestic worker cases reported to IDWF. </w:t>
      </w:r>
    </w:p>
  </w:footnote>
  <w:footnote w:id="13">
    <w:p w14:paraId="00000025" w14:textId="77777777" w:rsidR="008F5E34" w:rsidRDefault="00000000">
      <w:pPr>
        <w:spacing w:line="240" w:lineRule="auto"/>
        <w:rPr>
          <w:sz w:val="20"/>
          <w:szCs w:val="20"/>
        </w:rPr>
      </w:pPr>
      <w:r>
        <w:rPr>
          <w:vertAlign w:val="superscript"/>
        </w:rPr>
        <w:footnoteRef/>
      </w:r>
      <w:r>
        <w:rPr>
          <w:rFonts w:ascii="Calibri" w:eastAsia="Calibri" w:hAnsi="Calibri" w:cs="Calibri"/>
          <w:sz w:val="18"/>
          <w:szCs w:val="18"/>
        </w:rPr>
        <w:t xml:space="preserve">Kuwait Center for Research and Studies, ‘The Rights of Domestic Workers Between Legislative System and Enforcement Through Law No. 68 of Year 2015,’ (2018), </w:t>
      </w:r>
      <w:hyperlink r:id="rId9">
        <w:r>
          <w:rPr>
            <w:rFonts w:ascii="Calibri" w:eastAsia="Calibri" w:hAnsi="Calibri" w:cs="Calibri"/>
            <w:color w:val="1155CC"/>
            <w:sz w:val="18"/>
            <w:szCs w:val="18"/>
            <w:u w:val="single"/>
          </w:rPr>
          <w:t>https://mfasia.org/recruitmentreform/wp-content/uploads/2018/12/Kuwait-Society-for-Human-RightsTheRightsofDomesticWorkers.pdf</w:t>
        </w:r>
      </w:hyperlink>
      <w:r>
        <w:rPr>
          <w:rFonts w:ascii="Calibri" w:eastAsia="Calibri" w:hAnsi="Calibri" w:cs="Calibri"/>
          <w:sz w:val="18"/>
          <w:szCs w:val="18"/>
        </w:rPr>
        <w:t xml:space="preserve">.  </w:t>
      </w:r>
    </w:p>
  </w:footnote>
  <w:footnote w:id="14">
    <w:p w14:paraId="00000038" w14:textId="77777777" w:rsidR="008F5E34" w:rsidRDefault="00000000">
      <w:pPr>
        <w:spacing w:line="240" w:lineRule="auto"/>
        <w:rPr>
          <w:sz w:val="20"/>
          <w:szCs w:val="20"/>
        </w:rPr>
      </w:pPr>
      <w:r>
        <w:rPr>
          <w:vertAlign w:val="superscript"/>
        </w:rPr>
        <w:footnoteRef/>
      </w:r>
      <w:r>
        <w:rPr>
          <w:sz w:val="20"/>
          <w:szCs w:val="20"/>
        </w:rPr>
        <w:t xml:space="preserve"> </w:t>
      </w:r>
      <w:r>
        <w:rPr>
          <w:rFonts w:ascii="Calibri" w:eastAsia="Calibri" w:hAnsi="Calibri" w:cs="Calibri"/>
          <w:sz w:val="18"/>
          <w:szCs w:val="18"/>
        </w:rPr>
        <w:t xml:space="preserve"> Domestic worker cases reported to IDWF. </w:t>
      </w:r>
    </w:p>
  </w:footnote>
  <w:footnote w:id="15">
    <w:p w14:paraId="0000003C" w14:textId="77777777" w:rsidR="008F5E34" w:rsidRDefault="00000000">
      <w:pPr>
        <w:spacing w:line="240" w:lineRule="auto"/>
        <w:rPr>
          <w:sz w:val="20"/>
          <w:szCs w:val="20"/>
        </w:rPr>
      </w:pPr>
      <w:r>
        <w:rPr>
          <w:vertAlign w:val="superscript"/>
        </w:rPr>
        <w:footnoteRef/>
      </w:r>
      <w:r>
        <w:rPr>
          <w:sz w:val="20"/>
          <w:szCs w:val="20"/>
        </w:rPr>
        <w:t xml:space="preserve"> </w:t>
      </w:r>
      <w:r>
        <w:rPr>
          <w:rFonts w:ascii="Calibri" w:eastAsia="Calibri" w:hAnsi="Calibri" w:cs="Calibri"/>
          <w:sz w:val="18"/>
          <w:szCs w:val="18"/>
        </w:rPr>
        <w:t xml:space="preserve">‘Kuwait launches new electronic service for domestic labor disputes,’ (23 Jan 2023), </w:t>
      </w:r>
      <w:hyperlink r:id="rId10">
        <w:r>
          <w:rPr>
            <w:rFonts w:ascii="Calibri" w:eastAsia="Calibri" w:hAnsi="Calibri" w:cs="Calibri"/>
            <w:color w:val="1155CC"/>
            <w:sz w:val="18"/>
            <w:szCs w:val="18"/>
            <w:u w:val="single"/>
          </w:rPr>
          <w:t>https://www.migrant-rights.org/2023/01/kuwait-launches-new-electronic-service-for-domestic-labour-disputes/</w:t>
        </w:r>
      </w:hyperlink>
      <w:r>
        <w:rPr>
          <w:rFonts w:ascii="Calibri" w:eastAsia="Calibri" w:hAnsi="Calibri" w:cs="Calibri"/>
          <w:sz w:val="18"/>
          <w:szCs w:val="18"/>
        </w:rPr>
        <w:t xml:space="preserve">. </w:t>
      </w:r>
    </w:p>
  </w:footnote>
  <w:footnote w:id="16">
    <w:p w14:paraId="00000027" w14:textId="77777777" w:rsidR="008F5E34"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Domestic worker cases reported to IDWF. </w:t>
      </w:r>
    </w:p>
  </w:footnote>
  <w:footnote w:id="17">
    <w:p w14:paraId="00000039" w14:textId="77777777" w:rsidR="008F5E34" w:rsidRDefault="00000000">
      <w:pPr>
        <w:spacing w:line="240" w:lineRule="auto"/>
        <w:rPr>
          <w:sz w:val="20"/>
          <w:szCs w:val="20"/>
        </w:rPr>
      </w:pPr>
      <w:r>
        <w:rPr>
          <w:vertAlign w:val="superscript"/>
        </w:rPr>
        <w:footnoteRef/>
      </w:r>
      <w:r>
        <w:rPr>
          <w:sz w:val="20"/>
          <w:szCs w:val="20"/>
        </w:rPr>
        <w:t xml:space="preserve">  </w:t>
      </w:r>
      <w:r>
        <w:rPr>
          <w:rFonts w:ascii="Calibri" w:eastAsia="Calibri" w:hAnsi="Calibri" w:cs="Calibri"/>
          <w:sz w:val="18"/>
          <w:szCs w:val="18"/>
        </w:rPr>
        <w:t xml:space="preserve"> Domestic worker cases reported to IDWF. </w:t>
      </w:r>
    </w:p>
  </w:footnote>
  <w:footnote w:id="18">
    <w:p w14:paraId="00000035" w14:textId="77777777" w:rsidR="008F5E34" w:rsidRDefault="00000000">
      <w:pPr>
        <w:spacing w:line="240" w:lineRule="auto"/>
        <w:rPr>
          <w:sz w:val="20"/>
          <w:szCs w:val="20"/>
        </w:rPr>
      </w:pPr>
      <w:r>
        <w:rPr>
          <w:vertAlign w:val="superscript"/>
        </w:rPr>
        <w:footnoteRef/>
      </w:r>
      <w:r>
        <w:rPr>
          <w:rFonts w:ascii="Calibri" w:eastAsia="Calibri" w:hAnsi="Calibri" w:cs="Calibri"/>
          <w:sz w:val="18"/>
          <w:szCs w:val="18"/>
        </w:rPr>
        <w:t xml:space="preserve"> U.S. Department of State, ‘2023 Trafficking in Persons Report: Kuwait,’ (2023),  </w:t>
      </w:r>
      <w:hyperlink r:id="rId11">
        <w:r>
          <w:rPr>
            <w:rFonts w:ascii="Calibri" w:eastAsia="Calibri" w:hAnsi="Calibri" w:cs="Calibri"/>
            <w:color w:val="1155CC"/>
            <w:sz w:val="18"/>
            <w:szCs w:val="18"/>
            <w:u w:val="single"/>
          </w:rPr>
          <w:t>https://www.state.gov/reports/2023-trafficking-in-persons-report/kuwait/</w:t>
        </w:r>
      </w:hyperlink>
      <w:r>
        <w:rPr>
          <w:sz w:val="20"/>
          <w:szCs w:val="20"/>
        </w:rPr>
        <w:t xml:space="preserve"> ;  </w:t>
      </w:r>
      <w:r>
        <w:rPr>
          <w:rFonts w:ascii="Calibri" w:eastAsia="Calibri" w:hAnsi="Calibri" w:cs="Calibri"/>
          <w:sz w:val="18"/>
          <w:szCs w:val="18"/>
        </w:rPr>
        <w:t xml:space="preserve">ILO, ‘Regulatory Framework Governing Migrant Workers, (2023), </w:t>
      </w:r>
      <w:hyperlink r:id="rId12">
        <w:r>
          <w:rPr>
            <w:rFonts w:ascii="Calibri" w:eastAsia="Calibri" w:hAnsi="Calibri" w:cs="Calibri"/>
            <w:color w:val="1155CC"/>
            <w:sz w:val="18"/>
            <w:szCs w:val="18"/>
            <w:u w:val="single"/>
          </w:rPr>
          <w:t>https://www.ilo.org/wcmsp5/groups/public/---</w:t>
        </w:r>
        <w:proofErr w:type="spellStart"/>
        <w:r>
          <w:rPr>
            <w:rFonts w:ascii="Calibri" w:eastAsia="Calibri" w:hAnsi="Calibri" w:cs="Calibri"/>
            <w:color w:val="1155CC"/>
            <w:sz w:val="18"/>
            <w:szCs w:val="18"/>
            <w:u w:val="single"/>
          </w:rPr>
          <w:t>arabstates</w:t>
        </w:r>
        <w:proofErr w:type="spellEnd"/>
        <w:r>
          <w:rPr>
            <w:rFonts w:ascii="Calibri" w:eastAsia="Calibri" w:hAnsi="Calibri" w:cs="Calibri"/>
            <w:color w:val="1155CC"/>
            <w:sz w:val="18"/>
            <w:szCs w:val="18"/>
            <w:u w:val="single"/>
          </w:rPr>
          <w:t>/---</w:t>
        </w:r>
        <w:proofErr w:type="spellStart"/>
        <w:r>
          <w:rPr>
            <w:rFonts w:ascii="Calibri" w:eastAsia="Calibri" w:hAnsi="Calibri" w:cs="Calibri"/>
            <w:color w:val="1155CC"/>
            <w:sz w:val="18"/>
            <w:szCs w:val="18"/>
            <w:u w:val="single"/>
          </w:rPr>
          <w:t>ro-beirut</w:t>
        </w:r>
        <w:proofErr w:type="spellEnd"/>
        <w:r>
          <w:rPr>
            <w:rFonts w:ascii="Calibri" w:eastAsia="Calibri" w:hAnsi="Calibri" w:cs="Calibri"/>
            <w:color w:val="1155CC"/>
            <w:sz w:val="18"/>
            <w:szCs w:val="18"/>
            <w:u w:val="single"/>
          </w:rPr>
          <w:t>/documents/publication/wcms_776524.pdf</w:t>
        </w:r>
      </w:hyperlink>
      <w:r>
        <w:rPr>
          <w:rFonts w:ascii="Calibri" w:eastAsia="Calibri" w:hAnsi="Calibri" w:cs="Calibri"/>
          <w:sz w:val="18"/>
          <w:szCs w:val="18"/>
        </w:rPr>
        <w:t xml:space="preserve">. </w:t>
      </w:r>
    </w:p>
  </w:footnote>
  <w:footnote w:id="19">
    <w:p w14:paraId="00000029" w14:textId="77777777" w:rsidR="008F5E34"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‘Philippines to set conditions on recruitment agencies in Kuwait after murder,’ 2 Feb 2023, </w:t>
      </w:r>
      <w:hyperlink r:id="rId13">
        <w:r>
          <w:rPr>
            <w:rFonts w:ascii="Calibri" w:eastAsia="Calibri" w:hAnsi="Calibri" w:cs="Calibri"/>
            <w:color w:val="1155CC"/>
            <w:sz w:val="18"/>
            <w:szCs w:val="18"/>
            <w:u w:val="single"/>
          </w:rPr>
          <w:t>https://www.thenationalnews.com/gulf-news/2023/02/02/philippines-to-set-conditions-on-recruitment-agencies-in-kuwait-after-brutal-murder/</w:t>
        </w:r>
      </w:hyperlink>
      <w:r>
        <w:rPr>
          <w:rFonts w:ascii="Calibri" w:eastAsia="Calibri" w:hAnsi="Calibri" w:cs="Calibri"/>
          <w:sz w:val="18"/>
          <w:szCs w:val="18"/>
        </w:rPr>
        <w:t xml:space="preserve">. </w:t>
      </w:r>
    </w:p>
  </w:footnote>
  <w:footnote w:id="20">
    <w:p w14:paraId="0000002A" w14:textId="77777777" w:rsidR="008F5E34"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‘Manila denounces gruesome slaying of Filipina maid in Kuwait,’ (24 Jan 2023), </w:t>
      </w:r>
      <w:hyperlink r:id="rId14">
        <w:r>
          <w:rPr>
            <w:rFonts w:ascii="Calibri" w:eastAsia="Calibri" w:hAnsi="Calibri" w:cs="Calibri"/>
            <w:color w:val="1155CC"/>
            <w:sz w:val="18"/>
            <w:szCs w:val="18"/>
            <w:u w:val="single"/>
          </w:rPr>
          <w:t>https://www.benarnews.org/english/news/philippine/philippine-maid-killed-kuwait-01242023101702.html</w:t>
        </w:r>
      </w:hyperlink>
      <w:r>
        <w:rPr>
          <w:rFonts w:ascii="Calibri" w:eastAsia="Calibri" w:hAnsi="Calibri" w:cs="Calibri"/>
          <w:sz w:val="18"/>
          <w:szCs w:val="18"/>
        </w:rPr>
        <w:t xml:space="preserve">. </w:t>
      </w:r>
    </w:p>
  </w:footnote>
  <w:footnote w:id="21">
    <w:p w14:paraId="0000002B" w14:textId="77777777" w:rsidR="008F5E34"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‘Philippines seeks harsher sentence for Kuwaiti teenager who murdered Filipina woman,’ (18 Sept 2023), </w:t>
      </w:r>
      <w:hyperlink r:id="rId15">
        <w:r>
          <w:rPr>
            <w:rFonts w:ascii="Calibri" w:eastAsia="Calibri" w:hAnsi="Calibri" w:cs="Calibri"/>
            <w:color w:val="1155CC"/>
            <w:sz w:val="18"/>
            <w:szCs w:val="18"/>
            <w:u w:val="single"/>
          </w:rPr>
          <w:t>https://www.middleeasteye.net/news/kuwait-philippines-seek-harsher-sentence-teenager-murdered-woman</w:t>
        </w:r>
      </w:hyperlink>
      <w:r>
        <w:rPr>
          <w:rFonts w:ascii="Calibri" w:eastAsia="Calibri" w:hAnsi="Calibri" w:cs="Calibri"/>
          <w:sz w:val="18"/>
          <w:szCs w:val="18"/>
        </w:rPr>
        <w:t xml:space="preserve">. </w:t>
      </w:r>
    </w:p>
  </w:footnote>
  <w:footnote w:id="22">
    <w:p w14:paraId="00000036" w14:textId="77777777" w:rsidR="008F5E34" w:rsidRDefault="00000000">
      <w:pPr>
        <w:spacing w:line="240" w:lineRule="auto"/>
        <w:rPr>
          <w:sz w:val="20"/>
          <w:szCs w:val="20"/>
        </w:rPr>
      </w:pPr>
      <w:r>
        <w:rPr>
          <w:vertAlign w:val="superscript"/>
        </w:rPr>
        <w:footnoteRef/>
      </w:r>
      <w:r>
        <w:rPr>
          <w:rFonts w:ascii="Calibri" w:eastAsia="Calibri" w:hAnsi="Calibri" w:cs="Calibri"/>
          <w:sz w:val="18"/>
          <w:szCs w:val="18"/>
        </w:rPr>
        <w:t xml:space="preserve"> U.S. Department of State, ‘2023 Trafficking in Persons Report: Kuwait,’ (2023),  </w:t>
      </w:r>
      <w:hyperlink r:id="rId16">
        <w:r>
          <w:rPr>
            <w:rFonts w:ascii="Calibri" w:eastAsia="Calibri" w:hAnsi="Calibri" w:cs="Calibri"/>
            <w:color w:val="1155CC"/>
            <w:sz w:val="18"/>
            <w:szCs w:val="18"/>
            <w:u w:val="single"/>
          </w:rPr>
          <w:t>https://www.state.gov/reports/2023-trafficking-in-persons-report/kuwait/</w:t>
        </w:r>
      </w:hyperlink>
      <w:r>
        <w:rPr>
          <w:rFonts w:ascii="Calibri" w:eastAsia="Calibri" w:hAnsi="Calibri" w:cs="Calibri"/>
          <w:sz w:val="18"/>
          <w:szCs w:val="18"/>
        </w:rPr>
        <w:t xml:space="preserve">. </w:t>
      </w:r>
    </w:p>
  </w:footnote>
  <w:footnote w:id="23">
    <w:p w14:paraId="00000034" w14:textId="77777777" w:rsidR="008F5E34" w:rsidRDefault="00000000">
      <w:pPr>
        <w:spacing w:line="240" w:lineRule="auto"/>
        <w:rPr>
          <w:sz w:val="20"/>
          <w:szCs w:val="20"/>
        </w:rPr>
      </w:pPr>
      <w:r>
        <w:rPr>
          <w:vertAlign w:val="superscript"/>
        </w:rPr>
        <w:footnoteRef/>
      </w:r>
      <w:r>
        <w:rPr>
          <w:sz w:val="20"/>
          <w:szCs w:val="20"/>
        </w:rPr>
        <w:t xml:space="preserve"> </w:t>
      </w:r>
      <w:r>
        <w:rPr>
          <w:rFonts w:ascii="Calibri" w:eastAsia="Calibri" w:hAnsi="Calibri" w:cs="Calibri"/>
          <w:sz w:val="18"/>
          <w:szCs w:val="18"/>
        </w:rPr>
        <w:t xml:space="preserve">ILO, ‘Regulatory Framework Governing Migrant Workers, (2023), </w:t>
      </w:r>
      <w:hyperlink r:id="rId17">
        <w:r>
          <w:rPr>
            <w:rFonts w:ascii="Calibri" w:eastAsia="Calibri" w:hAnsi="Calibri" w:cs="Calibri"/>
            <w:color w:val="1155CC"/>
            <w:sz w:val="18"/>
            <w:szCs w:val="18"/>
            <w:u w:val="single"/>
          </w:rPr>
          <w:t>https://www.ilo.org/wcmsp5/groups/public/---</w:t>
        </w:r>
        <w:proofErr w:type="spellStart"/>
        <w:r>
          <w:rPr>
            <w:rFonts w:ascii="Calibri" w:eastAsia="Calibri" w:hAnsi="Calibri" w:cs="Calibri"/>
            <w:color w:val="1155CC"/>
            <w:sz w:val="18"/>
            <w:szCs w:val="18"/>
            <w:u w:val="single"/>
          </w:rPr>
          <w:t>arabstates</w:t>
        </w:r>
        <w:proofErr w:type="spellEnd"/>
        <w:r>
          <w:rPr>
            <w:rFonts w:ascii="Calibri" w:eastAsia="Calibri" w:hAnsi="Calibri" w:cs="Calibri"/>
            <w:color w:val="1155CC"/>
            <w:sz w:val="18"/>
            <w:szCs w:val="18"/>
            <w:u w:val="single"/>
          </w:rPr>
          <w:t>/---</w:t>
        </w:r>
        <w:proofErr w:type="spellStart"/>
        <w:r>
          <w:rPr>
            <w:rFonts w:ascii="Calibri" w:eastAsia="Calibri" w:hAnsi="Calibri" w:cs="Calibri"/>
            <w:color w:val="1155CC"/>
            <w:sz w:val="18"/>
            <w:szCs w:val="18"/>
            <w:u w:val="single"/>
          </w:rPr>
          <w:t>ro-beirut</w:t>
        </w:r>
        <w:proofErr w:type="spellEnd"/>
        <w:r>
          <w:rPr>
            <w:rFonts w:ascii="Calibri" w:eastAsia="Calibri" w:hAnsi="Calibri" w:cs="Calibri"/>
            <w:color w:val="1155CC"/>
            <w:sz w:val="18"/>
            <w:szCs w:val="18"/>
            <w:u w:val="single"/>
          </w:rPr>
          <w:t>/documents/publication/wcms_776524.pdf</w:t>
        </w:r>
      </w:hyperlink>
      <w:r>
        <w:rPr>
          <w:rFonts w:ascii="Calibri" w:eastAsia="Calibri" w:hAnsi="Calibri" w:cs="Calibri"/>
          <w:sz w:val="18"/>
          <w:szCs w:val="18"/>
        </w:rPr>
        <w:t xml:space="preserve">. </w:t>
      </w:r>
    </w:p>
  </w:footnote>
  <w:footnote w:id="24">
    <w:p w14:paraId="00000033" w14:textId="77777777" w:rsidR="008F5E34"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18"/>
          <w:szCs w:val="18"/>
        </w:rPr>
        <w:t xml:space="preserve"> ‘Kuwait, Philippines ties tense of migrant workers’ rights,’ (30 May 2023), </w:t>
      </w:r>
      <w:hyperlink r:id="rId18">
        <w:r>
          <w:rPr>
            <w:rFonts w:ascii="Calibri" w:eastAsia="Calibri" w:hAnsi="Calibri" w:cs="Calibri"/>
            <w:color w:val="1155CC"/>
            <w:sz w:val="18"/>
            <w:szCs w:val="18"/>
            <w:u w:val="single"/>
          </w:rPr>
          <w:t>https://www.dw.com/en/philippines-kuwait-ties-tense-over-migrant-workers-rights/a-65773627</w:t>
        </w:r>
      </w:hyperlink>
      <w:r>
        <w:rPr>
          <w:rFonts w:ascii="Calibri" w:eastAsia="Calibri" w:hAnsi="Calibri" w:cs="Calibri"/>
          <w:sz w:val="18"/>
          <w:szCs w:val="18"/>
        </w:rPr>
        <w:t xml:space="preserve">. </w:t>
      </w:r>
    </w:p>
  </w:footnote>
  <w:footnote w:id="25">
    <w:p w14:paraId="0000002C" w14:textId="77777777" w:rsidR="008F5E34" w:rsidRDefault="00000000">
      <w:pPr>
        <w:spacing w:line="240" w:lineRule="auto"/>
        <w:rPr>
          <w:sz w:val="20"/>
          <w:szCs w:val="20"/>
        </w:rPr>
      </w:pPr>
      <w:r>
        <w:rPr>
          <w:vertAlign w:val="superscript"/>
        </w:rPr>
        <w:footnoteRef/>
      </w:r>
      <w:r>
        <w:rPr>
          <w:rFonts w:ascii="Calibri" w:eastAsia="Calibri" w:hAnsi="Calibri" w:cs="Calibri"/>
          <w:sz w:val="18"/>
          <w:szCs w:val="18"/>
        </w:rPr>
        <w:t xml:space="preserve">Kuwait Center for Research and Studies, ‘The Rights of Domestic Workers Between Legislative System and Enforcement Through Law No. 68 of Year 2015,’ (2018), </w:t>
      </w:r>
      <w:hyperlink r:id="rId19">
        <w:r>
          <w:rPr>
            <w:rFonts w:ascii="Calibri" w:eastAsia="Calibri" w:hAnsi="Calibri" w:cs="Calibri"/>
            <w:color w:val="1155CC"/>
            <w:sz w:val="18"/>
            <w:szCs w:val="18"/>
            <w:u w:val="single"/>
          </w:rPr>
          <w:t>https://mfasia.org/recruitmentreform/wp-content/uploads/2018/12/Kuwait-Society-for-Human-RightsTheRightsofDomesticWorkers.pdf</w:t>
        </w:r>
      </w:hyperlink>
      <w:r>
        <w:rPr>
          <w:rFonts w:ascii="Calibri" w:eastAsia="Calibri" w:hAnsi="Calibri" w:cs="Calibri"/>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E" w14:textId="77777777" w:rsidR="008F5E34" w:rsidRDefault="008F5E3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F" w14:textId="77777777" w:rsidR="008F5E34" w:rsidRDefault="008F5E34">
    <w:pPr>
      <w:spacing w:after="160"/>
      <w:jc w:val="center"/>
      <w:rPr>
        <w:rFonts w:ascii="Calibri" w:eastAsia="Calibri" w:hAnsi="Calibri" w:cs="Calibri"/>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981620"/>
    <w:multiLevelType w:val="multilevel"/>
    <w:tmpl w:val="DE40D0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7617027"/>
    <w:multiLevelType w:val="multilevel"/>
    <w:tmpl w:val="D5022B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17386282">
    <w:abstractNumId w:val="0"/>
  </w:num>
  <w:num w:numId="2" w16cid:durableId="223219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E34"/>
    <w:rsid w:val="000677B1"/>
    <w:rsid w:val="00337B3A"/>
    <w:rsid w:val="00430095"/>
    <w:rsid w:val="0050376D"/>
    <w:rsid w:val="008F5E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902C11C"/>
  <w15:docId w15:val="{9D208432-105F-F043-B3C5-96714E71E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sites/default/files/related_material/2013ilo_dw_convention_brochure.pdf" TargetMode="External"/><Relationship Id="rId13" Type="http://schemas.openxmlformats.org/officeDocument/2006/relationships/hyperlink" Target="https://www.thenationalnews.com/gulf-news/2023/02/02/philippines-to-set-conditions-on-recruitment-agencies-in-kuwait-after-brutal-murder/" TargetMode="External"/><Relationship Id="rId18" Type="http://schemas.openxmlformats.org/officeDocument/2006/relationships/hyperlink" Target="https://www.dw.com/en/philippines-kuwait-ties-tense-over-migrant-workers-rights/a-65773627" TargetMode="External"/><Relationship Id="rId3" Type="http://schemas.openxmlformats.org/officeDocument/2006/relationships/hyperlink" Target="https://www.state.gov/reports/2023-trafficking-in-persons-report/kuwait/" TargetMode="External"/><Relationship Id="rId7" Type="http://schemas.openxmlformats.org/officeDocument/2006/relationships/hyperlink" Target="https://www.ilo.org/wcmsp5/groups/public/---ed_norm/---declaration/documents/normativeinstrument/wcms_716594.pdf" TargetMode="External"/><Relationship Id="rId12" Type="http://schemas.openxmlformats.org/officeDocument/2006/relationships/hyperlink" Target="https://www.ilo.org/wcmsp5/groups/public/---arabstates/---ro-beirut/documents/publication/wcms_776524.pdf" TargetMode="External"/><Relationship Id="rId17" Type="http://schemas.openxmlformats.org/officeDocument/2006/relationships/hyperlink" Target="https://www.ilo.org/wcmsp5/groups/public/---arabstates/---ro-beirut/documents/publication/wcms_776524.pdf" TargetMode="External"/><Relationship Id="rId2" Type="http://schemas.openxmlformats.org/officeDocument/2006/relationships/hyperlink" Target="https://tbinternet.ohchr.org/_layouts/15/treatybodyexternal/Download.aspx?symbolno=E%2FC.12%2FKWT%2FFCO%2F3&amp;Lang=en" TargetMode="External"/><Relationship Id="rId16" Type="http://schemas.openxmlformats.org/officeDocument/2006/relationships/hyperlink" Target="https://www.state.gov/reports/2023-trafficking-in-persons-report/kuwait/" TargetMode="External"/><Relationship Id="rId1" Type="http://schemas.openxmlformats.org/officeDocument/2006/relationships/hyperlink" Target="https://tbinternet.ohchr.org/_layouts/15/treatybodyexternal/Download.aspx?symbolno=E%2FC.12%2FKWT%2FFCO%2F3&amp;Lang=en" TargetMode="External"/><Relationship Id="rId6" Type="http://schemas.openxmlformats.org/officeDocument/2006/relationships/hyperlink" Target="https://www.ilo.org/wcmsp5/groups/public/---arabstates/---ro-beirut/documents/publication/wcms_776524.pdf" TargetMode="External"/><Relationship Id="rId11" Type="http://schemas.openxmlformats.org/officeDocument/2006/relationships/hyperlink" Target="https://www.state.gov/reports/2023-trafficking-in-persons-report/kuwait/" TargetMode="External"/><Relationship Id="rId5" Type="http://schemas.openxmlformats.org/officeDocument/2006/relationships/hyperlink" Target="https://mfasia.org/recruitmentreform/wp-content/uploads/2018/12/Kuwait-Society-for-Human-RightsTheRightsofDomesticWorkers.pdf" TargetMode="External"/><Relationship Id="rId15" Type="http://schemas.openxmlformats.org/officeDocument/2006/relationships/hyperlink" Target="https://www.middleeasteye.net/news/kuwait-philippines-seek-harsher-sentence-teenager-murdered-woman" TargetMode="External"/><Relationship Id="rId10" Type="http://schemas.openxmlformats.org/officeDocument/2006/relationships/hyperlink" Target="https://www.migrant-rights.org/2023/01/kuwait-launches-new-electronic-service-for-domestic-labour-disputes/" TargetMode="External"/><Relationship Id="rId19" Type="http://schemas.openxmlformats.org/officeDocument/2006/relationships/hyperlink" Target="https://mfasia.org/recruitmentreform/wp-content/uploads/2018/12/Kuwait-Society-for-Human-RightsTheRightsofDomesticWorkers.pdf" TargetMode="External"/><Relationship Id="rId4" Type="http://schemas.openxmlformats.org/officeDocument/2006/relationships/hyperlink" Target="https://www.ilo.org/wcmsp5/groups/public/---arabstates/---ro-beirut/documents/publication/wcms_776524.pdf" TargetMode="External"/><Relationship Id="rId9" Type="http://schemas.openxmlformats.org/officeDocument/2006/relationships/hyperlink" Target="https://mfasia.org/recruitmentreform/wp-content/uploads/2018/12/Kuwait-Society-for-Human-RightsTheRightsofDomesticWorkers.pdf" TargetMode="External"/><Relationship Id="rId14" Type="http://schemas.openxmlformats.org/officeDocument/2006/relationships/hyperlink" Target="https://www.benarnews.org/english/news/philippine/philippine-maid-killed-kuwait-0124202310170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1900</Words>
  <Characters>10832</Characters>
  <Application>Microsoft Office Word</Application>
  <DocSecurity>0</DocSecurity>
  <Lines>90</Lines>
  <Paragraphs>25</Paragraphs>
  <ScaleCrop>false</ScaleCrop>
  <Company/>
  <LinksUpToDate>false</LinksUpToDate>
  <CharactersWithSpaces>12707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Danielle Douglas</cp:lastModifiedBy>
  <cp:revision>3</cp:revision>
  <dcterms:created xsi:type="dcterms:W3CDTF">2024-02-01T16:46:00Z</dcterms:created>
  <dcterms:modified xsi:type="dcterms:W3CDTF">2024-02-01T22:58:00Z</dcterms:modified>
</cp:coreProperties>
</file>