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E9039C" w14:paraId="07FC1516" w14:textId="7777777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7D48D451" w14:textId="77777777" w:rsidR="00023A38" w:rsidRDefault="00023A38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E062228" w14:textId="17873410" w:rsidR="00023A38" w:rsidRDefault="00023A38">
            <w:pPr>
              <w:spacing w:after="80" w:line="300" w:lineRule="exac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C5946BF" w14:textId="77777777" w:rsidR="00023A38" w:rsidRDefault="00256E5E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CEDAW</w:t>
            </w:r>
            <w:r>
              <w:t>/C/TKM/FCO/6</w:t>
            </w:r>
          </w:p>
        </w:tc>
      </w:tr>
      <w:tr w:rsidR="00E9039C" w14:paraId="01ABAEEA" w14:textId="7777777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CC19EAB" w14:textId="38E50335" w:rsidR="00023A38" w:rsidRDefault="00023A38">
            <w:pPr>
              <w:spacing w:before="120"/>
              <w:jc w:val="center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F0F05E" w14:textId="7D8528AF" w:rsidR="00023A38" w:rsidRDefault="00E06AC2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Advance unedited version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84235DD" w14:textId="77777777" w:rsidR="00023A38" w:rsidRPr="00CD7453" w:rsidRDefault="00256E5E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CD7453">
              <w:rPr>
                <w:lang w:val="en-US"/>
              </w:rPr>
              <w:t>Distr.: General</w:t>
            </w:r>
          </w:p>
          <w:p w14:paraId="4F1958D1" w14:textId="77777777" w:rsidR="00023A38" w:rsidRPr="00CD7453" w:rsidRDefault="007F4501">
            <w:pPr>
              <w:suppressAutoHyphens w:val="0"/>
              <w:rPr>
                <w:lang w:val="en-US"/>
              </w:rPr>
            </w:pPr>
            <w:r w:rsidRPr="00CD7453">
              <w:rPr>
                <w:lang w:val="en-US"/>
              </w:rPr>
              <w:t>7 April 2026</w:t>
            </w:r>
          </w:p>
          <w:p w14:paraId="1A713B98" w14:textId="77777777" w:rsidR="00023A38" w:rsidRPr="00CD7453" w:rsidRDefault="00023A38">
            <w:pPr>
              <w:suppressAutoHyphens w:val="0"/>
              <w:rPr>
                <w:lang w:val="en-US"/>
              </w:rPr>
            </w:pPr>
          </w:p>
          <w:p w14:paraId="0507FEC1" w14:textId="2A0F1F9F" w:rsidR="00023A38" w:rsidRPr="00CD7453" w:rsidRDefault="00256E5E">
            <w:pPr>
              <w:suppressAutoHyphens w:val="0"/>
              <w:rPr>
                <w:lang w:val="en-US"/>
              </w:rPr>
            </w:pPr>
            <w:r w:rsidRPr="00CD7453">
              <w:rPr>
                <w:lang w:val="en-US"/>
              </w:rPr>
              <w:t xml:space="preserve">Original: </w:t>
            </w:r>
            <w:r w:rsidR="0097326A">
              <w:rPr>
                <w:lang w:val="en-US"/>
              </w:rPr>
              <w:t>Russian</w:t>
            </w:r>
          </w:p>
          <w:p w14:paraId="1EC4DEFF" w14:textId="77777777" w:rsidR="00023A38" w:rsidRDefault="007F4501">
            <w:pPr>
              <w:suppressAutoHyphens w:val="0"/>
            </w:pPr>
            <w:r>
              <w:t>English, French, Russian and Spanish only</w:t>
            </w:r>
          </w:p>
        </w:tc>
      </w:tr>
    </w:tbl>
    <w:p w14:paraId="3261E50E" w14:textId="77777777" w:rsidR="00023A38" w:rsidRDefault="00256E5E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Committee on the Elimination of Discrimination </w:t>
      </w:r>
      <w:r>
        <w:rPr>
          <w:b/>
          <w:sz w:val="24"/>
          <w:szCs w:val="24"/>
        </w:rPr>
        <w:br/>
        <w:t>against Women</w:t>
      </w:r>
    </w:p>
    <w:p w14:paraId="709D1DB5" w14:textId="11035CAD" w:rsidR="00023A38" w:rsidRDefault="00256E5E" w:rsidP="004A43A3">
      <w:pPr>
        <w:pStyle w:val="HMG"/>
      </w:pPr>
      <w:r>
        <w:tab/>
      </w:r>
      <w:r>
        <w:tab/>
      </w:r>
      <w:r w:rsidR="003D6145">
        <w:t>Information received from Turkmenistan on follow-up to the concl</w:t>
      </w:r>
      <w:r>
        <w:t xml:space="preserve">uding observations on </w:t>
      </w:r>
      <w:r w:rsidR="003D6145">
        <w:t>its</w:t>
      </w:r>
      <w:r>
        <w:t xml:space="preserve"> </w:t>
      </w:r>
      <w:r w:rsidR="00737760">
        <w:t>sixth periodic report</w:t>
      </w:r>
      <w:r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14:paraId="56898E81" w14:textId="37ED7E9E" w:rsidR="00023A38" w:rsidRPr="00E06AC2" w:rsidRDefault="00256E5E">
      <w:pPr>
        <w:pStyle w:val="SingleTxtG"/>
        <w:jc w:val="right"/>
        <w:rPr>
          <w:lang w:val="ru-RU"/>
        </w:rPr>
      </w:pPr>
      <w:r w:rsidRPr="00E06AC2">
        <w:rPr>
          <w:lang w:val="ru-RU"/>
        </w:rPr>
        <w:t>[</w:t>
      </w:r>
      <w:r>
        <w:t>Date</w:t>
      </w:r>
      <w:r w:rsidRPr="00E06AC2">
        <w:rPr>
          <w:lang w:val="ru-RU"/>
        </w:rPr>
        <w:t xml:space="preserve"> </w:t>
      </w:r>
      <w:r>
        <w:t>received</w:t>
      </w:r>
      <w:r w:rsidRPr="00E06AC2">
        <w:rPr>
          <w:lang w:val="ru-RU"/>
        </w:rPr>
        <w:t xml:space="preserve">: </w:t>
      </w:r>
      <w:r w:rsidR="0097326A" w:rsidRPr="00E06AC2">
        <w:rPr>
          <w:lang w:val="ru-RU"/>
        </w:rPr>
        <w:t xml:space="preserve">2 </w:t>
      </w:r>
      <w:r w:rsidR="0097326A">
        <w:t>April</w:t>
      </w:r>
      <w:r w:rsidR="0097326A" w:rsidRPr="00E06AC2">
        <w:rPr>
          <w:lang w:val="ru-RU"/>
        </w:rPr>
        <w:t xml:space="preserve"> 2026</w:t>
      </w:r>
      <w:r w:rsidRPr="00E06AC2">
        <w:rPr>
          <w:lang w:val="ru-RU"/>
        </w:rPr>
        <w:t>]</w:t>
      </w:r>
    </w:p>
    <w:p w14:paraId="325FD293" w14:textId="16AA8708" w:rsidR="00CD7453" w:rsidRPr="00E06AC2" w:rsidRDefault="00CD7453">
      <w:pPr>
        <w:suppressAutoHyphens w:val="0"/>
        <w:spacing w:after="200" w:line="276" w:lineRule="auto"/>
        <w:rPr>
          <w:rFonts w:eastAsiaTheme="minorHAnsi"/>
          <w:lang w:val="ru-RU"/>
        </w:rPr>
      </w:pPr>
      <w:r w:rsidRPr="00E06AC2">
        <w:rPr>
          <w:lang w:val="ru-RU"/>
        </w:rPr>
        <w:br w:type="page"/>
      </w:r>
    </w:p>
    <w:p w14:paraId="135D8862" w14:textId="77777777" w:rsidR="00CD7453" w:rsidRPr="00CD7453" w:rsidRDefault="00CD7453" w:rsidP="00CD7453">
      <w:pPr>
        <w:pStyle w:val="SingleTxtG"/>
        <w:rPr>
          <w:b/>
          <w:lang w:val="tk-TM"/>
        </w:rPr>
      </w:pPr>
      <w:r w:rsidRPr="00CD7453">
        <w:rPr>
          <w:b/>
          <w:lang w:val="ru-RU"/>
        </w:rPr>
        <w:lastRenderedPageBreak/>
        <w:t xml:space="preserve">Информация о принятых мерах по выполнению рекомендаций </w:t>
      </w:r>
      <w:bookmarkStart w:id="0" w:name="_Hlk224288332"/>
      <w:r w:rsidRPr="00CD7453">
        <w:rPr>
          <w:b/>
          <w:lang w:val="ru-RU"/>
        </w:rPr>
        <w:t xml:space="preserve">Комитета по ликвидации дискриминации </w:t>
      </w:r>
      <w:bookmarkStart w:id="1" w:name="_Hlk224286911"/>
      <w:r w:rsidRPr="00CD7453">
        <w:rPr>
          <w:b/>
          <w:lang w:val="ru-RU"/>
        </w:rPr>
        <w:t>в отношении женщин</w:t>
      </w:r>
      <w:bookmarkEnd w:id="1"/>
      <w:r w:rsidRPr="00CD7453">
        <w:rPr>
          <w:b/>
          <w:lang w:val="ru-RU"/>
        </w:rPr>
        <w:t xml:space="preserve"> </w:t>
      </w:r>
      <w:bookmarkEnd w:id="0"/>
      <w:r w:rsidRPr="00CD7453">
        <w:rPr>
          <w:b/>
          <w:lang w:val="ru-RU"/>
        </w:rPr>
        <w:t>по шестому периодическому докладу Туркменистана</w:t>
      </w:r>
    </w:p>
    <w:p w14:paraId="426C4352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В соответствии с пунктом 68 Заключительных рекомендаций Комитета ООН по ликвидации дискриминации в отношении женщин представляем дополнительную информацию о шагах, принятых для выполнения замечаний, содержащихся в пунктах 14с (укрепление потенциала судебной системы), 20а (национальный механизм), 36а (правозащитники) и 54 (ЦУР).</w:t>
      </w:r>
    </w:p>
    <w:p w14:paraId="3F85E8F2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14. Туркменистан признает приоритет общепризнанных норм международного права. Конституция Туркменистана является основным правовым документом страны, провозгласившим человека наивысшей ценностью общества и государства, гарантирующим социальную защищённость каждого человека</w:t>
      </w:r>
      <w:r w:rsidRPr="00CD7453">
        <w:rPr>
          <w:lang w:val="tk-TM"/>
        </w:rPr>
        <w:t xml:space="preserve">. </w:t>
      </w:r>
      <w:r w:rsidRPr="00CD7453">
        <w:rPr>
          <w:lang w:val="ru-RU"/>
        </w:rPr>
        <w:t xml:space="preserve"> В статье 9 Конституции Туркменистана закреплены положения о признании Туркменистаном приоритета общепризнанных норм международного права.  </w:t>
      </w:r>
    </w:p>
    <w:p w14:paraId="0F466455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tk-TM"/>
        </w:rPr>
        <w:t xml:space="preserve">В Концепции развития судебной системы на 2022-2028 гг. намечены меры по совершенствованию международно-правовой деятельности Верховного суда Туркменистана, с целью изучения международного опыта и внедрения </w:t>
      </w:r>
      <w:r w:rsidRPr="00CD7453">
        <w:rPr>
          <w:lang w:val="ru-RU"/>
        </w:rPr>
        <w:t>общепризнанных норм международного права,</w:t>
      </w:r>
      <w:r w:rsidRPr="00CD7453">
        <w:rPr>
          <w:lang w:val="tk-TM"/>
        </w:rPr>
        <w:t xml:space="preserve"> связанные с </w:t>
      </w:r>
      <w:r w:rsidRPr="00CD7453">
        <w:rPr>
          <w:lang w:val="ru-RU"/>
        </w:rPr>
        <w:t>защитой прав и свобод человека в национальное законодательство и правоприменительную практику Туркменистана.</w:t>
      </w:r>
    </w:p>
    <w:p w14:paraId="1A83D13F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При поддержке ПРООН и ЮНФПА проводятся регулярные обучающие семинары для судей и сотрудников правоохранительных органов. Основной фокус — применение положений Конвенции СЕДО в национальном судопроизводстве.</w:t>
      </w:r>
    </w:p>
    <w:p w14:paraId="4D750C84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20. В Туркменистане функционирует комплексная система координации государственной политики в сфере гендерного равенства.</w:t>
      </w:r>
    </w:p>
    <w:p w14:paraId="1E6E0C41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Координационные функции осуществляются в рамках деятельности Межведомственной комиссии по обеспечению выполнения международных обязательств Туркменистана в области прав человека и международного гуманитарного права с участием государственных органов и общественных объединений.</w:t>
      </w:r>
    </w:p>
    <w:p w14:paraId="7ED8ED74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 xml:space="preserve">В Туркменистане судебная система и правоохранительные органы, коллегии адвокатов функционируют системно. Вместе с тем, реализацией задач в области прав человека занимаются следующие учреждения: </w:t>
      </w:r>
    </w:p>
    <w:p w14:paraId="631A8528" w14:textId="77777777" w:rsidR="00CD7453" w:rsidRPr="00CD7453" w:rsidRDefault="00CD7453" w:rsidP="00CD7453">
      <w:pPr>
        <w:pStyle w:val="SingleTxtG"/>
        <w:numPr>
          <w:ilvl w:val="1"/>
          <w:numId w:val="21"/>
        </w:numPr>
        <w:rPr>
          <w:lang w:val="ru-RU"/>
        </w:rPr>
      </w:pPr>
      <w:r w:rsidRPr="00CD7453">
        <w:rPr>
          <w:lang w:val="ru-RU"/>
        </w:rPr>
        <w:t>Комитет по защите прав и свобод человека Меджлиса (Парламента) Туркменистана;</w:t>
      </w:r>
    </w:p>
    <w:p w14:paraId="0B733FDA" w14:textId="77777777" w:rsidR="00CD7453" w:rsidRPr="00CD7453" w:rsidRDefault="00CD7453" w:rsidP="00CD7453">
      <w:pPr>
        <w:pStyle w:val="SingleTxtG"/>
        <w:numPr>
          <w:ilvl w:val="1"/>
          <w:numId w:val="21"/>
        </w:numPr>
        <w:rPr>
          <w:lang w:val="ru-RU"/>
        </w:rPr>
      </w:pPr>
      <w:r w:rsidRPr="00CD7453">
        <w:rPr>
          <w:lang w:val="ru-RU"/>
        </w:rPr>
        <w:t>Уполномоченный представитель по правам человека в Туркменистане – Омбудсмен;</w:t>
      </w:r>
    </w:p>
    <w:p w14:paraId="5F654C62" w14:textId="77777777" w:rsidR="00CD7453" w:rsidRPr="00CD7453" w:rsidRDefault="00CD7453" w:rsidP="00CD7453">
      <w:pPr>
        <w:pStyle w:val="SingleTxtG"/>
        <w:numPr>
          <w:ilvl w:val="1"/>
          <w:numId w:val="21"/>
        </w:numPr>
        <w:rPr>
          <w:lang w:val="ru-RU"/>
        </w:rPr>
      </w:pPr>
      <w:r w:rsidRPr="00CD7453">
        <w:rPr>
          <w:lang w:val="ru-RU"/>
        </w:rPr>
        <w:t>Институт государства, права и демократии Туркменистана, являющийся координирующим органом Межведомственной комиссии по обеспечению выполнения международных обязательств Туркменистана в области прав человека и международного гуманитарного права;</w:t>
      </w:r>
    </w:p>
    <w:p w14:paraId="4C3042AA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При   Межведомственной комиссии созданы и функционируют:</w:t>
      </w:r>
    </w:p>
    <w:p w14:paraId="727A3F48" w14:textId="77777777" w:rsidR="00CD7453" w:rsidRPr="00CD7453" w:rsidRDefault="00CD7453" w:rsidP="00CD7453">
      <w:pPr>
        <w:pStyle w:val="SingleTxtG"/>
        <w:numPr>
          <w:ilvl w:val="1"/>
          <w:numId w:val="22"/>
        </w:numPr>
        <w:rPr>
          <w:lang w:val="ru-RU"/>
        </w:rPr>
      </w:pPr>
      <w:r w:rsidRPr="00CD7453">
        <w:rPr>
          <w:lang w:val="ru-RU"/>
        </w:rPr>
        <w:t>Рабочая группа национальных экспертов по правам человека</w:t>
      </w:r>
      <w:r w:rsidRPr="00CD7453">
        <w:rPr>
          <w:lang w:val="tk-TM"/>
        </w:rPr>
        <w:t>;</w:t>
      </w:r>
    </w:p>
    <w:p w14:paraId="56DAB0F4" w14:textId="77777777" w:rsidR="00CD7453" w:rsidRPr="00CD7453" w:rsidRDefault="00CD7453" w:rsidP="00CD7453">
      <w:pPr>
        <w:pStyle w:val="SingleTxtG"/>
        <w:numPr>
          <w:ilvl w:val="1"/>
          <w:numId w:val="22"/>
        </w:numPr>
        <w:rPr>
          <w:lang w:val="ru-RU"/>
        </w:rPr>
      </w:pPr>
      <w:r w:rsidRPr="00CD7453">
        <w:rPr>
          <w:lang w:val="ru-RU"/>
        </w:rPr>
        <w:t>Рабочая группа по международному гуманитарному праву;</w:t>
      </w:r>
    </w:p>
    <w:p w14:paraId="1EC36DF7" w14:textId="77777777" w:rsidR="00CD7453" w:rsidRPr="00CD7453" w:rsidRDefault="00CD7453" w:rsidP="00CD7453">
      <w:pPr>
        <w:pStyle w:val="SingleTxtG"/>
        <w:numPr>
          <w:ilvl w:val="1"/>
          <w:numId w:val="22"/>
        </w:numPr>
        <w:rPr>
          <w:lang w:val="ru-RU"/>
        </w:rPr>
      </w:pPr>
      <w:r w:rsidRPr="00CD7453">
        <w:rPr>
          <w:lang w:val="ru-RU"/>
        </w:rPr>
        <w:t>Рабочая группа по проведению обследования здоровья и положения женщины в семье, которая является основной национальной группой экспертов по вопросам предотвращения и профилактики гендерного насилия, информирования соответствующих законодательных проектов, технической поддержки в разработке необходимых мер и практик в рамках межведомственного реагирования на гендерное насилие.</w:t>
      </w:r>
    </w:p>
    <w:p w14:paraId="4A5E50BB" w14:textId="77777777" w:rsidR="00CD7453" w:rsidRPr="00CD7453" w:rsidRDefault="00CD7453" w:rsidP="00CD7453">
      <w:pPr>
        <w:pStyle w:val="SingleTxtG"/>
        <w:numPr>
          <w:ilvl w:val="1"/>
          <w:numId w:val="21"/>
        </w:numPr>
        <w:rPr>
          <w:lang w:val="ru-RU"/>
        </w:rPr>
      </w:pPr>
      <w:r w:rsidRPr="00CD7453">
        <w:rPr>
          <w:lang w:val="ru-RU"/>
        </w:rPr>
        <w:t xml:space="preserve">Ресурсные центры по правам человека в велаятах и г. Ашхабаде. </w:t>
      </w:r>
    </w:p>
    <w:p w14:paraId="1F4BF206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lastRenderedPageBreak/>
        <w:t>Бюджетная система Туркменистана направлена на обеспечение гендерного равенства через интеграцию принципов равных прав, возможностей и ответственности для мужчин и женщин. Национальное законодательство гарантирует равные права мужчин и женщин, а бюджетные расходы учитывают принципы, не допускающие дискриминации по признаку пола.</w:t>
      </w:r>
    </w:p>
    <w:p w14:paraId="3F908CB9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Вместе с тем, в Бюджете Туркменистана предусмотрены расходы на Пособия по беременности и родам, пенсии, оплата пособий по временной утрате трудоспособности, денежные вознаграждения выделяемые гражданам, достигшим 62-летнего возраста, пособия по государственному социальному страхованию, стипендии, денежные подарки от имени Президента Туркменистана в честь Международного женского дня 8-го марта, другие трансферты населению, выплаты государственных пособий при рождении ребенка, по уходу за ребенком и социальных пособий производящиеся за счет средств Централизованного бюджета.</w:t>
      </w:r>
    </w:p>
    <w:p w14:paraId="2773660E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В рамках «Программы Президента Туркменистана социально- экономического развития страны в 2022-2028 годах» осуществляется поэтапный переход на программное бюджетирование. Совместно с международными финансовыми институтами изучаются аспекты гендерного бюджетирования, а также возможности наиболее полного вовлечения всех категорий граждан в экономическую деятельность.</w:t>
      </w:r>
    </w:p>
    <w:p w14:paraId="6D64F66A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bCs/>
          <w:lang w:val="ru-RU"/>
        </w:rPr>
        <w:t>54.</w:t>
      </w:r>
      <w:r w:rsidRPr="00CD7453">
        <w:rPr>
          <w:b/>
          <w:lang w:val="ru-RU"/>
        </w:rPr>
        <w:t xml:space="preserve"> </w:t>
      </w:r>
      <w:r w:rsidRPr="00CD7453">
        <w:rPr>
          <w:lang w:val="ru-RU"/>
        </w:rPr>
        <w:t>Во всех национальных программах социально-экономического развития Туркменистана находят свое отражение вопросы обеспечения прав и свобод лиц с инвалидностью. Так, «Программа Президента Туркменистана по социально-экономическому развитию страны на 2022-2028 годы» предусматривает структурные реформы в экономике, создание новых рабочих мест, стимулирование развития малого и среднего предпринимательства, расширение занятости в частном секторе и перевод неформально занятых в формальный сектор, что открывает новые возможности для населения, включая лиц с инвалидностью.</w:t>
      </w:r>
    </w:p>
    <w:p w14:paraId="554E2E80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 xml:space="preserve">11 февраля 2022 года принята новая Национальная программа социально-экономического развития Туркменистана на 2022-2052 годы. В приоритете Программы – всевозрастающая роль человеческого капитала, как основного фактора экономического развития страны и, как следствие, формирование новой социальной модели развития, обеспечивающей высокие стандарты жизни туркменистанцев. </w:t>
      </w:r>
    </w:p>
    <w:p w14:paraId="335AD737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tk-TM"/>
        </w:rPr>
      </w:pPr>
      <w:r w:rsidRPr="00CD7453">
        <w:rPr>
          <w:lang w:val="ru-RU"/>
        </w:rPr>
        <w:t xml:space="preserve">В новой 30-летней Программе социально-экономического развития Туркменистана агентствам ООН отведена роль основных стратегических партнеров. </w:t>
      </w:r>
    </w:p>
    <w:p w14:paraId="3EFF3657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Рамочная программа сотрудничества в области устойчивого развития между Туркменистаном и ООН на 2026-2030 годы является стратегической программой, направленной на дальнейшее взаимодействие между Туркменистаном и ООН по различным направлениям, включая поддержание экономической стабильности и роста, защиту социальных прав населения, совершенствование системы здравоохранения и образования, сохранение экологического баланса.</w:t>
      </w:r>
    </w:p>
    <w:p w14:paraId="5FD48DE2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Министерством образования Туркменистана совместно с агентствами ООН в 2025 году проводится комплексная работа по устранению институциональных, инфраструктурных и социальных препятствий, ограничивающих доступ людей с инвалидностью к инклюзивному образованию.</w:t>
      </w:r>
    </w:p>
    <w:p w14:paraId="7853EE9D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Реализуемые меры направлены на обеспечение равного доступа к образованию на всех уровнях, создание устойчивых межсекторальных механизмов поддержки, формирование инклюзивной образовательной среды, реализацию принципа «ни один ребёнок не должен остаться в стороне». Дальнейшее расширение и институционализация данных инициатив позволят обеспечить полноценное участие девочек и женщин с инвалидностью в образовательной системе и общественной жизни страны. Туркменистан предоставляет гарантированный государством одинаковый доступ к образовательным программам для мальчиков и девочек, соответствующий международным обязательствам страны в области прав человека и устойчивого развития.</w:t>
      </w:r>
    </w:p>
    <w:p w14:paraId="46F6033B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 xml:space="preserve">В стране ведется развитие и расширение инклюзивной модели образования. В 2025 году разработана и пилотно внедрена инклюзивная модель образования в </w:t>
      </w:r>
      <w:r w:rsidRPr="00CD7453">
        <w:rPr>
          <w:lang w:val="ru-RU"/>
        </w:rPr>
        <w:lastRenderedPageBreak/>
        <w:t>образовательных учреждениях г. Ашхабада (ДДУ №14 и №160, а также в школах №74 и №29), основанная на междисциплинарном и межсекторальном подходе.</w:t>
      </w:r>
    </w:p>
    <w:p w14:paraId="66E6D48F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Инклюзивная модель подготовлена к масштабированию в 13 детских садах и 13 школах столицы и регионов страны.</w:t>
      </w:r>
    </w:p>
    <w:p w14:paraId="407561E4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Разработана, апробирована и подготовлена к внедрению методология оценки и улучшения доступности образовательных учреждений для детей с инвалидностью.</w:t>
      </w:r>
    </w:p>
    <w:p w14:paraId="72394FE7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Указанные меры способствуют устранению следующих барьеров:</w:t>
      </w:r>
    </w:p>
    <w:p w14:paraId="1BBB3639" w14:textId="77777777" w:rsidR="00CD7453" w:rsidRPr="00CD7453" w:rsidRDefault="00CD7453" w:rsidP="00CD7453">
      <w:pPr>
        <w:pStyle w:val="SingleTxtG"/>
        <w:numPr>
          <w:ilvl w:val="0"/>
          <w:numId w:val="23"/>
        </w:numPr>
        <w:rPr>
          <w:lang w:val="ru-RU"/>
        </w:rPr>
      </w:pPr>
      <w:r w:rsidRPr="00CD7453">
        <w:rPr>
          <w:lang w:val="ru-RU"/>
        </w:rPr>
        <w:t>физической недоступности зданий,</w:t>
      </w:r>
    </w:p>
    <w:p w14:paraId="781BF25C" w14:textId="77777777" w:rsidR="00CD7453" w:rsidRPr="00CD7453" w:rsidRDefault="00CD7453" w:rsidP="00CD7453">
      <w:pPr>
        <w:pStyle w:val="SingleTxtG"/>
        <w:numPr>
          <w:ilvl w:val="0"/>
          <w:numId w:val="23"/>
        </w:numPr>
        <w:rPr>
          <w:lang w:val="ru-RU"/>
        </w:rPr>
      </w:pPr>
      <w:r w:rsidRPr="00CD7453">
        <w:rPr>
          <w:lang w:val="ru-RU"/>
        </w:rPr>
        <w:t>отсутствия адаптированной среды,</w:t>
      </w:r>
    </w:p>
    <w:p w14:paraId="632DA277" w14:textId="77777777" w:rsidR="00CD7453" w:rsidRPr="00CD7453" w:rsidRDefault="00CD7453" w:rsidP="00CD7453">
      <w:pPr>
        <w:pStyle w:val="SingleTxtG"/>
        <w:numPr>
          <w:ilvl w:val="0"/>
          <w:numId w:val="23"/>
        </w:numPr>
        <w:rPr>
          <w:lang w:val="ru-RU"/>
        </w:rPr>
      </w:pPr>
      <w:r w:rsidRPr="00CD7453">
        <w:rPr>
          <w:lang w:val="ru-RU"/>
        </w:rPr>
        <w:t>недостатка специализированной поддержки,</w:t>
      </w:r>
    </w:p>
    <w:p w14:paraId="68BE908F" w14:textId="77777777" w:rsidR="00CD7453" w:rsidRPr="00CD7453" w:rsidRDefault="00CD7453" w:rsidP="00CD7453">
      <w:pPr>
        <w:pStyle w:val="SingleTxtG"/>
        <w:numPr>
          <w:ilvl w:val="0"/>
          <w:numId w:val="23"/>
        </w:numPr>
        <w:rPr>
          <w:lang w:val="ru-RU"/>
        </w:rPr>
      </w:pPr>
      <w:r w:rsidRPr="00CD7453">
        <w:rPr>
          <w:lang w:val="ru-RU"/>
        </w:rPr>
        <w:t>гендерных стереотипов в отношении девочек с инвалидностью.</w:t>
      </w:r>
    </w:p>
    <w:p w14:paraId="71BCBC47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Поддержка дальнейшей проработки функционального и межсекторального подхода направлена на повышение адресности поддержки ребёнка и семьи. При этом особое внимание уделяется тому, что дети с инвалидностью и дети с особенностями развития по здоровью, ранее обучавшиеся в реабилитационных учебно-воспитательных школах Ашхабада и велаятов Туркменистана, поэтапно включились к общей системе стандартного образования. В период 2018-2025 годов в общеобразовательные школы переведены более 340 обучающихся, в обычные детские сады — более 280 детей. Указанные результаты имеют практическое значение для дальнейшего развития инклюзивного образования и учитываются при планировании последующих мер.</w:t>
      </w:r>
    </w:p>
    <w:p w14:paraId="708FD312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tk-TM"/>
        </w:rPr>
      </w:pPr>
      <w:r w:rsidRPr="00CD7453">
        <w:rPr>
          <w:lang w:val="ru-RU"/>
        </w:rPr>
        <w:t>С целью обеспечения непрерывного сопровождения людей с инвалидностью в образовательной сфере в городе Ашхабаде функционирует отделение абилитации Реабилитационного центра, где работают междисциплинарные команды специалистов: педагоги, психологи, логопеды, физические и эрготерапевты, врачи. Так же организована поддержка семей, включая консультирование и сопровождение при зачислении в образовательные учреждения. Данный механизм обеспечивает раннее выявление потребностей, индивидуализацию образовательного процесса, предотвращение направления детей в учреждения интернатного типа, поддержку их социализации и интеграции в общество.</w:t>
      </w:r>
    </w:p>
    <w:p w14:paraId="58A14D4D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 w:bidi="ru-RU"/>
        </w:rPr>
        <w:t>В целях оказания помощи нуждающимся в опеке детям важную роль играет Благотворительный фонд имени Гурбангулы Бердымухамедова, который финансирует приобретение ортопедических изделий,</w:t>
      </w:r>
      <w:r w:rsidRPr="00CD7453">
        <w:rPr>
          <w:lang w:val="ru-RU"/>
        </w:rPr>
        <w:t xml:space="preserve"> протезной продукции, инвалидных колясок, </w:t>
      </w:r>
      <w:r w:rsidRPr="00CD7453">
        <w:rPr>
          <w:lang w:val="ru-RU" w:bidi="ru-RU"/>
        </w:rPr>
        <w:t xml:space="preserve">слуховых аппаратов и специализированного оборудования для обучения и реабилитации. В городе Аркадаге функционирует Центр реабилитации здоровья, где дети получают комплексную </w:t>
      </w:r>
      <w:r w:rsidRPr="00CD7453">
        <w:rPr>
          <w:lang w:val="ru-RU"/>
        </w:rPr>
        <w:t>медицинскую</w:t>
      </w:r>
      <w:r w:rsidRPr="00CD7453">
        <w:rPr>
          <w:lang w:val="ru-RU" w:bidi="ru-RU"/>
        </w:rPr>
        <w:t xml:space="preserve"> и психологическую помощь.</w:t>
      </w:r>
    </w:p>
    <w:p w14:paraId="3F1F753D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В 2025 году разработан национальный список приоритетных вспомогательных средств для детей с инвалидностью. Сформирована основа для создания устойчивой системы закупки и предоставления вспомогательных средств, интегрированной с образовательной системой. Данная мера направлена на устранение одного из ключевых барьеров — отсутствия технических средств (слуховые аппараты, специальные средства коммуникации, адаптивное оборудование), без которых дети с инвалидностью не могут полноценно участвовать в образовательном процессе.</w:t>
      </w:r>
    </w:p>
    <w:p w14:paraId="34E17F13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В 2025 году была инициирована работа по пересмотру положений о медико-педагогических комиссиях и медико-социальной экспертизе, приведению процедур оценки в соответствие с принципами Международной классификации функционирования, ограничений жизнедеятельности и здоровья (МКФ), что позволит перейти от медицинской модели инвалидности к социальной и функциональной таким образом обеспечит право детей с инвалидностью на обучение в общеобразовательных школах, а так же возможность минимизирования практики институционализации.</w:t>
      </w:r>
    </w:p>
    <w:p w14:paraId="49D4D48B" w14:textId="77777777" w:rsidR="00CD7453" w:rsidRPr="00CD7453" w:rsidRDefault="00CD7453" w:rsidP="00CD7453">
      <w:pPr>
        <w:pStyle w:val="SingleTxtG"/>
        <w:rPr>
          <w:lang w:val="ru-RU"/>
        </w:rPr>
      </w:pPr>
      <w:r w:rsidRPr="00CD7453">
        <w:rPr>
          <w:lang w:val="ru-RU"/>
        </w:rPr>
        <w:lastRenderedPageBreak/>
        <w:t>На данный момент особое внимание уделяется раннему вмешательству и подготовке к школе:</w:t>
      </w:r>
    </w:p>
    <w:p w14:paraId="04EAADC5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В 24 детских садах внедрён пилотный проект «Поддержка родителей», направленный на укрепление родительских компетенций. 24 педагога прошли сертификацию по обновлённой программе.</w:t>
      </w:r>
    </w:p>
    <w:p w14:paraId="3A1906CE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Разработаны учебные материалы на туркменском и английском языках. Подготовлено масштабное внедрение годичной полудневной подготовительной программы и с сентября 2026 года планируется открытие 65-и подготовительных групп на базе 55-и общеобразовательных школ страны. Эти меры создают основу для ранней диагностики и поддержки детей с особыми образовательными потребностями, снижения гендерных и социальных барьеров, обеспечения равного старта при поступлении в школу.</w:t>
      </w:r>
    </w:p>
    <w:p w14:paraId="6D26D510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В рамках программ профессионального обучения около 120 женщины и девушки из афганского и местного сообществ получили профессиональную подготовку и оборудование для самозанятости.</w:t>
      </w:r>
    </w:p>
    <w:p w14:paraId="05C8CAEA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Более 150 представителей государственных структур прошли обучение по вопросам гендерно-ориентированного планирования.</w:t>
      </w:r>
    </w:p>
    <w:p w14:paraId="031D2F7B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tk-TM"/>
        </w:rPr>
      </w:pPr>
      <w:r w:rsidRPr="00CD7453">
        <w:rPr>
          <w:lang w:val="ru-RU"/>
        </w:rPr>
        <w:t>Данные меры способствуют укреплению экономической независимости женщин, включая женщин с инвалидностью, формированию инклюзивной среды, повышению чувствительности государственных институтов к потребностям уязвимых групп.</w:t>
      </w:r>
    </w:p>
    <w:p w14:paraId="11B32534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 xml:space="preserve">Кодексом Туркменистана о социальной защите населения и другими законами лицам с инвалидностью гарантируется вся полнота социально-экономических, политических, личных прав и свобод. Запрещается дискриминация, гарантируется защита прав, свобод и законных интересов, поддержка общественных объединений лиц с инвалидностью, реабилитация, трудоустройство, образование и профессиональная подготовка, доступ к социальной инфраструктуре, социальная помощь. </w:t>
      </w:r>
    </w:p>
    <w:p w14:paraId="20A6F31E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В соответствии с Законом Туркменистана «О занятости населения» местные органы исполнительной власти и органы местного самоуправления устанавливают квоты на создание рабочих мест и трудоустройство лиц, нуждающихся в государственной поддержке. Работодатели обязаны соблюдать установленную квоту на рабочие места для лиц, нуждающихся в государственной поддержке.</w:t>
      </w:r>
    </w:p>
    <w:p w14:paraId="3FC98B5B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/>
        </w:rPr>
      </w:pPr>
      <w:r w:rsidRPr="00CD7453">
        <w:rPr>
          <w:lang w:val="ru-RU"/>
        </w:rPr>
        <w:t>В Налоговом кодексе Туркменистана установлены льготы по налогам и сборам для лиц с инвалидностью. Так, в  Налоговый кодекс внесены дополнения (2022г.), согласно которым не подлежат налогообложению доходы лиц, имеющих на иждивении лиц с инвалидностью с детства, лиц с инвалидностью I и II групп (при этом для индивидуальных предпринимателей и лиц, оказывающих профессиональные услуги, – в части налоговой базы в размере 600-кратной базовой величины, установленной законодательством Туркменистана для исчисления налогов и сборов).</w:t>
      </w:r>
      <w:r w:rsidRPr="00CD7453">
        <w:rPr>
          <w:lang w:val="ru-RU" w:bidi="ru-RU"/>
        </w:rPr>
        <w:t xml:space="preserve"> Данная льгота введена также для родителей или лиц, заменяющих их, воспитывающих ребёнка с инвалидностью до 18 лет (в том числе усыновлённого и приёмного ребёнка с инвалидностью).</w:t>
      </w:r>
    </w:p>
    <w:p w14:paraId="31F40A83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 w:bidi="ru-RU"/>
        </w:rPr>
      </w:pPr>
      <w:r w:rsidRPr="00CD7453">
        <w:rPr>
          <w:lang w:val="ru-RU" w:bidi="ru-RU"/>
        </w:rPr>
        <w:t xml:space="preserve">В 2022 году в Туркменистане была проведена очередная сплошная перепись населения и жилищного фонда. </w:t>
      </w:r>
      <w:r w:rsidRPr="00CD7453">
        <w:rPr>
          <w:lang w:val="ru-RU"/>
        </w:rPr>
        <w:t>Результаты</w:t>
      </w:r>
      <w:r w:rsidRPr="00CD7453">
        <w:rPr>
          <w:lang w:val="ru-RU" w:bidi="ru-RU"/>
        </w:rPr>
        <w:t xml:space="preserve"> переписи были сведены в сотни таблиц и диаграмм по ключевым показателям, опубликованы в виде книг на трех языках и распространены в соответствующие министерства и ведомства, а также в международные организации и размещены на официальном сайте Туркменстат </w:t>
      </w:r>
      <w:hyperlink r:id="rId10" w:history="1">
        <w:r w:rsidRPr="00CD7453">
          <w:rPr>
            <w:rStyle w:val="Hyperlink"/>
            <w:lang w:bidi="en-US"/>
          </w:rPr>
          <w:t>www</w:t>
        </w:r>
        <w:r w:rsidRPr="00CD7453">
          <w:rPr>
            <w:rStyle w:val="Hyperlink"/>
            <w:lang w:val="ru-RU"/>
          </w:rPr>
          <w:t>.</w:t>
        </w:r>
        <w:r w:rsidRPr="00CD7453">
          <w:rPr>
            <w:rStyle w:val="Hyperlink"/>
            <w:lang w:bidi="en-US"/>
          </w:rPr>
          <w:t>stat</w:t>
        </w:r>
        <w:r w:rsidRPr="00CD7453">
          <w:rPr>
            <w:rStyle w:val="Hyperlink"/>
            <w:lang w:val="ru-RU"/>
          </w:rPr>
          <w:t>.</w:t>
        </w:r>
        <w:r w:rsidRPr="00CD7453">
          <w:rPr>
            <w:rStyle w:val="Hyperlink"/>
            <w:lang w:bidi="en-US"/>
          </w:rPr>
          <w:t>gov</w:t>
        </w:r>
        <w:r w:rsidRPr="00CD7453">
          <w:rPr>
            <w:rStyle w:val="Hyperlink"/>
            <w:lang w:val="ru-RU"/>
          </w:rPr>
          <w:t>.</w:t>
        </w:r>
        <w:r w:rsidRPr="00CD7453">
          <w:rPr>
            <w:rStyle w:val="Hyperlink"/>
            <w:lang w:bidi="en-US"/>
          </w:rPr>
          <w:t>tm</w:t>
        </w:r>
        <w:r w:rsidRPr="00CD7453">
          <w:rPr>
            <w:rStyle w:val="Hyperlink"/>
            <w:lang w:val="ru-RU"/>
          </w:rPr>
          <w:t>/</w:t>
        </w:r>
        <w:r w:rsidRPr="00CD7453">
          <w:rPr>
            <w:rStyle w:val="Hyperlink"/>
            <w:lang w:bidi="en-US"/>
          </w:rPr>
          <w:t>population</w:t>
        </w:r>
        <w:r w:rsidRPr="00CD7453">
          <w:rPr>
            <w:rStyle w:val="Hyperlink"/>
            <w:lang w:val="ru-RU"/>
          </w:rPr>
          <w:t>-</w:t>
        </w:r>
        <w:r w:rsidRPr="00CD7453">
          <w:rPr>
            <w:rStyle w:val="Hyperlink"/>
            <w:lang w:bidi="en-US"/>
          </w:rPr>
          <w:t>census</w:t>
        </w:r>
      </w:hyperlink>
      <w:r w:rsidRPr="00CD7453">
        <w:rPr>
          <w:lang w:val="ru-RU"/>
        </w:rPr>
        <w:t>.</w:t>
      </w:r>
    </w:p>
    <w:p w14:paraId="7A43FF01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 w:bidi="ru-RU"/>
        </w:rPr>
      </w:pPr>
      <w:r w:rsidRPr="00CD7453">
        <w:rPr>
          <w:lang w:val="ru-RU" w:bidi="ru-RU"/>
        </w:rPr>
        <w:t xml:space="preserve">По материалам государственной статистической отчетности, по итогам выборочных статистических обследований населения, а также по данным министерств и ведомств Туркменистана публикуется статистический сборник «Мужчины и женщины Туркменистана», разрабатываемый </w:t>
      </w:r>
      <w:r w:rsidRPr="00CD7453">
        <w:rPr>
          <w:lang w:val="ru-RU"/>
        </w:rPr>
        <w:t>один</w:t>
      </w:r>
      <w:r w:rsidRPr="00CD7453">
        <w:rPr>
          <w:lang w:val="ru-RU" w:bidi="ru-RU"/>
        </w:rPr>
        <w:t xml:space="preserve"> раз в 5 лет (последний выпуск в 2023 году) и распространяются в соответствующие министерства и ведомства.</w:t>
      </w:r>
    </w:p>
    <w:p w14:paraId="1D9ACB24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 w:bidi="ru-RU"/>
        </w:rPr>
      </w:pPr>
      <w:r w:rsidRPr="00CD7453">
        <w:rPr>
          <w:lang w:val="ru-RU" w:bidi="ru-RU"/>
        </w:rPr>
        <w:lastRenderedPageBreak/>
        <w:t xml:space="preserve">В соответствии с рабочим планом между Государственным комитетом Туркменистана по статистике и Детским фондом ООН (ЮНИСЕФ) на 2024 год, было успешно проведено Кластерное обследование по многим показателям, в Туркменистане </w:t>
      </w:r>
      <w:r w:rsidRPr="00CD7453">
        <w:rPr>
          <w:lang w:val="ru-RU"/>
        </w:rPr>
        <w:t>(</w:t>
      </w:r>
      <w:r w:rsidRPr="00CD7453">
        <w:rPr>
          <w:lang w:bidi="en-US"/>
        </w:rPr>
        <w:t>MICS</w:t>
      </w:r>
      <w:r w:rsidRPr="00CD7453">
        <w:rPr>
          <w:lang w:val="ru-RU"/>
        </w:rPr>
        <w:t xml:space="preserve">-7). </w:t>
      </w:r>
      <w:r w:rsidRPr="00CD7453">
        <w:rPr>
          <w:lang w:val="ru-RU" w:bidi="ru-RU"/>
        </w:rPr>
        <w:t xml:space="preserve">Туркменистан стал одной из первых в мире стран, которая включила модуль «Насилие над женщинами», где по желанию респондентки был применен механизм перенаправления для получения социальных услуг. А также впервые был проведен опрос по Вопроснику для мужчин в возрасте 15-49 лет. Полученные данные позволили дополнить индикаторы по ЦУР 4, ЦУР 5 и ЦУР 16 в гендерном разрезе. Платформа достижений ЦУР в Туркменистане размещена на сайте Туркменстата </w:t>
      </w:r>
      <w:r w:rsidRPr="00CD7453">
        <w:rPr>
          <w:lang w:bidi="en-US"/>
        </w:rPr>
        <w:t>sdg</w:t>
      </w:r>
      <w:r w:rsidRPr="00CD7453">
        <w:rPr>
          <w:lang w:val="ru-RU"/>
        </w:rPr>
        <w:t>.</w:t>
      </w:r>
      <w:r w:rsidRPr="00CD7453">
        <w:rPr>
          <w:lang w:bidi="en-US"/>
        </w:rPr>
        <w:t>stat</w:t>
      </w:r>
      <w:r w:rsidRPr="00CD7453">
        <w:rPr>
          <w:lang w:val="ru-RU"/>
        </w:rPr>
        <w:t>.</w:t>
      </w:r>
      <w:r w:rsidRPr="00CD7453">
        <w:rPr>
          <w:lang w:bidi="en-US"/>
        </w:rPr>
        <w:t>gov</w:t>
      </w:r>
      <w:r w:rsidRPr="00CD7453">
        <w:rPr>
          <w:lang w:val="ru-RU"/>
        </w:rPr>
        <w:t>.</w:t>
      </w:r>
      <w:r w:rsidRPr="00CD7453">
        <w:rPr>
          <w:lang w:bidi="en-US"/>
        </w:rPr>
        <w:t>tm</w:t>
      </w:r>
      <w:r w:rsidRPr="00CD7453">
        <w:rPr>
          <w:lang w:val="ru-RU"/>
        </w:rPr>
        <w:t>.</w:t>
      </w:r>
    </w:p>
    <w:p w14:paraId="566FEEA1" w14:textId="77777777" w:rsidR="00CD7453" w:rsidRPr="00CD7453" w:rsidRDefault="00CD7453" w:rsidP="006C0089">
      <w:pPr>
        <w:pStyle w:val="SingleTxtG"/>
        <w:numPr>
          <w:ilvl w:val="0"/>
          <w:numId w:val="24"/>
        </w:numPr>
        <w:ind w:left="1134" w:firstLine="0"/>
        <w:rPr>
          <w:lang w:val="ru-RU" w:bidi="ru-RU"/>
        </w:rPr>
      </w:pPr>
      <w:r w:rsidRPr="00CD7453">
        <w:rPr>
          <w:lang w:val="ru-RU" w:bidi="ru-RU"/>
        </w:rPr>
        <w:t xml:space="preserve">В мае 2025 года при организации Государственного комитета Туркменистана по статистике и Детского фонда ООН (ЮНИСЕФ) прошла презентация итогов Кластерное обследование по </w:t>
      </w:r>
      <w:r w:rsidRPr="00CD7453">
        <w:rPr>
          <w:lang w:val="ru-RU"/>
        </w:rPr>
        <w:t>многим</w:t>
      </w:r>
      <w:r w:rsidRPr="00CD7453">
        <w:rPr>
          <w:lang w:val="ru-RU" w:bidi="ru-RU"/>
        </w:rPr>
        <w:t xml:space="preserve"> показателям, в Туркменистане </w:t>
      </w:r>
      <w:r w:rsidRPr="00CD7453">
        <w:rPr>
          <w:lang w:val="ru-RU"/>
        </w:rPr>
        <w:t>(</w:t>
      </w:r>
      <w:r w:rsidRPr="00CD7453">
        <w:rPr>
          <w:lang w:bidi="en-US"/>
        </w:rPr>
        <w:t>MICS</w:t>
      </w:r>
      <w:r w:rsidRPr="00CD7453">
        <w:rPr>
          <w:lang w:val="ru-RU"/>
        </w:rPr>
        <w:t xml:space="preserve">-7). </w:t>
      </w:r>
      <w:r w:rsidRPr="00CD7453">
        <w:rPr>
          <w:lang w:val="ru-RU" w:bidi="ru-RU"/>
        </w:rPr>
        <w:t xml:space="preserve">В январе 2026 года был опубликован Отчет о результатах 7-го раунда Кластерного обследования по многим показателям в Туркменистане на сайте ЮНИСЕФ </w:t>
      </w:r>
      <w:r w:rsidRPr="00CD7453">
        <w:rPr>
          <w:lang w:val="ru-RU"/>
        </w:rPr>
        <w:t>(</w:t>
      </w:r>
      <w:r w:rsidRPr="00CD7453">
        <w:rPr>
          <w:lang w:bidi="en-US"/>
        </w:rPr>
        <w:t>mics</w:t>
      </w:r>
      <w:r w:rsidRPr="00CD7453">
        <w:rPr>
          <w:lang w:val="ru-RU"/>
        </w:rPr>
        <w:t>.</w:t>
      </w:r>
      <w:r w:rsidRPr="00CD7453">
        <w:rPr>
          <w:lang w:bidi="en-US"/>
        </w:rPr>
        <w:t>unicef</w:t>
      </w:r>
      <w:r w:rsidRPr="00CD7453">
        <w:rPr>
          <w:lang w:val="ru-RU"/>
        </w:rPr>
        <w:t>.</w:t>
      </w:r>
      <w:r w:rsidRPr="00CD7453">
        <w:rPr>
          <w:lang w:bidi="en-US"/>
        </w:rPr>
        <w:t>org</w:t>
      </w:r>
      <w:r w:rsidRPr="00CD7453">
        <w:rPr>
          <w:lang w:val="ru-RU"/>
        </w:rPr>
        <w:t>).</w:t>
      </w:r>
    </w:p>
    <w:p w14:paraId="270AFEB9" w14:textId="31ECA295" w:rsidR="00023A38" w:rsidRPr="00E06AC2" w:rsidRDefault="00A0383E" w:rsidP="00CD7453">
      <w:pPr>
        <w:pStyle w:val="SingleTxtG"/>
        <w:jc w:val="center"/>
        <w:rPr>
          <w:u w:val="single"/>
          <w:lang w:val="ru-RU"/>
        </w:rPr>
      </w:pPr>
      <w:r w:rsidRPr="00E06AC2">
        <w:rPr>
          <w:u w:val="single"/>
          <w:lang w:val="ru-RU"/>
        </w:rPr>
        <w:tab/>
      </w:r>
      <w:r w:rsidRPr="00E06AC2">
        <w:rPr>
          <w:u w:val="single"/>
          <w:lang w:val="ru-RU"/>
        </w:rPr>
        <w:tab/>
      </w:r>
      <w:r w:rsidRPr="00E06AC2">
        <w:rPr>
          <w:u w:val="single"/>
          <w:lang w:val="ru-RU"/>
        </w:rPr>
        <w:tab/>
      </w:r>
    </w:p>
    <w:sectPr w:rsidR="00023A38" w:rsidRPr="00E06AC2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6A3D4" w14:textId="77777777" w:rsidR="00F341AA" w:rsidRDefault="00F341AA">
      <w:pPr>
        <w:spacing w:line="240" w:lineRule="auto"/>
      </w:pPr>
    </w:p>
  </w:endnote>
  <w:endnote w:type="continuationSeparator" w:id="0">
    <w:p w14:paraId="11D83822" w14:textId="77777777" w:rsidR="00F341AA" w:rsidRDefault="00F341AA">
      <w:pPr>
        <w:pStyle w:val="Footer"/>
      </w:pPr>
    </w:p>
  </w:endnote>
  <w:endnote w:type="continuationNotice" w:id="1">
    <w:p w14:paraId="02EF5606" w14:textId="77777777" w:rsidR="00F341AA" w:rsidRDefault="00F341A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FB72A" w14:textId="77777777" w:rsidR="00023A38" w:rsidRDefault="00256E5E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5F7A44"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12D52" w14:textId="77777777" w:rsidR="00023A38" w:rsidRDefault="007F4501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AD7D4" w14:textId="77777777" w:rsidR="00023A38" w:rsidRDefault="00256E5E">
    <w:pPr>
      <w:pStyle w:val="Footer"/>
      <w:spacing w:before="120"/>
      <w:rPr>
        <w:noProof/>
        <w:sz w:val="20"/>
        <w:lang w:val="fr-FR" w:eastAsia="fr-FR"/>
      </w:rPr>
    </w:pPr>
    <w:r>
      <w:rPr>
        <w:noProof/>
        <w:lang w:val="fr-CH" w:eastAsia="fr-CH"/>
      </w:rPr>
      <w:drawing>
        <wp:anchor distT="0" distB="0" distL="114300" distR="114300" simplePos="0" relativeHeight="251658240" behindDoc="0" locked="1" layoutInCell="1" allowOverlap="1" wp14:anchorId="4CBE126D" wp14:editId="32D5AB34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7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  <w:r>
      <w:rPr>
        <w:noProof/>
        <w:sz w:val="20"/>
        <w:lang w:val="fr-FR" w:eastAsia="fr-FR"/>
      </w:rPr>
      <w:t xml:space="preserve"> </w:t>
    </w:r>
  </w:p>
  <w:tbl>
    <w:tblPr>
      <w:tblStyle w:val="TableGrid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E9039C" w14:paraId="4DBC1C97" w14:textId="77777777">
      <w:tc>
        <w:tcPr>
          <w:tcW w:w="1848" w:type="dxa"/>
          <w:vAlign w:val="bottom"/>
        </w:tcPr>
        <w:p w14:paraId="06A688EE" w14:textId="77777777" w:rsidR="00023A38" w:rsidRDefault="00256E5E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before="120" w:after="120" w:line="240" w:lineRule="auto"/>
            <w:jc w:val="right"/>
            <w:rPr>
              <w:rFonts w:eastAsiaTheme="minorHAnsi"/>
              <w:sz w:val="16"/>
              <w:lang w:val="fr-CH"/>
            </w:rPr>
          </w:pPr>
          <w:r>
            <w:rPr>
              <w:rFonts w:eastAsiaTheme="minorHAnsi"/>
              <w:noProof/>
              <w:lang w:val="fr-CH" w:eastAsia="fr-CH"/>
            </w:rPr>
            <w:drawing>
              <wp:inline distT="0" distB="0" distL="0" distR="0" wp14:anchorId="4A15A7EE" wp14:editId="3BD83E96">
                <wp:extent cx="931545" cy="232410"/>
                <wp:effectExtent l="0" t="0" r="1905" b="0"/>
                <wp:docPr id="2" name="Image 4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14:paraId="3DDFCCAF" w14:textId="77777777" w:rsidR="00023A38" w:rsidRDefault="00023A38">
          <w:pPr>
            <w:kinsoku w:val="0"/>
            <w:overflowPunct w:val="0"/>
            <w:autoSpaceDE w:val="0"/>
            <w:autoSpaceDN w:val="0"/>
            <w:adjustRightInd w:val="0"/>
            <w:snapToGrid w:val="0"/>
            <w:spacing w:line="240" w:lineRule="auto"/>
            <w:jc w:val="right"/>
            <w:rPr>
              <w:rFonts w:eastAsiaTheme="minorHAnsi"/>
              <w:sz w:val="16"/>
              <w:lang w:val="fr-CH"/>
            </w:rPr>
          </w:pPr>
        </w:p>
      </w:tc>
    </w:tr>
  </w:tbl>
  <w:p w14:paraId="44A1BDB3" w14:textId="77777777" w:rsidR="00023A38" w:rsidRDefault="00023A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04FA6" w14:textId="77777777" w:rsidR="00F341AA" w:rsidRDefault="00F341AA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B1F24BB" w14:textId="77777777" w:rsidR="00F341AA" w:rsidRDefault="00F341AA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A1FDE6A" w14:textId="77777777" w:rsidR="00F341AA" w:rsidRDefault="00F341AA">
      <w:pPr>
        <w:spacing w:line="240" w:lineRule="auto"/>
        <w:rPr>
          <w:sz w:val="2"/>
          <w:szCs w:val="2"/>
        </w:rPr>
      </w:pPr>
    </w:p>
  </w:footnote>
  <w:footnote w:id="2">
    <w:p w14:paraId="3C702767" w14:textId="77777777" w:rsidR="00023A38" w:rsidRDefault="00256E5E">
      <w:pPr>
        <w:pStyle w:val="FootnoteText"/>
        <w:rPr>
          <w:lang w:val="en-US"/>
        </w:rPr>
      </w:pPr>
      <w:r>
        <w:tab/>
      </w:r>
      <w:r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The present document is being issued without formal editing.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7BA65" w14:textId="77777777" w:rsidR="00023A38" w:rsidRDefault="007F4501">
    <w:pPr>
      <w:pStyle w:val="Header"/>
    </w:pPr>
    <w:r>
      <w:t>CEDAW/C/TKM/FCO/6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C4EA8" w14:textId="77777777" w:rsidR="00023A38" w:rsidRDefault="007F4501">
    <w:pPr>
      <w:pStyle w:val="Header"/>
      <w:jc w:val="right"/>
    </w:pPr>
    <w:r>
      <w:t>CEDAW/C/TKM/FCO/6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76B30"/>
    <w:multiLevelType w:val="hybridMultilevel"/>
    <w:tmpl w:val="BD90C4F6"/>
    <w:lvl w:ilvl="0" w:tplc="2000000F">
      <w:start w:val="1"/>
      <w:numFmt w:val="decimal"/>
      <w:lvlText w:val="%1."/>
      <w:lvlJc w:val="left"/>
      <w:pPr>
        <w:ind w:left="1854" w:hanging="360"/>
      </w:pPr>
    </w:lvl>
    <w:lvl w:ilvl="1" w:tplc="20000019" w:tentative="1">
      <w:start w:val="1"/>
      <w:numFmt w:val="lowerLetter"/>
      <w:lvlText w:val="%2."/>
      <w:lvlJc w:val="left"/>
      <w:pPr>
        <w:ind w:left="2574" w:hanging="360"/>
      </w:pPr>
    </w:lvl>
    <w:lvl w:ilvl="2" w:tplc="2000001B" w:tentative="1">
      <w:start w:val="1"/>
      <w:numFmt w:val="lowerRoman"/>
      <w:lvlText w:val="%3."/>
      <w:lvlJc w:val="right"/>
      <w:pPr>
        <w:ind w:left="3294" w:hanging="180"/>
      </w:pPr>
    </w:lvl>
    <w:lvl w:ilvl="3" w:tplc="2000000F" w:tentative="1">
      <w:start w:val="1"/>
      <w:numFmt w:val="decimal"/>
      <w:lvlText w:val="%4."/>
      <w:lvlJc w:val="left"/>
      <w:pPr>
        <w:ind w:left="4014" w:hanging="360"/>
      </w:pPr>
    </w:lvl>
    <w:lvl w:ilvl="4" w:tplc="20000019" w:tentative="1">
      <w:start w:val="1"/>
      <w:numFmt w:val="lowerLetter"/>
      <w:lvlText w:val="%5."/>
      <w:lvlJc w:val="left"/>
      <w:pPr>
        <w:ind w:left="4734" w:hanging="360"/>
      </w:pPr>
    </w:lvl>
    <w:lvl w:ilvl="5" w:tplc="2000001B" w:tentative="1">
      <w:start w:val="1"/>
      <w:numFmt w:val="lowerRoman"/>
      <w:lvlText w:val="%6."/>
      <w:lvlJc w:val="right"/>
      <w:pPr>
        <w:ind w:left="5454" w:hanging="180"/>
      </w:pPr>
    </w:lvl>
    <w:lvl w:ilvl="6" w:tplc="2000000F" w:tentative="1">
      <w:start w:val="1"/>
      <w:numFmt w:val="decimal"/>
      <w:lvlText w:val="%7."/>
      <w:lvlJc w:val="left"/>
      <w:pPr>
        <w:ind w:left="6174" w:hanging="360"/>
      </w:pPr>
    </w:lvl>
    <w:lvl w:ilvl="7" w:tplc="20000019" w:tentative="1">
      <w:start w:val="1"/>
      <w:numFmt w:val="lowerLetter"/>
      <w:lvlText w:val="%8."/>
      <w:lvlJc w:val="left"/>
      <w:pPr>
        <w:ind w:left="6894" w:hanging="360"/>
      </w:pPr>
    </w:lvl>
    <w:lvl w:ilvl="8" w:tplc="200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3D24E7E4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DC6A91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D6ED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60AF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C289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8AB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16CE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5626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2E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7D734D"/>
    <w:multiLevelType w:val="hybridMultilevel"/>
    <w:tmpl w:val="4C0C01DE"/>
    <w:lvl w:ilvl="0" w:tplc="E41A596A">
      <w:start w:val="1"/>
      <w:numFmt w:val="decimal"/>
      <w:lvlText w:val="%1."/>
      <w:lvlJc w:val="left"/>
      <w:pPr>
        <w:ind w:left="1710" w:hanging="360"/>
      </w:pPr>
    </w:lvl>
    <w:lvl w:ilvl="1" w:tplc="A290E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CF4EB2"/>
    <w:multiLevelType w:val="hybridMultilevel"/>
    <w:tmpl w:val="CB6C816A"/>
    <w:lvl w:ilvl="0" w:tplc="58262632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94E21E54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80ABCFA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32A0AB80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E04699B0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8820C7E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C9E70B0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ACB4E9C4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A6466CF4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3CAB1EAC"/>
    <w:multiLevelType w:val="multilevel"/>
    <w:tmpl w:val="C470AB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7B42AE"/>
    <w:multiLevelType w:val="hybridMultilevel"/>
    <w:tmpl w:val="C0E4A160"/>
    <w:lvl w:ilvl="0" w:tplc="E41A596A">
      <w:start w:val="1"/>
      <w:numFmt w:val="decimal"/>
      <w:lvlText w:val="%1."/>
      <w:lvlJc w:val="left"/>
      <w:pPr>
        <w:ind w:left="1710" w:hanging="360"/>
      </w:pPr>
    </w:lvl>
    <w:lvl w:ilvl="1" w:tplc="A290E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8AD07B2"/>
    <w:multiLevelType w:val="hybridMultilevel"/>
    <w:tmpl w:val="7FEE3222"/>
    <w:lvl w:ilvl="0" w:tplc="35381DE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74A086F8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5478D7A2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DCB8424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C840FC1E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9B4E982E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94F03F94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65BA243A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44303C40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81918184">
    <w:abstractNumId w:val="19"/>
  </w:num>
  <w:num w:numId="2" w16cid:durableId="1221480568">
    <w:abstractNumId w:val="13"/>
  </w:num>
  <w:num w:numId="3" w16cid:durableId="1476294582">
    <w:abstractNumId w:val="11"/>
  </w:num>
  <w:num w:numId="4" w16cid:durableId="1385520347">
    <w:abstractNumId w:val="8"/>
  </w:num>
  <w:num w:numId="5" w16cid:durableId="196355747">
    <w:abstractNumId w:val="3"/>
  </w:num>
  <w:num w:numId="6" w16cid:durableId="285434784">
    <w:abstractNumId w:val="2"/>
  </w:num>
  <w:num w:numId="7" w16cid:durableId="1199204011">
    <w:abstractNumId w:val="1"/>
  </w:num>
  <w:num w:numId="8" w16cid:durableId="375931706">
    <w:abstractNumId w:val="0"/>
  </w:num>
  <w:num w:numId="9" w16cid:durableId="522520332">
    <w:abstractNumId w:val="9"/>
  </w:num>
  <w:num w:numId="10" w16cid:durableId="172569862">
    <w:abstractNumId w:val="7"/>
  </w:num>
  <w:num w:numId="11" w16cid:durableId="1927809577">
    <w:abstractNumId w:val="6"/>
  </w:num>
  <w:num w:numId="12" w16cid:durableId="606693343">
    <w:abstractNumId w:val="5"/>
  </w:num>
  <w:num w:numId="13" w16cid:durableId="878198638">
    <w:abstractNumId w:val="4"/>
  </w:num>
  <w:num w:numId="14" w16cid:durableId="44181609">
    <w:abstractNumId w:val="19"/>
  </w:num>
  <w:num w:numId="15" w16cid:durableId="919873804">
    <w:abstractNumId w:val="13"/>
  </w:num>
  <w:num w:numId="16" w16cid:durableId="858734238">
    <w:abstractNumId w:val="11"/>
  </w:num>
  <w:num w:numId="17" w16cid:durableId="2124686876">
    <w:abstractNumId w:val="15"/>
  </w:num>
  <w:num w:numId="18" w16cid:durableId="262154591">
    <w:abstractNumId w:val="18"/>
  </w:num>
  <w:num w:numId="19" w16cid:durableId="64115046">
    <w:abstractNumId w:val="17"/>
  </w:num>
  <w:num w:numId="20" w16cid:durableId="2114013856">
    <w:abstractNumId w:val="20"/>
  </w:num>
  <w:num w:numId="21" w16cid:durableId="658270844">
    <w:abstractNumId w:val="16"/>
  </w:num>
  <w:num w:numId="22" w16cid:durableId="1811287843">
    <w:abstractNumId w:val="12"/>
  </w:num>
  <w:num w:numId="23" w16cid:durableId="2116779068">
    <w:abstractNumId w:val="14"/>
  </w:num>
  <w:num w:numId="24" w16cid:durableId="6759596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A38"/>
    <w:rsid w:val="00023A38"/>
    <w:rsid w:val="00256E5E"/>
    <w:rsid w:val="00394C19"/>
    <w:rsid w:val="003D6145"/>
    <w:rsid w:val="004330CD"/>
    <w:rsid w:val="004A43A3"/>
    <w:rsid w:val="005F7A44"/>
    <w:rsid w:val="006C0089"/>
    <w:rsid w:val="00737760"/>
    <w:rsid w:val="007C6769"/>
    <w:rsid w:val="007F4501"/>
    <w:rsid w:val="008F3CCA"/>
    <w:rsid w:val="00961F63"/>
    <w:rsid w:val="0097326A"/>
    <w:rsid w:val="00A0383E"/>
    <w:rsid w:val="00A44539"/>
    <w:rsid w:val="00C4438D"/>
    <w:rsid w:val="00C91E9E"/>
    <w:rsid w:val="00CD7453"/>
    <w:rsid w:val="00E06AC2"/>
    <w:rsid w:val="00E9039C"/>
    <w:rsid w:val="00F341AA"/>
    <w:rsid w:val="00F8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6F5CBB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0C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Normal"/>
    <w:qFormat/>
    <w:pPr>
      <w:numPr>
        <w:numId w:val="16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</w:style>
  <w:style w:type="character" w:customStyle="1" w:styleId="EndnoteTextChar">
    <w:name w:val="Endnote Text Char"/>
    <w:aliases w:val="2_G Char"/>
    <w:basedOn w:val="DefaultParagraphFont"/>
    <w:link w:val="EndnoteText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pPr>
      <w:numPr>
        <w:numId w:val="18"/>
      </w:numPr>
    </w:pPr>
  </w:style>
  <w:style w:type="numbering" w:styleId="1ai">
    <w:name w:val="Outline List 1"/>
    <w:basedOn w:val="NoList"/>
    <w:semiHidden/>
    <w:pPr>
      <w:numPr>
        <w:numId w:val="20"/>
      </w:numPr>
    </w:pPr>
  </w:style>
  <w:style w:type="table" w:customStyle="1" w:styleId="TableGrid1">
    <w:name w:val="Table Grid1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CD74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yperlink" Target="http://www.stat.gov.tm/population-cens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  <Document_x0020_Date xmlns="985ec44e-1bab-4c0b-9df0-6ba128686fc9">2026-04-02T10:32:49+00:00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5D47C-D9C6-499E-9359-81CF91844D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DFC919-DEF2-4D93-B3A2-2D836A1CAF8D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29926d6b-938b-4af7-b041-aee0d57e6e3d"/>
    <ds:schemaRef ds:uri="11a6fe0c-d8de-4390-afb3-d9c7c54181f0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10B1B7-A4CC-4C84-A714-1AF78753C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2226</Words>
  <Characters>13181</Characters>
  <Application>Microsoft Office Word</Application>
  <DocSecurity>0</DocSecurity>
  <Lines>212</Lines>
  <Paragraphs>66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DCM</Company>
  <LinksUpToDate>false</LinksUpToDate>
  <CharactersWithSpaces>15341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CEDAW/C/TKM/FCO/6</dc:title>
  <dc:creator>Gloria</dc:creator>
  <cp:lastModifiedBy>Jamila Devi Seerathun</cp:lastModifiedBy>
  <cp:revision>3</cp:revision>
  <cp:lastPrinted>2017-04-21T12:16:00Z</cp:lastPrinted>
  <dcterms:created xsi:type="dcterms:W3CDTF">2026-04-07T13:04:00Z</dcterms:created>
  <dcterms:modified xsi:type="dcterms:W3CDTF">2026-04-07T13:04:00Z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CEDAW</vt:lpwstr>
  </property>
  <property fmtid="{D5CDD505-2E9C-101B-9397-08002B2CF9AE}" pid="7" name="ContentTypeId">
    <vt:lpwstr>0x010100A3CFA62B47352B44BFD11BEB9CD9FD5A</vt:lpwstr>
  </property>
  <property fmtid="{D5CDD505-2E9C-101B-9397-08002B2CF9AE}" pid="8" name="count">
    <vt:lpwstr>Turkmenistan</vt:lpwstr>
  </property>
  <property fmtid="{D5CDD505-2E9C-101B-9397-08002B2CF9AE}" pid="9" name="countw">
    <vt:lpwstr>Turkmenistan</vt:lpwstr>
  </property>
  <property fmtid="{D5CDD505-2E9C-101B-9397-08002B2CF9AE}" pid="10" name="countwd">
    <vt:lpwstr>Turkmenistan</vt:lpwstr>
  </property>
  <property fmtid="{D5CDD505-2E9C-101B-9397-08002B2CF9AE}" pid="11" name="date">
    <vt:lpwstr>7 April 2026</vt:lpwstr>
  </property>
  <property fmtid="{D5CDD505-2E9C-101B-9397-08002B2CF9AE}" pid="12" name="Date-Generated">
    <vt:filetime>2026-04-02T10:30:51Z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Concluding observations - Follow-up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Nmeet">
    <vt:lpwstr>Number</vt:lpwstr>
  </property>
  <property fmtid="{D5CDD505-2E9C-101B-9397-08002B2CF9AE}" pid="19" name="olang">
    <vt:lpwstr>English</vt:lpwstr>
  </property>
  <property fmtid="{D5CDD505-2E9C-101B-9397-08002B2CF9AE}" pid="20" name="Order">
    <vt:r8>160000</vt:r8>
  </property>
  <property fmtid="{D5CDD505-2E9C-101B-9397-08002B2CF9AE}" pid="21" name="Org">
    <vt:lpwstr>OHCHR</vt:lpwstr>
  </property>
  <property fmtid="{D5CDD505-2E9C-101B-9397-08002B2CF9AE}" pid="22" name="prep">
    <vt:lpwstr>sixth periodic report of Turkmenistan</vt:lpwstr>
  </property>
  <property fmtid="{D5CDD505-2E9C-101B-9397-08002B2CF9AE}" pid="23" name="preps">
    <vt:lpwstr>sixth periodic report of Turkmenistan</vt:lpwstr>
  </property>
  <property fmtid="{D5CDD505-2E9C-101B-9397-08002B2CF9AE}" pid="24" name="prepw">
    <vt:lpwstr>sixth periodic report</vt:lpwstr>
  </property>
  <property fmtid="{D5CDD505-2E9C-101B-9397-08002B2CF9AE}" pid="25" name="prepwc">
    <vt:lpwstr>Sixth periodic report </vt:lpwstr>
  </property>
  <property fmtid="{D5CDD505-2E9C-101B-9397-08002B2CF9AE}" pid="26" name="prepws">
    <vt:lpwstr>sixth periodic report</vt:lpwstr>
  </property>
  <property fmtid="{D5CDD505-2E9C-101B-9397-08002B2CF9AE}" pid="27" name="sdate">
    <vt:lpwstr>[Start-End Dates]</vt:lpwstr>
  </property>
  <property fmtid="{D5CDD505-2E9C-101B-9397-08002B2CF9AE}" pid="28" name="sloca">
    <vt:lpwstr>[Location]</vt:lpwstr>
  </property>
  <property fmtid="{D5CDD505-2E9C-101B-9397-08002B2CF9AE}" pid="29" name="snum">
    <vt:lpwstr>[NUMBER]</vt:lpwstr>
  </property>
  <property fmtid="{D5CDD505-2E9C-101B-9397-08002B2CF9AE}" pid="30" name="stitle">
    <vt:lpwstr>[Title]</vt:lpwstr>
  </property>
  <property fmtid="{D5CDD505-2E9C-101B-9397-08002B2CF9AE}" pid="31" name="sym1">
    <vt:lpwstr>C/TKM/FCO/6</vt:lpwstr>
  </property>
  <property fmtid="{D5CDD505-2E9C-101B-9397-08002B2CF9AE}" pid="32" name="symh">
    <vt:lpwstr>CEDAW/C/TKM/FCO/6</vt:lpwstr>
  </property>
  <property fmtid="{D5CDD505-2E9C-101B-9397-08002B2CF9AE}" pid="33" name="Title">
    <vt:lpwstr>CEDAW/C/TKM/FCO/6</vt:lpwstr>
  </property>
  <property fmtid="{D5CDD505-2E9C-101B-9397-08002B2CF9AE}" pid="34" name="tlang">
    <vt:lpwstr/>
  </property>
  <property fmtid="{D5CDD505-2E9C-101B-9397-08002B2CF9AE}" pid="35" name="virs">
    <vt:lpwstr>English, French, Russian and Spanish only</vt:lpwstr>
  </property>
  <property fmtid="{D5CDD505-2E9C-101B-9397-08002B2CF9AE}" pid="36" name="MediaServiceImageTags">
    <vt:lpwstr/>
  </property>
</Properties>
</file>