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F4C48" w14:paraId="070955E2" w14:textId="77777777" w:rsidTr="00981901">
        <w:trPr>
          <w:cantSplit/>
          <w:trHeight w:hRule="exact" w:val="851"/>
        </w:trPr>
        <w:tc>
          <w:tcPr>
            <w:tcW w:w="1276" w:type="dxa"/>
            <w:tcBorders>
              <w:bottom w:val="single" w:sz="4" w:space="0" w:color="auto"/>
            </w:tcBorders>
            <w:vAlign w:val="bottom"/>
          </w:tcPr>
          <w:p w14:paraId="5042A89F" w14:textId="77777777" w:rsidR="001E498C" w:rsidRPr="00F43810" w:rsidRDefault="001E498C" w:rsidP="00981901">
            <w:pPr>
              <w:spacing w:after="80"/>
            </w:pPr>
          </w:p>
        </w:tc>
        <w:tc>
          <w:tcPr>
            <w:tcW w:w="2268" w:type="dxa"/>
            <w:tcBorders>
              <w:bottom w:val="single" w:sz="4" w:space="0" w:color="auto"/>
            </w:tcBorders>
            <w:vAlign w:val="bottom"/>
          </w:tcPr>
          <w:p w14:paraId="284BCC28" w14:textId="4D8A12D0" w:rsidR="001E498C" w:rsidRPr="00F43810" w:rsidRDefault="001E498C" w:rsidP="00981901">
            <w:pPr>
              <w:spacing w:after="80" w:line="300" w:lineRule="exact"/>
              <w:rPr>
                <w:b/>
                <w:sz w:val="24"/>
                <w:szCs w:val="24"/>
              </w:rPr>
            </w:pPr>
          </w:p>
        </w:tc>
        <w:tc>
          <w:tcPr>
            <w:tcW w:w="6095" w:type="dxa"/>
            <w:gridSpan w:val="2"/>
            <w:tcBorders>
              <w:bottom w:val="single" w:sz="4" w:space="0" w:color="auto"/>
            </w:tcBorders>
            <w:vAlign w:val="bottom"/>
          </w:tcPr>
          <w:p w14:paraId="7EE3DFB0" w14:textId="77777777" w:rsidR="001E498C" w:rsidRPr="00F43810" w:rsidRDefault="00433D56" w:rsidP="00981901">
            <w:pPr>
              <w:suppressAutoHyphens w:val="0"/>
              <w:spacing w:after="20"/>
              <w:jc w:val="right"/>
            </w:pPr>
            <w:r>
              <w:rPr>
                <w:sz w:val="40"/>
              </w:rPr>
              <w:t>C</w:t>
            </w:r>
            <w:r w:rsidR="00B002C4">
              <w:rPr>
                <w:sz w:val="40"/>
              </w:rPr>
              <w:t>CPR</w:t>
            </w:r>
            <w:r w:rsidR="006D44E0">
              <w:t>/</w:t>
            </w:r>
            <w:r w:rsidR="00475149" w:rsidRPr="00F43810">
              <w:t>C/TGO/FCO/5</w:t>
            </w:r>
          </w:p>
        </w:tc>
      </w:tr>
      <w:tr w:rsidR="008F4C48" w14:paraId="46475F96" w14:textId="77777777" w:rsidTr="00981901">
        <w:trPr>
          <w:cantSplit/>
          <w:trHeight w:hRule="exact" w:val="2835"/>
        </w:trPr>
        <w:tc>
          <w:tcPr>
            <w:tcW w:w="1276" w:type="dxa"/>
            <w:tcBorders>
              <w:top w:val="single" w:sz="4" w:space="0" w:color="auto"/>
              <w:bottom w:val="single" w:sz="12" w:space="0" w:color="auto"/>
            </w:tcBorders>
          </w:tcPr>
          <w:p w14:paraId="0C3064CB" w14:textId="3D4F705E" w:rsidR="001E498C" w:rsidRPr="00EE39C4" w:rsidRDefault="001E498C" w:rsidP="00981901">
            <w:pPr>
              <w:spacing w:before="120"/>
              <w:jc w:val="center"/>
              <w:rPr>
                <w:sz w:val="32"/>
                <w:szCs w:val="32"/>
              </w:rPr>
            </w:pPr>
          </w:p>
        </w:tc>
        <w:tc>
          <w:tcPr>
            <w:tcW w:w="5528" w:type="dxa"/>
            <w:gridSpan w:val="2"/>
            <w:tcBorders>
              <w:top w:val="single" w:sz="4" w:space="0" w:color="auto"/>
              <w:bottom w:val="single" w:sz="12" w:space="0" w:color="auto"/>
            </w:tcBorders>
          </w:tcPr>
          <w:p w14:paraId="1374D493" w14:textId="77777777" w:rsidR="00EE39C4" w:rsidRPr="00EE39C4" w:rsidRDefault="00EE39C4" w:rsidP="00EE39C4">
            <w:pPr>
              <w:spacing w:before="120" w:line="380" w:lineRule="exact"/>
              <w:rPr>
                <w:sz w:val="32"/>
                <w:szCs w:val="32"/>
                <w:lang w:val="en-US"/>
              </w:rPr>
            </w:pPr>
            <w:r w:rsidRPr="00EE39C4">
              <w:rPr>
                <w:sz w:val="32"/>
                <w:szCs w:val="32"/>
                <w:lang w:val="en-US"/>
              </w:rPr>
              <w:t>V</w:t>
            </w:r>
            <w:r w:rsidRPr="00EE39C4">
              <w:rPr>
                <w:b/>
                <w:bCs/>
                <w:sz w:val="32"/>
                <w:szCs w:val="32"/>
                <w:lang w:val="en-US"/>
              </w:rPr>
              <w:t xml:space="preserve">ersion </w:t>
            </w:r>
            <w:proofErr w:type="spellStart"/>
            <w:r w:rsidRPr="00EE39C4">
              <w:rPr>
                <w:b/>
                <w:bCs/>
                <w:sz w:val="32"/>
                <w:szCs w:val="32"/>
                <w:lang w:val="en-US"/>
              </w:rPr>
              <w:t>provisoire</w:t>
            </w:r>
            <w:proofErr w:type="spellEnd"/>
            <w:r w:rsidRPr="00EE39C4">
              <w:rPr>
                <w:b/>
                <w:bCs/>
                <w:sz w:val="32"/>
                <w:szCs w:val="32"/>
                <w:lang w:val="en-US"/>
              </w:rPr>
              <w:t xml:space="preserve"> non </w:t>
            </w:r>
            <w:proofErr w:type="spellStart"/>
            <w:r w:rsidRPr="00EE39C4">
              <w:rPr>
                <w:b/>
                <w:bCs/>
                <w:sz w:val="32"/>
                <w:szCs w:val="32"/>
                <w:lang w:val="en-US"/>
              </w:rPr>
              <w:t>éditée</w:t>
            </w:r>
            <w:proofErr w:type="spellEnd"/>
          </w:p>
          <w:p w14:paraId="3797813C" w14:textId="49F9E938" w:rsidR="001E498C" w:rsidRPr="00EE39C4" w:rsidRDefault="001E498C" w:rsidP="00684555">
            <w:pPr>
              <w:spacing w:before="120" w:line="380" w:lineRule="exact"/>
              <w:rPr>
                <w:sz w:val="32"/>
                <w:szCs w:val="32"/>
              </w:rPr>
            </w:pPr>
          </w:p>
        </w:tc>
        <w:tc>
          <w:tcPr>
            <w:tcW w:w="2835" w:type="dxa"/>
            <w:tcBorders>
              <w:top w:val="single" w:sz="4" w:space="0" w:color="auto"/>
              <w:bottom w:val="single" w:sz="12" w:space="0" w:color="auto"/>
            </w:tcBorders>
          </w:tcPr>
          <w:p w14:paraId="4A45AB32" w14:textId="77777777" w:rsidR="001E498C" w:rsidRPr="00F43810" w:rsidRDefault="00433D56" w:rsidP="00981901">
            <w:pPr>
              <w:suppressAutoHyphens w:val="0"/>
              <w:spacing w:before="240" w:line="240" w:lineRule="exact"/>
            </w:pPr>
            <w:r>
              <w:t>Distr.</w:t>
            </w:r>
            <w:r w:rsidRPr="00F43810">
              <w:t xml:space="preserve"> </w:t>
            </w:r>
            <w:r w:rsidR="006056E0" w:rsidRPr="00F43810">
              <w:t>générale</w:t>
            </w:r>
          </w:p>
          <w:p w14:paraId="6DC5732E" w14:textId="77777777" w:rsidR="001E498C" w:rsidRPr="00F43810" w:rsidRDefault="006056E0" w:rsidP="00981901">
            <w:pPr>
              <w:suppressAutoHyphens w:val="0"/>
            </w:pPr>
            <w:r w:rsidRPr="00F43810">
              <w:t>23 juillet 2026</w:t>
            </w:r>
          </w:p>
          <w:p w14:paraId="4AE099A1" w14:textId="77777777" w:rsidR="006056E0" w:rsidRPr="00F43810" w:rsidRDefault="006056E0" w:rsidP="00981901">
            <w:pPr>
              <w:suppressAutoHyphens w:val="0"/>
            </w:pPr>
          </w:p>
          <w:p w14:paraId="2572A150" w14:textId="77777777" w:rsidR="001E498C" w:rsidRPr="00F43810" w:rsidRDefault="00433D56" w:rsidP="00981901">
            <w:pPr>
              <w:suppressAutoHyphens w:val="0"/>
            </w:pPr>
            <w:r>
              <w:t>Original </w:t>
            </w:r>
            <w:r w:rsidR="00206CF2">
              <w:t>:</w:t>
            </w:r>
            <w:r w:rsidRPr="00F43810">
              <w:t xml:space="preserve"> </w:t>
            </w:r>
            <w:r w:rsidR="006056E0" w:rsidRPr="00F43810">
              <w:t>français</w:t>
            </w:r>
          </w:p>
          <w:p w14:paraId="39A33C26" w14:textId="77777777" w:rsidR="006056E0" w:rsidRPr="00F43810" w:rsidRDefault="00433D56" w:rsidP="00981901">
            <w:pPr>
              <w:suppressAutoHyphens w:val="0"/>
            </w:pPr>
            <w:r w:rsidRPr="00F43810">
              <w:t>Anglais et français seulement</w:t>
            </w:r>
          </w:p>
        </w:tc>
      </w:tr>
    </w:tbl>
    <w:p w14:paraId="3B2AD8E8" w14:textId="77777777" w:rsidR="00B002C4" w:rsidRDefault="00433D56" w:rsidP="00B002C4">
      <w:pPr>
        <w:spacing w:before="120"/>
        <w:rPr>
          <w:b/>
          <w:sz w:val="24"/>
          <w:szCs w:val="24"/>
        </w:rPr>
      </w:pPr>
      <w:r w:rsidRPr="00DF3BF1">
        <w:rPr>
          <w:b/>
          <w:sz w:val="24"/>
          <w:szCs w:val="24"/>
        </w:rPr>
        <w:t>Comité des droits de l’homme</w:t>
      </w:r>
    </w:p>
    <w:p w14:paraId="75D006D5" w14:textId="77777777" w:rsidR="004D6048" w:rsidRDefault="00433D56" w:rsidP="00F16DC1">
      <w:pPr>
        <w:pStyle w:val="HMG"/>
        <w:rPr>
          <w:sz w:val="20"/>
        </w:rPr>
      </w:pPr>
      <w:r>
        <w:tab/>
      </w:r>
      <w:r>
        <w:tab/>
        <w:t>Renseignements reçus du Togo au sujet de la suite donnée aux observations finales</w:t>
      </w:r>
      <w:r w:rsidR="00B42154">
        <w:t xml:space="preserve"> concernant son cinquième rapport périodique</w:t>
      </w:r>
      <w:r>
        <w:rPr>
          <w:rStyle w:val="FootnoteReference"/>
          <w:b w:val="0"/>
          <w:sz w:val="20"/>
          <w:vertAlign w:val="baseline"/>
        </w:rPr>
        <w:footnoteReference w:customMarkFollows="1" w:id="2"/>
        <w:t>*</w:t>
      </w:r>
    </w:p>
    <w:p w14:paraId="48A30F51" w14:textId="59CE8E06" w:rsidR="004D6048" w:rsidRDefault="00433D56" w:rsidP="00F93630">
      <w:pPr>
        <w:pStyle w:val="SingleTxtG"/>
        <w:jc w:val="right"/>
      </w:pPr>
      <w:r>
        <w:t>[</w:t>
      </w:r>
      <w:r w:rsidRPr="00640E26">
        <w:t>Date de récepti</w:t>
      </w:r>
      <w:r w:rsidRPr="002E46F4">
        <w:t>on</w:t>
      </w:r>
      <w:r w:rsidR="0041397A" w:rsidRPr="002E46F4">
        <w:t> </w:t>
      </w:r>
      <w:r w:rsidRPr="002E46F4">
        <w:t xml:space="preserve">: </w:t>
      </w:r>
      <w:r w:rsidR="002E46F4" w:rsidRPr="002E46F4">
        <w:t>20 juillet 2026</w:t>
      </w:r>
      <w:r w:rsidRPr="002E46F4">
        <w:t>]</w:t>
      </w:r>
    </w:p>
    <w:p w14:paraId="4348B895" w14:textId="7B206D55" w:rsidR="002E46F4" w:rsidRDefault="002E46F4">
      <w:pPr>
        <w:suppressAutoHyphens w:val="0"/>
        <w:kinsoku/>
        <w:overflowPunct/>
        <w:autoSpaceDE/>
        <w:autoSpaceDN/>
        <w:adjustRightInd/>
        <w:snapToGrid/>
        <w:spacing w:after="200" w:line="276" w:lineRule="auto"/>
        <w:rPr>
          <w:rFonts w:eastAsiaTheme="minorEastAsia"/>
          <w:color w:val="0000FF"/>
          <w:lang w:eastAsia="zh-CN"/>
        </w:rPr>
      </w:pPr>
      <w:r>
        <w:rPr>
          <w:color w:val="0000FF"/>
        </w:rPr>
        <w:br w:type="page"/>
      </w:r>
    </w:p>
    <w:p w14:paraId="3623ECD7" w14:textId="51F8AB97" w:rsidR="002E46F4" w:rsidRPr="00EA315B" w:rsidRDefault="002E46F4" w:rsidP="00EA315B">
      <w:pPr>
        <w:pStyle w:val="HChG"/>
      </w:pPr>
      <w:r>
        <w:rPr>
          <w:lang w:val="fr-FR"/>
        </w:rPr>
        <w:lastRenderedPageBreak/>
        <w:tab/>
      </w:r>
      <w:r w:rsidR="00E5504E">
        <w:rPr>
          <w:lang w:val="fr-FR"/>
        </w:rPr>
        <w:t>I.</w:t>
      </w:r>
      <w:r>
        <w:rPr>
          <w:lang w:val="fr-FR"/>
        </w:rPr>
        <w:tab/>
      </w:r>
      <w:r w:rsidRPr="00CE6086">
        <w:rPr>
          <w:lang w:val="fr-FR"/>
        </w:rPr>
        <w:t>Introduction</w:t>
      </w:r>
    </w:p>
    <w:p w14:paraId="1B41D105" w14:textId="77777777" w:rsidR="002E46F4" w:rsidRPr="00231521" w:rsidRDefault="002E46F4" w:rsidP="002E46F4">
      <w:pPr>
        <w:rPr>
          <w:sz w:val="2"/>
          <w:szCs w:val="2"/>
        </w:rPr>
      </w:pPr>
    </w:p>
    <w:p w14:paraId="46FC6949" w14:textId="16B35A43" w:rsidR="002E46F4" w:rsidRPr="00231521" w:rsidRDefault="002E46F4" w:rsidP="00EA315B">
      <w:pPr>
        <w:pStyle w:val="SingleTxtG"/>
      </w:pPr>
      <w:r>
        <w:t>1.</w:t>
      </w:r>
      <w:r>
        <w:tab/>
      </w:r>
      <w:r>
        <w:t>Le Comité des droits de l’homme a, c</w:t>
      </w:r>
      <w:r w:rsidRPr="00231521">
        <w:t>onformément au paragraphe 1 de l’article 75 d</w:t>
      </w:r>
      <w:r>
        <w:t xml:space="preserve">e son </w:t>
      </w:r>
      <w:r w:rsidRPr="00231521">
        <w:t>règlement</w:t>
      </w:r>
      <w:r>
        <w:t xml:space="preserve"> </w:t>
      </w:r>
      <w:r w:rsidRPr="00231521">
        <w:t>intérieur,</w:t>
      </w:r>
      <w:r>
        <w:t xml:space="preserve"> sollicité des renseignements </w:t>
      </w:r>
      <w:r w:rsidRPr="00231521">
        <w:t xml:space="preserve">sur la suite que le </w:t>
      </w:r>
      <w:r>
        <w:t>gouvernement togolais</w:t>
      </w:r>
      <w:r w:rsidRPr="00231521">
        <w:t xml:space="preserve"> a donnée aux </w:t>
      </w:r>
      <w:r>
        <w:t>r</w:t>
      </w:r>
      <w:r w:rsidRPr="00231521">
        <w:t>ecommandations figurant aux paragraphes 12, 26 et 44 des observations finales issues de l’examen</w:t>
      </w:r>
      <w:r>
        <w:t xml:space="preserve">, </w:t>
      </w:r>
      <w:r w:rsidRPr="00231521">
        <w:t>en juillet 2021</w:t>
      </w:r>
      <w:r>
        <w:t xml:space="preserve">, </w:t>
      </w:r>
      <w:r w:rsidRPr="00231521">
        <w:t>d</w:t>
      </w:r>
      <w:r>
        <w:t>u</w:t>
      </w:r>
      <w:r w:rsidRPr="00231521">
        <w:t xml:space="preserve"> cinquième rapport périodique</w:t>
      </w:r>
      <w:r>
        <w:t xml:space="preserve"> de la République togolaise</w:t>
      </w:r>
      <w:r w:rsidRPr="00231521">
        <w:t xml:space="preserve"> sur la mise en œuvre du Pacte international relatif aux droits civils et politiques</w:t>
      </w:r>
      <w:r>
        <w:t>.</w:t>
      </w:r>
    </w:p>
    <w:p w14:paraId="5C5FDF66" w14:textId="26A19AC8" w:rsidR="002E46F4" w:rsidRDefault="002E46F4" w:rsidP="002E46F4">
      <w:pPr>
        <w:pStyle w:val="SingleTxtG"/>
      </w:pPr>
      <w:r>
        <w:t>2.</w:t>
      </w:r>
      <w:r>
        <w:tab/>
      </w:r>
      <w:r w:rsidRPr="0073687B">
        <w:t>Par le présent document, le gouvernement soumet lesdits renseignements.</w:t>
      </w:r>
    </w:p>
    <w:p w14:paraId="7E1143F9" w14:textId="60439C3B" w:rsidR="00E5504E" w:rsidRDefault="00E5504E" w:rsidP="00E5504E">
      <w:pPr>
        <w:pStyle w:val="HChG"/>
        <w:rPr>
          <w:color w:val="0070C0"/>
          <w:lang w:val="fr-FR"/>
        </w:rPr>
      </w:pPr>
      <w:r w:rsidRPr="002F7DF7">
        <w:rPr>
          <w:lang w:val="fr-FR"/>
        </w:rPr>
        <w:tab/>
      </w:r>
      <w:r w:rsidRPr="00D0613C">
        <w:rPr>
          <w:lang w:val="fr-FR"/>
        </w:rPr>
        <w:t>II.</w:t>
      </w:r>
      <w:r w:rsidRPr="00D0613C">
        <w:rPr>
          <w:lang w:val="fr-FR"/>
        </w:rPr>
        <w:tab/>
      </w:r>
      <w:r w:rsidRPr="003575A7">
        <w:rPr>
          <w:lang w:val="fr-FR"/>
        </w:rPr>
        <w:t>Renseignements reçus au sujet de la suite</w:t>
      </w:r>
      <w:r>
        <w:rPr>
          <w:lang w:val="fr-FR"/>
        </w:rPr>
        <w:t xml:space="preserve"> </w:t>
      </w:r>
      <w:r w:rsidRPr="003575A7">
        <w:rPr>
          <w:lang w:val="fr-FR"/>
        </w:rPr>
        <w:t>donnée aux observations fi</w:t>
      </w:r>
      <w:r w:rsidRPr="00B539DB">
        <w:rPr>
          <w:lang w:val="fr-FR"/>
        </w:rPr>
        <w:t>nales (CCPR/C/TGO/CO/5)</w:t>
      </w:r>
    </w:p>
    <w:p w14:paraId="312A83A0" w14:textId="5B5F9BCC" w:rsidR="00E5504E" w:rsidRPr="00E5504E" w:rsidRDefault="00E5504E" w:rsidP="00E5504E">
      <w:pPr>
        <w:pStyle w:val="H1G"/>
      </w:pPr>
      <w:r>
        <w:rPr>
          <w:lang w:val="fr-FR"/>
        </w:rPr>
        <w:tab/>
      </w:r>
      <w:r w:rsidR="00EA315B">
        <w:rPr>
          <w:lang w:val="fr-FR"/>
        </w:rPr>
        <w:t>A.</w:t>
      </w:r>
      <w:r>
        <w:rPr>
          <w:lang w:val="fr-FR"/>
        </w:rPr>
        <w:tab/>
      </w:r>
      <w:r w:rsidRPr="00CE6086">
        <w:rPr>
          <w:lang w:val="fr-FR"/>
        </w:rPr>
        <w:t>Lutte contre la corruption</w:t>
      </w:r>
    </w:p>
    <w:p w14:paraId="7769A9AE" w14:textId="79F0E04E" w:rsidR="00E5504E" w:rsidRPr="000C2696" w:rsidRDefault="00E5504E" w:rsidP="00B539DB">
      <w:pPr>
        <w:pStyle w:val="H23G"/>
        <w:rPr>
          <w:lang w:val="fr-FR"/>
        </w:rPr>
      </w:pPr>
      <w:r>
        <w:tab/>
      </w:r>
      <w:r>
        <w:tab/>
      </w:r>
      <w:r w:rsidRPr="003575A7">
        <w:rPr>
          <w:lang w:val="fr-FR"/>
        </w:rPr>
        <w:t xml:space="preserve">Renseignements sur la suite donnée aux recommandations figurant </w:t>
      </w:r>
      <w:r w:rsidRPr="000C2696">
        <w:rPr>
          <w:lang w:val="fr-FR"/>
        </w:rPr>
        <w:t>au</w:t>
      </w:r>
      <w:r>
        <w:rPr>
          <w:color w:val="FF0000"/>
          <w:lang w:val="fr-FR"/>
        </w:rPr>
        <w:t xml:space="preserve"> </w:t>
      </w:r>
      <w:r w:rsidR="00176603">
        <w:rPr>
          <w:color w:val="FF0000"/>
          <w:lang w:val="fr-FR"/>
        </w:rPr>
        <w:br/>
      </w:r>
      <w:r w:rsidRPr="000C2696">
        <w:rPr>
          <w:lang w:val="fr-FR"/>
        </w:rPr>
        <w:t>pa</w:t>
      </w:r>
      <w:r w:rsidRPr="00B539DB">
        <w:rPr>
          <w:lang w:val="fr-FR"/>
        </w:rPr>
        <w:t>ragraphe</w:t>
      </w:r>
      <w:r w:rsidRPr="00B539DB">
        <w:rPr>
          <w:lang w:val="fr-FR"/>
        </w:rPr>
        <w:t xml:space="preserve"> 12 (a) </w:t>
      </w:r>
    </w:p>
    <w:p w14:paraId="663A0712" w14:textId="6447B606" w:rsidR="002E46F4" w:rsidRPr="001A295F" w:rsidRDefault="002E46F4" w:rsidP="002E46F4">
      <w:pPr>
        <w:jc w:val="both"/>
        <w:rPr>
          <w:sz w:val="2"/>
          <w:szCs w:val="2"/>
        </w:rPr>
      </w:pPr>
    </w:p>
    <w:p w14:paraId="5B2E271D" w14:textId="1BB5A166" w:rsidR="002E46F4" w:rsidRPr="00D26611" w:rsidRDefault="00E5504E" w:rsidP="00E5504E">
      <w:pPr>
        <w:pStyle w:val="SingleTxtG"/>
        <w:rPr>
          <w:rFonts w:eastAsia="SimSun"/>
          <w:b/>
        </w:rPr>
      </w:pPr>
      <w:r>
        <w:rPr>
          <w:rFonts w:eastAsia="Times New Roman"/>
        </w:rPr>
        <w:t>3.</w:t>
      </w:r>
      <w:r>
        <w:rPr>
          <w:rFonts w:eastAsia="Times New Roman"/>
        </w:rPr>
        <w:tab/>
      </w:r>
      <w:r w:rsidR="002E46F4" w:rsidRPr="000B6E97">
        <w:rPr>
          <w:rFonts w:eastAsia="Times New Roman"/>
        </w:rPr>
        <w:t>L</w:t>
      </w:r>
      <w:r w:rsidR="002E46F4" w:rsidRPr="000B6E97">
        <w:t xml:space="preserve">a Haute autorité de prévention et de lutte contre la corruption et les infractions assimilées (HAPLUCIA), dans le souci de renforcer la lutte contre la corruption, a élaboré une stratégie nationale de prévention et de lutte contre la corruption et les infractions assimilées dont la vision est de : « faire du Togo un pays modèle en matière de lutte contre la corruption en vue d’une croissance économique inclusive et durable ».  </w:t>
      </w:r>
      <w:r w:rsidR="002E46F4">
        <w:rPr>
          <w:kern w:val="2"/>
          <w14:ligatures w14:val="standardContextual"/>
        </w:rPr>
        <w:t xml:space="preserve">Elle </w:t>
      </w:r>
      <w:r w:rsidR="002E46F4" w:rsidRPr="00D26611">
        <w:rPr>
          <w:rFonts w:eastAsia="Times New Roman"/>
        </w:rPr>
        <w:t>a mis en place un numéro vert 8277 pour permettre à toute personne de dénoncer les actes de corruption.</w:t>
      </w:r>
    </w:p>
    <w:p w14:paraId="149F5AC1" w14:textId="15C0461D" w:rsidR="002E46F4" w:rsidRDefault="00E5504E" w:rsidP="00E5504E">
      <w:pPr>
        <w:pStyle w:val="SingleTxtG"/>
      </w:pPr>
      <w:r>
        <w:t>4.</w:t>
      </w:r>
      <w:r>
        <w:tab/>
      </w:r>
      <w:r w:rsidR="002E46F4" w:rsidRPr="00D26611">
        <w:t>En raison de l’évolution constitutionnelle que le Togo a connue, la HAPLUCIA est devenue la Haute Autorité pour la transparence, l’intégrité de la vie publique et la lutte contre la corruption qui cumule désormais la lutte contre la corruption et la déclaration des situations d’intérêts (article 82 de la Constitution du 6 mai 2024).</w:t>
      </w:r>
    </w:p>
    <w:p w14:paraId="7A34089D" w14:textId="4CABE805" w:rsidR="00E5504E" w:rsidRPr="00D26611" w:rsidRDefault="00E5504E" w:rsidP="00B539DB">
      <w:pPr>
        <w:pStyle w:val="H23G"/>
        <w:rPr>
          <w:sz w:val="28"/>
          <w:szCs w:val="28"/>
        </w:rPr>
      </w:pPr>
      <w:r>
        <w:tab/>
      </w:r>
      <w:r>
        <w:tab/>
      </w:r>
      <w:r>
        <w:tab/>
      </w:r>
      <w:r w:rsidRPr="003575A7">
        <w:rPr>
          <w:lang w:val="fr-FR"/>
        </w:rPr>
        <w:t>Renseigne</w:t>
      </w:r>
      <w:r w:rsidRPr="00B539DB">
        <w:rPr>
          <w:lang w:val="fr-FR"/>
        </w:rPr>
        <w:t xml:space="preserve">ments sur la suite donnée aux recommandations figurant au </w:t>
      </w:r>
      <w:r w:rsidR="00176603">
        <w:rPr>
          <w:lang w:val="fr-FR"/>
        </w:rPr>
        <w:br/>
      </w:r>
      <w:r w:rsidRPr="00B539DB">
        <w:rPr>
          <w:lang w:val="fr-FR"/>
        </w:rPr>
        <w:t>paragraphe 12 (</w:t>
      </w:r>
      <w:r w:rsidRPr="00B539DB">
        <w:rPr>
          <w:lang w:val="fr-FR"/>
        </w:rPr>
        <w:t>b</w:t>
      </w:r>
      <w:r w:rsidRPr="00B539DB">
        <w:rPr>
          <w:lang w:val="fr-FR"/>
        </w:rPr>
        <w:t>)</w:t>
      </w:r>
    </w:p>
    <w:p w14:paraId="25E44314" w14:textId="65910F15" w:rsidR="002E46F4" w:rsidRPr="00D26611" w:rsidRDefault="00E5504E" w:rsidP="00E5504E">
      <w:pPr>
        <w:pStyle w:val="SingleTxtG"/>
      </w:pPr>
      <w:r w:rsidRPr="00E5504E">
        <w:t>5.</w:t>
      </w:r>
      <w:r w:rsidRPr="00E5504E">
        <w:tab/>
      </w:r>
      <w:r w:rsidR="002E46F4" w:rsidRPr="00D26611">
        <w:t xml:space="preserve">Dans le fonctionnement de la justice pénale, en général et particulièrement en matière de lutte contre la criminalité transnationale organisée, les magistrats et les officiers de police judiciaire de la République togolaise participent chaque année à des programmes de formation continue se déroulant au pays ou à l’étranger. Ces formations comportent toujours des modules sur le respect de l’éthique et de la déontologie. Les principales organisations internationales partenaires dispensant ces formations sont l’Organisation des Nations Unies contre la drogue et le crime (ONUDC), l’Institut international pour la justice et l’Etat de droit (IIJ), basé à Malte et l’International Law </w:t>
      </w:r>
      <w:proofErr w:type="spellStart"/>
      <w:r w:rsidR="002E46F4" w:rsidRPr="00D26611">
        <w:t>Enforcement</w:t>
      </w:r>
      <w:proofErr w:type="spellEnd"/>
      <w:r w:rsidR="002E46F4" w:rsidRPr="00D26611">
        <w:t xml:space="preserve"> Academy (ILEA), basé à Gaborone au Botswana et à Accra au Ghana.</w:t>
      </w:r>
    </w:p>
    <w:p w14:paraId="40EE1761" w14:textId="64D471C6" w:rsidR="002E46F4" w:rsidRPr="00D26611" w:rsidRDefault="00E5504E" w:rsidP="00E5504E">
      <w:pPr>
        <w:pStyle w:val="SingleTxtG"/>
      </w:pPr>
      <w:r>
        <w:t>6.</w:t>
      </w:r>
      <w:r>
        <w:tab/>
      </w:r>
      <w:r w:rsidR="002E46F4" w:rsidRPr="00D26611">
        <w:t>Les rapports de mission ou d’activité constamment déposés à la chancellerie par les bénéficiaires de ces programmes, renseignent sur la place prépondérante qu’occupent les questions de l’éthique et de la lutte contre la corruption dans ces activités de renforcement de capacités.</w:t>
      </w:r>
    </w:p>
    <w:p w14:paraId="0903B829" w14:textId="58D89546" w:rsidR="002E46F4" w:rsidRPr="00D26611" w:rsidRDefault="00E5504E" w:rsidP="00E5504E">
      <w:pPr>
        <w:pStyle w:val="SingleTxtG"/>
      </w:pPr>
      <w:r>
        <w:t>7.</w:t>
      </w:r>
      <w:r>
        <w:tab/>
      </w:r>
      <w:r w:rsidR="002E46F4" w:rsidRPr="00D26611">
        <w:t>Par ailleurs, le Togo a engagé plusieurs actions pour renforcer les capacités des membres du parquet et des forces de l’ordre dans la lutte contre la corruption</w:t>
      </w:r>
      <w:r w:rsidR="002E46F4">
        <w:t xml:space="preserve"> </w:t>
      </w:r>
      <w:r w:rsidR="002E46F4" w:rsidRPr="00D26611">
        <w:t>afin de garantir une réponse plus efficace et conforme aux standards internationaux. Des programmes de formation continue sont régulièrement organisés à l’intention des magistrats, procureurs, officiers de police judiciaire et agents des forces de sécurité. Ces formations portent sur les techniques d’enquête financière, la détection des infractions économiques, la gestion des preuves et l’application des normes internationales en matière d’intégrité publique. Ces efforts sont appuyés par des partenaires techniques nationaux tel que la Cellule nationale de traitement des informations financières (CENTIF)</w:t>
      </w:r>
      <w:r w:rsidR="002E46F4">
        <w:t xml:space="preserve"> </w:t>
      </w:r>
      <w:r w:rsidR="002E46F4" w:rsidRPr="00D26611">
        <w:t xml:space="preserve">et internationaux tels que le Programme </w:t>
      </w:r>
      <w:r w:rsidR="002E46F4" w:rsidRPr="00D26611">
        <w:lastRenderedPageBreak/>
        <w:t>des Nations Unies pour le développement (PNUD), l’Union européenne, l’Office des Nations-Nations contre la drogue et le crime (ONUDC) et la Communauté économique des Etats de l’Afrique de l’Ouest (CEDEAO).</w:t>
      </w:r>
    </w:p>
    <w:p w14:paraId="6EBCC127" w14:textId="7B139E76" w:rsidR="002E46F4" w:rsidRPr="00D26611" w:rsidRDefault="00E5504E" w:rsidP="00E5504E">
      <w:pPr>
        <w:pStyle w:val="SingleTxtG"/>
      </w:pPr>
      <w:r>
        <w:t>8.</w:t>
      </w:r>
      <w:r>
        <w:tab/>
      </w:r>
      <w:r w:rsidR="002E46F4" w:rsidRPr="00D26611">
        <w:t>En outre, l’État a accru les ressources matérielles et logistiques mises à la disposition des unités spécialisées, notamment par le renforcement des brigades économiques et financières, l’équipement en outils informatiques et logiciels d’analyse, ainsi que l’amélioration des infrastructures d’enquête. Les autorités œuvrent également à renforcer la coordination entre la HAPLUCIA, les parquets et les forces de défense et de sécurité, afin d’assurer un partage d’informations plus fluide et un traitement rapide des dossiers. Ces efforts traduisent la volonté du gouvernement de doter les acteurs judiciaires et sécuritaires des moyens nécessaires pour prévenir, détecter et réprimer efficacement les actes de corruption.</w:t>
      </w:r>
    </w:p>
    <w:p w14:paraId="5A4AE137" w14:textId="040CAEF5" w:rsidR="002E46F4" w:rsidRPr="00D26611" w:rsidRDefault="00E5504E" w:rsidP="00E5504E">
      <w:pPr>
        <w:pStyle w:val="SingleTxtG"/>
      </w:pPr>
      <w:r>
        <w:t>9.</w:t>
      </w:r>
      <w:r>
        <w:tab/>
      </w:r>
      <w:r w:rsidR="002E46F4" w:rsidRPr="00D26611">
        <w:t xml:space="preserve">Une campagne de sensibilisation a visé spécialement les procureurs et Présidents de juridictions, </w:t>
      </w:r>
      <w:bookmarkStart w:id="0" w:name="_Hlk219744833"/>
      <w:r w:rsidR="002E46F4" w:rsidRPr="00D26611">
        <w:t xml:space="preserve">les secrétaires des parquets et les agents de l’administration pénitentiaire </w:t>
      </w:r>
      <w:bookmarkEnd w:id="0"/>
      <w:r w:rsidR="002E46F4" w:rsidRPr="00D26611">
        <w:t>du ressort de la cour d’appel de Lomé et de la Cour Suprême le 17 avril 2023, les Présidents et procureurs des juridictions, les secrétaires des parquets et les agents de l’administration pénitentiaire du ressort de la cour d’appel de Kara le 22 mai 2024.</w:t>
      </w:r>
    </w:p>
    <w:p w14:paraId="05AED220" w14:textId="7C219ED8" w:rsidR="002E46F4" w:rsidRDefault="00E5504E" w:rsidP="00E5504E">
      <w:pPr>
        <w:pStyle w:val="SingleTxtG"/>
      </w:pPr>
      <w:r>
        <w:t>10.</w:t>
      </w:r>
      <w:r>
        <w:tab/>
      </w:r>
      <w:r w:rsidR="002E46F4" w:rsidRPr="00D26611">
        <w:t>Une autre campagne de sensibilisation a ciblé les Officiers de police judiciaire du ressort de la Cour d'Appel de Lomé le 17 août 2023, les Officiers de police judiciaire du ressort de la Cour d’Appel de Kara le 21 mai 2024.</w:t>
      </w:r>
    </w:p>
    <w:p w14:paraId="1EBFD29E" w14:textId="2CCCECF9" w:rsidR="002E46F4" w:rsidRPr="005E1D68" w:rsidRDefault="00E5504E" w:rsidP="00B539DB">
      <w:pPr>
        <w:pStyle w:val="H23G"/>
        <w:rPr>
          <w:rFonts w:eastAsia="SimSun"/>
          <w:sz w:val="28"/>
          <w:szCs w:val="28"/>
          <w:lang w:val="fr-FR"/>
        </w:rPr>
      </w:pPr>
      <w:r>
        <w:rPr>
          <w:lang w:val="fr-FR"/>
        </w:rPr>
        <w:tab/>
      </w:r>
      <w:r>
        <w:rPr>
          <w:lang w:val="fr-FR"/>
        </w:rPr>
        <w:tab/>
      </w:r>
      <w:r w:rsidRPr="00B539DB">
        <w:rPr>
          <w:lang w:val="fr-FR"/>
        </w:rPr>
        <w:t>Renseignement</w:t>
      </w:r>
      <w:r w:rsidRPr="005E1D68">
        <w:rPr>
          <w:lang w:val="fr-FR"/>
        </w:rPr>
        <w:t xml:space="preserve">s sur la suite donnée aux recommandations figurant au </w:t>
      </w:r>
      <w:r w:rsidR="00176603" w:rsidRPr="005E1D68">
        <w:rPr>
          <w:lang w:val="fr-FR"/>
        </w:rPr>
        <w:br/>
      </w:r>
      <w:r w:rsidRPr="005E1D68">
        <w:rPr>
          <w:lang w:val="fr-FR"/>
        </w:rPr>
        <w:t>paragraphe 12 (</w:t>
      </w:r>
      <w:r w:rsidRPr="005E1D68">
        <w:rPr>
          <w:lang w:val="fr-FR"/>
        </w:rPr>
        <w:t>c</w:t>
      </w:r>
      <w:r w:rsidRPr="005E1D68">
        <w:rPr>
          <w:lang w:val="fr-FR"/>
        </w:rPr>
        <w:t>)</w:t>
      </w:r>
    </w:p>
    <w:p w14:paraId="605242DC" w14:textId="20BD9878" w:rsidR="002E46F4" w:rsidRPr="00D26611" w:rsidRDefault="00E5504E" w:rsidP="00E5504E">
      <w:pPr>
        <w:pStyle w:val="SingleTxtG"/>
      </w:pPr>
      <w:r w:rsidRPr="00E5504E">
        <w:t>11.</w:t>
      </w:r>
      <w:r w:rsidRPr="00E5504E">
        <w:tab/>
      </w:r>
      <w:r w:rsidR="002E46F4" w:rsidRPr="00D26611">
        <w:t>Les actes de corruption sont prévus et punis par les articles 594 à 596 du NCP. Ces articles disposent :</w:t>
      </w:r>
    </w:p>
    <w:p w14:paraId="60FF6B31" w14:textId="3FC4FE4F" w:rsidR="002E46F4" w:rsidRPr="00B539DB" w:rsidRDefault="002E46F4" w:rsidP="00B539DB">
      <w:pPr>
        <w:pStyle w:val="Bullet1G"/>
      </w:pPr>
      <w:r w:rsidRPr="00B539DB">
        <w:t xml:space="preserve">Article 594 : « Constitue une corruption des agents publics nationaux, le fait par :  1) toute personne dépositaire de l’autorité publique ou chargée d’une mission de service public ou investie d’un mandat électif public ou tout agent de l’Etat de solliciter ou d’agréer, sans droit, directement ou indirectement, des offres, des promesses, des dons, des présents ou des avantages quelconques pour lui-même, pour autrui ou une entité afin d’accomplir ou de s’abstenir d’accomplir un acte de sa fonction, de sa mission ou de son mandat;  2) tout magistrat, juré ou toute autre personne siégeant dans une formation juridictionnelle, tout fonctionnaire au greffe d'une juridiction, tout arbitre ou tout expert nommé soit par une juridiction, soit par les parties ou toute personne chargée par l’autorité judiciaire d’une mission de conciliation ou de médiation, de solliciter ou d’agréer, sans droit, à tout moment, directement ou indirectement, des offres, des promesses, des dons, des présents ou des avantages quelconques, pour lui-même ou pour autrui ou une entité pour l’accomplissement ou l’abstention d’un acte de sa fonction; 3) toute personne de proposer à tout moment des Offres, des promesses, des dons, des présents ou des avantages quelconques, pour elle-même, pour autrui ou une entité afin d’obtenir d’une des personnes citées aux points 1 et 2 ci-dessus, l’accomplissement ou l’abstention d’un acte de sa fonction, ou de céder aux sollicitations de ces personnes ». </w:t>
      </w:r>
    </w:p>
    <w:p w14:paraId="41C01F67" w14:textId="77777777" w:rsidR="002E46F4" w:rsidRPr="00D26611" w:rsidRDefault="002E46F4" w:rsidP="00B539DB">
      <w:pPr>
        <w:pStyle w:val="Bullet1G"/>
      </w:pPr>
      <w:r w:rsidRPr="002F06F7">
        <w:rPr>
          <w:b/>
          <w:bCs/>
        </w:rPr>
        <w:t>Article 595 :</w:t>
      </w:r>
      <w:r w:rsidRPr="00D26611">
        <w:t xml:space="preserve"> « Toute personne coupable de corruption au sens de l’article précédent est punie d’une peine de cinq (05) à dix (10) ans de réclusion criminelle et d’une amende égale au double de la valeur des promesses agréées ou des choses reçues ou demandées, sans que ladite amende puisse être inférieure à deux millions (2.000.000) de francs CFA ».</w:t>
      </w:r>
    </w:p>
    <w:p w14:paraId="02817BC7" w14:textId="27B4ED81" w:rsidR="002E46F4" w:rsidRPr="00D26611" w:rsidRDefault="002E46F4" w:rsidP="00B539DB">
      <w:pPr>
        <w:pStyle w:val="Bullet1G"/>
      </w:pPr>
      <w:r w:rsidRPr="002F06F7">
        <w:rPr>
          <w:b/>
          <w:bCs/>
        </w:rPr>
        <w:t>Article 596 :</w:t>
      </w:r>
      <w:r w:rsidRPr="00D26611">
        <w:t xml:space="preserve"> « Lorsque l’infraction définie à l’article 595 du présent code est commise au bénéfice ou au détriment d’une personne faisant l’objet de poursuites criminelles, l’auteur encourt une peine de dix (10) à vingt (20) ans de réclusion criminelle et une amende égale au quintuple de la valeur des promesses agréées ou des choses reçues ou demandées, sans que ladite amende puisse être inférieure à deux millions (2.000.000) de francs CFA. La juridiction saisie prononce, le cas échéant, dans les cas prévus par le présent article les peines complémentaires suivantes : 1) la déchéance civique ; 2) la confiscation des sommes ou objets irrégulièrement reçues par l’auteur </w:t>
      </w:r>
      <w:r w:rsidRPr="00D26611">
        <w:lastRenderedPageBreak/>
        <w:t>de l’infraction, à l’exception des objets susceptibles de restitution. Si la chose n’a pas été saisie ou ne peut pas être représentée, la confiscation est ordonnée en valeur</w:t>
      </w:r>
      <w:r>
        <w:t xml:space="preserve"> ; </w:t>
      </w:r>
      <w:r w:rsidRPr="00D26611">
        <w:t>3) l’affichage ou la diffusion de la décision</w:t>
      </w:r>
      <w:r>
        <w:t xml:space="preserve"> </w:t>
      </w:r>
      <w:r w:rsidRPr="00D26611">
        <w:t>prononcée</w:t>
      </w:r>
      <w:r>
        <w:t xml:space="preserve"> </w:t>
      </w:r>
      <w:r w:rsidRPr="00D26611">
        <w:t>».</w:t>
      </w:r>
    </w:p>
    <w:p w14:paraId="3C762E1A" w14:textId="77777777" w:rsidR="002E46F4" w:rsidRPr="00B539DB" w:rsidRDefault="002E46F4" w:rsidP="00B539DB">
      <w:pPr>
        <w:pStyle w:val="Bullet1G"/>
      </w:pPr>
      <w:r w:rsidRPr="00D26611">
        <w:t xml:space="preserve">L’Etat veille à ce que les allégations d’actes de corruption fassent l’objet d’enquêtes conduites de manière indépendante, impartiale et conforme aux normes en vigueur. En effet, lorsque des faits corruption présumés impliquant un magistrat sont régulièrement portés à la connaissance du garde des sceaux, ministre de la </w:t>
      </w:r>
      <w:proofErr w:type="gramStart"/>
      <w:r w:rsidRPr="00D26611">
        <w:t>justice</w:t>
      </w:r>
      <w:proofErr w:type="gramEnd"/>
      <w:r w:rsidRPr="00D26611">
        <w:t>, ils peuvent faire l’objet d’une enquête administrative pouvant entraîner des poursuites disciplinaires. En outre, des poursuites pénales peuvent être engagées. Il en est de même lorsque ces faits sont établis à l’égard de tout autre agent public et des p</w:t>
      </w:r>
      <w:r w:rsidRPr="00B539DB">
        <w:t>ersonnalités.</w:t>
      </w:r>
    </w:p>
    <w:p w14:paraId="334A800C" w14:textId="45D8E4C3" w:rsidR="00E5504E" w:rsidRPr="00B539DB" w:rsidRDefault="00E5504E" w:rsidP="00B539DB">
      <w:pPr>
        <w:pStyle w:val="H23G"/>
        <w:rPr>
          <w:lang w:val="fr-FR"/>
        </w:rPr>
      </w:pPr>
      <w:r w:rsidRPr="00B539DB">
        <w:tab/>
      </w:r>
      <w:r w:rsidRPr="00B539DB">
        <w:tab/>
      </w:r>
      <w:r w:rsidRPr="00B539DB">
        <w:tab/>
      </w:r>
      <w:r w:rsidRPr="00B539DB">
        <w:rPr>
          <w:lang w:val="fr-FR"/>
        </w:rPr>
        <w:t xml:space="preserve">Renseignements sur la suite donnée aux recommandations figurant au </w:t>
      </w:r>
      <w:r w:rsidR="00176603">
        <w:rPr>
          <w:lang w:val="fr-FR"/>
        </w:rPr>
        <w:br/>
      </w:r>
      <w:r w:rsidRPr="00B539DB">
        <w:rPr>
          <w:lang w:val="fr-FR"/>
        </w:rPr>
        <w:t>paragraphe 12 (</w:t>
      </w:r>
      <w:r w:rsidRPr="00B539DB">
        <w:rPr>
          <w:lang w:val="fr-FR"/>
        </w:rPr>
        <w:t>d</w:t>
      </w:r>
      <w:r w:rsidRPr="00B539DB">
        <w:rPr>
          <w:lang w:val="fr-FR"/>
        </w:rPr>
        <w:t>)</w:t>
      </w:r>
    </w:p>
    <w:p w14:paraId="7519B348" w14:textId="61668BF6" w:rsidR="002E46F4" w:rsidRPr="00D26611" w:rsidRDefault="00B539DB" w:rsidP="00B539DB">
      <w:pPr>
        <w:pStyle w:val="SingleTxtG"/>
      </w:pPr>
      <w:r w:rsidRPr="00B539DB">
        <w:t>12.</w:t>
      </w:r>
      <w:r>
        <w:rPr>
          <w:b/>
          <w:bCs/>
        </w:rPr>
        <w:tab/>
      </w:r>
      <w:r w:rsidR="002E46F4" w:rsidRPr="00D26611">
        <w:t>La Haute autorité de prévention et de lutte contre la corruption et les infractions assimilées (HAPLUCIA), en collaboration avec des ministériels sectoriels, a élaboré et mis en œuvre des mesures préventives de la corruption, telles que des programmes de sensibilisation et de formation à l’attention des agents publics. Une campagne nationale de sensibilisation visant des secteurs exposés à la corruption a été lancée par le Premier Ministre et a couvert la période allant de 2018 à 2022. Cette campagne s’est poursuivie en 2023 et 2024 et a couvert les secteurs socio-professionnels suivants :</w:t>
      </w:r>
    </w:p>
    <w:p w14:paraId="75FFC1B2" w14:textId="77777777" w:rsidR="002E46F4" w:rsidRDefault="002E46F4" w:rsidP="00B539DB">
      <w:pPr>
        <w:pStyle w:val="Bullet1G"/>
      </w:pPr>
      <w:r w:rsidRPr="002F06F7">
        <w:t xml:space="preserve">Chefs des services de la santé, le 08 août 2023 à Lomé et le 19 mars 2024 à Kara ; </w:t>
      </w:r>
    </w:p>
    <w:p w14:paraId="6FB6C345" w14:textId="77777777" w:rsidR="002E46F4" w:rsidRDefault="002E46F4" w:rsidP="00B539DB">
      <w:pPr>
        <w:pStyle w:val="Bullet1G"/>
      </w:pPr>
      <w:r w:rsidRPr="002F06F7">
        <w:t>Journalistes et communicateurs les 11 et 12 mai 2023 à Lomé et les 20 et 21 mars 2024 à Kara</w:t>
      </w:r>
      <w:r>
        <w:t> ;</w:t>
      </w:r>
    </w:p>
    <w:p w14:paraId="516E26C6" w14:textId="77777777" w:rsidR="002E46F4" w:rsidRDefault="002E46F4" w:rsidP="00B539DB">
      <w:pPr>
        <w:pStyle w:val="Bullet1G"/>
      </w:pPr>
      <w:r w:rsidRPr="002F06F7">
        <w:t xml:space="preserve"> Organisations de la société civile les 07 et 08 mai 2024 à Kpalimé ;</w:t>
      </w:r>
    </w:p>
    <w:p w14:paraId="09D26BC0" w14:textId="77777777" w:rsidR="002E46F4" w:rsidRDefault="002E46F4" w:rsidP="00B539DB">
      <w:pPr>
        <w:pStyle w:val="Bullet1G"/>
      </w:pPr>
      <w:r w:rsidRPr="002F06F7">
        <w:t xml:space="preserve">OSC des régions Centrale, de la Kara et des Savanes les 23 et 24 mai 2024 à Kara ;  </w:t>
      </w:r>
    </w:p>
    <w:p w14:paraId="687C54DA" w14:textId="77777777" w:rsidR="002E46F4" w:rsidRPr="002F06F7" w:rsidRDefault="002E46F4" w:rsidP="00B539DB">
      <w:pPr>
        <w:pStyle w:val="Bullet1G"/>
      </w:pPr>
      <w:proofErr w:type="gramStart"/>
      <w:r w:rsidRPr="002F06F7">
        <w:t>membres</w:t>
      </w:r>
      <w:proofErr w:type="gramEnd"/>
      <w:r w:rsidRPr="002F06F7">
        <w:t xml:space="preserve"> des organes de gestion de la commande publique les 26 et 27 août 2024 à Lomé.</w:t>
      </w:r>
    </w:p>
    <w:p w14:paraId="04D02091" w14:textId="77887922" w:rsidR="002E46F4" w:rsidRPr="00D26611" w:rsidRDefault="00B539DB" w:rsidP="00B539DB">
      <w:pPr>
        <w:pStyle w:val="SingleTxtG"/>
      </w:pPr>
      <w:r>
        <w:t>13.</w:t>
      </w:r>
      <w:r>
        <w:tab/>
      </w:r>
      <w:r w:rsidR="002E46F4" w:rsidRPr="00D26611">
        <w:t xml:space="preserve">Par ailleurs, une </w:t>
      </w:r>
      <w:proofErr w:type="spellStart"/>
      <w:r w:rsidR="002E46F4" w:rsidRPr="00D26611">
        <w:t>ccampagne</w:t>
      </w:r>
      <w:proofErr w:type="spellEnd"/>
      <w:r w:rsidR="002E46F4" w:rsidRPr="00D26611">
        <w:t xml:space="preserve"> nationale de renforcement de capacités des élus et cadres municipaux des 117 communes du Togo a été menée du 20 juin au 31 octobre 2023.</w:t>
      </w:r>
    </w:p>
    <w:p w14:paraId="3F7E0755" w14:textId="1F0B7A20" w:rsidR="002E46F4" w:rsidRDefault="00B539DB" w:rsidP="00B539DB">
      <w:pPr>
        <w:pStyle w:val="SingleTxtG"/>
      </w:pPr>
      <w:r>
        <w:t>14.</w:t>
      </w:r>
      <w:r>
        <w:tab/>
      </w:r>
      <w:r w:rsidR="002E46F4" w:rsidRPr="00D26611">
        <w:t>Ces activités de sensibilisation vont se poursuivre en ciblant les secteurs socio-professionnels non en encore couvert en insistant beaucoup plus sur les secteurs les plus exposés à la corruption.</w:t>
      </w:r>
    </w:p>
    <w:p w14:paraId="5F51D071" w14:textId="686C3F00" w:rsidR="002E46F4" w:rsidRDefault="00B539DB" w:rsidP="00B539DB">
      <w:pPr>
        <w:pStyle w:val="H1G"/>
      </w:pPr>
      <w:r>
        <w:rPr>
          <w:bCs/>
        </w:rPr>
        <w:tab/>
      </w:r>
      <w:r w:rsidR="00EA315B">
        <w:rPr>
          <w:bCs/>
        </w:rPr>
        <w:t>B.</w:t>
      </w:r>
      <w:r>
        <w:rPr>
          <w:bCs/>
        </w:rPr>
        <w:tab/>
      </w:r>
      <w:r w:rsidR="002E46F4" w:rsidRPr="001A5FC2">
        <w:t xml:space="preserve">Torture et traitements cruels, inhumains ou dégradants </w:t>
      </w:r>
    </w:p>
    <w:p w14:paraId="1992E79B" w14:textId="7A99299B" w:rsidR="002E46F4" w:rsidRPr="00746015" w:rsidRDefault="00E5504E" w:rsidP="00746015">
      <w:pPr>
        <w:pStyle w:val="H23G"/>
        <w:rPr>
          <w:sz w:val="32"/>
          <w:szCs w:val="32"/>
          <w:u w:val="single"/>
        </w:rPr>
      </w:pPr>
      <w:r>
        <w:tab/>
      </w:r>
      <w:r>
        <w:tab/>
      </w:r>
      <w:r w:rsidRPr="003575A7">
        <w:t>Renseignements sur la suite donnée aux recommandations figurant</w:t>
      </w:r>
      <w:r w:rsidRPr="00746015">
        <w:t xml:space="preserve"> au </w:t>
      </w:r>
      <w:r w:rsidR="00746015" w:rsidRPr="00746015">
        <w:br/>
      </w:r>
      <w:r w:rsidRPr="000C2696">
        <w:t>paragraphe</w:t>
      </w:r>
      <w:r w:rsidRPr="00B539DB">
        <w:t xml:space="preserve"> </w:t>
      </w:r>
      <w:r w:rsidRPr="00B539DB">
        <w:t>26</w:t>
      </w:r>
      <w:r w:rsidRPr="00B539DB">
        <w:t xml:space="preserve"> (</w:t>
      </w:r>
      <w:r w:rsidRPr="00B539DB">
        <w:t>a</w:t>
      </w:r>
      <w:r w:rsidRPr="00B539DB">
        <w:t>)</w:t>
      </w:r>
      <w:bookmarkStart w:id="1" w:name="_Hlk229994586"/>
    </w:p>
    <w:bookmarkEnd w:id="1"/>
    <w:p w14:paraId="33CBEEF7" w14:textId="7D5505D8" w:rsidR="002E46F4" w:rsidRPr="00B539DB" w:rsidRDefault="00B539DB" w:rsidP="00B539DB">
      <w:pPr>
        <w:pStyle w:val="SingleTxtG"/>
      </w:pPr>
      <w:r w:rsidRPr="00B539DB">
        <w:t>15.</w:t>
      </w:r>
      <w:r w:rsidRPr="00B539DB">
        <w:tab/>
      </w:r>
      <w:r w:rsidR="002E46F4" w:rsidRPr="00B539DB">
        <w:t>La question sera discutée lors du processus de révision en cours du code pénal.</w:t>
      </w:r>
    </w:p>
    <w:p w14:paraId="7587C43B" w14:textId="60DE08BB" w:rsidR="00E5504E" w:rsidRPr="00B539DB" w:rsidRDefault="00E5504E" w:rsidP="00B539DB">
      <w:pPr>
        <w:pStyle w:val="H23G"/>
        <w:rPr>
          <w:sz w:val="32"/>
          <w:szCs w:val="32"/>
          <w:u w:val="single"/>
        </w:rPr>
      </w:pPr>
      <w:r w:rsidRPr="00B539DB">
        <w:tab/>
      </w:r>
      <w:r w:rsidRPr="00B539DB">
        <w:tab/>
      </w:r>
      <w:r w:rsidRPr="00B539DB">
        <w:t xml:space="preserve">Renseignements sur la suite donnée aux recommandations figurant au </w:t>
      </w:r>
      <w:r w:rsidR="00746015">
        <w:br/>
      </w:r>
      <w:r w:rsidRPr="00B539DB">
        <w:t>paragraphe 26 (</w:t>
      </w:r>
      <w:r w:rsidRPr="00B539DB">
        <w:t>b</w:t>
      </w:r>
      <w:r w:rsidRPr="00B539DB">
        <w:t>)</w:t>
      </w:r>
    </w:p>
    <w:p w14:paraId="1C229F65" w14:textId="212E1B59" w:rsidR="002E46F4" w:rsidRPr="00D26611" w:rsidRDefault="00B539DB" w:rsidP="00B539DB">
      <w:pPr>
        <w:pStyle w:val="SingleTxtG"/>
      </w:pPr>
      <w:r w:rsidRPr="00B539DB">
        <w:t>16.</w:t>
      </w:r>
      <w:r w:rsidRPr="00B539DB">
        <w:tab/>
      </w:r>
      <w:r w:rsidR="002E46F4" w:rsidRPr="00B539DB">
        <w:t>Les instruc</w:t>
      </w:r>
      <w:r w:rsidR="002E46F4" w:rsidRPr="00D26611">
        <w:t>tions sont constamment données aux directeurs généraux de la police et de la gendarmerie</w:t>
      </w:r>
      <w:r w:rsidR="002E46F4">
        <w:t>,</w:t>
      </w:r>
      <w:r w:rsidR="002E46F4" w:rsidRPr="00D26611">
        <w:t xml:space="preserve"> notamment à l’occasion des réunions de sécurité tenues chaque lundi de semaine. Actuellement, ces réunions ont lieu chaque premier lundi du mois. Pour le compte de l’année 2022, 44 réunions ont été tenues. Pour le compte de l’année 2023, 48 réunions ont également été tenues. Pour le compte de l’année 2024, 10 réunions ont été tenues en raison de la nouvelle formule d’une réunion par mois. Les directeurs généraux tiennent également à leur niveau des réunions de commandement avec leurs collaborateurs sur cette interdiction et l’incrimination de la torture. Toute la chaine de commandement à son tour répercute ses instructions sur l’ensemble de personnel.</w:t>
      </w:r>
    </w:p>
    <w:p w14:paraId="6134ADDF" w14:textId="0895CF90" w:rsidR="002E46F4" w:rsidRPr="00B539DB" w:rsidRDefault="00B539DB" w:rsidP="00B539DB">
      <w:pPr>
        <w:pStyle w:val="SingleTxtG"/>
      </w:pPr>
      <w:r w:rsidRPr="00B539DB">
        <w:lastRenderedPageBreak/>
        <w:t>17.</w:t>
      </w:r>
      <w:r w:rsidRPr="00B539DB">
        <w:tab/>
      </w:r>
      <w:r w:rsidR="002E46F4" w:rsidRPr="00B539DB">
        <w:t xml:space="preserve">De manière constante et explicite il est rappelé aux responsables de la police, de la gendarmerie et du Service central de recherches et d’investigations criminelles le </w:t>
      </w:r>
      <w:r w:rsidR="002E46F4" w:rsidRPr="00B539DB">
        <w:rPr>
          <w:rStyle w:val="Strong"/>
          <w:b w:val="0"/>
          <w:bCs w:val="0"/>
        </w:rPr>
        <w:t>caractère absolu et non dérogeable de l’interdiction de la torture</w:t>
      </w:r>
      <w:r w:rsidR="002E46F4" w:rsidRPr="00B539DB">
        <w:t xml:space="preserve">, ainsi que la </w:t>
      </w:r>
      <w:r w:rsidR="002E46F4" w:rsidRPr="00B539DB">
        <w:rPr>
          <w:rStyle w:val="Strong"/>
          <w:b w:val="0"/>
          <w:bCs w:val="0"/>
        </w:rPr>
        <w:t>pénalisation de ces actes dans la législation nationale</w:t>
      </w:r>
      <w:r w:rsidR="002E46F4" w:rsidRPr="00B539DB">
        <w:t xml:space="preserve">. Des instructions fermes leur sont données quant à l’obligation de prévenir, signaler et sanctionner toute forme de torture ou de mauvais </w:t>
      </w:r>
      <w:proofErr w:type="spellStart"/>
      <w:proofErr w:type="gramStart"/>
      <w:r w:rsidR="002E46F4" w:rsidRPr="00B539DB">
        <w:t>traitement.Afin</w:t>
      </w:r>
      <w:proofErr w:type="spellEnd"/>
      <w:proofErr w:type="gramEnd"/>
      <w:r w:rsidR="002E46F4" w:rsidRPr="00B539DB">
        <w:t xml:space="preserve"> de garantir l’application effective de ce principe, des </w:t>
      </w:r>
      <w:r w:rsidR="002E46F4" w:rsidRPr="00B539DB">
        <w:rPr>
          <w:rStyle w:val="Strong"/>
          <w:b w:val="0"/>
          <w:bCs w:val="0"/>
        </w:rPr>
        <w:t>modules de formation spécifiques consacrés aux droits de l’homme et au droit international humanitaire (DIH)</w:t>
      </w:r>
      <w:r w:rsidR="002E46F4" w:rsidRPr="00B539DB">
        <w:t xml:space="preserve"> ont été introduits dans les écoles et centres de formation des forces de sécurité. Ces modules sont dispensés aussi bien dans le cadre des </w:t>
      </w:r>
      <w:r w:rsidR="002E46F4" w:rsidRPr="00B539DB">
        <w:rPr>
          <w:rStyle w:val="Strong"/>
          <w:b w:val="0"/>
          <w:bCs w:val="0"/>
        </w:rPr>
        <w:t>formations initiales</w:t>
      </w:r>
      <w:r w:rsidR="002E46F4" w:rsidRPr="00B539DB">
        <w:t xml:space="preserve"> que des </w:t>
      </w:r>
      <w:r w:rsidR="002E46F4" w:rsidRPr="00B539DB">
        <w:rPr>
          <w:rStyle w:val="Strong"/>
          <w:b w:val="0"/>
          <w:bCs w:val="0"/>
        </w:rPr>
        <w:t>formations continues</w:t>
      </w:r>
      <w:r w:rsidR="002E46F4" w:rsidRPr="00B539DB">
        <w:t>, permettant ainsi d’assurer une mise à jour régulière des connaissances des personnels.</w:t>
      </w:r>
    </w:p>
    <w:p w14:paraId="3CFF3AEC" w14:textId="6F57593F" w:rsidR="002E46F4" w:rsidRPr="00B539DB" w:rsidRDefault="00B539DB" w:rsidP="00B539DB">
      <w:pPr>
        <w:pStyle w:val="SingleTxtG"/>
      </w:pPr>
      <w:r w:rsidRPr="00B539DB">
        <w:t>18.</w:t>
      </w:r>
      <w:r w:rsidRPr="00B539DB">
        <w:tab/>
      </w:r>
      <w:r w:rsidR="002E46F4" w:rsidRPr="00B539DB">
        <w:t xml:space="preserve">Par ailleurs, avec l’appui de partenaires tels que la </w:t>
      </w:r>
      <w:r w:rsidR="002E46F4" w:rsidRPr="00B539DB">
        <w:rPr>
          <w:rStyle w:val="Strong"/>
          <w:b w:val="0"/>
          <w:bCs w:val="0"/>
        </w:rPr>
        <w:t>Commission Nationale des Droits de l’Homme (CNDH)</w:t>
      </w:r>
      <w:r w:rsidR="002E46F4" w:rsidRPr="00B539DB">
        <w:t xml:space="preserve"> et le </w:t>
      </w:r>
      <w:r w:rsidR="002E46F4" w:rsidRPr="00B539DB">
        <w:rPr>
          <w:rStyle w:val="Strong"/>
          <w:b w:val="0"/>
          <w:bCs w:val="0"/>
        </w:rPr>
        <w:t>Comité International de la Croix-Rouge (CICR)</w:t>
      </w:r>
      <w:r w:rsidR="002E46F4" w:rsidRPr="00B539DB">
        <w:t xml:space="preserve">, des </w:t>
      </w:r>
      <w:r w:rsidR="002E46F4" w:rsidRPr="00B539DB">
        <w:rPr>
          <w:rStyle w:val="Strong"/>
          <w:b w:val="0"/>
          <w:bCs w:val="0"/>
        </w:rPr>
        <w:t>activités périodiques de sensibilisation</w:t>
      </w:r>
      <w:r w:rsidR="002E46F4" w:rsidRPr="00B539DB">
        <w:t xml:space="preserve"> sont organisées au profit des forces de police, de gendarmerie et des unités d’investigation. Ces sessions insistent particulièrement sur :</w:t>
      </w:r>
    </w:p>
    <w:p w14:paraId="268453B1" w14:textId="77777777" w:rsidR="002E46F4" w:rsidRPr="00D26611" w:rsidRDefault="002E46F4" w:rsidP="00B539DB">
      <w:pPr>
        <w:pStyle w:val="Bullet1G"/>
      </w:pPr>
      <w:proofErr w:type="gramStart"/>
      <w:r w:rsidRPr="00D26611">
        <w:t>la</w:t>
      </w:r>
      <w:proofErr w:type="gramEnd"/>
      <w:r w:rsidRPr="00D26611">
        <w:t xml:space="preserve"> prohibition absolue de la torture,</w:t>
      </w:r>
    </w:p>
    <w:p w14:paraId="3D8B6C9E" w14:textId="77777777" w:rsidR="002E46F4" w:rsidRPr="00D26611" w:rsidRDefault="002E46F4" w:rsidP="00B539DB">
      <w:pPr>
        <w:pStyle w:val="Bullet1G"/>
      </w:pPr>
      <w:proofErr w:type="gramStart"/>
      <w:r w:rsidRPr="00D26611">
        <w:t>les</w:t>
      </w:r>
      <w:proofErr w:type="gramEnd"/>
      <w:r w:rsidRPr="00D26611">
        <w:t xml:space="preserve"> obligations professionnelles et hiérarchiques des agents,</w:t>
      </w:r>
    </w:p>
    <w:p w14:paraId="28D2AF88" w14:textId="77777777" w:rsidR="002E46F4" w:rsidRPr="00D26611" w:rsidRDefault="002E46F4" w:rsidP="00B539DB">
      <w:pPr>
        <w:pStyle w:val="Bullet1G"/>
      </w:pPr>
      <w:proofErr w:type="gramStart"/>
      <w:r w:rsidRPr="00D26611">
        <w:t>la</w:t>
      </w:r>
      <w:proofErr w:type="gramEnd"/>
      <w:r w:rsidRPr="00D26611">
        <w:t xml:space="preserve"> responsabilité pénale individuelle en cas de violation.</w:t>
      </w:r>
    </w:p>
    <w:p w14:paraId="35A4CED8" w14:textId="29D96ABF" w:rsidR="002E46F4" w:rsidRPr="00B539DB" w:rsidRDefault="00B539DB" w:rsidP="00B539DB">
      <w:pPr>
        <w:pStyle w:val="SingleTxtG"/>
      </w:pPr>
      <w:r w:rsidRPr="00B539DB">
        <w:t>19.</w:t>
      </w:r>
      <w:r w:rsidRPr="00B539DB">
        <w:tab/>
      </w:r>
      <w:r w:rsidR="002E46F4" w:rsidRPr="00B539DB">
        <w:t xml:space="preserve">Au-delà de la formation et de la sensibilisation, le Ministère veille à ce que toute violation avérée fasse l’objet de </w:t>
      </w:r>
      <w:r w:rsidR="002E46F4" w:rsidRPr="00B539DB">
        <w:rPr>
          <w:rStyle w:val="Strong"/>
          <w:b w:val="0"/>
          <w:bCs w:val="0"/>
        </w:rPr>
        <w:t>sanctions disciplinaires immédiates</w:t>
      </w:r>
      <w:r w:rsidR="002E46F4" w:rsidRPr="00B539DB">
        <w:t xml:space="preserve">, et le cas échéant, de </w:t>
      </w:r>
      <w:r w:rsidR="002E46F4" w:rsidRPr="00B539DB">
        <w:rPr>
          <w:rStyle w:val="Strong"/>
          <w:b w:val="0"/>
          <w:bCs w:val="0"/>
        </w:rPr>
        <w:t>poursuites pénales</w:t>
      </w:r>
      <w:r w:rsidR="002E46F4" w:rsidRPr="00B539DB">
        <w:t xml:space="preserve"> devant les juridictions compétentes et le </w:t>
      </w:r>
      <w:r w:rsidR="002E46F4" w:rsidRPr="00B539DB">
        <w:rPr>
          <w:rStyle w:val="Strong"/>
          <w:b w:val="0"/>
          <w:bCs w:val="0"/>
        </w:rPr>
        <w:t>tribunal militaire</w:t>
      </w:r>
      <w:r w:rsidR="002E46F4" w:rsidRPr="00B539DB">
        <w:t>, lorsque les faits impliquent des membres des forces armées ou de sécurité.</w:t>
      </w:r>
    </w:p>
    <w:p w14:paraId="0EA01787" w14:textId="722A20B2" w:rsidR="002E46F4" w:rsidRPr="00B539DB" w:rsidRDefault="00B539DB" w:rsidP="00B539DB">
      <w:pPr>
        <w:pStyle w:val="SingleTxtG"/>
      </w:pPr>
      <w:r>
        <w:t>20.</w:t>
      </w:r>
      <w:r>
        <w:tab/>
      </w:r>
      <w:r w:rsidR="002E46F4" w:rsidRPr="00B539DB">
        <w:t>Ces mesures combinées contribuent à renforcer la prévention de la torture, à garantir l’intégrité des procédures d’enquête et à assurer que tout auteur présumé de mauvais traitements soit effectivement tenu responsable.</w:t>
      </w:r>
    </w:p>
    <w:p w14:paraId="2EB34E77" w14:textId="4994C4D5" w:rsidR="002E46F4" w:rsidRPr="00B539DB" w:rsidRDefault="00B539DB" w:rsidP="00B539DB">
      <w:pPr>
        <w:pStyle w:val="SingleTxtG"/>
      </w:pPr>
      <w:r>
        <w:t>21.</w:t>
      </w:r>
      <w:r>
        <w:tab/>
      </w:r>
      <w:r w:rsidR="002E46F4" w:rsidRPr="00B539DB">
        <w:t xml:space="preserve">S’agissant du parquet, il faut noter que, lorsque les faits allégués de tortures sont dénoncés ou portés à la connaissance du ministre de la </w:t>
      </w:r>
      <w:proofErr w:type="gramStart"/>
      <w:r w:rsidR="002E46F4" w:rsidRPr="00B539DB">
        <w:t>justice</w:t>
      </w:r>
      <w:proofErr w:type="gramEnd"/>
      <w:r w:rsidR="002E46F4" w:rsidRPr="00B539DB">
        <w:t xml:space="preserve">, Chef du ministère public, celui-ci instruit immédiatement le Procureur Général compétent de faire ouvrir une enquête et le cas échéant des poursuites. </w:t>
      </w:r>
    </w:p>
    <w:p w14:paraId="63BDD18C" w14:textId="5AE660E4" w:rsidR="00E5504E" w:rsidRPr="00D26611" w:rsidRDefault="00E5504E" w:rsidP="00175BB2">
      <w:pPr>
        <w:pStyle w:val="H23G"/>
        <w:rPr>
          <w:sz w:val="28"/>
          <w:szCs w:val="28"/>
        </w:rPr>
      </w:pPr>
      <w:r>
        <w:tab/>
      </w:r>
      <w:r>
        <w:tab/>
      </w:r>
      <w:r w:rsidRPr="003575A7">
        <w:t xml:space="preserve">Renseignements sur la suite donnée aux recommandations figurant </w:t>
      </w:r>
      <w:r w:rsidRPr="000C2696">
        <w:t>au</w:t>
      </w:r>
      <w:r>
        <w:rPr>
          <w:color w:val="FF0000"/>
        </w:rPr>
        <w:t xml:space="preserve"> </w:t>
      </w:r>
      <w:r w:rsidR="00175BB2">
        <w:rPr>
          <w:color w:val="FF0000"/>
        </w:rPr>
        <w:br/>
      </w:r>
      <w:r w:rsidRPr="000C2696">
        <w:t>paragra</w:t>
      </w:r>
      <w:r w:rsidRPr="00B539DB">
        <w:t>phe 26 (</w:t>
      </w:r>
      <w:r w:rsidRPr="00B539DB">
        <w:t>c</w:t>
      </w:r>
      <w:r w:rsidRPr="00B539DB">
        <w:t>)</w:t>
      </w:r>
    </w:p>
    <w:p w14:paraId="7F694094" w14:textId="5CCCCFC4" w:rsidR="002E46F4" w:rsidRPr="00D26611" w:rsidRDefault="00B539DB" w:rsidP="00B539DB">
      <w:pPr>
        <w:pStyle w:val="SingleTxtG"/>
      </w:pPr>
      <w:r w:rsidRPr="00B539DB">
        <w:rPr>
          <w:bCs/>
        </w:rPr>
        <w:t>22.</w:t>
      </w:r>
      <w:r w:rsidRPr="00B539DB">
        <w:rPr>
          <w:bCs/>
        </w:rPr>
        <w:tab/>
      </w:r>
      <w:r w:rsidR="002E46F4" w:rsidRPr="00B539DB">
        <w:rPr>
          <w:bCs/>
        </w:rPr>
        <w:t>I</w:t>
      </w:r>
      <w:r w:rsidR="002E46F4" w:rsidRPr="00D26611">
        <w:t>l n’existe pas de restriction aux organisations de la société civile en ce qui concerne la visite de lieux de détention. Toutefois, les visites doivent être sous contrôle de l’administration pénitentiaire qui a la capacité d’apprécier les partenaires qui remplissent les conditions. C’est ainsi que les organisations de la société civile qui remplissent les conditions effectuent les visites des lieux de détention.</w:t>
      </w:r>
    </w:p>
    <w:p w14:paraId="2B17F109" w14:textId="62BE1FC3" w:rsidR="002E46F4" w:rsidRDefault="00175BB2" w:rsidP="00175BB2">
      <w:pPr>
        <w:pStyle w:val="H1G"/>
        <w:rPr>
          <w:lang w:val="fr-FR"/>
        </w:rPr>
      </w:pPr>
      <w:bookmarkStart w:id="2" w:name="_Hlk212563926"/>
      <w:r>
        <w:rPr>
          <w:lang w:val="fr-FR"/>
        </w:rPr>
        <w:tab/>
      </w:r>
      <w:r w:rsidR="004D45E9">
        <w:rPr>
          <w:lang w:val="fr-FR"/>
        </w:rPr>
        <w:t>C.</w:t>
      </w:r>
      <w:r>
        <w:rPr>
          <w:lang w:val="fr-FR"/>
        </w:rPr>
        <w:tab/>
      </w:r>
      <w:r w:rsidR="002E46F4" w:rsidRPr="001A5FC2">
        <w:rPr>
          <w:lang w:val="fr-FR"/>
        </w:rPr>
        <w:t xml:space="preserve">Liberté d’expression </w:t>
      </w:r>
    </w:p>
    <w:p w14:paraId="0850C7EF" w14:textId="614B2653" w:rsidR="002E46F4" w:rsidRPr="002E46F4" w:rsidRDefault="00E5504E" w:rsidP="00175BB2">
      <w:pPr>
        <w:pStyle w:val="H23G"/>
        <w:rPr>
          <w:bCs/>
          <w:sz w:val="28"/>
          <w:szCs w:val="28"/>
          <w:highlight w:val="yellow"/>
          <w:lang w:val="fr-FR"/>
        </w:rPr>
      </w:pPr>
      <w:r>
        <w:tab/>
      </w:r>
      <w:r>
        <w:tab/>
      </w:r>
      <w:r w:rsidRPr="003575A7">
        <w:t>Renseigne</w:t>
      </w:r>
      <w:r w:rsidRPr="00B539DB">
        <w:t xml:space="preserve">ments sur la suite donnée aux recommandations figurant au </w:t>
      </w:r>
      <w:r w:rsidR="00175BB2">
        <w:br/>
      </w:r>
      <w:r w:rsidRPr="00B539DB">
        <w:t xml:space="preserve">paragraphe </w:t>
      </w:r>
      <w:r w:rsidRPr="00B539DB">
        <w:t>44</w:t>
      </w:r>
      <w:r w:rsidRPr="00B539DB">
        <w:t xml:space="preserve"> (</w:t>
      </w:r>
      <w:r w:rsidRPr="00B539DB">
        <w:t>a</w:t>
      </w:r>
      <w:r w:rsidRPr="00B539DB">
        <w:t>)</w:t>
      </w:r>
      <w:r w:rsidR="002E46F4" w:rsidRPr="00D26611">
        <w:rPr>
          <w:bCs/>
          <w:sz w:val="28"/>
          <w:szCs w:val="28"/>
          <w:lang w:val="fr-FR"/>
        </w:rPr>
        <w:tab/>
      </w:r>
    </w:p>
    <w:p w14:paraId="1E12C15E" w14:textId="3EAAFF40" w:rsidR="002E46F4" w:rsidRPr="00D26611" w:rsidRDefault="00B539DB" w:rsidP="00B539DB">
      <w:pPr>
        <w:pStyle w:val="SingleTxtG"/>
      </w:pPr>
      <w:r>
        <w:t>23.</w:t>
      </w:r>
      <w:r>
        <w:tab/>
      </w:r>
      <w:r w:rsidR="002E46F4" w:rsidRPr="00D26611">
        <w:t xml:space="preserve">Pour rendre la législation conforme à l’article 19 du </w:t>
      </w:r>
      <w:proofErr w:type="spellStart"/>
      <w:r w:rsidR="002E46F4" w:rsidRPr="00D26611">
        <w:t>pactee</w:t>
      </w:r>
      <w:proofErr w:type="spellEnd"/>
      <w:r w:rsidR="002E46F4" w:rsidRPr="00D26611">
        <w:t>, le Togo a adopté un code de la presse et de la communication à l’issue des états généraux de la presse qui a rassemblé tous les acteurs de la corporation médiatique. Ce code a consacré les principes internationaux corollaires de la liberté d’expression et supprimé toutes les peines privatives de liberté et l’application de la procédure de flagrant délit aux infractions commises par les journalistes professionnels dans l’exercice de leur profession.</w:t>
      </w:r>
    </w:p>
    <w:p w14:paraId="5090E6B3" w14:textId="3F262C17" w:rsidR="002E46F4" w:rsidRPr="00D26611" w:rsidRDefault="00B539DB" w:rsidP="00B539DB">
      <w:pPr>
        <w:pStyle w:val="SingleTxtG"/>
      </w:pPr>
      <w:r>
        <w:t>24.</w:t>
      </w:r>
      <w:r>
        <w:tab/>
      </w:r>
      <w:r w:rsidR="002E46F4" w:rsidRPr="00D26611">
        <w:t xml:space="preserve">Par ailleurs, le législateur a consacré dans le nouveau code pénal adopté en 2015 en ses articles 290 et 291, le principe d’une possibilité de sursis de la peine en cas de condamnation pour diffamation. Dans la même optique, le code retient le principe d’option de la peine, à la discrétion du juge consistant en la possibilité de choisir la peine d’emprisonnement ou la peine d’amende. Cette démarche vise à restreindre la tendance à des </w:t>
      </w:r>
      <w:r w:rsidR="002E46F4" w:rsidRPr="00D26611">
        <w:lastRenderedPageBreak/>
        <w:t>peines privatives de liberté pour les délits d’opinions, en se conformant au principe de proportionnalité prôné par les standards internationaux.</w:t>
      </w:r>
    </w:p>
    <w:p w14:paraId="61EF39AA" w14:textId="475C744E" w:rsidR="002E46F4" w:rsidRPr="00922EFB" w:rsidRDefault="00E5504E" w:rsidP="00922EFB">
      <w:pPr>
        <w:pStyle w:val="H23G"/>
        <w:rPr>
          <w:bCs/>
          <w:i/>
          <w:sz w:val="28"/>
          <w:szCs w:val="28"/>
          <w:lang w:val="fr-FR"/>
        </w:rPr>
      </w:pPr>
      <w:r>
        <w:tab/>
      </w:r>
      <w:r>
        <w:tab/>
      </w:r>
      <w:r w:rsidRPr="003575A7">
        <w:t>Renseig</w:t>
      </w:r>
      <w:r w:rsidRPr="00B539DB">
        <w:t xml:space="preserve">nements sur la suite donnée aux recommandations figurant au </w:t>
      </w:r>
      <w:r w:rsidR="00922EFB">
        <w:br/>
      </w:r>
      <w:r w:rsidRPr="00B539DB">
        <w:t>par</w:t>
      </w:r>
      <w:r w:rsidRPr="00922EFB">
        <w:t>agraphe 44 (</w:t>
      </w:r>
      <w:r w:rsidRPr="00922EFB">
        <w:t>b</w:t>
      </w:r>
      <w:r w:rsidRPr="00922EFB">
        <w:t>)</w:t>
      </w:r>
    </w:p>
    <w:p w14:paraId="5E0BCEB1" w14:textId="56E6A13F" w:rsidR="002E46F4" w:rsidRPr="00D26611" w:rsidRDefault="00B539DB" w:rsidP="00B539DB">
      <w:pPr>
        <w:pStyle w:val="SingleTxtG"/>
      </w:pPr>
      <w:bookmarkStart w:id="3" w:name="_Hlk212563757"/>
      <w:bookmarkEnd w:id="2"/>
      <w:r w:rsidRPr="00B539DB">
        <w:rPr>
          <w:bCs/>
        </w:rPr>
        <w:t>25.</w:t>
      </w:r>
      <w:r w:rsidRPr="00B539DB">
        <w:rPr>
          <w:bCs/>
        </w:rPr>
        <w:tab/>
      </w:r>
      <w:r w:rsidR="002E46F4" w:rsidRPr="00D26611">
        <w:t>Le cadre juridique actuel ne comporte pas des infractions définies en des termes vagues en ce qui concerne les journalistes et les défenseurs des droits de l’homme.</w:t>
      </w:r>
    </w:p>
    <w:p w14:paraId="06053A0A" w14:textId="2B6DA0A3" w:rsidR="002E46F4" w:rsidRPr="00D26611" w:rsidRDefault="00B539DB" w:rsidP="00B539DB">
      <w:pPr>
        <w:pStyle w:val="SingleTxtG"/>
      </w:pPr>
      <w:r>
        <w:t>26.</w:t>
      </w:r>
      <w:r>
        <w:tab/>
      </w:r>
      <w:r w:rsidR="002E46F4" w:rsidRPr="00D26611">
        <w:t>Le code de la presse a consacré une infraction dite délit d’entrave à la liberté de presse et de la communication. L’article 170 du code de la presse et de la communication dispose que « Constitue un délit d’entrave à la liberté de la presse et de la communication, tout fait ou action de nature à empêcher l’impression ou la libre circulation de la presse ou à empêcher le journaliste d’exercer librement son activité</w:t>
      </w:r>
      <w:r w:rsidR="002E46F4">
        <w:t>.</w:t>
      </w:r>
    </w:p>
    <w:p w14:paraId="11904E07" w14:textId="71ECAD40" w:rsidR="002E46F4" w:rsidRPr="00D26611" w:rsidRDefault="00B539DB" w:rsidP="00B539DB">
      <w:pPr>
        <w:pStyle w:val="SingleTxtG"/>
      </w:pPr>
      <w:r>
        <w:t>27.</w:t>
      </w:r>
      <w:r>
        <w:tab/>
      </w:r>
      <w:r w:rsidR="002E46F4" w:rsidRPr="00D26611">
        <w:t xml:space="preserve">Est puni d’une amende d’un million à 5.000.000 FCFA quiconque se rend coupable des faits et actions de cette nature. En cas de récidive, le double de la peine maximale prévue à l’alinéa 2 du présent article est appliqué ». </w:t>
      </w:r>
    </w:p>
    <w:p w14:paraId="680E2574" w14:textId="0D58B9B3" w:rsidR="002E46F4" w:rsidRPr="00D26611" w:rsidRDefault="00B539DB" w:rsidP="00B539DB">
      <w:pPr>
        <w:pStyle w:val="SingleTxtG"/>
      </w:pPr>
      <w:r>
        <w:t>28.</w:t>
      </w:r>
      <w:r>
        <w:tab/>
      </w:r>
      <w:r w:rsidR="002E46F4" w:rsidRPr="00D26611">
        <w:t xml:space="preserve">L’article 171 renchérit que </w:t>
      </w:r>
      <w:r w:rsidR="002E46F4" w:rsidRPr="00D26611">
        <w:rPr>
          <w:i/>
        </w:rPr>
        <w:t>« </w:t>
      </w:r>
      <w:r w:rsidR="002E46F4" w:rsidRPr="00D26611">
        <w:t>Lorsque l’entrave à la liberté de la presse et de la communication est exercée avec violence sur le journaliste, le technicien de la communication, l’auxiliaire de presse ou contre la société de presse, les dispositions du code pénal relatives aux violences volontaires, destructions et dégradations sont applicables</w:t>
      </w:r>
      <w:r w:rsidR="002E46F4" w:rsidRPr="00D26611">
        <w:rPr>
          <w:i/>
        </w:rPr>
        <w:t> »</w:t>
      </w:r>
      <w:r w:rsidR="002E46F4">
        <w:rPr>
          <w:i/>
        </w:rPr>
        <w:t>.</w:t>
      </w:r>
    </w:p>
    <w:p w14:paraId="01BFB4DA" w14:textId="0BC60DF6" w:rsidR="002E46F4" w:rsidRPr="00B539DB" w:rsidRDefault="00B539DB" w:rsidP="00B539DB">
      <w:pPr>
        <w:pStyle w:val="SingleTxtG"/>
      </w:pPr>
      <w:r>
        <w:t>29.</w:t>
      </w:r>
      <w:r>
        <w:tab/>
      </w:r>
      <w:r w:rsidR="002E46F4" w:rsidRPr="00D26611">
        <w:t xml:space="preserve">Il est observé que tout journaliste professionnel qui se sent menacé peut bénéficier d’une protection de l’Etat. Le ministère chargé de la communication apporte un appui administratif à la mise à disposition de cette protection pour tout journaliste qui se sent </w:t>
      </w:r>
      <w:r w:rsidR="002E46F4" w:rsidRPr="00B539DB">
        <w:t>menacé.</w:t>
      </w:r>
    </w:p>
    <w:p w14:paraId="601EBF09" w14:textId="26FFC55A" w:rsidR="00E5504E" w:rsidRPr="00B539DB" w:rsidRDefault="00E5504E" w:rsidP="00922EFB">
      <w:pPr>
        <w:pStyle w:val="H23G"/>
        <w:rPr>
          <w:sz w:val="28"/>
          <w:szCs w:val="28"/>
        </w:rPr>
      </w:pPr>
      <w:r w:rsidRPr="00B539DB">
        <w:tab/>
      </w:r>
      <w:r w:rsidRPr="00B539DB">
        <w:tab/>
      </w:r>
      <w:r w:rsidRPr="00B539DB">
        <w:t xml:space="preserve">Renseignements sur la suite donnée aux recommandations figurant au </w:t>
      </w:r>
      <w:r w:rsidR="00922EFB">
        <w:br/>
      </w:r>
      <w:r w:rsidRPr="00B539DB">
        <w:t>paragraphe 44 (</w:t>
      </w:r>
      <w:r w:rsidRPr="00B539DB">
        <w:t>c</w:t>
      </w:r>
      <w:r w:rsidRPr="00B539DB">
        <w:t>)</w:t>
      </w:r>
    </w:p>
    <w:p w14:paraId="692F1B78" w14:textId="294390D8" w:rsidR="002E46F4" w:rsidRPr="00B539DB" w:rsidRDefault="00B539DB" w:rsidP="00B539DB">
      <w:pPr>
        <w:pStyle w:val="SingleTxtG"/>
      </w:pPr>
      <w:bookmarkStart w:id="4" w:name="_Hlk212563960"/>
      <w:bookmarkEnd w:id="3"/>
      <w:r w:rsidRPr="00B539DB">
        <w:t>30.</w:t>
      </w:r>
      <w:r w:rsidRPr="00B539DB">
        <w:tab/>
      </w:r>
      <w:r w:rsidR="002E46F4" w:rsidRPr="00B539DB">
        <w:t>Les cas de violation à l’encontre des personnes y compris les journalistes et les défenseurs des droits de l’homme signalés font l’objet d’enquêtes, de poursuites</w:t>
      </w:r>
      <w:r w:rsidR="002E46F4" w:rsidRPr="00B539DB">
        <w:rPr>
          <w:lang w:val="fr-FR"/>
        </w:rPr>
        <w:t>,</w:t>
      </w:r>
      <w:r w:rsidR="002E46F4" w:rsidRPr="00B539DB">
        <w:t xml:space="preserve"> de condamnation et de réparation, s’il y a lieu.</w:t>
      </w:r>
    </w:p>
    <w:p w14:paraId="33F0B334" w14:textId="66E5E24F" w:rsidR="00E5504E" w:rsidRPr="00B539DB" w:rsidRDefault="00E5504E" w:rsidP="00922EFB">
      <w:pPr>
        <w:pStyle w:val="H23G"/>
        <w:rPr>
          <w:bCs/>
          <w:i/>
          <w:iCs/>
          <w:sz w:val="28"/>
          <w:szCs w:val="28"/>
          <w:lang w:val="fr-FR"/>
        </w:rPr>
      </w:pPr>
      <w:r w:rsidRPr="00B539DB">
        <w:tab/>
      </w:r>
      <w:r w:rsidRPr="00B539DB">
        <w:tab/>
      </w:r>
      <w:r w:rsidRPr="00B539DB">
        <w:t xml:space="preserve">Renseignements sur la suite donnée aux recommandations figurant au </w:t>
      </w:r>
      <w:r w:rsidR="00922EFB">
        <w:br/>
      </w:r>
      <w:r w:rsidRPr="00B539DB">
        <w:t>paragraphe 44 (</w:t>
      </w:r>
      <w:r w:rsidRPr="00B539DB">
        <w:t>d</w:t>
      </w:r>
      <w:r w:rsidRPr="00B539DB">
        <w:t>)</w:t>
      </w:r>
    </w:p>
    <w:p w14:paraId="0CB452A9" w14:textId="508373E3" w:rsidR="002E46F4" w:rsidRDefault="00B539DB" w:rsidP="00B539DB">
      <w:pPr>
        <w:pStyle w:val="SingleTxtG"/>
      </w:pPr>
      <w:r>
        <w:t>31.</w:t>
      </w:r>
      <w:r>
        <w:tab/>
      </w:r>
      <w:r w:rsidR="002E46F4" w:rsidRPr="00A820FF">
        <w:t>La Haute Autorité de l’Audiovisuel et de la Communication, ci-après dénommée la HAAC, est une institution indépendante vis-à-vis des autorités administratives, de tout pouvoir politique, de tout parti politique, de toute association et de tout groupe de pression.</w:t>
      </w:r>
    </w:p>
    <w:p w14:paraId="7CD3DAFB" w14:textId="2025AF0D" w:rsidR="002E46F4" w:rsidRPr="003A74B2" w:rsidRDefault="00B539DB" w:rsidP="00B539DB">
      <w:pPr>
        <w:pStyle w:val="SingleTxtG"/>
      </w:pPr>
      <w:r>
        <w:t>32.</w:t>
      </w:r>
      <w:r>
        <w:tab/>
      </w:r>
      <w:r w:rsidR="002E46F4" w:rsidRPr="003A74B2">
        <w:t>L’adoption de la loi organique n° 2021-031 du 06 décembre 2021 modifiant la loi organique n° 2018-029 du 10 décembre 2018 relative à la Haute Autorité de l’Audiovisuel et de la Communication (HAAC) a consacré une modification de la composition de la HAAC qui passe à neuf membres dont six professionnels des médias avec une prise en compte du genre. La HAAC est une institution indépendante vis-à-vis des autorités administratives, de tout pouvoir politique, de tout parti politique, de toute association et de tout groupe de pression (Article premier de la loi)</w:t>
      </w:r>
      <w:r w:rsidR="002E46F4">
        <w:t>.</w:t>
      </w:r>
    </w:p>
    <w:p w14:paraId="6684DB39" w14:textId="112034A8" w:rsidR="002E46F4" w:rsidRPr="003A74B2" w:rsidRDefault="00B539DB" w:rsidP="00B539DB">
      <w:pPr>
        <w:pStyle w:val="SingleTxtG"/>
      </w:pPr>
      <w:r>
        <w:t>33.</w:t>
      </w:r>
      <w:r>
        <w:tab/>
      </w:r>
      <w:r w:rsidR="002E46F4" w:rsidRPr="003A74B2">
        <w:t>Par ailleurs, l’implication de l’Observatoire togolais des médias est consacrée car, il joue le rôle de filtre et de réception des candidatures des professionnels des médias avant leur transmission au niveau des institutions de désignation. Les professionnels des médias sont donc prépondérants, renforçant ainsi la crédibilité de l’institution.</w:t>
      </w:r>
    </w:p>
    <w:bookmarkEnd w:id="4"/>
    <w:p w14:paraId="260F5B07" w14:textId="0E16D345" w:rsidR="000C1293" w:rsidRPr="000C1293" w:rsidRDefault="00B539DB" w:rsidP="00B539DB">
      <w:pPr>
        <w:pStyle w:val="SingleTxtG"/>
        <w:jc w:val="center"/>
      </w:pPr>
      <w:r>
        <w:t>______________</w:t>
      </w:r>
    </w:p>
    <w:sectPr w:rsidR="000C1293" w:rsidRPr="000C1293" w:rsidSect="0098190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20C39" w14:textId="77777777" w:rsidR="00433D56" w:rsidRDefault="00433D56" w:rsidP="00F95C08">
      <w:pPr>
        <w:spacing w:line="240" w:lineRule="auto"/>
      </w:pPr>
    </w:p>
  </w:endnote>
  <w:endnote w:type="continuationSeparator" w:id="0">
    <w:p w14:paraId="71B3611A" w14:textId="77777777" w:rsidR="00433D56" w:rsidRPr="00AC3823" w:rsidRDefault="00433D56" w:rsidP="00AC3823">
      <w:pPr>
        <w:pStyle w:val="Footer"/>
      </w:pPr>
    </w:p>
  </w:endnote>
  <w:endnote w:type="continuationNotice" w:id="1">
    <w:p w14:paraId="04621B93" w14:textId="77777777" w:rsidR="00433D56" w:rsidRDefault="00433D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D4C4A" w14:textId="77777777" w:rsidR="006056E0" w:rsidRDefault="00433D56"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D3877">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19CBD"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E90F4" w14:textId="77777777" w:rsidR="000C2875" w:rsidRDefault="00433D56" w:rsidP="000C2875">
    <w:pPr>
      <w:pStyle w:val="Footer"/>
      <w:spacing w:before="120"/>
      <w:rPr>
        <w:noProof/>
        <w:sz w:val="20"/>
        <w:lang w:eastAsia="fr-FR"/>
      </w:rPr>
    </w:pPr>
    <w:r w:rsidRPr="008A0E26">
      <w:rPr>
        <w:noProof/>
        <w:lang w:eastAsia="fr-CH"/>
      </w:rPr>
      <w:drawing>
        <wp:anchor distT="0" distB="0" distL="114300" distR="114300" simplePos="0" relativeHeight="251658240" behindDoc="0" locked="1" layoutInCell="1" allowOverlap="1" wp14:anchorId="1689BE13" wp14:editId="3D4D92C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8A0E26" w:rsidRPr="008A0E26">
      <w:rPr>
        <w:sz w:val="20"/>
      </w:rPr>
      <w:t>GE.</w:t>
    </w:r>
    <w:r w:rsidR="008A0E26" w:rsidRPr="008A0E26">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F4C48" w14:paraId="3CF49B50" w14:textId="77777777" w:rsidTr="000E7B24">
      <w:tc>
        <w:tcPr>
          <w:tcW w:w="1848" w:type="dxa"/>
          <w:vAlign w:val="bottom"/>
        </w:tcPr>
        <w:p w14:paraId="7DFB8102" w14:textId="77777777" w:rsidR="000C2875" w:rsidRPr="008F69EF" w:rsidRDefault="00433D56" w:rsidP="000C2875">
          <w:pPr>
            <w:spacing w:before="120" w:after="120" w:line="240" w:lineRule="auto"/>
            <w:jc w:val="right"/>
            <w:rPr>
              <w:sz w:val="16"/>
            </w:rPr>
          </w:pPr>
          <w:r>
            <w:rPr>
              <w:noProof/>
              <w:lang w:eastAsia="fr-CH"/>
            </w:rPr>
            <w:drawing>
              <wp:inline distT="0" distB="0" distL="0" distR="0" wp14:anchorId="6403C443" wp14:editId="7F8D297C">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3491158D" w14:textId="77777777" w:rsidR="000C2875" w:rsidRPr="008F69EF" w:rsidRDefault="000C2875" w:rsidP="000C2875">
          <w:pPr>
            <w:spacing w:line="240" w:lineRule="auto"/>
            <w:jc w:val="right"/>
            <w:rPr>
              <w:sz w:val="16"/>
            </w:rPr>
          </w:pPr>
        </w:p>
      </w:tc>
    </w:tr>
  </w:tbl>
  <w:p w14:paraId="0EF724C8" w14:textId="77777777" w:rsidR="006056E0" w:rsidRPr="008A0E26" w:rsidRDefault="006056E0" w:rsidP="000C2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6E46D" w14:textId="77777777" w:rsidR="00433D56" w:rsidRPr="00AC3823" w:rsidRDefault="00433D56" w:rsidP="00AC3823">
      <w:pPr>
        <w:pStyle w:val="Footer"/>
        <w:tabs>
          <w:tab w:val="right" w:pos="2155"/>
        </w:tabs>
        <w:spacing w:after="80" w:line="240" w:lineRule="atLeast"/>
        <w:ind w:left="680"/>
        <w:rPr>
          <w:u w:val="single"/>
        </w:rPr>
      </w:pPr>
      <w:r>
        <w:rPr>
          <w:u w:val="single"/>
        </w:rPr>
        <w:tab/>
      </w:r>
    </w:p>
  </w:footnote>
  <w:footnote w:type="continuationSeparator" w:id="0">
    <w:p w14:paraId="2413E42C" w14:textId="77777777" w:rsidR="00433D56" w:rsidRPr="00AC3823" w:rsidRDefault="00433D56" w:rsidP="00AC3823">
      <w:pPr>
        <w:pStyle w:val="Footer"/>
        <w:tabs>
          <w:tab w:val="right" w:pos="2155"/>
        </w:tabs>
        <w:spacing w:after="80" w:line="240" w:lineRule="atLeast"/>
        <w:ind w:left="680"/>
        <w:rPr>
          <w:u w:val="single"/>
        </w:rPr>
      </w:pPr>
      <w:r>
        <w:rPr>
          <w:u w:val="single"/>
        </w:rPr>
        <w:tab/>
      </w:r>
    </w:p>
  </w:footnote>
  <w:footnote w:type="continuationNotice" w:id="1">
    <w:p w14:paraId="6D62C178" w14:textId="77777777" w:rsidR="00433D56" w:rsidRPr="00AC3823" w:rsidRDefault="00433D56">
      <w:pPr>
        <w:spacing w:line="240" w:lineRule="auto"/>
        <w:rPr>
          <w:sz w:val="2"/>
          <w:szCs w:val="2"/>
        </w:rPr>
      </w:pPr>
    </w:p>
  </w:footnote>
  <w:footnote w:id="2">
    <w:p w14:paraId="657D7082" w14:textId="77777777" w:rsidR="004D6048" w:rsidRPr="005D71BF" w:rsidRDefault="00433D56" w:rsidP="004D6048">
      <w:pPr>
        <w:pStyle w:val="FootnoteText"/>
      </w:pPr>
      <w:r>
        <w:tab/>
      </w:r>
      <w:r w:rsidRPr="0063080D">
        <w:rPr>
          <w:rStyle w:val="FootnoteReference"/>
          <w:sz w:val="20"/>
          <w:vertAlign w:val="baseline"/>
        </w:rPr>
        <w:t>*</w:t>
      </w:r>
      <w:r>
        <w:rPr>
          <w:sz w:val="20"/>
        </w:rPr>
        <w:tab/>
      </w:r>
      <w:r>
        <w:t>L</w:t>
      </w:r>
      <w:r w:rsidR="00D067C3">
        <w:t>e</w:t>
      </w:r>
      <w:r>
        <w:t xml:space="preserve"> </w:t>
      </w:r>
      <w:r w:rsidR="00B42154">
        <w:t>présent document n’a pas été revu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26B71" w14:textId="77777777" w:rsidR="006056E0" w:rsidRDefault="00E018E1">
    <w:pPr>
      <w:pStyle w:val="Header"/>
    </w:pPr>
    <w:r>
      <w:t>CCPR/C/TGO/FCO/5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A74A3" w14:textId="77777777" w:rsidR="005B6BC9" w:rsidRDefault="00E018E1" w:rsidP="005B6BC9">
    <w:pPr>
      <w:pStyle w:val="Header"/>
      <w:jc w:val="right"/>
    </w:pPr>
    <w:r>
      <w:t>CCPR/C/TGO/FCO/5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54046D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69C4B10" w:tentative="1">
      <w:start w:val="1"/>
      <w:numFmt w:val="lowerLetter"/>
      <w:lvlText w:val="%2."/>
      <w:lvlJc w:val="left"/>
      <w:pPr>
        <w:tabs>
          <w:tab w:val="num" w:pos="1440"/>
        </w:tabs>
        <w:ind w:left="1440" w:hanging="360"/>
      </w:pPr>
    </w:lvl>
    <w:lvl w:ilvl="2" w:tplc="251E382C" w:tentative="1">
      <w:start w:val="1"/>
      <w:numFmt w:val="lowerRoman"/>
      <w:lvlText w:val="%3."/>
      <w:lvlJc w:val="right"/>
      <w:pPr>
        <w:tabs>
          <w:tab w:val="num" w:pos="2160"/>
        </w:tabs>
        <w:ind w:left="2160" w:hanging="180"/>
      </w:pPr>
    </w:lvl>
    <w:lvl w:ilvl="3" w:tplc="7898C2B4" w:tentative="1">
      <w:start w:val="1"/>
      <w:numFmt w:val="decimal"/>
      <w:lvlText w:val="%4."/>
      <w:lvlJc w:val="left"/>
      <w:pPr>
        <w:tabs>
          <w:tab w:val="num" w:pos="2880"/>
        </w:tabs>
        <w:ind w:left="2880" w:hanging="360"/>
      </w:pPr>
    </w:lvl>
    <w:lvl w:ilvl="4" w:tplc="1B0E6B02" w:tentative="1">
      <w:start w:val="1"/>
      <w:numFmt w:val="lowerLetter"/>
      <w:lvlText w:val="%5."/>
      <w:lvlJc w:val="left"/>
      <w:pPr>
        <w:tabs>
          <w:tab w:val="num" w:pos="3600"/>
        </w:tabs>
        <w:ind w:left="3600" w:hanging="360"/>
      </w:pPr>
    </w:lvl>
    <w:lvl w:ilvl="5" w:tplc="96E661E4" w:tentative="1">
      <w:start w:val="1"/>
      <w:numFmt w:val="lowerRoman"/>
      <w:lvlText w:val="%6."/>
      <w:lvlJc w:val="right"/>
      <w:pPr>
        <w:tabs>
          <w:tab w:val="num" w:pos="4320"/>
        </w:tabs>
        <w:ind w:left="4320" w:hanging="180"/>
      </w:pPr>
    </w:lvl>
    <w:lvl w:ilvl="6" w:tplc="041605D8" w:tentative="1">
      <w:start w:val="1"/>
      <w:numFmt w:val="decimal"/>
      <w:lvlText w:val="%7."/>
      <w:lvlJc w:val="left"/>
      <w:pPr>
        <w:tabs>
          <w:tab w:val="num" w:pos="5040"/>
        </w:tabs>
        <w:ind w:left="5040" w:hanging="360"/>
      </w:pPr>
    </w:lvl>
    <w:lvl w:ilvl="7" w:tplc="8D5EB41E" w:tentative="1">
      <w:start w:val="1"/>
      <w:numFmt w:val="lowerLetter"/>
      <w:lvlText w:val="%8."/>
      <w:lvlJc w:val="left"/>
      <w:pPr>
        <w:tabs>
          <w:tab w:val="num" w:pos="5760"/>
        </w:tabs>
        <w:ind w:left="5760" w:hanging="360"/>
      </w:pPr>
    </w:lvl>
    <w:lvl w:ilvl="8" w:tplc="9026A1EA" w:tentative="1">
      <w:start w:val="1"/>
      <w:numFmt w:val="lowerRoman"/>
      <w:lvlText w:val="%9."/>
      <w:lvlJc w:val="right"/>
      <w:pPr>
        <w:tabs>
          <w:tab w:val="num" w:pos="6480"/>
        </w:tabs>
        <w:ind w:left="6480" w:hanging="180"/>
      </w:pPr>
    </w:lvl>
  </w:abstractNum>
  <w:abstractNum w:abstractNumId="11" w15:restartNumberingAfterBreak="0">
    <w:nsid w:val="2C416D9E"/>
    <w:multiLevelType w:val="hybridMultilevel"/>
    <w:tmpl w:val="3A2C0862"/>
    <w:lvl w:ilvl="0" w:tplc="A8A6961C">
      <w:start w:val="1"/>
      <w:numFmt w:val="lowerLetter"/>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12" w15:restartNumberingAfterBreak="0">
    <w:nsid w:val="2CAA3A9B"/>
    <w:multiLevelType w:val="multilevel"/>
    <w:tmpl w:val="51ACA408"/>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CF4EB2"/>
    <w:multiLevelType w:val="hybridMultilevel"/>
    <w:tmpl w:val="8030249E"/>
    <w:lvl w:ilvl="0" w:tplc="84BA4A62">
      <w:start w:val="1"/>
      <w:numFmt w:val="bullet"/>
      <w:pStyle w:val="Bullet2G"/>
      <w:lvlText w:val="•"/>
      <w:lvlJc w:val="left"/>
      <w:pPr>
        <w:tabs>
          <w:tab w:val="num" w:pos="2268"/>
        </w:tabs>
        <w:ind w:left="2268" w:hanging="170"/>
      </w:pPr>
      <w:rPr>
        <w:rFonts w:ascii="Times New Roman" w:hAnsi="Times New Roman" w:cs="Times New Roman" w:hint="default"/>
      </w:rPr>
    </w:lvl>
    <w:lvl w:ilvl="1" w:tplc="16E80E64" w:tentative="1">
      <w:start w:val="1"/>
      <w:numFmt w:val="bullet"/>
      <w:lvlText w:val="o"/>
      <w:lvlJc w:val="left"/>
      <w:pPr>
        <w:tabs>
          <w:tab w:val="num" w:pos="3708"/>
        </w:tabs>
        <w:ind w:left="3708" w:hanging="360"/>
      </w:pPr>
      <w:rPr>
        <w:rFonts w:ascii="Courier New" w:hAnsi="Courier New" w:hint="default"/>
      </w:rPr>
    </w:lvl>
    <w:lvl w:ilvl="2" w:tplc="93640692" w:tentative="1">
      <w:start w:val="1"/>
      <w:numFmt w:val="bullet"/>
      <w:lvlText w:val=""/>
      <w:lvlJc w:val="left"/>
      <w:pPr>
        <w:tabs>
          <w:tab w:val="num" w:pos="4428"/>
        </w:tabs>
        <w:ind w:left="4428" w:hanging="360"/>
      </w:pPr>
      <w:rPr>
        <w:rFonts w:ascii="Wingdings" w:hAnsi="Wingdings" w:hint="default"/>
      </w:rPr>
    </w:lvl>
    <w:lvl w:ilvl="3" w:tplc="9084A554" w:tentative="1">
      <w:start w:val="1"/>
      <w:numFmt w:val="bullet"/>
      <w:lvlText w:val=""/>
      <w:lvlJc w:val="left"/>
      <w:pPr>
        <w:tabs>
          <w:tab w:val="num" w:pos="5148"/>
        </w:tabs>
        <w:ind w:left="5148" w:hanging="360"/>
      </w:pPr>
      <w:rPr>
        <w:rFonts w:ascii="Symbol" w:hAnsi="Symbol" w:hint="default"/>
      </w:rPr>
    </w:lvl>
    <w:lvl w:ilvl="4" w:tplc="F6E67A8A" w:tentative="1">
      <w:start w:val="1"/>
      <w:numFmt w:val="bullet"/>
      <w:lvlText w:val="o"/>
      <w:lvlJc w:val="left"/>
      <w:pPr>
        <w:tabs>
          <w:tab w:val="num" w:pos="5868"/>
        </w:tabs>
        <w:ind w:left="5868" w:hanging="360"/>
      </w:pPr>
      <w:rPr>
        <w:rFonts w:ascii="Courier New" w:hAnsi="Courier New" w:hint="default"/>
      </w:rPr>
    </w:lvl>
    <w:lvl w:ilvl="5" w:tplc="82A0AAE8" w:tentative="1">
      <w:start w:val="1"/>
      <w:numFmt w:val="bullet"/>
      <w:lvlText w:val=""/>
      <w:lvlJc w:val="left"/>
      <w:pPr>
        <w:tabs>
          <w:tab w:val="num" w:pos="6588"/>
        </w:tabs>
        <w:ind w:left="6588" w:hanging="360"/>
      </w:pPr>
      <w:rPr>
        <w:rFonts w:ascii="Wingdings" w:hAnsi="Wingdings" w:hint="default"/>
      </w:rPr>
    </w:lvl>
    <w:lvl w:ilvl="6" w:tplc="FF8C5746" w:tentative="1">
      <w:start w:val="1"/>
      <w:numFmt w:val="bullet"/>
      <w:lvlText w:val=""/>
      <w:lvlJc w:val="left"/>
      <w:pPr>
        <w:tabs>
          <w:tab w:val="num" w:pos="7308"/>
        </w:tabs>
        <w:ind w:left="7308" w:hanging="360"/>
      </w:pPr>
      <w:rPr>
        <w:rFonts w:ascii="Symbol" w:hAnsi="Symbol" w:hint="default"/>
      </w:rPr>
    </w:lvl>
    <w:lvl w:ilvl="7" w:tplc="76F88EA8" w:tentative="1">
      <w:start w:val="1"/>
      <w:numFmt w:val="bullet"/>
      <w:lvlText w:val="o"/>
      <w:lvlJc w:val="left"/>
      <w:pPr>
        <w:tabs>
          <w:tab w:val="num" w:pos="8028"/>
        </w:tabs>
        <w:ind w:left="8028" w:hanging="360"/>
      </w:pPr>
      <w:rPr>
        <w:rFonts w:ascii="Courier New" w:hAnsi="Courier New" w:hint="default"/>
      </w:rPr>
    </w:lvl>
    <w:lvl w:ilvl="8" w:tplc="49C438D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65C5678"/>
    <w:multiLevelType w:val="hybridMultilevel"/>
    <w:tmpl w:val="FE7A1970"/>
    <w:lvl w:ilvl="0" w:tplc="617E8064">
      <w:start w:val="1"/>
      <w:numFmt w:val="lowerLetter"/>
      <w:lvlText w:val="%1)"/>
      <w:lvlJc w:val="left"/>
      <w:pPr>
        <w:ind w:left="720" w:hanging="510"/>
      </w:pPr>
      <w:rPr>
        <w:rFonts w:hint="default"/>
        <w:b/>
        <w:i/>
      </w:rPr>
    </w:lvl>
    <w:lvl w:ilvl="1" w:tplc="040C0019" w:tentative="1">
      <w:start w:val="1"/>
      <w:numFmt w:val="lowerLetter"/>
      <w:lvlText w:val="%2."/>
      <w:lvlJc w:val="left"/>
      <w:pPr>
        <w:ind w:left="1290" w:hanging="360"/>
      </w:pPr>
    </w:lvl>
    <w:lvl w:ilvl="2" w:tplc="040C001B" w:tentative="1">
      <w:start w:val="1"/>
      <w:numFmt w:val="lowerRoman"/>
      <w:lvlText w:val="%3."/>
      <w:lvlJc w:val="right"/>
      <w:pPr>
        <w:ind w:left="2010" w:hanging="180"/>
      </w:pPr>
    </w:lvl>
    <w:lvl w:ilvl="3" w:tplc="040C000F" w:tentative="1">
      <w:start w:val="1"/>
      <w:numFmt w:val="decimal"/>
      <w:lvlText w:val="%4."/>
      <w:lvlJc w:val="left"/>
      <w:pPr>
        <w:ind w:left="2730" w:hanging="360"/>
      </w:pPr>
    </w:lvl>
    <w:lvl w:ilvl="4" w:tplc="040C0019" w:tentative="1">
      <w:start w:val="1"/>
      <w:numFmt w:val="lowerLetter"/>
      <w:lvlText w:val="%5."/>
      <w:lvlJc w:val="left"/>
      <w:pPr>
        <w:ind w:left="3450" w:hanging="360"/>
      </w:pPr>
    </w:lvl>
    <w:lvl w:ilvl="5" w:tplc="040C001B" w:tentative="1">
      <w:start w:val="1"/>
      <w:numFmt w:val="lowerRoman"/>
      <w:lvlText w:val="%6."/>
      <w:lvlJc w:val="right"/>
      <w:pPr>
        <w:ind w:left="4170" w:hanging="180"/>
      </w:pPr>
    </w:lvl>
    <w:lvl w:ilvl="6" w:tplc="040C000F" w:tentative="1">
      <w:start w:val="1"/>
      <w:numFmt w:val="decimal"/>
      <w:lvlText w:val="%7."/>
      <w:lvlJc w:val="left"/>
      <w:pPr>
        <w:ind w:left="4890" w:hanging="360"/>
      </w:pPr>
    </w:lvl>
    <w:lvl w:ilvl="7" w:tplc="040C0019" w:tentative="1">
      <w:start w:val="1"/>
      <w:numFmt w:val="lowerLetter"/>
      <w:lvlText w:val="%8."/>
      <w:lvlJc w:val="left"/>
      <w:pPr>
        <w:ind w:left="5610" w:hanging="360"/>
      </w:pPr>
    </w:lvl>
    <w:lvl w:ilvl="8" w:tplc="040C001B" w:tentative="1">
      <w:start w:val="1"/>
      <w:numFmt w:val="lowerRoman"/>
      <w:lvlText w:val="%9."/>
      <w:lvlJc w:val="right"/>
      <w:pPr>
        <w:ind w:left="6330" w:hanging="180"/>
      </w:pPr>
    </w:lvl>
  </w:abstractNum>
  <w:abstractNum w:abstractNumId="15" w15:restartNumberingAfterBreak="0">
    <w:nsid w:val="68AD07B2"/>
    <w:multiLevelType w:val="hybridMultilevel"/>
    <w:tmpl w:val="64BC20A4"/>
    <w:lvl w:ilvl="0" w:tplc="242AA45C">
      <w:start w:val="1"/>
      <w:numFmt w:val="bullet"/>
      <w:pStyle w:val="Bullet1G"/>
      <w:lvlText w:val="•"/>
      <w:lvlJc w:val="left"/>
      <w:pPr>
        <w:tabs>
          <w:tab w:val="num" w:pos="1701"/>
        </w:tabs>
        <w:ind w:left="1701" w:hanging="170"/>
      </w:pPr>
      <w:rPr>
        <w:rFonts w:ascii="Times New Roman" w:hAnsi="Times New Roman" w:cs="Times New Roman" w:hint="default"/>
      </w:rPr>
    </w:lvl>
    <w:lvl w:ilvl="1" w:tplc="D1622DA0" w:tentative="1">
      <w:start w:val="1"/>
      <w:numFmt w:val="bullet"/>
      <w:lvlText w:val="o"/>
      <w:lvlJc w:val="left"/>
      <w:pPr>
        <w:tabs>
          <w:tab w:val="num" w:pos="3141"/>
        </w:tabs>
        <w:ind w:left="3141" w:hanging="360"/>
      </w:pPr>
      <w:rPr>
        <w:rFonts w:ascii="Courier New" w:hAnsi="Courier New" w:hint="default"/>
      </w:rPr>
    </w:lvl>
    <w:lvl w:ilvl="2" w:tplc="E06AD04A" w:tentative="1">
      <w:start w:val="1"/>
      <w:numFmt w:val="bullet"/>
      <w:lvlText w:val=""/>
      <w:lvlJc w:val="left"/>
      <w:pPr>
        <w:tabs>
          <w:tab w:val="num" w:pos="3861"/>
        </w:tabs>
        <w:ind w:left="3861" w:hanging="360"/>
      </w:pPr>
      <w:rPr>
        <w:rFonts w:ascii="Wingdings" w:hAnsi="Wingdings" w:hint="default"/>
      </w:rPr>
    </w:lvl>
    <w:lvl w:ilvl="3" w:tplc="3F620FF6" w:tentative="1">
      <w:start w:val="1"/>
      <w:numFmt w:val="bullet"/>
      <w:lvlText w:val=""/>
      <w:lvlJc w:val="left"/>
      <w:pPr>
        <w:tabs>
          <w:tab w:val="num" w:pos="4581"/>
        </w:tabs>
        <w:ind w:left="4581" w:hanging="360"/>
      </w:pPr>
      <w:rPr>
        <w:rFonts w:ascii="Symbol" w:hAnsi="Symbol" w:hint="default"/>
      </w:rPr>
    </w:lvl>
    <w:lvl w:ilvl="4" w:tplc="B4687502" w:tentative="1">
      <w:start w:val="1"/>
      <w:numFmt w:val="bullet"/>
      <w:lvlText w:val="o"/>
      <w:lvlJc w:val="left"/>
      <w:pPr>
        <w:tabs>
          <w:tab w:val="num" w:pos="5301"/>
        </w:tabs>
        <w:ind w:left="5301" w:hanging="360"/>
      </w:pPr>
      <w:rPr>
        <w:rFonts w:ascii="Courier New" w:hAnsi="Courier New" w:hint="default"/>
      </w:rPr>
    </w:lvl>
    <w:lvl w:ilvl="5" w:tplc="737861C8" w:tentative="1">
      <w:start w:val="1"/>
      <w:numFmt w:val="bullet"/>
      <w:lvlText w:val=""/>
      <w:lvlJc w:val="left"/>
      <w:pPr>
        <w:tabs>
          <w:tab w:val="num" w:pos="6021"/>
        </w:tabs>
        <w:ind w:left="6021" w:hanging="360"/>
      </w:pPr>
      <w:rPr>
        <w:rFonts w:ascii="Wingdings" w:hAnsi="Wingdings" w:hint="default"/>
      </w:rPr>
    </w:lvl>
    <w:lvl w:ilvl="6" w:tplc="A74487A6" w:tentative="1">
      <w:start w:val="1"/>
      <w:numFmt w:val="bullet"/>
      <w:lvlText w:val=""/>
      <w:lvlJc w:val="left"/>
      <w:pPr>
        <w:tabs>
          <w:tab w:val="num" w:pos="6741"/>
        </w:tabs>
        <w:ind w:left="6741" w:hanging="360"/>
      </w:pPr>
      <w:rPr>
        <w:rFonts w:ascii="Symbol" w:hAnsi="Symbol" w:hint="default"/>
      </w:rPr>
    </w:lvl>
    <w:lvl w:ilvl="7" w:tplc="5F34B87C" w:tentative="1">
      <w:start w:val="1"/>
      <w:numFmt w:val="bullet"/>
      <w:lvlText w:val="o"/>
      <w:lvlJc w:val="left"/>
      <w:pPr>
        <w:tabs>
          <w:tab w:val="num" w:pos="7461"/>
        </w:tabs>
        <w:ind w:left="7461" w:hanging="360"/>
      </w:pPr>
      <w:rPr>
        <w:rFonts w:ascii="Courier New" w:hAnsi="Courier New" w:hint="default"/>
      </w:rPr>
    </w:lvl>
    <w:lvl w:ilvl="8" w:tplc="0792C9B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2322F01"/>
    <w:multiLevelType w:val="hybridMultilevel"/>
    <w:tmpl w:val="F996B6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696614103">
    <w:abstractNumId w:val="15"/>
  </w:num>
  <w:num w:numId="2" w16cid:durableId="982084669">
    <w:abstractNumId w:val="13"/>
  </w:num>
  <w:num w:numId="3" w16cid:durableId="1192113635">
    <w:abstractNumId w:val="10"/>
  </w:num>
  <w:num w:numId="4" w16cid:durableId="1789465345">
    <w:abstractNumId w:val="8"/>
  </w:num>
  <w:num w:numId="5" w16cid:durableId="804274919">
    <w:abstractNumId w:val="3"/>
  </w:num>
  <w:num w:numId="6" w16cid:durableId="84348164">
    <w:abstractNumId w:val="2"/>
  </w:num>
  <w:num w:numId="7" w16cid:durableId="1470784983">
    <w:abstractNumId w:val="1"/>
  </w:num>
  <w:num w:numId="8" w16cid:durableId="1878009781">
    <w:abstractNumId w:val="0"/>
  </w:num>
  <w:num w:numId="9" w16cid:durableId="1278487967">
    <w:abstractNumId w:val="9"/>
  </w:num>
  <w:num w:numId="10" w16cid:durableId="780806936">
    <w:abstractNumId w:val="7"/>
  </w:num>
  <w:num w:numId="11" w16cid:durableId="1683438134">
    <w:abstractNumId w:val="6"/>
  </w:num>
  <w:num w:numId="12" w16cid:durableId="615795757">
    <w:abstractNumId w:val="5"/>
  </w:num>
  <w:num w:numId="13" w16cid:durableId="844855908">
    <w:abstractNumId w:val="4"/>
  </w:num>
  <w:num w:numId="14" w16cid:durableId="1942255415">
    <w:abstractNumId w:val="15"/>
  </w:num>
  <w:num w:numId="15" w16cid:durableId="1938637684">
    <w:abstractNumId w:val="13"/>
  </w:num>
  <w:num w:numId="16" w16cid:durableId="1019239267">
    <w:abstractNumId w:val="10"/>
  </w:num>
  <w:num w:numId="17" w16cid:durableId="1136876001">
    <w:abstractNumId w:val="15"/>
  </w:num>
  <w:num w:numId="18" w16cid:durableId="1236282434">
    <w:abstractNumId w:val="13"/>
  </w:num>
  <w:num w:numId="19" w16cid:durableId="292172722">
    <w:abstractNumId w:val="10"/>
  </w:num>
  <w:num w:numId="20" w16cid:durableId="2045976627">
    <w:abstractNumId w:val="12"/>
  </w:num>
  <w:num w:numId="21" w16cid:durableId="2137719025">
    <w:abstractNumId w:val="16"/>
  </w:num>
  <w:num w:numId="22" w16cid:durableId="55398768">
    <w:abstractNumId w:val="11"/>
  </w:num>
  <w:num w:numId="23" w16cid:durableId="5149225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66D"/>
    <w:rsid w:val="00017F94"/>
    <w:rsid w:val="00023842"/>
    <w:rsid w:val="000334F9"/>
    <w:rsid w:val="00065CBF"/>
    <w:rsid w:val="000714FD"/>
    <w:rsid w:val="0007796D"/>
    <w:rsid w:val="000860BB"/>
    <w:rsid w:val="000B7790"/>
    <w:rsid w:val="000C1293"/>
    <w:rsid w:val="000C2875"/>
    <w:rsid w:val="000C390E"/>
    <w:rsid w:val="000D1A91"/>
    <w:rsid w:val="000D6818"/>
    <w:rsid w:val="001067B9"/>
    <w:rsid w:val="00111F2F"/>
    <w:rsid w:val="0014365E"/>
    <w:rsid w:val="001459C9"/>
    <w:rsid w:val="00150DB2"/>
    <w:rsid w:val="00175BB2"/>
    <w:rsid w:val="00176178"/>
    <w:rsid w:val="00176603"/>
    <w:rsid w:val="001D64AF"/>
    <w:rsid w:val="001E498C"/>
    <w:rsid w:val="001F525A"/>
    <w:rsid w:val="00206CF2"/>
    <w:rsid w:val="00214CB3"/>
    <w:rsid w:val="00223272"/>
    <w:rsid w:val="0024779E"/>
    <w:rsid w:val="00291F1D"/>
    <w:rsid w:val="002A0540"/>
    <w:rsid w:val="002D340A"/>
    <w:rsid w:val="002E46F4"/>
    <w:rsid w:val="00353ED5"/>
    <w:rsid w:val="00363BF5"/>
    <w:rsid w:val="0037014C"/>
    <w:rsid w:val="0039005B"/>
    <w:rsid w:val="003D1AD0"/>
    <w:rsid w:val="003F1369"/>
    <w:rsid w:val="0041336D"/>
    <w:rsid w:val="0041397A"/>
    <w:rsid w:val="00433D56"/>
    <w:rsid w:val="00435017"/>
    <w:rsid w:val="00437041"/>
    <w:rsid w:val="00446FE5"/>
    <w:rsid w:val="0044752F"/>
    <w:rsid w:val="00452396"/>
    <w:rsid w:val="00470737"/>
    <w:rsid w:val="00475149"/>
    <w:rsid w:val="00484F44"/>
    <w:rsid w:val="00494BBC"/>
    <w:rsid w:val="004B6082"/>
    <w:rsid w:val="004D45E9"/>
    <w:rsid w:val="004D6048"/>
    <w:rsid w:val="005505B7"/>
    <w:rsid w:val="00561DFB"/>
    <w:rsid w:val="00573BE5"/>
    <w:rsid w:val="00582D63"/>
    <w:rsid w:val="00586ED3"/>
    <w:rsid w:val="00596AA9"/>
    <w:rsid w:val="005B2412"/>
    <w:rsid w:val="005B6BC9"/>
    <w:rsid w:val="005D71BF"/>
    <w:rsid w:val="005E1D68"/>
    <w:rsid w:val="005E2B17"/>
    <w:rsid w:val="0060001E"/>
    <w:rsid w:val="006056E0"/>
    <w:rsid w:val="00613A58"/>
    <w:rsid w:val="0063080D"/>
    <w:rsid w:val="00640E26"/>
    <w:rsid w:val="00684555"/>
    <w:rsid w:val="006910CE"/>
    <w:rsid w:val="006D44E0"/>
    <w:rsid w:val="00706E82"/>
    <w:rsid w:val="0071601D"/>
    <w:rsid w:val="0072392D"/>
    <w:rsid w:val="00746015"/>
    <w:rsid w:val="00766CEC"/>
    <w:rsid w:val="007A62E6"/>
    <w:rsid w:val="008012E0"/>
    <w:rsid w:val="0080684C"/>
    <w:rsid w:val="00815502"/>
    <w:rsid w:val="00824D57"/>
    <w:rsid w:val="00867D17"/>
    <w:rsid w:val="00871C75"/>
    <w:rsid w:val="0087506A"/>
    <w:rsid w:val="008776DC"/>
    <w:rsid w:val="008A0E26"/>
    <w:rsid w:val="008B3B03"/>
    <w:rsid w:val="008C6C1B"/>
    <w:rsid w:val="008C7952"/>
    <w:rsid w:val="008F4C48"/>
    <w:rsid w:val="008F5008"/>
    <w:rsid w:val="008F5D35"/>
    <w:rsid w:val="008F69EF"/>
    <w:rsid w:val="00922EFB"/>
    <w:rsid w:val="00957790"/>
    <w:rsid w:val="009705C8"/>
    <w:rsid w:val="00981901"/>
    <w:rsid w:val="009E06AD"/>
    <w:rsid w:val="009F65C5"/>
    <w:rsid w:val="00A41291"/>
    <w:rsid w:val="00A70623"/>
    <w:rsid w:val="00AA69DF"/>
    <w:rsid w:val="00AB51C8"/>
    <w:rsid w:val="00AC3823"/>
    <w:rsid w:val="00AC7C7A"/>
    <w:rsid w:val="00AE2A62"/>
    <w:rsid w:val="00AE323C"/>
    <w:rsid w:val="00B00181"/>
    <w:rsid w:val="00B002C4"/>
    <w:rsid w:val="00B023CF"/>
    <w:rsid w:val="00B12BE8"/>
    <w:rsid w:val="00B33DFE"/>
    <w:rsid w:val="00B42154"/>
    <w:rsid w:val="00B43C66"/>
    <w:rsid w:val="00B539DB"/>
    <w:rsid w:val="00B765F7"/>
    <w:rsid w:val="00B80BD3"/>
    <w:rsid w:val="00BA0CA9"/>
    <w:rsid w:val="00BC4CFE"/>
    <w:rsid w:val="00BE4745"/>
    <w:rsid w:val="00BF3C2C"/>
    <w:rsid w:val="00C02897"/>
    <w:rsid w:val="00C02B10"/>
    <w:rsid w:val="00C04DBC"/>
    <w:rsid w:val="00C454D2"/>
    <w:rsid w:val="00C54ED5"/>
    <w:rsid w:val="00C71AAB"/>
    <w:rsid w:val="00CA3912"/>
    <w:rsid w:val="00CB2A6A"/>
    <w:rsid w:val="00CB2EC2"/>
    <w:rsid w:val="00CB58D5"/>
    <w:rsid w:val="00CC2887"/>
    <w:rsid w:val="00CD3877"/>
    <w:rsid w:val="00CF2F4A"/>
    <w:rsid w:val="00D00DEE"/>
    <w:rsid w:val="00D02F73"/>
    <w:rsid w:val="00D067C3"/>
    <w:rsid w:val="00D3439C"/>
    <w:rsid w:val="00D76F7A"/>
    <w:rsid w:val="00DA21C9"/>
    <w:rsid w:val="00DA22F4"/>
    <w:rsid w:val="00DA7434"/>
    <w:rsid w:val="00DB1831"/>
    <w:rsid w:val="00DD3BFD"/>
    <w:rsid w:val="00DF0775"/>
    <w:rsid w:val="00DF3BF1"/>
    <w:rsid w:val="00DF6678"/>
    <w:rsid w:val="00E018E1"/>
    <w:rsid w:val="00E0623C"/>
    <w:rsid w:val="00E22CF2"/>
    <w:rsid w:val="00E506F1"/>
    <w:rsid w:val="00E52D9F"/>
    <w:rsid w:val="00E5504E"/>
    <w:rsid w:val="00E90E22"/>
    <w:rsid w:val="00EA0791"/>
    <w:rsid w:val="00EA315B"/>
    <w:rsid w:val="00EA4D06"/>
    <w:rsid w:val="00EE39C4"/>
    <w:rsid w:val="00F00BED"/>
    <w:rsid w:val="00F164B0"/>
    <w:rsid w:val="00F16DC1"/>
    <w:rsid w:val="00F43810"/>
    <w:rsid w:val="00F660DF"/>
    <w:rsid w:val="00F80094"/>
    <w:rsid w:val="00F93630"/>
    <w:rsid w:val="00F95C08"/>
    <w:rsid w:val="00FA66E5"/>
    <w:rsid w:val="00FD150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84E61"/>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3CF"/>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rsid w:val="00484F44"/>
    <w:pPr>
      <w:keepNext/>
      <w:keepLines/>
      <w:spacing w:after="0" w:line="240" w:lineRule="auto"/>
      <w:ind w:right="0"/>
      <w:jc w:val="left"/>
      <w:outlineLvl w:val="0"/>
    </w:pPr>
  </w:style>
  <w:style w:type="paragraph" w:styleId="Heading2">
    <w:name w:val="heading 2"/>
    <w:basedOn w:val="Normal"/>
    <w:next w:val="Normal"/>
    <w:link w:val="Heading2Char"/>
    <w:semiHidden/>
    <w:qFormat/>
    <w:rsid w:val="00484F44"/>
    <w:pPr>
      <w:outlineLvl w:val="1"/>
    </w:pPr>
  </w:style>
  <w:style w:type="paragraph" w:styleId="Heading3">
    <w:name w:val="heading 3"/>
    <w:basedOn w:val="Normal"/>
    <w:next w:val="Normal"/>
    <w:link w:val="Heading3Char"/>
    <w:semiHidden/>
    <w:qFormat/>
    <w:rsid w:val="00484F44"/>
    <w:pPr>
      <w:outlineLvl w:val="2"/>
    </w:pPr>
  </w:style>
  <w:style w:type="paragraph" w:styleId="Heading4">
    <w:name w:val="heading 4"/>
    <w:basedOn w:val="Normal"/>
    <w:next w:val="Normal"/>
    <w:link w:val="Heading4Char"/>
    <w:semiHidden/>
    <w:qFormat/>
    <w:rsid w:val="00484F44"/>
    <w:pPr>
      <w:outlineLvl w:val="3"/>
    </w:pPr>
  </w:style>
  <w:style w:type="paragraph" w:styleId="Heading5">
    <w:name w:val="heading 5"/>
    <w:basedOn w:val="Normal"/>
    <w:next w:val="Normal"/>
    <w:link w:val="Heading5Char"/>
    <w:semiHidden/>
    <w:qFormat/>
    <w:rsid w:val="00484F44"/>
    <w:pPr>
      <w:outlineLvl w:val="4"/>
    </w:pPr>
  </w:style>
  <w:style w:type="paragraph" w:styleId="Heading6">
    <w:name w:val="heading 6"/>
    <w:basedOn w:val="Normal"/>
    <w:next w:val="Normal"/>
    <w:link w:val="Heading6Char"/>
    <w:semiHidden/>
    <w:qFormat/>
    <w:rsid w:val="00484F44"/>
    <w:pPr>
      <w:outlineLvl w:val="5"/>
    </w:pPr>
  </w:style>
  <w:style w:type="paragraph" w:styleId="Heading7">
    <w:name w:val="heading 7"/>
    <w:basedOn w:val="Normal"/>
    <w:next w:val="Normal"/>
    <w:link w:val="Heading7Char"/>
    <w:semiHidden/>
    <w:qFormat/>
    <w:rsid w:val="00484F44"/>
    <w:pPr>
      <w:outlineLvl w:val="6"/>
    </w:pPr>
  </w:style>
  <w:style w:type="paragraph" w:styleId="Heading8">
    <w:name w:val="heading 8"/>
    <w:basedOn w:val="Normal"/>
    <w:next w:val="Normal"/>
    <w:link w:val="Heading8Char"/>
    <w:semiHidden/>
    <w:qFormat/>
    <w:rsid w:val="00484F44"/>
    <w:pPr>
      <w:outlineLvl w:val="7"/>
    </w:pPr>
  </w:style>
  <w:style w:type="paragraph" w:styleId="Heading9">
    <w:name w:val="heading 9"/>
    <w:basedOn w:val="Normal"/>
    <w:next w:val="Normal"/>
    <w:link w:val="Heading9Char"/>
    <w:semiHidden/>
    <w:qFormat/>
    <w:rsid w:val="00484F44"/>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84F4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4F44"/>
    <w:rPr>
      <w:rFonts w:ascii="Times New Roman" w:hAnsi="Times New Roman" w:cs="Times New Roman"/>
      <w:b/>
      <w:sz w:val="18"/>
      <w:szCs w:val="20"/>
    </w:rPr>
  </w:style>
  <w:style w:type="paragraph" w:styleId="Footer">
    <w:name w:val="footer"/>
    <w:aliases w:val="3_G"/>
    <w:basedOn w:val="Normal"/>
    <w:next w:val="Normal"/>
    <w:link w:val="FooterChar"/>
    <w:qFormat/>
    <w:rsid w:val="00484F44"/>
    <w:pPr>
      <w:spacing w:line="240" w:lineRule="auto"/>
    </w:pPr>
    <w:rPr>
      <w:sz w:val="16"/>
    </w:rPr>
  </w:style>
  <w:style w:type="character" w:customStyle="1" w:styleId="FooterChar">
    <w:name w:val="Footer Char"/>
    <w:aliases w:val="3_G Char"/>
    <w:basedOn w:val="DefaultParagraphFont"/>
    <w:link w:val="Footer"/>
    <w:rsid w:val="00484F44"/>
    <w:rPr>
      <w:rFonts w:ascii="Times New Roman" w:hAnsi="Times New Roman" w:cs="Times New Roman"/>
      <w:sz w:val="16"/>
      <w:szCs w:val="20"/>
    </w:rPr>
  </w:style>
  <w:style w:type="paragraph" w:customStyle="1" w:styleId="HMG">
    <w:name w:val="_ H __M_G"/>
    <w:basedOn w:val="Normal"/>
    <w:next w:val="Normal"/>
    <w:qFormat/>
    <w:rsid w:val="00E90E22"/>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90E22"/>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90E22"/>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90E22"/>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90E22"/>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90E22"/>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CB2EC2"/>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FootnoteReference">
    <w:name w:val="footnote reference"/>
    <w:aliases w:val="4_G"/>
    <w:basedOn w:val="DefaultParagraphFont"/>
    <w:qFormat/>
    <w:rsid w:val="00484F44"/>
    <w:rPr>
      <w:rFonts w:ascii="Times New Roman" w:hAnsi="Times New Roman"/>
      <w:sz w:val="18"/>
      <w:vertAlign w:val="superscript"/>
      <w:lang w:val="fr-CH"/>
    </w:rPr>
  </w:style>
  <w:style w:type="character" w:styleId="EndnoteReference">
    <w:name w:val="endnote reference"/>
    <w:aliases w:val="1_G"/>
    <w:basedOn w:val="FootnoteReference"/>
    <w:qFormat/>
    <w:rsid w:val="00484F44"/>
    <w:rPr>
      <w:rFonts w:ascii="Times New Roman" w:hAnsi="Times New Roman"/>
      <w:sz w:val="18"/>
      <w:vertAlign w:val="superscript"/>
      <w:lang w:val="fr-CH"/>
    </w:rPr>
  </w:style>
  <w:style w:type="table" w:styleId="TableGrid">
    <w:name w:val="Table Grid"/>
    <w:basedOn w:val="Table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84F44"/>
    <w:rPr>
      <w:color w:val="0000FF"/>
      <w:u w:val="none"/>
    </w:rPr>
  </w:style>
  <w:style w:type="character" w:styleId="FollowedHyperlink">
    <w:name w:val="FollowedHyperlink"/>
    <w:basedOn w:val="DefaultParagraphFont"/>
    <w:unhideWhenUsed/>
    <w:rsid w:val="00484F44"/>
    <w:rPr>
      <w:color w:val="0000FF"/>
      <w:u w:val="none"/>
    </w:rPr>
  </w:style>
  <w:style w:type="paragraph" w:styleId="FootnoteText">
    <w:name w:val="footnote text"/>
    <w:aliases w:val="5_G"/>
    <w:basedOn w:val="Normal"/>
    <w:link w:val="FootnoteTextChar"/>
    <w:qFormat/>
    <w:rsid w:val="00484F4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4F44"/>
    <w:rPr>
      <w:rFonts w:ascii="Times New Roman" w:hAnsi="Times New Roman" w:cs="Times New Roman"/>
      <w:sz w:val="18"/>
      <w:szCs w:val="20"/>
    </w:rPr>
  </w:style>
  <w:style w:type="paragraph" w:styleId="EndnoteText">
    <w:name w:val="endnote text"/>
    <w:aliases w:val="2_G"/>
    <w:basedOn w:val="FootnoteText"/>
    <w:link w:val="EndnoteTextChar"/>
    <w:qFormat/>
    <w:rsid w:val="00484F44"/>
  </w:style>
  <w:style w:type="character" w:customStyle="1" w:styleId="EndnoteTextChar">
    <w:name w:val="Endnote Text Char"/>
    <w:aliases w:val="2_G Char"/>
    <w:basedOn w:val="DefaultParagraphFont"/>
    <w:link w:val="EndnoteText"/>
    <w:rsid w:val="00484F44"/>
    <w:rPr>
      <w:rFonts w:ascii="Times New Roman" w:hAnsi="Times New Roman" w:cs="Times New Roman"/>
      <w:sz w:val="18"/>
      <w:szCs w:val="20"/>
    </w:rPr>
  </w:style>
  <w:style w:type="character" w:styleId="PageNumber">
    <w:name w:val="page number"/>
    <w:aliases w:val="7_G"/>
    <w:basedOn w:val="DefaultParagraphFont"/>
    <w:qFormat/>
    <w:rsid w:val="00484F44"/>
    <w:rPr>
      <w:rFonts w:ascii="Times New Roman" w:hAnsi="Times New Roman"/>
      <w:b/>
      <w:sz w:val="18"/>
      <w:lang w:val="fr-CH"/>
    </w:rPr>
  </w:style>
  <w:style w:type="character" w:customStyle="1" w:styleId="Heading1Char">
    <w:name w:val="Heading 1 Char"/>
    <w:aliases w:val="Table_G Char"/>
    <w:basedOn w:val="DefaultParagraphFont"/>
    <w:link w:val="Heading1"/>
    <w:rsid w:val="00484F44"/>
    <w:rPr>
      <w:rFonts w:ascii="Times New Roman" w:hAnsi="Times New Roman" w:cs="Times New Roman"/>
      <w:sz w:val="20"/>
      <w:szCs w:val="20"/>
    </w:rPr>
  </w:style>
  <w:style w:type="character" w:customStyle="1" w:styleId="Heading2Char">
    <w:name w:val="Heading 2 Char"/>
    <w:basedOn w:val="DefaultParagraphFont"/>
    <w:link w:val="Heading2"/>
    <w:semiHidden/>
    <w:rsid w:val="00484F44"/>
    <w:rPr>
      <w:rFonts w:ascii="Times New Roman" w:hAnsi="Times New Roman" w:cs="Times New Roman"/>
      <w:sz w:val="20"/>
      <w:szCs w:val="20"/>
    </w:rPr>
  </w:style>
  <w:style w:type="character" w:customStyle="1" w:styleId="Heading3Char">
    <w:name w:val="Heading 3 Char"/>
    <w:basedOn w:val="DefaultParagraphFont"/>
    <w:link w:val="Heading3"/>
    <w:semiHidden/>
    <w:rsid w:val="00484F44"/>
    <w:rPr>
      <w:rFonts w:ascii="Times New Roman" w:hAnsi="Times New Roman" w:cs="Times New Roman"/>
      <w:sz w:val="20"/>
      <w:szCs w:val="20"/>
    </w:rPr>
  </w:style>
  <w:style w:type="character" w:customStyle="1" w:styleId="Heading4Char">
    <w:name w:val="Heading 4 Char"/>
    <w:basedOn w:val="DefaultParagraphFont"/>
    <w:link w:val="Heading4"/>
    <w:semiHidden/>
    <w:rsid w:val="00484F44"/>
    <w:rPr>
      <w:rFonts w:ascii="Times New Roman" w:hAnsi="Times New Roman" w:cs="Times New Roman"/>
      <w:sz w:val="20"/>
      <w:szCs w:val="20"/>
    </w:rPr>
  </w:style>
  <w:style w:type="character" w:customStyle="1" w:styleId="Heading5Char">
    <w:name w:val="Heading 5 Char"/>
    <w:basedOn w:val="DefaultParagraphFont"/>
    <w:link w:val="Heading5"/>
    <w:semiHidden/>
    <w:rsid w:val="00484F44"/>
    <w:rPr>
      <w:rFonts w:ascii="Times New Roman" w:hAnsi="Times New Roman" w:cs="Times New Roman"/>
      <w:sz w:val="20"/>
      <w:szCs w:val="20"/>
    </w:rPr>
  </w:style>
  <w:style w:type="character" w:customStyle="1" w:styleId="Heading6Char">
    <w:name w:val="Heading 6 Char"/>
    <w:basedOn w:val="DefaultParagraphFont"/>
    <w:link w:val="Heading6"/>
    <w:semiHidden/>
    <w:rsid w:val="00484F44"/>
    <w:rPr>
      <w:rFonts w:ascii="Times New Roman" w:hAnsi="Times New Roman" w:cs="Times New Roman"/>
      <w:sz w:val="20"/>
      <w:szCs w:val="20"/>
    </w:rPr>
  </w:style>
  <w:style w:type="character" w:customStyle="1" w:styleId="Heading7Char">
    <w:name w:val="Heading 7 Char"/>
    <w:basedOn w:val="DefaultParagraphFont"/>
    <w:link w:val="Heading7"/>
    <w:semiHidden/>
    <w:rsid w:val="00484F44"/>
    <w:rPr>
      <w:rFonts w:ascii="Times New Roman" w:hAnsi="Times New Roman" w:cs="Times New Roman"/>
      <w:sz w:val="20"/>
      <w:szCs w:val="20"/>
    </w:rPr>
  </w:style>
  <w:style w:type="character" w:customStyle="1" w:styleId="Heading8Char">
    <w:name w:val="Heading 8 Char"/>
    <w:basedOn w:val="DefaultParagraphFont"/>
    <w:link w:val="Heading8"/>
    <w:semiHidden/>
    <w:rsid w:val="00484F44"/>
    <w:rPr>
      <w:rFonts w:ascii="Times New Roman" w:hAnsi="Times New Roman" w:cs="Times New Roman"/>
      <w:sz w:val="20"/>
      <w:szCs w:val="20"/>
    </w:rPr>
  </w:style>
  <w:style w:type="character" w:customStyle="1" w:styleId="Heading9Char">
    <w:name w:val="Heading 9 Char"/>
    <w:basedOn w:val="DefaultParagraphFont"/>
    <w:link w:val="Heading9"/>
    <w:semiHidden/>
    <w:rsid w:val="00484F44"/>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E49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NormalWeb">
    <w:name w:val="Normal (Web)"/>
    <w:basedOn w:val="Normal"/>
    <w:uiPriority w:val="99"/>
    <w:unhideWhenUsed/>
    <w:rsid w:val="002E46F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rPr>
  </w:style>
  <w:style w:type="paragraph" w:customStyle="1" w:styleId="Default">
    <w:name w:val="Default"/>
    <w:rsid w:val="002E46F4"/>
    <w:pPr>
      <w:autoSpaceDE w:val="0"/>
      <w:autoSpaceDN w:val="0"/>
      <w:adjustRightInd w:val="0"/>
      <w:spacing w:after="0" w:line="240" w:lineRule="auto"/>
    </w:pPr>
    <w:rPr>
      <w:rFonts w:ascii="Times New Roman" w:hAnsi="Times New Roman" w:cs="Times New Roman"/>
      <w:color w:val="000000"/>
      <w:sz w:val="24"/>
      <w:szCs w:val="24"/>
      <w:lang w:val="fr-FR"/>
    </w:rPr>
  </w:style>
  <w:style w:type="character" w:customStyle="1" w:styleId="SingleTxtGCar">
    <w:name w:val="_ Single Txt_G Car"/>
    <w:rsid w:val="002E46F4"/>
    <w:rPr>
      <w:rFonts w:ascii="Times New Roman" w:eastAsia="Times New Roman" w:hAnsi="Times New Roman" w:cs="Times New Roman"/>
      <w:sz w:val="20"/>
      <w:szCs w:val="20"/>
      <w:lang w:val="fr-CH"/>
    </w:rPr>
  </w:style>
  <w:style w:type="character" w:styleId="Strong">
    <w:name w:val="Strong"/>
    <w:basedOn w:val="DefaultParagraphFont"/>
    <w:uiPriority w:val="22"/>
    <w:qFormat/>
    <w:rsid w:val="002E46F4"/>
    <w:rPr>
      <w:b/>
      <w:bCs/>
    </w:rPr>
  </w:style>
  <w:style w:type="paragraph" w:styleId="ListParagraph">
    <w:name w:val="List Paragraph"/>
    <w:basedOn w:val="Normal"/>
    <w:uiPriority w:val="34"/>
    <w:qFormat/>
    <w:rsid w:val="002E46F4"/>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2026-07-23T11:25:28+00:00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B0E1CD7-5797-4ABC-B0C3-FABED4C89B67}">
  <ds:schemaRefs>
    <ds:schemaRef ds:uri="http://schemas.microsoft.com/sharepoint/v3/contenttype/forms"/>
  </ds:schemaRefs>
</ds:datastoreItem>
</file>

<file path=customXml/itemProps2.xml><?xml version="1.0" encoding="utf-8"?>
<ds:datastoreItem xmlns:ds="http://schemas.openxmlformats.org/officeDocument/2006/customXml" ds:itemID="{C0A7BDB1-2469-475C-ACF5-B9DC3B77A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54D55B-3BAB-4754-A2C5-6E4650EAB318}">
  <ds:schemaRefs>
    <ds:schemaRef ds:uri="http://schemas.microsoft.com/office/2006/metadata/properties"/>
    <ds:schemaRef ds:uri="http://schemas.microsoft.com/office/infopath/2007/PartnerControls"/>
    <ds:schemaRef ds:uri="985ec44e-1bab-4c0b-9df0-6ba128686fc9"/>
    <ds:schemaRef ds:uri="b248d7e1-e1e1-4a8e-9310-749402edb8a9"/>
    <ds:schemaRef ds:uri="11a6fe0c-d8de-4390-afb3-d9c7c54181f0"/>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6</Pages>
  <Words>2802</Words>
  <Characters>15976</Characters>
  <Application>Microsoft Office Word</Application>
  <DocSecurity>0</DocSecurity>
  <Lines>133</Lines>
  <Paragraphs>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CCPR/C/TGO/FCO/5</vt:lpstr>
      <vt:lpstr>a/hthhhh</vt:lpstr>
      <vt:lpstr>a/hthhhh</vt:lpstr>
    </vt:vector>
  </TitlesOfParts>
  <Company>DCM</Company>
  <LinksUpToDate>false</LinksUpToDate>
  <CharactersWithSpaces>18741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CCPR/C/TGO/FCO/5</dc:title>
  <dc:creator>Gloria de la Rosa</dc:creator>
  <cp:lastModifiedBy>Cherry Balmaceda</cp:lastModifiedBy>
  <cp:revision>2</cp:revision>
  <cp:lastPrinted>2017-02-27T14:31:00Z</cp:lastPrinted>
  <dcterms:created xsi:type="dcterms:W3CDTF">2026-07-23T12:23:00Z</dcterms:created>
  <dcterms:modified xsi:type="dcterms:W3CDTF">2026-07-23T12:23:00Z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du Togo</vt:lpwstr>
  </property>
  <property fmtid="{D5CDD505-2E9C-101B-9397-08002B2CF9AE}" pid="8" name="countw">
    <vt:lpwstr>Togo</vt:lpwstr>
  </property>
  <property fmtid="{D5CDD505-2E9C-101B-9397-08002B2CF9AE}" pid="9" name="countwd">
    <vt:lpwstr>le Togo</vt:lpwstr>
  </property>
  <property fmtid="{D5CDD505-2E9C-101B-9397-08002B2CF9AE}" pid="10" name="date">
    <vt:lpwstr>23 juillet 2026</vt:lpwstr>
  </property>
  <property fmtid="{D5CDD505-2E9C-101B-9397-08002B2CF9AE}" pid="11" name="Date-Generated">
    <vt:filetime>2026-07-23T10:54:57Z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190000</vt:r8>
  </property>
  <property fmtid="{D5CDD505-2E9C-101B-9397-08002B2CF9AE}" pid="21" name="Org">
    <vt:lpwstr>OHCHR</vt:lpwstr>
  </property>
  <property fmtid="{D5CDD505-2E9C-101B-9397-08002B2CF9AE}" pid="22" name="prep">
    <vt:lpwstr>cinquième rapport périodique du Togo</vt:lpwstr>
  </property>
  <property fmtid="{D5CDD505-2E9C-101B-9397-08002B2CF9AE}" pid="23" name="preps">
    <vt:lpwstr>cinquième rapport périodique du Togo</vt:lpwstr>
  </property>
  <property fmtid="{D5CDD505-2E9C-101B-9397-08002B2CF9AE}" pid="24" name="prepw">
    <vt:lpwstr>cinquième rapport périodique</vt:lpwstr>
  </property>
  <property fmtid="{D5CDD505-2E9C-101B-9397-08002B2CF9AE}" pid="25" name="prepwc">
    <vt:lpwstr>Cinquième rapport périodique </vt:lpwstr>
  </property>
  <property fmtid="{D5CDD505-2E9C-101B-9397-08002B2CF9AE}" pid="26" name="prepws">
    <vt:lpwstr>cinquième rapport périodique</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C/TGO/FCO/5</vt:lpwstr>
  </property>
  <property fmtid="{D5CDD505-2E9C-101B-9397-08002B2CF9AE}" pid="32" name="symh">
    <vt:lpwstr>CCPR/C/TGO/FCO/5</vt:lpwstr>
  </property>
  <property fmtid="{D5CDD505-2E9C-101B-9397-08002B2CF9AE}" pid="33" name="Title">
    <vt:lpwstr>CCPR/C/TGO/FCO/5</vt:lpwstr>
  </property>
  <property fmtid="{D5CDD505-2E9C-101B-9397-08002B2CF9AE}" pid="34" name="tlang">
    <vt:lpwstr/>
  </property>
  <property fmtid="{D5CDD505-2E9C-101B-9397-08002B2CF9AE}" pid="35" name="virs">
    <vt:lpwstr>Anglais et français seulement</vt:lpwstr>
  </property>
  <property fmtid="{D5CDD505-2E9C-101B-9397-08002B2CF9AE}" pid="36" name="ContentTypeId">
    <vt:lpwstr>0x0101004100868408537B4FA2A9FA4AC7F0070F</vt:lpwstr>
  </property>
</Properties>
</file>