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F37" w:rsidRDefault="002D1F37">
      <w:pPr>
        <w:tabs>
          <w:tab w:val="left" w:pos="2127"/>
        </w:tabs>
        <w:spacing w:after="0"/>
        <w:ind w:left="720"/>
        <w:jc w:val="right"/>
        <w:rPr>
          <w:rFonts w:ascii="Cambria" w:eastAsia="Cambria" w:hAnsi="Cambria" w:cs="Cambria"/>
          <w:b/>
          <w:sz w:val="21"/>
          <w:szCs w:val="21"/>
        </w:rPr>
      </w:pPr>
    </w:p>
    <w:p w:rsidR="002D1F37" w:rsidRDefault="002D1F37">
      <w:pPr>
        <w:rPr>
          <w:rFonts w:ascii="Cambria" w:eastAsia="Cambria" w:hAnsi="Cambria" w:cs="Cambria"/>
          <w:sz w:val="21"/>
          <w:szCs w:val="21"/>
        </w:rPr>
      </w:pPr>
    </w:p>
    <w:p w:rsidR="002D1F37" w:rsidRDefault="0039784A">
      <w:pPr>
        <w:rPr>
          <w:rFonts w:ascii="Cambria" w:eastAsia="Cambria" w:hAnsi="Cambria" w:cs="Cambria"/>
          <w:b/>
          <w:i/>
          <w:sz w:val="21"/>
          <w:szCs w:val="21"/>
          <w:u w:val="single"/>
        </w:rPr>
      </w:pPr>
      <w:r w:rsidRPr="0039784A">
        <w:rPr>
          <w:rFonts w:ascii="Cambria" w:eastAsia="Cambria" w:hAnsi="Cambria" w:cs="Cambria"/>
          <w:b/>
          <w:i/>
          <w:sz w:val="21"/>
          <w:szCs w:val="21"/>
          <w:u w:val="single"/>
        </w:rPr>
        <w:t>Letter</w:t>
      </w:r>
      <w:r w:rsidR="00830A74">
        <w:rPr>
          <w:rFonts w:ascii="Cambria" w:eastAsia="Cambria" w:hAnsi="Cambria" w:cs="Cambria"/>
          <w:b/>
          <w:i/>
          <w:sz w:val="21"/>
          <w:szCs w:val="21"/>
          <w:u w:val="single"/>
        </w:rPr>
        <w:t xml:space="preserve"> No. 028-2022-PROMSEX</w:t>
      </w:r>
    </w:p>
    <w:p w:rsidR="002D1F37" w:rsidRDefault="0039784A">
      <w:pPr>
        <w:tabs>
          <w:tab w:val="left" w:pos="2127"/>
        </w:tabs>
        <w:spacing w:after="0"/>
        <w:ind w:left="720"/>
        <w:jc w:val="right"/>
        <w:rPr>
          <w:rFonts w:ascii="Cambria" w:eastAsia="Cambria" w:hAnsi="Cambria" w:cs="Cambria"/>
          <w:sz w:val="21"/>
          <w:szCs w:val="21"/>
        </w:rPr>
      </w:pPr>
      <w:r w:rsidRPr="0039784A">
        <w:rPr>
          <w:rFonts w:ascii="Cambria" w:eastAsia="Cambria" w:hAnsi="Cambria" w:cs="Cambria"/>
          <w:sz w:val="21"/>
          <w:szCs w:val="21"/>
        </w:rPr>
        <w:t>Lima, March 5, 2022</w:t>
      </w:r>
    </w:p>
    <w:p w:rsidR="002D1F37" w:rsidRDefault="002D1F37">
      <w:pPr>
        <w:widowControl/>
        <w:pBdr>
          <w:top w:val="nil"/>
          <w:left w:val="nil"/>
          <w:bottom w:val="nil"/>
          <w:right w:val="nil"/>
          <w:between w:val="nil"/>
        </w:pBdr>
        <w:tabs>
          <w:tab w:val="left" w:pos="2127"/>
        </w:tabs>
        <w:spacing w:after="0"/>
        <w:rPr>
          <w:rFonts w:ascii="Cambria" w:eastAsia="Cambria" w:hAnsi="Cambria" w:cs="Cambria"/>
          <w:b/>
          <w:color w:val="000000"/>
          <w:sz w:val="21"/>
          <w:szCs w:val="21"/>
        </w:rPr>
      </w:pPr>
    </w:p>
    <w:p w:rsidR="002D1F37" w:rsidRDefault="002D1F37">
      <w:pPr>
        <w:widowControl/>
        <w:pBdr>
          <w:top w:val="nil"/>
          <w:left w:val="nil"/>
          <w:bottom w:val="nil"/>
          <w:right w:val="nil"/>
          <w:between w:val="nil"/>
        </w:pBdr>
        <w:tabs>
          <w:tab w:val="left" w:pos="2127"/>
        </w:tabs>
        <w:spacing w:after="0"/>
        <w:rPr>
          <w:rFonts w:ascii="Cambria" w:eastAsia="Cambria" w:hAnsi="Cambria" w:cs="Cambria"/>
          <w:b/>
          <w:color w:val="000000"/>
          <w:sz w:val="21"/>
          <w:szCs w:val="21"/>
        </w:rPr>
      </w:pPr>
    </w:p>
    <w:p w:rsidR="0039784A" w:rsidRPr="0039784A" w:rsidRDefault="0039784A" w:rsidP="0039784A">
      <w:pPr>
        <w:widowControl/>
        <w:pBdr>
          <w:top w:val="nil"/>
          <w:left w:val="nil"/>
          <w:bottom w:val="nil"/>
          <w:right w:val="nil"/>
          <w:between w:val="nil"/>
        </w:pBdr>
        <w:tabs>
          <w:tab w:val="left" w:pos="2127"/>
        </w:tabs>
        <w:spacing w:after="0"/>
        <w:ind w:right="16"/>
        <w:rPr>
          <w:rFonts w:ascii="Cambria" w:eastAsia="Cambria" w:hAnsi="Cambria" w:cs="Cambria"/>
          <w:b/>
          <w:color w:val="000000"/>
          <w:sz w:val="21"/>
          <w:szCs w:val="21"/>
        </w:rPr>
      </w:pPr>
      <w:r w:rsidRPr="0039784A">
        <w:rPr>
          <w:rFonts w:ascii="Cambria" w:eastAsia="Cambria" w:hAnsi="Cambria" w:cs="Cambria"/>
          <w:b/>
          <w:color w:val="000000"/>
          <w:sz w:val="21"/>
          <w:szCs w:val="21"/>
        </w:rPr>
        <w:t>Committee on the Protection of the Rights of All Migrant Workers and Members of their Families</w:t>
      </w:r>
    </w:p>
    <w:p w:rsidR="002D1F37" w:rsidRPr="0039784A" w:rsidRDefault="0039784A" w:rsidP="0039784A">
      <w:pPr>
        <w:widowControl/>
        <w:pBdr>
          <w:top w:val="nil"/>
          <w:left w:val="nil"/>
          <w:bottom w:val="nil"/>
          <w:right w:val="nil"/>
          <w:between w:val="nil"/>
        </w:pBdr>
        <w:tabs>
          <w:tab w:val="left" w:pos="2127"/>
        </w:tabs>
        <w:spacing w:after="0"/>
        <w:ind w:right="16"/>
        <w:rPr>
          <w:rFonts w:ascii="Cambria" w:eastAsia="Cambria" w:hAnsi="Cambria" w:cs="Cambria"/>
          <w:color w:val="000000"/>
          <w:sz w:val="21"/>
          <w:szCs w:val="21"/>
        </w:rPr>
      </w:pPr>
      <w:r w:rsidRPr="0039784A">
        <w:rPr>
          <w:rFonts w:ascii="Cambria" w:eastAsia="Cambria" w:hAnsi="Cambria" w:cs="Cambria"/>
          <w:color w:val="000000"/>
          <w:sz w:val="21"/>
          <w:szCs w:val="21"/>
        </w:rPr>
        <w:t>Office of the High Commissioner for Human Rights</w:t>
      </w:r>
      <w:r w:rsidR="00830A74" w:rsidRPr="0039784A">
        <w:rPr>
          <w:rFonts w:ascii="Cambria" w:eastAsia="Cambria" w:hAnsi="Cambria" w:cs="Cambria"/>
          <w:color w:val="000000"/>
          <w:sz w:val="21"/>
          <w:szCs w:val="21"/>
        </w:rPr>
        <w:t xml:space="preserve"> </w:t>
      </w:r>
      <w:r w:rsidRPr="0039784A">
        <w:rPr>
          <w:rFonts w:ascii="Cambria" w:eastAsia="Cambria" w:hAnsi="Cambria" w:cs="Cambria"/>
          <w:color w:val="000000"/>
          <w:sz w:val="21"/>
          <w:szCs w:val="21"/>
        </w:rPr>
        <w:t xml:space="preserve"> </w:t>
      </w:r>
    </w:p>
    <w:p w:rsidR="002D1F37" w:rsidRDefault="00830A74">
      <w:pPr>
        <w:widowControl/>
        <w:pBdr>
          <w:top w:val="nil"/>
          <w:left w:val="nil"/>
          <w:bottom w:val="nil"/>
          <w:right w:val="nil"/>
          <w:between w:val="nil"/>
        </w:pBdr>
        <w:tabs>
          <w:tab w:val="left" w:pos="2127"/>
        </w:tabs>
        <w:spacing w:after="0"/>
        <w:rPr>
          <w:rFonts w:ascii="Cambria" w:eastAsia="Cambria" w:hAnsi="Cambria" w:cs="Cambria"/>
          <w:sz w:val="21"/>
          <w:szCs w:val="21"/>
        </w:rPr>
      </w:pPr>
      <w:r>
        <w:rPr>
          <w:rFonts w:ascii="Cambria" w:eastAsia="Cambria" w:hAnsi="Cambria" w:cs="Cambria"/>
          <w:sz w:val="21"/>
          <w:szCs w:val="21"/>
        </w:rPr>
        <w:t>Palais Wilson</w:t>
      </w:r>
    </w:p>
    <w:p w:rsidR="002D1F37" w:rsidRDefault="00830A74">
      <w:pPr>
        <w:widowControl/>
        <w:pBdr>
          <w:top w:val="nil"/>
          <w:left w:val="nil"/>
          <w:bottom w:val="nil"/>
          <w:right w:val="nil"/>
          <w:between w:val="nil"/>
        </w:pBdr>
        <w:tabs>
          <w:tab w:val="left" w:pos="2127"/>
        </w:tabs>
        <w:spacing w:after="0"/>
        <w:rPr>
          <w:rFonts w:ascii="Cambria" w:eastAsia="Cambria" w:hAnsi="Cambria" w:cs="Cambria"/>
          <w:sz w:val="21"/>
          <w:szCs w:val="21"/>
        </w:rPr>
      </w:pPr>
      <w:r>
        <w:rPr>
          <w:rFonts w:ascii="Cambria" w:eastAsia="Cambria" w:hAnsi="Cambria" w:cs="Cambria"/>
          <w:sz w:val="21"/>
          <w:szCs w:val="21"/>
        </w:rPr>
        <w:t>52, rue des Pâquis</w:t>
      </w:r>
    </w:p>
    <w:p w:rsidR="002D1F37" w:rsidRDefault="00830A74">
      <w:pPr>
        <w:widowControl/>
        <w:pBdr>
          <w:top w:val="nil"/>
          <w:left w:val="nil"/>
          <w:bottom w:val="nil"/>
          <w:right w:val="nil"/>
          <w:between w:val="nil"/>
        </w:pBdr>
        <w:tabs>
          <w:tab w:val="left" w:pos="2127"/>
        </w:tabs>
        <w:spacing w:after="0"/>
        <w:rPr>
          <w:rFonts w:ascii="Cambria" w:eastAsia="Cambria" w:hAnsi="Cambria" w:cs="Cambria"/>
          <w:sz w:val="21"/>
          <w:szCs w:val="21"/>
        </w:rPr>
      </w:pPr>
      <w:r>
        <w:rPr>
          <w:rFonts w:ascii="Cambria" w:eastAsia="Cambria" w:hAnsi="Cambria" w:cs="Cambria"/>
          <w:sz w:val="21"/>
          <w:szCs w:val="21"/>
        </w:rPr>
        <w:t>CH-1201 Geneva, Switzerland</w:t>
      </w:r>
    </w:p>
    <w:p w:rsidR="002D1F37" w:rsidRDefault="002D1F37">
      <w:pPr>
        <w:widowControl/>
        <w:tabs>
          <w:tab w:val="left" w:pos="2127"/>
        </w:tabs>
        <w:spacing w:after="0"/>
        <w:ind w:hanging="720"/>
        <w:jc w:val="both"/>
        <w:rPr>
          <w:rFonts w:ascii="Cambria" w:eastAsia="Cambria" w:hAnsi="Cambria" w:cs="Cambria"/>
          <w:b/>
          <w:sz w:val="21"/>
          <w:szCs w:val="21"/>
        </w:rPr>
      </w:pPr>
    </w:p>
    <w:p w:rsidR="002D1F37" w:rsidRDefault="002D1F37">
      <w:pPr>
        <w:widowControl/>
        <w:tabs>
          <w:tab w:val="left" w:pos="2127"/>
        </w:tabs>
        <w:spacing w:after="0"/>
        <w:ind w:hanging="720"/>
        <w:jc w:val="both"/>
        <w:rPr>
          <w:rFonts w:ascii="Cambria" w:eastAsia="Cambria" w:hAnsi="Cambria" w:cs="Cambria"/>
          <w:b/>
          <w:sz w:val="21"/>
          <w:szCs w:val="21"/>
        </w:rPr>
      </w:pPr>
    </w:p>
    <w:p w:rsidR="002D1F37" w:rsidRDefault="00830A74">
      <w:pPr>
        <w:tabs>
          <w:tab w:val="left" w:pos="2127"/>
        </w:tabs>
        <w:spacing w:after="0"/>
        <w:ind w:left="2520" w:hanging="270"/>
        <w:jc w:val="both"/>
        <w:rPr>
          <w:rFonts w:ascii="Cambria" w:eastAsia="Cambria" w:hAnsi="Cambria" w:cs="Cambria"/>
          <w:b/>
          <w:sz w:val="21"/>
          <w:szCs w:val="21"/>
        </w:rPr>
      </w:pPr>
      <w:r>
        <w:rPr>
          <w:rFonts w:ascii="Cambria" w:eastAsia="Cambria" w:hAnsi="Cambria" w:cs="Cambria"/>
          <w:b/>
          <w:sz w:val="21"/>
          <w:szCs w:val="21"/>
        </w:rPr>
        <w:tab/>
        <w:t xml:space="preserve">Re: </w:t>
      </w:r>
      <w:r w:rsidR="0039784A" w:rsidRPr="0039784A">
        <w:rPr>
          <w:rFonts w:ascii="Cambria" w:eastAsia="Cambria" w:hAnsi="Cambria" w:cs="Cambria"/>
          <w:b/>
          <w:sz w:val="21"/>
          <w:szCs w:val="21"/>
        </w:rPr>
        <w:t>Independent information for the list of issues prior to the presentation of the Report of Peru at the 34th session</w:t>
      </w:r>
    </w:p>
    <w:p w:rsidR="002D1F37" w:rsidRDefault="002D1F37">
      <w:pPr>
        <w:tabs>
          <w:tab w:val="left" w:pos="2127"/>
        </w:tabs>
        <w:spacing w:after="0"/>
        <w:jc w:val="both"/>
        <w:rPr>
          <w:rFonts w:ascii="Cambria" w:eastAsia="Cambria" w:hAnsi="Cambria" w:cs="Cambria"/>
          <w:b/>
          <w:sz w:val="21"/>
          <w:szCs w:val="21"/>
        </w:rPr>
      </w:pPr>
    </w:p>
    <w:p w:rsidR="002D1F37" w:rsidRDefault="002D1F37">
      <w:pPr>
        <w:widowControl/>
        <w:pBdr>
          <w:top w:val="nil"/>
          <w:left w:val="nil"/>
          <w:bottom w:val="nil"/>
          <w:right w:val="nil"/>
          <w:between w:val="nil"/>
        </w:pBdr>
        <w:tabs>
          <w:tab w:val="left" w:pos="2127"/>
        </w:tabs>
        <w:spacing w:after="0"/>
        <w:jc w:val="both"/>
        <w:rPr>
          <w:rFonts w:ascii="Cambria" w:eastAsia="Cambria" w:hAnsi="Cambria" w:cs="Cambria"/>
          <w:color w:val="000000"/>
          <w:sz w:val="21"/>
          <w:szCs w:val="21"/>
        </w:rPr>
      </w:pPr>
    </w:p>
    <w:p w:rsidR="002D1F37" w:rsidRDefault="0039784A">
      <w:pPr>
        <w:widowControl/>
        <w:pBdr>
          <w:top w:val="nil"/>
          <w:left w:val="nil"/>
          <w:bottom w:val="nil"/>
          <w:right w:val="nil"/>
          <w:between w:val="nil"/>
        </w:pBdr>
        <w:tabs>
          <w:tab w:val="left" w:pos="2127"/>
        </w:tabs>
        <w:spacing w:after="0"/>
        <w:jc w:val="both"/>
        <w:rPr>
          <w:rFonts w:ascii="Cambria" w:eastAsia="Cambria" w:hAnsi="Cambria" w:cs="Cambria"/>
          <w:color w:val="000000"/>
          <w:sz w:val="21"/>
          <w:szCs w:val="21"/>
        </w:rPr>
      </w:pPr>
      <w:r w:rsidRPr="0039784A">
        <w:rPr>
          <w:rFonts w:ascii="Cambria" w:eastAsia="Cambria" w:hAnsi="Cambria" w:cs="Cambria"/>
          <w:color w:val="000000"/>
          <w:sz w:val="21"/>
          <w:szCs w:val="21"/>
        </w:rPr>
        <w:t>Distinguished Members of the</w:t>
      </w:r>
      <w:r w:rsidRPr="0039784A">
        <w:rPr>
          <w:rFonts w:ascii="Cambria" w:eastAsia="Cambria" w:hAnsi="Cambria" w:cs="Cambria"/>
          <w:b/>
          <w:color w:val="000000"/>
          <w:sz w:val="21"/>
          <w:szCs w:val="21"/>
        </w:rPr>
        <w:t xml:space="preserve"> Committee on the Protection of the Rights of All Migrant Workers and Members of Their Families:</w:t>
      </w:r>
    </w:p>
    <w:p w:rsidR="002D1F37" w:rsidRDefault="002D1F37">
      <w:pPr>
        <w:widowControl/>
        <w:pBdr>
          <w:top w:val="nil"/>
          <w:left w:val="nil"/>
          <w:bottom w:val="nil"/>
          <w:right w:val="nil"/>
          <w:between w:val="nil"/>
        </w:pBdr>
        <w:tabs>
          <w:tab w:val="left" w:pos="2127"/>
        </w:tabs>
        <w:spacing w:after="0"/>
        <w:rPr>
          <w:rFonts w:ascii="Cambria" w:eastAsia="Cambria" w:hAnsi="Cambria" w:cs="Cambria"/>
          <w:b/>
          <w:color w:val="000000"/>
          <w:sz w:val="21"/>
          <w:szCs w:val="21"/>
        </w:rPr>
      </w:pPr>
    </w:p>
    <w:p w:rsidR="002D1F37" w:rsidRDefault="0039784A">
      <w:pPr>
        <w:widowControl/>
        <w:tabs>
          <w:tab w:val="left" w:pos="2127"/>
        </w:tabs>
        <w:spacing w:after="0"/>
        <w:jc w:val="both"/>
        <w:rPr>
          <w:rFonts w:ascii="Cambria" w:eastAsia="Cambria" w:hAnsi="Cambria" w:cs="Cambria"/>
          <w:sz w:val="21"/>
          <w:szCs w:val="21"/>
        </w:rPr>
      </w:pPr>
      <w:r w:rsidRPr="0039784A">
        <w:rPr>
          <w:rFonts w:ascii="Cambria" w:eastAsia="Cambria" w:hAnsi="Cambria" w:cs="Cambria"/>
          <w:b/>
          <w:sz w:val="21"/>
          <w:szCs w:val="21"/>
        </w:rPr>
        <w:t>The Center for the Promotion and Defense of Sexual and Reproductive Rights (PROMSEX)</w:t>
      </w:r>
      <w:r w:rsidRPr="0039784A">
        <w:rPr>
          <w:rFonts w:ascii="Cambria" w:eastAsia="Cambria" w:hAnsi="Cambria" w:cs="Cambria"/>
          <w:sz w:val="21"/>
          <w:szCs w:val="21"/>
        </w:rPr>
        <w:t xml:space="preserve"> in the framework of the elaboration of the list of issues for the Peruvian State, which will be considered during the 34th session to be held between March 28 and April 8, 2022, submits this communication in order to provide information regarding Peru's obligations to guarantee the right to health rights of migrant workers and their families, protected by Article 28 of the International Convention on the Protection of the Rights of Migrant Workers and their families, we submit this communication in order to provide information regarding Peru's obligations to guarantee the right to health rights of migrant workers and their families, protected by Article 28 of the International Convention on the Protection of the Rights of All Migrant Workers and Members of Their Families (hereinafter "Convention"). </w:t>
      </w:r>
      <w:r>
        <w:rPr>
          <w:rFonts w:ascii="Cambria" w:eastAsia="Cambria" w:hAnsi="Cambria" w:cs="Cambria"/>
          <w:sz w:val="21"/>
          <w:szCs w:val="21"/>
        </w:rPr>
        <w:t xml:space="preserve"> </w:t>
      </w:r>
    </w:p>
    <w:p w:rsidR="002D1F37" w:rsidRDefault="002D1F37">
      <w:pPr>
        <w:widowControl/>
        <w:tabs>
          <w:tab w:val="left" w:pos="2127"/>
        </w:tabs>
        <w:spacing w:after="0"/>
        <w:jc w:val="both"/>
        <w:rPr>
          <w:rFonts w:ascii="Cambria" w:eastAsia="Cambria" w:hAnsi="Cambria" w:cs="Cambria"/>
          <w:sz w:val="21"/>
          <w:szCs w:val="21"/>
        </w:rPr>
      </w:pPr>
    </w:p>
    <w:p w:rsidR="002D1F37" w:rsidRDefault="000B52BC">
      <w:pPr>
        <w:widowControl/>
        <w:tabs>
          <w:tab w:val="left" w:pos="2127"/>
        </w:tabs>
        <w:spacing w:after="0"/>
        <w:jc w:val="both"/>
        <w:rPr>
          <w:rFonts w:ascii="Cambria" w:eastAsia="Cambria" w:hAnsi="Cambria" w:cs="Cambria"/>
          <w:sz w:val="21"/>
          <w:szCs w:val="21"/>
        </w:rPr>
      </w:pPr>
      <w:r w:rsidRPr="000B52BC">
        <w:rPr>
          <w:rFonts w:ascii="Cambria" w:eastAsia="Cambria" w:hAnsi="Cambria" w:cs="Cambria"/>
          <w:sz w:val="21"/>
          <w:szCs w:val="21"/>
        </w:rPr>
        <w:t>In this report, we will address the situation of sexual and reproductive rights in Peru; with special emphasis on: (i) situation of migrants and access to health services; (ii) barriers to access to sexual and reproductive health services; (iii) access to modern contraceptive methods and full range of information; (iv) high rates of teenage pregnancy and maternal mortality; (v) persistent barriers in access to therapeutic abortion; and (vi) criminalization of women for abortion. Finally, we formulate some questions that we respectfully propose that the Committee suggest to the Peruvian</w:t>
      </w:r>
      <w:r>
        <w:rPr>
          <w:rFonts w:ascii="Cambria" w:eastAsia="Cambria" w:hAnsi="Cambria" w:cs="Cambria"/>
          <w:sz w:val="21"/>
          <w:szCs w:val="21"/>
        </w:rPr>
        <w:t xml:space="preserve"> State</w:t>
      </w:r>
      <w:r w:rsidR="00830A74">
        <w:rPr>
          <w:rFonts w:ascii="Cambria" w:eastAsia="Cambria" w:hAnsi="Cambria" w:cs="Cambria"/>
          <w:sz w:val="21"/>
          <w:szCs w:val="21"/>
        </w:rPr>
        <w:t>.</w:t>
      </w:r>
    </w:p>
    <w:p w:rsidR="002D1F37" w:rsidRDefault="002D1F37">
      <w:pPr>
        <w:widowControl/>
        <w:tabs>
          <w:tab w:val="left" w:pos="2127"/>
        </w:tabs>
        <w:spacing w:after="0"/>
        <w:jc w:val="both"/>
        <w:rPr>
          <w:rFonts w:ascii="Cambria" w:eastAsia="Cambria" w:hAnsi="Cambria" w:cs="Cambria"/>
          <w:b/>
          <w:sz w:val="21"/>
          <w:szCs w:val="21"/>
        </w:rPr>
      </w:pPr>
    </w:p>
    <w:p w:rsidR="002D1F37" w:rsidRDefault="002D1F37">
      <w:pPr>
        <w:widowControl/>
        <w:tabs>
          <w:tab w:val="left" w:pos="2127"/>
        </w:tabs>
        <w:spacing w:after="0"/>
        <w:jc w:val="both"/>
        <w:rPr>
          <w:rFonts w:ascii="Cambria" w:eastAsia="Cambria" w:hAnsi="Cambria" w:cs="Cambria"/>
          <w:b/>
          <w:sz w:val="21"/>
          <w:szCs w:val="21"/>
        </w:rPr>
      </w:pPr>
    </w:p>
    <w:p w:rsidR="002D1F37" w:rsidRDefault="002D1F37">
      <w:pPr>
        <w:widowControl/>
        <w:tabs>
          <w:tab w:val="left" w:pos="2127"/>
        </w:tabs>
        <w:spacing w:after="0"/>
        <w:jc w:val="both"/>
        <w:rPr>
          <w:rFonts w:ascii="Cambria" w:eastAsia="Cambria" w:hAnsi="Cambria" w:cs="Cambria"/>
          <w:b/>
          <w:sz w:val="21"/>
          <w:szCs w:val="21"/>
        </w:rPr>
      </w:pPr>
    </w:p>
    <w:p w:rsidR="000B52BC" w:rsidRDefault="000B52BC">
      <w:pPr>
        <w:widowControl/>
        <w:tabs>
          <w:tab w:val="left" w:pos="2127"/>
        </w:tabs>
        <w:spacing w:after="0"/>
        <w:jc w:val="both"/>
        <w:rPr>
          <w:rFonts w:ascii="Cambria" w:eastAsia="Cambria" w:hAnsi="Cambria" w:cs="Cambria"/>
          <w:b/>
          <w:sz w:val="21"/>
          <w:szCs w:val="21"/>
        </w:rPr>
      </w:pPr>
    </w:p>
    <w:p w:rsidR="000B52BC" w:rsidRDefault="000B52BC">
      <w:pPr>
        <w:widowControl/>
        <w:tabs>
          <w:tab w:val="left" w:pos="2127"/>
        </w:tabs>
        <w:spacing w:after="0"/>
        <w:jc w:val="both"/>
        <w:rPr>
          <w:rFonts w:ascii="Cambria" w:eastAsia="Cambria" w:hAnsi="Cambria" w:cs="Cambria"/>
          <w:b/>
          <w:sz w:val="21"/>
          <w:szCs w:val="21"/>
        </w:rPr>
      </w:pPr>
    </w:p>
    <w:p w:rsidR="002D1F37" w:rsidRDefault="009525F1" w:rsidP="009525F1">
      <w:pPr>
        <w:pStyle w:val="Ttulo1"/>
        <w:numPr>
          <w:ilvl w:val="0"/>
          <w:numId w:val="2"/>
        </w:numPr>
        <w:spacing w:before="280" w:after="280" w:line="276" w:lineRule="auto"/>
        <w:rPr>
          <w:rFonts w:ascii="Cambria" w:eastAsia="Cambria" w:hAnsi="Cambria" w:cs="Cambria"/>
          <w:sz w:val="21"/>
          <w:szCs w:val="21"/>
        </w:rPr>
      </w:pPr>
      <w:bookmarkStart w:id="0" w:name="_heading=h.3znysh7" w:colFirst="0" w:colLast="0"/>
      <w:bookmarkEnd w:id="0"/>
      <w:r w:rsidRPr="009525F1">
        <w:rPr>
          <w:rFonts w:ascii="Cambria" w:eastAsia="Cambria" w:hAnsi="Cambria" w:cs="Cambria"/>
          <w:sz w:val="21"/>
          <w:szCs w:val="21"/>
        </w:rPr>
        <w:lastRenderedPageBreak/>
        <w:t>Situation of migrants and access to health services</w:t>
      </w:r>
      <w:r>
        <w:rPr>
          <w:rFonts w:ascii="Cambria" w:eastAsia="Cambria" w:hAnsi="Cambria" w:cs="Cambria"/>
          <w:sz w:val="21"/>
          <w:szCs w:val="21"/>
        </w:rPr>
        <w:t xml:space="preserve"> </w:t>
      </w:r>
    </w:p>
    <w:p w:rsidR="002D1F37" w:rsidRDefault="00EB5116" w:rsidP="00EB5116">
      <w:pPr>
        <w:widowControl/>
        <w:numPr>
          <w:ilvl w:val="0"/>
          <w:numId w:val="3"/>
        </w:numPr>
        <w:tabs>
          <w:tab w:val="left" w:pos="2127"/>
        </w:tabs>
        <w:spacing w:after="0"/>
        <w:jc w:val="both"/>
        <w:rPr>
          <w:rFonts w:ascii="Cambria" w:eastAsia="Cambria" w:hAnsi="Cambria" w:cs="Cambria"/>
          <w:sz w:val="21"/>
          <w:szCs w:val="21"/>
        </w:rPr>
      </w:pPr>
      <w:r w:rsidRPr="00EB5116">
        <w:rPr>
          <w:rFonts w:ascii="Cambria" w:eastAsia="Cambria" w:hAnsi="Cambria" w:cs="Cambria"/>
          <w:sz w:val="21"/>
          <w:szCs w:val="21"/>
        </w:rPr>
        <w:t>In Peru, Venezuelans are the main migrant population, asylum seekers and refugees characterized by being mostly young people between the ages of 16 and 35</w:t>
      </w:r>
      <w:r w:rsidR="00830A74">
        <w:rPr>
          <w:rFonts w:ascii="Cambria" w:eastAsia="Cambria" w:hAnsi="Cambria" w:cs="Cambria"/>
          <w:sz w:val="21"/>
          <w:szCs w:val="21"/>
          <w:vertAlign w:val="superscript"/>
        </w:rPr>
        <w:footnoteReference w:id="1"/>
      </w:r>
      <w:r w:rsidR="00830A74">
        <w:rPr>
          <w:rFonts w:ascii="Cambria" w:eastAsia="Cambria" w:hAnsi="Cambria" w:cs="Cambria"/>
          <w:sz w:val="21"/>
          <w:szCs w:val="21"/>
        </w:rPr>
        <w:t xml:space="preserve">. </w:t>
      </w:r>
      <w:r>
        <w:rPr>
          <w:rFonts w:ascii="Cambria" w:eastAsia="Cambria" w:hAnsi="Cambria" w:cs="Cambria"/>
          <w:sz w:val="21"/>
          <w:szCs w:val="21"/>
        </w:rPr>
        <w:t xml:space="preserve"> </w:t>
      </w:r>
      <w:r w:rsidRPr="00EB5116">
        <w:rPr>
          <w:rFonts w:ascii="Cambria" w:eastAsia="Cambria" w:hAnsi="Cambria" w:cs="Cambria"/>
          <w:sz w:val="21"/>
          <w:szCs w:val="21"/>
        </w:rPr>
        <w:t>According to the National Superintendence of Migration, between January 2016 and May 2021, 1'533,449 Venezuelan people entered through migration control points a</w:t>
      </w:r>
      <w:r>
        <w:rPr>
          <w:rFonts w:ascii="Cambria" w:eastAsia="Cambria" w:hAnsi="Cambria" w:cs="Cambria"/>
          <w:sz w:val="21"/>
          <w:szCs w:val="21"/>
        </w:rPr>
        <w:t>nd, of these, 788,295 remain in</w:t>
      </w:r>
      <w:r w:rsidR="00830A74">
        <w:rPr>
          <w:rFonts w:ascii="Cambria" w:eastAsia="Cambria" w:hAnsi="Cambria" w:cs="Cambria"/>
          <w:sz w:val="21"/>
          <w:szCs w:val="21"/>
        </w:rPr>
        <w:t xml:space="preserve"> Perú</w:t>
      </w:r>
      <w:r w:rsidR="00830A74">
        <w:rPr>
          <w:rFonts w:ascii="Cambria" w:eastAsia="Cambria" w:hAnsi="Cambria" w:cs="Cambria"/>
          <w:sz w:val="21"/>
          <w:szCs w:val="21"/>
          <w:vertAlign w:val="superscript"/>
        </w:rPr>
        <w:footnoteReference w:id="2"/>
      </w:r>
      <w:r w:rsidR="00830A74">
        <w:rPr>
          <w:rFonts w:ascii="Cambria" w:eastAsia="Cambria" w:hAnsi="Cambria" w:cs="Cambria"/>
          <w:sz w:val="21"/>
          <w:szCs w:val="21"/>
        </w:rPr>
        <w:t xml:space="preserve">. </w:t>
      </w:r>
      <w:r w:rsidRPr="00EB5116">
        <w:rPr>
          <w:rFonts w:ascii="Cambria" w:eastAsia="Cambria" w:hAnsi="Cambria" w:cs="Cambria"/>
          <w:sz w:val="21"/>
          <w:szCs w:val="21"/>
        </w:rPr>
        <w:t>However, the unofficial figure is estimated at approximately 1.2 million Venezuelans</w:t>
      </w:r>
      <w:r w:rsidR="00830A74">
        <w:rPr>
          <w:rFonts w:ascii="Cambria" w:eastAsia="Cambria" w:hAnsi="Cambria" w:cs="Cambria"/>
          <w:sz w:val="21"/>
          <w:szCs w:val="21"/>
          <w:vertAlign w:val="superscript"/>
        </w:rPr>
        <w:footnoteReference w:id="3"/>
      </w:r>
      <w:r w:rsidR="00830A74">
        <w:rPr>
          <w:rFonts w:ascii="Cambria" w:eastAsia="Cambria" w:hAnsi="Cambria" w:cs="Cambria"/>
          <w:sz w:val="21"/>
          <w:szCs w:val="21"/>
        </w:rPr>
        <w:t xml:space="preserve">, </w:t>
      </w:r>
      <w:r w:rsidRPr="00EB5116">
        <w:rPr>
          <w:rFonts w:ascii="Cambria" w:eastAsia="Cambria" w:hAnsi="Cambria" w:cs="Cambria"/>
          <w:sz w:val="21"/>
          <w:szCs w:val="21"/>
        </w:rPr>
        <w:t>of which more than 496,000 have applied for refugee status</w:t>
      </w:r>
      <w:r w:rsidR="00830A74">
        <w:rPr>
          <w:rFonts w:ascii="Cambria" w:eastAsia="Cambria" w:hAnsi="Cambria" w:cs="Cambria"/>
          <w:sz w:val="21"/>
          <w:szCs w:val="21"/>
          <w:vertAlign w:val="superscript"/>
        </w:rPr>
        <w:footnoteReference w:id="4"/>
      </w:r>
      <w:r w:rsidR="00830A74">
        <w:rPr>
          <w:rFonts w:ascii="Cambria" w:eastAsia="Cambria" w:hAnsi="Cambria" w:cs="Cambria"/>
          <w:sz w:val="21"/>
          <w:szCs w:val="21"/>
        </w:rPr>
        <w:t xml:space="preserve">. </w:t>
      </w:r>
      <w:r w:rsidRPr="00EB5116">
        <w:rPr>
          <w:rFonts w:ascii="Cambria" w:eastAsia="Cambria" w:hAnsi="Cambria" w:cs="Cambria"/>
          <w:sz w:val="21"/>
          <w:szCs w:val="21"/>
        </w:rPr>
        <w:t xml:space="preserve"> This has made Peru the first host country for Venezuelan people in need of international protection and the second destination for Venezuelan </w:t>
      </w:r>
      <w:r>
        <w:rPr>
          <w:rFonts w:ascii="Cambria" w:eastAsia="Cambria" w:hAnsi="Cambria" w:cs="Cambria"/>
          <w:sz w:val="21"/>
          <w:szCs w:val="21"/>
        </w:rPr>
        <w:t>refugees and migrants worldwide</w:t>
      </w:r>
      <w:r w:rsidR="00830A74">
        <w:rPr>
          <w:rFonts w:ascii="Cambria" w:eastAsia="Cambria" w:hAnsi="Cambria" w:cs="Cambria"/>
          <w:i/>
          <w:sz w:val="21"/>
          <w:szCs w:val="21"/>
          <w:vertAlign w:val="superscript"/>
        </w:rPr>
        <w:footnoteReference w:id="5"/>
      </w:r>
      <w:r w:rsidR="00830A74">
        <w:rPr>
          <w:rFonts w:ascii="Cambria" w:eastAsia="Cambria" w:hAnsi="Cambria" w:cs="Cambria"/>
          <w:i/>
          <w:sz w:val="21"/>
          <w:szCs w:val="21"/>
        </w:rPr>
        <w:t>.</w:t>
      </w:r>
    </w:p>
    <w:p w:rsidR="002D1F37" w:rsidRDefault="002D1F37">
      <w:pPr>
        <w:widowControl/>
        <w:tabs>
          <w:tab w:val="left" w:pos="2127"/>
        </w:tabs>
        <w:spacing w:after="0"/>
        <w:jc w:val="both"/>
        <w:rPr>
          <w:rFonts w:ascii="Cambria" w:eastAsia="Cambria" w:hAnsi="Cambria" w:cs="Cambria"/>
          <w:sz w:val="21"/>
          <w:szCs w:val="21"/>
        </w:rPr>
      </w:pPr>
    </w:p>
    <w:p w:rsidR="00A856EB" w:rsidRPr="00A856EB" w:rsidRDefault="00A856EB" w:rsidP="00A856EB">
      <w:pPr>
        <w:widowControl/>
        <w:numPr>
          <w:ilvl w:val="0"/>
          <w:numId w:val="3"/>
        </w:numPr>
        <w:tabs>
          <w:tab w:val="left" w:pos="2127"/>
        </w:tabs>
        <w:spacing w:after="0"/>
        <w:jc w:val="both"/>
        <w:rPr>
          <w:rFonts w:ascii="Cambria" w:eastAsia="Cambria" w:hAnsi="Cambria" w:cs="Cambria"/>
          <w:sz w:val="21"/>
          <w:szCs w:val="21"/>
        </w:rPr>
      </w:pPr>
      <w:r>
        <w:rPr>
          <w:rFonts w:ascii="Cambria" w:eastAsia="Cambria" w:hAnsi="Cambria" w:cs="Cambria"/>
          <w:sz w:val="21"/>
          <w:szCs w:val="21"/>
        </w:rPr>
        <w:t xml:space="preserve"> </w:t>
      </w:r>
      <w:r w:rsidRPr="00A856EB">
        <w:rPr>
          <w:rFonts w:ascii="Cambria" w:eastAsia="Cambria" w:hAnsi="Cambria" w:cs="Cambria"/>
          <w:sz w:val="21"/>
          <w:szCs w:val="21"/>
        </w:rPr>
        <w:t xml:space="preserve">Many migrants are not guaranteed their right to health under the same conditions as Peruvian nationals. This is especially aggravated in the case of asylum seekers and refugees, given their irregular migratory status, especially if they belong to other groups in vulnerable situations such as LGBTI people, people with disabilities, etc. Unfortunately, the Peruvian State does not have public information disaggregated by variables such as nationality, migratory status, sexual orientation, gender identity, ethnic origin, disability, among </w:t>
      </w:r>
      <w:proofErr w:type="gramStart"/>
      <w:r w:rsidRPr="00A856EB">
        <w:rPr>
          <w:rFonts w:ascii="Cambria" w:eastAsia="Cambria" w:hAnsi="Cambria" w:cs="Cambria"/>
          <w:sz w:val="21"/>
          <w:szCs w:val="21"/>
        </w:rPr>
        <w:t>others, that</w:t>
      </w:r>
      <w:proofErr w:type="gramEnd"/>
      <w:r w:rsidRPr="00A856EB">
        <w:rPr>
          <w:rFonts w:ascii="Cambria" w:eastAsia="Cambria" w:hAnsi="Cambria" w:cs="Cambria"/>
          <w:sz w:val="21"/>
          <w:szCs w:val="21"/>
        </w:rPr>
        <w:t xml:space="preserve"> allow us to measure the degree of violation of their right to health, especially their sexual and reproductive rights.</w:t>
      </w:r>
    </w:p>
    <w:p w:rsidR="002D1F37" w:rsidRDefault="002D1F37">
      <w:pPr>
        <w:widowControl/>
        <w:tabs>
          <w:tab w:val="left" w:pos="2127"/>
        </w:tabs>
        <w:spacing w:after="0"/>
        <w:ind w:left="720"/>
        <w:jc w:val="both"/>
        <w:rPr>
          <w:rFonts w:ascii="Cambria" w:eastAsia="Cambria" w:hAnsi="Cambria" w:cs="Cambria"/>
          <w:sz w:val="21"/>
          <w:szCs w:val="21"/>
        </w:rPr>
      </w:pPr>
    </w:p>
    <w:p w:rsidR="002D1F37" w:rsidRDefault="00A856EB" w:rsidP="00A856EB">
      <w:pPr>
        <w:widowControl/>
        <w:numPr>
          <w:ilvl w:val="0"/>
          <w:numId w:val="3"/>
        </w:numPr>
        <w:tabs>
          <w:tab w:val="left" w:pos="2127"/>
        </w:tabs>
        <w:spacing w:after="0"/>
        <w:jc w:val="both"/>
        <w:rPr>
          <w:rFonts w:ascii="Cambria" w:eastAsia="Cambria" w:hAnsi="Cambria" w:cs="Cambria"/>
          <w:sz w:val="21"/>
          <w:szCs w:val="21"/>
        </w:rPr>
      </w:pPr>
      <w:r w:rsidRPr="00A856EB">
        <w:rPr>
          <w:rFonts w:ascii="Cambria" w:eastAsia="Cambria" w:hAnsi="Cambria" w:cs="Cambria"/>
          <w:sz w:val="21"/>
          <w:szCs w:val="21"/>
        </w:rPr>
        <w:t>In this regard, the "Survey of the Venezuelan population residing in the country" (ENVOPE) revealed that in 2018, 91.5% of the populatio</w:t>
      </w:r>
      <w:r>
        <w:rPr>
          <w:rFonts w:ascii="Cambria" w:eastAsia="Cambria" w:hAnsi="Cambria" w:cs="Cambria"/>
          <w:sz w:val="21"/>
          <w:szCs w:val="21"/>
        </w:rPr>
        <w:t>n did not have health insurance</w:t>
      </w:r>
      <w:r w:rsidR="00830A74">
        <w:rPr>
          <w:rFonts w:ascii="Cambria" w:eastAsia="Cambria" w:hAnsi="Cambria" w:cs="Cambria"/>
          <w:sz w:val="21"/>
          <w:szCs w:val="21"/>
          <w:vertAlign w:val="superscript"/>
        </w:rPr>
        <w:footnoteReference w:id="6"/>
      </w:r>
      <w:r w:rsidR="00830A74">
        <w:rPr>
          <w:rFonts w:ascii="Cambria" w:eastAsia="Cambria" w:hAnsi="Cambria" w:cs="Cambria"/>
          <w:sz w:val="21"/>
          <w:szCs w:val="21"/>
        </w:rPr>
        <w:t xml:space="preserve">. </w:t>
      </w:r>
      <w:r w:rsidRPr="00A856EB">
        <w:rPr>
          <w:rFonts w:ascii="Cambria" w:eastAsia="Cambria" w:hAnsi="Cambria" w:cs="Cambria"/>
          <w:sz w:val="21"/>
          <w:szCs w:val="21"/>
        </w:rPr>
        <w:t>Of the total number of people who do have insurance (8.5%), 53.5% have coverage from the Seguro Integral</w:t>
      </w:r>
      <w:r>
        <w:rPr>
          <w:rFonts w:ascii="Cambria" w:eastAsia="Cambria" w:hAnsi="Cambria" w:cs="Cambria"/>
          <w:sz w:val="21"/>
          <w:szCs w:val="21"/>
        </w:rPr>
        <w:t xml:space="preserve"> de</w:t>
      </w:r>
      <w:r w:rsidRPr="00A856EB">
        <w:rPr>
          <w:rFonts w:ascii="Cambria" w:eastAsia="Cambria" w:hAnsi="Cambria" w:cs="Cambria"/>
          <w:sz w:val="21"/>
          <w:szCs w:val="21"/>
        </w:rPr>
        <w:t xml:space="preserve"> </w:t>
      </w:r>
      <w:r w:rsidR="00830A74">
        <w:rPr>
          <w:rFonts w:ascii="Cambria" w:eastAsia="Cambria" w:hAnsi="Cambria" w:cs="Cambria"/>
          <w:sz w:val="21"/>
          <w:szCs w:val="21"/>
        </w:rPr>
        <w:t>Salud</w:t>
      </w:r>
      <w:r w:rsidR="00830A74">
        <w:rPr>
          <w:rFonts w:ascii="Cambria" w:eastAsia="Cambria" w:hAnsi="Cambria" w:cs="Cambria"/>
          <w:sz w:val="21"/>
          <w:szCs w:val="21"/>
          <w:vertAlign w:val="superscript"/>
        </w:rPr>
        <w:footnoteReference w:id="7"/>
      </w:r>
      <w:r w:rsidR="00830A74">
        <w:rPr>
          <w:rFonts w:ascii="Cambria" w:eastAsia="Cambria" w:hAnsi="Cambria" w:cs="Cambria"/>
          <w:sz w:val="21"/>
          <w:szCs w:val="21"/>
        </w:rPr>
        <w:t xml:space="preserve"> (SIS), </w:t>
      </w:r>
      <w:r w:rsidRPr="00A856EB">
        <w:rPr>
          <w:rFonts w:ascii="Cambria" w:eastAsia="Cambria" w:hAnsi="Cambria" w:cs="Cambria"/>
          <w:sz w:val="21"/>
          <w:szCs w:val="21"/>
        </w:rPr>
        <w:t>29.4% from EsSalud social insurance and 17.1% have private insurance</w:t>
      </w:r>
      <w:r w:rsidR="00830A74">
        <w:rPr>
          <w:rFonts w:ascii="Cambria" w:eastAsia="Cambria" w:hAnsi="Cambria" w:cs="Cambria"/>
          <w:sz w:val="21"/>
          <w:szCs w:val="21"/>
          <w:vertAlign w:val="superscript"/>
        </w:rPr>
        <w:footnoteReference w:id="8"/>
      </w:r>
      <w:r w:rsidR="00830A74">
        <w:rPr>
          <w:rFonts w:ascii="Cambria" w:eastAsia="Cambria" w:hAnsi="Cambria" w:cs="Cambria"/>
          <w:sz w:val="21"/>
          <w:szCs w:val="21"/>
        </w:rPr>
        <w:t xml:space="preserve">. </w:t>
      </w:r>
      <w:r w:rsidRPr="00A856EB">
        <w:rPr>
          <w:rFonts w:ascii="Cambria" w:eastAsia="Cambria" w:hAnsi="Cambria" w:cs="Cambria"/>
          <w:sz w:val="21"/>
          <w:szCs w:val="21"/>
        </w:rPr>
        <w:t>Venezuelan migrants residing in Peru identified that the most important reasons for not seeking formal health care were lack of resourc</w:t>
      </w:r>
      <w:r>
        <w:rPr>
          <w:rFonts w:ascii="Cambria" w:eastAsia="Cambria" w:hAnsi="Cambria" w:cs="Cambria"/>
          <w:sz w:val="21"/>
          <w:szCs w:val="21"/>
        </w:rPr>
        <w:t>es and lack of health insurance</w:t>
      </w:r>
      <w:r w:rsidR="00830A74">
        <w:rPr>
          <w:rFonts w:ascii="Cambria" w:eastAsia="Cambria" w:hAnsi="Cambria" w:cs="Cambria"/>
          <w:sz w:val="21"/>
          <w:szCs w:val="21"/>
          <w:vertAlign w:val="superscript"/>
        </w:rPr>
        <w:footnoteReference w:id="9"/>
      </w:r>
      <w:r w:rsidR="00830A74">
        <w:rPr>
          <w:rFonts w:ascii="Cambria" w:eastAsia="Cambria" w:hAnsi="Cambria" w:cs="Cambria"/>
          <w:sz w:val="21"/>
          <w:szCs w:val="21"/>
        </w:rPr>
        <w:t>.</w:t>
      </w:r>
    </w:p>
    <w:p w:rsidR="002D1F37" w:rsidRDefault="002D1F37">
      <w:pPr>
        <w:widowControl/>
        <w:tabs>
          <w:tab w:val="left" w:pos="2127"/>
        </w:tabs>
        <w:spacing w:after="0"/>
        <w:jc w:val="both"/>
        <w:rPr>
          <w:rFonts w:ascii="Cambria" w:eastAsia="Cambria" w:hAnsi="Cambria" w:cs="Cambria"/>
          <w:sz w:val="21"/>
          <w:szCs w:val="21"/>
        </w:rPr>
      </w:pPr>
    </w:p>
    <w:p w:rsidR="002D1F37" w:rsidRDefault="00932D61" w:rsidP="00932D61">
      <w:pPr>
        <w:widowControl/>
        <w:numPr>
          <w:ilvl w:val="0"/>
          <w:numId w:val="3"/>
        </w:numPr>
        <w:tabs>
          <w:tab w:val="left" w:pos="2127"/>
        </w:tabs>
        <w:spacing w:after="0"/>
        <w:jc w:val="both"/>
        <w:rPr>
          <w:rFonts w:ascii="Cambria" w:eastAsia="Cambria" w:hAnsi="Cambria" w:cs="Cambria"/>
          <w:sz w:val="21"/>
          <w:szCs w:val="21"/>
        </w:rPr>
      </w:pPr>
      <w:r w:rsidRPr="00932D61">
        <w:rPr>
          <w:rFonts w:ascii="Cambria" w:eastAsia="Cambria" w:hAnsi="Cambria" w:cs="Cambria"/>
          <w:sz w:val="21"/>
          <w:szCs w:val="21"/>
        </w:rPr>
        <w:t xml:space="preserve">The Ombudsman's Office (Defensoría </w:t>
      </w:r>
      <w:proofErr w:type="gramStart"/>
      <w:r w:rsidRPr="00932D61">
        <w:rPr>
          <w:rFonts w:ascii="Cambria" w:eastAsia="Cambria" w:hAnsi="Cambria" w:cs="Cambria"/>
          <w:sz w:val="21"/>
          <w:szCs w:val="21"/>
        </w:rPr>
        <w:t>del</w:t>
      </w:r>
      <w:proofErr w:type="gramEnd"/>
      <w:r w:rsidRPr="00932D61">
        <w:rPr>
          <w:rFonts w:ascii="Cambria" w:eastAsia="Cambria" w:hAnsi="Cambria" w:cs="Cambria"/>
          <w:sz w:val="21"/>
          <w:szCs w:val="21"/>
        </w:rPr>
        <w:t xml:space="preserve"> Pueblo) published a report (2020), in which it warned about the deep restrictions suffered by the Venezuelan population in accessing the SIS by requiring them to have a foreigner's card, when most of them only have a </w:t>
      </w:r>
      <w:r w:rsidRPr="00932D61">
        <w:rPr>
          <w:rFonts w:ascii="Cambria" w:eastAsia="Cambria" w:hAnsi="Cambria" w:cs="Cambria"/>
          <w:sz w:val="21"/>
          <w:szCs w:val="21"/>
        </w:rPr>
        <w:lastRenderedPageBreak/>
        <w:t>temporary residence permit</w:t>
      </w:r>
      <w:r w:rsidR="00830A74">
        <w:rPr>
          <w:rFonts w:ascii="Cambria" w:eastAsia="Cambria" w:hAnsi="Cambria" w:cs="Cambria"/>
          <w:sz w:val="21"/>
          <w:szCs w:val="21"/>
        </w:rPr>
        <w:t xml:space="preserve"> (PTP)</w:t>
      </w:r>
      <w:r w:rsidR="00830A74">
        <w:rPr>
          <w:rFonts w:ascii="Cambria" w:eastAsia="Cambria" w:hAnsi="Cambria" w:cs="Cambria"/>
          <w:sz w:val="21"/>
          <w:szCs w:val="21"/>
          <w:vertAlign w:val="superscript"/>
        </w:rPr>
        <w:footnoteReference w:id="10"/>
      </w:r>
      <w:r w:rsidR="00830A74">
        <w:rPr>
          <w:rFonts w:ascii="Cambria" w:eastAsia="Cambria" w:hAnsi="Cambria" w:cs="Cambria"/>
          <w:sz w:val="21"/>
          <w:szCs w:val="21"/>
        </w:rPr>
        <w:t xml:space="preserve">. </w:t>
      </w:r>
      <w:r w:rsidRPr="00932D61">
        <w:rPr>
          <w:rFonts w:ascii="Cambria" w:eastAsia="Cambria" w:hAnsi="Cambria" w:cs="Cambria"/>
          <w:sz w:val="21"/>
          <w:szCs w:val="21"/>
        </w:rPr>
        <w:t>The Ombudsman's Office has requested the Ministry of Health (Minsa) to allow the temporary direct affiliation of migrants, particularly for specific groups such as pregnant women and children under 5 years of age</w:t>
      </w:r>
      <w:r w:rsidR="00830A74">
        <w:rPr>
          <w:rFonts w:ascii="Cambria" w:eastAsia="Cambria" w:hAnsi="Cambria" w:cs="Cambria"/>
          <w:sz w:val="21"/>
          <w:szCs w:val="21"/>
          <w:vertAlign w:val="superscript"/>
        </w:rPr>
        <w:footnoteReference w:id="11"/>
      </w:r>
      <w:r w:rsidR="00830A74">
        <w:rPr>
          <w:rFonts w:ascii="Cambria" w:eastAsia="Cambria" w:hAnsi="Cambria" w:cs="Cambria"/>
          <w:sz w:val="21"/>
          <w:szCs w:val="21"/>
        </w:rPr>
        <w:t>.</w:t>
      </w:r>
    </w:p>
    <w:p w:rsidR="002D1F37" w:rsidRDefault="002D1F37">
      <w:pPr>
        <w:widowControl/>
        <w:tabs>
          <w:tab w:val="left" w:pos="2127"/>
        </w:tabs>
        <w:spacing w:after="0"/>
        <w:jc w:val="both"/>
        <w:rPr>
          <w:rFonts w:ascii="Cambria" w:eastAsia="Cambria" w:hAnsi="Cambria" w:cs="Cambria"/>
          <w:sz w:val="21"/>
          <w:szCs w:val="21"/>
        </w:rPr>
      </w:pPr>
    </w:p>
    <w:p w:rsidR="002D1F37" w:rsidRDefault="00932D61" w:rsidP="00932D61">
      <w:pPr>
        <w:widowControl/>
        <w:numPr>
          <w:ilvl w:val="0"/>
          <w:numId w:val="3"/>
        </w:numPr>
        <w:tabs>
          <w:tab w:val="left" w:pos="2127"/>
        </w:tabs>
        <w:spacing w:after="0"/>
        <w:jc w:val="both"/>
        <w:rPr>
          <w:rFonts w:ascii="Cambria" w:eastAsia="Cambria" w:hAnsi="Cambria" w:cs="Cambria"/>
          <w:sz w:val="21"/>
          <w:szCs w:val="21"/>
        </w:rPr>
      </w:pPr>
      <w:r w:rsidRPr="00932D61">
        <w:rPr>
          <w:rFonts w:ascii="Cambria" w:eastAsia="Cambria" w:hAnsi="Cambria" w:cs="Cambria"/>
          <w:sz w:val="21"/>
          <w:szCs w:val="21"/>
        </w:rPr>
        <w:t>If the lack of measures and actions to guarantee the right to health of migrants is alarming, these are especially serious in the case of their</w:t>
      </w:r>
      <w:r>
        <w:rPr>
          <w:rFonts w:ascii="Cambria" w:eastAsia="Cambria" w:hAnsi="Cambria" w:cs="Cambria"/>
          <w:sz w:val="21"/>
          <w:szCs w:val="21"/>
        </w:rPr>
        <w:t xml:space="preserve"> sexual and reproductive rights</w:t>
      </w:r>
      <w:r w:rsidR="00830A74">
        <w:rPr>
          <w:rFonts w:ascii="Cambria" w:eastAsia="Cambria" w:hAnsi="Cambria" w:cs="Cambria"/>
          <w:sz w:val="21"/>
          <w:szCs w:val="21"/>
        </w:rPr>
        <w:t xml:space="preserve">. </w:t>
      </w:r>
    </w:p>
    <w:p w:rsidR="002D1F37" w:rsidRDefault="00932D61" w:rsidP="00932D61">
      <w:pPr>
        <w:pStyle w:val="Ttulo1"/>
        <w:numPr>
          <w:ilvl w:val="0"/>
          <w:numId w:val="1"/>
        </w:numPr>
        <w:spacing w:before="280" w:after="0" w:line="276" w:lineRule="auto"/>
        <w:rPr>
          <w:rFonts w:ascii="Cambria" w:eastAsia="Cambria" w:hAnsi="Cambria" w:cs="Cambria"/>
          <w:sz w:val="21"/>
          <w:szCs w:val="21"/>
        </w:rPr>
      </w:pPr>
      <w:r w:rsidRPr="00932D61">
        <w:rPr>
          <w:rFonts w:ascii="Cambria" w:eastAsia="Cambria" w:hAnsi="Cambria" w:cs="Cambria"/>
          <w:sz w:val="21"/>
          <w:szCs w:val="21"/>
        </w:rPr>
        <w:t>Obstacles to access to sexual and reproductive health services.</w:t>
      </w:r>
      <w:r>
        <w:rPr>
          <w:rFonts w:ascii="Cambria" w:eastAsia="Cambria" w:hAnsi="Cambria" w:cs="Cambria"/>
          <w:sz w:val="21"/>
          <w:szCs w:val="21"/>
        </w:rPr>
        <w:t xml:space="preserve"> </w:t>
      </w:r>
      <w:r w:rsidR="00830A74">
        <w:rPr>
          <w:rFonts w:ascii="Cambria" w:eastAsia="Cambria" w:hAnsi="Cambria" w:cs="Cambria"/>
          <w:sz w:val="21"/>
          <w:szCs w:val="21"/>
        </w:rPr>
        <w:t xml:space="preserve"> </w:t>
      </w:r>
    </w:p>
    <w:p w:rsidR="002D1F37" w:rsidRDefault="00783EB3" w:rsidP="00783EB3">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783EB3">
        <w:rPr>
          <w:rFonts w:ascii="Cambria" w:eastAsia="Cambria" w:hAnsi="Cambria" w:cs="Cambria"/>
          <w:color w:val="000000"/>
          <w:sz w:val="21"/>
          <w:szCs w:val="21"/>
        </w:rPr>
        <w:t>The sexual and reproductive health situation of the Venezuelan population is serious, especially for those who do not have a regular migratory status and, even more so, if they also belong to another vulnerable group such as LGBTI. According to the ENVOPE, only 26.5% of the Venezuelan population aged 15 years and older received any service related to reproductive and/or sexual health, while 66.7% did not have access to these services and 6.8% were unaware of their existence.</w:t>
      </w:r>
      <w:r w:rsidR="00830A74">
        <w:rPr>
          <w:rFonts w:ascii="Cambria" w:eastAsia="Cambria" w:hAnsi="Cambria" w:cs="Cambria"/>
          <w:color w:val="000000"/>
          <w:sz w:val="21"/>
          <w:szCs w:val="21"/>
          <w:vertAlign w:val="superscript"/>
        </w:rPr>
        <w:footnoteReference w:id="12"/>
      </w:r>
      <w:r w:rsidR="00830A74">
        <w:rPr>
          <w:rFonts w:ascii="Cambria" w:eastAsia="Cambria" w:hAnsi="Cambria" w:cs="Cambria"/>
          <w:color w:val="000000"/>
          <w:sz w:val="21"/>
          <w:szCs w:val="21"/>
        </w:rPr>
        <w:t xml:space="preserve">. </w:t>
      </w:r>
      <w:r w:rsidRPr="00783EB3">
        <w:rPr>
          <w:rFonts w:ascii="Cambria" w:eastAsia="Cambria" w:hAnsi="Cambria" w:cs="Cambria"/>
          <w:color w:val="000000"/>
          <w:sz w:val="21"/>
          <w:szCs w:val="21"/>
        </w:rPr>
        <w:t>It is also worrying that, since they arrived in Peru, 97.2% of this population has not had access to an HIV test or a test to detect if they suffer from any sexually transmitted infection.</w:t>
      </w:r>
      <w:r w:rsidR="00830A74">
        <w:rPr>
          <w:rFonts w:ascii="Cambria" w:eastAsia="Cambria" w:hAnsi="Cambria" w:cs="Cambria"/>
          <w:color w:val="000000"/>
          <w:sz w:val="21"/>
          <w:szCs w:val="21"/>
          <w:vertAlign w:val="superscript"/>
        </w:rPr>
        <w:footnoteReference w:id="13"/>
      </w:r>
      <w:r w:rsidR="00830A74">
        <w:rPr>
          <w:rFonts w:ascii="Cambria" w:eastAsia="Cambria" w:hAnsi="Cambria" w:cs="Cambria"/>
          <w:color w:val="000000"/>
          <w:sz w:val="21"/>
          <w:szCs w:val="21"/>
        </w:rPr>
        <w:t xml:space="preserve">.  </w:t>
      </w:r>
    </w:p>
    <w:p w:rsidR="002D1F37" w:rsidRDefault="002D1F37">
      <w:pPr>
        <w:widowControl/>
        <w:tabs>
          <w:tab w:val="left" w:pos="2127"/>
        </w:tabs>
        <w:spacing w:after="0"/>
        <w:jc w:val="both"/>
        <w:rPr>
          <w:rFonts w:ascii="Cambria" w:eastAsia="Cambria" w:hAnsi="Cambria" w:cs="Cambria"/>
          <w:sz w:val="21"/>
          <w:szCs w:val="21"/>
        </w:rPr>
      </w:pPr>
    </w:p>
    <w:p w:rsidR="002D1F37" w:rsidRDefault="00783EB3" w:rsidP="00783EB3">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783EB3">
        <w:rPr>
          <w:rFonts w:ascii="Cambria" w:eastAsia="Cambria" w:hAnsi="Cambria" w:cs="Cambria"/>
          <w:b/>
          <w:color w:val="000000"/>
          <w:sz w:val="21"/>
          <w:szCs w:val="21"/>
        </w:rPr>
        <w:t>During the pandemic, outpatient consultations were suspended in 8,000 health facilities</w:t>
      </w:r>
      <w:r w:rsidR="00830A74">
        <w:rPr>
          <w:rFonts w:ascii="Cambria" w:eastAsia="Cambria" w:hAnsi="Cambria" w:cs="Cambria"/>
          <w:color w:val="000000"/>
          <w:sz w:val="21"/>
          <w:szCs w:val="21"/>
          <w:vertAlign w:val="superscript"/>
        </w:rPr>
        <w:footnoteReference w:id="14"/>
      </w:r>
      <w:r w:rsidR="00830A74">
        <w:rPr>
          <w:rFonts w:ascii="Cambria" w:eastAsia="Cambria" w:hAnsi="Cambria" w:cs="Cambria"/>
          <w:b/>
          <w:color w:val="000000"/>
          <w:sz w:val="21"/>
          <w:szCs w:val="21"/>
        </w:rPr>
        <w:t xml:space="preserve">, </w:t>
      </w:r>
      <w:r w:rsidRPr="00783EB3">
        <w:rPr>
          <w:rFonts w:ascii="Cambria" w:eastAsia="Cambria" w:hAnsi="Cambria" w:cs="Cambria"/>
          <w:color w:val="000000"/>
          <w:sz w:val="21"/>
          <w:szCs w:val="21"/>
        </w:rPr>
        <w:t>resulting in the neglect of pregnant women, those who needed access to the emergency kit</w:t>
      </w:r>
      <w:r w:rsidR="00830A74">
        <w:rPr>
          <w:rFonts w:ascii="Cambria" w:eastAsia="Cambria" w:hAnsi="Cambria" w:cs="Cambria"/>
          <w:color w:val="000000"/>
          <w:sz w:val="21"/>
          <w:szCs w:val="21"/>
          <w:vertAlign w:val="superscript"/>
        </w:rPr>
        <w:footnoteReference w:id="15"/>
      </w:r>
      <w:r w:rsidR="00830A74">
        <w:rPr>
          <w:rFonts w:ascii="Cambria" w:eastAsia="Cambria" w:hAnsi="Cambria" w:cs="Cambria"/>
          <w:color w:val="000000"/>
          <w:sz w:val="21"/>
          <w:szCs w:val="21"/>
        </w:rPr>
        <w:t xml:space="preserve"> </w:t>
      </w:r>
      <w:r w:rsidRPr="00783EB3">
        <w:rPr>
          <w:rFonts w:ascii="Cambria" w:eastAsia="Cambria" w:hAnsi="Cambria" w:cs="Cambria"/>
          <w:color w:val="000000"/>
          <w:sz w:val="21"/>
          <w:szCs w:val="21"/>
        </w:rPr>
        <w:t>for sexual violence and EOC</w:t>
      </w:r>
      <w:r w:rsidR="00830A74">
        <w:rPr>
          <w:rFonts w:ascii="Cambria" w:eastAsia="Cambria" w:hAnsi="Cambria" w:cs="Cambria"/>
          <w:color w:val="000000"/>
          <w:sz w:val="21"/>
          <w:szCs w:val="21"/>
        </w:rPr>
        <w:t xml:space="preserve">, </w:t>
      </w:r>
      <w:r w:rsidRPr="00783EB3">
        <w:rPr>
          <w:rFonts w:ascii="Cambria" w:eastAsia="Cambria" w:hAnsi="Cambria" w:cs="Cambria"/>
          <w:color w:val="000000"/>
          <w:sz w:val="21"/>
          <w:szCs w:val="21"/>
        </w:rPr>
        <w:t>as well as family planning services. According to the United Nations Population Fund (UNFPA), between 2020 and 2021, between 50,000 and 100,000 unplanned b</w:t>
      </w:r>
      <w:r>
        <w:rPr>
          <w:rFonts w:ascii="Cambria" w:eastAsia="Cambria" w:hAnsi="Cambria" w:cs="Cambria"/>
          <w:color w:val="000000"/>
          <w:sz w:val="21"/>
          <w:szCs w:val="21"/>
        </w:rPr>
        <w:t>irths will increase in Peru</w:t>
      </w:r>
      <w:r w:rsidR="00830A74">
        <w:rPr>
          <w:rFonts w:ascii="Cambria" w:eastAsia="Cambria" w:hAnsi="Cambria" w:cs="Cambria"/>
          <w:color w:val="000000"/>
          <w:sz w:val="21"/>
          <w:szCs w:val="21"/>
          <w:vertAlign w:val="superscript"/>
        </w:rPr>
        <w:footnoteReference w:id="16"/>
      </w:r>
      <w:r w:rsidR="00830A74">
        <w:rPr>
          <w:rFonts w:ascii="Cambria" w:eastAsia="Cambria" w:hAnsi="Cambria" w:cs="Cambria"/>
          <w:color w:val="000000"/>
          <w:sz w:val="21"/>
          <w:szCs w:val="21"/>
        </w:rPr>
        <w:t xml:space="preserve">. </w:t>
      </w:r>
    </w:p>
    <w:p w:rsidR="002D1F37" w:rsidRDefault="002D1F37">
      <w:pPr>
        <w:widowControl/>
        <w:pBdr>
          <w:top w:val="nil"/>
          <w:left w:val="nil"/>
          <w:bottom w:val="nil"/>
          <w:right w:val="nil"/>
          <w:between w:val="nil"/>
        </w:pBdr>
        <w:spacing w:after="0"/>
        <w:jc w:val="both"/>
        <w:rPr>
          <w:rFonts w:ascii="Cambria" w:eastAsia="Cambria" w:hAnsi="Cambria" w:cs="Cambria"/>
          <w:color w:val="000000"/>
          <w:sz w:val="21"/>
          <w:szCs w:val="21"/>
        </w:rPr>
      </w:pPr>
    </w:p>
    <w:p w:rsidR="002D1F37" w:rsidRDefault="00290068" w:rsidP="00290068">
      <w:pPr>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290068">
        <w:rPr>
          <w:rFonts w:ascii="Cambria" w:eastAsia="Cambria" w:hAnsi="Cambria" w:cs="Cambria"/>
          <w:b/>
          <w:color w:val="000000"/>
          <w:sz w:val="21"/>
          <w:szCs w:val="21"/>
        </w:rPr>
        <w:t>These obstacles in access to sexual and reproductive health services represent a serious violation of articles 7, 9 and 28 of the Convention, under which Peru is obliged to protect all migrant workers and members of their families against any type of discrimination, particularly with respect to the right to life and health.</w:t>
      </w:r>
    </w:p>
    <w:p w:rsidR="002D1F37" w:rsidRDefault="0037127C" w:rsidP="0037127C">
      <w:pPr>
        <w:pStyle w:val="Ttulo1"/>
        <w:numPr>
          <w:ilvl w:val="0"/>
          <w:numId w:val="5"/>
        </w:numPr>
        <w:spacing w:before="0" w:after="280" w:line="276" w:lineRule="auto"/>
        <w:jc w:val="both"/>
        <w:rPr>
          <w:rFonts w:ascii="Cambria" w:eastAsia="Cambria" w:hAnsi="Cambria" w:cs="Cambria"/>
          <w:sz w:val="21"/>
          <w:szCs w:val="21"/>
        </w:rPr>
      </w:pPr>
      <w:bookmarkStart w:id="1" w:name="_heading=h.gjdgxs" w:colFirst="0" w:colLast="0"/>
      <w:bookmarkEnd w:id="1"/>
      <w:r w:rsidRPr="0037127C">
        <w:rPr>
          <w:rFonts w:ascii="Cambria" w:eastAsia="Cambria" w:hAnsi="Cambria" w:cs="Cambria"/>
          <w:sz w:val="21"/>
          <w:szCs w:val="21"/>
        </w:rPr>
        <w:t>Access to modern contraceptive methods and full range of information</w:t>
      </w:r>
    </w:p>
    <w:p w:rsidR="002D1F37" w:rsidRDefault="00B33690" w:rsidP="00B33690">
      <w:pPr>
        <w:numPr>
          <w:ilvl w:val="0"/>
          <w:numId w:val="3"/>
        </w:numPr>
        <w:pBdr>
          <w:top w:val="nil"/>
          <w:left w:val="nil"/>
          <w:bottom w:val="nil"/>
          <w:right w:val="nil"/>
          <w:between w:val="nil"/>
        </w:pBdr>
        <w:spacing w:after="0"/>
        <w:jc w:val="both"/>
        <w:rPr>
          <w:rFonts w:ascii="Cambria" w:eastAsia="Cambria" w:hAnsi="Cambria" w:cs="Cambria"/>
          <w:sz w:val="21"/>
          <w:szCs w:val="21"/>
        </w:rPr>
      </w:pPr>
      <w:r>
        <w:rPr>
          <w:rFonts w:ascii="Cambria" w:eastAsia="Cambria" w:hAnsi="Cambria" w:cs="Cambria"/>
          <w:color w:val="000000"/>
          <w:sz w:val="21"/>
          <w:szCs w:val="21"/>
        </w:rPr>
        <w:t xml:space="preserve"> </w:t>
      </w:r>
      <w:r w:rsidRPr="00B33690">
        <w:rPr>
          <w:rFonts w:ascii="Cambria" w:eastAsia="Cambria" w:hAnsi="Cambria" w:cs="Cambria"/>
          <w:color w:val="000000"/>
          <w:sz w:val="21"/>
          <w:szCs w:val="21"/>
        </w:rPr>
        <w:t>Access to family planning methods and attendance to pregnancy control among Venezuelan women is limited compared to that of the national population. According to ENVOPE, only 27.2% of Venezuelan women of childbearing age (15-49 years)</w:t>
      </w:r>
      <w:r w:rsidR="00830A74">
        <w:rPr>
          <w:rFonts w:ascii="Cambria" w:eastAsia="Cambria" w:hAnsi="Cambria" w:cs="Cambria"/>
          <w:color w:val="000000"/>
          <w:sz w:val="21"/>
          <w:szCs w:val="21"/>
        </w:rPr>
        <w:t xml:space="preserve"> </w:t>
      </w:r>
      <w:r w:rsidRPr="00B33690">
        <w:rPr>
          <w:rFonts w:ascii="Cambria" w:eastAsia="Cambria" w:hAnsi="Cambria" w:cs="Cambria"/>
          <w:color w:val="000000"/>
          <w:sz w:val="21"/>
          <w:szCs w:val="21"/>
        </w:rPr>
        <w:t xml:space="preserve">had access </w:t>
      </w:r>
      <w:r w:rsidRPr="00B33690">
        <w:rPr>
          <w:rFonts w:ascii="Cambria" w:eastAsia="Cambria" w:hAnsi="Cambria" w:cs="Cambria"/>
          <w:color w:val="000000"/>
          <w:sz w:val="21"/>
          <w:szCs w:val="21"/>
        </w:rPr>
        <w:lastRenderedPageBreak/>
        <w:t>to a family planning method, of which 17% used a modern method (17%) and only 2.3% used an emergency oral contraceptive</w:t>
      </w:r>
      <w:r>
        <w:rPr>
          <w:rFonts w:ascii="Cambria" w:eastAsia="Cambria" w:hAnsi="Cambria" w:cs="Cambria"/>
          <w:color w:val="000000"/>
          <w:sz w:val="21"/>
          <w:szCs w:val="21"/>
        </w:rPr>
        <w:t xml:space="preserve"> </w:t>
      </w:r>
      <w:r w:rsidR="00830A74">
        <w:rPr>
          <w:rFonts w:ascii="Cambria" w:eastAsia="Cambria" w:hAnsi="Cambria" w:cs="Cambria"/>
          <w:color w:val="000000"/>
          <w:sz w:val="21"/>
          <w:szCs w:val="21"/>
        </w:rPr>
        <w:t>(AOE)</w:t>
      </w:r>
      <w:r w:rsidR="00830A74">
        <w:rPr>
          <w:rFonts w:ascii="Cambria" w:eastAsia="Cambria" w:hAnsi="Cambria" w:cs="Cambria"/>
          <w:color w:val="000000"/>
          <w:sz w:val="21"/>
          <w:szCs w:val="21"/>
          <w:vertAlign w:val="superscript"/>
        </w:rPr>
        <w:footnoteReference w:id="17"/>
      </w:r>
      <w:r>
        <w:rPr>
          <w:rFonts w:ascii="Cambria" w:eastAsia="Cambria" w:hAnsi="Cambria" w:cs="Cambria"/>
          <w:color w:val="000000"/>
          <w:sz w:val="21"/>
          <w:szCs w:val="21"/>
        </w:rPr>
        <w:t xml:space="preserve">. </w:t>
      </w:r>
      <w:r w:rsidRPr="00B33690">
        <w:rPr>
          <w:rFonts w:ascii="Cambria" w:eastAsia="Cambria" w:hAnsi="Cambria" w:cs="Cambria"/>
          <w:color w:val="000000"/>
          <w:sz w:val="21"/>
          <w:szCs w:val="21"/>
        </w:rPr>
        <w:t>This differs from the Peruvian population where, according to the 2017 Demographic and Family Health Survey (ENDES), 53% of Peruvian women use some modern contraceptive method.</w:t>
      </w:r>
      <w:r>
        <w:rPr>
          <w:rFonts w:ascii="Cambria" w:eastAsia="Cambria" w:hAnsi="Cambria" w:cs="Cambria"/>
          <w:color w:val="000000"/>
          <w:sz w:val="21"/>
          <w:szCs w:val="21"/>
        </w:rPr>
        <w:t xml:space="preserve"> </w:t>
      </w:r>
      <w:r w:rsidR="00830A74">
        <w:rPr>
          <w:rFonts w:ascii="Cambria" w:eastAsia="Cambria" w:hAnsi="Cambria" w:cs="Cambria"/>
          <w:color w:val="000000"/>
          <w:sz w:val="21"/>
          <w:szCs w:val="21"/>
        </w:rPr>
        <w:t xml:space="preserve">  </w:t>
      </w:r>
    </w:p>
    <w:p w:rsidR="002D1F37" w:rsidRDefault="002D1F37">
      <w:pPr>
        <w:pBdr>
          <w:top w:val="nil"/>
          <w:left w:val="nil"/>
          <w:bottom w:val="nil"/>
          <w:right w:val="nil"/>
          <w:between w:val="nil"/>
        </w:pBdr>
        <w:spacing w:after="0"/>
        <w:ind w:left="720"/>
        <w:jc w:val="both"/>
        <w:rPr>
          <w:rFonts w:ascii="Cambria" w:eastAsia="Cambria" w:hAnsi="Cambria" w:cs="Cambria"/>
          <w:color w:val="000000"/>
          <w:sz w:val="21"/>
          <w:szCs w:val="21"/>
        </w:rPr>
      </w:pPr>
    </w:p>
    <w:p w:rsidR="002D1F37" w:rsidRDefault="002704C0" w:rsidP="002704C0">
      <w:pPr>
        <w:numPr>
          <w:ilvl w:val="0"/>
          <w:numId w:val="3"/>
        </w:numPr>
        <w:pBdr>
          <w:top w:val="nil"/>
          <w:left w:val="nil"/>
          <w:bottom w:val="nil"/>
          <w:right w:val="nil"/>
          <w:between w:val="nil"/>
        </w:pBdr>
        <w:spacing w:after="0"/>
        <w:jc w:val="both"/>
        <w:rPr>
          <w:rFonts w:ascii="Cambria" w:eastAsia="Cambria" w:hAnsi="Cambria" w:cs="Cambria"/>
          <w:sz w:val="21"/>
          <w:szCs w:val="21"/>
        </w:rPr>
      </w:pPr>
      <w:r w:rsidRPr="002704C0">
        <w:rPr>
          <w:rFonts w:ascii="Cambria" w:eastAsia="Cambria" w:hAnsi="Cambria" w:cs="Cambria"/>
          <w:color w:val="000000"/>
          <w:sz w:val="21"/>
          <w:szCs w:val="21"/>
        </w:rPr>
        <w:t>Likewise, according to the ENVOPE 5% of women surveyed were pregnant, of which 19% did not attend a pregnancy control. In addition, only 4.6% of the Venezuelan population aged 15 years and older received education or advice on sexual and/or reproductive education</w:t>
      </w:r>
      <w:r w:rsidR="00830A74">
        <w:rPr>
          <w:rFonts w:ascii="Cambria" w:eastAsia="Cambria" w:hAnsi="Cambria" w:cs="Cambria"/>
          <w:color w:val="000000"/>
          <w:sz w:val="21"/>
          <w:szCs w:val="21"/>
          <w:vertAlign w:val="superscript"/>
        </w:rPr>
        <w:footnoteReference w:id="18"/>
      </w:r>
      <w:r w:rsidR="00830A74">
        <w:rPr>
          <w:rFonts w:ascii="Cambria" w:eastAsia="Cambria" w:hAnsi="Cambria" w:cs="Cambria"/>
          <w:color w:val="000000"/>
          <w:sz w:val="21"/>
          <w:szCs w:val="21"/>
        </w:rPr>
        <w:t xml:space="preserve">. </w:t>
      </w:r>
      <w:r w:rsidRPr="002704C0">
        <w:rPr>
          <w:rFonts w:ascii="Cambria" w:eastAsia="Cambria" w:hAnsi="Cambria" w:cs="Cambria"/>
          <w:b/>
          <w:color w:val="000000"/>
          <w:sz w:val="21"/>
          <w:szCs w:val="21"/>
        </w:rPr>
        <w:t>This situation generates serious health risks for pregnant women and their babies and potentially increases cases of unwanted pregnancies and maternal mortality</w:t>
      </w:r>
      <w:r w:rsidR="00830A74">
        <w:rPr>
          <w:rFonts w:ascii="Cambria" w:eastAsia="Cambria" w:hAnsi="Cambria" w:cs="Cambria"/>
          <w:b/>
          <w:color w:val="000000"/>
          <w:sz w:val="21"/>
          <w:szCs w:val="21"/>
        </w:rPr>
        <w:t>.</w:t>
      </w:r>
      <w:r w:rsidR="00830A74">
        <w:rPr>
          <w:rFonts w:ascii="Cambria" w:eastAsia="Cambria" w:hAnsi="Cambria" w:cs="Cambria"/>
          <w:color w:val="000000"/>
          <w:sz w:val="21"/>
          <w:szCs w:val="21"/>
        </w:rPr>
        <w:br/>
      </w:r>
    </w:p>
    <w:p w:rsidR="002D1F37" w:rsidRDefault="009E5D84" w:rsidP="009E5D84">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9E5D84">
        <w:rPr>
          <w:rFonts w:ascii="Cambria" w:eastAsia="Cambria" w:hAnsi="Cambria" w:cs="Cambria"/>
          <w:color w:val="000000"/>
          <w:sz w:val="21"/>
          <w:szCs w:val="21"/>
        </w:rPr>
        <w:t>The prohibition of free distribution of EOC affects the fundamental rights of the poorest women and victims of rape, most of whom are minors (71%) and many of whom are migrants, being exposed to forced pregnancies as a result of this violence</w:t>
      </w:r>
      <w:r w:rsidR="00830A74">
        <w:rPr>
          <w:rFonts w:ascii="Cambria" w:eastAsia="Cambria" w:hAnsi="Cambria" w:cs="Cambria"/>
          <w:color w:val="000000"/>
          <w:sz w:val="21"/>
          <w:szCs w:val="21"/>
          <w:vertAlign w:val="superscript"/>
        </w:rPr>
        <w:footnoteReference w:id="19"/>
      </w:r>
      <w:r w:rsidR="00830A74">
        <w:rPr>
          <w:rFonts w:ascii="Cambria" w:eastAsia="Cambria" w:hAnsi="Cambria" w:cs="Cambria"/>
          <w:color w:val="000000"/>
          <w:sz w:val="21"/>
          <w:szCs w:val="21"/>
        </w:rPr>
        <w:t xml:space="preserve">. </w:t>
      </w:r>
      <w:r w:rsidRPr="009E5D84">
        <w:rPr>
          <w:rFonts w:ascii="Cambria" w:eastAsia="Cambria" w:hAnsi="Cambria" w:cs="Cambria"/>
          <w:color w:val="000000"/>
          <w:sz w:val="21"/>
          <w:szCs w:val="21"/>
        </w:rPr>
        <w:t xml:space="preserve">Therefore, </w:t>
      </w:r>
      <w:r w:rsidRPr="009E5D84">
        <w:rPr>
          <w:rFonts w:ascii="Cambria" w:eastAsia="Cambria" w:hAnsi="Cambria" w:cs="Cambria"/>
          <w:b/>
          <w:color w:val="000000"/>
          <w:sz w:val="21"/>
          <w:szCs w:val="21"/>
        </w:rPr>
        <w:t>the Ombudsman's Office called on MINSA to adopt the necessary measures to guarantee the execution of the Judiciary's decision ordering it to inform and distribute the AOE free of charge</w:t>
      </w:r>
      <w:r w:rsidR="00830A74">
        <w:rPr>
          <w:rFonts w:ascii="Cambria" w:eastAsia="Cambria" w:hAnsi="Cambria" w:cs="Cambria"/>
          <w:color w:val="000000"/>
          <w:sz w:val="21"/>
          <w:szCs w:val="21"/>
          <w:vertAlign w:val="superscript"/>
        </w:rPr>
        <w:footnoteReference w:id="20"/>
      </w:r>
      <w:r w:rsidR="00830A74">
        <w:rPr>
          <w:rFonts w:ascii="Cambria" w:eastAsia="Cambria" w:hAnsi="Cambria" w:cs="Cambria"/>
          <w:color w:val="000000"/>
          <w:sz w:val="21"/>
          <w:szCs w:val="21"/>
        </w:rPr>
        <w:t>.</w:t>
      </w:r>
    </w:p>
    <w:p w:rsidR="002D1F37" w:rsidRDefault="004769FD" w:rsidP="004769FD">
      <w:pPr>
        <w:widowControl/>
        <w:numPr>
          <w:ilvl w:val="0"/>
          <w:numId w:val="3"/>
        </w:numPr>
        <w:tabs>
          <w:tab w:val="left" w:pos="2127"/>
        </w:tabs>
        <w:spacing w:before="240" w:after="240"/>
        <w:jc w:val="both"/>
        <w:rPr>
          <w:rFonts w:ascii="Cambria" w:eastAsia="Cambria" w:hAnsi="Cambria" w:cs="Cambria"/>
          <w:sz w:val="21"/>
          <w:szCs w:val="21"/>
        </w:rPr>
      </w:pPr>
      <w:r w:rsidRPr="004769FD">
        <w:rPr>
          <w:rFonts w:ascii="Cambria" w:eastAsia="Cambria" w:hAnsi="Cambria" w:cs="Cambria"/>
          <w:sz w:val="21"/>
          <w:szCs w:val="21"/>
        </w:rPr>
        <w:t>It is important to remember that since October 2009, the AOE was not available in the public sector due to a Constitutional Court Ruling</w:t>
      </w:r>
      <w:r w:rsidR="00830A74">
        <w:rPr>
          <w:rFonts w:ascii="Cambria" w:eastAsia="Cambria" w:hAnsi="Cambria" w:cs="Cambria"/>
          <w:sz w:val="21"/>
          <w:szCs w:val="21"/>
          <w:vertAlign w:val="superscript"/>
        </w:rPr>
        <w:footnoteReference w:id="21"/>
      </w:r>
      <w:r>
        <w:rPr>
          <w:rFonts w:ascii="Cambria" w:eastAsia="Cambria" w:hAnsi="Cambria" w:cs="Cambria"/>
          <w:sz w:val="21"/>
          <w:szCs w:val="21"/>
        </w:rPr>
        <w:t xml:space="preserve"> </w:t>
      </w:r>
      <w:r w:rsidRPr="004769FD">
        <w:rPr>
          <w:rFonts w:ascii="Cambria" w:eastAsia="Cambria" w:hAnsi="Cambria" w:cs="Cambria"/>
          <w:sz w:val="21"/>
          <w:szCs w:val="21"/>
        </w:rPr>
        <w:t xml:space="preserve">in a process promoted by a religious NGO and, therefore, information on it was not provided either. The Court prohibited Minsa from distributing EOC in public establishments, but not from selling it in private pharmacies, which represented a clear discrimination against low-income women. Currently, the obligation to provide EOC is due to a precautionary measure issued by the 1st Constitutional Court of Lima in August 2016, which was confirmed through a judicial decision of the same court in 2019, in the framework of an amparo process accompanied by PROMSEX. The final decision of the Constitutional Court is pending. A pronouncement against the claims of the lawsuit by the Court would imply that the Minsa refrains from developing as a public policy the free distribution of EOC nationwide. </w:t>
      </w:r>
      <w:r w:rsidR="00830A74">
        <w:rPr>
          <w:rFonts w:ascii="Cambria" w:eastAsia="Cambria" w:hAnsi="Cambria" w:cs="Cambria"/>
          <w:color w:val="000000"/>
          <w:sz w:val="21"/>
          <w:szCs w:val="21"/>
        </w:rPr>
        <w:t xml:space="preserve"> </w:t>
      </w:r>
    </w:p>
    <w:p w:rsidR="002D1F37" w:rsidRDefault="002704C0" w:rsidP="002704C0">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2704C0">
        <w:rPr>
          <w:rFonts w:ascii="Cambria" w:eastAsia="Cambria" w:hAnsi="Cambria" w:cs="Cambria"/>
          <w:b/>
          <w:color w:val="000000"/>
          <w:sz w:val="21"/>
          <w:szCs w:val="21"/>
        </w:rPr>
        <w:t>The health emergency has exacerbated the difficulty of access to modern contraceptive methods.</w:t>
      </w:r>
      <w:r w:rsidRPr="002704C0">
        <w:rPr>
          <w:rFonts w:ascii="Cambria" w:eastAsia="Cambria" w:hAnsi="Cambria" w:cs="Cambria"/>
          <w:color w:val="000000"/>
          <w:sz w:val="21"/>
          <w:szCs w:val="21"/>
        </w:rPr>
        <w:t xml:space="preserve"> In Peru, the proportion of women using modern contraceptive methods is 55%, a rate significantly lower than the regional average of 70%. Of the 55% who use modern contraceptive methods, 54.2% of women receive them from public </w:t>
      </w:r>
      <w:r w:rsidRPr="002704C0">
        <w:rPr>
          <w:rFonts w:ascii="Cambria" w:eastAsia="Cambria" w:hAnsi="Cambria" w:cs="Cambria"/>
          <w:color w:val="000000"/>
          <w:sz w:val="21"/>
          <w:szCs w:val="21"/>
        </w:rPr>
        <w:lastRenderedPageBreak/>
        <w:t>services and 45% receive them from private services, including 8 out of 9 women who purchase them in pharmacies</w:t>
      </w:r>
      <w:r>
        <w:rPr>
          <w:rFonts w:ascii="Cambria" w:eastAsia="Cambria" w:hAnsi="Cambria" w:cs="Cambria"/>
          <w:color w:val="000000"/>
          <w:sz w:val="21"/>
          <w:szCs w:val="21"/>
          <w:highlight w:val="white"/>
          <w:vertAlign w:val="superscript"/>
        </w:rPr>
        <w:footnoteReference w:id="22"/>
      </w:r>
      <w:r w:rsidRPr="002704C0">
        <w:rPr>
          <w:rFonts w:ascii="Cambria" w:eastAsia="Cambria" w:hAnsi="Cambria" w:cs="Cambria"/>
          <w:color w:val="000000"/>
          <w:sz w:val="21"/>
          <w:szCs w:val="21"/>
        </w:rPr>
        <w:t xml:space="preserve">.  </w:t>
      </w:r>
    </w:p>
    <w:p w:rsidR="002D1F37" w:rsidRDefault="002D1F37">
      <w:pPr>
        <w:widowControl/>
        <w:pBdr>
          <w:top w:val="nil"/>
          <w:left w:val="nil"/>
          <w:bottom w:val="nil"/>
          <w:right w:val="nil"/>
          <w:between w:val="nil"/>
        </w:pBdr>
        <w:spacing w:after="0"/>
        <w:jc w:val="both"/>
        <w:rPr>
          <w:rFonts w:ascii="Cambria" w:eastAsia="Cambria" w:hAnsi="Cambria" w:cs="Cambria"/>
          <w:color w:val="000000"/>
          <w:sz w:val="21"/>
          <w:szCs w:val="21"/>
          <w:highlight w:val="white"/>
        </w:rPr>
      </w:pPr>
    </w:p>
    <w:p w:rsidR="002D1F37" w:rsidRDefault="00DB50AD" w:rsidP="00DB50AD">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DB50AD">
        <w:rPr>
          <w:rFonts w:ascii="Cambria" w:eastAsia="Cambria" w:hAnsi="Cambria" w:cs="Cambria"/>
          <w:color w:val="000000"/>
          <w:sz w:val="21"/>
          <w:szCs w:val="21"/>
        </w:rPr>
        <w:t xml:space="preserve">While the provision of contraceptive methods by the public system was interrupted since March 2020 due to the quarantine, private pharmacies continued to offer them, although an unusual increase in the price of medicines was reported. As a result, there has been a </w:t>
      </w:r>
      <w:r w:rsidRPr="00DB50AD">
        <w:rPr>
          <w:rFonts w:ascii="Cambria" w:eastAsia="Cambria" w:hAnsi="Cambria" w:cs="Cambria"/>
          <w:b/>
          <w:color w:val="000000"/>
          <w:sz w:val="21"/>
          <w:szCs w:val="21"/>
        </w:rPr>
        <w:t>potential increase in unplanned or unwanted pregnancies, mainly among women who do not have the economic and geographic capacity to purchase contraceptives</w:t>
      </w:r>
      <w:r w:rsidRPr="00DB50AD">
        <w:rPr>
          <w:rFonts w:ascii="Cambria" w:eastAsia="Cambria" w:hAnsi="Cambria" w:cs="Cambria"/>
          <w:color w:val="000000"/>
          <w:sz w:val="21"/>
          <w:szCs w:val="21"/>
        </w:rPr>
        <w:t xml:space="preserve">. </w:t>
      </w:r>
      <w:r>
        <w:rPr>
          <w:rFonts w:ascii="Cambria" w:eastAsia="Cambria" w:hAnsi="Cambria" w:cs="Cambria"/>
          <w:b/>
          <w:color w:val="000000"/>
          <w:sz w:val="21"/>
          <w:szCs w:val="21"/>
          <w:highlight w:val="white"/>
        </w:rPr>
        <w:t xml:space="preserve"> </w:t>
      </w:r>
      <w:r w:rsidR="00830A74">
        <w:rPr>
          <w:rFonts w:ascii="Cambria" w:eastAsia="Cambria" w:hAnsi="Cambria" w:cs="Cambria"/>
          <w:color w:val="000000"/>
          <w:sz w:val="21"/>
          <w:szCs w:val="21"/>
          <w:highlight w:val="white"/>
        </w:rPr>
        <w:t xml:space="preserve"> </w:t>
      </w:r>
    </w:p>
    <w:p w:rsidR="002D1F37" w:rsidRDefault="002D1F37">
      <w:pPr>
        <w:widowControl/>
        <w:tabs>
          <w:tab w:val="left" w:pos="2127"/>
        </w:tabs>
        <w:spacing w:after="0"/>
        <w:jc w:val="both"/>
        <w:rPr>
          <w:rFonts w:ascii="Cambria" w:eastAsia="Cambria" w:hAnsi="Cambria" w:cs="Cambria"/>
          <w:b/>
          <w:sz w:val="21"/>
          <w:szCs w:val="21"/>
        </w:rPr>
      </w:pPr>
    </w:p>
    <w:p w:rsidR="002D1F37" w:rsidRDefault="00DC6930" w:rsidP="00DC6930">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DC6930">
        <w:rPr>
          <w:rFonts w:ascii="Cambria" w:eastAsia="Cambria" w:hAnsi="Cambria" w:cs="Cambria"/>
          <w:b/>
          <w:color w:val="000000"/>
          <w:sz w:val="21"/>
          <w:szCs w:val="21"/>
        </w:rPr>
        <w:t xml:space="preserve">The lack of resources, services and access to information on sexual and reproductive health, including access to EC, constitutes a form of discrimination, and clear violations of the rights to health, sexual and reproductive health, and life protected under articles 7, 9 and 28 of the Convention. </w:t>
      </w:r>
    </w:p>
    <w:p w:rsidR="002D1F37" w:rsidRDefault="00DC6930" w:rsidP="00DC6930">
      <w:pPr>
        <w:pStyle w:val="Ttulo1"/>
        <w:numPr>
          <w:ilvl w:val="0"/>
          <w:numId w:val="5"/>
        </w:numPr>
        <w:spacing w:before="280" w:after="280" w:line="276" w:lineRule="auto"/>
        <w:rPr>
          <w:rFonts w:ascii="Cambria" w:eastAsia="Cambria" w:hAnsi="Cambria" w:cs="Cambria"/>
          <w:sz w:val="21"/>
          <w:szCs w:val="21"/>
        </w:rPr>
      </w:pPr>
      <w:r w:rsidRPr="00DC6930">
        <w:rPr>
          <w:rFonts w:ascii="Cambria" w:eastAsia="Cambria" w:hAnsi="Cambria" w:cs="Cambria"/>
          <w:sz w:val="21"/>
          <w:szCs w:val="21"/>
        </w:rPr>
        <w:t>High rates of forced pregnancies and maternal mortality</w:t>
      </w:r>
      <w:r>
        <w:rPr>
          <w:rFonts w:ascii="Cambria" w:eastAsia="Cambria" w:hAnsi="Cambria" w:cs="Cambria"/>
          <w:sz w:val="21"/>
          <w:szCs w:val="21"/>
        </w:rPr>
        <w:t xml:space="preserve"> </w:t>
      </w:r>
    </w:p>
    <w:p w:rsidR="002D1F37" w:rsidRDefault="00DC6930">
      <w:pPr>
        <w:tabs>
          <w:tab w:val="left" w:pos="2127"/>
        </w:tabs>
        <w:rPr>
          <w:rFonts w:ascii="Cambria" w:eastAsia="Cambria" w:hAnsi="Cambria" w:cs="Cambria"/>
          <w:b/>
          <w:i/>
          <w:sz w:val="21"/>
          <w:szCs w:val="21"/>
        </w:rPr>
      </w:pPr>
      <w:r w:rsidRPr="00DC6930">
        <w:rPr>
          <w:rFonts w:ascii="Cambria" w:eastAsia="Cambria" w:hAnsi="Cambria" w:cs="Cambria"/>
          <w:b/>
          <w:i/>
          <w:sz w:val="21"/>
          <w:szCs w:val="21"/>
        </w:rPr>
        <w:t>Forced pregnancies in girls and adolescents</w:t>
      </w:r>
      <w:r>
        <w:rPr>
          <w:rFonts w:ascii="Cambria" w:eastAsia="Cambria" w:hAnsi="Cambria" w:cs="Cambria"/>
          <w:b/>
          <w:i/>
          <w:sz w:val="21"/>
          <w:szCs w:val="21"/>
        </w:rPr>
        <w:t xml:space="preserve"> </w:t>
      </w:r>
    </w:p>
    <w:p w:rsidR="002D1F37" w:rsidRDefault="0033409F" w:rsidP="0033409F">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33409F">
        <w:rPr>
          <w:rFonts w:ascii="Cambria" w:eastAsia="Cambria" w:hAnsi="Cambria" w:cs="Cambria"/>
          <w:color w:val="000000"/>
          <w:sz w:val="21"/>
          <w:szCs w:val="21"/>
        </w:rPr>
        <w:t xml:space="preserve">Teenage pregnancy in Peru is a public health problem that violates human rights and has been stable for approximately 15 years. </w:t>
      </w:r>
      <w:r w:rsidRPr="0033409F">
        <w:rPr>
          <w:rFonts w:ascii="Cambria" w:eastAsia="Cambria" w:hAnsi="Cambria" w:cs="Cambria"/>
          <w:b/>
          <w:color w:val="000000"/>
          <w:sz w:val="21"/>
          <w:szCs w:val="21"/>
        </w:rPr>
        <w:t>According to official data, 13 out of every 100 adolescents between 15 and 19 years of age are mothers or are pregnant for the first time and 71% of these pregnancies were unwanted</w:t>
      </w:r>
      <w:r w:rsidR="00830A74">
        <w:rPr>
          <w:rFonts w:ascii="Cambria" w:eastAsia="Cambria" w:hAnsi="Cambria" w:cs="Cambria"/>
          <w:color w:val="000000"/>
          <w:sz w:val="21"/>
          <w:szCs w:val="21"/>
          <w:vertAlign w:val="superscript"/>
        </w:rPr>
        <w:footnoteReference w:id="23"/>
      </w:r>
      <w:r w:rsidR="00830A74">
        <w:rPr>
          <w:rFonts w:ascii="Cambria" w:eastAsia="Cambria" w:hAnsi="Cambria" w:cs="Cambria"/>
          <w:color w:val="000000"/>
          <w:sz w:val="21"/>
          <w:szCs w:val="21"/>
        </w:rPr>
        <w:t xml:space="preserve">. </w:t>
      </w:r>
    </w:p>
    <w:p w:rsidR="002D1F37" w:rsidRDefault="002D1F37">
      <w:pPr>
        <w:widowControl/>
        <w:tabs>
          <w:tab w:val="left" w:pos="2127"/>
        </w:tabs>
        <w:spacing w:after="0"/>
        <w:jc w:val="both"/>
        <w:rPr>
          <w:rFonts w:ascii="Cambria" w:eastAsia="Cambria" w:hAnsi="Cambria" w:cs="Cambria"/>
          <w:sz w:val="21"/>
          <w:szCs w:val="21"/>
        </w:rPr>
      </w:pPr>
    </w:p>
    <w:p w:rsidR="002D1F37" w:rsidRDefault="00153BA1" w:rsidP="00153BA1">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153BA1">
        <w:rPr>
          <w:rFonts w:ascii="Cambria" w:eastAsia="Cambria" w:hAnsi="Cambria" w:cs="Cambria"/>
          <w:color w:val="000000"/>
          <w:sz w:val="21"/>
          <w:szCs w:val="21"/>
        </w:rPr>
        <w:t>In 2020, while the national average of teenage pregnancy between 15 and 19 years of age was 8.2%, in the marginalized and poor populations of the country, the figures reached</w:t>
      </w:r>
      <w:r w:rsidR="00830A74">
        <w:rPr>
          <w:rFonts w:ascii="Cambria" w:eastAsia="Cambria" w:hAnsi="Cambria" w:cs="Cambria"/>
          <w:color w:val="000000"/>
          <w:sz w:val="21"/>
          <w:szCs w:val="21"/>
        </w:rPr>
        <w:t xml:space="preserve"> 20%</w:t>
      </w:r>
      <w:r w:rsidR="00830A74">
        <w:rPr>
          <w:rFonts w:ascii="Cambria" w:eastAsia="Cambria" w:hAnsi="Cambria" w:cs="Cambria"/>
          <w:color w:val="000000"/>
          <w:sz w:val="21"/>
          <w:szCs w:val="21"/>
          <w:vertAlign w:val="superscript"/>
        </w:rPr>
        <w:footnoteReference w:id="24"/>
      </w:r>
      <w:r w:rsidR="00830A74">
        <w:rPr>
          <w:rFonts w:ascii="Cambria" w:eastAsia="Cambria" w:hAnsi="Cambria" w:cs="Cambria"/>
          <w:color w:val="000000"/>
          <w:sz w:val="21"/>
          <w:szCs w:val="21"/>
        </w:rPr>
        <w:t xml:space="preserve">. </w:t>
      </w:r>
      <w:r>
        <w:rPr>
          <w:rFonts w:ascii="Cambria" w:eastAsia="Cambria" w:hAnsi="Cambria" w:cs="Cambria"/>
          <w:color w:val="000000"/>
          <w:sz w:val="21"/>
          <w:szCs w:val="21"/>
        </w:rPr>
        <w:t xml:space="preserve"> </w:t>
      </w:r>
      <w:r w:rsidRPr="00153BA1">
        <w:rPr>
          <w:rFonts w:ascii="Cambria" w:eastAsia="Cambria" w:hAnsi="Cambria" w:cs="Cambria"/>
          <w:color w:val="000000"/>
          <w:sz w:val="21"/>
          <w:szCs w:val="21"/>
        </w:rPr>
        <w:t xml:space="preserve">According to UNFPA, seven out of ten teenage mothers </w:t>
      </w:r>
      <w:r>
        <w:rPr>
          <w:rFonts w:ascii="Cambria" w:eastAsia="Cambria" w:hAnsi="Cambria" w:cs="Cambria"/>
          <w:color w:val="000000"/>
          <w:sz w:val="21"/>
          <w:szCs w:val="21"/>
        </w:rPr>
        <w:t>did not want to become pregnant</w:t>
      </w:r>
      <w:r w:rsidR="00830A74">
        <w:rPr>
          <w:rFonts w:ascii="Cambria" w:eastAsia="Cambria" w:hAnsi="Cambria" w:cs="Cambria"/>
          <w:color w:val="000000"/>
          <w:sz w:val="21"/>
          <w:szCs w:val="21"/>
          <w:vertAlign w:val="superscript"/>
        </w:rPr>
        <w:footnoteReference w:id="25"/>
      </w:r>
      <w:r w:rsidR="00830A74">
        <w:rPr>
          <w:rFonts w:ascii="Cambria" w:eastAsia="Cambria" w:hAnsi="Cambria" w:cs="Cambria"/>
          <w:color w:val="000000"/>
          <w:sz w:val="21"/>
          <w:szCs w:val="21"/>
        </w:rPr>
        <w:t xml:space="preserve">. </w:t>
      </w:r>
      <w:r w:rsidRPr="00153BA1">
        <w:rPr>
          <w:rFonts w:ascii="Cambria" w:eastAsia="Cambria" w:hAnsi="Cambria" w:cs="Cambria"/>
          <w:color w:val="000000"/>
          <w:sz w:val="21"/>
          <w:szCs w:val="21"/>
        </w:rPr>
        <w:t>Likewise, 34% of the adolescents who reported having been raped became pregnant</w:t>
      </w:r>
      <w:r w:rsidR="00830A74">
        <w:rPr>
          <w:rFonts w:ascii="Cambria" w:eastAsia="Cambria" w:hAnsi="Cambria" w:cs="Cambria"/>
          <w:color w:val="000000"/>
          <w:sz w:val="21"/>
          <w:szCs w:val="21"/>
          <w:vertAlign w:val="superscript"/>
        </w:rPr>
        <w:footnoteReference w:id="26"/>
      </w:r>
      <w:r w:rsidR="00830A74">
        <w:rPr>
          <w:rFonts w:ascii="Cambria" w:eastAsia="Cambria" w:hAnsi="Cambria" w:cs="Cambria"/>
          <w:color w:val="000000"/>
          <w:sz w:val="21"/>
          <w:szCs w:val="21"/>
        </w:rPr>
        <w:t xml:space="preserve"> </w:t>
      </w:r>
      <w:r>
        <w:rPr>
          <w:rFonts w:ascii="Cambria" w:eastAsia="Cambria" w:hAnsi="Cambria" w:cs="Cambria"/>
          <w:color w:val="000000"/>
          <w:sz w:val="21"/>
          <w:szCs w:val="21"/>
        </w:rPr>
        <w:t>a</w:t>
      </w:r>
      <w:r w:rsidRPr="00153BA1">
        <w:rPr>
          <w:rFonts w:ascii="Cambria" w:eastAsia="Cambria" w:hAnsi="Cambria" w:cs="Cambria"/>
          <w:color w:val="000000"/>
          <w:sz w:val="21"/>
          <w:szCs w:val="21"/>
        </w:rPr>
        <w:t>nd 14% of them were between 10 and 14 years old</w:t>
      </w:r>
      <w:r w:rsidR="00830A74">
        <w:rPr>
          <w:rFonts w:ascii="Cambria" w:eastAsia="Cambria" w:hAnsi="Cambria" w:cs="Cambria"/>
          <w:color w:val="000000"/>
          <w:sz w:val="21"/>
          <w:szCs w:val="21"/>
          <w:vertAlign w:val="superscript"/>
        </w:rPr>
        <w:footnoteReference w:id="27"/>
      </w:r>
      <w:r w:rsidR="00830A74">
        <w:rPr>
          <w:rFonts w:ascii="Cambria" w:eastAsia="Cambria" w:hAnsi="Cambria" w:cs="Cambria"/>
          <w:color w:val="000000"/>
          <w:sz w:val="21"/>
          <w:szCs w:val="21"/>
        </w:rPr>
        <w:t xml:space="preserve">.  </w:t>
      </w:r>
    </w:p>
    <w:p w:rsidR="002D1F37" w:rsidRDefault="002D1F37">
      <w:pPr>
        <w:widowControl/>
        <w:tabs>
          <w:tab w:val="left" w:pos="2127"/>
        </w:tabs>
        <w:spacing w:after="0"/>
        <w:jc w:val="both"/>
        <w:rPr>
          <w:rFonts w:ascii="Cambria" w:eastAsia="Cambria" w:hAnsi="Cambria" w:cs="Cambria"/>
          <w:b/>
          <w:sz w:val="21"/>
          <w:szCs w:val="21"/>
        </w:rPr>
      </w:pPr>
    </w:p>
    <w:p w:rsidR="002D1F37" w:rsidRDefault="00D21BBD" w:rsidP="00D21BBD">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Pr>
          <w:rFonts w:ascii="Cambria" w:eastAsia="Cambria" w:hAnsi="Cambria" w:cs="Cambria"/>
          <w:b/>
          <w:color w:val="000000"/>
          <w:sz w:val="21"/>
          <w:szCs w:val="21"/>
        </w:rPr>
        <w:t xml:space="preserve"> </w:t>
      </w:r>
      <w:r w:rsidRPr="00D21BBD">
        <w:rPr>
          <w:rFonts w:ascii="Cambria" w:eastAsia="Cambria" w:hAnsi="Cambria" w:cs="Cambria"/>
          <w:b/>
          <w:color w:val="000000"/>
          <w:sz w:val="21"/>
          <w:szCs w:val="21"/>
        </w:rPr>
        <w:t>Mandatory confinement by COVID-19</w:t>
      </w:r>
      <w:r w:rsidRPr="00D21BBD">
        <w:rPr>
          <w:rFonts w:ascii="Cambria" w:eastAsia="Cambria" w:hAnsi="Cambria" w:cs="Cambria"/>
          <w:color w:val="000000"/>
          <w:sz w:val="21"/>
          <w:szCs w:val="21"/>
        </w:rPr>
        <w:t xml:space="preserve"> limited access to sexual and reproductive health services, in addition to the fact that 30% of health centers suspended outpatient consultations.</w:t>
      </w:r>
      <w:r w:rsidR="00830A74">
        <w:rPr>
          <w:rFonts w:ascii="Cambria" w:eastAsia="Cambria" w:hAnsi="Cambria" w:cs="Cambria"/>
          <w:color w:val="000000"/>
          <w:sz w:val="21"/>
          <w:szCs w:val="21"/>
        </w:rPr>
        <w:t xml:space="preserve"> </w:t>
      </w:r>
      <w:r w:rsidRPr="00D21BBD">
        <w:rPr>
          <w:rFonts w:ascii="Cambria" w:eastAsia="Cambria" w:hAnsi="Cambria" w:cs="Cambria"/>
          <w:b/>
          <w:color w:val="000000"/>
          <w:sz w:val="21"/>
          <w:szCs w:val="21"/>
        </w:rPr>
        <w:t xml:space="preserve">Even though according to Peruvian regulations, any sexual </w:t>
      </w:r>
      <w:r w:rsidRPr="00D21BBD">
        <w:rPr>
          <w:rFonts w:ascii="Cambria" w:eastAsia="Cambria" w:hAnsi="Cambria" w:cs="Cambria"/>
          <w:b/>
          <w:color w:val="000000"/>
          <w:sz w:val="21"/>
          <w:szCs w:val="21"/>
        </w:rPr>
        <w:lastRenderedPageBreak/>
        <w:t>intercourse with an adolescent under 14 years of age constitutes rape</w:t>
      </w:r>
      <w:r w:rsidR="00830A74">
        <w:rPr>
          <w:rFonts w:ascii="Cambria" w:eastAsia="Cambria" w:hAnsi="Cambria" w:cs="Cambria"/>
          <w:color w:val="000000"/>
          <w:sz w:val="21"/>
          <w:szCs w:val="21"/>
          <w:vertAlign w:val="superscript"/>
        </w:rPr>
        <w:footnoteReference w:id="28"/>
      </w:r>
      <w:r>
        <w:rPr>
          <w:rFonts w:ascii="Cambria" w:eastAsia="Cambria" w:hAnsi="Cambria" w:cs="Cambria"/>
          <w:color w:val="000000"/>
          <w:sz w:val="21"/>
          <w:szCs w:val="21"/>
        </w:rPr>
        <w:t xml:space="preserve"> i</w:t>
      </w:r>
      <w:r w:rsidR="00830A74">
        <w:rPr>
          <w:rFonts w:ascii="Cambria" w:eastAsia="Cambria" w:hAnsi="Cambria" w:cs="Cambria"/>
          <w:color w:val="000000"/>
          <w:sz w:val="21"/>
          <w:szCs w:val="21"/>
        </w:rPr>
        <w:t>n 2021</w:t>
      </w:r>
      <w:proofErr w:type="gramStart"/>
      <w:r w:rsidR="00830A74">
        <w:rPr>
          <w:rFonts w:ascii="Cambria" w:eastAsia="Cambria" w:hAnsi="Cambria" w:cs="Cambria"/>
          <w:color w:val="000000"/>
          <w:sz w:val="21"/>
          <w:szCs w:val="21"/>
        </w:rPr>
        <w:t>,  1435</w:t>
      </w:r>
      <w:proofErr w:type="gramEnd"/>
      <w:r w:rsidR="00830A74">
        <w:rPr>
          <w:rFonts w:ascii="Cambria" w:eastAsia="Cambria" w:hAnsi="Cambria" w:cs="Cambria"/>
          <w:color w:val="000000"/>
          <w:sz w:val="21"/>
          <w:szCs w:val="21"/>
        </w:rPr>
        <w:t xml:space="preserve"> </w:t>
      </w:r>
      <w:r w:rsidRPr="00D21BBD">
        <w:rPr>
          <w:rFonts w:ascii="Cambria" w:eastAsia="Cambria" w:hAnsi="Cambria" w:cs="Cambria"/>
          <w:color w:val="000000"/>
          <w:sz w:val="21"/>
          <w:szCs w:val="21"/>
        </w:rPr>
        <w:t>births were registered to mothers under 15 years of age; that is, 258 mor</w:t>
      </w:r>
      <w:r>
        <w:rPr>
          <w:rFonts w:ascii="Cambria" w:eastAsia="Cambria" w:hAnsi="Cambria" w:cs="Cambria"/>
          <w:color w:val="000000"/>
          <w:sz w:val="21"/>
          <w:szCs w:val="21"/>
        </w:rPr>
        <w:t>e births than the previous year</w:t>
      </w:r>
      <w:r w:rsidR="00830A74">
        <w:rPr>
          <w:rFonts w:ascii="Cambria" w:eastAsia="Cambria" w:hAnsi="Cambria" w:cs="Cambria"/>
          <w:color w:val="000000"/>
          <w:sz w:val="21"/>
          <w:szCs w:val="21"/>
          <w:vertAlign w:val="superscript"/>
        </w:rPr>
        <w:footnoteReference w:id="29"/>
      </w:r>
      <w:r w:rsidR="00830A74">
        <w:rPr>
          <w:rFonts w:ascii="Cambria" w:eastAsia="Cambria" w:hAnsi="Cambria" w:cs="Cambria"/>
          <w:color w:val="000000"/>
          <w:sz w:val="21"/>
          <w:szCs w:val="21"/>
        </w:rPr>
        <w:t xml:space="preserve">. </w:t>
      </w:r>
    </w:p>
    <w:p w:rsidR="002D1F37" w:rsidRDefault="002D1F37">
      <w:pPr>
        <w:pBdr>
          <w:top w:val="nil"/>
          <w:left w:val="nil"/>
          <w:bottom w:val="nil"/>
          <w:right w:val="nil"/>
          <w:between w:val="nil"/>
        </w:pBdr>
        <w:spacing w:after="0"/>
        <w:ind w:left="720"/>
        <w:rPr>
          <w:rFonts w:ascii="Cambria" w:eastAsia="Cambria" w:hAnsi="Cambria" w:cs="Cambria"/>
          <w:color w:val="000000"/>
          <w:sz w:val="21"/>
          <w:szCs w:val="21"/>
        </w:rPr>
      </w:pPr>
    </w:p>
    <w:p w:rsidR="002D1F37" w:rsidRDefault="00D21BBD" w:rsidP="00D21BBD">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D21BBD">
        <w:rPr>
          <w:rFonts w:ascii="Cambria" w:eastAsia="Cambria" w:hAnsi="Cambria" w:cs="Cambria"/>
          <w:color w:val="000000"/>
          <w:sz w:val="21"/>
          <w:szCs w:val="21"/>
        </w:rPr>
        <w:t xml:space="preserve">These data are alarming considering that </w:t>
      </w:r>
      <w:r w:rsidRPr="00D21BBD">
        <w:rPr>
          <w:rFonts w:ascii="Cambria" w:eastAsia="Cambria" w:hAnsi="Cambria" w:cs="Cambria"/>
          <w:b/>
          <w:color w:val="000000"/>
          <w:sz w:val="21"/>
          <w:szCs w:val="21"/>
        </w:rPr>
        <w:t xml:space="preserve">a pregnant migrant girl or adolescent under 14 years of age is a child victim of rape with a forced pregnancy and, by not providing her with the possibility to decide about it, the State imposes an unwanted maternity. </w:t>
      </w:r>
    </w:p>
    <w:p w:rsidR="002D1F37" w:rsidRDefault="002D1F37">
      <w:pPr>
        <w:tabs>
          <w:tab w:val="left" w:pos="2127"/>
        </w:tabs>
        <w:spacing w:after="0"/>
        <w:jc w:val="both"/>
        <w:rPr>
          <w:rFonts w:ascii="Cambria" w:eastAsia="Cambria" w:hAnsi="Cambria" w:cs="Cambria"/>
          <w:sz w:val="21"/>
          <w:szCs w:val="21"/>
        </w:rPr>
      </w:pPr>
    </w:p>
    <w:p w:rsidR="002D1F37" w:rsidRDefault="00D21BBD">
      <w:pPr>
        <w:widowControl/>
        <w:tabs>
          <w:tab w:val="left" w:pos="2127"/>
        </w:tabs>
        <w:spacing w:after="0"/>
        <w:jc w:val="both"/>
        <w:rPr>
          <w:rFonts w:ascii="Cambria" w:eastAsia="Cambria" w:hAnsi="Cambria" w:cs="Cambria"/>
          <w:b/>
          <w:i/>
          <w:sz w:val="21"/>
          <w:szCs w:val="21"/>
        </w:rPr>
      </w:pPr>
      <w:r w:rsidRPr="00D21BBD">
        <w:rPr>
          <w:rFonts w:ascii="Cambria" w:eastAsia="Cambria" w:hAnsi="Cambria" w:cs="Cambria"/>
          <w:b/>
          <w:i/>
          <w:sz w:val="21"/>
          <w:szCs w:val="21"/>
        </w:rPr>
        <w:t>Maternal mortality among girls and adolescents</w:t>
      </w:r>
    </w:p>
    <w:p w:rsidR="002D1F37" w:rsidRDefault="002D1F37">
      <w:pPr>
        <w:widowControl/>
        <w:pBdr>
          <w:top w:val="nil"/>
          <w:left w:val="nil"/>
          <w:bottom w:val="nil"/>
          <w:right w:val="nil"/>
          <w:between w:val="nil"/>
        </w:pBdr>
        <w:tabs>
          <w:tab w:val="left" w:pos="2127"/>
        </w:tabs>
        <w:spacing w:after="0"/>
        <w:ind w:left="720"/>
        <w:jc w:val="both"/>
        <w:rPr>
          <w:rFonts w:ascii="Cambria" w:eastAsia="Cambria" w:hAnsi="Cambria" w:cs="Cambria"/>
          <w:color w:val="000000"/>
          <w:sz w:val="21"/>
          <w:szCs w:val="21"/>
        </w:rPr>
      </w:pPr>
    </w:p>
    <w:p w:rsidR="002D1F37" w:rsidRDefault="00D21BBD" w:rsidP="00D21BBD">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D21BBD">
        <w:rPr>
          <w:rFonts w:ascii="Cambria" w:eastAsia="Cambria" w:hAnsi="Cambria" w:cs="Cambria"/>
          <w:color w:val="000000"/>
          <w:sz w:val="21"/>
          <w:szCs w:val="21"/>
        </w:rPr>
        <w:t>According to MINSA, between 2014 and 2017, the average maternal mortality (MM) in children under 19 years of age was</w:t>
      </w:r>
      <w:r w:rsidR="00830A74">
        <w:rPr>
          <w:rFonts w:ascii="Cambria" w:eastAsia="Cambria" w:hAnsi="Cambria" w:cs="Cambria"/>
          <w:color w:val="000000"/>
          <w:sz w:val="21"/>
          <w:szCs w:val="21"/>
        </w:rPr>
        <w:t>13</w:t>
      </w:r>
      <w:proofErr w:type="gramStart"/>
      <w:r w:rsidR="00830A74">
        <w:rPr>
          <w:rFonts w:ascii="Cambria" w:eastAsia="Cambria" w:hAnsi="Cambria" w:cs="Cambria"/>
          <w:color w:val="000000"/>
          <w:sz w:val="21"/>
          <w:szCs w:val="21"/>
        </w:rPr>
        <w:t>,8</w:t>
      </w:r>
      <w:proofErr w:type="gramEnd"/>
      <w:r w:rsidR="00830A74">
        <w:rPr>
          <w:rFonts w:ascii="Cambria" w:eastAsia="Cambria" w:hAnsi="Cambria" w:cs="Cambria"/>
          <w:color w:val="000000"/>
          <w:sz w:val="21"/>
          <w:szCs w:val="21"/>
        </w:rPr>
        <w:t>%</w:t>
      </w:r>
      <w:r w:rsidR="00830A74">
        <w:rPr>
          <w:rFonts w:ascii="Cambria" w:eastAsia="Cambria" w:hAnsi="Cambria" w:cs="Cambria"/>
          <w:color w:val="000000"/>
          <w:sz w:val="21"/>
          <w:szCs w:val="21"/>
          <w:vertAlign w:val="superscript"/>
        </w:rPr>
        <w:footnoteReference w:id="30"/>
      </w:r>
      <w:r w:rsidR="00830A74">
        <w:rPr>
          <w:rFonts w:ascii="Cambria" w:eastAsia="Cambria" w:hAnsi="Cambria" w:cs="Cambria"/>
          <w:color w:val="000000"/>
          <w:sz w:val="21"/>
          <w:szCs w:val="21"/>
        </w:rPr>
        <w:t xml:space="preserve">. </w:t>
      </w:r>
      <w:r w:rsidRPr="00D21BBD">
        <w:rPr>
          <w:rFonts w:ascii="Cambria" w:eastAsia="Cambria" w:hAnsi="Cambria" w:cs="Cambria"/>
          <w:color w:val="000000"/>
          <w:sz w:val="21"/>
          <w:szCs w:val="21"/>
        </w:rPr>
        <w:t>Similarly, during 2018 there were 362 cases of maternal death nationwide, of which 49 are girls and adolescents under 19 years of age, being that girls between 10 and 14 years are four times more at risk of dying during</w:t>
      </w:r>
      <w:r>
        <w:rPr>
          <w:rFonts w:ascii="Cambria" w:eastAsia="Cambria" w:hAnsi="Cambria" w:cs="Cambria"/>
          <w:color w:val="000000"/>
          <w:sz w:val="21"/>
          <w:szCs w:val="21"/>
        </w:rPr>
        <w:t xml:space="preserve"> childbirth than an adult woman</w:t>
      </w:r>
      <w:r w:rsidR="00830A74">
        <w:rPr>
          <w:rFonts w:ascii="Cambria" w:eastAsia="Cambria" w:hAnsi="Cambria" w:cs="Cambria"/>
          <w:color w:val="000000"/>
          <w:sz w:val="21"/>
          <w:szCs w:val="21"/>
          <w:vertAlign w:val="superscript"/>
        </w:rPr>
        <w:footnoteReference w:id="31"/>
      </w:r>
      <w:r w:rsidR="00830A74">
        <w:rPr>
          <w:rFonts w:ascii="Cambria" w:eastAsia="Cambria" w:hAnsi="Cambria" w:cs="Cambria"/>
          <w:color w:val="000000"/>
          <w:sz w:val="21"/>
          <w:szCs w:val="21"/>
        </w:rPr>
        <w:t xml:space="preserve">. </w:t>
      </w:r>
      <w:r w:rsidRPr="00D21BBD">
        <w:rPr>
          <w:rFonts w:ascii="Cambria" w:eastAsia="Cambria" w:hAnsi="Cambria" w:cs="Cambria"/>
          <w:color w:val="000000"/>
          <w:sz w:val="21"/>
          <w:szCs w:val="21"/>
        </w:rPr>
        <w:t>Although during 2019 the percentage of MM decreased to 10.9%, deaths in children under 17 years of age increased reaching 6.1% of maternal deaths</w:t>
      </w:r>
      <w:r w:rsidR="00830A74">
        <w:rPr>
          <w:rFonts w:ascii="Cambria" w:eastAsia="Cambria" w:hAnsi="Cambria" w:cs="Cambria"/>
          <w:color w:val="000000"/>
          <w:sz w:val="21"/>
          <w:szCs w:val="21"/>
          <w:vertAlign w:val="superscript"/>
        </w:rPr>
        <w:footnoteReference w:id="32"/>
      </w:r>
      <w:r w:rsidR="00830A74">
        <w:rPr>
          <w:rFonts w:ascii="Cambria" w:eastAsia="Cambria" w:hAnsi="Cambria" w:cs="Cambria"/>
          <w:color w:val="000000"/>
          <w:sz w:val="21"/>
          <w:szCs w:val="21"/>
        </w:rPr>
        <w:t xml:space="preserve"> </w:t>
      </w:r>
      <w:r>
        <w:rPr>
          <w:rFonts w:ascii="Cambria" w:eastAsia="Cambria" w:hAnsi="Cambria" w:cs="Cambria"/>
          <w:color w:val="000000"/>
          <w:sz w:val="21"/>
          <w:szCs w:val="21"/>
        </w:rPr>
        <w:t>and until May</w:t>
      </w:r>
      <w:r w:rsidR="00830A74">
        <w:rPr>
          <w:rFonts w:ascii="Cambria" w:eastAsia="Cambria" w:hAnsi="Cambria" w:cs="Cambria"/>
          <w:color w:val="000000"/>
          <w:sz w:val="21"/>
          <w:szCs w:val="21"/>
        </w:rPr>
        <w:t xml:space="preserve"> 2020, </w:t>
      </w:r>
      <w:r w:rsidRPr="00D21BBD">
        <w:rPr>
          <w:rFonts w:ascii="Cambria" w:eastAsia="Cambria" w:hAnsi="Cambria" w:cs="Cambria"/>
          <w:color w:val="000000"/>
          <w:sz w:val="21"/>
          <w:szCs w:val="21"/>
        </w:rPr>
        <w:t>a MM of 14.9% had been reported in adolescents aged 19 years or younger</w:t>
      </w:r>
      <w:r w:rsidR="00830A74">
        <w:rPr>
          <w:rFonts w:ascii="Cambria" w:eastAsia="Cambria" w:hAnsi="Cambria" w:cs="Cambria"/>
          <w:color w:val="000000"/>
          <w:sz w:val="21"/>
          <w:szCs w:val="21"/>
          <w:vertAlign w:val="superscript"/>
        </w:rPr>
        <w:footnoteReference w:id="33"/>
      </w:r>
      <w:r w:rsidR="00830A74">
        <w:rPr>
          <w:rFonts w:ascii="Cambria" w:eastAsia="Cambria" w:hAnsi="Cambria" w:cs="Cambria"/>
          <w:color w:val="000000"/>
          <w:sz w:val="21"/>
          <w:szCs w:val="21"/>
        </w:rPr>
        <w:t xml:space="preserve">. </w:t>
      </w:r>
      <w:r w:rsidRPr="00D21BBD">
        <w:rPr>
          <w:rFonts w:ascii="Cambria" w:eastAsia="Cambria" w:hAnsi="Cambria" w:cs="Cambria"/>
          <w:b/>
          <w:color w:val="000000"/>
          <w:sz w:val="21"/>
          <w:szCs w:val="21"/>
        </w:rPr>
        <w:t>Early motherhood is a risk factor for adolescent health, not only because abortion is among the five leading causes of death among women aged 15 and 19, but also because of the increase in suicides among pregnant adolescents</w:t>
      </w:r>
      <w:r w:rsidR="00830A74">
        <w:rPr>
          <w:rFonts w:ascii="Cambria" w:eastAsia="Cambria" w:hAnsi="Cambria" w:cs="Cambria"/>
          <w:color w:val="000000"/>
          <w:sz w:val="21"/>
          <w:szCs w:val="21"/>
          <w:vertAlign w:val="superscript"/>
        </w:rPr>
        <w:footnoteReference w:id="34"/>
      </w:r>
      <w:r w:rsidR="00830A74">
        <w:rPr>
          <w:rFonts w:ascii="Cambria" w:eastAsia="Cambria" w:hAnsi="Cambria" w:cs="Cambria"/>
          <w:color w:val="000000"/>
          <w:sz w:val="21"/>
          <w:szCs w:val="21"/>
        </w:rPr>
        <w:t xml:space="preserve">. </w:t>
      </w:r>
    </w:p>
    <w:p w:rsidR="002D1F37" w:rsidRDefault="002D1F37">
      <w:pPr>
        <w:widowControl/>
        <w:pBdr>
          <w:top w:val="nil"/>
          <w:left w:val="nil"/>
          <w:bottom w:val="nil"/>
          <w:right w:val="nil"/>
          <w:between w:val="nil"/>
        </w:pBdr>
        <w:tabs>
          <w:tab w:val="left" w:pos="2127"/>
        </w:tabs>
        <w:spacing w:after="0"/>
        <w:ind w:left="720"/>
        <w:jc w:val="both"/>
        <w:rPr>
          <w:rFonts w:ascii="Cambria" w:eastAsia="Cambria" w:hAnsi="Cambria" w:cs="Cambria"/>
          <w:color w:val="000000"/>
          <w:sz w:val="21"/>
          <w:szCs w:val="21"/>
        </w:rPr>
      </w:pPr>
    </w:p>
    <w:p w:rsidR="002D1F37" w:rsidRDefault="00B6371D" w:rsidP="00B6371D">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B6371D">
        <w:rPr>
          <w:rFonts w:ascii="Cambria" w:eastAsia="Cambria" w:hAnsi="Cambria" w:cs="Cambria"/>
          <w:color w:val="000000"/>
          <w:sz w:val="21"/>
          <w:szCs w:val="21"/>
        </w:rPr>
        <w:t xml:space="preserve">Among the causes of MM in adolescents are: </w:t>
      </w:r>
      <w:r w:rsidRPr="00B6371D">
        <w:rPr>
          <w:rFonts w:ascii="Cambria" w:eastAsia="Cambria" w:hAnsi="Cambria" w:cs="Cambria"/>
          <w:b/>
          <w:color w:val="000000"/>
          <w:sz w:val="21"/>
          <w:szCs w:val="21"/>
        </w:rPr>
        <w:t>delay in seeking health services and barriers to finding health services to treat them</w:t>
      </w:r>
      <w:r w:rsidRPr="00B6371D">
        <w:rPr>
          <w:rFonts w:ascii="Cambria" w:eastAsia="Cambria" w:hAnsi="Cambria" w:cs="Cambria"/>
          <w:color w:val="000000"/>
          <w:sz w:val="21"/>
          <w:szCs w:val="21"/>
        </w:rPr>
        <w:t>.</w:t>
      </w:r>
      <w:r>
        <w:rPr>
          <w:rFonts w:ascii="Cambria" w:eastAsia="Cambria" w:hAnsi="Cambria" w:cs="Cambria"/>
          <w:color w:val="000000"/>
          <w:sz w:val="21"/>
          <w:szCs w:val="21"/>
        </w:rPr>
        <w:t xml:space="preserve"> </w:t>
      </w:r>
      <w:r w:rsidRPr="00B6371D">
        <w:rPr>
          <w:rFonts w:ascii="Cambria" w:eastAsia="Cambria" w:hAnsi="Cambria" w:cs="Cambria"/>
          <w:color w:val="000000"/>
          <w:sz w:val="21"/>
          <w:szCs w:val="21"/>
        </w:rPr>
        <w:t>Delays in health care are associated, among others, with the lack of availability of services due to non-compliance with service hours; lack of trained personnel; non-compliance with protocols and, many times, this delay is imposed as a "punishment</w:t>
      </w:r>
      <w:r w:rsidR="00830A74">
        <w:rPr>
          <w:rFonts w:ascii="Cambria" w:eastAsia="Cambria" w:hAnsi="Cambria" w:cs="Cambria"/>
          <w:color w:val="000000"/>
          <w:sz w:val="21"/>
          <w:szCs w:val="21"/>
        </w:rPr>
        <w:t>”</w:t>
      </w:r>
      <w:r w:rsidR="00830A74">
        <w:rPr>
          <w:rFonts w:ascii="Cambria" w:eastAsia="Cambria" w:hAnsi="Cambria" w:cs="Cambria"/>
          <w:color w:val="000000"/>
          <w:sz w:val="21"/>
          <w:szCs w:val="21"/>
          <w:vertAlign w:val="superscript"/>
        </w:rPr>
        <w:footnoteReference w:id="35"/>
      </w:r>
      <w:r w:rsidR="00830A74">
        <w:rPr>
          <w:rFonts w:ascii="Cambria" w:eastAsia="Cambria" w:hAnsi="Cambria" w:cs="Cambria"/>
          <w:color w:val="000000"/>
          <w:sz w:val="21"/>
          <w:szCs w:val="21"/>
        </w:rPr>
        <w:t>.</w:t>
      </w:r>
    </w:p>
    <w:p w:rsidR="002D1F37" w:rsidRDefault="002D1F37">
      <w:pPr>
        <w:tabs>
          <w:tab w:val="left" w:pos="2127"/>
        </w:tabs>
        <w:spacing w:after="0"/>
        <w:jc w:val="both"/>
        <w:rPr>
          <w:rFonts w:ascii="Cambria" w:eastAsia="Cambria" w:hAnsi="Cambria" w:cs="Cambria"/>
          <w:sz w:val="21"/>
          <w:szCs w:val="21"/>
        </w:rPr>
      </w:pPr>
    </w:p>
    <w:p w:rsidR="002D1F37" w:rsidRDefault="00391012" w:rsidP="005D02D9">
      <w:pPr>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391012">
        <w:rPr>
          <w:rFonts w:ascii="Cambria" w:eastAsia="Cambria" w:hAnsi="Cambria" w:cs="Cambria"/>
          <w:color w:val="000000"/>
          <w:sz w:val="21"/>
          <w:szCs w:val="21"/>
        </w:rPr>
        <w:t>Since the forced continuation of pregnancy</w:t>
      </w:r>
      <w:r w:rsidR="00830A74">
        <w:rPr>
          <w:rFonts w:ascii="Cambria" w:eastAsia="Cambria" w:hAnsi="Cambria" w:cs="Cambria"/>
          <w:color w:val="000000"/>
          <w:sz w:val="21"/>
          <w:szCs w:val="21"/>
          <w:vertAlign w:val="superscript"/>
        </w:rPr>
        <w:footnoteReference w:id="36"/>
      </w:r>
      <w:r w:rsidR="00830A74">
        <w:rPr>
          <w:rFonts w:ascii="Cambria" w:eastAsia="Cambria" w:hAnsi="Cambria" w:cs="Cambria"/>
          <w:color w:val="000000"/>
          <w:sz w:val="21"/>
          <w:szCs w:val="21"/>
        </w:rPr>
        <w:t xml:space="preserve"> </w:t>
      </w:r>
      <w:r w:rsidR="005D02D9" w:rsidRPr="005D02D9">
        <w:rPr>
          <w:rFonts w:ascii="Cambria" w:eastAsia="Cambria" w:hAnsi="Cambria" w:cs="Cambria"/>
          <w:color w:val="000000"/>
          <w:sz w:val="21"/>
          <w:szCs w:val="21"/>
        </w:rPr>
        <w:t>is a form of gender-based violence - which can constitute a form of cruel, inhuman or degrading treatment and even torture</w:t>
      </w:r>
      <w:r w:rsidR="00830A74">
        <w:rPr>
          <w:rFonts w:ascii="Cambria" w:eastAsia="Cambria" w:hAnsi="Cambria" w:cs="Cambria"/>
          <w:color w:val="000000"/>
          <w:sz w:val="21"/>
          <w:szCs w:val="21"/>
        </w:rPr>
        <w:t xml:space="preserve">, </w:t>
      </w:r>
      <w:r w:rsidR="005D02D9">
        <w:rPr>
          <w:rFonts w:ascii="Cambria" w:eastAsia="Cambria" w:hAnsi="Cambria" w:cs="Cambria"/>
          <w:color w:val="000000"/>
          <w:sz w:val="21"/>
          <w:szCs w:val="21"/>
        </w:rPr>
        <w:t xml:space="preserve">  </w:t>
      </w:r>
      <w:r w:rsidR="00830A74">
        <w:rPr>
          <w:rFonts w:ascii="Cambria" w:eastAsia="Cambria" w:hAnsi="Cambria" w:cs="Cambria"/>
          <w:color w:val="000000"/>
          <w:sz w:val="21"/>
          <w:szCs w:val="21"/>
        </w:rPr>
        <w:t xml:space="preserve"> </w:t>
      </w:r>
      <w:r w:rsidR="005D02D9">
        <w:rPr>
          <w:rFonts w:ascii="Cambria" w:eastAsia="Cambria" w:hAnsi="Cambria" w:cs="Cambria"/>
          <w:color w:val="000000"/>
          <w:sz w:val="21"/>
          <w:szCs w:val="21"/>
        </w:rPr>
        <w:t xml:space="preserve"> </w:t>
      </w:r>
      <w:r w:rsidR="005D02D9" w:rsidRPr="005D02D9">
        <w:rPr>
          <w:rFonts w:ascii="Cambria" w:eastAsia="Cambria" w:hAnsi="Cambria" w:cs="Cambria"/>
          <w:color w:val="000000"/>
          <w:sz w:val="21"/>
          <w:szCs w:val="21"/>
        </w:rPr>
        <w:t xml:space="preserve">as </w:t>
      </w:r>
      <w:r w:rsidR="005D02D9" w:rsidRPr="005D02D9">
        <w:rPr>
          <w:rFonts w:ascii="Cambria" w:eastAsia="Cambria" w:hAnsi="Cambria" w:cs="Cambria"/>
          <w:color w:val="000000"/>
          <w:sz w:val="21"/>
          <w:szCs w:val="21"/>
        </w:rPr>
        <w:lastRenderedPageBreak/>
        <w:t>well as discrimination</w:t>
      </w:r>
      <w:r w:rsidR="00830A74">
        <w:rPr>
          <w:rFonts w:ascii="Cambria" w:eastAsia="Cambria" w:hAnsi="Cambria" w:cs="Cambria"/>
          <w:color w:val="000000"/>
          <w:sz w:val="21"/>
          <w:szCs w:val="21"/>
          <w:vertAlign w:val="superscript"/>
        </w:rPr>
        <w:footnoteReference w:id="37"/>
      </w:r>
      <w:r w:rsidR="005D02D9">
        <w:rPr>
          <w:rFonts w:ascii="Cambria" w:eastAsia="Cambria" w:hAnsi="Cambria" w:cs="Cambria"/>
          <w:color w:val="000000"/>
          <w:sz w:val="21"/>
          <w:szCs w:val="21"/>
        </w:rPr>
        <w:t xml:space="preserve">-, </w:t>
      </w:r>
      <w:r w:rsidR="005D02D9" w:rsidRPr="005D02D9">
        <w:rPr>
          <w:rFonts w:ascii="Cambria" w:eastAsia="Cambria" w:hAnsi="Cambria" w:cs="Cambria"/>
          <w:b/>
          <w:color w:val="000000"/>
          <w:sz w:val="21"/>
          <w:szCs w:val="21"/>
        </w:rPr>
        <w:t>the State's inaction to protect migrant girls and adolescents from unwanted pregnancies and MM risks constitutes a clear violation of Articles 7, 9, 10 and 28 of the Convention, under which Peru is obliged to protect all migrant workers and their families against any type of discrimination, as well as torture or cruel, inhuman or degrading treatment; in particular with respect to the right to life and health.</w:t>
      </w:r>
    </w:p>
    <w:p w:rsidR="002D1F37" w:rsidRDefault="005D02D9" w:rsidP="005D02D9">
      <w:pPr>
        <w:pStyle w:val="Ttulo1"/>
        <w:numPr>
          <w:ilvl w:val="0"/>
          <w:numId w:val="5"/>
        </w:numPr>
        <w:spacing w:before="280" w:after="280" w:line="276" w:lineRule="auto"/>
        <w:rPr>
          <w:rFonts w:ascii="Cambria" w:eastAsia="Cambria" w:hAnsi="Cambria" w:cs="Cambria"/>
          <w:sz w:val="21"/>
          <w:szCs w:val="21"/>
        </w:rPr>
      </w:pPr>
      <w:r w:rsidRPr="005D02D9">
        <w:rPr>
          <w:rFonts w:ascii="Cambria" w:eastAsia="Cambria" w:hAnsi="Cambria" w:cs="Cambria"/>
          <w:sz w:val="21"/>
          <w:szCs w:val="21"/>
        </w:rPr>
        <w:t xml:space="preserve">Persistent barriers to access to therapeutic abortion, particularly for survivors of sexual violence </w:t>
      </w:r>
      <w:r>
        <w:rPr>
          <w:rFonts w:ascii="Cambria" w:eastAsia="Cambria" w:hAnsi="Cambria" w:cs="Cambria"/>
          <w:sz w:val="21"/>
          <w:szCs w:val="21"/>
        </w:rPr>
        <w:t xml:space="preserve"> </w:t>
      </w:r>
    </w:p>
    <w:p w:rsidR="002D1F37" w:rsidRDefault="00686605" w:rsidP="00686605">
      <w:pPr>
        <w:numPr>
          <w:ilvl w:val="0"/>
          <w:numId w:val="3"/>
        </w:numPr>
        <w:tabs>
          <w:tab w:val="left" w:pos="2127"/>
        </w:tabs>
        <w:spacing w:after="0"/>
        <w:jc w:val="both"/>
        <w:rPr>
          <w:rFonts w:ascii="Cambria" w:eastAsia="Cambria" w:hAnsi="Cambria" w:cs="Cambria"/>
        </w:rPr>
      </w:pPr>
      <w:r w:rsidRPr="00686605">
        <w:rPr>
          <w:rFonts w:ascii="Cambria" w:eastAsia="Cambria" w:hAnsi="Cambria" w:cs="Cambria"/>
        </w:rPr>
        <w:t>Abortion in Peru is permitted only when the life or health of the woman is at serious and permanent risk</w:t>
      </w:r>
      <w:r>
        <w:rPr>
          <w:rFonts w:ascii="Cambria" w:eastAsia="Cambria" w:hAnsi="Cambria" w:cs="Cambria"/>
          <w:vertAlign w:val="superscript"/>
        </w:rPr>
        <w:footnoteReference w:id="38"/>
      </w:r>
      <w:r w:rsidRPr="00686605">
        <w:rPr>
          <w:rFonts w:ascii="Cambria" w:eastAsia="Cambria" w:hAnsi="Cambria" w:cs="Cambria"/>
        </w:rPr>
        <w:t>, and in cases of congenital malformations and rape it is penalized; although the penal sanction is called "symbolic", it still stigmatizes and confines women to illegality and to resort to clandestine abortions that imply serious risks to their life and health, creating a barrier to access to legal abortion.</w:t>
      </w:r>
    </w:p>
    <w:p w:rsidR="002D1F37" w:rsidRDefault="002D1F37">
      <w:pPr>
        <w:pBdr>
          <w:top w:val="nil"/>
          <w:left w:val="nil"/>
          <w:bottom w:val="nil"/>
          <w:right w:val="nil"/>
          <w:between w:val="nil"/>
        </w:pBdr>
        <w:tabs>
          <w:tab w:val="left" w:pos="2127"/>
        </w:tabs>
        <w:spacing w:after="0"/>
        <w:ind w:left="720"/>
        <w:jc w:val="both"/>
        <w:rPr>
          <w:rFonts w:ascii="Cambria" w:eastAsia="Cambria" w:hAnsi="Cambria" w:cs="Cambria"/>
          <w:color w:val="000000"/>
          <w:sz w:val="21"/>
          <w:szCs w:val="21"/>
        </w:rPr>
      </w:pPr>
    </w:p>
    <w:p w:rsidR="002D1F37" w:rsidRDefault="00686605" w:rsidP="00686605">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686605">
        <w:rPr>
          <w:rFonts w:ascii="Cambria" w:eastAsia="Cambria" w:hAnsi="Cambria" w:cs="Cambria"/>
          <w:color w:val="000000"/>
          <w:sz w:val="21"/>
          <w:szCs w:val="21"/>
        </w:rPr>
        <w:t>Following the decisions in K.L v. Peru</w:t>
      </w:r>
      <w:r w:rsidR="00830A74">
        <w:rPr>
          <w:rFonts w:ascii="Cambria" w:eastAsia="Cambria" w:hAnsi="Cambria" w:cs="Cambria"/>
          <w:color w:val="000000"/>
          <w:sz w:val="21"/>
          <w:szCs w:val="21"/>
          <w:vertAlign w:val="superscript"/>
        </w:rPr>
        <w:footnoteReference w:id="39"/>
      </w:r>
      <w:r w:rsidR="00830A74">
        <w:rPr>
          <w:rFonts w:ascii="Cambria" w:eastAsia="Cambria" w:hAnsi="Cambria" w:cs="Cambria"/>
          <w:color w:val="000000"/>
          <w:sz w:val="21"/>
          <w:szCs w:val="21"/>
        </w:rPr>
        <w:t xml:space="preserve"> </w:t>
      </w:r>
      <w:r w:rsidRPr="00686605">
        <w:rPr>
          <w:rFonts w:ascii="Cambria" w:eastAsia="Cambria" w:hAnsi="Cambria" w:cs="Cambria"/>
          <w:color w:val="000000"/>
          <w:sz w:val="21"/>
          <w:szCs w:val="21"/>
        </w:rPr>
        <w:t>and L.C v. Peru (2011), in 2014 Peru finally promulgated the "National Technical Guide for the Standardization of the Procedure for the Comprehensive Care of the Pregnant Woman in the Voluntary Interruption for Therapeutic Indication of pregnancy under 22 weeks with informed consent in the framework of the provisions of Article 119 of the Criminal Code" (hereinafter the "Technical Guide" or "Guide")</w:t>
      </w:r>
      <w:r w:rsidR="00830A74">
        <w:rPr>
          <w:rFonts w:ascii="Cambria" w:eastAsia="Cambria" w:hAnsi="Cambria" w:cs="Cambria"/>
          <w:color w:val="000000"/>
          <w:sz w:val="21"/>
          <w:szCs w:val="21"/>
          <w:vertAlign w:val="superscript"/>
        </w:rPr>
        <w:footnoteReference w:id="40"/>
      </w:r>
      <w:r w:rsidR="00830A74">
        <w:rPr>
          <w:rFonts w:ascii="Cambria" w:eastAsia="Cambria" w:hAnsi="Cambria" w:cs="Cambria"/>
          <w:color w:val="000000"/>
          <w:sz w:val="21"/>
          <w:szCs w:val="21"/>
        </w:rPr>
        <w:t xml:space="preserve">. </w:t>
      </w:r>
      <w:r w:rsidRPr="00686605">
        <w:rPr>
          <w:rFonts w:ascii="Cambria" w:eastAsia="Cambria" w:hAnsi="Cambria" w:cs="Cambria"/>
          <w:color w:val="000000"/>
          <w:sz w:val="21"/>
          <w:szCs w:val="21"/>
        </w:rPr>
        <w:t>However, there is a lawsuit filed by the Asociación Centro de Estudios Jurídicos Santo Tomás Moro (St. Thomas More Center for Legal Studies Association) to have the Guide declared unconstitutional. The Supreme Court is pending the hearing of the case.</w:t>
      </w:r>
    </w:p>
    <w:p w:rsidR="002D1F37" w:rsidRDefault="002D1F37">
      <w:pPr>
        <w:pBdr>
          <w:top w:val="nil"/>
          <w:left w:val="nil"/>
          <w:bottom w:val="nil"/>
          <w:right w:val="nil"/>
          <w:between w:val="nil"/>
        </w:pBdr>
        <w:spacing w:after="0"/>
        <w:ind w:left="720"/>
        <w:rPr>
          <w:rFonts w:ascii="Cambria" w:eastAsia="Cambria" w:hAnsi="Cambria" w:cs="Cambria"/>
          <w:color w:val="000000"/>
          <w:sz w:val="21"/>
          <w:szCs w:val="21"/>
        </w:rPr>
      </w:pPr>
    </w:p>
    <w:p w:rsidR="002D1F37" w:rsidRDefault="00686605" w:rsidP="00686605">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686605">
        <w:rPr>
          <w:rFonts w:ascii="Cambria" w:eastAsia="Cambria" w:hAnsi="Cambria" w:cs="Cambria"/>
          <w:color w:val="000000"/>
          <w:sz w:val="21"/>
          <w:szCs w:val="21"/>
        </w:rPr>
        <w:t xml:space="preserve">The processes of judicialization of the sexual and reproductive rights of women, girls and adolescents -such as those of the AOE and the Guide- not only imply the denial of the Peruvian State's duty to effectively protect and guarantee these rights, but also that women, girls and adolescents are forced to carry unwanted pregnancies to term and see their risk of maternal mortality increase.  </w:t>
      </w:r>
      <w:r w:rsidR="00830A74">
        <w:rPr>
          <w:rFonts w:ascii="Cambria" w:eastAsia="Cambria" w:hAnsi="Cambria" w:cs="Cambria"/>
          <w:color w:val="000000"/>
          <w:sz w:val="21"/>
          <w:szCs w:val="21"/>
        </w:rPr>
        <w:t xml:space="preserve">  </w:t>
      </w:r>
    </w:p>
    <w:p w:rsidR="002D1F37" w:rsidRDefault="002D1F37">
      <w:pPr>
        <w:pBdr>
          <w:top w:val="nil"/>
          <w:left w:val="nil"/>
          <w:bottom w:val="nil"/>
          <w:right w:val="nil"/>
          <w:between w:val="nil"/>
        </w:pBdr>
        <w:spacing w:after="0"/>
        <w:ind w:left="720"/>
        <w:rPr>
          <w:rFonts w:ascii="Cambria" w:eastAsia="Cambria" w:hAnsi="Cambria" w:cs="Cambria"/>
          <w:color w:val="000000"/>
          <w:sz w:val="21"/>
          <w:szCs w:val="21"/>
        </w:rPr>
      </w:pPr>
    </w:p>
    <w:p w:rsidR="002D1F37" w:rsidRDefault="00686605" w:rsidP="00686605">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686605">
        <w:rPr>
          <w:rFonts w:ascii="Cambria" w:eastAsia="Cambria" w:hAnsi="Cambria" w:cs="Cambria"/>
          <w:color w:val="000000"/>
          <w:sz w:val="21"/>
          <w:szCs w:val="21"/>
        </w:rPr>
        <w:t>Between 2018 and 2020, 226 women who accessed a termination of pregnancy for therapeutic indication, of which 17 were practiced on women under 20 years</w:t>
      </w:r>
      <w:r w:rsidR="00830A74">
        <w:rPr>
          <w:rFonts w:ascii="Cambria" w:eastAsia="Cambria" w:hAnsi="Cambria" w:cs="Cambria"/>
          <w:color w:val="000000"/>
          <w:sz w:val="21"/>
          <w:szCs w:val="21"/>
          <w:vertAlign w:val="superscript"/>
        </w:rPr>
        <w:footnoteReference w:id="41"/>
      </w:r>
      <w:r w:rsidR="00830A74">
        <w:rPr>
          <w:rFonts w:ascii="Cambria" w:eastAsia="Cambria" w:hAnsi="Cambria" w:cs="Cambria"/>
          <w:color w:val="000000"/>
          <w:sz w:val="21"/>
          <w:szCs w:val="21"/>
        </w:rPr>
        <w:t xml:space="preserve">. </w:t>
      </w:r>
      <w:r w:rsidRPr="00686605">
        <w:rPr>
          <w:rFonts w:ascii="Cambria" w:eastAsia="Cambria" w:hAnsi="Cambria" w:cs="Cambria"/>
          <w:color w:val="000000"/>
          <w:sz w:val="21"/>
          <w:szCs w:val="21"/>
        </w:rPr>
        <w:t xml:space="preserve">Unfortunately, the absence of updated public information disaggregated by variables </w:t>
      </w:r>
      <w:r w:rsidRPr="00686605">
        <w:rPr>
          <w:rFonts w:ascii="Cambria" w:eastAsia="Cambria" w:hAnsi="Cambria" w:cs="Cambria"/>
          <w:color w:val="000000"/>
          <w:sz w:val="21"/>
          <w:szCs w:val="21"/>
        </w:rPr>
        <w:lastRenderedPageBreak/>
        <w:t xml:space="preserve">such as nationality and migratory status makes it impossible to know how many migrant women accessed or were denied access to this service. </w:t>
      </w:r>
      <w:r w:rsidR="00830A74">
        <w:rPr>
          <w:rFonts w:ascii="Cambria" w:eastAsia="Cambria" w:hAnsi="Cambria" w:cs="Cambria"/>
          <w:color w:val="000000"/>
          <w:sz w:val="21"/>
          <w:szCs w:val="21"/>
        </w:rPr>
        <w:t xml:space="preserve"> </w:t>
      </w:r>
    </w:p>
    <w:p w:rsidR="002D1F37" w:rsidRDefault="002D1F37">
      <w:pPr>
        <w:widowControl/>
        <w:pBdr>
          <w:top w:val="nil"/>
          <w:left w:val="nil"/>
          <w:bottom w:val="nil"/>
          <w:right w:val="nil"/>
          <w:between w:val="nil"/>
        </w:pBdr>
        <w:spacing w:after="0"/>
        <w:jc w:val="both"/>
        <w:rPr>
          <w:rFonts w:ascii="Cambria" w:eastAsia="Cambria" w:hAnsi="Cambria" w:cs="Cambria"/>
          <w:color w:val="000000"/>
          <w:sz w:val="21"/>
          <w:szCs w:val="21"/>
        </w:rPr>
      </w:pPr>
    </w:p>
    <w:p w:rsidR="002D1F37" w:rsidRDefault="00686605" w:rsidP="009A2F63">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686605">
        <w:rPr>
          <w:rFonts w:ascii="Cambria" w:eastAsia="Cambria" w:hAnsi="Cambria" w:cs="Cambria"/>
          <w:color w:val="000000"/>
          <w:sz w:val="21"/>
          <w:szCs w:val="21"/>
        </w:rPr>
        <w:t>On April 17, 2019, the Protocol for joint action between CEMs and health facilities (EE.SS.) for the care of victims of viol</w:t>
      </w:r>
      <w:r>
        <w:rPr>
          <w:rFonts w:ascii="Cambria" w:eastAsia="Cambria" w:hAnsi="Cambria" w:cs="Cambria"/>
          <w:color w:val="000000"/>
          <w:sz w:val="21"/>
          <w:szCs w:val="21"/>
        </w:rPr>
        <w:t>ence against women was approved</w:t>
      </w:r>
      <w:r w:rsidR="00830A74">
        <w:rPr>
          <w:rFonts w:ascii="Cambria" w:eastAsia="Cambria" w:hAnsi="Cambria" w:cs="Cambria"/>
          <w:color w:val="000000"/>
          <w:sz w:val="21"/>
          <w:szCs w:val="21"/>
          <w:vertAlign w:val="superscript"/>
        </w:rPr>
        <w:footnoteReference w:id="42"/>
      </w:r>
      <w:r w:rsidR="00830A74">
        <w:rPr>
          <w:rFonts w:ascii="Cambria" w:eastAsia="Cambria" w:hAnsi="Cambria" w:cs="Cambria"/>
          <w:color w:val="000000"/>
          <w:sz w:val="21"/>
          <w:szCs w:val="21"/>
        </w:rPr>
        <w:t xml:space="preserve">, </w:t>
      </w:r>
      <w:r w:rsidR="009A2F63" w:rsidRPr="009A2F63">
        <w:rPr>
          <w:rFonts w:ascii="Cambria" w:eastAsia="Cambria" w:hAnsi="Cambria" w:cs="Cambria"/>
          <w:color w:val="000000"/>
          <w:sz w:val="21"/>
          <w:szCs w:val="21"/>
        </w:rPr>
        <w:t>which includes the assessment of the affectation that a pregnancy resulting from rape produces in order to offer and guarantee a therapeutic abortion.</w:t>
      </w:r>
      <w:r w:rsidR="00830A74">
        <w:rPr>
          <w:rFonts w:ascii="Cambria" w:eastAsia="Cambria" w:hAnsi="Cambria" w:cs="Cambria"/>
          <w:color w:val="000000"/>
          <w:sz w:val="21"/>
          <w:szCs w:val="21"/>
        </w:rPr>
        <w:t xml:space="preserve"> </w:t>
      </w:r>
      <w:r w:rsidR="009A2F63" w:rsidRPr="009A2F63">
        <w:rPr>
          <w:rFonts w:ascii="Cambria" w:eastAsia="Cambria" w:hAnsi="Cambria" w:cs="Cambria"/>
          <w:color w:val="000000"/>
          <w:sz w:val="21"/>
          <w:szCs w:val="21"/>
        </w:rPr>
        <w:t xml:space="preserve">However, </w:t>
      </w:r>
      <w:r w:rsidR="009A2F63" w:rsidRPr="009A2F63">
        <w:rPr>
          <w:rFonts w:ascii="Cambria" w:eastAsia="Cambria" w:hAnsi="Cambria" w:cs="Cambria"/>
          <w:b/>
          <w:color w:val="000000"/>
          <w:sz w:val="21"/>
          <w:szCs w:val="21"/>
        </w:rPr>
        <w:t>the indication to guarantee access to therapeutic abortion is not an integral part of the regulations, leaving the access to this right to the discretion of the officials</w:t>
      </w:r>
      <w:r w:rsidR="009A2F63" w:rsidRPr="009A2F63">
        <w:rPr>
          <w:rFonts w:ascii="Cambria" w:eastAsia="Cambria" w:hAnsi="Cambria" w:cs="Cambria"/>
          <w:color w:val="000000"/>
          <w:sz w:val="21"/>
          <w:szCs w:val="21"/>
        </w:rPr>
        <w:t>. The lack of coordination between the MEC and the SS generates episodes of revictimization and hinders the access of victims to their right to health</w:t>
      </w:r>
      <w:r w:rsidR="009A2F63">
        <w:rPr>
          <w:rFonts w:ascii="Cambria" w:eastAsia="Cambria" w:hAnsi="Cambria" w:cs="Cambria"/>
          <w:color w:val="000000"/>
          <w:sz w:val="21"/>
          <w:szCs w:val="21"/>
        </w:rPr>
        <w:t>.</w:t>
      </w:r>
    </w:p>
    <w:p w:rsidR="002D1F37" w:rsidRDefault="002D1F37">
      <w:pPr>
        <w:widowControl/>
        <w:pBdr>
          <w:top w:val="nil"/>
          <w:left w:val="nil"/>
          <w:bottom w:val="nil"/>
          <w:right w:val="nil"/>
          <w:between w:val="nil"/>
        </w:pBdr>
        <w:spacing w:after="0"/>
        <w:jc w:val="both"/>
        <w:rPr>
          <w:rFonts w:ascii="Cambria" w:eastAsia="Cambria" w:hAnsi="Cambria" w:cs="Cambria"/>
          <w:color w:val="000000"/>
          <w:sz w:val="21"/>
          <w:szCs w:val="21"/>
        </w:rPr>
      </w:pPr>
    </w:p>
    <w:p w:rsidR="002D1F37" w:rsidRDefault="001647DB" w:rsidP="001647DB">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1647DB">
        <w:rPr>
          <w:rFonts w:ascii="Cambria" w:eastAsia="Cambria" w:hAnsi="Cambria" w:cs="Cambria"/>
          <w:color w:val="000000"/>
          <w:sz w:val="21"/>
          <w:szCs w:val="21"/>
        </w:rPr>
        <w:t xml:space="preserve">Likewise, there are structural barriers that in </w:t>
      </w:r>
      <w:r w:rsidRPr="001647DB">
        <w:rPr>
          <w:rFonts w:ascii="Cambria" w:eastAsia="Cambria" w:hAnsi="Cambria" w:cs="Cambria"/>
          <w:b/>
          <w:color w:val="000000"/>
          <w:sz w:val="21"/>
          <w:szCs w:val="21"/>
        </w:rPr>
        <w:t>practice do not allow effective access to therapeutic abortion for women and girls, with special aggravation for survivors of sexual violence</w:t>
      </w:r>
      <w:r w:rsidRPr="001647DB">
        <w:rPr>
          <w:rFonts w:ascii="Cambria" w:eastAsia="Cambria" w:hAnsi="Cambria" w:cs="Cambria"/>
          <w:color w:val="000000"/>
          <w:sz w:val="21"/>
          <w:szCs w:val="21"/>
        </w:rPr>
        <w:t xml:space="preserve">. Of the few services that provided therapeutic abortion services, which do not exceed 10 at the national level, in the </w:t>
      </w:r>
      <w:r w:rsidRPr="001647DB">
        <w:rPr>
          <w:rFonts w:ascii="Cambria" w:eastAsia="Cambria" w:hAnsi="Cambria" w:cs="Cambria"/>
          <w:b/>
          <w:color w:val="000000"/>
          <w:sz w:val="21"/>
          <w:szCs w:val="21"/>
        </w:rPr>
        <w:t>context of the health emergency</w:t>
      </w:r>
      <w:r w:rsidRPr="001647DB">
        <w:rPr>
          <w:rFonts w:ascii="Cambria" w:eastAsia="Cambria" w:hAnsi="Cambria" w:cs="Cambria"/>
          <w:color w:val="000000"/>
          <w:sz w:val="21"/>
          <w:szCs w:val="21"/>
        </w:rPr>
        <w:t xml:space="preserve"> have been reduced to only 1, generating the inaccessibility of an essential service for those girls and adolescents who have been forced to continue a pregnancy resulting from rape.</w:t>
      </w:r>
    </w:p>
    <w:p w:rsidR="002D1F37" w:rsidRDefault="002D1F37">
      <w:pPr>
        <w:widowControl/>
        <w:pBdr>
          <w:top w:val="nil"/>
          <w:left w:val="nil"/>
          <w:bottom w:val="nil"/>
          <w:right w:val="nil"/>
          <w:between w:val="nil"/>
        </w:pBdr>
        <w:spacing w:after="0"/>
        <w:jc w:val="both"/>
        <w:rPr>
          <w:rFonts w:ascii="Cambria" w:eastAsia="Cambria" w:hAnsi="Cambria" w:cs="Cambria"/>
          <w:color w:val="000000"/>
          <w:sz w:val="21"/>
          <w:szCs w:val="21"/>
        </w:rPr>
      </w:pPr>
    </w:p>
    <w:p w:rsidR="002D1F37" w:rsidRDefault="0062634C" w:rsidP="0062634C">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62634C">
        <w:rPr>
          <w:rFonts w:ascii="Cambria" w:eastAsia="Cambria" w:hAnsi="Cambria" w:cs="Cambria"/>
          <w:color w:val="000000"/>
          <w:sz w:val="21"/>
          <w:szCs w:val="21"/>
        </w:rPr>
        <w:t>During the declaration of the pandemic by COVID-19, the State has promulgated meager policies, norms and/or directives on the guarantee and protection of sexual and reproductive rights</w:t>
      </w:r>
      <w:r w:rsidR="00830A74">
        <w:rPr>
          <w:rFonts w:ascii="Cambria" w:eastAsia="Cambria" w:hAnsi="Cambria" w:cs="Cambria"/>
          <w:color w:val="000000"/>
          <w:vertAlign w:val="superscript"/>
        </w:rPr>
        <w:footnoteReference w:id="43"/>
      </w:r>
      <w:r>
        <w:rPr>
          <w:rFonts w:ascii="Cambria" w:eastAsia="Cambria" w:hAnsi="Cambria" w:cs="Cambria"/>
        </w:rPr>
        <w:t>.</w:t>
      </w:r>
      <w:r w:rsidRPr="0062634C">
        <w:rPr>
          <w:rFonts w:ascii="Cambria" w:eastAsia="Cambria" w:hAnsi="Cambria" w:cs="Cambria"/>
          <w:color w:val="000000"/>
          <w:sz w:val="21"/>
          <w:szCs w:val="21"/>
        </w:rPr>
        <w:t xml:space="preserve"> As of August 28, 2020, the Ministry of Health issued 183 norms, and only two of them refer to sexual and reproductive services. This shows that for the State, essential and urgent sexual and reproductive health services for women, girls and adolescents are not a priority. In addition, not all of these norms recognize migrant women, girls and adolescents as a group of special protection.</w:t>
      </w:r>
    </w:p>
    <w:p w:rsidR="002D1F37" w:rsidRDefault="002D1F37">
      <w:pPr>
        <w:widowControl/>
        <w:pBdr>
          <w:top w:val="nil"/>
          <w:left w:val="nil"/>
          <w:bottom w:val="nil"/>
          <w:right w:val="nil"/>
          <w:between w:val="nil"/>
        </w:pBdr>
        <w:spacing w:after="0"/>
        <w:ind w:left="720"/>
        <w:jc w:val="both"/>
        <w:rPr>
          <w:rFonts w:ascii="Cambria" w:eastAsia="Cambria" w:hAnsi="Cambria" w:cs="Cambria"/>
          <w:color w:val="000000"/>
          <w:sz w:val="21"/>
          <w:szCs w:val="21"/>
        </w:rPr>
      </w:pPr>
    </w:p>
    <w:p w:rsidR="002D1F37" w:rsidRPr="008078A7" w:rsidRDefault="008078A7" w:rsidP="008078A7">
      <w:pPr>
        <w:widowControl/>
        <w:numPr>
          <w:ilvl w:val="0"/>
          <w:numId w:val="3"/>
        </w:numPr>
        <w:pBdr>
          <w:top w:val="nil"/>
          <w:left w:val="nil"/>
          <w:bottom w:val="nil"/>
          <w:right w:val="nil"/>
          <w:between w:val="nil"/>
        </w:pBdr>
        <w:spacing w:after="0"/>
        <w:jc w:val="both"/>
        <w:rPr>
          <w:rFonts w:ascii="Cambria" w:eastAsia="Cambria" w:hAnsi="Cambria" w:cs="Cambria"/>
          <w:color w:val="000000"/>
          <w:sz w:val="21"/>
          <w:szCs w:val="21"/>
          <w:highlight w:val="white"/>
        </w:rPr>
      </w:pPr>
      <w:r w:rsidRPr="008078A7">
        <w:rPr>
          <w:rFonts w:ascii="Cambria" w:eastAsia="Cambria" w:hAnsi="Cambria" w:cs="Cambria"/>
          <w:sz w:val="21"/>
          <w:szCs w:val="21"/>
        </w:rPr>
        <w:t>An example of this is Health Directive No. 94-MINSA/2020/DGIESP, which only states that "the termination of pregnancy should be assessed at any time, in case the life of the pregnant woman infected with COVID-19 is at risk</w:t>
      </w:r>
      <w:r w:rsidR="00830A74" w:rsidRPr="008078A7">
        <w:rPr>
          <w:rFonts w:ascii="Cambria" w:eastAsia="Cambria" w:hAnsi="Cambria" w:cs="Cambria"/>
          <w:color w:val="000000"/>
          <w:sz w:val="21"/>
          <w:szCs w:val="21"/>
        </w:rPr>
        <w:t>”</w:t>
      </w:r>
      <w:r w:rsidR="00830A74">
        <w:rPr>
          <w:rFonts w:ascii="Cambria" w:eastAsia="Cambria" w:hAnsi="Cambria" w:cs="Cambria"/>
          <w:color w:val="000000"/>
          <w:sz w:val="21"/>
          <w:szCs w:val="21"/>
          <w:vertAlign w:val="superscript"/>
        </w:rPr>
        <w:footnoteReference w:id="44"/>
      </w:r>
      <w:r w:rsidR="00830A74" w:rsidRPr="008078A7">
        <w:rPr>
          <w:rFonts w:ascii="Cambria" w:eastAsia="Cambria" w:hAnsi="Cambria" w:cs="Cambria"/>
          <w:color w:val="000000"/>
          <w:sz w:val="21"/>
          <w:szCs w:val="21"/>
        </w:rPr>
        <w:t xml:space="preserve">. </w:t>
      </w:r>
      <w:r w:rsidRPr="008078A7">
        <w:rPr>
          <w:rFonts w:ascii="Cambria" w:eastAsia="Cambria" w:hAnsi="Cambria" w:cs="Cambria"/>
          <w:color w:val="000000"/>
          <w:sz w:val="21"/>
          <w:szCs w:val="21"/>
        </w:rPr>
        <w:t>In other words, this will be "assessed" only when the life of the pregnant woman is at risk, leaving out cases of health risk, in contravention of the Technical Guide (2014) and the Penal Code. Likewise, access is restricted only to women with COVID-19, leaving pregnant women without COVID-19 who present risks to their life and health totally unprotected.  Finally, the law does not consider migrant women, girls and adolescents as a group of special protection.</w:t>
      </w:r>
    </w:p>
    <w:p w:rsidR="008078A7" w:rsidRPr="008078A7" w:rsidRDefault="008078A7" w:rsidP="008078A7">
      <w:pPr>
        <w:widowControl/>
        <w:pBdr>
          <w:top w:val="nil"/>
          <w:left w:val="nil"/>
          <w:bottom w:val="nil"/>
          <w:right w:val="nil"/>
          <w:between w:val="nil"/>
        </w:pBdr>
        <w:spacing w:after="0"/>
        <w:jc w:val="both"/>
        <w:rPr>
          <w:rFonts w:ascii="Cambria" w:eastAsia="Cambria" w:hAnsi="Cambria" w:cs="Cambria"/>
          <w:color w:val="000000"/>
          <w:sz w:val="21"/>
          <w:szCs w:val="21"/>
          <w:highlight w:val="white"/>
        </w:rPr>
      </w:pPr>
    </w:p>
    <w:p w:rsidR="002D1F37" w:rsidRDefault="008078A7" w:rsidP="008078A7">
      <w:pPr>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8078A7">
        <w:rPr>
          <w:rFonts w:ascii="Cambria" w:eastAsia="Cambria" w:hAnsi="Cambria" w:cs="Cambria"/>
          <w:b/>
          <w:color w:val="000000"/>
          <w:sz w:val="21"/>
          <w:szCs w:val="21"/>
        </w:rPr>
        <w:lastRenderedPageBreak/>
        <w:t>Thus, the context described here shows that there are still structural barriers that in practice do not allow effective access to therapeutic abortion for women and girls, with special aggravation for survivors of sexual violence. Thus, the rights to non-discrimination, life and health of women, girls and adolescents contained in articles 7, 9 and 28 of the Convention are violated.</w:t>
      </w:r>
    </w:p>
    <w:p w:rsidR="002D1F37" w:rsidRDefault="008078A7" w:rsidP="008078A7">
      <w:pPr>
        <w:pStyle w:val="Ttulo1"/>
        <w:numPr>
          <w:ilvl w:val="0"/>
          <w:numId w:val="5"/>
        </w:numPr>
        <w:spacing w:before="280" w:after="280" w:line="276" w:lineRule="auto"/>
        <w:rPr>
          <w:rFonts w:ascii="Cambria" w:eastAsia="Cambria" w:hAnsi="Cambria" w:cs="Cambria"/>
          <w:sz w:val="21"/>
          <w:szCs w:val="21"/>
        </w:rPr>
      </w:pPr>
      <w:bookmarkStart w:id="3" w:name="_heading=h.30j0zll" w:colFirst="0" w:colLast="0"/>
      <w:bookmarkEnd w:id="3"/>
      <w:r w:rsidRPr="008078A7">
        <w:rPr>
          <w:rFonts w:ascii="Cambria" w:eastAsia="Cambria" w:hAnsi="Cambria" w:cs="Cambria"/>
          <w:sz w:val="21"/>
          <w:szCs w:val="21"/>
        </w:rPr>
        <w:t>Criminalization of women for abortion: obligatory reporting by the health services</w:t>
      </w:r>
      <w:r w:rsidR="00830A74">
        <w:rPr>
          <w:rFonts w:ascii="Cambria" w:eastAsia="Cambria" w:hAnsi="Cambria" w:cs="Cambria"/>
          <w:sz w:val="21"/>
          <w:szCs w:val="21"/>
        </w:rPr>
        <w:t xml:space="preserve"> </w:t>
      </w:r>
      <w:r>
        <w:rPr>
          <w:rFonts w:ascii="Cambria" w:eastAsia="Cambria" w:hAnsi="Cambria" w:cs="Cambria"/>
          <w:sz w:val="21"/>
          <w:szCs w:val="21"/>
        </w:rPr>
        <w:t xml:space="preserve"> </w:t>
      </w:r>
    </w:p>
    <w:p w:rsidR="002D1F37" w:rsidRDefault="00494C8B" w:rsidP="00494C8B">
      <w:pPr>
        <w:widowControl/>
        <w:numPr>
          <w:ilvl w:val="0"/>
          <w:numId w:val="3"/>
        </w:numPr>
        <w:pBdr>
          <w:top w:val="nil"/>
          <w:left w:val="nil"/>
          <w:bottom w:val="nil"/>
          <w:right w:val="nil"/>
          <w:between w:val="nil"/>
        </w:pBdr>
        <w:tabs>
          <w:tab w:val="left" w:pos="2127"/>
        </w:tabs>
        <w:spacing w:after="0"/>
        <w:jc w:val="both"/>
        <w:rPr>
          <w:rFonts w:ascii="Cambria" w:eastAsia="Cambria" w:hAnsi="Cambria" w:cs="Cambria"/>
          <w:sz w:val="21"/>
          <w:szCs w:val="21"/>
        </w:rPr>
      </w:pPr>
      <w:r w:rsidRPr="00494C8B">
        <w:rPr>
          <w:rFonts w:ascii="Cambria" w:eastAsia="Cambria" w:hAnsi="Cambria" w:cs="Cambria"/>
          <w:color w:val="000000"/>
          <w:sz w:val="21"/>
          <w:szCs w:val="21"/>
        </w:rPr>
        <w:t>In Peru, abortion continues to be criminalized in cases of rape and malformations incompatible with extrauterine life</w:t>
      </w:r>
      <w:r w:rsidR="00830A74">
        <w:rPr>
          <w:rFonts w:ascii="Cambria" w:eastAsia="Cambria" w:hAnsi="Cambria" w:cs="Cambria"/>
          <w:color w:val="000000"/>
          <w:sz w:val="21"/>
          <w:szCs w:val="21"/>
          <w:vertAlign w:val="superscript"/>
        </w:rPr>
        <w:footnoteReference w:id="45"/>
      </w:r>
      <w:r w:rsidR="00830A74">
        <w:rPr>
          <w:rFonts w:ascii="Cambria" w:eastAsia="Cambria" w:hAnsi="Cambria" w:cs="Cambria"/>
          <w:color w:val="000000"/>
          <w:sz w:val="21"/>
          <w:szCs w:val="21"/>
        </w:rPr>
        <w:t xml:space="preserve">. </w:t>
      </w:r>
      <w:r w:rsidRPr="00494C8B">
        <w:rPr>
          <w:rFonts w:ascii="Cambria" w:eastAsia="Cambria" w:hAnsi="Cambria" w:cs="Cambria"/>
          <w:color w:val="000000"/>
          <w:sz w:val="21"/>
          <w:szCs w:val="21"/>
        </w:rPr>
        <w:t>As a result, almost 350,000 clandestine abortions are performed annually, mostly in unhygienic and dangerous conditions</w:t>
      </w:r>
      <w:r w:rsidR="00830A74">
        <w:rPr>
          <w:rFonts w:ascii="Cambria" w:eastAsia="Cambria" w:hAnsi="Cambria" w:cs="Cambria"/>
          <w:color w:val="000000"/>
          <w:sz w:val="21"/>
          <w:szCs w:val="21"/>
          <w:vertAlign w:val="superscript"/>
        </w:rPr>
        <w:footnoteReference w:id="46"/>
      </w:r>
      <w:r w:rsidR="00830A74">
        <w:rPr>
          <w:rFonts w:ascii="Cambria" w:eastAsia="Cambria" w:hAnsi="Cambria" w:cs="Cambria"/>
          <w:color w:val="000000"/>
          <w:sz w:val="21"/>
          <w:szCs w:val="21"/>
        </w:rPr>
        <w:t xml:space="preserve">. </w:t>
      </w:r>
      <w:r w:rsidRPr="00494C8B">
        <w:rPr>
          <w:rFonts w:ascii="Cambria" w:eastAsia="Cambria" w:hAnsi="Cambria" w:cs="Cambria"/>
          <w:color w:val="000000"/>
          <w:sz w:val="21"/>
          <w:szCs w:val="21"/>
        </w:rPr>
        <w:t>Each year, nearly 65,000 people are hospitalized and 800 of them die as a result of</w:t>
      </w:r>
      <w:r>
        <w:rPr>
          <w:rFonts w:ascii="Cambria" w:eastAsia="Cambria" w:hAnsi="Cambria" w:cs="Cambria"/>
          <w:color w:val="000000"/>
          <w:sz w:val="21"/>
          <w:szCs w:val="21"/>
        </w:rPr>
        <w:t xml:space="preserve"> abortion-related complications</w:t>
      </w:r>
      <w:r w:rsidR="00830A74">
        <w:rPr>
          <w:rFonts w:ascii="Cambria" w:eastAsia="Cambria" w:hAnsi="Cambria" w:cs="Cambria"/>
          <w:color w:val="000000"/>
          <w:sz w:val="21"/>
          <w:szCs w:val="21"/>
          <w:vertAlign w:val="superscript"/>
        </w:rPr>
        <w:footnoteReference w:id="47"/>
      </w:r>
      <w:r w:rsidR="00830A74">
        <w:rPr>
          <w:rFonts w:ascii="Cambria" w:eastAsia="Cambria" w:hAnsi="Cambria" w:cs="Cambria"/>
          <w:color w:val="000000"/>
          <w:sz w:val="21"/>
          <w:szCs w:val="21"/>
        </w:rPr>
        <w:t xml:space="preserve">. </w:t>
      </w:r>
      <w:r w:rsidRPr="00494C8B">
        <w:rPr>
          <w:rFonts w:ascii="Cambria" w:eastAsia="Cambria" w:hAnsi="Cambria" w:cs="Cambria"/>
          <w:color w:val="000000"/>
          <w:sz w:val="21"/>
          <w:szCs w:val="21"/>
        </w:rPr>
        <w:t>Likewise, the criminalization of abortion has generated that between 2018 and 2020, the Judiciary resolves 512 complaints against women for the crime of abortion</w:t>
      </w:r>
      <w:r w:rsidR="00830A74">
        <w:rPr>
          <w:rFonts w:ascii="Cambria" w:eastAsia="Cambria" w:hAnsi="Cambria" w:cs="Cambria"/>
          <w:color w:val="000000"/>
          <w:sz w:val="21"/>
          <w:szCs w:val="21"/>
          <w:vertAlign w:val="superscript"/>
        </w:rPr>
        <w:footnoteReference w:id="48"/>
      </w:r>
      <w:r w:rsidR="00830A74">
        <w:rPr>
          <w:rFonts w:ascii="Cambria" w:eastAsia="Cambria" w:hAnsi="Cambria" w:cs="Cambria"/>
          <w:color w:val="000000"/>
          <w:sz w:val="21"/>
          <w:szCs w:val="21"/>
        </w:rPr>
        <w:t>.</w:t>
      </w:r>
      <w:r>
        <w:rPr>
          <w:rFonts w:ascii="Cambria" w:eastAsia="Cambria" w:hAnsi="Cambria" w:cs="Cambria"/>
          <w:color w:val="000000"/>
          <w:sz w:val="21"/>
          <w:szCs w:val="21"/>
        </w:rPr>
        <w:t xml:space="preserve"> </w:t>
      </w:r>
    </w:p>
    <w:p w:rsidR="002D1F37" w:rsidRDefault="002D1F37">
      <w:pPr>
        <w:widowControl/>
        <w:tabs>
          <w:tab w:val="left" w:pos="2127"/>
        </w:tabs>
        <w:spacing w:after="0"/>
        <w:jc w:val="both"/>
        <w:rPr>
          <w:rFonts w:ascii="Cambria" w:eastAsia="Cambria" w:hAnsi="Cambria" w:cs="Cambria"/>
          <w:sz w:val="21"/>
          <w:szCs w:val="21"/>
        </w:rPr>
      </w:pPr>
    </w:p>
    <w:p w:rsidR="002D1F37" w:rsidRDefault="00494C8B" w:rsidP="00494C8B">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494C8B">
        <w:rPr>
          <w:rFonts w:ascii="Cambria" w:eastAsia="Cambria" w:hAnsi="Cambria" w:cs="Cambria"/>
          <w:color w:val="000000"/>
          <w:sz w:val="21"/>
          <w:szCs w:val="21"/>
        </w:rPr>
        <w:t>Article 30 of the General Health Law (LGS) provides that health professionals must report evidence of crime, violence or signs of abortion</w:t>
      </w:r>
      <w:r w:rsidR="00830A74">
        <w:rPr>
          <w:rFonts w:ascii="Cambria" w:eastAsia="Cambria" w:hAnsi="Cambria" w:cs="Cambria"/>
          <w:color w:val="000000"/>
          <w:sz w:val="21"/>
          <w:szCs w:val="21"/>
          <w:vertAlign w:val="superscript"/>
        </w:rPr>
        <w:footnoteReference w:id="49"/>
      </w:r>
      <w:r w:rsidR="00830A74">
        <w:rPr>
          <w:rFonts w:ascii="Cambria" w:eastAsia="Cambria" w:hAnsi="Cambria" w:cs="Cambria"/>
          <w:color w:val="000000"/>
          <w:sz w:val="21"/>
          <w:szCs w:val="21"/>
        </w:rPr>
        <w:t xml:space="preserve">. </w:t>
      </w:r>
      <w:r w:rsidRPr="00494C8B">
        <w:rPr>
          <w:rFonts w:ascii="Cambria" w:eastAsia="Cambria" w:hAnsi="Cambria" w:cs="Cambria"/>
          <w:color w:val="000000"/>
          <w:sz w:val="21"/>
          <w:szCs w:val="21"/>
        </w:rPr>
        <w:t xml:space="preserve">This obligation to report is not intended to protect public or private health, nor is it in accordance with professional secrecy (contained in Article 2.18 of the Political Constitution of Peru); or to guarantee patients justice in the face of crimes of public action, or to protect their health, but rather for the </w:t>
      </w:r>
      <w:r>
        <w:rPr>
          <w:rFonts w:ascii="Cambria" w:eastAsia="Cambria" w:hAnsi="Cambria" w:cs="Cambria"/>
          <w:color w:val="000000"/>
          <w:sz w:val="21"/>
          <w:szCs w:val="21"/>
        </w:rPr>
        <w:t>purpose of criminal prosecution</w:t>
      </w:r>
      <w:r w:rsidR="00830A74">
        <w:rPr>
          <w:rFonts w:ascii="Cambria" w:eastAsia="Cambria" w:hAnsi="Cambria" w:cs="Cambria"/>
          <w:color w:val="000000"/>
          <w:sz w:val="21"/>
          <w:szCs w:val="21"/>
        </w:rPr>
        <w:t xml:space="preserve">. </w:t>
      </w:r>
    </w:p>
    <w:p w:rsidR="002D1F37" w:rsidRDefault="002D1F37">
      <w:pPr>
        <w:widowControl/>
        <w:pBdr>
          <w:top w:val="nil"/>
          <w:left w:val="nil"/>
          <w:bottom w:val="nil"/>
          <w:right w:val="nil"/>
          <w:between w:val="nil"/>
        </w:pBdr>
        <w:spacing w:after="0"/>
        <w:jc w:val="both"/>
        <w:rPr>
          <w:rFonts w:ascii="Cambria" w:eastAsia="Cambria" w:hAnsi="Cambria" w:cs="Cambria"/>
          <w:color w:val="000000"/>
          <w:sz w:val="21"/>
          <w:szCs w:val="21"/>
        </w:rPr>
      </w:pPr>
    </w:p>
    <w:p w:rsidR="002D1F37" w:rsidRDefault="000B218D" w:rsidP="000B218D">
      <w:pPr>
        <w:widowControl/>
        <w:numPr>
          <w:ilvl w:val="0"/>
          <w:numId w:val="3"/>
        </w:numPr>
        <w:pBdr>
          <w:top w:val="nil"/>
          <w:left w:val="nil"/>
          <w:bottom w:val="nil"/>
          <w:right w:val="nil"/>
          <w:between w:val="nil"/>
        </w:pBdr>
        <w:spacing w:after="0"/>
        <w:jc w:val="both"/>
        <w:rPr>
          <w:rFonts w:ascii="Cambria" w:eastAsia="Cambria" w:hAnsi="Cambria" w:cs="Cambria"/>
          <w:i/>
          <w:sz w:val="21"/>
          <w:szCs w:val="21"/>
        </w:rPr>
      </w:pPr>
      <w:r w:rsidRPr="000B218D">
        <w:rPr>
          <w:rFonts w:ascii="Cambria" w:eastAsia="Cambria" w:hAnsi="Cambria" w:cs="Cambria"/>
          <w:color w:val="000000"/>
          <w:sz w:val="21"/>
          <w:szCs w:val="21"/>
        </w:rPr>
        <w:t>The threat of denouncement of women who go to the public health service by those who treat them becomes a barrier to access -without discrimination- to the services necessary to save their lives. It also prevents medical personnel from attending women, girls and adolescents for fear of being apprehended. The Inter-American Court of Human Rights (IACHR)</w:t>
      </w:r>
      <w:r w:rsidRPr="000B218D">
        <w:rPr>
          <w:rFonts w:ascii="Cambria" w:eastAsia="Cambria" w:hAnsi="Cambria" w:cs="Cambria"/>
          <w:b/>
          <w:color w:val="000000"/>
          <w:sz w:val="21"/>
          <w:szCs w:val="21"/>
        </w:rPr>
        <w:t xml:space="preserve"> has pointed out that these situations place women's rights to health, personal integrity and life at risk</w:t>
      </w:r>
      <w:r>
        <w:rPr>
          <w:rFonts w:ascii="Cambria" w:eastAsia="Cambria" w:hAnsi="Cambria" w:cs="Cambria"/>
          <w:b/>
          <w:color w:val="000000"/>
          <w:sz w:val="21"/>
          <w:szCs w:val="21"/>
          <w:vertAlign w:val="superscript"/>
        </w:rPr>
        <w:footnoteReference w:id="50"/>
      </w:r>
      <w:r w:rsidRPr="000B218D">
        <w:rPr>
          <w:rFonts w:ascii="Cambria" w:eastAsia="Cambria" w:hAnsi="Cambria" w:cs="Cambria"/>
          <w:b/>
          <w:color w:val="000000"/>
          <w:sz w:val="21"/>
          <w:szCs w:val="21"/>
        </w:rPr>
        <w:t>.</w:t>
      </w:r>
    </w:p>
    <w:p w:rsidR="002D1F37" w:rsidRDefault="002D1F37">
      <w:pPr>
        <w:widowControl/>
        <w:pBdr>
          <w:top w:val="nil"/>
          <w:left w:val="nil"/>
          <w:bottom w:val="nil"/>
          <w:right w:val="nil"/>
          <w:between w:val="nil"/>
        </w:pBdr>
        <w:spacing w:after="0"/>
        <w:jc w:val="both"/>
        <w:rPr>
          <w:rFonts w:ascii="Cambria" w:eastAsia="Cambria" w:hAnsi="Cambria" w:cs="Cambria"/>
          <w:b/>
          <w:color w:val="000000"/>
          <w:sz w:val="21"/>
          <w:szCs w:val="21"/>
        </w:rPr>
      </w:pPr>
    </w:p>
    <w:p w:rsidR="002D1F37" w:rsidRPr="00136919" w:rsidRDefault="00136919" w:rsidP="00136919">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136919">
        <w:rPr>
          <w:rFonts w:ascii="Cambria" w:eastAsia="Cambria" w:hAnsi="Cambria" w:cs="Cambria"/>
          <w:b/>
          <w:color w:val="000000"/>
          <w:sz w:val="21"/>
          <w:szCs w:val="21"/>
        </w:rPr>
        <w:lastRenderedPageBreak/>
        <w:t>The criminalization of abortion was not alien in the context of health emergency</w:t>
      </w:r>
      <w:r w:rsidRPr="00136919">
        <w:rPr>
          <w:rFonts w:ascii="Cambria" w:eastAsia="Cambria" w:hAnsi="Cambria" w:cs="Cambria"/>
          <w:color w:val="000000"/>
          <w:sz w:val="21"/>
          <w:szCs w:val="21"/>
        </w:rPr>
        <w:t>, as shown by the case of Diana Alemán</w:t>
      </w:r>
      <w:r>
        <w:rPr>
          <w:rFonts w:ascii="Cambria" w:eastAsia="Cambria" w:hAnsi="Cambria" w:cs="Cambria"/>
          <w:color w:val="000000"/>
          <w:sz w:val="21"/>
          <w:szCs w:val="21"/>
          <w:vertAlign w:val="superscript"/>
        </w:rPr>
        <w:footnoteReference w:id="51"/>
      </w:r>
      <w:r w:rsidRPr="00136919">
        <w:rPr>
          <w:rFonts w:ascii="Cambria" w:eastAsia="Cambria" w:hAnsi="Cambria" w:cs="Cambria"/>
          <w:color w:val="000000"/>
          <w:sz w:val="21"/>
          <w:szCs w:val="21"/>
        </w:rPr>
        <w:t>, a Venezuelan migrant. On July 3, 2020, she was admitted to the gynecology area of the María Auxiliadora hospital for hemorrhaging as a result of an incomplete abortion, two days later she was found dead on the floor of the hospital, apparently as a result of a suicide provoked by the health personnel's threat of being taken to the police station for the abortion she had had. The medical staff allegedly exposed Diana to danger by affecting her mental health. Her life was not prioritized, even though incomplete abortion is the second cause of hospitalization of women after childbirth in our country.</w:t>
      </w:r>
    </w:p>
    <w:p w:rsidR="00136919" w:rsidRPr="00136919" w:rsidRDefault="00136919" w:rsidP="00136919">
      <w:pPr>
        <w:widowControl/>
        <w:pBdr>
          <w:top w:val="nil"/>
          <w:left w:val="nil"/>
          <w:bottom w:val="nil"/>
          <w:right w:val="nil"/>
          <w:between w:val="nil"/>
        </w:pBdr>
        <w:spacing w:after="0"/>
        <w:ind w:left="720"/>
        <w:jc w:val="both"/>
        <w:rPr>
          <w:rFonts w:ascii="Cambria" w:eastAsia="Cambria" w:hAnsi="Cambria" w:cs="Cambria"/>
          <w:sz w:val="21"/>
          <w:szCs w:val="21"/>
        </w:rPr>
      </w:pPr>
    </w:p>
    <w:p w:rsidR="002D1F37" w:rsidRDefault="004A4175" w:rsidP="004A4175">
      <w:pPr>
        <w:widowControl/>
        <w:numPr>
          <w:ilvl w:val="0"/>
          <w:numId w:val="3"/>
        </w:numPr>
        <w:pBdr>
          <w:top w:val="nil"/>
          <w:left w:val="nil"/>
          <w:bottom w:val="nil"/>
          <w:right w:val="nil"/>
          <w:between w:val="nil"/>
        </w:pBdr>
        <w:spacing w:after="0"/>
        <w:jc w:val="both"/>
        <w:rPr>
          <w:rFonts w:ascii="Cambria" w:eastAsia="Cambria" w:hAnsi="Cambria" w:cs="Cambria"/>
          <w:sz w:val="21"/>
          <w:szCs w:val="21"/>
        </w:rPr>
      </w:pPr>
      <w:r w:rsidRPr="004A4175">
        <w:rPr>
          <w:rFonts w:ascii="Cambria" w:eastAsia="Cambria" w:hAnsi="Cambria" w:cs="Cambria"/>
          <w:b/>
          <w:color w:val="000000"/>
          <w:sz w:val="21"/>
          <w:szCs w:val="21"/>
        </w:rPr>
        <w:t>Almost 10 years after the CEDAW Committee's decision in the L.C. case, Peru has only partially complied with the ruling. Despite having approved the Technical Guide, not only do the structural barriers that impede women's effective access to this right persist, but abortion for rape continues to be a crime, which has resulted in the alarming persecution and criminalization of women who wish to see their right to decide about their bodies satisfied</w:t>
      </w:r>
      <w:r>
        <w:rPr>
          <w:rFonts w:ascii="Cambria" w:eastAsia="Cambria" w:hAnsi="Cambria" w:cs="Cambria"/>
          <w:color w:val="000000"/>
          <w:sz w:val="21"/>
          <w:szCs w:val="21"/>
          <w:vertAlign w:val="superscript"/>
        </w:rPr>
        <w:footnoteReference w:id="52"/>
      </w:r>
      <w:r w:rsidRPr="004A4175">
        <w:rPr>
          <w:rFonts w:ascii="Cambria" w:eastAsia="Cambria" w:hAnsi="Cambria" w:cs="Cambria"/>
          <w:b/>
          <w:color w:val="000000"/>
          <w:sz w:val="21"/>
          <w:szCs w:val="21"/>
        </w:rPr>
        <w:t>. In this way, the State continues to violate the rights to non-discrimination, life and health of women, girls and adolescents contained in Articles 7, 9 and 28 of the Convention.</w:t>
      </w:r>
    </w:p>
    <w:p w:rsidR="002D1F37" w:rsidRDefault="00B40312">
      <w:pPr>
        <w:pStyle w:val="Ttulo1"/>
        <w:spacing w:before="280" w:after="280" w:line="276" w:lineRule="auto"/>
        <w:rPr>
          <w:rFonts w:ascii="Cambria" w:eastAsia="Cambria" w:hAnsi="Cambria" w:cs="Cambria"/>
          <w:sz w:val="21"/>
          <w:szCs w:val="21"/>
        </w:rPr>
      </w:pPr>
      <w:r w:rsidRPr="00B40312">
        <w:rPr>
          <w:rFonts w:ascii="Cambria" w:eastAsia="Cambria" w:hAnsi="Cambria" w:cs="Cambria"/>
          <w:sz w:val="21"/>
          <w:szCs w:val="21"/>
        </w:rPr>
        <w:t>QUESTIONS POSED TO THE PERUVIAN STATE</w:t>
      </w:r>
    </w:p>
    <w:p w:rsidR="002D1F37" w:rsidRDefault="00B40312">
      <w:pPr>
        <w:widowControl/>
        <w:tabs>
          <w:tab w:val="left" w:pos="2127"/>
        </w:tabs>
        <w:spacing w:after="0"/>
        <w:jc w:val="both"/>
        <w:rPr>
          <w:rFonts w:ascii="Cambria" w:eastAsia="Cambria" w:hAnsi="Cambria" w:cs="Cambria"/>
          <w:sz w:val="21"/>
          <w:szCs w:val="21"/>
        </w:rPr>
      </w:pPr>
      <w:r w:rsidRPr="00B40312">
        <w:rPr>
          <w:rFonts w:ascii="Cambria" w:eastAsia="Cambria" w:hAnsi="Cambria" w:cs="Cambria"/>
          <w:sz w:val="21"/>
          <w:szCs w:val="21"/>
        </w:rPr>
        <w:t xml:space="preserve">Based on the information presented here, Promsex respectfully requests this honorable Committee, within the framework of the elaboration of the previous questions, to take into consideration the above and to ask the Peruvian State the following questions: </w:t>
      </w:r>
      <w:r w:rsidR="00830A74">
        <w:rPr>
          <w:rFonts w:ascii="Cambria" w:eastAsia="Cambria" w:hAnsi="Cambria" w:cs="Cambria"/>
          <w:sz w:val="21"/>
          <w:szCs w:val="21"/>
        </w:rPr>
        <w:t xml:space="preserve"> </w:t>
      </w:r>
    </w:p>
    <w:p w:rsidR="002D1F37" w:rsidRDefault="002D1F37">
      <w:pPr>
        <w:widowControl/>
        <w:tabs>
          <w:tab w:val="left" w:pos="2127"/>
        </w:tabs>
        <w:spacing w:after="0"/>
        <w:jc w:val="both"/>
        <w:rPr>
          <w:rFonts w:ascii="Cambria" w:eastAsia="Cambria" w:hAnsi="Cambria" w:cs="Cambria"/>
          <w:sz w:val="21"/>
          <w:szCs w:val="21"/>
        </w:rPr>
      </w:pPr>
    </w:p>
    <w:p w:rsidR="002D1F37" w:rsidRDefault="00B40312" w:rsidP="00B40312">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b/>
          <w:color w:val="000000"/>
          <w:sz w:val="21"/>
          <w:szCs w:val="21"/>
        </w:rPr>
      </w:pPr>
      <w:bookmarkStart w:id="4" w:name="_heading=h.1fob9te" w:colFirst="0" w:colLast="0"/>
      <w:bookmarkEnd w:id="4"/>
      <w:r w:rsidRPr="00B40312">
        <w:rPr>
          <w:rFonts w:ascii="Cambria" w:eastAsia="Cambria" w:hAnsi="Cambria" w:cs="Cambria"/>
          <w:b/>
          <w:color w:val="000000"/>
          <w:sz w:val="21"/>
          <w:szCs w:val="21"/>
        </w:rPr>
        <w:t>Access to sexual and reproductive health services</w:t>
      </w:r>
    </w:p>
    <w:p w:rsidR="002D1F37" w:rsidRDefault="002D1F37">
      <w:pPr>
        <w:widowControl/>
        <w:tabs>
          <w:tab w:val="left" w:pos="2127"/>
        </w:tabs>
        <w:spacing w:after="0"/>
        <w:jc w:val="both"/>
        <w:rPr>
          <w:rFonts w:ascii="Cambria" w:eastAsia="Cambria" w:hAnsi="Cambria" w:cs="Cambria"/>
          <w:b/>
          <w:sz w:val="21"/>
          <w:szCs w:val="21"/>
        </w:rPr>
      </w:pPr>
    </w:p>
    <w:p w:rsidR="002D1F37" w:rsidRDefault="00B40312" w:rsidP="00B40312">
      <w:pPr>
        <w:widowControl/>
        <w:numPr>
          <w:ilvl w:val="0"/>
          <w:numId w:val="8"/>
        </w:numPr>
        <w:tabs>
          <w:tab w:val="left" w:pos="2127"/>
        </w:tabs>
        <w:spacing w:after="0"/>
        <w:jc w:val="both"/>
        <w:rPr>
          <w:rFonts w:ascii="Cambria" w:eastAsia="Cambria" w:hAnsi="Cambria" w:cs="Cambria"/>
          <w:sz w:val="21"/>
          <w:szCs w:val="21"/>
        </w:rPr>
      </w:pPr>
      <w:r w:rsidRPr="00B40312">
        <w:rPr>
          <w:rFonts w:ascii="Cambria" w:eastAsia="Cambria" w:hAnsi="Cambria" w:cs="Cambria"/>
          <w:sz w:val="21"/>
          <w:szCs w:val="21"/>
        </w:rPr>
        <w:t xml:space="preserve">What actions or measures did the State adopt and implement to guarantee access to sexual and reproductive health services for migrants? </w:t>
      </w:r>
      <w:r w:rsidR="00830A74">
        <w:rPr>
          <w:rFonts w:ascii="Cambria" w:eastAsia="Cambria" w:hAnsi="Cambria" w:cs="Cambria"/>
          <w:sz w:val="21"/>
          <w:szCs w:val="21"/>
        </w:rPr>
        <w:t xml:space="preserve"> </w:t>
      </w:r>
    </w:p>
    <w:p w:rsidR="002D1F37" w:rsidRDefault="00B40312" w:rsidP="00B40312">
      <w:pPr>
        <w:widowControl/>
        <w:numPr>
          <w:ilvl w:val="0"/>
          <w:numId w:val="8"/>
        </w:numPr>
        <w:tabs>
          <w:tab w:val="left" w:pos="2127"/>
        </w:tabs>
        <w:spacing w:after="0"/>
        <w:jc w:val="both"/>
        <w:rPr>
          <w:rFonts w:ascii="Cambria" w:eastAsia="Cambria" w:hAnsi="Cambria" w:cs="Cambria"/>
          <w:sz w:val="21"/>
          <w:szCs w:val="21"/>
        </w:rPr>
      </w:pPr>
      <w:r w:rsidRPr="00B40312">
        <w:rPr>
          <w:rFonts w:ascii="Cambria" w:eastAsia="Cambria" w:hAnsi="Cambria" w:cs="Cambria"/>
          <w:sz w:val="21"/>
          <w:szCs w:val="21"/>
        </w:rPr>
        <w:t>What regulatory and budgetary policies is the Peruvian State taking to ensure that in health facilities migrants can receive quality health care without discrimination?</w:t>
      </w:r>
    </w:p>
    <w:p w:rsidR="002D1F37" w:rsidRDefault="00B40312" w:rsidP="00B40312">
      <w:pPr>
        <w:numPr>
          <w:ilvl w:val="0"/>
          <w:numId w:val="8"/>
        </w:numPr>
        <w:pBdr>
          <w:top w:val="nil"/>
          <w:left w:val="nil"/>
          <w:bottom w:val="nil"/>
          <w:right w:val="nil"/>
          <w:between w:val="nil"/>
        </w:pBdr>
        <w:tabs>
          <w:tab w:val="left" w:pos="2127"/>
        </w:tabs>
        <w:spacing w:after="0"/>
        <w:jc w:val="both"/>
        <w:rPr>
          <w:rFonts w:ascii="Cambria" w:eastAsia="Cambria" w:hAnsi="Cambria" w:cs="Cambria"/>
          <w:color w:val="000000"/>
          <w:sz w:val="21"/>
          <w:szCs w:val="21"/>
        </w:rPr>
      </w:pPr>
      <w:r w:rsidRPr="00B40312">
        <w:rPr>
          <w:rFonts w:ascii="Cambria" w:eastAsia="Cambria" w:hAnsi="Cambria" w:cs="Cambria"/>
          <w:color w:val="000000"/>
          <w:sz w:val="21"/>
          <w:szCs w:val="21"/>
        </w:rPr>
        <w:t>What actions or measures did the State adopt and implement to ensure that migrants have free access to HIV and/or STI testing?</w:t>
      </w:r>
    </w:p>
    <w:p w:rsidR="002D1F37" w:rsidRDefault="002D1F37">
      <w:pPr>
        <w:widowControl/>
        <w:tabs>
          <w:tab w:val="left" w:pos="2127"/>
        </w:tabs>
        <w:spacing w:after="0"/>
        <w:jc w:val="both"/>
        <w:rPr>
          <w:rFonts w:ascii="Cambria" w:eastAsia="Cambria" w:hAnsi="Cambria" w:cs="Cambria"/>
          <w:b/>
          <w:sz w:val="21"/>
          <w:szCs w:val="21"/>
        </w:rPr>
      </w:pPr>
    </w:p>
    <w:p w:rsidR="002D1F37" w:rsidRDefault="00AC2409" w:rsidP="00AC2409">
      <w:pPr>
        <w:numPr>
          <w:ilvl w:val="0"/>
          <w:numId w:val="7"/>
        </w:numPr>
        <w:pBdr>
          <w:top w:val="nil"/>
          <w:left w:val="nil"/>
          <w:bottom w:val="nil"/>
          <w:right w:val="nil"/>
          <w:between w:val="nil"/>
        </w:pBdr>
        <w:jc w:val="both"/>
        <w:rPr>
          <w:rFonts w:ascii="Cambria" w:eastAsia="Cambria" w:hAnsi="Cambria" w:cs="Cambria"/>
          <w:b/>
          <w:color w:val="000000"/>
          <w:sz w:val="21"/>
          <w:szCs w:val="21"/>
        </w:rPr>
      </w:pPr>
      <w:r w:rsidRPr="00AC2409">
        <w:rPr>
          <w:rFonts w:ascii="Cambria" w:eastAsia="Cambria" w:hAnsi="Cambria" w:cs="Cambria"/>
          <w:b/>
          <w:color w:val="000000"/>
          <w:sz w:val="21"/>
          <w:szCs w:val="21"/>
        </w:rPr>
        <w:t>Access to modern contraceptive methods and full range of information</w:t>
      </w:r>
    </w:p>
    <w:p w:rsidR="002D1F37" w:rsidRDefault="00AC2409" w:rsidP="00AC2409">
      <w:pPr>
        <w:widowControl/>
        <w:numPr>
          <w:ilvl w:val="0"/>
          <w:numId w:val="8"/>
        </w:numPr>
        <w:tabs>
          <w:tab w:val="left" w:pos="2127"/>
        </w:tabs>
        <w:spacing w:after="0"/>
        <w:jc w:val="both"/>
        <w:rPr>
          <w:rFonts w:ascii="Cambria" w:eastAsia="Cambria" w:hAnsi="Cambria" w:cs="Cambria"/>
          <w:sz w:val="21"/>
          <w:szCs w:val="21"/>
        </w:rPr>
      </w:pPr>
      <w:r w:rsidRPr="00AC2409">
        <w:rPr>
          <w:rFonts w:ascii="Cambria" w:eastAsia="Cambria" w:hAnsi="Cambria" w:cs="Cambria"/>
          <w:sz w:val="21"/>
          <w:szCs w:val="21"/>
        </w:rPr>
        <w:t>What actions or measures is the State prioritizing to reduce the high rate of adolescent migrant pregnancies and ensure accessibility and availability of sexual and reproductive health services, including EOC?</w:t>
      </w:r>
    </w:p>
    <w:p w:rsidR="002D1F37" w:rsidRDefault="00AC2409" w:rsidP="00AC2409">
      <w:pPr>
        <w:widowControl/>
        <w:numPr>
          <w:ilvl w:val="0"/>
          <w:numId w:val="8"/>
        </w:numPr>
        <w:tabs>
          <w:tab w:val="left" w:pos="2127"/>
        </w:tabs>
        <w:spacing w:after="0"/>
        <w:jc w:val="both"/>
        <w:rPr>
          <w:rFonts w:ascii="Cambria" w:eastAsia="Cambria" w:hAnsi="Cambria" w:cs="Cambria"/>
          <w:sz w:val="21"/>
          <w:szCs w:val="21"/>
        </w:rPr>
      </w:pPr>
      <w:r w:rsidRPr="00AC2409">
        <w:rPr>
          <w:rFonts w:ascii="Cambria" w:eastAsia="Cambria" w:hAnsi="Cambria" w:cs="Cambria"/>
          <w:sz w:val="21"/>
          <w:szCs w:val="21"/>
        </w:rPr>
        <w:t>What regulatory and budgetary policies is the Peruvian State taking to ensure that EOC is distributed in all health facilities without discrimination based on nationality and/or migratory status?</w:t>
      </w:r>
      <w:r>
        <w:rPr>
          <w:rFonts w:ascii="Cambria" w:eastAsia="Cambria" w:hAnsi="Cambria" w:cs="Cambria"/>
          <w:sz w:val="21"/>
          <w:szCs w:val="21"/>
        </w:rPr>
        <w:t xml:space="preserve"> </w:t>
      </w:r>
    </w:p>
    <w:p w:rsidR="002D1F37" w:rsidRDefault="00AC2409" w:rsidP="00AC2409">
      <w:pPr>
        <w:widowControl/>
        <w:numPr>
          <w:ilvl w:val="0"/>
          <w:numId w:val="8"/>
        </w:numPr>
        <w:tabs>
          <w:tab w:val="left" w:pos="2127"/>
        </w:tabs>
        <w:spacing w:after="0"/>
        <w:jc w:val="both"/>
        <w:rPr>
          <w:rFonts w:ascii="Cambria" w:eastAsia="Cambria" w:hAnsi="Cambria" w:cs="Cambria"/>
          <w:sz w:val="21"/>
          <w:szCs w:val="21"/>
        </w:rPr>
      </w:pPr>
      <w:r w:rsidRPr="00AC2409">
        <w:rPr>
          <w:rFonts w:ascii="Cambria" w:eastAsia="Cambria" w:hAnsi="Cambria" w:cs="Cambria"/>
          <w:sz w:val="21"/>
          <w:szCs w:val="21"/>
        </w:rPr>
        <w:lastRenderedPageBreak/>
        <w:t>How does the Peruvian State guarantee that EOC is provided to adolescent migrants in health centers without adult supervision and that health providers do not continue to discriminate and stigmatize the provision of EOC to adolescents?</w:t>
      </w:r>
    </w:p>
    <w:p w:rsidR="002D1F37" w:rsidRDefault="00AC2409" w:rsidP="00AC2409">
      <w:pPr>
        <w:numPr>
          <w:ilvl w:val="0"/>
          <w:numId w:val="8"/>
        </w:numPr>
        <w:pBdr>
          <w:top w:val="nil"/>
          <w:left w:val="nil"/>
          <w:bottom w:val="nil"/>
          <w:right w:val="nil"/>
          <w:between w:val="nil"/>
        </w:pBdr>
        <w:tabs>
          <w:tab w:val="left" w:pos="2127"/>
        </w:tabs>
        <w:spacing w:after="0"/>
        <w:jc w:val="both"/>
        <w:rPr>
          <w:rFonts w:ascii="Cambria" w:eastAsia="Cambria" w:hAnsi="Cambria" w:cs="Cambria"/>
          <w:color w:val="000000"/>
          <w:sz w:val="21"/>
          <w:szCs w:val="21"/>
        </w:rPr>
      </w:pPr>
      <w:r w:rsidRPr="00AC2409">
        <w:rPr>
          <w:rFonts w:ascii="Cambria" w:eastAsia="Cambria" w:hAnsi="Cambria" w:cs="Cambria"/>
          <w:color w:val="000000"/>
          <w:sz w:val="21"/>
          <w:szCs w:val="21"/>
        </w:rPr>
        <w:t>How will the provision of free contraceptive methods be guaranteed, as well as the supply of the care kit for victims of sexual violence that includes EOC and prevention medicines for HIV and STIs during the COVID-19 state of emergency?</w:t>
      </w:r>
    </w:p>
    <w:p w:rsidR="002D1F37" w:rsidRDefault="002D1F37">
      <w:pPr>
        <w:widowControl/>
        <w:pBdr>
          <w:top w:val="nil"/>
          <w:left w:val="nil"/>
          <w:bottom w:val="nil"/>
          <w:right w:val="nil"/>
          <w:between w:val="nil"/>
        </w:pBdr>
        <w:tabs>
          <w:tab w:val="left" w:pos="2127"/>
        </w:tabs>
        <w:spacing w:after="0"/>
        <w:ind w:left="720"/>
        <w:jc w:val="both"/>
        <w:rPr>
          <w:rFonts w:ascii="Cambria" w:eastAsia="Cambria" w:hAnsi="Cambria" w:cs="Cambria"/>
          <w:b/>
          <w:color w:val="000000"/>
          <w:sz w:val="21"/>
          <w:szCs w:val="21"/>
        </w:rPr>
      </w:pPr>
    </w:p>
    <w:p w:rsidR="002D1F37" w:rsidRDefault="00DC6930" w:rsidP="00DC6930">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b/>
          <w:color w:val="000000"/>
          <w:sz w:val="21"/>
          <w:szCs w:val="21"/>
        </w:rPr>
      </w:pPr>
      <w:r w:rsidRPr="00DC6930">
        <w:rPr>
          <w:rFonts w:ascii="Cambria" w:eastAsia="Cambria" w:hAnsi="Cambria" w:cs="Cambria"/>
          <w:b/>
          <w:color w:val="000000"/>
          <w:sz w:val="21"/>
          <w:szCs w:val="21"/>
        </w:rPr>
        <w:t xml:space="preserve">Prevention of forced pregnancies and maternal mortality. </w:t>
      </w:r>
      <w:r>
        <w:rPr>
          <w:rFonts w:ascii="Cambria" w:eastAsia="Cambria" w:hAnsi="Cambria" w:cs="Cambria"/>
          <w:b/>
          <w:color w:val="000000"/>
          <w:sz w:val="21"/>
          <w:szCs w:val="21"/>
        </w:rPr>
        <w:t xml:space="preserve"> </w:t>
      </w:r>
    </w:p>
    <w:p w:rsidR="002D1F37" w:rsidRDefault="002D1F37">
      <w:pPr>
        <w:widowControl/>
        <w:tabs>
          <w:tab w:val="left" w:pos="2127"/>
        </w:tabs>
        <w:spacing w:after="0"/>
        <w:jc w:val="both"/>
        <w:rPr>
          <w:rFonts w:ascii="Cambria" w:eastAsia="Cambria" w:hAnsi="Cambria" w:cs="Cambria"/>
          <w:sz w:val="21"/>
          <w:szCs w:val="21"/>
        </w:rPr>
      </w:pPr>
    </w:p>
    <w:p w:rsidR="00DC6930" w:rsidRPr="00DC6930" w:rsidRDefault="00DC6930" w:rsidP="00DC6930">
      <w:pPr>
        <w:numPr>
          <w:ilvl w:val="0"/>
          <w:numId w:val="4"/>
        </w:numPr>
        <w:tabs>
          <w:tab w:val="left" w:pos="2127"/>
        </w:tabs>
        <w:spacing w:after="0"/>
        <w:jc w:val="both"/>
        <w:rPr>
          <w:rFonts w:ascii="Cambria" w:eastAsia="Cambria" w:hAnsi="Cambria" w:cs="Cambria"/>
          <w:sz w:val="21"/>
          <w:szCs w:val="21"/>
        </w:rPr>
      </w:pPr>
      <w:r w:rsidRPr="00DC6930">
        <w:rPr>
          <w:rFonts w:ascii="Cambria" w:eastAsia="Cambria" w:hAnsi="Cambria" w:cs="Cambria"/>
          <w:sz w:val="21"/>
          <w:szCs w:val="21"/>
        </w:rPr>
        <w:t>What regulatory and budgetary policies are being adopted to reduce the rate of forced pregnancies among migrant women, especially girls and adolescents, and to ensure accessibility and availability of sexual and reproductive health services in a comprehensive manner including EOC?</w:t>
      </w:r>
    </w:p>
    <w:p w:rsidR="00DC6930" w:rsidRPr="00DC6930" w:rsidRDefault="00DC6930" w:rsidP="00DC6930">
      <w:pPr>
        <w:numPr>
          <w:ilvl w:val="0"/>
          <w:numId w:val="4"/>
        </w:numPr>
        <w:tabs>
          <w:tab w:val="left" w:pos="2127"/>
        </w:tabs>
        <w:spacing w:after="0"/>
        <w:jc w:val="both"/>
        <w:rPr>
          <w:rFonts w:ascii="Cambria" w:eastAsia="Cambria" w:hAnsi="Cambria" w:cs="Cambria"/>
          <w:sz w:val="21"/>
          <w:szCs w:val="21"/>
        </w:rPr>
      </w:pPr>
      <w:r w:rsidRPr="00DC6930">
        <w:rPr>
          <w:rFonts w:ascii="Cambria" w:eastAsia="Cambria" w:hAnsi="Cambria" w:cs="Cambria"/>
          <w:sz w:val="21"/>
          <w:szCs w:val="21"/>
        </w:rPr>
        <w:t>What specific strategies and measures is the State adopting to prevent pregnancy in migrant girls and adolescents resulting from rape, including access to EOC without discrimination?</w:t>
      </w:r>
    </w:p>
    <w:p w:rsidR="00DC6930" w:rsidRPr="00DC6930" w:rsidRDefault="00DC6930" w:rsidP="00DC6930">
      <w:pPr>
        <w:numPr>
          <w:ilvl w:val="0"/>
          <w:numId w:val="4"/>
        </w:numPr>
        <w:tabs>
          <w:tab w:val="left" w:pos="2127"/>
        </w:tabs>
        <w:spacing w:after="0"/>
        <w:jc w:val="both"/>
        <w:rPr>
          <w:rFonts w:ascii="Cambria" w:eastAsia="Cambria" w:hAnsi="Cambria" w:cs="Cambria"/>
          <w:sz w:val="21"/>
          <w:szCs w:val="21"/>
        </w:rPr>
      </w:pPr>
      <w:r w:rsidRPr="00DC6930">
        <w:rPr>
          <w:rFonts w:ascii="Cambria" w:eastAsia="Cambria" w:hAnsi="Cambria" w:cs="Cambria"/>
          <w:sz w:val="21"/>
          <w:szCs w:val="21"/>
        </w:rPr>
        <w:t>What preventive measures is the State adopting to address maternal mortality and morbidity among migrant girls and adolescents?</w:t>
      </w:r>
    </w:p>
    <w:p w:rsidR="002D1F37" w:rsidRDefault="00DC6930" w:rsidP="00DC6930">
      <w:pPr>
        <w:numPr>
          <w:ilvl w:val="0"/>
          <w:numId w:val="4"/>
        </w:numPr>
        <w:tabs>
          <w:tab w:val="left" w:pos="2127"/>
        </w:tabs>
        <w:spacing w:after="0"/>
        <w:jc w:val="both"/>
        <w:rPr>
          <w:rFonts w:ascii="Cambria" w:eastAsia="Cambria" w:hAnsi="Cambria" w:cs="Cambria"/>
          <w:color w:val="000000"/>
          <w:sz w:val="21"/>
          <w:szCs w:val="21"/>
        </w:rPr>
      </w:pPr>
      <w:r w:rsidRPr="00DC6930">
        <w:rPr>
          <w:rFonts w:ascii="Cambria" w:eastAsia="Cambria" w:hAnsi="Cambria" w:cs="Cambria"/>
          <w:sz w:val="21"/>
          <w:szCs w:val="21"/>
        </w:rPr>
        <w:t>How is the care of pregnant migrant women guaranteed in their prenatal check-ups and delivery care with quality standards, including the right to terminate a pregnancy for health reasons?</w:t>
      </w:r>
      <w:r>
        <w:rPr>
          <w:rFonts w:ascii="Cambria" w:eastAsia="Cambria" w:hAnsi="Cambria" w:cs="Cambria"/>
          <w:color w:val="000000"/>
          <w:sz w:val="21"/>
          <w:szCs w:val="21"/>
        </w:rPr>
        <w:t xml:space="preserve"> </w:t>
      </w:r>
    </w:p>
    <w:p w:rsidR="002D1F37" w:rsidRDefault="002D1F37">
      <w:pPr>
        <w:widowControl/>
        <w:tabs>
          <w:tab w:val="left" w:pos="2127"/>
        </w:tabs>
        <w:spacing w:after="0"/>
        <w:jc w:val="both"/>
        <w:rPr>
          <w:rFonts w:ascii="Cambria" w:eastAsia="Cambria" w:hAnsi="Cambria" w:cs="Cambria"/>
          <w:b/>
          <w:sz w:val="21"/>
          <w:szCs w:val="21"/>
        </w:rPr>
      </w:pPr>
    </w:p>
    <w:p w:rsidR="002D1F37" w:rsidRDefault="00830A74" w:rsidP="00DC6930">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b/>
          <w:color w:val="000000"/>
          <w:sz w:val="21"/>
          <w:szCs w:val="21"/>
        </w:rPr>
      </w:pPr>
      <w:r>
        <w:rPr>
          <w:rFonts w:ascii="Cambria" w:eastAsia="Cambria" w:hAnsi="Cambria" w:cs="Cambria"/>
          <w:b/>
          <w:color w:val="000000"/>
          <w:sz w:val="21"/>
          <w:szCs w:val="21"/>
        </w:rPr>
        <w:t xml:space="preserve"> </w:t>
      </w:r>
      <w:r w:rsidR="00DC6930" w:rsidRPr="00DC6930">
        <w:rPr>
          <w:rFonts w:ascii="Cambria" w:eastAsia="Cambria" w:hAnsi="Cambria" w:cs="Cambria"/>
          <w:b/>
          <w:color w:val="000000"/>
          <w:sz w:val="21"/>
          <w:szCs w:val="21"/>
        </w:rPr>
        <w:t xml:space="preserve">Access to therapeutic abortion and decriminalization of abortion. </w:t>
      </w:r>
    </w:p>
    <w:p w:rsidR="002D1F37" w:rsidRDefault="002D1F37">
      <w:pPr>
        <w:widowControl/>
        <w:tabs>
          <w:tab w:val="left" w:pos="2127"/>
        </w:tabs>
        <w:spacing w:after="0"/>
        <w:jc w:val="both"/>
        <w:rPr>
          <w:rFonts w:ascii="Cambria" w:eastAsia="Cambria" w:hAnsi="Cambria" w:cs="Cambria"/>
          <w:b/>
          <w:sz w:val="21"/>
          <w:szCs w:val="21"/>
        </w:rPr>
      </w:pPr>
    </w:p>
    <w:p w:rsidR="00DC6930" w:rsidRPr="00DC6930" w:rsidRDefault="00DC6930" w:rsidP="00DC6930">
      <w:pPr>
        <w:widowControl/>
        <w:numPr>
          <w:ilvl w:val="0"/>
          <w:numId w:val="6"/>
        </w:numPr>
        <w:tabs>
          <w:tab w:val="left" w:pos="2127"/>
        </w:tabs>
        <w:spacing w:after="0"/>
        <w:jc w:val="both"/>
        <w:rPr>
          <w:rFonts w:ascii="Cambria" w:eastAsia="Cambria" w:hAnsi="Cambria" w:cs="Cambria"/>
          <w:sz w:val="21"/>
          <w:szCs w:val="21"/>
        </w:rPr>
      </w:pPr>
      <w:r w:rsidRPr="00DC6930">
        <w:rPr>
          <w:rFonts w:ascii="Cambria" w:eastAsia="Cambria" w:hAnsi="Cambria" w:cs="Cambria"/>
          <w:sz w:val="21"/>
          <w:szCs w:val="21"/>
        </w:rPr>
        <w:t xml:space="preserve">What measures is the State taking to guarantee access to therapeutic abortion for migrant women, related to the restrictive interpretation of the right to health and health grounds? </w:t>
      </w:r>
    </w:p>
    <w:p w:rsidR="00DC6930" w:rsidRPr="00DC6930" w:rsidRDefault="00DC6930" w:rsidP="00DC6930">
      <w:pPr>
        <w:widowControl/>
        <w:numPr>
          <w:ilvl w:val="0"/>
          <w:numId w:val="6"/>
        </w:numPr>
        <w:tabs>
          <w:tab w:val="left" w:pos="2127"/>
        </w:tabs>
        <w:spacing w:after="0"/>
        <w:jc w:val="both"/>
        <w:rPr>
          <w:rFonts w:ascii="Cambria" w:eastAsia="Cambria" w:hAnsi="Cambria" w:cs="Cambria"/>
          <w:sz w:val="21"/>
          <w:szCs w:val="21"/>
        </w:rPr>
      </w:pPr>
      <w:r w:rsidRPr="00DC6930">
        <w:rPr>
          <w:rFonts w:ascii="Cambria" w:eastAsia="Cambria" w:hAnsi="Cambria" w:cs="Cambria"/>
          <w:sz w:val="21"/>
          <w:szCs w:val="21"/>
        </w:rPr>
        <w:t>What measures is the State taking to implement the protocol for joint care by CEM and health facilities in cases of care for victims of sexual violence?</w:t>
      </w:r>
    </w:p>
    <w:p w:rsidR="00DC6930" w:rsidRPr="00DC6930" w:rsidRDefault="00DC6930" w:rsidP="00DC6930">
      <w:pPr>
        <w:widowControl/>
        <w:numPr>
          <w:ilvl w:val="0"/>
          <w:numId w:val="6"/>
        </w:numPr>
        <w:tabs>
          <w:tab w:val="left" w:pos="2127"/>
        </w:tabs>
        <w:spacing w:after="0"/>
        <w:jc w:val="both"/>
        <w:rPr>
          <w:rFonts w:ascii="Cambria" w:eastAsia="Cambria" w:hAnsi="Cambria" w:cs="Cambria"/>
          <w:sz w:val="21"/>
          <w:szCs w:val="21"/>
        </w:rPr>
      </w:pPr>
      <w:r w:rsidRPr="00DC6930">
        <w:rPr>
          <w:rFonts w:ascii="Cambria" w:eastAsia="Cambria" w:hAnsi="Cambria" w:cs="Cambria"/>
          <w:sz w:val="21"/>
          <w:szCs w:val="21"/>
        </w:rPr>
        <w:t>Why has the Peruvian State not decriminalized abortion in cases of rape and malformations incompatible with extrauterine life, in compliance with the LC v. Peru ruling and the recommendations of the CEDAW Committee?</w:t>
      </w:r>
    </w:p>
    <w:p w:rsidR="00DC6930" w:rsidRPr="00DC6930" w:rsidRDefault="00DC6930" w:rsidP="00DC6930">
      <w:pPr>
        <w:widowControl/>
        <w:numPr>
          <w:ilvl w:val="0"/>
          <w:numId w:val="6"/>
        </w:numPr>
        <w:tabs>
          <w:tab w:val="left" w:pos="2127"/>
        </w:tabs>
        <w:spacing w:after="0"/>
        <w:jc w:val="both"/>
        <w:rPr>
          <w:rFonts w:ascii="Cambria" w:eastAsia="Cambria" w:hAnsi="Cambria" w:cs="Cambria"/>
          <w:sz w:val="21"/>
          <w:szCs w:val="21"/>
        </w:rPr>
      </w:pPr>
      <w:r w:rsidRPr="00DC6930">
        <w:rPr>
          <w:rFonts w:ascii="Cambria" w:eastAsia="Cambria" w:hAnsi="Cambria" w:cs="Cambria"/>
          <w:sz w:val="21"/>
          <w:szCs w:val="21"/>
        </w:rPr>
        <w:t xml:space="preserve">How many migrant women, girls and adolescents have been subjected to judicial proceedings for the crime of abortion and what have been the sanctions imposed? </w:t>
      </w:r>
    </w:p>
    <w:p w:rsidR="002D1F37" w:rsidRDefault="00DC6930" w:rsidP="00DC6930">
      <w:pPr>
        <w:widowControl/>
        <w:numPr>
          <w:ilvl w:val="0"/>
          <w:numId w:val="6"/>
        </w:numPr>
        <w:tabs>
          <w:tab w:val="left" w:pos="2127"/>
        </w:tabs>
        <w:spacing w:after="0"/>
        <w:jc w:val="both"/>
        <w:rPr>
          <w:rFonts w:ascii="Cambria" w:eastAsia="Cambria" w:hAnsi="Cambria" w:cs="Cambria"/>
          <w:sz w:val="21"/>
          <w:szCs w:val="21"/>
        </w:rPr>
      </w:pPr>
      <w:r w:rsidRPr="00DC6930">
        <w:rPr>
          <w:rFonts w:ascii="Cambria" w:eastAsia="Cambria" w:hAnsi="Cambria" w:cs="Cambria"/>
          <w:sz w:val="21"/>
          <w:szCs w:val="21"/>
        </w:rPr>
        <w:t>What measures have been adopted to guarantee due process for migrant women, girls and adolescents prosecuted for the crime of abortion, including ensuring the impartiality of justice operators?</w:t>
      </w:r>
      <w:r>
        <w:rPr>
          <w:rFonts w:ascii="Cambria" w:eastAsia="Cambria" w:hAnsi="Cambria" w:cs="Cambria"/>
          <w:sz w:val="21"/>
          <w:szCs w:val="21"/>
        </w:rPr>
        <w:t xml:space="preserve"> </w:t>
      </w:r>
    </w:p>
    <w:p w:rsidR="002D1F37" w:rsidRDefault="002D1F37">
      <w:pPr>
        <w:tabs>
          <w:tab w:val="left" w:pos="2127"/>
        </w:tabs>
        <w:spacing w:after="0"/>
        <w:jc w:val="both"/>
        <w:rPr>
          <w:rFonts w:ascii="Cambria" w:eastAsia="Cambria" w:hAnsi="Cambria" w:cs="Cambria"/>
          <w:sz w:val="21"/>
          <w:szCs w:val="21"/>
        </w:rPr>
      </w:pPr>
    </w:p>
    <w:p w:rsidR="002D1F37" w:rsidRDefault="00250E82">
      <w:pPr>
        <w:tabs>
          <w:tab w:val="left" w:pos="2127"/>
        </w:tabs>
        <w:spacing w:after="0"/>
        <w:jc w:val="both"/>
        <w:rPr>
          <w:rFonts w:ascii="Cambria" w:eastAsia="Cambria" w:hAnsi="Cambria" w:cs="Cambria"/>
          <w:sz w:val="21"/>
          <w:szCs w:val="21"/>
        </w:rPr>
      </w:pPr>
      <w:r w:rsidRPr="00250E82">
        <w:rPr>
          <w:rFonts w:ascii="Cambria" w:eastAsia="Cambria" w:hAnsi="Cambria" w:cs="Cambria"/>
          <w:sz w:val="21"/>
          <w:szCs w:val="21"/>
        </w:rPr>
        <w:t>Sincerely</w:t>
      </w:r>
      <w:r w:rsidR="00830A74">
        <w:rPr>
          <w:rFonts w:ascii="Cambria" w:eastAsia="Cambria" w:hAnsi="Cambria" w:cs="Cambria"/>
          <w:sz w:val="21"/>
          <w:szCs w:val="21"/>
        </w:rPr>
        <w:t xml:space="preserve">, </w:t>
      </w:r>
    </w:p>
    <w:p w:rsidR="002D1F37" w:rsidRDefault="002D1F37">
      <w:pPr>
        <w:tabs>
          <w:tab w:val="left" w:pos="2127"/>
        </w:tabs>
        <w:spacing w:after="0"/>
        <w:jc w:val="both"/>
        <w:rPr>
          <w:rFonts w:ascii="Cambria" w:eastAsia="Cambria" w:hAnsi="Cambria" w:cs="Cambria"/>
          <w:sz w:val="21"/>
          <w:szCs w:val="21"/>
        </w:rPr>
      </w:pPr>
    </w:p>
    <w:p w:rsidR="002D1F37" w:rsidRDefault="00830A74">
      <w:pPr>
        <w:tabs>
          <w:tab w:val="left" w:pos="2127"/>
        </w:tabs>
        <w:spacing w:after="0"/>
        <w:jc w:val="both"/>
        <w:rPr>
          <w:rFonts w:ascii="Cambria" w:eastAsia="Cambria" w:hAnsi="Cambria" w:cs="Cambria"/>
          <w:sz w:val="21"/>
          <w:szCs w:val="21"/>
        </w:rPr>
      </w:pPr>
      <w:r>
        <w:rPr>
          <w:noProof/>
          <w:lang w:val="es-PE"/>
        </w:rPr>
        <w:drawing>
          <wp:anchor distT="0" distB="0" distL="0" distR="0" simplePos="0" relativeHeight="251658240" behindDoc="1" locked="0" layoutInCell="1" hidden="0" allowOverlap="1">
            <wp:simplePos x="0" y="0"/>
            <wp:positionH relativeFrom="column">
              <wp:posOffset>-60957</wp:posOffset>
            </wp:positionH>
            <wp:positionV relativeFrom="paragraph">
              <wp:posOffset>95885</wp:posOffset>
            </wp:positionV>
            <wp:extent cx="2160819" cy="1133475"/>
            <wp:effectExtent l="0" t="0" r="0" b="0"/>
            <wp:wrapNone/>
            <wp:docPr id="12" name="image2.jp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Texto, Carta&#10;&#10;Descripción generada automáticamente"/>
                    <pic:cNvPicPr preferRelativeResize="0"/>
                  </pic:nvPicPr>
                  <pic:blipFill>
                    <a:blip r:embed="rId8"/>
                    <a:srcRect/>
                    <a:stretch>
                      <a:fillRect/>
                    </a:stretch>
                  </pic:blipFill>
                  <pic:spPr>
                    <a:xfrm>
                      <a:off x="0" y="0"/>
                      <a:ext cx="2160819" cy="1133475"/>
                    </a:xfrm>
                    <a:prstGeom prst="rect">
                      <a:avLst/>
                    </a:prstGeom>
                    <a:ln/>
                  </pic:spPr>
                </pic:pic>
              </a:graphicData>
            </a:graphic>
          </wp:anchor>
        </w:drawing>
      </w:r>
    </w:p>
    <w:p w:rsidR="002D1F37" w:rsidRDefault="002D1F37">
      <w:pPr>
        <w:tabs>
          <w:tab w:val="left" w:pos="2127"/>
        </w:tabs>
        <w:spacing w:after="0"/>
        <w:jc w:val="both"/>
        <w:rPr>
          <w:rFonts w:ascii="Cambria" w:eastAsia="Cambria" w:hAnsi="Cambria" w:cs="Cambria"/>
          <w:sz w:val="21"/>
          <w:szCs w:val="21"/>
        </w:rPr>
      </w:pPr>
    </w:p>
    <w:p w:rsidR="002D1F37" w:rsidRDefault="002D1F37">
      <w:pPr>
        <w:tabs>
          <w:tab w:val="left" w:pos="2127"/>
        </w:tabs>
        <w:spacing w:after="0"/>
        <w:jc w:val="both"/>
        <w:rPr>
          <w:rFonts w:ascii="Cambria" w:eastAsia="Cambria" w:hAnsi="Cambria" w:cs="Cambria"/>
          <w:sz w:val="21"/>
          <w:szCs w:val="21"/>
        </w:rPr>
      </w:pPr>
    </w:p>
    <w:p w:rsidR="002D1F37" w:rsidRDefault="002D1F37">
      <w:pPr>
        <w:tabs>
          <w:tab w:val="left" w:pos="2127"/>
        </w:tabs>
        <w:spacing w:after="0"/>
        <w:jc w:val="both"/>
        <w:rPr>
          <w:rFonts w:ascii="Cambria" w:eastAsia="Cambria" w:hAnsi="Cambria" w:cs="Cambria"/>
          <w:sz w:val="21"/>
          <w:szCs w:val="21"/>
        </w:rPr>
      </w:pPr>
    </w:p>
    <w:p w:rsidR="002D1F37" w:rsidRDefault="002D1F37">
      <w:pPr>
        <w:tabs>
          <w:tab w:val="left" w:pos="2127"/>
        </w:tabs>
        <w:spacing w:after="0"/>
        <w:jc w:val="both"/>
        <w:rPr>
          <w:rFonts w:ascii="Cambria" w:eastAsia="Cambria" w:hAnsi="Cambria" w:cs="Cambria"/>
          <w:sz w:val="21"/>
          <w:szCs w:val="21"/>
        </w:rPr>
      </w:pPr>
    </w:p>
    <w:p w:rsidR="002D1F37" w:rsidRDefault="00830A74">
      <w:pPr>
        <w:tabs>
          <w:tab w:val="left" w:pos="2127"/>
        </w:tabs>
        <w:spacing w:after="0"/>
        <w:jc w:val="both"/>
        <w:rPr>
          <w:rFonts w:ascii="Cambria" w:eastAsia="Cambria" w:hAnsi="Cambria" w:cs="Cambria"/>
          <w:sz w:val="21"/>
          <w:szCs w:val="21"/>
        </w:rPr>
      </w:pPr>
      <w:r>
        <w:rPr>
          <w:rFonts w:ascii="Cambria" w:eastAsia="Cambria" w:hAnsi="Cambria" w:cs="Cambria"/>
          <w:sz w:val="21"/>
          <w:szCs w:val="21"/>
        </w:rPr>
        <w:t>Susana Chávez Alvarado</w:t>
      </w:r>
    </w:p>
    <w:p w:rsidR="002D1F37" w:rsidRDefault="00250E82">
      <w:pPr>
        <w:tabs>
          <w:tab w:val="left" w:pos="2127"/>
        </w:tabs>
        <w:spacing w:after="0"/>
        <w:jc w:val="both"/>
        <w:rPr>
          <w:rFonts w:ascii="Cambria" w:eastAsia="Cambria" w:hAnsi="Cambria" w:cs="Cambria"/>
          <w:sz w:val="21"/>
          <w:szCs w:val="21"/>
        </w:rPr>
      </w:pPr>
      <w:r w:rsidRPr="00250E82">
        <w:rPr>
          <w:rFonts w:ascii="Cambria" w:eastAsia="Cambria" w:hAnsi="Cambria" w:cs="Cambria"/>
          <w:sz w:val="21"/>
          <w:szCs w:val="21"/>
        </w:rPr>
        <w:t>Executive Director</w:t>
      </w:r>
    </w:p>
    <w:p w:rsidR="002D1F37" w:rsidRDefault="002D1F37">
      <w:pPr>
        <w:tabs>
          <w:tab w:val="left" w:pos="2127"/>
        </w:tabs>
        <w:spacing w:after="0"/>
        <w:jc w:val="both"/>
        <w:rPr>
          <w:rFonts w:ascii="Cambria" w:eastAsia="Cambria" w:hAnsi="Cambria" w:cs="Cambria"/>
          <w:sz w:val="21"/>
          <w:szCs w:val="21"/>
        </w:rPr>
      </w:pPr>
    </w:p>
    <w:p w:rsidR="002D1F37" w:rsidRDefault="00830A74">
      <w:pPr>
        <w:tabs>
          <w:tab w:val="left" w:pos="2127"/>
        </w:tabs>
        <w:spacing w:after="0"/>
        <w:jc w:val="both"/>
        <w:rPr>
          <w:rFonts w:ascii="Cambria" w:eastAsia="Cambria" w:hAnsi="Cambria" w:cs="Cambria"/>
          <w:b/>
          <w:sz w:val="21"/>
          <w:szCs w:val="21"/>
        </w:rPr>
      </w:pPr>
      <w:r>
        <w:rPr>
          <w:rFonts w:ascii="Cambria" w:eastAsia="Cambria" w:hAnsi="Cambria" w:cs="Cambria"/>
          <w:b/>
          <w:sz w:val="21"/>
          <w:szCs w:val="21"/>
        </w:rPr>
        <w:t>MSH/mm</w:t>
      </w:r>
    </w:p>
    <w:p w:rsidR="002D1F37" w:rsidRDefault="002D1F37">
      <w:pPr>
        <w:tabs>
          <w:tab w:val="left" w:pos="2127"/>
        </w:tabs>
        <w:rPr>
          <w:rFonts w:ascii="Cambria" w:eastAsia="Cambria" w:hAnsi="Cambria" w:cs="Cambria"/>
          <w:sz w:val="21"/>
          <w:szCs w:val="21"/>
        </w:rPr>
      </w:pPr>
    </w:p>
    <w:sectPr w:rsidR="002D1F37">
      <w:headerReference w:type="default" r:id="rId9"/>
      <w:footerReference w:type="default" r:id="rId1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A7E" w:rsidRDefault="00E51A7E">
      <w:pPr>
        <w:spacing w:after="0" w:line="240" w:lineRule="auto"/>
      </w:pPr>
      <w:r>
        <w:separator/>
      </w:r>
    </w:p>
  </w:endnote>
  <w:endnote w:type="continuationSeparator" w:id="0">
    <w:p w:rsidR="00E51A7E" w:rsidRDefault="00E51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F37" w:rsidRDefault="00830A74">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F5E4B">
      <w:rPr>
        <w:noProof/>
        <w:color w:val="000000"/>
      </w:rPr>
      <w:t>1</w:t>
    </w:r>
    <w:r>
      <w:rPr>
        <w:color w:val="000000"/>
      </w:rPr>
      <w:fldChar w:fldCharType="end"/>
    </w:r>
  </w:p>
  <w:p w:rsidR="002D1F37" w:rsidRDefault="002D1F37">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A7E" w:rsidRDefault="00E51A7E">
      <w:pPr>
        <w:spacing w:after="0" w:line="240" w:lineRule="auto"/>
      </w:pPr>
      <w:r>
        <w:separator/>
      </w:r>
    </w:p>
  </w:footnote>
  <w:footnote w:type="continuationSeparator" w:id="0">
    <w:p w:rsidR="00E51A7E" w:rsidRDefault="00E51A7E">
      <w:pPr>
        <w:spacing w:after="0" w:line="240" w:lineRule="auto"/>
      </w:pPr>
      <w:r>
        <w:continuationSeparator/>
      </w:r>
    </w:p>
  </w:footnote>
  <w:footnote w:id="1">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Banco Mundial (2019). Una oportunidad para todos. Los migrantes y refugiados venezolanos y el desarrollo </w:t>
      </w:r>
      <w:proofErr w:type="gramStart"/>
      <w:r>
        <w:rPr>
          <w:color w:val="000000"/>
          <w:sz w:val="18"/>
          <w:szCs w:val="18"/>
        </w:rPr>
        <w:t>del</w:t>
      </w:r>
      <w:proofErr w:type="gramEnd"/>
      <w:r>
        <w:rPr>
          <w:color w:val="000000"/>
          <w:sz w:val="18"/>
          <w:szCs w:val="18"/>
        </w:rPr>
        <w:t xml:space="preserve"> Perú. Perú: Banco Mundial.</w:t>
      </w:r>
      <w:r w:rsidR="001F5E4B">
        <w:rPr>
          <w:color w:val="000000"/>
          <w:sz w:val="18"/>
          <w:szCs w:val="18"/>
        </w:rPr>
        <w:t xml:space="preserve"> </w:t>
      </w:r>
    </w:p>
  </w:footnote>
  <w:footnote w:id="2">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Fundación Konrad Adenauer. (2021). </w:t>
      </w:r>
      <w:hyperlink r:id="rId1">
        <w:r>
          <w:rPr>
            <w:color w:val="0000FF"/>
            <w:sz w:val="18"/>
            <w:szCs w:val="18"/>
            <w:u w:val="single"/>
          </w:rPr>
          <w:t>Migración venezolana</w:t>
        </w:r>
      </w:hyperlink>
      <w:r>
        <w:rPr>
          <w:color w:val="000000"/>
          <w:sz w:val="18"/>
          <w:szCs w:val="18"/>
        </w:rPr>
        <w:t xml:space="preserve">. </w:t>
      </w:r>
    </w:p>
  </w:footnote>
  <w:footnote w:id="3">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Ídem.</w:t>
      </w:r>
    </w:p>
  </w:footnote>
  <w:footnote w:id="4">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ACNUR. (2022). </w:t>
      </w:r>
      <w:hyperlink r:id="rId2">
        <w:r>
          <w:rPr>
            <w:color w:val="0000FF"/>
            <w:sz w:val="18"/>
            <w:szCs w:val="18"/>
            <w:u w:val="single"/>
          </w:rPr>
          <w:t>Perú</w:t>
        </w:r>
      </w:hyperlink>
      <w:r>
        <w:rPr>
          <w:color w:val="000000"/>
          <w:sz w:val="18"/>
          <w:szCs w:val="18"/>
        </w:rPr>
        <w:t>.</w:t>
      </w:r>
    </w:p>
  </w:footnote>
  <w:footnote w:id="5">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Ídem.</w:t>
      </w:r>
    </w:p>
  </w:footnote>
  <w:footnote w:id="6">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INEI. (2019). Condiciones de vida de la población venezolana que reside en Perú. Lima: INEI, p. 72.</w:t>
      </w:r>
    </w:p>
  </w:footnote>
  <w:footnote w:id="7">
    <w:p w:rsidR="002D1F37" w:rsidRDefault="00830A74">
      <w:pPr>
        <w:spacing w:after="0" w:line="240" w:lineRule="auto"/>
        <w:jc w:val="both"/>
        <w:rPr>
          <w:sz w:val="18"/>
          <w:szCs w:val="18"/>
        </w:rPr>
      </w:pPr>
      <w:r>
        <w:rPr>
          <w:vertAlign w:val="superscript"/>
        </w:rPr>
        <w:footnoteRef/>
      </w:r>
      <w:r>
        <w:rPr>
          <w:sz w:val="18"/>
          <w:szCs w:val="18"/>
        </w:rPr>
        <w:t xml:space="preserve"> </w:t>
      </w:r>
      <w:r w:rsidR="005879BF" w:rsidRPr="005879BF">
        <w:rPr>
          <w:sz w:val="18"/>
          <w:szCs w:val="18"/>
        </w:rPr>
        <w:t xml:space="preserve">The SIS (Seguro Integral de Salud) is a Health Insurance Fund Management Institution that manages funds for the coverage of health care through two types of regimes: (i) subsidized and (ii) semi-contributory. The first is intended for low-income people considered "poor" or "extremely poor" and the second for people who can contribute financially. </w:t>
      </w:r>
      <w:r>
        <w:rPr>
          <w:sz w:val="18"/>
          <w:szCs w:val="18"/>
        </w:rPr>
        <w:t xml:space="preserve"> </w:t>
      </w:r>
    </w:p>
  </w:footnote>
  <w:footnote w:id="8">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Ídem.</w:t>
      </w:r>
    </w:p>
  </w:footnote>
  <w:footnote w:id="9">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Banco Mundial. (2019). Una oportunidad para todos. Los migrantes y refugiados venezolanos y el desarrollo </w:t>
      </w:r>
      <w:proofErr w:type="gramStart"/>
      <w:r>
        <w:rPr>
          <w:color w:val="000000"/>
          <w:sz w:val="18"/>
          <w:szCs w:val="18"/>
        </w:rPr>
        <w:t>del</w:t>
      </w:r>
      <w:proofErr w:type="gramEnd"/>
      <w:r>
        <w:rPr>
          <w:color w:val="000000"/>
          <w:sz w:val="18"/>
          <w:szCs w:val="18"/>
        </w:rPr>
        <w:t xml:space="preserve"> Perú. Lima: Banco Mundial, p. 139.</w:t>
      </w:r>
    </w:p>
  </w:footnote>
  <w:footnote w:id="10">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Defensoría </w:t>
      </w:r>
      <w:proofErr w:type="gramStart"/>
      <w:r>
        <w:rPr>
          <w:color w:val="000000"/>
          <w:sz w:val="18"/>
          <w:szCs w:val="18"/>
        </w:rPr>
        <w:t>del</w:t>
      </w:r>
      <w:proofErr w:type="gramEnd"/>
      <w:r>
        <w:rPr>
          <w:color w:val="000000"/>
          <w:sz w:val="18"/>
          <w:szCs w:val="18"/>
        </w:rPr>
        <w:t xml:space="preserve"> Pueblo. Personas venezolanas en el Perú. Análisis de la situación antes y </w:t>
      </w:r>
      <w:proofErr w:type="gramStart"/>
      <w:r>
        <w:rPr>
          <w:color w:val="000000"/>
          <w:sz w:val="18"/>
          <w:szCs w:val="18"/>
        </w:rPr>
        <w:t>durante</w:t>
      </w:r>
      <w:proofErr w:type="gramEnd"/>
      <w:r>
        <w:rPr>
          <w:color w:val="000000"/>
          <w:sz w:val="18"/>
          <w:szCs w:val="18"/>
        </w:rPr>
        <w:t xml:space="preserve"> la crisis sanitaria generada por el Covid-29. Informe de Adjuntía N° 002-2020-DP/ADHPD. Lima: Defensoría </w:t>
      </w:r>
      <w:proofErr w:type="gramStart"/>
      <w:r>
        <w:rPr>
          <w:color w:val="000000"/>
          <w:sz w:val="18"/>
          <w:szCs w:val="18"/>
        </w:rPr>
        <w:t>del</w:t>
      </w:r>
      <w:proofErr w:type="gramEnd"/>
      <w:r>
        <w:rPr>
          <w:color w:val="000000"/>
          <w:sz w:val="18"/>
          <w:szCs w:val="18"/>
        </w:rPr>
        <w:t xml:space="preserve"> Pueblo, 2020, p. 45.</w:t>
      </w:r>
    </w:p>
  </w:footnote>
  <w:footnote w:id="11">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Ibidem, p. 46</w:t>
      </w:r>
    </w:p>
  </w:footnote>
  <w:footnote w:id="12">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INEI. Condiciones de vida de la población venezolana que reside en Perú. Lima: INEI, </w:t>
      </w:r>
      <w:r>
        <w:rPr>
          <w:sz w:val="18"/>
          <w:szCs w:val="18"/>
        </w:rPr>
        <w:t>2019,</w:t>
      </w:r>
      <w:r>
        <w:rPr>
          <w:color w:val="000000"/>
          <w:sz w:val="18"/>
          <w:szCs w:val="18"/>
        </w:rPr>
        <w:t xml:space="preserve"> p. 73.</w:t>
      </w:r>
    </w:p>
  </w:footnote>
  <w:footnote w:id="13">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Ibidem, p. 75.</w:t>
      </w:r>
    </w:p>
  </w:footnote>
  <w:footnote w:id="14">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Salud con Lupa. </w:t>
      </w:r>
      <w:hyperlink r:id="rId3">
        <w:r>
          <w:rPr>
            <w:color w:val="0000FF"/>
            <w:sz w:val="18"/>
            <w:szCs w:val="18"/>
            <w:u w:val="single"/>
          </w:rPr>
          <w:t>El desconcierto de las embarazadas que se quedaron sin controles prenatales</w:t>
        </w:r>
      </w:hyperlink>
      <w:r>
        <w:rPr>
          <w:color w:val="000000"/>
          <w:sz w:val="18"/>
          <w:szCs w:val="18"/>
        </w:rPr>
        <w:t>.</w:t>
      </w:r>
      <w:r>
        <w:rPr>
          <w:sz w:val="18"/>
          <w:szCs w:val="18"/>
        </w:rPr>
        <w:t xml:space="preserve"> (2 de mayo de 2020).</w:t>
      </w:r>
    </w:p>
  </w:footnote>
  <w:footnote w:id="15">
    <w:p w:rsidR="002D1F37" w:rsidRDefault="00830A74">
      <w:pPr>
        <w:spacing w:after="0" w:line="240" w:lineRule="auto"/>
        <w:rPr>
          <w:sz w:val="18"/>
          <w:szCs w:val="18"/>
        </w:rPr>
      </w:pPr>
      <w:r>
        <w:rPr>
          <w:vertAlign w:val="superscript"/>
        </w:rPr>
        <w:footnoteRef/>
      </w:r>
      <w:r>
        <w:rPr>
          <w:sz w:val="18"/>
          <w:szCs w:val="18"/>
        </w:rPr>
        <w:t xml:space="preserve"> </w:t>
      </w:r>
      <w:r w:rsidR="001F5E4B" w:rsidRPr="001F5E4B">
        <w:rPr>
          <w:sz w:val="18"/>
          <w:szCs w:val="18"/>
        </w:rPr>
        <w:t>It is composed of a set of medications that are focused on safeguarding the health of a victim of sexual violence. The medications that compose it are: Levonorgestrel (emergency oral contraceptive), rapid test for hepatitis B and for the detection of HIV/Syphilis, diphtheria and tetanus vaccine, azithromycin, chorionic gonadotropin, among others</w:t>
      </w:r>
      <w:proofErr w:type="gramStart"/>
      <w:r w:rsidR="001F5E4B" w:rsidRPr="001F5E4B">
        <w:rPr>
          <w:sz w:val="18"/>
          <w:szCs w:val="18"/>
        </w:rPr>
        <w:t>.</w:t>
      </w:r>
      <w:r>
        <w:rPr>
          <w:sz w:val="18"/>
          <w:szCs w:val="18"/>
        </w:rPr>
        <w:t>.</w:t>
      </w:r>
      <w:proofErr w:type="gramEnd"/>
    </w:p>
  </w:footnote>
  <w:footnote w:id="16">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Diario Oficial El Peruano. </w:t>
      </w:r>
      <w:hyperlink r:id="rId4">
        <w:r>
          <w:rPr>
            <w:i/>
            <w:color w:val="000000"/>
            <w:sz w:val="18"/>
            <w:szCs w:val="18"/>
            <w:u w:val="single"/>
          </w:rPr>
          <w:t xml:space="preserve">UNFPA: Pandemia incrementaría en 40% nacimientos no planificados en el país </w:t>
        </w:r>
        <w:proofErr w:type="gramStart"/>
        <w:r>
          <w:rPr>
            <w:i/>
            <w:color w:val="000000"/>
            <w:sz w:val="18"/>
            <w:szCs w:val="18"/>
            <w:u w:val="single"/>
          </w:rPr>
          <w:t>durante</w:t>
        </w:r>
        <w:proofErr w:type="gramEnd"/>
        <w:r>
          <w:rPr>
            <w:i/>
            <w:color w:val="000000"/>
            <w:sz w:val="18"/>
            <w:szCs w:val="18"/>
            <w:u w:val="single"/>
          </w:rPr>
          <w:t xml:space="preserve"> 2020-2021</w:t>
        </w:r>
      </w:hyperlink>
      <w:r>
        <w:rPr>
          <w:color w:val="000000"/>
          <w:sz w:val="18"/>
          <w:szCs w:val="18"/>
        </w:rPr>
        <w:t>, 6 de mayo 2020.</w:t>
      </w:r>
    </w:p>
  </w:footnote>
  <w:footnote w:id="17">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INEI. (2019). Condiciones de vida de la población venezolana que reside en Perú. Lima: INEI, p. 74.</w:t>
      </w:r>
    </w:p>
  </w:footnote>
  <w:footnote w:id="18">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Ibidem, p. 76.</w:t>
      </w:r>
    </w:p>
  </w:footnote>
  <w:footnote w:id="19">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Defensoría del Pueblo, Pronunciamiento 05/DP/2016, </w:t>
      </w:r>
      <w:r>
        <w:rPr>
          <w:i/>
          <w:color w:val="000000"/>
          <w:sz w:val="18"/>
          <w:szCs w:val="18"/>
        </w:rPr>
        <w:t>Defensoría del Pueblo reitera su posición institucional sobre la distribución de la AOE</w:t>
      </w:r>
      <w:r>
        <w:rPr>
          <w:color w:val="000000"/>
          <w:sz w:val="18"/>
          <w:szCs w:val="18"/>
        </w:rPr>
        <w:t xml:space="preserve">, 16 de agosto de 2016. Disponible: </w:t>
      </w:r>
      <w:hyperlink r:id="rId5">
        <w:r>
          <w:rPr>
            <w:color w:val="0000FF"/>
            <w:sz w:val="18"/>
            <w:szCs w:val="18"/>
            <w:u w:val="single"/>
          </w:rPr>
          <w:t>https://www.defensoria.gob.pe/wp-content/uploads/2018/05/05.-Distribucion-de-AOE-26-08-16.pdf</w:t>
        </w:r>
      </w:hyperlink>
      <w:r>
        <w:rPr>
          <w:color w:val="0000FF"/>
          <w:sz w:val="18"/>
          <w:szCs w:val="18"/>
          <w:u w:val="single"/>
        </w:rPr>
        <w:t>.</w:t>
      </w:r>
    </w:p>
  </w:footnote>
  <w:footnote w:id="20">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Defensoría </w:t>
      </w:r>
      <w:proofErr w:type="gramStart"/>
      <w:r>
        <w:rPr>
          <w:color w:val="000000"/>
          <w:sz w:val="18"/>
          <w:szCs w:val="18"/>
        </w:rPr>
        <w:t>del</w:t>
      </w:r>
      <w:proofErr w:type="gramEnd"/>
      <w:r>
        <w:rPr>
          <w:color w:val="000000"/>
          <w:sz w:val="18"/>
          <w:szCs w:val="18"/>
        </w:rPr>
        <w:t xml:space="preserve"> Pueblo. Nota de Prensa No. 202/OCII/DP/2019, </w:t>
      </w:r>
      <w:r>
        <w:rPr>
          <w:i/>
          <w:color w:val="000000"/>
          <w:sz w:val="18"/>
          <w:szCs w:val="18"/>
        </w:rPr>
        <w:t xml:space="preserve">Defensoría </w:t>
      </w:r>
      <w:proofErr w:type="gramStart"/>
      <w:r>
        <w:rPr>
          <w:i/>
          <w:color w:val="000000"/>
          <w:sz w:val="18"/>
          <w:szCs w:val="18"/>
        </w:rPr>
        <w:t>del</w:t>
      </w:r>
      <w:proofErr w:type="gramEnd"/>
      <w:r>
        <w:rPr>
          <w:i/>
          <w:color w:val="000000"/>
          <w:sz w:val="18"/>
          <w:szCs w:val="18"/>
        </w:rPr>
        <w:t xml:space="preserve"> Pueblo: ministerio de salud debe ejecutar fallo que le ordena distribuir gratis “píldora del día siguiente</w:t>
      </w:r>
      <w:r>
        <w:rPr>
          <w:color w:val="000000"/>
          <w:sz w:val="18"/>
          <w:szCs w:val="18"/>
        </w:rPr>
        <w:t xml:space="preserve">”, 4 de julio de 2019. Disponible en: </w:t>
      </w:r>
      <w:hyperlink r:id="rId6">
        <w:r>
          <w:rPr>
            <w:color w:val="0000FF"/>
            <w:sz w:val="18"/>
            <w:szCs w:val="18"/>
            <w:u w:val="single"/>
          </w:rPr>
          <w:t>https://www.defensoria.gob.pe/wp-content/uploads/2019/07/NP-202-19.pdf</w:t>
        </w:r>
      </w:hyperlink>
      <w:r>
        <w:rPr>
          <w:color w:val="0000FF"/>
          <w:sz w:val="18"/>
          <w:szCs w:val="18"/>
          <w:u w:val="single"/>
        </w:rPr>
        <w:t>.</w:t>
      </w:r>
    </w:p>
  </w:footnote>
  <w:footnote w:id="21">
    <w:p w:rsidR="002D1F37" w:rsidRDefault="00830A74">
      <w:pPr>
        <w:spacing w:after="0" w:line="240" w:lineRule="auto"/>
        <w:rPr>
          <w:sz w:val="18"/>
          <w:szCs w:val="18"/>
        </w:rPr>
      </w:pPr>
      <w:r>
        <w:rPr>
          <w:vertAlign w:val="superscript"/>
        </w:rPr>
        <w:footnoteRef/>
      </w:r>
      <w:r>
        <w:rPr>
          <w:sz w:val="18"/>
          <w:szCs w:val="18"/>
        </w:rPr>
        <w:t xml:space="preserve"> Tribunal Constitucional, Sentencia, Expediente N. 02005-2009-PA/TC (2009), Lima, 16 de octubre de 200</w:t>
      </w:r>
    </w:p>
  </w:footnote>
  <w:footnote w:id="22">
    <w:p w:rsidR="002704C0" w:rsidRDefault="002704C0" w:rsidP="002704C0">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El Comercio, </w:t>
      </w:r>
      <w:hyperlink r:id="rId7">
        <w:r>
          <w:rPr>
            <w:i/>
            <w:color w:val="000000"/>
            <w:sz w:val="18"/>
            <w:szCs w:val="18"/>
            <w:u w:val="single"/>
          </w:rPr>
          <w:t xml:space="preserve">“El acceso </w:t>
        </w:r>
        <w:proofErr w:type="gramStart"/>
        <w:r>
          <w:rPr>
            <w:i/>
            <w:color w:val="000000"/>
            <w:sz w:val="18"/>
            <w:szCs w:val="18"/>
            <w:u w:val="single"/>
          </w:rPr>
          <w:t>a</w:t>
        </w:r>
        <w:proofErr w:type="gramEnd"/>
        <w:r>
          <w:rPr>
            <w:i/>
            <w:color w:val="000000"/>
            <w:sz w:val="18"/>
            <w:szCs w:val="18"/>
            <w:u w:val="single"/>
          </w:rPr>
          <w:t xml:space="preserve"> anticonceptivos ha sido afectado en el contexto del COVID-19”</w:t>
        </w:r>
      </w:hyperlink>
      <w:r>
        <w:rPr>
          <w:color w:val="000000"/>
          <w:sz w:val="18"/>
          <w:szCs w:val="18"/>
        </w:rPr>
        <w:t>, 25 de mayo de 2020.</w:t>
      </w:r>
    </w:p>
  </w:footnote>
  <w:footnote w:id="23">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Mesa de Concertación para la Lucha contra la Pobreza, Equipo de Seguimiento Concertado a las Políticas de Salud Sub Grupo, “Prevención del Embarazo en Adolescentes”, Alerta No. 1-2018-SC/MCLCP, </w:t>
      </w:r>
      <w:r>
        <w:rPr>
          <w:i/>
          <w:color w:val="000000"/>
          <w:sz w:val="18"/>
          <w:szCs w:val="18"/>
        </w:rPr>
        <w:t>Embarazo en Adolescentes Peruanas Aumentó</w:t>
      </w:r>
      <w:r>
        <w:rPr>
          <w:color w:val="000000"/>
          <w:sz w:val="18"/>
          <w:szCs w:val="18"/>
        </w:rPr>
        <w:t xml:space="preserve">, 12 de junio del 2018, p. 4. </w:t>
      </w:r>
    </w:p>
  </w:footnote>
  <w:footnote w:id="24">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Instituto Nacional de Estadística e Informática. Perú. Encuesta Demográfica y de Salud Familiar. ENDES 2020. (2020). Disponible en: </w:t>
      </w:r>
      <w:hyperlink r:id="rId8">
        <w:r>
          <w:rPr>
            <w:color w:val="0000FF"/>
            <w:sz w:val="18"/>
            <w:szCs w:val="18"/>
            <w:u w:val="single"/>
          </w:rPr>
          <w:t>https://proyectos.inei.gob.pe/endes/2020/INFORME_PRINCIPAL_2020/INFORME_PRINCIPAL_ENDES_2020.pdf</w:t>
        </w:r>
      </w:hyperlink>
      <w:r>
        <w:rPr>
          <w:color w:val="000000"/>
          <w:sz w:val="18"/>
          <w:szCs w:val="18"/>
        </w:rPr>
        <w:t xml:space="preserve"> Ministerio de Salud. </w:t>
      </w:r>
      <w:r>
        <w:rPr>
          <w:i/>
          <w:color w:val="000000"/>
          <w:sz w:val="18"/>
          <w:szCs w:val="18"/>
        </w:rPr>
        <w:t>En el Perú, 12 de cada 100 adolescentes están embarazadas o ya son madres.</w:t>
      </w:r>
      <w:r>
        <w:rPr>
          <w:color w:val="000000"/>
          <w:sz w:val="18"/>
          <w:szCs w:val="18"/>
        </w:rPr>
        <w:t xml:space="preserve"> (23 de setiembre de 2020). Disponible en </w:t>
      </w:r>
      <w:hyperlink r:id="rId9">
        <w:r>
          <w:rPr>
            <w:color w:val="0000FF"/>
            <w:sz w:val="18"/>
            <w:szCs w:val="18"/>
            <w:u w:val="single"/>
          </w:rPr>
          <w:t>https://www.gob.pe/institucion/minsa/noticias/303880-en-el-peru-12-de-cada-100-adolescentes-estan-embarazadas-o-ya-son-madres</w:t>
        </w:r>
      </w:hyperlink>
      <w:r>
        <w:rPr>
          <w:color w:val="000000"/>
          <w:sz w:val="18"/>
          <w:szCs w:val="18"/>
        </w:rPr>
        <w:t xml:space="preserve"> </w:t>
      </w:r>
    </w:p>
  </w:footnote>
  <w:footnote w:id="25">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UNFPA 2019. Ver Portal de </w:t>
      </w:r>
      <w:hyperlink r:id="rId10">
        <w:r>
          <w:rPr>
            <w:color w:val="0000FF"/>
            <w:sz w:val="18"/>
            <w:szCs w:val="18"/>
            <w:u w:val="single"/>
          </w:rPr>
          <w:t>Promsex embarazos adolescente en el Perú</w:t>
        </w:r>
      </w:hyperlink>
      <w:r>
        <w:rPr>
          <w:color w:val="000000"/>
          <w:sz w:val="18"/>
          <w:szCs w:val="18"/>
        </w:rPr>
        <w:t>.</w:t>
      </w:r>
    </w:p>
  </w:footnote>
  <w:footnote w:id="26">
    <w:p w:rsidR="002D1F37" w:rsidRDefault="00830A74">
      <w:pPr>
        <w:pBdr>
          <w:top w:val="nil"/>
          <w:left w:val="nil"/>
          <w:bottom w:val="nil"/>
          <w:right w:val="nil"/>
          <w:between w:val="nil"/>
        </w:pBdr>
        <w:spacing w:after="0" w:line="240" w:lineRule="auto"/>
        <w:jc w:val="both"/>
        <w:rPr>
          <w:strike/>
          <w:color w:val="000000"/>
          <w:sz w:val="18"/>
          <w:szCs w:val="18"/>
        </w:rPr>
      </w:pPr>
      <w:r>
        <w:rPr>
          <w:vertAlign w:val="superscript"/>
        </w:rPr>
        <w:footnoteRef/>
      </w:r>
      <w:r>
        <w:rPr>
          <w:color w:val="000000"/>
          <w:sz w:val="18"/>
          <w:szCs w:val="18"/>
        </w:rPr>
        <w:t xml:space="preserve"> Cristina Puig Borràs &amp; Brenda I. Álvarez Álvarez, The history of universal access to emergency contraception in Peru: a case of politics deepening inequalities, 26 REPROD. HEALTH MATTERS, no. 54, Nov. 2018, at 47-50. </w:t>
      </w:r>
    </w:p>
  </w:footnote>
  <w:footnote w:id="27">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Ídem</w:t>
      </w:r>
    </w:p>
  </w:footnote>
  <w:footnote w:id="28">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Código Penal peruano, art. 173 (Peru), disponible en </w:t>
      </w:r>
      <w:hyperlink r:id="rId11" w:history="1">
        <w:r w:rsidR="001F5E4B" w:rsidRPr="004861A4">
          <w:rPr>
            <w:rStyle w:val="Hipervnculo"/>
            <w:sz w:val="18"/>
            <w:szCs w:val="18"/>
          </w:rPr>
          <w:t>http://spij.minjus.gob.pe/content/publicaciones_oficiales/img/CODIGOPENAL.pdf</w:t>
        </w:r>
      </w:hyperlink>
      <w:r w:rsidR="001F5E4B">
        <w:rPr>
          <w:color w:val="000000"/>
          <w:sz w:val="18"/>
          <w:szCs w:val="18"/>
        </w:rPr>
        <w:t xml:space="preserve"> </w:t>
      </w:r>
    </w:p>
  </w:footnote>
  <w:footnote w:id="29">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w:t>
      </w:r>
      <w:hyperlink r:id="rId12">
        <w:r>
          <w:rPr>
            <w:color w:val="0000FF"/>
            <w:sz w:val="18"/>
            <w:szCs w:val="18"/>
            <w:u w:val="single"/>
          </w:rPr>
          <w:t xml:space="preserve">Sistema de Registro </w:t>
        </w:r>
        <w:proofErr w:type="gramStart"/>
        <w:r>
          <w:rPr>
            <w:color w:val="0000FF"/>
            <w:sz w:val="18"/>
            <w:szCs w:val="18"/>
            <w:u w:val="single"/>
          </w:rPr>
          <w:t>del</w:t>
        </w:r>
        <w:proofErr w:type="gramEnd"/>
        <w:r>
          <w:rPr>
            <w:color w:val="0000FF"/>
            <w:sz w:val="18"/>
            <w:szCs w:val="18"/>
            <w:u w:val="single"/>
          </w:rPr>
          <w:t xml:space="preserve"> Certificado de Nacido Vivo en Línea</w:t>
        </w:r>
      </w:hyperlink>
      <w:r>
        <w:rPr>
          <w:color w:val="000000"/>
          <w:sz w:val="18"/>
          <w:szCs w:val="18"/>
        </w:rPr>
        <w:t>, estadística 2021.</w:t>
      </w:r>
    </w:p>
  </w:footnote>
  <w:footnote w:id="30">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Respuesta </w:t>
      </w:r>
      <w:proofErr w:type="gramStart"/>
      <w:r>
        <w:rPr>
          <w:color w:val="000000"/>
          <w:sz w:val="18"/>
          <w:szCs w:val="18"/>
        </w:rPr>
        <w:t>del</w:t>
      </w:r>
      <w:proofErr w:type="gramEnd"/>
      <w:r>
        <w:rPr>
          <w:color w:val="000000"/>
          <w:sz w:val="18"/>
          <w:szCs w:val="18"/>
        </w:rPr>
        <w:t xml:space="preserve"> Ministerio de Salud a una solicitud de información pública realizada mediante Carta No. 08-2017-SIS/OGIIT. Base de datos </w:t>
      </w:r>
      <w:proofErr w:type="gramStart"/>
      <w:r>
        <w:rPr>
          <w:color w:val="000000"/>
          <w:sz w:val="18"/>
          <w:szCs w:val="18"/>
        </w:rPr>
        <w:t>del</w:t>
      </w:r>
      <w:proofErr w:type="gramEnd"/>
      <w:r>
        <w:rPr>
          <w:color w:val="000000"/>
          <w:sz w:val="18"/>
          <w:szCs w:val="18"/>
        </w:rPr>
        <w:t xml:space="preserve"> Sistema Integral de Salud 2016.</w:t>
      </w:r>
    </w:p>
  </w:footnote>
  <w:footnote w:id="31">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Respuesta del Ministerio de Salud a una solicitud de información pública realizada mediante Oficio No. 761-2019 de fecha 14 de abril de 2019, pág. 4.</w:t>
      </w:r>
    </w:p>
  </w:footnote>
  <w:footnote w:id="32">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Ministerio de Salud (MINSA), </w:t>
      </w:r>
      <w:hyperlink r:id="rId13">
        <w:r>
          <w:rPr>
            <w:color w:val="1155CC"/>
            <w:sz w:val="18"/>
            <w:szCs w:val="18"/>
            <w:u w:val="single"/>
          </w:rPr>
          <w:t xml:space="preserve">Boletín Epidemiológico </w:t>
        </w:r>
        <w:proofErr w:type="gramStart"/>
        <w:r>
          <w:rPr>
            <w:color w:val="1155CC"/>
            <w:sz w:val="18"/>
            <w:szCs w:val="18"/>
            <w:u w:val="single"/>
          </w:rPr>
          <w:t>del</w:t>
        </w:r>
        <w:proofErr w:type="gramEnd"/>
        <w:r>
          <w:rPr>
            <w:color w:val="1155CC"/>
            <w:sz w:val="18"/>
            <w:szCs w:val="18"/>
            <w:u w:val="single"/>
          </w:rPr>
          <w:t xml:space="preserve"> Perú</w:t>
        </w:r>
      </w:hyperlink>
      <w:r>
        <w:rPr>
          <w:color w:val="000000"/>
          <w:sz w:val="18"/>
          <w:szCs w:val="18"/>
        </w:rPr>
        <w:t xml:space="preserve">, SE 52-2019, pág. 1337. </w:t>
      </w:r>
    </w:p>
  </w:footnote>
  <w:footnote w:id="33">
    <w:p w:rsidR="002D1F37" w:rsidRDefault="00830A74">
      <w:pPr>
        <w:spacing w:after="0" w:line="240" w:lineRule="auto"/>
        <w:jc w:val="both"/>
        <w:rPr>
          <w:sz w:val="18"/>
          <w:szCs w:val="18"/>
        </w:rPr>
      </w:pPr>
      <w:r>
        <w:rPr>
          <w:vertAlign w:val="superscript"/>
        </w:rPr>
        <w:footnoteRef/>
      </w:r>
      <w:r>
        <w:rPr>
          <w:sz w:val="18"/>
          <w:szCs w:val="18"/>
        </w:rPr>
        <w:t xml:space="preserve"> Ministerio de Salud (MINSA), </w:t>
      </w:r>
      <w:hyperlink r:id="rId14">
        <w:r>
          <w:rPr>
            <w:i/>
            <w:color w:val="1155CC"/>
            <w:sz w:val="18"/>
            <w:szCs w:val="18"/>
            <w:u w:val="single"/>
          </w:rPr>
          <w:t>Número de muertes maternas anual y hasta la SE 21</w:t>
        </w:r>
      </w:hyperlink>
      <w:r>
        <w:rPr>
          <w:i/>
          <w:sz w:val="18"/>
          <w:szCs w:val="18"/>
        </w:rPr>
        <w:t>, 2000-2020</w:t>
      </w:r>
      <w:r>
        <w:rPr>
          <w:sz w:val="18"/>
          <w:szCs w:val="18"/>
        </w:rPr>
        <w:t xml:space="preserve">. </w:t>
      </w:r>
    </w:p>
  </w:footnote>
  <w:footnote w:id="34">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INEI. </w:t>
      </w:r>
      <w:r>
        <w:rPr>
          <w:i/>
          <w:color w:val="000000"/>
          <w:sz w:val="18"/>
          <w:szCs w:val="18"/>
        </w:rPr>
        <w:t>Perú: Situación Social de las Madres Adolescentes</w:t>
      </w:r>
      <w:r>
        <w:rPr>
          <w:color w:val="000000"/>
          <w:sz w:val="18"/>
          <w:szCs w:val="18"/>
        </w:rPr>
        <w:t xml:space="preserve">, 2007. Lima: INEI, 2010. </w:t>
      </w:r>
    </w:p>
  </w:footnote>
  <w:footnote w:id="35">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PROMSE</w:t>
      </w:r>
      <w:hyperlink r:id="rId15">
        <w:r>
          <w:rPr>
            <w:color w:val="0000FF"/>
            <w:sz w:val="18"/>
            <w:szCs w:val="18"/>
            <w:highlight w:val="white"/>
            <w:u w:val="single"/>
          </w:rPr>
          <w:t>X</w:t>
        </w:r>
      </w:hyperlink>
      <w:r>
        <w:rPr>
          <w:color w:val="000000"/>
          <w:sz w:val="18"/>
          <w:szCs w:val="18"/>
        </w:rPr>
        <w:t xml:space="preserve">. </w:t>
      </w:r>
      <w:r>
        <w:rPr>
          <w:i/>
          <w:color w:val="000000"/>
          <w:sz w:val="18"/>
          <w:szCs w:val="18"/>
        </w:rPr>
        <w:t xml:space="preserve">Historias para no </w:t>
      </w:r>
      <w:r>
        <w:rPr>
          <w:color w:val="000000"/>
          <w:sz w:val="18"/>
          <w:szCs w:val="18"/>
        </w:rPr>
        <w:t xml:space="preserve">olvidar, </w:t>
      </w:r>
      <w:r>
        <w:rPr>
          <w:i/>
          <w:color w:val="000000"/>
          <w:sz w:val="18"/>
          <w:szCs w:val="18"/>
        </w:rPr>
        <w:t xml:space="preserve">supra </w:t>
      </w:r>
      <w:r>
        <w:rPr>
          <w:color w:val="000000"/>
          <w:sz w:val="18"/>
          <w:szCs w:val="18"/>
        </w:rPr>
        <w:t xml:space="preserve">nota 27. </w:t>
      </w:r>
      <w:r w:rsidR="001F5E4B" w:rsidRPr="001F5E4B">
        <w:rPr>
          <w:color w:val="000000"/>
          <w:sz w:val="18"/>
          <w:szCs w:val="18"/>
        </w:rPr>
        <w:t>Among the results of this research: of the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footnote>
  <w:footnote w:id="36">
    <w:p w:rsidR="002D1F37" w:rsidRDefault="00830A74">
      <w:pPr>
        <w:spacing w:after="0" w:line="240" w:lineRule="auto"/>
        <w:jc w:val="both"/>
        <w:rPr>
          <w:sz w:val="18"/>
          <w:szCs w:val="18"/>
        </w:rPr>
      </w:pPr>
      <w:r>
        <w:rPr>
          <w:vertAlign w:val="superscript"/>
        </w:rPr>
        <w:footnoteRef/>
      </w:r>
      <w:r>
        <w:rPr>
          <w:sz w:val="18"/>
          <w:szCs w:val="18"/>
        </w:rPr>
        <w:t xml:space="preserve"> </w:t>
      </w:r>
      <w:proofErr w:type="gramStart"/>
      <w:r>
        <w:rPr>
          <w:i/>
          <w:sz w:val="18"/>
          <w:szCs w:val="18"/>
        </w:rPr>
        <w:t>Ibidem.,</w:t>
      </w:r>
      <w:proofErr w:type="gramEnd"/>
      <w:r>
        <w:rPr>
          <w:i/>
          <w:sz w:val="18"/>
          <w:szCs w:val="18"/>
        </w:rPr>
        <w:t xml:space="preserve"> </w:t>
      </w:r>
      <w:r>
        <w:rPr>
          <w:sz w:val="18"/>
          <w:szCs w:val="18"/>
        </w:rPr>
        <w:t>para 18.</w:t>
      </w:r>
    </w:p>
  </w:footnote>
  <w:footnote w:id="37">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w:t>
      </w:r>
      <w:r>
        <w:rPr>
          <w:i/>
          <w:color w:val="000000"/>
          <w:sz w:val="18"/>
          <w:szCs w:val="18"/>
        </w:rPr>
        <w:t>Ibidem</w:t>
      </w:r>
      <w:r>
        <w:rPr>
          <w:color w:val="000000"/>
          <w:sz w:val="18"/>
          <w:szCs w:val="18"/>
        </w:rPr>
        <w:t xml:space="preserve">, para 21. Comité para la Eliminación de la Discriminación contra la Mujer, </w:t>
      </w:r>
      <w:r>
        <w:rPr>
          <w:i/>
          <w:color w:val="000000"/>
          <w:sz w:val="18"/>
          <w:szCs w:val="18"/>
        </w:rPr>
        <w:t>Recomendación general No 19</w:t>
      </w:r>
      <w:r>
        <w:rPr>
          <w:color w:val="000000"/>
          <w:sz w:val="18"/>
          <w:szCs w:val="18"/>
        </w:rPr>
        <w:t xml:space="preserve">: La Violencia contra la Mujer (1992), párr., 6–7; y Comité para la Eliminación de la Discriminación contra la Mujer, </w:t>
      </w:r>
      <w:r>
        <w:rPr>
          <w:i/>
          <w:color w:val="000000"/>
          <w:sz w:val="18"/>
          <w:szCs w:val="18"/>
        </w:rPr>
        <w:t>Recomendación general No 36: sobre el derecho de las niñas y las mujeres a la educación</w:t>
      </w:r>
      <w:r>
        <w:rPr>
          <w:color w:val="000000"/>
          <w:sz w:val="18"/>
          <w:szCs w:val="18"/>
        </w:rPr>
        <w:t>, 27 de noviembre de 2017, UN Doc. CEDAW/C/GC/36, párr. 64–69.</w:t>
      </w:r>
    </w:p>
  </w:footnote>
  <w:footnote w:id="38">
    <w:p w:rsidR="00686605" w:rsidRDefault="00686605" w:rsidP="00686605">
      <w:pPr>
        <w:spacing w:after="0" w:line="240" w:lineRule="auto"/>
        <w:jc w:val="both"/>
        <w:rPr>
          <w:sz w:val="18"/>
          <w:szCs w:val="18"/>
        </w:rPr>
      </w:pPr>
      <w:r>
        <w:rPr>
          <w:vertAlign w:val="superscript"/>
        </w:rPr>
        <w:footnoteRef/>
      </w:r>
      <w:r>
        <w:rPr>
          <w:sz w:val="18"/>
          <w:szCs w:val="18"/>
        </w:rPr>
        <w:t xml:space="preserve"> </w:t>
      </w:r>
      <w:bookmarkStart w:id="2" w:name="_GoBack"/>
      <w:r>
        <w:rPr>
          <w:sz w:val="18"/>
          <w:szCs w:val="18"/>
        </w:rPr>
        <w:t>Código Penal peruano, 1991, artículo 119.</w:t>
      </w:r>
      <w:r w:rsidR="001F5E4B" w:rsidRPr="001F5E4B">
        <w:rPr>
          <w:sz w:val="18"/>
          <w:szCs w:val="18"/>
        </w:rPr>
        <w:t xml:space="preserve"> </w:t>
      </w:r>
      <w:bookmarkEnd w:id="2"/>
      <w:r w:rsidR="001F5E4B" w:rsidRPr="001F5E4B">
        <w:rPr>
          <w:sz w:val="18"/>
          <w:szCs w:val="18"/>
        </w:rPr>
        <w:t>However, even within this ground, access to abortion is very limited.</w:t>
      </w:r>
    </w:p>
  </w:footnote>
  <w:footnote w:id="39">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Comité de Derechos Humanos, </w:t>
      </w:r>
      <w:r>
        <w:rPr>
          <w:i/>
          <w:color w:val="000000"/>
          <w:sz w:val="18"/>
          <w:szCs w:val="18"/>
        </w:rPr>
        <w:t>K.L. vs. Perú</w:t>
      </w:r>
      <w:r>
        <w:rPr>
          <w:color w:val="000000"/>
          <w:sz w:val="18"/>
          <w:szCs w:val="18"/>
        </w:rPr>
        <w:t>, Comunicación No. 1153/2003, U.N. Doc. CCPR/ C/85/D/1153/2003 (2005),pp. 8.</w:t>
      </w:r>
    </w:p>
  </w:footnote>
  <w:footnote w:id="40">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Ministerio de Salud</w:t>
      </w:r>
      <w:r>
        <w:rPr>
          <w:i/>
          <w:color w:val="000000"/>
          <w:sz w:val="18"/>
          <w:szCs w:val="18"/>
        </w:rPr>
        <w:t xml:space="preserve">, </w:t>
      </w:r>
      <w:hyperlink r:id="rId16">
        <w:r>
          <w:rPr>
            <w:i/>
            <w:color w:val="000000"/>
            <w:sz w:val="18"/>
            <w:szCs w:val="18"/>
            <w:u w:val="single"/>
          </w:rPr>
          <w:t>Guía Técnica Nacional para la Estandarización del Procedimiento de la Atención Integral de la Gestante en la Interrupción Voluntaria por Indicación Terapéutica del embarazo menor de 22 semanas con consentimiento informado en el marco de lo dispuesto en el</w:t>
        </w:r>
      </w:hyperlink>
      <w:r>
        <w:rPr>
          <w:i/>
          <w:color w:val="000000"/>
          <w:sz w:val="18"/>
          <w:szCs w:val="18"/>
        </w:rPr>
        <w:t>,</w:t>
      </w:r>
      <w:r>
        <w:rPr>
          <w:color w:val="000000"/>
          <w:sz w:val="18"/>
          <w:szCs w:val="18"/>
        </w:rPr>
        <w:t xml:space="preserve"> aprobada mediante Resolución No. 486-2014/MINSA, de fecha 27 de junio del 2014. </w:t>
      </w:r>
    </w:p>
  </w:footnote>
  <w:footnote w:id="41">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Memorando N° 464-2021-DEOG/INMP, 29 de abril de 2021.</w:t>
      </w:r>
    </w:p>
  </w:footnote>
  <w:footnote w:id="42">
    <w:p w:rsidR="002D1F37" w:rsidRDefault="00830A74">
      <w:pPr>
        <w:widowControl/>
        <w:pBdr>
          <w:top w:val="nil"/>
          <w:left w:val="nil"/>
          <w:bottom w:val="nil"/>
          <w:right w:val="nil"/>
          <w:between w:val="nil"/>
        </w:pBdr>
        <w:spacing w:after="0" w:line="240" w:lineRule="auto"/>
        <w:jc w:val="both"/>
        <w:rPr>
          <w:i/>
          <w:color w:val="000000"/>
          <w:sz w:val="18"/>
          <w:szCs w:val="18"/>
        </w:rPr>
      </w:pPr>
      <w:r>
        <w:rPr>
          <w:vertAlign w:val="superscript"/>
        </w:rPr>
        <w:footnoteRef/>
      </w:r>
      <w:r>
        <w:rPr>
          <w:color w:val="000000"/>
          <w:sz w:val="18"/>
          <w:szCs w:val="18"/>
        </w:rPr>
        <w:t xml:space="preserve"> Ministerio de Salud. (2019). Decreto Supremo N°008-2019-SA </w:t>
      </w:r>
      <w:hyperlink r:id="rId17">
        <w:r>
          <w:rPr>
            <w:color w:val="000000"/>
            <w:sz w:val="18"/>
            <w:szCs w:val="18"/>
            <w:u w:val="single"/>
          </w:rPr>
          <w:t xml:space="preserve">“Protocolo de actuación conjunta entre los Centros de Emergencia Mujer -CEM y los Establecimientos de Salud – EE.SS. </w:t>
        </w:r>
        <w:proofErr w:type="gramStart"/>
        <w:r>
          <w:rPr>
            <w:color w:val="000000"/>
            <w:sz w:val="18"/>
            <w:szCs w:val="18"/>
            <w:u w:val="single"/>
          </w:rPr>
          <w:t>para</w:t>
        </w:r>
        <w:proofErr w:type="gramEnd"/>
        <w:r>
          <w:rPr>
            <w:color w:val="000000"/>
            <w:sz w:val="18"/>
            <w:szCs w:val="18"/>
            <w:u w:val="single"/>
          </w:rPr>
          <w:t xml:space="preserve"> la atención de las personas víctimas de violencia contra las mujeres y los integrantes del grupo familiar, en el marco de la Ley N°30</w:t>
        </w:r>
      </w:hyperlink>
      <w:r>
        <w:rPr>
          <w:color w:val="000000"/>
          <w:sz w:val="18"/>
          <w:szCs w:val="18"/>
        </w:rPr>
        <w:t>.</w:t>
      </w:r>
      <w:r>
        <w:rPr>
          <w:i/>
          <w:color w:val="000000"/>
          <w:sz w:val="18"/>
          <w:szCs w:val="18"/>
        </w:rPr>
        <w:t xml:space="preserve"> </w:t>
      </w:r>
      <w:r>
        <w:rPr>
          <w:color w:val="000000"/>
          <w:sz w:val="18"/>
          <w:szCs w:val="18"/>
        </w:rPr>
        <w:t xml:space="preserve">Nota al pie 58. </w:t>
      </w:r>
    </w:p>
  </w:footnote>
  <w:footnote w:id="43">
    <w:p w:rsidR="002D1F37" w:rsidRDefault="00830A74">
      <w:pPr>
        <w:spacing w:after="0" w:line="240" w:lineRule="auto"/>
        <w:jc w:val="both"/>
        <w:rPr>
          <w:sz w:val="18"/>
          <w:szCs w:val="18"/>
        </w:rPr>
      </w:pPr>
      <w:r>
        <w:rPr>
          <w:vertAlign w:val="superscript"/>
        </w:rPr>
        <w:footnoteRef/>
      </w:r>
      <w:r>
        <w:rPr>
          <w:sz w:val="18"/>
          <w:szCs w:val="18"/>
        </w:rPr>
        <w:t xml:space="preserve"> Estas son: (i) la Directiva Sanitaria N</w:t>
      </w:r>
      <w:proofErr w:type="gramStart"/>
      <w:r>
        <w:rPr>
          <w:sz w:val="18"/>
          <w:szCs w:val="18"/>
        </w:rPr>
        <w:t>.º</w:t>
      </w:r>
      <w:proofErr w:type="gramEnd"/>
      <w:r>
        <w:rPr>
          <w:sz w:val="18"/>
          <w:szCs w:val="18"/>
        </w:rPr>
        <w:t xml:space="preserve"> 094-MINSA/2020/DGIESP (23 de abril de 2020) para ‘Garantizar la salud de las gestantes y la continuidad de la atención en planificación familiar ante la infección por COVID-19’; y (ii) la Directiva Sanitaria N.º 097-MINSA/2020/DGIESP (30 de abril de 2020) para la ‘Prevención y atención de la gestante y del recién nacido con riesgo o infección por COVID-19’. </w:t>
      </w:r>
    </w:p>
  </w:footnote>
  <w:footnote w:id="44">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MINSA, </w:t>
      </w:r>
      <w:r>
        <w:rPr>
          <w:i/>
          <w:color w:val="000000"/>
          <w:sz w:val="18"/>
          <w:szCs w:val="18"/>
        </w:rPr>
        <w:t>Directiva Sanitaria para garantizar la salud de las gestantes y la continuidad de la atención en planificación familiar ante la infección por COVID-19</w:t>
      </w:r>
      <w:r>
        <w:rPr>
          <w:color w:val="000000"/>
          <w:sz w:val="18"/>
          <w:szCs w:val="18"/>
        </w:rPr>
        <w:t xml:space="preserve">, </w:t>
      </w:r>
      <w:hyperlink r:id="rId18">
        <w:r>
          <w:rPr>
            <w:color w:val="000000"/>
            <w:sz w:val="18"/>
            <w:szCs w:val="18"/>
            <w:u w:val="single"/>
          </w:rPr>
          <w:t>Directiva Sanitaria N° 094 -MINSA/2020/DGIESP</w:t>
        </w:r>
      </w:hyperlink>
      <w:r>
        <w:rPr>
          <w:color w:val="000000"/>
          <w:sz w:val="18"/>
          <w:szCs w:val="18"/>
        </w:rPr>
        <w:t xml:space="preserve">. April 23, 2020, párr. 6.4 y 6.2.15. </w:t>
      </w:r>
    </w:p>
  </w:footnote>
  <w:footnote w:id="45">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Código Penal, 1991, </w:t>
      </w:r>
      <w:r>
        <w:rPr>
          <w:i/>
          <w:color w:val="000000"/>
          <w:sz w:val="18"/>
          <w:szCs w:val="18"/>
        </w:rPr>
        <w:t xml:space="preserve">supra </w:t>
      </w:r>
      <w:r>
        <w:rPr>
          <w:color w:val="000000"/>
          <w:sz w:val="18"/>
          <w:szCs w:val="18"/>
        </w:rPr>
        <w:t>nota 22, artículos 114 y 120.</w:t>
      </w:r>
    </w:p>
  </w:footnote>
  <w:footnote w:id="46">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Idem.</w:t>
      </w:r>
    </w:p>
  </w:footnote>
  <w:footnote w:id="47">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Sarah A. Huff, </w:t>
      </w:r>
      <w:r>
        <w:rPr>
          <w:i/>
          <w:color w:val="000000"/>
          <w:sz w:val="18"/>
          <w:szCs w:val="18"/>
        </w:rPr>
        <w:t>Abortion Crisis in Peru: Finding a Woman’s Right to Obtain Safe and Legal Abortions in the Convention on the Elimination of All Forms of Discrimination Against Women</w:t>
      </w:r>
      <w:r>
        <w:rPr>
          <w:color w:val="000000"/>
          <w:sz w:val="18"/>
          <w:szCs w:val="18"/>
        </w:rPr>
        <w:t xml:space="preserve">, 30 B.C. Int’l &amp; Comp. L. Rev. 237, 240 (2007), available at: </w:t>
      </w:r>
      <w:hyperlink r:id="rId19">
        <w:r>
          <w:rPr>
            <w:color w:val="0000FF"/>
            <w:sz w:val="18"/>
            <w:szCs w:val="18"/>
            <w:u w:val="single"/>
          </w:rPr>
          <w:t>http://lawdigitalcommons.bc.edu/iclr/vol30/iss1/14</w:t>
        </w:r>
      </w:hyperlink>
      <w:r>
        <w:rPr>
          <w:color w:val="000000"/>
          <w:sz w:val="18"/>
          <w:szCs w:val="18"/>
        </w:rPr>
        <w:t xml:space="preserve">; Alyssa Rayman-Read, </w:t>
      </w:r>
      <w:r>
        <w:rPr>
          <w:i/>
          <w:color w:val="000000"/>
          <w:sz w:val="18"/>
          <w:szCs w:val="18"/>
        </w:rPr>
        <w:t>The Sound of Silence</w:t>
      </w:r>
      <w:r>
        <w:rPr>
          <w:color w:val="000000"/>
          <w:sz w:val="18"/>
          <w:szCs w:val="18"/>
        </w:rPr>
        <w:t xml:space="preserve">, Am. Prospect, Sept. 24, 2001, at A21. </w:t>
      </w:r>
      <w:r>
        <w:rPr>
          <w:i/>
          <w:color w:val="000000"/>
          <w:sz w:val="18"/>
          <w:szCs w:val="18"/>
        </w:rPr>
        <w:t>Véase también</w:t>
      </w:r>
      <w:r>
        <w:rPr>
          <w:color w:val="000000"/>
          <w:sz w:val="18"/>
          <w:szCs w:val="18"/>
        </w:rPr>
        <w:t xml:space="preserve"> Office of the Deputy Director, </w:t>
      </w:r>
      <w:r>
        <w:rPr>
          <w:i/>
          <w:color w:val="000000"/>
          <w:sz w:val="18"/>
          <w:szCs w:val="18"/>
        </w:rPr>
        <w:t>Health Situation in the Americas: Basic Indicators</w:t>
      </w:r>
      <w:r>
        <w:rPr>
          <w:color w:val="000000"/>
          <w:sz w:val="18"/>
          <w:szCs w:val="18"/>
        </w:rPr>
        <w:t xml:space="preserve">, Pan Am. Health Org., 2005, available at: </w:t>
      </w:r>
      <w:hyperlink r:id="rId20">
        <w:r>
          <w:rPr>
            <w:color w:val="0000FF"/>
            <w:sz w:val="18"/>
            <w:szCs w:val="18"/>
            <w:u w:val="single"/>
          </w:rPr>
          <w:t>http://www.paho.org/English/DD/AIS/BI-brochure-2005</w:t>
        </w:r>
      </w:hyperlink>
    </w:p>
  </w:footnote>
  <w:footnote w:id="48">
    <w:p w:rsidR="002D1F37" w:rsidRDefault="00830A7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Respuesta a la solicitud de acceso a la información </w:t>
      </w:r>
      <w:proofErr w:type="gramStart"/>
      <w:r>
        <w:rPr>
          <w:color w:val="000000"/>
          <w:sz w:val="18"/>
          <w:szCs w:val="18"/>
        </w:rPr>
        <w:t>del</w:t>
      </w:r>
      <w:proofErr w:type="gramEnd"/>
      <w:r>
        <w:rPr>
          <w:color w:val="000000"/>
          <w:sz w:val="18"/>
          <w:szCs w:val="18"/>
        </w:rPr>
        <w:t xml:space="preserve"> Poder Judicial Memorando Nº 132-2021-SE-GP-GG-PJ de fecha 6 de mayo de 2021.</w:t>
      </w:r>
    </w:p>
  </w:footnote>
  <w:footnote w:id="49">
    <w:p w:rsidR="002D1F37" w:rsidRDefault="00830A74">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Ley General de Salud, Ley Nº 26842. Artículo 30, “El médico que brinda atención médica a un apersona herida por una arma blanca, herida de bala, accidente de tránsito o por causa de otro tipo de violencia que constituya delito perseguible de oficio o cuando existam indicios de aborto criminal, está obligado a poner el hecho en conocimiento de la autoridad competente”. </w:t>
      </w:r>
    </w:p>
  </w:footnote>
  <w:footnote w:id="50">
    <w:p w:rsidR="000B218D" w:rsidRDefault="000B218D" w:rsidP="000B218D">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vertAlign w:val="superscript"/>
        </w:rPr>
        <w:t xml:space="preserve"> </w:t>
      </w:r>
      <w:r>
        <w:rPr>
          <w:sz w:val="18"/>
          <w:szCs w:val="18"/>
        </w:rPr>
        <w:t xml:space="preserve">Corte Interamericana de Derechos Humanos. </w:t>
      </w:r>
      <w:hyperlink r:id="rId21">
        <w:r>
          <w:rPr>
            <w:color w:val="1155CC"/>
            <w:sz w:val="18"/>
            <w:szCs w:val="18"/>
            <w:u w:val="single"/>
          </w:rPr>
          <w:t>Caso Manuela y otros vs. Salvador.</w:t>
        </w:r>
      </w:hyperlink>
      <w:r>
        <w:rPr>
          <w:sz w:val="18"/>
          <w:szCs w:val="18"/>
        </w:rPr>
        <w:t xml:space="preserve"> Serie C 441, sentencia 2 de noviembre de 2021. </w:t>
      </w:r>
      <w:proofErr w:type="gramStart"/>
      <w:r>
        <w:rPr>
          <w:sz w:val="18"/>
          <w:szCs w:val="18"/>
        </w:rPr>
        <w:t>párr</w:t>
      </w:r>
      <w:proofErr w:type="gramEnd"/>
      <w:r>
        <w:rPr>
          <w:sz w:val="18"/>
          <w:szCs w:val="18"/>
        </w:rPr>
        <w:t>. 223.</w:t>
      </w:r>
    </w:p>
  </w:footnote>
  <w:footnote w:id="51">
    <w:p w:rsidR="00136919" w:rsidRDefault="00136919" w:rsidP="00136919">
      <w:pPr>
        <w:widowControl/>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El Comercio. ¿</w:t>
      </w:r>
      <w:hyperlink r:id="rId22">
        <w:r>
          <w:rPr>
            <w:i/>
            <w:color w:val="000000"/>
            <w:sz w:val="18"/>
            <w:szCs w:val="18"/>
            <w:u w:val="single"/>
          </w:rPr>
          <w:t>Qué paso con Diana Aleman?</w:t>
        </w:r>
      </w:hyperlink>
      <w:r>
        <w:rPr>
          <w:color w:val="000000"/>
          <w:sz w:val="18"/>
          <w:szCs w:val="18"/>
        </w:rPr>
        <w:t xml:space="preserve">, 10 de agosto de 2020. </w:t>
      </w:r>
    </w:p>
  </w:footnote>
  <w:footnote w:id="52">
    <w:p w:rsidR="004A4175" w:rsidRDefault="004A4175" w:rsidP="004A4175">
      <w:pPr>
        <w:spacing w:after="0" w:line="240" w:lineRule="auto"/>
        <w:jc w:val="both"/>
        <w:rPr>
          <w:sz w:val="18"/>
          <w:szCs w:val="18"/>
        </w:rPr>
      </w:pPr>
      <w:r>
        <w:rPr>
          <w:vertAlign w:val="superscript"/>
        </w:rPr>
        <w:footnoteRef/>
      </w:r>
      <w:r>
        <w:rPr>
          <w:sz w:val="18"/>
          <w:szCs w:val="18"/>
        </w:rPr>
        <w:t xml:space="preserve"> Comité CEDAW, L.C. c. Perú, supra nota 50, para 12.b.ii; 12.b.iii.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F37" w:rsidRDefault="00830A74">
    <w:pPr>
      <w:pBdr>
        <w:top w:val="nil"/>
        <w:left w:val="nil"/>
        <w:bottom w:val="nil"/>
        <w:right w:val="nil"/>
        <w:between w:val="nil"/>
      </w:pBdr>
      <w:tabs>
        <w:tab w:val="center" w:pos="4252"/>
        <w:tab w:val="right" w:pos="8504"/>
      </w:tabs>
      <w:spacing w:after="0" w:line="240" w:lineRule="auto"/>
      <w:jc w:val="right"/>
      <w:rPr>
        <w:color w:val="000000"/>
      </w:rPr>
    </w:pPr>
    <w:r>
      <w:rPr>
        <w:noProof/>
        <w:lang w:val="es-PE"/>
      </w:rPr>
      <w:drawing>
        <wp:anchor distT="0" distB="0" distL="114300" distR="114300" simplePos="0" relativeHeight="251658240" behindDoc="0" locked="0" layoutInCell="1" hidden="0" allowOverlap="1">
          <wp:simplePos x="0" y="0"/>
          <wp:positionH relativeFrom="column">
            <wp:posOffset>-703779</wp:posOffset>
          </wp:positionH>
          <wp:positionV relativeFrom="paragraph">
            <wp:posOffset>-206462</wp:posOffset>
          </wp:positionV>
          <wp:extent cx="2179864" cy="999938"/>
          <wp:effectExtent l="0" t="0" r="0" b="0"/>
          <wp:wrapSquare wrapText="bothSides" distT="0" distB="0" distL="114300" distR="114300"/>
          <wp:docPr id="13" name="image3.jp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jpg" descr="Logotipo, nombre de la empresa&#10;&#10;Descripción generada automáticamente"/>
                  <pic:cNvPicPr preferRelativeResize="0"/>
                </pic:nvPicPr>
                <pic:blipFill>
                  <a:blip r:embed="rId1"/>
                  <a:srcRect/>
                  <a:stretch>
                    <a:fillRect/>
                  </a:stretch>
                </pic:blipFill>
                <pic:spPr>
                  <a:xfrm>
                    <a:off x="0" y="0"/>
                    <a:ext cx="2179864" cy="999938"/>
                  </a:xfrm>
                  <a:prstGeom prst="rect">
                    <a:avLst/>
                  </a:prstGeom>
                  <a:ln/>
                </pic:spPr>
              </pic:pic>
            </a:graphicData>
          </a:graphic>
        </wp:anchor>
      </w:drawing>
    </w:r>
    <w:r>
      <w:rPr>
        <w:noProof/>
        <w:lang w:val="es-PE"/>
      </w:rPr>
      <w:drawing>
        <wp:anchor distT="0" distB="0" distL="114300" distR="114300" simplePos="0" relativeHeight="251659264" behindDoc="0" locked="0" layoutInCell="1" hidden="0" allowOverlap="1">
          <wp:simplePos x="0" y="0"/>
          <wp:positionH relativeFrom="column">
            <wp:posOffset>4053840</wp:posOffset>
          </wp:positionH>
          <wp:positionV relativeFrom="paragraph">
            <wp:posOffset>-59052</wp:posOffset>
          </wp:positionV>
          <wp:extent cx="1950059" cy="884278"/>
          <wp:effectExtent l="0" t="0" r="0" b="0"/>
          <wp:wrapSquare wrapText="bothSides" distT="0" distB="0" distL="114300" distR="114300"/>
          <wp:docPr id="11" name="image1.jp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Texto&#10;&#10;Descripción generada automáticamente"/>
                  <pic:cNvPicPr preferRelativeResize="0"/>
                </pic:nvPicPr>
                <pic:blipFill>
                  <a:blip r:embed="rId2"/>
                  <a:srcRect/>
                  <a:stretch>
                    <a:fillRect/>
                  </a:stretch>
                </pic:blipFill>
                <pic:spPr>
                  <a:xfrm>
                    <a:off x="0" y="0"/>
                    <a:ext cx="1950059" cy="884278"/>
                  </a:xfrm>
                  <a:prstGeom prst="rect">
                    <a:avLst/>
                  </a:prstGeom>
                  <a:ln/>
                </pic:spPr>
              </pic:pic>
            </a:graphicData>
          </a:graphic>
        </wp:anchor>
      </w:drawing>
    </w:r>
  </w:p>
  <w:p w:rsidR="002D1F37" w:rsidRDefault="002D1F37">
    <w:pPr>
      <w:pBdr>
        <w:top w:val="nil"/>
        <w:left w:val="nil"/>
        <w:bottom w:val="nil"/>
        <w:right w:val="nil"/>
        <w:between w:val="nil"/>
      </w:pBdr>
      <w:tabs>
        <w:tab w:val="center" w:pos="4252"/>
        <w:tab w:val="right" w:pos="8504"/>
      </w:tabs>
      <w:spacing w:after="0" w:line="240" w:lineRule="auto"/>
      <w:jc w:val="right"/>
      <w:rPr>
        <w:color w:val="000000"/>
      </w:rPr>
    </w:pPr>
  </w:p>
  <w:p w:rsidR="002D1F37" w:rsidRDefault="002D1F37">
    <w:pPr>
      <w:pBdr>
        <w:top w:val="nil"/>
        <w:left w:val="nil"/>
        <w:bottom w:val="nil"/>
        <w:right w:val="nil"/>
        <w:between w:val="nil"/>
      </w:pBdr>
      <w:tabs>
        <w:tab w:val="center" w:pos="4252"/>
        <w:tab w:val="right" w:pos="8504"/>
      </w:tabs>
      <w:spacing w:after="0" w:line="240" w:lineRule="auto"/>
      <w:rPr>
        <w:color w:val="000000"/>
      </w:rPr>
    </w:pPr>
  </w:p>
  <w:p w:rsidR="002D1F37" w:rsidRDefault="002D1F37">
    <w:pPr>
      <w:pBdr>
        <w:top w:val="nil"/>
        <w:left w:val="nil"/>
        <w:bottom w:val="nil"/>
        <w:right w:val="nil"/>
        <w:between w:val="nil"/>
      </w:pBdr>
      <w:tabs>
        <w:tab w:val="center" w:pos="4252"/>
        <w:tab w:val="right" w:pos="8504"/>
      </w:tabs>
      <w:spacing w:after="0" w:line="240" w:lineRule="auto"/>
      <w:rPr>
        <w:color w:val="000000"/>
      </w:rPr>
    </w:pPr>
  </w:p>
  <w:p w:rsidR="002D1F37" w:rsidRDefault="002D1F37">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A1981"/>
    <w:multiLevelType w:val="multilevel"/>
    <w:tmpl w:val="2B3CF7F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EF54D96"/>
    <w:multiLevelType w:val="multilevel"/>
    <w:tmpl w:val="8D6020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A308AB"/>
    <w:multiLevelType w:val="multilevel"/>
    <w:tmpl w:val="4EAE024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7E44BC9"/>
    <w:multiLevelType w:val="multilevel"/>
    <w:tmpl w:val="45C05776"/>
    <w:lvl w:ilvl="0">
      <w:start w:val="3"/>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8755760"/>
    <w:multiLevelType w:val="multilevel"/>
    <w:tmpl w:val="A57E7B7E"/>
    <w:lvl w:ilvl="0">
      <w:start w:val="2"/>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4387F9A"/>
    <w:multiLevelType w:val="multilevel"/>
    <w:tmpl w:val="28465266"/>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A882CD3"/>
    <w:multiLevelType w:val="multilevel"/>
    <w:tmpl w:val="C18236C6"/>
    <w:lvl w:ilvl="0">
      <w:start w:val="1"/>
      <w:numFmt w:val="decimal"/>
      <w:lvlText w:val="%1."/>
      <w:lvlJc w:val="left"/>
      <w:pPr>
        <w:ind w:left="720" w:hanging="360"/>
      </w:pPr>
      <w:rPr>
        <w:b w:val="0"/>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E4D4BE1"/>
    <w:multiLevelType w:val="multilevel"/>
    <w:tmpl w:val="69A429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4"/>
  </w:num>
  <w:num w:numId="2">
    <w:abstractNumId w:val="0"/>
  </w:num>
  <w:num w:numId="3">
    <w:abstractNumId w:val="6"/>
  </w:num>
  <w:num w:numId="4">
    <w:abstractNumId w:val="5"/>
  </w:num>
  <w:num w:numId="5">
    <w:abstractNumId w:val="3"/>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F37"/>
    <w:rsid w:val="000616DE"/>
    <w:rsid w:val="000B218D"/>
    <w:rsid w:val="000B52BC"/>
    <w:rsid w:val="000C2CFE"/>
    <w:rsid w:val="000F2CF6"/>
    <w:rsid w:val="00136919"/>
    <w:rsid w:val="00153BA1"/>
    <w:rsid w:val="001647DB"/>
    <w:rsid w:val="001A6A11"/>
    <w:rsid w:val="001F5E4B"/>
    <w:rsid w:val="00250E82"/>
    <w:rsid w:val="002704C0"/>
    <w:rsid w:val="00290068"/>
    <w:rsid w:val="002D1F37"/>
    <w:rsid w:val="0033409F"/>
    <w:rsid w:val="0037127C"/>
    <w:rsid w:val="00391012"/>
    <w:rsid w:val="0039784A"/>
    <w:rsid w:val="003C39A6"/>
    <w:rsid w:val="00444897"/>
    <w:rsid w:val="004769FD"/>
    <w:rsid w:val="00494C8B"/>
    <w:rsid w:val="004A4175"/>
    <w:rsid w:val="004F023B"/>
    <w:rsid w:val="005879BF"/>
    <w:rsid w:val="005D02D9"/>
    <w:rsid w:val="0062634C"/>
    <w:rsid w:val="00686605"/>
    <w:rsid w:val="00732B67"/>
    <w:rsid w:val="00783EB3"/>
    <w:rsid w:val="008078A7"/>
    <w:rsid w:val="00830A74"/>
    <w:rsid w:val="008626B6"/>
    <w:rsid w:val="00920A51"/>
    <w:rsid w:val="00932D61"/>
    <w:rsid w:val="009525F1"/>
    <w:rsid w:val="009A2F63"/>
    <w:rsid w:val="009E5D84"/>
    <w:rsid w:val="00A856EB"/>
    <w:rsid w:val="00AC2409"/>
    <w:rsid w:val="00B33690"/>
    <w:rsid w:val="00B40312"/>
    <w:rsid w:val="00B6371D"/>
    <w:rsid w:val="00BF1C5C"/>
    <w:rsid w:val="00C66CC1"/>
    <w:rsid w:val="00C836F5"/>
    <w:rsid w:val="00D21BBD"/>
    <w:rsid w:val="00DB50AD"/>
    <w:rsid w:val="00DC6930"/>
    <w:rsid w:val="00E4036E"/>
    <w:rsid w:val="00E51A7E"/>
    <w:rsid w:val="00EB5116"/>
    <w:rsid w:val="00F363A6"/>
    <w:rsid w:val="00F70D1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11DB59-9F71-4A6B-A058-CF1DDE734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2B1"/>
    <w:rPr>
      <w:lang w:val="en-US"/>
    </w:rPr>
  </w:style>
  <w:style w:type="paragraph" w:styleId="Ttulo1">
    <w:name w:val="heading 1"/>
    <w:basedOn w:val="Normal"/>
    <w:link w:val="Ttulo1Car"/>
    <w:uiPriority w:val="9"/>
    <w:qFormat/>
    <w:rsid w:val="004652B1"/>
    <w:pPr>
      <w:widowControl/>
      <w:spacing w:before="100" w:beforeAutospacing="1" w:after="100" w:afterAutospacing="1" w:line="240" w:lineRule="auto"/>
      <w:outlineLvl w:val="0"/>
    </w:pPr>
    <w:rPr>
      <w:rFonts w:ascii="Times New Roman" w:eastAsia="Times New Roman" w:hAnsi="Times New Roman" w:cs="Times New Roman"/>
      <w:b/>
      <w:bCs/>
      <w:kern w:val="36"/>
      <w:sz w:val="48"/>
      <w:szCs w:val="48"/>
      <w:lang w:val="es-PE"/>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F863E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3EB"/>
  </w:style>
  <w:style w:type="paragraph" w:styleId="Piedepgina">
    <w:name w:val="footer"/>
    <w:basedOn w:val="Normal"/>
    <w:link w:val="PiedepginaCar"/>
    <w:uiPriority w:val="99"/>
    <w:unhideWhenUsed/>
    <w:rsid w:val="00F863E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3EB"/>
  </w:style>
  <w:style w:type="character" w:styleId="Hipervnculo">
    <w:name w:val="Hyperlink"/>
    <w:uiPriority w:val="99"/>
    <w:rsid w:val="00862854"/>
    <w:rPr>
      <w:color w:val="0000FF"/>
      <w:u w:val="single"/>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A Fu?notente,Ca,ft,Footnote Te,C"/>
    <w:basedOn w:val="Normal"/>
    <w:link w:val="TextonotapieCar"/>
    <w:uiPriority w:val="99"/>
    <w:unhideWhenUsed/>
    <w:qFormat/>
    <w:rsid w:val="00862854"/>
    <w:pPr>
      <w:spacing w:after="0" w:line="240" w:lineRule="auto"/>
    </w:pPr>
    <w:rPr>
      <w:rFonts w:ascii="Times New Roman" w:eastAsia="Times New Roman" w:hAnsi="Times New Roman" w:cs="Times New Roman"/>
      <w:sz w:val="20"/>
      <w:szCs w:val="20"/>
      <w:lang w:val="en-GB"/>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A Fu?notente Car"/>
    <w:basedOn w:val="Fuentedeprrafopredeter"/>
    <w:link w:val="Textonotapie"/>
    <w:uiPriority w:val="99"/>
    <w:qFormat/>
    <w:rsid w:val="00862854"/>
    <w:rPr>
      <w:rFonts w:ascii="Times New Roman" w:eastAsia="Times New Roman" w:hAnsi="Times New Roman" w:cs="Times New Roman"/>
      <w:sz w:val="20"/>
      <w:szCs w:val="20"/>
      <w:lang w:val="en-GB"/>
    </w:rPr>
  </w:style>
  <w:style w:type="paragraph" w:styleId="Textonotaalfinal">
    <w:name w:val="endnote text"/>
    <w:aliases w:val="en,2_G"/>
    <w:basedOn w:val="Normal"/>
    <w:link w:val="TextonotaalfinalCar"/>
    <w:uiPriority w:val="99"/>
    <w:unhideWhenUsed/>
    <w:qFormat/>
    <w:rsid w:val="00862854"/>
    <w:pPr>
      <w:spacing w:after="0" w:line="240" w:lineRule="auto"/>
    </w:pPr>
    <w:rPr>
      <w:rFonts w:ascii="Times New Roman" w:eastAsia="Times New Roman" w:hAnsi="Times New Roman" w:cs="Times New Roman"/>
      <w:sz w:val="20"/>
      <w:szCs w:val="20"/>
      <w:lang w:val="en-GB"/>
    </w:rPr>
  </w:style>
  <w:style w:type="character" w:customStyle="1" w:styleId="TextonotaalfinalCar">
    <w:name w:val="Texto nota al final Car"/>
    <w:aliases w:val="en Car,2_G Car"/>
    <w:basedOn w:val="Fuentedeprrafopredeter"/>
    <w:link w:val="Textonotaalfinal"/>
    <w:uiPriority w:val="99"/>
    <w:rsid w:val="00862854"/>
    <w:rPr>
      <w:rFonts w:ascii="Times New Roman" w:eastAsia="Times New Roman" w:hAnsi="Times New Roman" w:cs="Times New Roman"/>
      <w:sz w:val="20"/>
      <w:szCs w:val="20"/>
      <w:lang w:val="en-GB"/>
    </w:rPr>
  </w:style>
  <w:style w:type="character" w:styleId="Refdenotaalfinal">
    <w:name w:val="endnote reference"/>
    <w:basedOn w:val="Fuentedeprrafopredeter"/>
    <w:uiPriority w:val="99"/>
    <w:semiHidden/>
    <w:unhideWhenUsed/>
    <w:rsid w:val="00862854"/>
    <w:rPr>
      <w:vertAlign w:val="superscript"/>
    </w:rPr>
  </w:style>
  <w:style w:type="character" w:styleId="Refdenotaalpie">
    <w:name w:val="footnote reference"/>
    <w:aliases w:val="4_G,16 Point,Superscript 6 Point,Appel note de bas de page,Footnotes refss,f,Footnote number,referencia nota al pie,BVI fnr,Texto de nota al pie,Ref. de nota al pie.,Ref,de nota al pie,normal,Footnote symbol,Footnote,BVI fnr Car Car"/>
    <w:basedOn w:val="Fuentedeprrafopredeter"/>
    <w:link w:val="4GChar"/>
    <w:uiPriority w:val="99"/>
    <w:unhideWhenUsed/>
    <w:qFormat/>
    <w:rsid w:val="00E62E2A"/>
    <w:rPr>
      <w:vertAlign w:val="superscript"/>
    </w:rPr>
  </w:style>
  <w:style w:type="paragraph" w:styleId="Prrafodelista">
    <w:name w:val="List Paragraph"/>
    <w:aliases w:val="Párrafo de lista1,List Paragraph2,Lista vistosa - Énfasis 11,List Paragraph1,List Paragraph11,List 100s,Fundamentacion,paul2,Bulleted List,Lista 123,Viñeta normal,Cuadro 2-1,Párrafo de lista2,NIVEL ONE,Párrafo de lista3,Titulo 1,Dot pt"/>
    <w:basedOn w:val="Normal"/>
    <w:link w:val="PrrafodelistaCar"/>
    <w:uiPriority w:val="34"/>
    <w:qFormat/>
    <w:rsid w:val="00FC155A"/>
    <w:pPr>
      <w:ind w:left="720"/>
      <w:contextualSpacing/>
    </w:pPr>
  </w:style>
  <w:style w:type="character" w:styleId="Hipervnculovisitado">
    <w:name w:val="FollowedHyperlink"/>
    <w:basedOn w:val="Fuentedeprrafopredeter"/>
    <w:uiPriority w:val="99"/>
    <w:semiHidden/>
    <w:unhideWhenUsed/>
    <w:rsid w:val="007E54DC"/>
    <w:rPr>
      <w:color w:val="954F72" w:themeColor="followedHyperlink"/>
      <w:u w:val="single"/>
    </w:rPr>
  </w:style>
  <w:style w:type="paragraph" w:styleId="HTMLconformatoprevio">
    <w:name w:val="HTML Preformatted"/>
    <w:basedOn w:val="Normal"/>
    <w:link w:val="HTMLconformatoprevioCar"/>
    <w:uiPriority w:val="99"/>
    <w:semiHidden/>
    <w:unhideWhenUsed/>
    <w:rsid w:val="00317649"/>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317649"/>
    <w:rPr>
      <w:rFonts w:ascii="Consolas" w:hAnsi="Consolas"/>
      <w:sz w:val="20"/>
      <w:szCs w:val="20"/>
    </w:rPr>
  </w:style>
  <w:style w:type="character" w:styleId="Nmerodepgina">
    <w:name w:val="page number"/>
    <w:basedOn w:val="Fuentedeprrafopredeter"/>
    <w:uiPriority w:val="9"/>
    <w:semiHidden/>
    <w:unhideWhenUsed/>
    <w:rsid w:val="009673D6"/>
  </w:style>
  <w:style w:type="character" w:customStyle="1" w:styleId="Ttulo1Car">
    <w:name w:val="Título 1 Car"/>
    <w:basedOn w:val="Fuentedeprrafopredeter"/>
    <w:link w:val="Ttulo1"/>
    <w:uiPriority w:val="9"/>
    <w:rsid w:val="004652B1"/>
    <w:rPr>
      <w:rFonts w:ascii="Times New Roman" w:eastAsia="Times New Roman" w:hAnsi="Times New Roman" w:cs="Times New Roman"/>
      <w:b/>
      <w:bCs/>
      <w:kern w:val="36"/>
      <w:sz w:val="48"/>
      <w:szCs w:val="48"/>
      <w:lang w:eastAsia="es-PE"/>
    </w:rPr>
  </w:style>
  <w:style w:type="paragraph" w:styleId="Sinespaciado">
    <w:name w:val="No Spacing"/>
    <w:uiPriority w:val="1"/>
    <w:qFormat/>
    <w:rsid w:val="004652B1"/>
    <w:pPr>
      <w:spacing w:after="0" w:line="240" w:lineRule="auto"/>
    </w:pPr>
    <w:rPr>
      <w:lang w:val="en-US"/>
    </w:rPr>
  </w:style>
  <w:style w:type="paragraph" w:styleId="Textodeglobo">
    <w:name w:val="Balloon Text"/>
    <w:basedOn w:val="Normal"/>
    <w:link w:val="TextodegloboCar"/>
    <w:uiPriority w:val="99"/>
    <w:semiHidden/>
    <w:unhideWhenUsed/>
    <w:rsid w:val="004652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52B1"/>
    <w:rPr>
      <w:rFonts w:ascii="Segoe UI" w:hAnsi="Segoe UI" w:cs="Segoe UI"/>
      <w:sz w:val="18"/>
      <w:szCs w:val="18"/>
      <w:lang w:val="en-US"/>
    </w:rPr>
  </w:style>
  <w:style w:type="character" w:styleId="Refdecomentario">
    <w:name w:val="annotation reference"/>
    <w:basedOn w:val="Fuentedeprrafopredeter"/>
    <w:uiPriority w:val="99"/>
    <w:semiHidden/>
    <w:unhideWhenUsed/>
    <w:rsid w:val="004652B1"/>
    <w:rPr>
      <w:sz w:val="16"/>
      <w:szCs w:val="16"/>
    </w:rPr>
  </w:style>
  <w:style w:type="paragraph" w:styleId="Textocomentario">
    <w:name w:val="annotation text"/>
    <w:basedOn w:val="Normal"/>
    <w:link w:val="TextocomentarioCar"/>
    <w:uiPriority w:val="99"/>
    <w:unhideWhenUsed/>
    <w:rsid w:val="004652B1"/>
    <w:pPr>
      <w:spacing w:line="240" w:lineRule="auto"/>
    </w:pPr>
    <w:rPr>
      <w:sz w:val="20"/>
      <w:szCs w:val="20"/>
    </w:rPr>
  </w:style>
  <w:style w:type="character" w:customStyle="1" w:styleId="TextocomentarioCar">
    <w:name w:val="Texto comentario Car"/>
    <w:basedOn w:val="Fuentedeprrafopredeter"/>
    <w:link w:val="Textocomentario"/>
    <w:uiPriority w:val="99"/>
    <w:rsid w:val="004652B1"/>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4652B1"/>
    <w:rPr>
      <w:b/>
      <w:bCs/>
    </w:rPr>
  </w:style>
  <w:style w:type="character" w:customStyle="1" w:styleId="AsuntodelcomentarioCar">
    <w:name w:val="Asunto del comentario Car"/>
    <w:basedOn w:val="TextocomentarioCar"/>
    <w:link w:val="Asuntodelcomentario"/>
    <w:uiPriority w:val="99"/>
    <w:semiHidden/>
    <w:rsid w:val="004652B1"/>
    <w:rPr>
      <w:b/>
      <w:bCs/>
      <w:sz w:val="20"/>
      <w:szCs w:val="20"/>
      <w:lang w:val="en-US"/>
    </w:rPr>
  </w:style>
  <w:style w:type="character" w:customStyle="1" w:styleId="UnresolvedMention">
    <w:name w:val="Unresolved Mention"/>
    <w:basedOn w:val="Fuentedeprrafopredeter"/>
    <w:uiPriority w:val="99"/>
    <w:semiHidden/>
    <w:unhideWhenUsed/>
    <w:rsid w:val="004652B1"/>
    <w:rPr>
      <w:color w:val="605E5C"/>
      <w:shd w:val="clear" w:color="auto" w:fill="E1DFDD"/>
    </w:rPr>
  </w:style>
  <w:style w:type="character" w:customStyle="1" w:styleId="PrrafodelistaCar">
    <w:name w:val="Párrafo de lista Car"/>
    <w:aliases w:val="Párrafo de lista1 Car,List Paragraph2 Car,Lista vistosa - Énfasis 11 Car,List Paragraph1 Car,List Paragraph11 Car,List 100s Car,Fundamentacion Car,paul2 Car,Bulleted List Car,Lista 123 Car,Viñeta normal Car,Cuadro 2-1 Car,Dot pt Car"/>
    <w:link w:val="Prrafodelista"/>
    <w:uiPriority w:val="34"/>
    <w:qFormat/>
    <w:locked/>
    <w:rsid w:val="004652B1"/>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qFormat/>
    <w:rsid w:val="004652B1"/>
    <w:pPr>
      <w:widowControl/>
      <w:spacing w:after="0" w:line="240" w:lineRule="auto"/>
      <w:jc w:val="both"/>
    </w:pPr>
    <w:rPr>
      <w:vertAlign w:val="superscript"/>
      <w:lang w:val="es-PE"/>
    </w:rPr>
  </w:style>
  <w:style w:type="character" w:styleId="Textoennegrita">
    <w:name w:val="Strong"/>
    <w:basedOn w:val="Fuentedeprrafopredeter"/>
    <w:uiPriority w:val="22"/>
    <w:qFormat/>
    <w:rsid w:val="004652B1"/>
    <w:rPr>
      <w:b/>
      <w:bCs/>
    </w:rPr>
  </w:style>
  <w:style w:type="table" w:styleId="Tablaconcuadrcula">
    <w:name w:val="Table Grid"/>
    <w:basedOn w:val="Tablanormal"/>
    <w:uiPriority w:val="39"/>
    <w:rsid w:val="004652B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652B1"/>
    <w:pPr>
      <w:widowControl/>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customStyle="1" w:styleId="BVIfnrCarCar1CarCarCarCarCarCar">
    <w:name w:val="BVI fnr Car Car1 Car Car Car Car Car Car"/>
    <w:aliases w:val="BVI fnr Car Car Car Car Car Car Car Car, BVI fnr Car Car Car Car1 Car Car Car Car Car Car,BVI fnr Car,BVI fnr Car Car Car Car Car Car Car Car Car Car,BVI fnr Car Car Car Car1 Car Car Car Car Car Car"/>
    <w:basedOn w:val="Normal"/>
    <w:uiPriority w:val="99"/>
    <w:rsid w:val="004652B1"/>
    <w:pPr>
      <w:widowControl/>
      <w:spacing w:after="160" w:line="240" w:lineRule="exact"/>
    </w:pPr>
    <w:rPr>
      <w:vertAlign w:val="superscript"/>
      <w:lang w:val="es-P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4652B1"/>
    <w:pPr>
      <w:widowControl/>
      <w:spacing w:before="200" w:after="160" w:line="240" w:lineRule="exact"/>
    </w:pPr>
    <w:rPr>
      <w:vertAlign w:val="superscript"/>
      <w:lang w:val="es-ES"/>
    </w:rPr>
  </w:style>
  <w:style w:type="paragraph" w:customStyle="1" w:styleId="H1G">
    <w:name w:val="_ H_1_G"/>
    <w:basedOn w:val="Normal"/>
    <w:next w:val="Normal"/>
    <w:rsid w:val="004652B1"/>
    <w:pPr>
      <w:keepNext/>
      <w:keepLines/>
      <w:widowControl/>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character" w:customStyle="1" w:styleId="A2">
    <w:name w:val="A2"/>
    <w:uiPriority w:val="99"/>
    <w:rsid w:val="004652B1"/>
    <w:rPr>
      <w:rFonts w:cs="Calibri"/>
      <w:color w:val="000000"/>
    </w:rPr>
  </w:style>
  <w:style w:type="character" w:styleId="nfasis">
    <w:name w:val="Emphasis"/>
    <w:basedOn w:val="Fuentedeprrafopredeter"/>
    <w:uiPriority w:val="20"/>
    <w:qFormat/>
    <w:rsid w:val="004652B1"/>
    <w:rPr>
      <w:i/>
      <w:iCs/>
    </w:rPr>
  </w:style>
  <w:style w:type="paragraph" w:styleId="Revisin">
    <w:name w:val="Revision"/>
    <w:hidden/>
    <w:uiPriority w:val="99"/>
    <w:semiHidden/>
    <w:rsid w:val="004652B1"/>
    <w:pPr>
      <w:spacing w:after="0" w:line="240" w:lineRule="auto"/>
    </w:pPr>
    <w:rPr>
      <w:lang w:val="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proyectos.inei.gob.pe/endes/2020/INFORME_PRINCIPAL_2020/INFORME_PRINCIPAL_ENDES_2020.pdf" TargetMode="External"/><Relationship Id="rId13" Type="http://schemas.openxmlformats.org/officeDocument/2006/relationships/hyperlink" Target="http://www.dge.gob.pe/portal/docs/vigilancia/boletines/2019/52.pdf" TargetMode="External"/><Relationship Id="rId18" Type="http://schemas.openxmlformats.org/officeDocument/2006/relationships/hyperlink" Target="https://cdn.www.gob.pe/uploads/document/file/607318/RM_217-2020-MINSA_Y_ANEXOS.PDF." TargetMode="External"/><Relationship Id="rId3" Type="http://schemas.openxmlformats.org/officeDocument/2006/relationships/hyperlink" Target="https://saludconlupa.com/entrevistas/el-desconcierto-de-las-embarazadas-que-se-quedaron-sin-controles-prenatales/" TargetMode="External"/><Relationship Id="rId21" Type="http://schemas.openxmlformats.org/officeDocument/2006/relationships/hyperlink" Target="https://www.corteidh.or.cr/docs/casos/articulos/seriec_441_esp.pdf" TargetMode="External"/><Relationship Id="rId7" Type="http://schemas.openxmlformats.org/officeDocument/2006/relationships/hyperlink" Target="https://elcomercio.pe/lima/sucesos/el-acceso-a-anticonceptivos-ha-sido-afectado-en-el-contexto-del-covid-19-noticia/" TargetMode="External"/><Relationship Id="rId12" Type="http://schemas.openxmlformats.org/officeDocument/2006/relationships/hyperlink" Target="https://webapp.minsa.gob.pe/dwcnv/dwmadrenew.aspx" TargetMode="External"/><Relationship Id="rId17" Type="http://schemas.openxmlformats.org/officeDocument/2006/relationships/hyperlink" Target="https://cdn.www.gob.pe/uploads/document/file/309605/Decreto_Supremo_008-2019-SA.PDF" TargetMode="External"/><Relationship Id="rId2" Type="http://schemas.openxmlformats.org/officeDocument/2006/relationships/hyperlink" Target="https://www.acnur.org/peru.html" TargetMode="External"/><Relationship Id="rId16" Type="http://schemas.openxmlformats.org/officeDocument/2006/relationships/hyperlink" Target="http://bvs.minsa.gob.pe/local/MINSA/3795.pdf." TargetMode="External"/><Relationship Id="rId20" Type="http://schemas.openxmlformats.org/officeDocument/2006/relationships/hyperlink" Target="http://www.paho.org/English/DD/AIS/BI-brochure-2005" TargetMode="External"/><Relationship Id="rId1" Type="http://schemas.openxmlformats.org/officeDocument/2006/relationships/hyperlink" Target="https://www.kas.de/es/web/peru/statische-inhalte-detail/-/content/especial-migracion-venezolana-1" TargetMode="External"/><Relationship Id="rId6" Type="http://schemas.openxmlformats.org/officeDocument/2006/relationships/hyperlink" Target="https://www.defensoria.gob.pe/wp-content/uploads/2019/07/NP-202-19.pdf" TargetMode="External"/><Relationship Id="rId11" Type="http://schemas.openxmlformats.org/officeDocument/2006/relationships/hyperlink" Target="http://spij.minjus.gob.pe/content/publicaciones_oficiales/img/CODIGOPENAL.pdf" TargetMode="External"/><Relationship Id="rId5" Type="http://schemas.openxmlformats.org/officeDocument/2006/relationships/hyperlink" Target="https://www.defensoria.gob.pe/wp-content/uploads/2018/05/05.-Distribucion-de-AOE-26-08-16.pdf" TargetMode="External"/><Relationship Id="rId15" Type="http://schemas.openxmlformats.org/officeDocument/2006/relationships/hyperlink" Target="https://www.google.com/search?rlz=1C1CHBF_esPE859PE859&amp;sxsrf=ALeKk00gkQ3qIjj_Ne988zRyBCZaQ1v8IA:1591274922571&amp;q=J+Balvin+X&amp;stick=H4sIAAAAAAAAAOPgE-LVT9c3NEwzKTLKK7Q0VYJw0w3LCyyLipK11LOTrfRzS4szk_WLUpPzi1Iy89Ljk3NKi0tSi6zSMouKSxQSc5JKcxexcnkpOCXmlGXmKUTsYGUEALtyb0hZAAAA&amp;sa=X&amp;ved=2ahUKEwj9rv-DmejpAhXnGrkGHVmDB8YQmxMoATAFegQIChAD" TargetMode="External"/><Relationship Id="rId10" Type="http://schemas.openxmlformats.org/officeDocument/2006/relationships/hyperlink" Target="https://embarazoadolescente.promsex.org/?fbclid=IwAR1nmKGLGQ89AvxFzuegwUShHbWS-tCtmV4segiwYGoeteNGl1fJHu8SMF4" TargetMode="External"/><Relationship Id="rId19" Type="http://schemas.openxmlformats.org/officeDocument/2006/relationships/hyperlink" Target="http://lawdigitalcommons.bc.edu/iclr/vol30/iss1/14" TargetMode="External"/><Relationship Id="rId4" Type="http://schemas.openxmlformats.org/officeDocument/2006/relationships/hyperlink" Target="http://www.elperuano.pe/noticia-unfpa-pandemia-incrementaria-40-nacimientos-no-planificados-el-pais-durante-20202021-95439.aspx" TargetMode="External"/><Relationship Id="rId9" Type="http://schemas.openxmlformats.org/officeDocument/2006/relationships/hyperlink" Target="https://www.gob.pe/institucion/minsa/noticias/303880-en-el-peru-12-de-cada-100-adolescentes-estan-embarazadas-o-ya-son-madres" TargetMode="External"/><Relationship Id="rId14" Type="http://schemas.openxmlformats.org/officeDocument/2006/relationships/hyperlink" Target="https://www.dge.gob.pe/portal/docs/vigilancia/sala/2020/SE21/mmaterna.pdf" TargetMode="External"/><Relationship Id="rId22" Type="http://schemas.openxmlformats.org/officeDocument/2006/relationships/hyperlink" Target="https://elcomercio.pe/lima/sucesos/que-paso-con-diana-aleman-piden-esclarecer-muerte-de-mujer-en-hospital-maria-auxiliadora-notici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Uw/ssWnpwCw1RJVDaTt2kHIz5A==">AMUW2mVLvJ5NMMVNGQIskSaShetRogyS73/13B2vkQatQEQ8HJLlJ61jbI4/Lj6oIp+DdYWWiOLYr38RDr/XkVJvwTbGFYreKF5p2zKjqICxZkk+0QP0KcAceSuU1gAbcbVKuJEYqd1SuS3qWekMo26zQWVMFHDyaBqxrCkZvQiTg1paCUGom90=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5737C9-3DDD-4E81-81F1-455D4ECE665E}"/>
</file>

<file path=customXml/itemProps3.xml><?xml version="1.0" encoding="utf-8"?>
<ds:datastoreItem xmlns:ds="http://schemas.openxmlformats.org/officeDocument/2006/customXml" ds:itemID="{FECBB54E-EF71-4516-892A-A879894FF635}"/>
</file>

<file path=customXml/itemProps4.xml><?xml version="1.0" encoding="utf-8"?>
<ds:datastoreItem xmlns:ds="http://schemas.openxmlformats.org/officeDocument/2006/customXml" ds:itemID="{3A9C79B5-9600-409A-BF46-0FDE82BAA64E}"/>
</file>

<file path=docProps/app.xml><?xml version="1.0" encoding="utf-8"?>
<Properties xmlns="http://schemas.openxmlformats.org/officeDocument/2006/extended-properties" xmlns:vt="http://schemas.openxmlformats.org/officeDocument/2006/docPropsVTypes">
  <Template>Normal</Template>
  <TotalTime>0</TotalTime>
  <Pages>12</Pages>
  <Words>3765</Words>
  <Characters>20711</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Milan  VELIZ</dc:creator>
  <cp:lastModifiedBy>Gianina Velasquez</cp:lastModifiedBy>
  <cp:revision>2</cp:revision>
  <dcterms:created xsi:type="dcterms:W3CDTF">2022-03-24T14:24:00Z</dcterms:created>
  <dcterms:modified xsi:type="dcterms:W3CDTF">2022-03-24T14:24:00Z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