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66316" w14:textId="77777777" w:rsidR="00F35929" w:rsidRDefault="002B5C50">
      <w:pPr>
        <w:pStyle w:val="BodyText"/>
        <w:spacing w:after="0" w:line="240" w:lineRule="auto"/>
        <w:jc w:val="center"/>
      </w:pPr>
      <w:r>
        <w:rPr>
          <w:noProof/>
        </w:rPr>
        <w:drawing>
          <wp:anchor distT="0" distB="0" distL="0" distR="0" simplePos="0" relativeHeight="22" behindDoc="0" locked="0" layoutInCell="0" allowOverlap="1" wp14:anchorId="1738FA66" wp14:editId="7FEAE7C7">
            <wp:simplePos x="0" y="0"/>
            <wp:positionH relativeFrom="column">
              <wp:posOffset>4985385</wp:posOffset>
            </wp:positionH>
            <wp:positionV relativeFrom="paragraph">
              <wp:posOffset>-184150</wp:posOffset>
            </wp:positionV>
            <wp:extent cx="1450340" cy="59499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7"/>
                    <a:srcRect l="-46" t="-112" r="-46" b="-112"/>
                    <a:stretch>
                      <a:fillRect/>
                    </a:stretch>
                  </pic:blipFill>
                  <pic:spPr bwMode="auto">
                    <a:xfrm>
                      <a:off x="0" y="0"/>
                      <a:ext cx="1450340" cy="594995"/>
                    </a:xfrm>
                    <a:prstGeom prst="rect">
                      <a:avLst/>
                    </a:prstGeom>
                  </pic:spPr>
                </pic:pic>
              </a:graphicData>
            </a:graphic>
          </wp:anchor>
        </w:drawing>
      </w:r>
    </w:p>
    <w:p w14:paraId="27F4048E" w14:textId="77777777" w:rsidR="00F35929" w:rsidRDefault="00F35929">
      <w:pPr>
        <w:pStyle w:val="BodyText"/>
        <w:spacing w:after="0" w:line="240" w:lineRule="auto"/>
        <w:jc w:val="center"/>
      </w:pPr>
    </w:p>
    <w:p w14:paraId="575F92F4" w14:textId="77777777" w:rsidR="00F35929" w:rsidRDefault="00F35929">
      <w:pPr>
        <w:pStyle w:val="BodyText"/>
        <w:spacing w:after="0" w:line="240" w:lineRule="auto"/>
        <w:jc w:val="center"/>
      </w:pPr>
    </w:p>
    <w:p w14:paraId="08956C8A" w14:textId="77777777" w:rsidR="00F35929" w:rsidRDefault="00F35929">
      <w:pPr>
        <w:pStyle w:val="BodyText"/>
        <w:spacing w:after="0" w:line="240" w:lineRule="auto"/>
        <w:jc w:val="center"/>
      </w:pPr>
    </w:p>
    <w:p w14:paraId="6771B210" w14:textId="77777777" w:rsidR="00F35929" w:rsidRDefault="00F35929">
      <w:pPr>
        <w:pStyle w:val="BodyText"/>
        <w:spacing w:after="0" w:line="240" w:lineRule="auto"/>
        <w:jc w:val="center"/>
      </w:pPr>
    </w:p>
    <w:p w14:paraId="0FC8F80B" w14:textId="77777777" w:rsidR="00F35929" w:rsidRDefault="00F35929">
      <w:pPr>
        <w:pStyle w:val="BodyText"/>
        <w:spacing w:after="0" w:line="240" w:lineRule="auto"/>
        <w:jc w:val="center"/>
      </w:pPr>
    </w:p>
    <w:p w14:paraId="2BE06483" w14:textId="77777777" w:rsidR="00F35929" w:rsidRDefault="002B5C50">
      <w:pPr>
        <w:pStyle w:val="BodyText"/>
        <w:spacing w:after="0" w:line="240" w:lineRule="auto"/>
        <w:jc w:val="center"/>
      </w:pPr>
      <w:r>
        <w:rPr>
          <w:noProof/>
        </w:rPr>
        <w:drawing>
          <wp:anchor distT="0" distB="0" distL="0" distR="0" simplePos="0" relativeHeight="20" behindDoc="1" locked="0" layoutInCell="1" allowOverlap="1" wp14:anchorId="71CABD7E" wp14:editId="09D482E3">
            <wp:simplePos x="0" y="0"/>
            <wp:positionH relativeFrom="column">
              <wp:posOffset>-720090</wp:posOffset>
            </wp:positionH>
            <wp:positionV relativeFrom="paragraph">
              <wp:posOffset>46990</wp:posOffset>
            </wp:positionV>
            <wp:extent cx="3154680" cy="2102485"/>
            <wp:effectExtent l="0" t="0" r="0" b="0"/>
            <wp:wrapNone/>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8"/>
                    <a:srcRect l="-2" t="-3" r="-2" b="-3"/>
                    <a:stretch>
                      <a:fillRect/>
                    </a:stretch>
                  </pic:blipFill>
                  <pic:spPr bwMode="auto">
                    <a:xfrm>
                      <a:off x="0" y="0"/>
                      <a:ext cx="3154680" cy="2102485"/>
                    </a:xfrm>
                    <a:prstGeom prst="rect">
                      <a:avLst/>
                    </a:prstGeom>
                  </pic:spPr>
                </pic:pic>
              </a:graphicData>
            </a:graphic>
          </wp:anchor>
        </w:drawing>
      </w:r>
      <w:r>
        <w:rPr>
          <w:noProof/>
        </w:rPr>
        <mc:AlternateContent>
          <mc:Choice Requires="wps">
            <w:drawing>
              <wp:anchor distT="0" distB="0" distL="114935" distR="114935" simplePos="0" relativeHeight="21" behindDoc="1" locked="0" layoutInCell="1" allowOverlap="1" wp14:anchorId="38ADF889" wp14:editId="052470D9">
                <wp:simplePos x="0" y="0"/>
                <wp:positionH relativeFrom="column">
                  <wp:posOffset>2305050</wp:posOffset>
                </wp:positionH>
                <wp:positionV relativeFrom="paragraph">
                  <wp:posOffset>50165</wp:posOffset>
                </wp:positionV>
                <wp:extent cx="4534535" cy="2102485"/>
                <wp:effectExtent l="0" t="0" r="0" b="0"/>
                <wp:wrapNone/>
                <wp:docPr id="3" name="Text Box 3"/>
                <wp:cNvGraphicFramePr/>
                <a:graphic xmlns:a="http://schemas.openxmlformats.org/drawingml/2006/main">
                  <a:graphicData uri="http://schemas.microsoft.com/office/word/2010/wordprocessingShape">
                    <wps:wsp>
                      <wps:cNvSpPr txBox="1"/>
                      <wps:spPr>
                        <a:xfrm>
                          <a:off x="0" y="0"/>
                          <a:ext cx="4534560" cy="2102400"/>
                        </a:xfrm>
                        <a:prstGeom prst="rect">
                          <a:avLst/>
                        </a:prstGeom>
                        <a:solidFill>
                          <a:srgbClr val="85CFFF"/>
                        </a:solidFill>
                        <a:ln w="0">
                          <a:noFill/>
                        </a:ln>
                      </wps:spPr>
                      <wps:txbx>
                        <w:txbxContent>
                          <w:p w14:paraId="564FECB3" w14:textId="77777777" w:rsidR="00F35929" w:rsidRDefault="00F35929">
                            <w:pPr>
                              <w:overflowPunct w:val="0"/>
                              <w:jc w:val="center"/>
                            </w:pPr>
                          </w:p>
                          <w:p w14:paraId="53387FDE" w14:textId="77777777" w:rsidR="00F35929" w:rsidRDefault="002B5C50">
                            <w:pPr>
                              <w:overflowPunct w:val="0"/>
                              <w:jc w:val="center"/>
                            </w:pPr>
                            <w:r>
                              <w:rPr>
                                <w:rFonts w:ascii="Nimbus Sans L;Arial" w:hAnsi="Nimbus Sans L;Arial" w:cs="Nimbus Sans L;Arial"/>
                                <w:b/>
                                <w:bCs/>
                                <w:sz w:val="28"/>
                                <w:szCs w:val="28"/>
                              </w:rPr>
                              <w:t>L’IGPN : un trompe-l’œil statistique et judiciaire</w:t>
                            </w:r>
                          </w:p>
                          <w:p w14:paraId="398E569E" w14:textId="77777777" w:rsidR="00F35929" w:rsidRDefault="00F35929">
                            <w:pPr>
                              <w:overflowPunct w:val="0"/>
                              <w:jc w:val="center"/>
                            </w:pPr>
                          </w:p>
                          <w:p w14:paraId="249DC59D" w14:textId="77777777" w:rsidR="00F35929" w:rsidRDefault="002B5C50">
                            <w:pPr>
                              <w:overflowPunct w:val="0"/>
                              <w:jc w:val="center"/>
                            </w:pPr>
                            <w:r>
                              <w:rPr>
                                <w:rFonts w:ascii="Happy Times at the IKOB Italic" w:hAnsi="Happy Times at the IKOB Italic" w:cs="Happy Times at the IKOB Italic"/>
                                <w:sz w:val="21"/>
                                <w:szCs w:val="21"/>
                              </w:rPr>
                              <w:t>Comité contre la torture de l’ONU – Convention contre la torture – huitième rapport périodique de la France – 82</w:t>
                            </w:r>
                            <w:r>
                              <w:rPr>
                                <w:rFonts w:ascii="Happy Times at the IKOB Italic" w:hAnsi="Happy Times at the IKOB Italic" w:cs="NimbusSanL;Times New Roman"/>
                                <w:sz w:val="21"/>
                                <w:szCs w:val="21"/>
                                <w:vertAlign w:val="superscript"/>
                              </w:rPr>
                              <w:t>ème</w:t>
                            </w:r>
                            <w:r>
                              <w:rPr>
                                <w:rFonts w:ascii="Happy Times at the IKOB Italic" w:hAnsi="Happy Times at the IKOB Italic" w:cs="Nimbus Sans L;Arial"/>
                                <w:sz w:val="21"/>
                                <w:szCs w:val="21"/>
                              </w:rPr>
                              <w:t xml:space="preserve"> Session (7 avril – 2 mai 2025) </w:t>
                            </w:r>
                          </w:p>
                          <w:p w14:paraId="53B2E62F" w14:textId="77777777" w:rsidR="00F35929" w:rsidRDefault="00F35929">
                            <w:pPr>
                              <w:overflowPunct w:val="0"/>
                              <w:jc w:val="center"/>
                            </w:pPr>
                          </w:p>
                          <w:p w14:paraId="1135843A" w14:textId="77777777" w:rsidR="00F35929" w:rsidRDefault="002B5C50">
                            <w:pPr>
                              <w:overflowPunct w:val="0"/>
                              <w:jc w:val="center"/>
                            </w:pPr>
                            <w:r>
                              <w:rPr>
                                <w:rFonts w:ascii="NimbusSanL" w:hAnsi="NimbusSanL" w:cs="Happy Times at the IKOB Italic"/>
                                <w:b/>
                                <w:bCs/>
                                <w:sz w:val="21"/>
                                <w:szCs w:val="21"/>
                              </w:rPr>
                              <w:t>Note de Flagrant déni</w:t>
                            </w:r>
                          </w:p>
                        </w:txbxContent>
                      </wps:txbx>
                      <wps:bodyPr wrap="square" lIns="0" tIns="0" rIns="0" bIns="0" anchor="ctr">
                        <a:noAutofit/>
                      </wps:bodyPr>
                    </wps:wsp>
                  </a:graphicData>
                </a:graphic>
              </wp:anchor>
            </w:drawing>
          </mc:Choice>
          <mc:Fallback>
            <w:pict>
              <v:shapetype w14:anchorId="38ADF889" id="_x0000_t202" coordsize="21600,21600" o:spt="202" path="m,l,21600r21600,l21600,xe">
                <v:stroke joinstyle="miter"/>
                <v:path gradientshapeok="t" o:connecttype="rect"/>
              </v:shapetype>
              <v:shape id="Text Box 3" o:spid="_x0000_s1026" type="#_x0000_t202" style="position:absolute;left:0;text-align:left;margin-left:181.5pt;margin-top:3.95pt;width:357.05pt;height:165.55pt;z-index:-503316459;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efitAEAAFcDAAAOAAAAZHJzL2Uyb0RvYy54bWysU9tu2zAMfR+wfxD0vtjJkqIw4hRbCw8D&#10;hm1Atw+QZSkWIIsapcTO349SnGSXt6IvMiWShzyH9PZhGiw7KgwGXM2Xi5Iz5SR0xu1r/vNH8+6e&#10;sxCF64QFp2p+UoE/7N6+2Y6+UivowXYKGYG4UI2+5n2MviqKIHs1iLAArxw5NeAgIl1xX3QoRkIf&#10;bLEqy7tiBOw8glQh0OvT2cl3GV9rJeM3rYOKzNaceov5xHy26Sx2W1HtUfjeyLkN8YIuBmEcFb1C&#10;PYko2AHNf1CDkQgBdFxIGArQ2kiVORCbZfkPm+deeJW5kDjBX2UKrwcrvx6f/XdkcfoIEw0wCTL6&#10;UAV6THwmjUP6UqeM/CTh6SqbmiKT9LjevF9v7sglybdalqt1mYUtbukeQ/ykYGDJqDnSXLJc4vgl&#10;RCpJoZeQVC2ANV1jrM0X3LePFtlR0AzvN49N06QuKeWvMOvYmFpLKQ5S8jnIOoq9UUpWnNpp5tlC&#10;dyL6I21AzcOvg0DFmf3sSOK0LhcDL0Z7MYSTPdAiyYhzyQ+HCNpkNqnIGXmuTdPLHc+bltbjz3uO&#10;uv0Pu98AAAD//wMAUEsDBBQABgAIAAAAIQD+ZPL53gAAAAoBAAAPAAAAZHJzL2Rvd25yZXYueG1s&#10;TI9BasMwEEX3hd5BTKG7Rk4NceJYDiVQyKZQJz3AxJpaJtbIteTYuX2VVbsc3vD/+8Vutp240uBb&#10;xwqWiwQEce10y42Cr9P7yxqED8gaO8ek4EYeduXjQ4G5dhNXdD2GRsQQ9jkqMCH0uZS+NmTRL1xP&#10;HNm3GyyGeA6N1ANOMdx28jVJVtJiy7HBYE97Q/XlOFoFVXaqpoO5zR+fB9fK9R7HnxSVen6a37Yg&#10;As3h7xnu+lEdyuh0diNrLzoF6SqNW4KCbAPizpMsW4I4R5JuEpBlIf9PKH8BAAD//wMAUEsBAi0A&#10;FAAGAAgAAAAhALaDOJL+AAAA4QEAABMAAAAAAAAAAAAAAAAAAAAAAFtDb250ZW50X1R5cGVzXS54&#10;bWxQSwECLQAUAAYACAAAACEAOP0h/9YAAACUAQAACwAAAAAAAAAAAAAAAAAvAQAAX3JlbHMvLnJl&#10;bHNQSwECLQAUAAYACAAAACEA33Xn4rQBAABXAwAADgAAAAAAAAAAAAAAAAAuAgAAZHJzL2Uyb0Rv&#10;Yy54bWxQSwECLQAUAAYACAAAACEA/mTy+d4AAAAKAQAADwAAAAAAAAAAAAAAAAAOBAAAZHJzL2Rv&#10;d25yZXYueG1sUEsFBgAAAAAEAAQA8wAAABkFAAAAAA==&#10;" fillcolor="#85cfff" stroked="f" strokeweight="0">
                <v:textbox inset="0,0,0,0">
                  <w:txbxContent>
                    <w:p w14:paraId="564FECB3" w14:textId="77777777" w:rsidR="00F35929" w:rsidRDefault="00F35929">
                      <w:pPr>
                        <w:overflowPunct w:val="0"/>
                        <w:jc w:val="center"/>
                      </w:pPr>
                    </w:p>
                    <w:p w14:paraId="53387FDE" w14:textId="77777777" w:rsidR="00F35929" w:rsidRDefault="002B5C50">
                      <w:pPr>
                        <w:overflowPunct w:val="0"/>
                        <w:jc w:val="center"/>
                      </w:pPr>
                      <w:r>
                        <w:rPr>
                          <w:rFonts w:ascii="Nimbus Sans L;Arial" w:hAnsi="Nimbus Sans L;Arial" w:cs="Nimbus Sans L;Arial"/>
                          <w:b/>
                          <w:bCs/>
                          <w:sz w:val="28"/>
                          <w:szCs w:val="28"/>
                        </w:rPr>
                        <w:t>L’IGPN : un trompe-l’œil statistique et judiciaire</w:t>
                      </w:r>
                    </w:p>
                    <w:p w14:paraId="398E569E" w14:textId="77777777" w:rsidR="00F35929" w:rsidRDefault="00F35929">
                      <w:pPr>
                        <w:overflowPunct w:val="0"/>
                        <w:jc w:val="center"/>
                      </w:pPr>
                    </w:p>
                    <w:p w14:paraId="249DC59D" w14:textId="77777777" w:rsidR="00F35929" w:rsidRDefault="002B5C50">
                      <w:pPr>
                        <w:overflowPunct w:val="0"/>
                        <w:jc w:val="center"/>
                      </w:pPr>
                      <w:r>
                        <w:rPr>
                          <w:rFonts w:ascii="Happy Times at the IKOB Italic" w:hAnsi="Happy Times at the IKOB Italic" w:cs="Happy Times at the IKOB Italic"/>
                          <w:sz w:val="21"/>
                          <w:szCs w:val="21"/>
                        </w:rPr>
                        <w:t>Comité contre la torture de l’ONU – Convention contre la torture – huitième rapport périodique de la France – 82</w:t>
                      </w:r>
                      <w:r>
                        <w:rPr>
                          <w:rFonts w:ascii="Happy Times at the IKOB Italic" w:hAnsi="Happy Times at the IKOB Italic" w:cs="NimbusSanL;Times New Roman"/>
                          <w:sz w:val="21"/>
                          <w:szCs w:val="21"/>
                          <w:vertAlign w:val="superscript"/>
                        </w:rPr>
                        <w:t>ème</w:t>
                      </w:r>
                      <w:r>
                        <w:rPr>
                          <w:rFonts w:ascii="Happy Times at the IKOB Italic" w:hAnsi="Happy Times at the IKOB Italic" w:cs="Nimbus Sans L;Arial"/>
                          <w:sz w:val="21"/>
                          <w:szCs w:val="21"/>
                        </w:rPr>
                        <w:t xml:space="preserve"> Session (7 avril – 2 mai 2025) </w:t>
                      </w:r>
                    </w:p>
                    <w:p w14:paraId="53B2E62F" w14:textId="77777777" w:rsidR="00F35929" w:rsidRDefault="00F35929">
                      <w:pPr>
                        <w:overflowPunct w:val="0"/>
                        <w:jc w:val="center"/>
                      </w:pPr>
                    </w:p>
                    <w:p w14:paraId="1135843A" w14:textId="77777777" w:rsidR="00F35929" w:rsidRDefault="002B5C50">
                      <w:pPr>
                        <w:overflowPunct w:val="0"/>
                        <w:jc w:val="center"/>
                      </w:pPr>
                      <w:r>
                        <w:rPr>
                          <w:rFonts w:ascii="NimbusSanL" w:hAnsi="NimbusSanL" w:cs="Happy Times at the IKOB Italic"/>
                          <w:b/>
                          <w:bCs/>
                          <w:sz w:val="21"/>
                          <w:szCs w:val="21"/>
                        </w:rPr>
                        <w:t>Note de Flagrant déni</w:t>
                      </w:r>
                    </w:p>
                  </w:txbxContent>
                </v:textbox>
              </v:shape>
            </w:pict>
          </mc:Fallback>
        </mc:AlternateContent>
      </w:r>
    </w:p>
    <w:p w14:paraId="5A7CB700" w14:textId="77777777" w:rsidR="00F35929" w:rsidRDefault="00F35929">
      <w:pPr>
        <w:pStyle w:val="BodyText"/>
        <w:spacing w:after="0" w:line="240" w:lineRule="auto"/>
        <w:jc w:val="center"/>
      </w:pPr>
    </w:p>
    <w:p w14:paraId="7D856ACA" w14:textId="77777777" w:rsidR="00F35929" w:rsidRDefault="00F35929">
      <w:pPr>
        <w:pStyle w:val="BodyText"/>
        <w:spacing w:after="0" w:line="240" w:lineRule="auto"/>
        <w:jc w:val="center"/>
      </w:pPr>
    </w:p>
    <w:p w14:paraId="025EC7E4" w14:textId="77777777" w:rsidR="00F35929" w:rsidRDefault="00F35929">
      <w:pPr>
        <w:pStyle w:val="BodyText"/>
        <w:spacing w:after="0" w:line="240" w:lineRule="auto"/>
        <w:jc w:val="center"/>
      </w:pPr>
    </w:p>
    <w:p w14:paraId="092716BA" w14:textId="77777777" w:rsidR="00F35929" w:rsidRDefault="00F35929">
      <w:pPr>
        <w:pStyle w:val="BodyText"/>
        <w:spacing w:after="0" w:line="240" w:lineRule="auto"/>
        <w:jc w:val="center"/>
      </w:pPr>
    </w:p>
    <w:p w14:paraId="3B9F8715" w14:textId="77777777" w:rsidR="00F35929" w:rsidRDefault="00F35929">
      <w:pPr>
        <w:pStyle w:val="BodyText"/>
        <w:spacing w:after="0" w:line="240" w:lineRule="auto"/>
        <w:jc w:val="center"/>
      </w:pPr>
    </w:p>
    <w:p w14:paraId="720E1339" w14:textId="77777777" w:rsidR="00F35929" w:rsidRDefault="00F35929">
      <w:pPr>
        <w:pStyle w:val="BodyText"/>
        <w:spacing w:after="0" w:line="240" w:lineRule="auto"/>
        <w:jc w:val="center"/>
      </w:pPr>
    </w:p>
    <w:p w14:paraId="21046420" w14:textId="77777777" w:rsidR="00F35929" w:rsidRDefault="00F35929">
      <w:pPr>
        <w:pStyle w:val="BodyText"/>
        <w:spacing w:after="0" w:line="240" w:lineRule="auto"/>
        <w:jc w:val="center"/>
      </w:pPr>
    </w:p>
    <w:p w14:paraId="4081E130" w14:textId="77777777" w:rsidR="00F35929" w:rsidRDefault="00F35929">
      <w:pPr>
        <w:pStyle w:val="BodyText"/>
        <w:spacing w:after="0" w:line="240" w:lineRule="auto"/>
        <w:jc w:val="center"/>
      </w:pPr>
    </w:p>
    <w:p w14:paraId="51A8C5CE" w14:textId="77777777" w:rsidR="00F35929" w:rsidRDefault="00F35929">
      <w:pPr>
        <w:pStyle w:val="BodyText"/>
        <w:spacing w:after="0" w:line="240" w:lineRule="auto"/>
        <w:jc w:val="center"/>
      </w:pPr>
    </w:p>
    <w:p w14:paraId="52B941BB" w14:textId="77777777" w:rsidR="00F35929" w:rsidRDefault="00F35929">
      <w:pPr>
        <w:pStyle w:val="BodyText"/>
        <w:spacing w:after="0" w:line="240" w:lineRule="auto"/>
        <w:jc w:val="center"/>
      </w:pPr>
    </w:p>
    <w:p w14:paraId="281B913B" w14:textId="77777777" w:rsidR="00F35929" w:rsidRDefault="00F35929">
      <w:pPr>
        <w:pStyle w:val="BodyText"/>
        <w:spacing w:after="0" w:line="240" w:lineRule="auto"/>
        <w:jc w:val="center"/>
      </w:pPr>
    </w:p>
    <w:p w14:paraId="449F464C" w14:textId="77777777" w:rsidR="00F35929" w:rsidRDefault="00F35929">
      <w:pPr>
        <w:pStyle w:val="BodyText"/>
        <w:spacing w:after="0" w:line="240" w:lineRule="auto"/>
        <w:rPr>
          <w:rFonts w:ascii="NimbusSanL;Times New Roman" w:hAnsi="NimbusSanL;Times New Roman" w:cs="NimbusSanL;Times New Roman"/>
          <w:szCs w:val="22"/>
        </w:rPr>
      </w:pPr>
    </w:p>
    <w:p w14:paraId="2D589E7D" w14:textId="77777777" w:rsidR="00F35929" w:rsidRDefault="00F35929">
      <w:pPr>
        <w:pStyle w:val="BodyText"/>
        <w:spacing w:after="0" w:line="240" w:lineRule="auto"/>
        <w:rPr>
          <w:rFonts w:ascii="NimbusSanL;Times New Roman" w:hAnsi="NimbusSanL;Times New Roman" w:cs="NimbusSanL;Times New Roman"/>
          <w:szCs w:val="22"/>
        </w:rPr>
      </w:pPr>
    </w:p>
    <w:p w14:paraId="3BC4E2D3" w14:textId="77777777" w:rsidR="00F35929" w:rsidRDefault="00F35929">
      <w:pPr>
        <w:pStyle w:val="BodyText"/>
        <w:spacing w:after="0" w:line="240" w:lineRule="auto"/>
        <w:jc w:val="both"/>
        <w:rPr>
          <w:rFonts w:ascii="NimbusSanL;Times New Roman" w:hAnsi="NimbusSanL;Times New Roman" w:cs="NimbusSanL;Times New Roman"/>
          <w:szCs w:val="22"/>
        </w:rPr>
      </w:pPr>
    </w:p>
    <w:p w14:paraId="0B3E8216" w14:textId="77777777" w:rsidR="00F35929" w:rsidRDefault="00F35929">
      <w:pPr>
        <w:pStyle w:val="BodyText"/>
        <w:spacing w:after="0" w:line="240" w:lineRule="auto"/>
        <w:jc w:val="both"/>
        <w:rPr>
          <w:rFonts w:ascii="NimbusSanL;Times New Roman" w:hAnsi="NimbusSanL;Times New Roman" w:cs="NimbusSanL;Times New Roman"/>
          <w:szCs w:val="22"/>
        </w:rPr>
      </w:pPr>
    </w:p>
    <w:p w14:paraId="781139C4" w14:textId="77777777" w:rsidR="00F35929" w:rsidRDefault="002B5C50">
      <w:pPr>
        <w:pStyle w:val="BodyText"/>
        <w:pBdr>
          <w:top w:val="single" w:sz="2" w:space="16" w:color="85CFFF"/>
          <w:left w:val="single" w:sz="2" w:space="16" w:color="85CFFF"/>
          <w:bottom w:val="single" w:sz="2" w:space="16" w:color="85CFFF"/>
          <w:right w:val="single" w:sz="2" w:space="16" w:color="85CFFF"/>
        </w:pBdr>
        <w:spacing w:after="0" w:line="240" w:lineRule="auto"/>
        <w:jc w:val="both"/>
        <w:rPr>
          <w:rFonts w:ascii="NimbusSanL;Times New Roman" w:hAnsi="NimbusSanL;Times New Roman" w:cs="NimbusSanL;Times New Roman"/>
        </w:rPr>
      </w:pPr>
      <w:r>
        <w:rPr>
          <w:rFonts w:ascii="NimbusSanL;Times New Roman" w:hAnsi="NimbusSanL;Times New Roman" w:cs="NimbusSanL;Times New Roman"/>
          <w:sz w:val="20"/>
          <w:szCs w:val="20"/>
        </w:rPr>
        <w:t xml:space="preserve">L’Inspection générale de la police nationale (IGPN) constitue, en matière de déontologie policière, la part </w:t>
      </w:r>
      <w:proofErr w:type="gramStart"/>
      <w:r>
        <w:rPr>
          <w:rFonts w:ascii="NimbusSanL;Times New Roman" w:hAnsi="NimbusSanL;Times New Roman" w:cs="NimbusSanL;Times New Roman"/>
          <w:sz w:val="20"/>
          <w:szCs w:val="20"/>
        </w:rPr>
        <w:t>émergée</w:t>
      </w:r>
      <w:proofErr w:type="gramEnd"/>
      <w:r>
        <w:rPr>
          <w:rFonts w:ascii="NimbusSanL;Times New Roman" w:hAnsi="NimbusSanL;Times New Roman" w:cs="NimbusSanL;Times New Roman"/>
          <w:sz w:val="20"/>
          <w:szCs w:val="20"/>
        </w:rPr>
        <w:t xml:space="preserve"> de l’iceberg. Alors qu’elle n’effectue qu’à peine un dixième des enquêtes judiciaires sur des policiers, elle continue d’attirer toute l’attention du public et des observateurs. Ce faisant, elle joue un double rôle de trompe-l’œil. Sur le plan statistique, l’IGPN publie uniquement les données relatives à sa propre activité, ce qui constitue un biais évident. Dans le cadre de son propre examen sur la France, le Comité des droits de l’homme des Nations unies en a lui-même fait les frais, en octobre de</w:t>
      </w:r>
      <w:r>
        <w:rPr>
          <w:rFonts w:ascii="NimbusSanL;Times New Roman" w:hAnsi="NimbusSanL;Times New Roman" w:cs="NimbusSanL;Times New Roman"/>
          <w:sz w:val="20"/>
          <w:szCs w:val="20"/>
        </w:rPr>
        <w:t>rnier. Sur le plan juridique, l’IGPN concentre le feu des critiques quant aux doutes entourant son impartialité. Pourtant, les autres services saisis, y compris dans nombre d’affaires d’homicides, présentent des garanties d’indépendance encore plus faibles. Flagrant déni souhaite en particulier attirer l’attention du Comité sur le rôle central que semblent jouer les « cellules déontologie » départementales, qui absorbent une part importante du contentieux sur l’usage excessif de la force, en toute partialit</w:t>
      </w:r>
      <w:r>
        <w:rPr>
          <w:rFonts w:ascii="NimbusSanL;Times New Roman" w:hAnsi="NimbusSanL;Times New Roman" w:cs="NimbusSanL;Times New Roman"/>
          <w:sz w:val="20"/>
          <w:szCs w:val="20"/>
        </w:rPr>
        <w:t xml:space="preserve">é, et sans rendre aucun compte au public. </w:t>
      </w:r>
    </w:p>
    <w:p w14:paraId="47E201C0" w14:textId="77777777" w:rsidR="00F35929" w:rsidRDefault="00F35929">
      <w:pPr>
        <w:pStyle w:val="BodyText"/>
        <w:spacing w:after="0" w:line="240" w:lineRule="auto"/>
        <w:rPr>
          <w:rFonts w:ascii="NimbusSanL;Times New Roman" w:hAnsi="NimbusSanL;Times New Roman" w:cs="NimbusSanL;Times New Roman"/>
        </w:rPr>
      </w:pPr>
    </w:p>
    <w:p w14:paraId="4469EBCE" w14:textId="77777777" w:rsidR="00F35929" w:rsidRDefault="00F35929">
      <w:pPr>
        <w:pStyle w:val="BodyText"/>
        <w:spacing w:after="0" w:line="240" w:lineRule="auto"/>
        <w:rPr>
          <w:rFonts w:ascii="NimbusSanL;Times New Roman" w:hAnsi="NimbusSanL;Times New Roman" w:cs="NimbusSanL;Times New Roman"/>
        </w:rPr>
      </w:pPr>
    </w:p>
    <w:p w14:paraId="2E881B7F" w14:textId="77777777" w:rsidR="00F35929" w:rsidRDefault="00F35929">
      <w:pPr>
        <w:pStyle w:val="BodyText"/>
        <w:spacing w:after="0" w:line="240" w:lineRule="auto"/>
        <w:rPr>
          <w:rFonts w:ascii="NimbusSanL;Times New Roman" w:hAnsi="NimbusSanL;Times New Roman" w:cs="NimbusSanL;Times New Roman"/>
        </w:rPr>
      </w:pPr>
    </w:p>
    <w:p w14:paraId="3693B2ED" w14:textId="77777777" w:rsidR="00F35929" w:rsidRDefault="002B5C50">
      <w:pPr>
        <w:pStyle w:val="BodyText"/>
        <w:spacing w:after="0" w:line="240" w:lineRule="auto"/>
        <w:rPr>
          <w:rFonts w:ascii="Nimbus Sans L;Arial" w:hAnsi="Nimbus Sans L;Arial" w:cs="Nimbus Sans L;Arial"/>
          <w:sz w:val="18"/>
          <w:szCs w:val="18"/>
        </w:rPr>
      </w:pPr>
      <w:r>
        <w:rPr>
          <w:rFonts w:ascii="Nimbus Sans L;Arial" w:hAnsi="Nimbus Sans L;Arial" w:cs="Nimbus Sans L;Arial"/>
          <w:noProof/>
          <w:sz w:val="18"/>
          <w:szCs w:val="18"/>
        </w:rPr>
        <mc:AlternateContent>
          <mc:Choice Requires="wps">
            <w:drawing>
              <wp:anchor distT="0" distB="0" distL="114935" distR="114935" simplePos="0" relativeHeight="23" behindDoc="0" locked="0" layoutInCell="1" allowOverlap="1" wp14:anchorId="6209D679" wp14:editId="2E75CF27">
                <wp:simplePos x="0" y="0"/>
                <wp:positionH relativeFrom="column">
                  <wp:posOffset>1185545</wp:posOffset>
                </wp:positionH>
                <wp:positionV relativeFrom="paragraph">
                  <wp:posOffset>41910</wp:posOffset>
                </wp:positionV>
                <wp:extent cx="5634990" cy="390525"/>
                <wp:effectExtent l="0" t="0" r="0" b="0"/>
                <wp:wrapNone/>
                <wp:docPr id="4" name="Text Box 4"/>
                <wp:cNvGraphicFramePr/>
                <a:graphic xmlns:a="http://schemas.openxmlformats.org/drawingml/2006/main">
                  <a:graphicData uri="http://schemas.microsoft.com/office/word/2010/wordprocessingShape">
                    <wps:wsp>
                      <wps:cNvSpPr txBox="1"/>
                      <wps:spPr>
                        <a:xfrm>
                          <a:off x="0" y="0"/>
                          <a:ext cx="5635080" cy="390600"/>
                        </a:xfrm>
                        <a:prstGeom prst="rect">
                          <a:avLst/>
                        </a:prstGeom>
                        <a:solidFill>
                          <a:srgbClr val="85CFFF"/>
                        </a:solidFill>
                        <a:ln w="0">
                          <a:noFill/>
                        </a:ln>
                      </wps:spPr>
                      <wps:txbx>
                        <w:txbxContent>
                          <w:p w14:paraId="1EC21559" w14:textId="77777777" w:rsidR="00F35929" w:rsidRDefault="002B5C50">
                            <w:pPr>
                              <w:overflowPunct w:val="0"/>
                            </w:pPr>
                            <w:r>
                              <w:rPr>
                                <w:rFonts w:ascii="Nimbus Sans L;Arial" w:hAnsi="Nimbus Sans L;Arial" w:cs="Nimbus Sans L;Arial"/>
                                <w:b/>
                                <w:bCs/>
                                <w:w w:val="95"/>
                                <w:sz w:val="18"/>
                                <w:szCs w:val="18"/>
                                <w:lang w:eastAsia="fr-FR"/>
                              </w:rPr>
                              <w:t>Flagrant déni : une ONG engagée dans la lutte contre l’impunité policière</w:t>
                            </w:r>
                          </w:p>
                        </w:txbxContent>
                      </wps:txbx>
                      <wps:bodyPr wrap="square" lIns="0" tIns="0" rIns="0" bIns="0" anchor="ctr">
                        <a:noAutofit/>
                      </wps:bodyPr>
                    </wps:wsp>
                  </a:graphicData>
                </a:graphic>
              </wp:anchor>
            </w:drawing>
          </mc:Choice>
          <mc:Fallback>
            <w:pict>
              <v:shape w14:anchorId="6209D679" id="Text Box 4" o:spid="_x0000_s1027" type="#_x0000_t202" style="position:absolute;margin-left:93.35pt;margin-top:3.3pt;width:443.7pt;height:30.75pt;z-index:23;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wzktAEAAF0DAAAOAAAAZHJzL2Uyb0RvYy54bWysU8tu2zAQvBfoPxC811IS2HAFy0GbQEGB&#10;oi2Q5AMoirQIUFxmSVvy33dJv9LmFuRCLbmvmdnV6nYaLNspDAZcza9mJWfKSeiM29T8+an5suQs&#10;ROE6YcGpmu9V4Lfrz59Wo6/UNfRgO4WMirhQjb7mfYy+KoogezWIMAOvHDk14CAiXXFTdChGqj7Y&#10;4rosF8UI2HkEqUKg1/uDk69zfa2VjL+1DioyW3PCFvOJ+WzTWaxXotqg8L2RRxjiHSgGYRw1PZe6&#10;F1GwLZo3pQYjEQLoOJMwFKC1kSpzIDZX5X9sHnvhVeZC4gR/lil8XFn5a/fo/yCL03eYaIBJkNGH&#10;KtBj4jNpHNKXkDLyk4T7s2xqikzS43xxMy+X5JLku/laLsqsa3HJ9hjig4KBJaPmSGPJaondzxCp&#10;I4WeQlKzANZ0jbE2X3DT3llkO0EjXM7vmqZJICnlnzDr2JiQpRQHKfkQZB3FXhglK07txEz3im0L&#10;3Z5EGGkPah5etgIVZ/aHI6HT0pwMPBntyRBO9kDrJCMeO3/bRtAmk0q9DpWPEGiGGfhx39KSvL7n&#10;qMtfsf4LAAD//wMAUEsDBBQABgAIAAAAIQCd6CGl3AAAAAkBAAAPAAAAZHJzL2Rvd25yZXYueG1s&#10;TI/BTsMwEETvSPyDtUjcqBNASRTiVKgSUi9IpOUDtrGJI+J1iJ0m/Xu2JzjOzmj2TbVd3SDOZgq9&#10;JwXpJgFhqPW6p07B5/HtoQARIpLGwZNRcDEBtvXtTYWl9gs15nyIneASCiUqsDGOpZShtcZh2PjR&#10;EHtffnIYWU6d1BMuXO4G+ZgkmXTYE3+wOJqdNe33YXYKmvzYLHt7Wd8/9r6XxQ7nnydU6v5ufX0B&#10;Ec0a/8JwxWd0qJnp5GfSQQysiyznqIIsA3H1k/w5BXHiQ5GCrCv5f0H9CwAA//8DAFBLAQItABQA&#10;BgAIAAAAIQC2gziS/gAAAOEBAAATAAAAAAAAAAAAAAAAAAAAAABbQ29udGVudF9UeXBlc10ueG1s&#10;UEsBAi0AFAAGAAgAAAAhADj9If/WAAAAlAEAAAsAAAAAAAAAAAAAAAAALwEAAF9yZWxzLy5yZWxz&#10;UEsBAi0AFAAGAAgAAAAhAGc/DOS0AQAAXQMAAA4AAAAAAAAAAAAAAAAALgIAAGRycy9lMm9Eb2Mu&#10;eG1sUEsBAi0AFAAGAAgAAAAhAJ3oIaXcAAAACQEAAA8AAAAAAAAAAAAAAAAADgQAAGRycy9kb3du&#10;cmV2LnhtbFBLBQYAAAAABAAEAPMAAAAXBQAAAAA=&#10;" fillcolor="#85cfff" stroked="f" strokeweight="0">
                <v:textbox inset="0,0,0,0">
                  <w:txbxContent>
                    <w:p w14:paraId="1EC21559" w14:textId="77777777" w:rsidR="00F35929" w:rsidRDefault="002B5C50">
                      <w:pPr>
                        <w:overflowPunct w:val="0"/>
                      </w:pPr>
                      <w:r>
                        <w:rPr>
                          <w:rFonts w:ascii="Nimbus Sans L;Arial" w:hAnsi="Nimbus Sans L;Arial" w:cs="Nimbus Sans L;Arial"/>
                          <w:b/>
                          <w:bCs/>
                          <w:w w:val="95"/>
                          <w:sz w:val="18"/>
                          <w:szCs w:val="18"/>
                          <w:lang w:eastAsia="fr-FR"/>
                        </w:rPr>
                        <w:t>Flagrant déni : une ONG engagée dans la lutte contre l’impunité policière</w:t>
                      </w:r>
                    </w:p>
                  </w:txbxContent>
                </v:textbox>
              </v:shape>
            </w:pict>
          </mc:Fallback>
        </mc:AlternateContent>
      </w:r>
    </w:p>
    <w:p w14:paraId="5B43F521" w14:textId="77777777" w:rsidR="00F35929" w:rsidRDefault="00F35929">
      <w:pPr>
        <w:rPr>
          <w:rFonts w:ascii="Nimbus Sans L;Arial" w:hAnsi="Nimbus Sans L;Arial" w:cs="Nimbus Sans L;Arial"/>
          <w:sz w:val="18"/>
          <w:szCs w:val="18"/>
        </w:rPr>
      </w:pPr>
    </w:p>
    <w:p w14:paraId="591FD452" w14:textId="77777777" w:rsidR="00F35929" w:rsidRDefault="00F35929">
      <w:pPr>
        <w:rPr>
          <w:rFonts w:ascii="Nimbus Sans L;Arial" w:hAnsi="Nimbus Sans L;Arial" w:cs="Nimbus Sans L;Arial"/>
          <w:sz w:val="18"/>
          <w:szCs w:val="18"/>
        </w:rPr>
      </w:pPr>
    </w:p>
    <w:p w14:paraId="352125C2" w14:textId="77777777" w:rsidR="00F35929" w:rsidRDefault="00F35929">
      <w:pPr>
        <w:ind w:right="-170"/>
        <w:contextualSpacing/>
        <w:jc w:val="both"/>
        <w:rPr>
          <w:rFonts w:ascii="Nimbus Sans L;Arial" w:hAnsi="Nimbus Sans L;Arial" w:cs="Nimbus Sans L;Arial"/>
          <w:w w:val="95"/>
          <w:sz w:val="18"/>
          <w:szCs w:val="18"/>
          <w:lang w:eastAsia="fr-FR"/>
        </w:rPr>
      </w:pPr>
    </w:p>
    <w:p w14:paraId="53B24064" w14:textId="77777777" w:rsidR="00F35929" w:rsidRDefault="00F35929">
      <w:pPr>
        <w:pStyle w:val="Heading6"/>
        <w:ind w:right="-170"/>
        <w:rPr>
          <w:rFonts w:ascii="Nimbus Sans L;Arial" w:hAnsi="Nimbus Sans L;Arial" w:cs="Nimbus Sans L;Arial"/>
          <w:w w:val="95"/>
          <w:sz w:val="18"/>
          <w:szCs w:val="18"/>
          <w:lang w:eastAsia="fr-FR"/>
        </w:rPr>
      </w:pPr>
    </w:p>
    <w:p w14:paraId="785D3004" w14:textId="77777777" w:rsidR="00F35929" w:rsidRDefault="00F35929">
      <w:pPr>
        <w:pStyle w:val="BodyText"/>
        <w:ind w:right="-170"/>
        <w:rPr>
          <w:rFonts w:ascii="Nimbus Sans L;Arial" w:hAnsi="Nimbus Sans L;Arial" w:cs="Nimbus Sans L;Arial"/>
          <w:w w:val="95"/>
          <w:sz w:val="18"/>
          <w:szCs w:val="18"/>
          <w:lang w:eastAsia="fr-FR"/>
        </w:rPr>
      </w:pPr>
    </w:p>
    <w:p w14:paraId="2A07F4AD" w14:textId="77777777" w:rsidR="00F35929" w:rsidRDefault="002B5C50">
      <w:pPr>
        <w:ind w:right="-170"/>
        <w:contextualSpacing/>
        <w:jc w:val="both"/>
        <w:rPr>
          <w:rFonts w:ascii="Nimbus Sans L;Arial" w:hAnsi="Nimbus Sans L;Arial" w:cs="Nimbus Sans L;Arial"/>
          <w:w w:val="95"/>
          <w:sz w:val="4"/>
          <w:szCs w:val="4"/>
          <w:lang w:eastAsia="fr-FR"/>
        </w:rPr>
      </w:pPr>
      <w:r>
        <w:rPr>
          <w:rFonts w:ascii="Nimbus Sans L;Arial" w:hAnsi="Nimbus Sans L;Arial" w:cs="Nimbus Sans L;Arial"/>
          <w:w w:val="95"/>
          <w:sz w:val="20"/>
          <w:szCs w:val="20"/>
          <w:lang w:eastAsia="fr-FR"/>
        </w:rPr>
        <w:t xml:space="preserve">Flagrant déni est une ONG française, totalement indépendante des pouvoirs publics, créée en 2022. Les actions de l’association visent : </w:t>
      </w:r>
    </w:p>
    <w:p w14:paraId="0E4267FE" w14:textId="77777777" w:rsidR="00F35929" w:rsidRDefault="00F35929">
      <w:pPr>
        <w:ind w:right="-170"/>
        <w:contextualSpacing/>
        <w:jc w:val="both"/>
        <w:rPr>
          <w:rFonts w:ascii="Nimbus Sans L;Arial" w:hAnsi="Nimbus Sans L;Arial" w:cs="Nimbus Sans L;Arial"/>
          <w:w w:val="95"/>
          <w:sz w:val="4"/>
          <w:szCs w:val="4"/>
          <w:lang w:eastAsia="fr-FR"/>
        </w:rPr>
      </w:pPr>
    </w:p>
    <w:p w14:paraId="249C3844" w14:textId="77777777" w:rsidR="00F35929" w:rsidRDefault="002B5C50">
      <w:pPr>
        <w:ind w:right="-170"/>
        <w:contextualSpacing/>
        <w:jc w:val="both"/>
        <w:rPr>
          <w:rFonts w:ascii="Nimbus Sans L;Arial" w:hAnsi="Nimbus Sans L;Arial" w:cs="Nimbus Sans L;Arial"/>
          <w:w w:val="95"/>
          <w:sz w:val="4"/>
          <w:szCs w:val="4"/>
          <w:lang w:eastAsia="fr-FR"/>
        </w:rPr>
      </w:pPr>
      <w:r>
        <w:rPr>
          <w:noProof/>
        </w:rPr>
        <w:drawing>
          <wp:anchor distT="0" distB="0" distL="0" distR="0" simplePos="0" relativeHeight="24" behindDoc="0" locked="0" layoutInCell="0" allowOverlap="1" wp14:anchorId="7898D3EC" wp14:editId="1A06ECE3">
            <wp:simplePos x="0" y="0"/>
            <wp:positionH relativeFrom="column">
              <wp:posOffset>-20955</wp:posOffset>
            </wp:positionH>
            <wp:positionV relativeFrom="paragraph">
              <wp:posOffset>5080</wp:posOffset>
            </wp:positionV>
            <wp:extent cx="102870" cy="102870"/>
            <wp:effectExtent l="0" t="0" r="0" b="0"/>
            <wp:wrapSquare wrapText="largest"/>
            <wp:docPr id="5"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pic:cNvPicPr>
                      <a:picLocks noChangeAspect="1" noChangeArrowheads="1"/>
                    </pic:cNvPicPr>
                  </pic:nvPicPr>
                  <pic:blipFill>
                    <a:blip r:embed="rId9"/>
                    <a:srcRect l="-61" t="-61" r="-61" b="-61"/>
                    <a:stretch>
                      <a:fillRect/>
                    </a:stretch>
                  </pic:blipFill>
                  <pic:spPr bwMode="auto">
                    <a:xfrm>
                      <a:off x="0" y="0"/>
                      <a:ext cx="102870" cy="102870"/>
                    </a:xfrm>
                    <a:prstGeom prst="rect">
                      <a:avLst/>
                    </a:prstGeom>
                  </pic:spPr>
                </pic:pic>
              </a:graphicData>
            </a:graphic>
          </wp:anchor>
        </w:drawing>
      </w:r>
      <w:r>
        <w:rPr>
          <w:rFonts w:ascii="Nimbus Sans L;Arial" w:eastAsia="Nimbus Sans L;Arial" w:hAnsi="Nimbus Sans L;Arial" w:cs="Nimbus Sans L;Arial"/>
          <w:w w:val="95"/>
          <w:sz w:val="20"/>
          <w:szCs w:val="20"/>
          <w:lang w:eastAsia="fr-FR"/>
        </w:rPr>
        <w:t xml:space="preserve"> </w:t>
      </w:r>
      <w:proofErr w:type="gramStart"/>
      <w:r>
        <w:rPr>
          <w:rFonts w:ascii="Nimbus Sans L;Arial" w:hAnsi="Nimbus Sans L;Arial" w:cs="Nimbus Sans L;Arial"/>
          <w:w w:val="95"/>
          <w:sz w:val="20"/>
          <w:szCs w:val="20"/>
          <w:lang w:eastAsia="fr-FR"/>
        </w:rPr>
        <w:t>à</w:t>
      </w:r>
      <w:proofErr w:type="gramEnd"/>
      <w:r>
        <w:rPr>
          <w:rFonts w:ascii="Nimbus Sans L;Arial" w:hAnsi="Nimbus Sans L;Arial" w:cs="Nimbus Sans L;Arial"/>
          <w:w w:val="95"/>
          <w:sz w:val="20"/>
          <w:szCs w:val="20"/>
          <w:lang w:eastAsia="fr-FR"/>
        </w:rPr>
        <w:t xml:space="preserve"> documenter et dénoncer les pratiques policières illégitimes, au premier lieu desquelles l’usage excessif de la force et l’augmentation inquiétante de l’usage de la force meurtrière ;</w:t>
      </w:r>
    </w:p>
    <w:p w14:paraId="18275D00" w14:textId="77777777" w:rsidR="00F35929" w:rsidRDefault="00F35929">
      <w:pPr>
        <w:ind w:right="-170"/>
        <w:contextualSpacing/>
        <w:jc w:val="both"/>
        <w:rPr>
          <w:rFonts w:ascii="Nimbus Sans L;Arial" w:hAnsi="Nimbus Sans L;Arial" w:cs="Nimbus Sans L;Arial"/>
          <w:w w:val="95"/>
          <w:sz w:val="4"/>
          <w:szCs w:val="4"/>
          <w:lang w:eastAsia="fr-FR"/>
        </w:rPr>
      </w:pPr>
    </w:p>
    <w:p w14:paraId="392789BD" w14:textId="77777777" w:rsidR="00F35929" w:rsidRDefault="002B5C50">
      <w:pPr>
        <w:ind w:right="-170"/>
        <w:contextualSpacing/>
        <w:jc w:val="both"/>
        <w:rPr>
          <w:rFonts w:ascii="Nimbus Sans L;Arial" w:hAnsi="Nimbus Sans L;Arial" w:cs="Nimbus Sans L;Arial"/>
          <w:sz w:val="4"/>
          <w:szCs w:val="4"/>
        </w:rPr>
      </w:pPr>
      <w:r>
        <w:rPr>
          <w:noProof/>
        </w:rPr>
        <w:drawing>
          <wp:anchor distT="0" distB="0" distL="0" distR="0" simplePos="0" relativeHeight="25" behindDoc="0" locked="0" layoutInCell="0" allowOverlap="1" wp14:anchorId="16BA8687" wp14:editId="0CC79627">
            <wp:simplePos x="0" y="0"/>
            <wp:positionH relativeFrom="column">
              <wp:posOffset>-20955</wp:posOffset>
            </wp:positionH>
            <wp:positionV relativeFrom="paragraph">
              <wp:posOffset>5080</wp:posOffset>
            </wp:positionV>
            <wp:extent cx="102870" cy="102870"/>
            <wp:effectExtent l="0" t="0" r="0" b="0"/>
            <wp:wrapSquare wrapText="largest"/>
            <wp:docPr id="6"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pic:cNvPicPr>
                      <a:picLocks noChangeAspect="1" noChangeArrowheads="1"/>
                    </pic:cNvPicPr>
                  </pic:nvPicPr>
                  <pic:blipFill>
                    <a:blip r:embed="rId9"/>
                    <a:srcRect l="-61" t="-61" r="-61" b="-61"/>
                    <a:stretch>
                      <a:fillRect/>
                    </a:stretch>
                  </pic:blipFill>
                  <pic:spPr bwMode="auto">
                    <a:xfrm>
                      <a:off x="0" y="0"/>
                      <a:ext cx="102870" cy="102870"/>
                    </a:xfrm>
                    <a:prstGeom prst="rect">
                      <a:avLst/>
                    </a:prstGeom>
                  </pic:spPr>
                </pic:pic>
              </a:graphicData>
            </a:graphic>
          </wp:anchor>
        </w:drawing>
      </w:r>
      <w:r>
        <w:rPr>
          <w:rFonts w:ascii="Nimbus Sans L;Arial" w:eastAsia="Nimbus Sans L;Arial" w:hAnsi="Nimbus Sans L;Arial" w:cs="Nimbus Sans L;Arial"/>
          <w:w w:val="95"/>
          <w:sz w:val="20"/>
          <w:szCs w:val="20"/>
          <w:lang w:eastAsia="fr-FR"/>
        </w:rPr>
        <w:t xml:space="preserve"> </w:t>
      </w:r>
      <w:proofErr w:type="gramStart"/>
      <w:r>
        <w:rPr>
          <w:rFonts w:ascii="Nimbus Sans L;Arial" w:hAnsi="Nimbus Sans L;Arial" w:cs="Nimbus Sans L;Arial"/>
          <w:w w:val="95"/>
          <w:sz w:val="20"/>
          <w:szCs w:val="20"/>
          <w:lang w:eastAsia="fr-FR"/>
        </w:rPr>
        <w:t>à</w:t>
      </w:r>
      <w:proofErr w:type="gramEnd"/>
      <w:r>
        <w:rPr>
          <w:rFonts w:ascii="Nimbus Sans L;Arial" w:hAnsi="Nimbus Sans L;Arial" w:cs="Nimbus Sans L;Arial"/>
          <w:w w:val="95"/>
          <w:sz w:val="20"/>
          <w:szCs w:val="20"/>
          <w:lang w:eastAsia="fr-FR"/>
        </w:rPr>
        <w:t xml:space="preserve"> </w:t>
      </w:r>
      <w:r>
        <w:rPr>
          <w:rFonts w:ascii="Nimbus Sans L;Arial" w:hAnsi="Nimbus Sans L;Arial" w:cs="Nimbus Sans L;Arial"/>
          <w:w w:val="95"/>
          <w:sz w:val="20"/>
          <w:szCs w:val="20"/>
          <w:lang w:eastAsia="fr-FR"/>
        </w:rPr>
        <w:t>dévoiler les rouages de l’impunité policière</w:t>
      </w:r>
      <w:r>
        <w:rPr>
          <w:rFonts w:ascii="Nimbus Sans L;Arial" w:hAnsi="Nimbus Sans L;Arial" w:cs="Nimbus Sans L;Arial"/>
          <w:w w:val="95"/>
          <w:sz w:val="20"/>
          <w:szCs w:val="20"/>
          <w:lang w:eastAsia="fr-FR"/>
        </w:rPr>
        <w:t xml:space="preserve">, c’est-à-dire à documenter les différentes règles, pratiques et mécanismes qui concourent à laisser les pratiques policières </w:t>
      </w:r>
      <w:r>
        <w:rPr>
          <w:rFonts w:ascii="Nimbus Sans L;Arial" w:hAnsi="Nimbus Sans L;Arial" w:cs="Nimbus Sans L;Arial"/>
          <w:w w:val="95"/>
          <w:sz w:val="20"/>
          <w:szCs w:val="20"/>
          <w:lang w:eastAsia="fr-FR"/>
        </w:rPr>
        <w:t>illégitimes dans l’impunité.</w:t>
      </w:r>
    </w:p>
    <w:p w14:paraId="3CDBEF1A" w14:textId="77777777" w:rsidR="00F35929" w:rsidRDefault="00F35929">
      <w:pPr>
        <w:ind w:right="-170"/>
        <w:contextualSpacing/>
        <w:jc w:val="both"/>
        <w:rPr>
          <w:rFonts w:ascii="Nimbus Sans L;Arial" w:hAnsi="Nimbus Sans L;Arial" w:cs="Nimbus Sans L;Arial"/>
          <w:sz w:val="4"/>
          <w:szCs w:val="4"/>
        </w:rPr>
      </w:pPr>
    </w:p>
    <w:p w14:paraId="5C70914F" w14:textId="77777777" w:rsidR="00F35929" w:rsidRDefault="002B5C50">
      <w:pPr>
        <w:ind w:right="-170"/>
        <w:contextualSpacing/>
        <w:jc w:val="both"/>
        <w:rPr>
          <w:rFonts w:ascii="Nimbus Sans L;Arial" w:hAnsi="Nimbus Sans L;Arial" w:cs="Nimbus Sans L;Arial"/>
          <w:sz w:val="20"/>
          <w:szCs w:val="20"/>
        </w:rPr>
      </w:pPr>
      <w:r>
        <w:rPr>
          <w:rFonts w:ascii="Nimbus Sans L;Arial" w:hAnsi="Nimbus Sans L;Arial" w:cs="Nimbus Sans L;Arial"/>
          <w:w w:val="95"/>
          <w:sz w:val="20"/>
          <w:szCs w:val="20"/>
          <w:lang w:eastAsia="fr-FR"/>
        </w:rPr>
        <w:t xml:space="preserve">En 2023, Flagrant déni a publié </w:t>
      </w:r>
      <w:r>
        <w:rPr>
          <w:rFonts w:ascii="Nimbus Sans L;Arial" w:hAnsi="Nimbus Sans L;Arial" w:cs="Nimbus Sans L;Arial"/>
          <w:b/>
          <w:bCs/>
          <w:w w:val="95"/>
          <w:sz w:val="20"/>
          <w:szCs w:val="20"/>
          <w:lang w:eastAsia="fr-FR"/>
        </w:rPr>
        <w:t xml:space="preserve">« le 17 » un guide complet en ligne à destination des victimes et de leurs </w:t>
      </w:r>
      <w:proofErr w:type="spellStart"/>
      <w:r>
        <w:rPr>
          <w:rFonts w:ascii="Nimbus Sans L;Arial" w:hAnsi="Nimbus Sans L;Arial" w:cs="Nimbus Sans L;Arial"/>
          <w:b/>
          <w:bCs/>
          <w:w w:val="95"/>
          <w:sz w:val="20"/>
          <w:szCs w:val="20"/>
          <w:lang w:eastAsia="fr-FR"/>
        </w:rPr>
        <w:t>avocat·es</w:t>
      </w:r>
      <w:proofErr w:type="spellEnd"/>
      <w:r>
        <w:rPr>
          <w:rFonts w:ascii="Nimbus Sans L;Arial" w:hAnsi="Nimbus Sans L;Arial" w:cs="Nimbus Sans L;Arial"/>
          <w:w w:val="95"/>
          <w:sz w:val="20"/>
          <w:szCs w:val="20"/>
          <w:lang w:eastAsia="fr-FR"/>
        </w:rPr>
        <w:t>, une première du genre en France</w:t>
      </w:r>
      <w:r>
        <w:rPr>
          <w:rStyle w:val="FootnoteReference"/>
          <w:rFonts w:ascii="Nimbus Sans L;Arial" w:hAnsi="Nimbus Sans L;Arial" w:cs="Nimbus Sans L;Arial"/>
          <w:w w:val="95"/>
          <w:sz w:val="20"/>
          <w:szCs w:val="20"/>
          <w:lang w:eastAsia="fr-FR"/>
        </w:rPr>
        <w:footnoteReference w:id="1"/>
      </w:r>
      <w:r>
        <w:rPr>
          <w:rFonts w:ascii="Nimbus Sans L;Arial" w:hAnsi="Nimbus Sans L;Arial" w:cs="Nimbus Sans L;Arial"/>
          <w:w w:val="95"/>
          <w:sz w:val="20"/>
          <w:szCs w:val="20"/>
          <w:lang w:eastAsia="fr-FR"/>
        </w:rPr>
        <w:t>.</w:t>
      </w:r>
    </w:p>
    <w:p w14:paraId="65836DDF" w14:textId="77777777" w:rsidR="00F35929" w:rsidRDefault="00F35929">
      <w:pPr>
        <w:ind w:right="-170"/>
        <w:contextualSpacing/>
        <w:jc w:val="both"/>
        <w:rPr>
          <w:rFonts w:ascii="Nimbus Sans L;Arial" w:hAnsi="Nimbus Sans L;Arial" w:cs="Nimbus Sans L;Arial"/>
          <w:sz w:val="20"/>
          <w:szCs w:val="20"/>
        </w:rPr>
      </w:pPr>
    </w:p>
    <w:p w14:paraId="7E1AEC9C" w14:textId="77777777" w:rsidR="00F35929" w:rsidRDefault="00F35929">
      <w:pPr>
        <w:ind w:right="-170"/>
        <w:contextualSpacing/>
        <w:jc w:val="center"/>
        <w:rPr>
          <w:rFonts w:ascii="Nimbus Sans L;Arial" w:hAnsi="Nimbus Sans L;Arial" w:cs="Nimbus Sans L;Arial"/>
          <w:sz w:val="18"/>
          <w:szCs w:val="18"/>
        </w:rPr>
      </w:pPr>
    </w:p>
    <w:p w14:paraId="69F40C63" w14:textId="77777777" w:rsidR="00F35929" w:rsidRDefault="00F35929">
      <w:pPr>
        <w:pStyle w:val="BodyText"/>
        <w:spacing w:after="0" w:line="240" w:lineRule="auto"/>
        <w:rPr>
          <w:rFonts w:ascii="NimbusSanL;Times New Roman" w:hAnsi="NimbusSanL;Times New Roman" w:cs="NimbusSanL;Times New Roman"/>
          <w:sz w:val="18"/>
          <w:szCs w:val="18"/>
        </w:rPr>
      </w:pPr>
    </w:p>
    <w:p w14:paraId="528C2B93" w14:textId="77777777" w:rsidR="00F35929" w:rsidRDefault="00F35929">
      <w:pPr>
        <w:pStyle w:val="BodyText"/>
        <w:spacing w:after="0" w:line="240" w:lineRule="auto"/>
        <w:rPr>
          <w:rFonts w:ascii="NimbusSanL;Times New Roman" w:hAnsi="NimbusSanL;Times New Roman" w:cs="NimbusSanL;Times New Roman"/>
          <w:sz w:val="18"/>
          <w:szCs w:val="18"/>
        </w:rPr>
      </w:pPr>
    </w:p>
    <w:p w14:paraId="667078AC" w14:textId="77777777" w:rsidR="00F35929" w:rsidRDefault="00F35929">
      <w:pPr>
        <w:pStyle w:val="BodyText"/>
        <w:spacing w:after="0" w:line="240" w:lineRule="auto"/>
        <w:jc w:val="center"/>
        <w:rPr>
          <w:rFonts w:ascii="NimbusSanL;Times New Roman" w:hAnsi="NimbusSanL;Times New Roman" w:cs="NimbusSanL;Times New Roman"/>
          <w:sz w:val="20"/>
          <w:szCs w:val="20"/>
        </w:rPr>
      </w:pPr>
    </w:p>
    <w:p w14:paraId="03D24943" w14:textId="77777777" w:rsidR="00F35929" w:rsidRDefault="00F35929">
      <w:pPr>
        <w:pStyle w:val="BodyText"/>
        <w:spacing w:after="0" w:line="240" w:lineRule="auto"/>
        <w:rPr>
          <w:rFonts w:ascii="NimbusSanL;Times New Roman" w:hAnsi="NimbusSanL;Times New Roman" w:cs="NimbusSanL;Times New Roman"/>
          <w:sz w:val="20"/>
          <w:szCs w:val="20"/>
        </w:rPr>
      </w:pPr>
    </w:p>
    <w:p w14:paraId="35513C99" w14:textId="77777777" w:rsidR="00F35929" w:rsidRDefault="00F35929">
      <w:pPr>
        <w:pStyle w:val="BodyText"/>
        <w:spacing w:after="0" w:line="240" w:lineRule="auto"/>
        <w:rPr>
          <w:rFonts w:ascii="NimbusSanL;Times New Roman" w:hAnsi="NimbusSanL;Times New Roman" w:cs="NimbusSanL;Times New Roman"/>
          <w:sz w:val="20"/>
          <w:szCs w:val="20"/>
        </w:rPr>
      </w:pPr>
    </w:p>
    <w:p w14:paraId="088E8856"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5F10FB0B" w14:textId="77777777" w:rsidR="00F35929" w:rsidRDefault="00F35929">
      <w:pPr>
        <w:pStyle w:val="BodyText"/>
        <w:spacing w:after="0" w:line="240" w:lineRule="auto"/>
        <w:jc w:val="both"/>
      </w:pPr>
    </w:p>
    <w:p w14:paraId="297BD0DB" w14:textId="77777777" w:rsidR="00F35929" w:rsidRDefault="00F35929">
      <w:pPr>
        <w:pStyle w:val="BodyText"/>
        <w:spacing w:after="0" w:line="240" w:lineRule="auto"/>
        <w:jc w:val="both"/>
      </w:pPr>
    </w:p>
    <w:p w14:paraId="0E081EB4" w14:textId="77777777" w:rsidR="00F35929" w:rsidRDefault="00F35929">
      <w:pPr>
        <w:pStyle w:val="BodyText"/>
        <w:spacing w:after="0" w:line="240" w:lineRule="auto"/>
        <w:jc w:val="both"/>
      </w:pPr>
    </w:p>
    <w:p w14:paraId="688E9B42" w14:textId="77777777" w:rsidR="00F35929" w:rsidRDefault="00F35929">
      <w:pPr>
        <w:pStyle w:val="BodyText"/>
        <w:spacing w:after="0" w:line="240" w:lineRule="auto"/>
        <w:jc w:val="both"/>
      </w:pPr>
    </w:p>
    <w:p w14:paraId="41E711D6"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Dans ses observations finales de 2016, le Comité contre la </w:t>
      </w:r>
      <w:r>
        <w:rPr>
          <w:rFonts w:ascii="NimbusSanL;Times New Roman" w:hAnsi="NimbusSanL;Times New Roman" w:cs="NimbusSanL;Times New Roman"/>
          <w:sz w:val="20"/>
          <w:szCs w:val="20"/>
        </w:rPr>
        <w:t>torture se disait « </w:t>
      </w:r>
      <w:r>
        <w:rPr>
          <w:rFonts w:ascii="NimbusSanL;Times New Roman" w:hAnsi="NimbusSanL;Times New Roman" w:cs="NimbusSanL;Times New Roman"/>
          <w:i/>
          <w:iCs/>
          <w:sz w:val="20"/>
          <w:szCs w:val="20"/>
        </w:rPr>
        <w:t>préoccupé par les allégations d’usage excessif de la force par les fonctionnaires de police et de gendarmerie ayant, dans certains cas, entraîné des blessures graves ou des décès. Il est également préoccupé par : a) les informations faisant état d’obstacles rencontrés par les victimes pour porter plainte ; b) l’absence de données statistiques sur les plaintes permettant de faire une comparaison par rapport aux enquêtes ouvertes et aux poursuites engagées ; c) le manque d’informations dét</w:t>
      </w:r>
      <w:r>
        <w:rPr>
          <w:rFonts w:ascii="NimbusSanL;Times New Roman" w:hAnsi="NimbusSanL;Times New Roman" w:cs="NimbusSanL;Times New Roman"/>
          <w:i/>
          <w:iCs/>
          <w:sz w:val="20"/>
          <w:szCs w:val="20"/>
        </w:rPr>
        <w:t>aillées sur les condamnations judiciaires des fonctionnaires de police et de gendarmerie reconnus coupables et les sanctions prononcées à leur égard ; d) des informations faisant état d’un nombre important de non-lieux et de classements sans suite, de sanctions administratives peu sévères ou non proportionnelles à la gravité des faits et du peu de sanctions judiciaires prononcées contre les fonctionnaires de police et de gendarmerie</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2"/>
      </w:r>
      <w:r>
        <w:rPr>
          <w:rFonts w:ascii="NimbusSanL;Times New Roman" w:hAnsi="NimbusSanL;Times New Roman" w:cs="NimbusSanL;Times New Roman"/>
          <w:sz w:val="20"/>
          <w:szCs w:val="20"/>
        </w:rPr>
        <w:t>.</w:t>
      </w:r>
    </w:p>
    <w:p w14:paraId="58A416EE"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2A10A0A6" w14:textId="77777777" w:rsidR="00F35929" w:rsidRDefault="002B5C50">
      <w:pPr>
        <w:pStyle w:val="BodyText"/>
        <w:spacing w:after="0" w:line="240" w:lineRule="auto"/>
        <w:jc w:val="both"/>
        <w:rPr>
          <w:sz w:val="20"/>
          <w:szCs w:val="20"/>
        </w:rPr>
      </w:pPr>
      <w:r>
        <w:rPr>
          <w:rFonts w:ascii="NimbusSanL;Times New Roman" w:hAnsi="NimbusSanL;Times New Roman" w:cs="NimbusSanL;Times New Roman"/>
          <w:sz w:val="20"/>
          <w:szCs w:val="20"/>
        </w:rPr>
        <w:t xml:space="preserve">Dans le cadre du présent examen, </w:t>
      </w:r>
      <w:proofErr w:type="gramStart"/>
      <w:r>
        <w:rPr>
          <w:rFonts w:ascii="NimbusSanL;Times New Roman" w:hAnsi="NimbusSanL;Times New Roman" w:cs="NimbusSanL;Times New Roman"/>
          <w:sz w:val="20"/>
          <w:szCs w:val="20"/>
        </w:rPr>
        <w:t>suite aux</w:t>
      </w:r>
      <w:proofErr w:type="gramEnd"/>
      <w:r>
        <w:rPr>
          <w:rFonts w:ascii="NimbusSanL;Times New Roman" w:hAnsi="NimbusSanL;Times New Roman" w:cs="NimbusSanL;Times New Roman"/>
          <w:sz w:val="20"/>
          <w:szCs w:val="20"/>
        </w:rPr>
        <w:t xml:space="preserve"> questions posées par le Comité</w:t>
      </w:r>
      <w:r>
        <w:rPr>
          <w:rStyle w:val="FootnoteReference"/>
          <w:rFonts w:ascii="NimbusSanL;Times New Roman" w:hAnsi="NimbusSanL;Times New Roman" w:cs="NimbusSanL;Times New Roman"/>
          <w:sz w:val="20"/>
          <w:szCs w:val="20"/>
        </w:rPr>
        <w:footnoteReference w:id="3"/>
      </w:r>
      <w:r>
        <w:rPr>
          <w:rFonts w:ascii="NimbusSanL;Times New Roman" w:hAnsi="NimbusSanL;Times New Roman" w:cs="NimbusSanL;Times New Roman"/>
          <w:sz w:val="20"/>
          <w:szCs w:val="20"/>
        </w:rPr>
        <w:t>, la France a répondu que « </w:t>
      </w:r>
      <w:r>
        <w:rPr>
          <w:rFonts w:ascii="NimbusSanL;Times New Roman" w:hAnsi="NimbusSanL;Times New Roman" w:cs="NimbusSanL;Times New Roman"/>
          <w:i/>
          <w:iCs/>
          <w:sz w:val="20"/>
          <w:szCs w:val="20"/>
        </w:rPr>
        <w:t>l’IGPN ou l’IGGN peuvent être saisies par le parquet compétent pour enquêter sur les faits dénoncés par une victime de violences. L’enquête sera menée en toute indépendance et impartialité, sous la direction de l’autorité judiciaire</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4"/>
      </w:r>
      <w:r>
        <w:rPr>
          <w:rFonts w:ascii="NimbusSanL;Times New Roman" w:hAnsi="NimbusSanL;Times New Roman" w:cs="NimbusSanL;Times New Roman"/>
          <w:sz w:val="20"/>
          <w:szCs w:val="20"/>
        </w:rPr>
        <w:t xml:space="preserve">. </w:t>
      </w:r>
    </w:p>
    <w:p w14:paraId="5AEFC144" w14:textId="77777777" w:rsidR="00F35929" w:rsidRDefault="00F35929">
      <w:pPr>
        <w:pStyle w:val="BodyText"/>
        <w:spacing w:after="0" w:line="240" w:lineRule="auto"/>
        <w:jc w:val="both"/>
        <w:rPr>
          <w:sz w:val="20"/>
          <w:szCs w:val="20"/>
        </w:rPr>
      </w:pPr>
    </w:p>
    <w:p w14:paraId="3AD63A0D"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Or, l’indépendance et l’impartialité de l’IGPN est mise en doute par de nombreux observateurs et praticiens, au point qu’une réforme a été envisagée en 2020 par l’exécutif français. En outre, l’Inspection fait l’objet d’une véritable crise des vocations, qui effrite ses effectifs et affaiblit sa capacité à mener des enquêtes de qualité </w:t>
      </w:r>
      <w:r>
        <w:rPr>
          <w:rFonts w:ascii="NimbusSanL;Times New Roman" w:hAnsi="NimbusSanL;Times New Roman" w:cs="NimbusSanL;Times New Roman"/>
          <w:b/>
          <w:bCs/>
          <w:sz w:val="20"/>
          <w:szCs w:val="20"/>
        </w:rPr>
        <w:t>(I)</w:t>
      </w:r>
      <w:r>
        <w:rPr>
          <w:rFonts w:ascii="NimbusSanL;Times New Roman" w:hAnsi="NimbusSanL;Times New Roman" w:cs="NimbusSanL;Times New Roman"/>
          <w:sz w:val="20"/>
          <w:szCs w:val="20"/>
        </w:rPr>
        <w:t>. Au demeurant, l’IGPN reconnaît ne traiter qu’un dixième des affaires pénales impliquant des policiers. Même les affaires les plus graves, concernant des décès, lui échappent pour une bonne part (environ un quart, a minima). Les services chargés des enquêtes (lorsque celles-ci ne sont pas traitées par l’IGPN), et notamment les « cellules de déontologie » départementales, présentent des garanties d’indépendance encore plus faibles, s’agissant d’unités placées sous le contrôle des autorités locales de pol</w:t>
      </w:r>
      <w:r>
        <w:rPr>
          <w:rFonts w:ascii="NimbusSanL;Times New Roman" w:hAnsi="NimbusSanL;Times New Roman" w:cs="NimbusSanL;Times New Roman"/>
          <w:sz w:val="20"/>
          <w:szCs w:val="20"/>
        </w:rPr>
        <w:t xml:space="preserve">ice, et constituées dans des communautés professionnelles identiques à celles des policiers mis en cause </w:t>
      </w:r>
      <w:r>
        <w:rPr>
          <w:rFonts w:ascii="NimbusSanL;Times New Roman" w:hAnsi="NimbusSanL;Times New Roman" w:cs="NimbusSanL;Times New Roman"/>
          <w:b/>
          <w:bCs/>
          <w:sz w:val="20"/>
          <w:szCs w:val="20"/>
        </w:rPr>
        <w:t>(II)</w:t>
      </w:r>
      <w:r>
        <w:rPr>
          <w:rFonts w:ascii="NimbusSanL;Times New Roman" w:hAnsi="NimbusSanL;Times New Roman" w:cs="NimbusSanL;Times New Roman"/>
          <w:sz w:val="20"/>
          <w:szCs w:val="20"/>
        </w:rPr>
        <w:t xml:space="preserve">. </w:t>
      </w:r>
    </w:p>
    <w:p w14:paraId="477DD139"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40D06301"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La présente soumission se fonde sur les avis et recommandations de diverses instances nationales et internationales, sur des entretiens avec des sources policières ayant travaillé ou travaillant actuellement en cellules de déontologie, et sur une analyse exhaustive et inédite menée sur les services d’enquêtes saisis par les parquets en cas d’homicides policiers. Le propos est volontairement focalisé sur la police nationale. En effet, alors qu’elle connaît un effectif à peu près similaire à celui de la genda</w:t>
      </w:r>
      <w:r>
        <w:rPr>
          <w:rFonts w:ascii="NimbusSanL;Times New Roman" w:hAnsi="NimbusSanL;Times New Roman" w:cs="NimbusSanL;Times New Roman"/>
          <w:sz w:val="20"/>
          <w:szCs w:val="20"/>
        </w:rPr>
        <w:t>rmerie, le nombre d’enquêtes judiciaires ouvertes contre des policiers est environ dix fois supérieur à celles ouvertes contre des gendarmes</w:t>
      </w:r>
      <w:r>
        <w:rPr>
          <w:rStyle w:val="FootnoteReference"/>
          <w:rFonts w:ascii="NimbusSanL;Times New Roman" w:hAnsi="NimbusSanL;Times New Roman" w:cs="NimbusSanL;Times New Roman"/>
          <w:sz w:val="20"/>
          <w:szCs w:val="20"/>
        </w:rPr>
        <w:footnoteReference w:id="5"/>
      </w:r>
      <w:r>
        <w:rPr>
          <w:rFonts w:ascii="NimbusSanL;Times New Roman" w:hAnsi="NimbusSanL;Times New Roman" w:cs="NimbusSanL;Times New Roman"/>
          <w:sz w:val="20"/>
          <w:szCs w:val="20"/>
        </w:rPr>
        <w:t xml:space="preserve">. </w:t>
      </w:r>
    </w:p>
    <w:p w14:paraId="1572FB67" w14:textId="77777777" w:rsidR="00F35929" w:rsidRDefault="00F35929">
      <w:pPr>
        <w:pStyle w:val="BodyText"/>
        <w:spacing w:after="0" w:line="240" w:lineRule="auto"/>
        <w:rPr>
          <w:rFonts w:ascii="NimbusSanL;Times New Roman" w:hAnsi="NimbusSanL;Times New Roman" w:cs="NimbusSanL;Times New Roman"/>
          <w:sz w:val="20"/>
          <w:szCs w:val="20"/>
        </w:rPr>
      </w:pPr>
    </w:p>
    <w:p w14:paraId="77235051" w14:textId="77777777" w:rsidR="00F35929" w:rsidRDefault="00F35929">
      <w:pPr>
        <w:pStyle w:val="BodyText"/>
        <w:spacing w:after="0" w:line="240" w:lineRule="auto"/>
        <w:rPr>
          <w:rFonts w:ascii="NimbusSanL;Times New Roman" w:hAnsi="NimbusSanL;Times New Roman" w:cs="NimbusSanL;Times New Roman"/>
          <w:sz w:val="20"/>
          <w:szCs w:val="20"/>
        </w:rPr>
      </w:pPr>
    </w:p>
    <w:p w14:paraId="20CD3295" w14:textId="77777777" w:rsidR="00F35929" w:rsidRDefault="00F35929">
      <w:pPr>
        <w:jc w:val="both"/>
        <w:rPr>
          <w:rFonts w:ascii="NimbusSanL;Times New Roman" w:hAnsi="NimbusSanL;Times New Roman" w:cs="NimbusSanL;Times New Roman"/>
          <w:sz w:val="20"/>
          <w:szCs w:val="20"/>
        </w:rPr>
      </w:pPr>
    </w:p>
    <w:p w14:paraId="7B1A3B0B" w14:textId="77777777" w:rsidR="00F35929" w:rsidRDefault="00F35929">
      <w:pPr>
        <w:jc w:val="both"/>
        <w:rPr>
          <w:rFonts w:ascii="NimbusSanL;Times New Roman" w:hAnsi="NimbusSanL;Times New Roman" w:cs="NimbusSanL;Times New Roman"/>
          <w:sz w:val="20"/>
          <w:szCs w:val="20"/>
        </w:rPr>
      </w:pPr>
    </w:p>
    <w:p w14:paraId="385808B0" w14:textId="77777777" w:rsidR="00F35929" w:rsidRDefault="00F35929">
      <w:pPr>
        <w:jc w:val="center"/>
        <w:rPr>
          <w:rFonts w:ascii="NimbusSanL;Times New Roman" w:hAnsi="NimbusSanL;Times New Roman" w:cs="NimbusSanL;Times New Roman"/>
          <w:sz w:val="20"/>
          <w:szCs w:val="20"/>
        </w:rPr>
      </w:pPr>
    </w:p>
    <w:p w14:paraId="24520CCC" w14:textId="77777777" w:rsidR="00F35929" w:rsidRDefault="002B5C50">
      <w:pPr>
        <w:jc w:val="both"/>
        <w:rPr>
          <w:rFonts w:ascii="NimbusSanL;Times New Roman" w:hAnsi="NimbusSanL;Times New Roman" w:cs="NimbusSanL;Times New Roman"/>
          <w:b/>
          <w:sz w:val="20"/>
          <w:szCs w:val="20"/>
        </w:rPr>
      </w:pPr>
      <w:r>
        <w:br w:type="page"/>
      </w:r>
    </w:p>
    <w:p w14:paraId="7AC1C52C" w14:textId="77777777" w:rsidR="00F35929" w:rsidRDefault="00F35929">
      <w:pPr>
        <w:jc w:val="both"/>
        <w:rPr>
          <w:rFonts w:ascii="NimbusSanL;Times New Roman" w:hAnsi="NimbusSanL;Times New Roman" w:cs="NimbusSanL;Times New Roman"/>
          <w:b/>
          <w:sz w:val="20"/>
          <w:szCs w:val="20"/>
        </w:rPr>
      </w:pPr>
    </w:p>
    <w:p w14:paraId="76B62BBB" w14:textId="77777777" w:rsidR="00F35929" w:rsidRDefault="00F35929">
      <w:pPr>
        <w:jc w:val="both"/>
        <w:rPr>
          <w:rFonts w:ascii="NimbusSanL;Times New Roman" w:hAnsi="NimbusSanL;Times New Roman" w:cs="NimbusSanL;Times New Roman"/>
          <w:b/>
          <w:sz w:val="20"/>
          <w:szCs w:val="20"/>
        </w:rPr>
      </w:pPr>
    </w:p>
    <w:p w14:paraId="45B8A3CA" w14:textId="77777777" w:rsidR="00F35929" w:rsidRDefault="00F35929">
      <w:pPr>
        <w:jc w:val="both"/>
        <w:rPr>
          <w:rFonts w:ascii="NimbusSanL;Times New Roman" w:hAnsi="NimbusSanL;Times New Roman" w:cs="NimbusSanL;Times New Roman"/>
          <w:b/>
          <w:sz w:val="20"/>
          <w:szCs w:val="20"/>
        </w:rPr>
      </w:pPr>
    </w:p>
    <w:p w14:paraId="577043CA" w14:textId="77777777" w:rsidR="00F35929" w:rsidRDefault="002B5C50">
      <w:pPr>
        <w:jc w:val="both"/>
        <w:rPr>
          <w:rFonts w:ascii="NimbusSanL;Times New Roman" w:hAnsi="NimbusSanL;Times New Roman" w:cs="NimbusSanL;Times New Roman"/>
          <w:b/>
          <w:sz w:val="20"/>
          <w:szCs w:val="20"/>
        </w:rPr>
      </w:pPr>
      <w:r>
        <w:rPr>
          <w:rFonts w:ascii="NimbusSanL;Times New Roman" w:hAnsi="NimbusSanL;Times New Roman" w:cs="NimbusSanL;Times New Roman"/>
          <w:b/>
          <w:noProof/>
          <w:sz w:val="20"/>
          <w:szCs w:val="20"/>
        </w:rPr>
        <mc:AlternateContent>
          <mc:Choice Requires="wps">
            <w:drawing>
              <wp:anchor distT="0" distB="0" distL="114935" distR="114935" simplePos="0" relativeHeight="26" behindDoc="0" locked="0" layoutInCell="1" allowOverlap="1" wp14:anchorId="5FD816FB" wp14:editId="7FF67997">
                <wp:simplePos x="0" y="0"/>
                <wp:positionH relativeFrom="column">
                  <wp:posOffset>1185545</wp:posOffset>
                </wp:positionH>
                <wp:positionV relativeFrom="paragraph">
                  <wp:posOffset>41910</wp:posOffset>
                </wp:positionV>
                <wp:extent cx="5634990" cy="580390"/>
                <wp:effectExtent l="0" t="0" r="0" b="0"/>
                <wp:wrapNone/>
                <wp:docPr id="7" name="Text Box 7"/>
                <wp:cNvGraphicFramePr/>
                <a:graphic xmlns:a="http://schemas.openxmlformats.org/drawingml/2006/main">
                  <a:graphicData uri="http://schemas.microsoft.com/office/word/2010/wordprocessingShape">
                    <wps:wsp>
                      <wps:cNvSpPr txBox="1"/>
                      <wps:spPr>
                        <a:xfrm>
                          <a:off x="0" y="0"/>
                          <a:ext cx="5635080" cy="580320"/>
                        </a:xfrm>
                        <a:prstGeom prst="rect">
                          <a:avLst/>
                        </a:prstGeom>
                        <a:solidFill>
                          <a:srgbClr val="85CFFF"/>
                        </a:solidFill>
                        <a:ln w="0">
                          <a:noFill/>
                        </a:ln>
                      </wps:spPr>
                      <wps:txbx>
                        <w:txbxContent>
                          <w:p w14:paraId="6B959BF9" w14:textId="77777777" w:rsidR="00F35929" w:rsidRDefault="002B5C50">
                            <w:pPr>
                              <w:overflowPunct w:val="0"/>
                              <w:jc w:val="both"/>
                            </w:pPr>
                            <w:r>
                              <w:rPr>
                                <w:rFonts w:ascii="Nimbus Sans L;Arial" w:hAnsi="Nimbus Sans L;Arial" w:cs="Nimbus Sans L;Arial"/>
                                <w:b/>
                                <w:bCs/>
                                <w:w w:val="95"/>
                                <w:sz w:val="18"/>
                                <w:szCs w:val="18"/>
                                <w:lang w:eastAsia="fr-FR"/>
                              </w:rPr>
                              <w:t>I. L’Inspection générale de la police nationale (IGPN) : une institution à bout de souffle ?</w:t>
                            </w:r>
                          </w:p>
                        </w:txbxContent>
                      </wps:txbx>
                      <wps:bodyPr wrap="square" lIns="0" tIns="0" rIns="0" bIns="0" anchor="ctr">
                        <a:noAutofit/>
                      </wps:bodyPr>
                    </wps:wsp>
                  </a:graphicData>
                </a:graphic>
              </wp:anchor>
            </w:drawing>
          </mc:Choice>
          <mc:Fallback>
            <w:pict>
              <v:shape w14:anchorId="5FD816FB" id="Text Box 7" o:spid="_x0000_s1028" type="#_x0000_t202" style="position:absolute;left:0;text-align:left;margin-left:93.35pt;margin-top:3.3pt;width:443.7pt;height:45.7pt;z-index:26;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2rtwEAAF0DAAAOAAAAZHJzL2Uyb0RvYy54bWysU8tu2zAQvBfoPxC8x1IcODAEy0GbQEWB&#10;oi2Q5AMoirQIUFx2SVvy33dJW3bS3opeqCX3NTO72jxMg2UHhcGAq/ntouRMOQmdcbuav740N2vO&#10;QhSuExacqvlRBf6w/fhhM/pKLaEH2ylkVMSFavQ172P0VVEE2atBhAV45cipAQcR6Yq7okMxUvXB&#10;FsuyvC9GwM4jSBUCvT6dnHyb62utZPyhdVCR2ZoTtphPzGebzmK7EdUOhe+NPMMQ/4BiEMZR00up&#10;JxEF26P5q9RgJEIAHRcShgK0NlJlDsTmtvyDzXMvvMpcSJzgLzKF/1dWfj88+5/I4vQZJhpgEmT0&#10;oQr0mPhMGof0JaSM/CTh8SKbmiKT9Li6v1uVa3JJ8q3W5d0y61pcsz2G+EXBwJJRc6SxZLXE4VuI&#10;1JFC55DULIA1XWOszRfctY8W2UHQCNerx6ZpEkhKeRdmHRsTspTiICWfgqyj2CujZMWpnZjpar6c&#10;2bbQHUmEkfag5uHXXqDizH51JHRamtnA2WhnQzjZA62TjHju/GkfQZtMKvU6VT5DoBlm4Od9S0vy&#10;9p6jrn/F9jcAAAD//wMAUEsDBBQABgAIAAAAIQDr59Y+3QAAAAkBAAAPAAAAZHJzL2Rvd25yZXYu&#10;eG1sTI/BTsMwEETvSPyDtUjcqF1ASQhxKlQJqRck0vYDtskSR8TrEDtN+ve4JziOZjTzptgsthdn&#10;Gn3nWMN6pUAQ167puNVwPLw/ZCB8QG6wd0waLuRhU97eFJg3buaKzvvQiljCPkcNJoQhl9LXhiz6&#10;lRuIo/flRoshyrGVzYhzLLe9fFQqkRY7jgsGB9oaqr/3k9VQpYdq3pnL8vG5c53Mtjj9PKHW93fL&#10;2yuIQEv4C8MVP6JDGZlObuLGiz7qLEljVEOSgLj6Kn1egzhpeMkUyLKQ/x+UvwAAAP//AwBQSwEC&#10;LQAUAAYACAAAACEAtoM4kv4AAADhAQAAEwAAAAAAAAAAAAAAAAAAAAAAW0NvbnRlbnRfVHlwZXNd&#10;LnhtbFBLAQItABQABgAIAAAAIQA4/SH/1gAAAJQBAAALAAAAAAAAAAAAAAAAAC8BAABfcmVscy8u&#10;cmVsc1BLAQItABQABgAIAAAAIQBSIw2rtwEAAF0DAAAOAAAAAAAAAAAAAAAAAC4CAABkcnMvZTJv&#10;RG9jLnhtbFBLAQItABQABgAIAAAAIQDr59Y+3QAAAAkBAAAPAAAAAAAAAAAAAAAAABEEAABkcnMv&#10;ZG93bnJldi54bWxQSwUGAAAAAAQABADzAAAAGwUAAAAA&#10;" fillcolor="#85cfff" stroked="f" strokeweight="0">
                <v:textbox inset="0,0,0,0">
                  <w:txbxContent>
                    <w:p w14:paraId="6B959BF9" w14:textId="77777777" w:rsidR="00F35929" w:rsidRDefault="002B5C50">
                      <w:pPr>
                        <w:overflowPunct w:val="0"/>
                        <w:jc w:val="both"/>
                      </w:pPr>
                      <w:r>
                        <w:rPr>
                          <w:rFonts w:ascii="Nimbus Sans L;Arial" w:hAnsi="Nimbus Sans L;Arial" w:cs="Nimbus Sans L;Arial"/>
                          <w:b/>
                          <w:bCs/>
                          <w:w w:val="95"/>
                          <w:sz w:val="18"/>
                          <w:szCs w:val="18"/>
                          <w:lang w:eastAsia="fr-FR"/>
                        </w:rPr>
                        <w:t>I. L’Inspection générale de la police nationale (IGPN) : une institution à bout de souffle ?</w:t>
                      </w:r>
                    </w:p>
                  </w:txbxContent>
                </v:textbox>
              </v:shape>
            </w:pict>
          </mc:Fallback>
        </mc:AlternateContent>
      </w:r>
    </w:p>
    <w:p w14:paraId="08E57A32" w14:textId="77777777" w:rsidR="00F35929" w:rsidRDefault="00F35929">
      <w:pPr>
        <w:jc w:val="both"/>
        <w:rPr>
          <w:rFonts w:ascii="NimbusSanL;Times New Roman" w:hAnsi="NimbusSanL;Times New Roman" w:cs="NimbusSanL;Times New Roman"/>
          <w:b/>
          <w:sz w:val="20"/>
          <w:szCs w:val="20"/>
        </w:rPr>
      </w:pPr>
    </w:p>
    <w:p w14:paraId="668D9386" w14:textId="77777777" w:rsidR="00F35929" w:rsidRDefault="00F35929">
      <w:pPr>
        <w:jc w:val="both"/>
        <w:rPr>
          <w:rFonts w:ascii="NimbusSanL;Times New Roman" w:hAnsi="NimbusSanL;Times New Roman" w:cs="NimbusSanL;Times New Roman"/>
          <w:b/>
          <w:sz w:val="20"/>
          <w:szCs w:val="20"/>
        </w:rPr>
      </w:pPr>
    </w:p>
    <w:p w14:paraId="606160D5" w14:textId="77777777" w:rsidR="00F35929" w:rsidRDefault="00F35929">
      <w:pPr>
        <w:jc w:val="both"/>
        <w:rPr>
          <w:rFonts w:ascii="NimbusSanL;Times New Roman" w:hAnsi="NimbusSanL;Times New Roman" w:cs="NimbusSanL;Times New Roman"/>
          <w:b/>
          <w:sz w:val="20"/>
          <w:szCs w:val="20"/>
        </w:rPr>
      </w:pPr>
    </w:p>
    <w:p w14:paraId="12CCAD77" w14:textId="77777777" w:rsidR="00F35929" w:rsidRDefault="00F35929">
      <w:pPr>
        <w:jc w:val="both"/>
        <w:rPr>
          <w:rFonts w:ascii="NimbusSanL;Times New Roman" w:hAnsi="NimbusSanL;Times New Roman" w:cs="NimbusSanL;Times New Roman"/>
          <w:b/>
          <w:sz w:val="20"/>
          <w:szCs w:val="20"/>
        </w:rPr>
      </w:pPr>
    </w:p>
    <w:p w14:paraId="512758CA" w14:textId="77777777" w:rsidR="00F35929" w:rsidRDefault="00F35929">
      <w:pPr>
        <w:jc w:val="both"/>
        <w:rPr>
          <w:rFonts w:ascii="NimbusSanL;Times New Roman" w:hAnsi="NimbusSanL;Times New Roman" w:cs="NimbusSanL;Times New Roman"/>
          <w:b/>
          <w:sz w:val="20"/>
          <w:szCs w:val="20"/>
        </w:rPr>
      </w:pPr>
    </w:p>
    <w:p w14:paraId="6D861DD0" w14:textId="77777777" w:rsidR="00F35929" w:rsidRDefault="00F35929">
      <w:pPr>
        <w:jc w:val="both"/>
        <w:rPr>
          <w:rFonts w:ascii="NimbusSanL;Times New Roman" w:hAnsi="NimbusSanL;Times New Roman" w:cs="NimbusSanL;Times New Roman"/>
          <w:b/>
          <w:sz w:val="20"/>
          <w:szCs w:val="20"/>
        </w:rPr>
      </w:pPr>
    </w:p>
    <w:p w14:paraId="4D32ABFF" w14:textId="77777777" w:rsidR="00F35929" w:rsidRDefault="00F35929">
      <w:pPr>
        <w:jc w:val="both"/>
        <w:rPr>
          <w:rFonts w:ascii="NimbusSanL;Times New Roman" w:hAnsi="NimbusSanL;Times New Roman" w:cs="NimbusSanL;Times New Roman"/>
          <w:b/>
          <w:sz w:val="20"/>
          <w:szCs w:val="20"/>
        </w:rPr>
      </w:pPr>
    </w:p>
    <w:p w14:paraId="2BFD4428" w14:textId="77777777" w:rsidR="00F35929" w:rsidRDefault="00F35929">
      <w:pPr>
        <w:jc w:val="both"/>
        <w:rPr>
          <w:rFonts w:ascii="NimbusSanL;Times New Roman" w:hAnsi="NimbusSanL;Times New Roman" w:cs="NimbusSanL;Times New Roman"/>
          <w:b/>
          <w:sz w:val="20"/>
          <w:szCs w:val="20"/>
          <w:u w:val="single"/>
        </w:rPr>
      </w:pPr>
    </w:p>
    <w:p w14:paraId="2E2C894D" w14:textId="77777777" w:rsidR="00F35929" w:rsidRDefault="002B5C50">
      <w:pPr>
        <w:pStyle w:val="Standard"/>
        <w:jc w:val="both"/>
        <w:rPr>
          <w:rFonts w:ascii="NimbusSanL;Times New Roman" w:hAnsi="NimbusSanL;Times New Roman" w:cs="NimbusSanL;Times New Roman"/>
          <w:color w:val="000000"/>
          <w:sz w:val="20"/>
          <w:szCs w:val="20"/>
        </w:rPr>
      </w:pPr>
      <w:r>
        <w:rPr>
          <w:rFonts w:ascii="NimbusSanL;Times New Roman" w:hAnsi="NimbusSanL;Times New Roman" w:cs="NimbusSanL;Times New Roman"/>
          <w:sz w:val="20"/>
          <w:szCs w:val="20"/>
          <w:lang w:val="fr-FR"/>
        </w:rPr>
        <w:t xml:space="preserve">L’Inspection générale de la police nationale </w:t>
      </w:r>
      <w:r>
        <w:rPr>
          <w:rFonts w:ascii="NimbusSanL;Times New Roman" w:hAnsi="NimbusSanL;Times New Roman" w:cs="NimbusSanL;Times New Roman"/>
          <w:sz w:val="20"/>
          <w:szCs w:val="20"/>
          <w:lang w:val="fr-FR"/>
        </w:rPr>
        <w:t>(IGPN), placée sous l’autorité du directeur général de la police nationale (DGPN)</w:t>
      </w:r>
      <w:r>
        <w:rPr>
          <w:rStyle w:val="FootnoteReference"/>
          <w:rFonts w:ascii="NimbusSanL;Times New Roman" w:hAnsi="NimbusSanL;Times New Roman" w:cs="NimbusSanL;Times New Roman"/>
          <w:sz w:val="20"/>
          <w:szCs w:val="20"/>
          <w:lang w:val="fr-FR"/>
        </w:rPr>
        <w:footnoteReference w:id="6"/>
      </w:r>
      <w:r>
        <w:rPr>
          <w:rFonts w:ascii="NimbusSanL;Times New Roman" w:hAnsi="NimbusSanL;Times New Roman" w:cs="NimbusSanL;Times New Roman"/>
          <w:sz w:val="20"/>
          <w:szCs w:val="20"/>
          <w:lang w:val="fr-FR"/>
        </w:rPr>
        <w:t>, est un service de 260 agents. Moins de 10 % d’entre eux appartiennent à d’autres corps que la police nationale (magistrats notamment)</w:t>
      </w:r>
      <w:r>
        <w:rPr>
          <w:rStyle w:val="FootnoteReference"/>
          <w:rFonts w:ascii="NimbusSanL;Times New Roman" w:hAnsi="NimbusSanL;Times New Roman" w:cs="NimbusSanL;Times New Roman"/>
          <w:sz w:val="20"/>
          <w:szCs w:val="20"/>
          <w:lang w:val="fr-FR"/>
        </w:rPr>
        <w:footnoteReference w:id="7"/>
      </w:r>
      <w:r>
        <w:rPr>
          <w:rFonts w:ascii="NimbusSanL;Times New Roman" w:hAnsi="NimbusSanL;Times New Roman" w:cs="NimbusSanL;Times New Roman"/>
          <w:sz w:val="20"/>
          <w:szCs w:val="20"/>
          <w:lang w:val="fr-FR"/>
        </w:rPr>
        <w:t>. La majorité des agents de l’Inspection travaille à des tâches d’audits, d’études, etc. Seule une centaine d’entre eux travaille au sein de l’unité de coordination des enquêtes. Ils sont répartis dans neuf délégations locales situées dans toute la France (en général dans les enceintes de commissariats). Ces délégations ont une compétence nationale, mais elles sont presque toujours saisies pour les faits commis dans leur aire géographique. Une division nationale des enquêtes, composée d’une douzaine d’enquê</w:t>
      </w:r>
      <w:r>
        <w:rPr>
          <w:rFonts w:ascii="NimbusSanL;Times New Roman" w:hAnsi="NimbusSanL;Times New Roman" w:cs="NimbusSanL;Times New Roman"/>
          <w:sz w:val="20"/>
          <w:szCs w:val="20"/>
          <w:lang w:val="fr-FR"/>
        </w:rPr>
        <w:t xml:space="preserve">teurs, travaille essentiellement sur les affaires de corruption. Tous ces services effectuent à la fois les enquêtes judiciaires (sous le contrôle des autorités judiciaires) et disciplinaires (à l’initiative de la hiérarchie interne). </w:t>
      </w:r>
    </w:p>
    <w:p w14:paraId="7D9C0F7C" w14:textId="77777777" w:rsidR="00F35929" w:rsidRDefault="00F35929">
      <w:pPr>
        <w:pStyle w:val="Standard"/>
        <w:jc w:val="both"/>
        <w:rPr>
          <w:rFonts w:ascii="NimbusSanL;Times New Roman" w:hAnsi="NimbusSanL;Times New Roman" w:cs="NimbusSanL;Times New Roman"/>
          <w:color w:val="000000"/>
          <w:sz w:val="20"/>
          <w:szCs w:val="20"/>
        </w:rPr>
      </w:pPr>
    </w:p>
    <w:p w14:paraId="670AF0F2" w14:textId="77777777" w:rsidR="00F35929" w:rsidRDefault="002B5C50">
      <w:pPr>
        <w:pStyle w:val="Standard"/>
        <w:jc w:val="both"/>
        <w:rPr>
          <w:sz w:val="20"/>
          <w:szCs w:val="20"/>
        </w:rPr>
      </w:pPr>
      <w:r>
        <w:rPr>
          <w:rFonts w:ascii="NimbusSanL;Times New Roman" w:hAnsi="NimbusSanL;Times New Roman" w:cs="NimbusSanL;Times New Roman"/>
          <w:color w:val="000000"/>
          <w:sz w:val="20"/>
          <w:szCs w:val="20"/>
          <w:lang w:val="fr-FR"/>
        </w:rPr>
        <w:t xml:space="preserve">Le rattachement statutaire et hiérarchique de l’Inspection à la DGPN </w:t>
      </w:r>
      <w:r>
        <w:rPr>
          <w:rFonts w:ascii="NimbusSanL;Times New Roman" w:hAnsi="NimbusSanL;Times New Roman" w:cs="NimbusSanL;Times New Roman"/>
          <w:b/>
          <w:bCs/>
          <w:color w:val="000000"/>
          <w:sz w:val="20"/>
          <w:szCs w:val="20"/>
          <w:lang w:val="fr-FR"/>
        </w:rPr>
        <w:t>(I.1)</w:t>
      </w:r>
      <w:r>
        <w:rPr>
          <w:rFonts w:ascii="NimbusSanL;Times New Roman" w:hAnsi="NimbusSanL;Times New Roman" w:cs="NimbusSanL;Times New Roman"/>
          <w:color w:val="000000"/>
          <w:sz w:val="20"/>
          <w:szCs w:val="20"/>
          <w:lang w:val="fr-FR"/>
        </w:rPr>
        <w:t xml:space="preserve">, et l’appartenance des enquêteurs aux mêmes corps que les fonctionnaires sur lesquels ils enquêtent </w:t>
      </w:r>
      <w:r>
        <w:rPr>
          <w:rFonts w:ascii="NimbusSanL;Times New Roman" w:hAnsi="NimbusSanL;Times New Roman" w:cs="NimbusSanL;Times New Roman"/>
          <w:b/>
          <w:bCs/>
          <w:color w:val="000000"/>
          <w:sz w:val="20"/>
          <w:szCs w:val="20"/>
          <w:lang w:val="fr-FR"/>
        </w:rPr>
        <w:t>(I.2)</w:t>
      </w:r>
      <w:r>
        <w:rPr>
          <w:rFonts w:ascii="NimbusSanL;Times New Roman" w:hAnsi="NimbusSanL;Times New Roman" w:cs="NimbusSanL;Times New Roman"/>
          <w:color w:val="000000"/>
          <w:sz w:val="20"/>
          <w:szCs w:val="20"/>
          <w:lang w:val="fr-FR"/>
        </w:rPr>
        <w:t xml:space="preserve">, créent une situation de dépendance qui est à la fois critiquée par les observateurs extérieurs, et semblent générer une grave crise des vocations </w:t>
      </w:r>
      <w:r>
        <w:rPr>
          <w:rFonts w:ascii="NimbusSanL;Times New Roman" w:hAnsi="NimbusSanL;Times New Roman" w:cs="NimbusSanL;Times New Roman"/>
          <w:b/>
          <w:bCs/>
          <w:color w:val="000000"/>
          <w:sz w:val="20"/>
          <w:szCs w:val="20"/>
          <w:lang w:val="fr-FR"/>
        </w:rPr>
        <w:t>(I.3)</w:t>
      </w:r>
      <w:r>
        <w:rPr>
          <w:rFonts w:ascii="NimbusSanL;Times New Roman" w:hAnsi="NimbusSanL;Times New Roman" w:cs="NimbusSanL;Times New Roman"/>
          <w:color w:val="000000"/>
          <w:sz w:val="20"/>
          <w:szCs w:val="20"/>
          <w:lang w:val="fr-FR"/>
        </w:rPr>
        <w:t xml:space="preserve">. Les réformes, </w:t>
      </w:r>
      <w:proofErr w:type="gramStart"/>
      <w:r>
        <w:rPr>
          <w:rFonts w:ascii="NimbusSanL;Times New Roman" w:hAnsi="NimbusSanL;Times New Roman" w:cs="NimbusSanL;Times New Roman"/>
          <w:color w:val="000000"/>
          <w:sz w:val="20"/>
          <w:szCs w:val="20"/>
          <w:lang w:val="fr-FR"/>
        </w:rPr>
        <w:t>un temps envisagées</w:t>
      </w:r>
      <w:proofErr w:type="gramEnd"/>
      <w:r>
        <w:rPr>
          <w:rFonts w:ascii="NimbusSanL;Times New Roman" w:hAnsi="NimbusSanL;Times New Roman" w:cs="NimbusSanL;Times New Roman"/>
          <w:color w:val="000000"/>
          <w:sz w:val="20"/>
          <w:szCs w:val="20"/>
          <w:lang w:val="fr-FR"/>
        </w:rPr>
        <w:t xml:space="preserve"> par l’exécutif ont débouché sur une mesure qui s’avère purement communicationnelle : la nomination d’</w:t>
      </w:r>
      <w:proofErr w:type="spellStart"/>
      <w:r>
        <w:rPr>
          <w:rFonts w:ascii="NimbusSanL;Times New Roman" w:hAnsi="NimbusSanL;Times New Roman" w:cs="NimbusSanL;Times New Roman"/>
          <w:color w:val="000000"/>
          <w:sz w:val="20"/>
          <w:szCs w:val="20"/>
          <w:lang w:val="fr-FR"/>
        </w:rPr>
        <w:t>un·e</w:t>
      </w:r>
      <w:proofErr w:type="spellEnd"/>
      <w:r>
        <w:rPr>
          <w:rFonts w:ascii="NimbusSanL;Times New Roman" w:hAnsi="NimbusSanL;Times New Roman" w:cs="NimbusSanL;Times New Roman"/>
          <w:color w:val="000000"/>
          <w:sz w:val="20"/>
          <w:szCs w:val="20"/>
          <w:lang w:val="fr-FR"/>
        </w:rPr>
        <w:t xml:space="preserve"> </w:t>
      </w:r>
      <w:proofErr w:type="spellStart"/>
      <w:r>
        <w:rPr>
          <w:rFonts w:ascii="NimbusSanL;Times New Roman" w:hAnsi="NimbusSanL;Times New Roman" w:cs="NimbusSanL;Times New Roman"/>
          <w:color w:val="000000"/>
          <w:sz w:val="20"/>
          <w:szCs w:val="20"/>
          <w:lang w:val="fr-FR"/>
        </w:rPr>
        <w:t>magistrat·e</w:t>
      </w:r>
      <w:proofErr w:type="spellEnd"/>
      <w:r>
        <w:rPr>
          <w:rFonts w:ascii="NimbusSanL;Times New Roman" w:hAnsi="NimbusSanL;Times New Roman" w:cs="NimbusSanL;Times New Roman"/>
          <w:color w:val="000000"/>
          <w:sz w:val="20"/>
          <w:szCs w:val="20"/>
          <w:lang w:val="fr-FR"/>
        </w:rPr>
        <w:t xml:space="preserve"> à la tête de l’Inspection </w:t>
      </w:r>
      <w:r>
        <w:rPr>
          <w:rFonts w:ascii="NimbusSanL;Times New Roman" w:hAnsi="NimbusSanL;Times New Roman" w:cs="NimbusSanL;Times New Roman"/>
          <w:b/>
          <w:bCs/>
          <w:color w:val="000000"/>
          <w:sz w:val="20"/>
          <w:szCs w:val="20"/>
          <w:lang w:val="fr-FR"/>
        </w:rPr>
        <w:t>(I4.)</w:t>
      </w:r>
      <w:r>
        <w:rPr>
          <w:rFonts w:ascii="NimbusSanL;Times New Roman" w:hAnsi="NimbusSanL;Times New Roman" w:cs="NimbusSanL;Times New Roman"/>
          <w:color w:val="000000"/>
          <w:sz w:val="20"/>
          <w:szCs w:val="20"/>
          <w:lang w:val="fr-FR"/>
        </w:rPr>
        <w:t>.</w:t>
      </w:r>
    </w:p>
    <w:p w14:paraId="29CA5925" w14:textId="77777777" w:rsidR="00F35929" w:rsidRDefault="00F35929">
      <w:pPr>
        <w:pStyle w:val="Standard"/>
        <w:jc w:val="both"/>
        <w:rPr>
          <w:sz w:val="20"/>
          <w:szCs w:val="20"/>
        </w:rPr>
      </w:pPr>
    </w:p>
    <w:p w14:paraId="52CAA320" w14:textId="77777777" w:rsidR="00F35929" w:rsidRDefault="00F35929">
      <w:pPr>
        <w:pStyle w:val="Standard"/>
        <w:jc w:val="both"/>
        <w:rPr>
          <w:sz w:val="20"/>
          <w:szCs w:val="20"/>
        </w:rPr>
      </w:pPr>
    </w:p>
    <w:p w14:paraId="42E0F5CA" w14:textId="77777777" w:rsidR="00F35929" w:rsidRDefault="00F35929">
      <w:pPr>
        <w:pStyle w:val="Standard"/>
        <w:jc w:val="both"/>
        <w:rPr>
          <w:rFonts w:ascii="NimbusSanL;Times New Roman" w:hAnsi="NimbusSanL;Times New Roman" w:cs="NimbusSanL;Times New Roman"/>
          <w:color w:val="000000"/>
          <w:sz w:val="20"/>
          <w:szCs w:val="20"/>
        </w:rPr>
      </w:pPr>
    </w:p>
    <w:p w14:paraId="4B422731" w14:textId="77777777" w:rsidR="00F35929" w:rsidRDefault="002B5C50">
      <w:pPr>
        <w:pStyle w:val="Standard"/>
        <w:jc w:val="both"/>
        <w:rPr>
          <w:rFonts w:ascii="NimbusSanL;Times New Roman" w:hAnsi="NimbusSanL;Times New Roman" w:cs="NimbusSanL;Times New Roman"/>
          <w:color w:val="000000"/>
          <w:sz w:val="20"/>
          <w:szCs w:val="20"/>
        </w:rPr>
      </w:pPr>
      <w:r>
        <w:rPr>
          <w:rFonts w:ascii="NimbusSanL;Times New Roman" w:hAnsi="NimbusSanL;Times New Roman" w:cs="NimbusSanL;Times New Roman"/>
          <w:b/>
          <w:bCs/>
          <w:color w:val="000000"/>
          <w:sz w:val="20"/>
          <w:szCs w:val="20"/>
          <w:lang w:val="fr-FR"/>
        </w:rPr>
        <w:t>I.1. Une dépendance hiérarchique très largement critiquée</w:t>
      </w:r>
    </w:p>
    <w:p w14:paraId="43E6505A" w14:textId="77777777" w:rsidR="00F35929" w:rsidRDefault="00F35929">
      <w:pPr>
        <w:pStyle w:val="Standard"/>
        <w:jc w:val="both"/>
        <w:rPr>
          <w:rFonts w:ascii="NimbusSanL;Times New Roman" w:hAnsi="NimbusSanL;Times New Roman" w:cs="NimbusSanL;Times New Roman"/>
          <w:color w:val="000000"/>
          <w:sz w:val="20"/>
          <w:szCs w:val="20"/>
        </w:rPr>
      </w:pPr>
    </w:p>
    <w:p w14:paraId="75A56675" w14:textId="77777777" w:rsidR="00F35929" w:rsidRDefault="002B5C50">
      <w:pPr>
        <w:pStyle w:val="Standard"/>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lang w:val="fr-FR"/>
        </w:rPr>
        <w:t>Au niveau national, e</w:t>
      </w:r>
      <w:r>
        <w:rPr>
          <w:rStyle w:val="ky2igmncmogjharherah"/>
          <w:rFonts w:ascii="NimbusSanL;Times New Roman" w:hAnsi="NimbusSanL;Times New Roman" w:cs="NimbusSanL;Times New Roman"/>
          <w:sz w:val="20"/>
          <w:szCs w:val="20"/>
          <w:lang w:val="fr-FR"/>
        </w:rPr>
        <w:t>n 2021, la Commission nationale consultative des droits de l'homme (</w:t>
      </w:r>
      <w:r>
        <w:rPr>
          <w:rStyle w:val="ky2igmncmogjharherah"/>
          <w:rFonts w:ascii="NimbusSanL;Times New Roman" w:hAnsi="NimbusSanL;Times New Roman" w:cs="NimbusSanL;Times New Roman"/>
          <w:bCs/>
          <w:sz w:val="20"/>
          <w:szCs w:val="20"/>
          <w:lang w:val="fr-FR"/>
        </w:rPr>
        <w:t>CNCDH</w:t>
      </w:r>
      <w:r>
        <w:rPr>
          <w:rStyle w:val="ky2igmncmogjharherah"/>
          <w:rFonts w:ascii="NimbusSanL;Times New Roman" w:hAnsi="NimbusSanL;Times New Roman" w:cs="NimbusSanL;Times New Roman"/>
          <w:sz w:val="20"/>
          <w:szCs w:val="20"/>
          <w:lang w:val="fr-FR"/>
        </w:rPr>
        <w:t xml:space="preserve">) </w:t>
      </w:r>
      <w:r>
        <w:rPr>
          <w:rFonts w:ascii="NimbusSanL;Times New Roman" w:hAnsi="NimbusSanL;Times New Roman" w:cs="NimbusSanL;Times New Roman"/>
          <w:sz w:val="20"/>
          <w:szCs w:val="20"/>
          <w:lang w:val="fr-FR"/>
        </w:rPr>
        <w:t>mettait en avant la nécessité de « </w:t>
      </w:r>
      <w:r>
        <w:rPr>
          <w:rFonts w:ascii="NimbusSanL;Times New Roman" w:hAnsi="NimbusSanL;Times New Roman" w:cs="NimbusSanL;Times New Roman"/>
          <w:i/>
          <w:sz w:val="20"/>
          <w:szCs w:val="20"/>
          <w:lang w:val="fr-FR"/>
        </w:rPr>
        <w:t>renforcer les garanties d’indépendance et d’impartialité des organes de contrôle</w:t>
      </w:r>
      <w:r>
        <w:rPr>
          <w:rFonts w:ascii="NimbusSanL;Times New Roman" w:hAnsi="NimbusSanL;Times New Roman" w:cs="NimbusSanL;Times New Roman"/>
          <w:sz w:val="20"/>
          <w:szCs w:val="20"/>
          <w:lang w:val="fr-FR"/>
        </w:rPr>
        <w:t xml:space="preserve"> » de la police </w:t>
      </w:r>
      <w:r>
        <w:rPr>
          <w:rFonts w:ascii="NimbusSanL;Times New Roman" w:hAnsi="NimbusSanL;Times New Roman" w:cs="NimbusSanL;Times New Roman"/>
          <w:sz w:val="20"/>
          <w:szCs w:val="20"/>
          <w:lang w:val="fr-FR"/>
        </w:rPr>
        <w:t>nationale</w:t>
      </w:r>
      <w:r>
        <w:rPr>
          <w:rStyle w:val="FootnoteReference"/>
          <w:rFonts w:ascii="NimbusSanL;Times New Roman" w:hAnsi="NimbusSanL;Times New Roman" w:cs="NimbusSanL;Times New Roman"/>
          <w:sz w:val="20"/>
          <w:szCs w:val="20"/>
          <w:lang w:val="fr-FR"/>
        </w:rPr>
        <w:footnoteReference w:id="8"/>
      </w:r>
      <w:r>
        <w:rPr>
          <w:rFonts w:ascii="NimbusSanL;Times New Roman" w:hAnsi="NimbusSanL;Times New Roman" w:cs="NimbusSanL;Times New Roman"/>
          <w:sz w:val="20"/>
          <w:szCs w:val="20"/>
          <w:lang w:val="fr-FR"/>
        </w:rPr>
        <w:t>. Elle insistait « </w:t>
      </w:r>
      <w:r>
        <w:rPr>
          <w:rFonts w:ascii="NimbusSanL;Times New Roman" w:hAnsi="NimbusSanL;Times New Roman" w:cs="NimbusSanL;Times New Roman"/>
          <w:i/>
          <w:sz w:val="20"/>
          <w:szCs w:val="20"/>
          <w:lang w:val="fr-FR"/>
        </w:rPr>
        <w:t>sur l’impérieuse nécessité de rétablir la confiance du public dans les organes de contrôle des forces de l’ordre, notamment l’IGPN et l’IGGN qui, étant internes à la police et à la gendarmerie, n’offrent pas l’apparence d’indépendance et d’impartialité requises par la Cour européenne des droits de l’homme</w:t>
      </w:r>
      <w:r>
        <w:rPr>
          <w:rFonts w:ascii="NimbusSanL;Times New Roman" w:hAnsi="NimbusSanL;Times New Roman" w:cs="NimbusSanL;Times New Roman"/>
          <w:sz w:val="20"/>
          <w:szCs w:val="20"/>
          <w:lang w:val="fr-FR"/>
        </w:rPr>
        <w:t xml:space="preserve"> ». En 2023, le Conseil national des barreaux (CNB) français soulignait lui aussi que </w:t>
      </w:r>
      <w:r>
        <w:rPr>
          <w:rFonts w:ascii="NimbusSanL;Times New Roman" w:eastAsia="Times New Roman" w:hAnsi="NimbusSanL;Times New Roman" w:cs="NimbusSanL;Times New Roman"/>
          <w:bCs/>
          <w:i/>
          <w:sz w:val="20"/>
          <w:szCs w:val="20"/>
          <w:lang w:val="fr-FR" w:eastAsia="fr-FR" w:bidi="ar-SA"/>
        </w:rPr>
        <w:t>« la cheffe de l’IGPN reste sous la tutelle du ministère de l’Intérieur et a pour supérieur hiérarchi</w:t>
      </w:r>
      <w:r>
        <w:rPr>
          <w:rFonts w:ascii="NimbusSanL;Times New Roman" w:eastAsia="Times New Roman" w:hAnsi="NimbusSanL;Times New Roman" w:cs="NimbusSanL;Times New Roman"/>
          <w:bCs/>
          <w:i/>
          <w:sz w:val="20"/>
          <w:szCs w:val="20"/>
          <w:lang w:val="fr-FR" w:eastAsia="fr-FR" w:bidi="ar-SA"/>
        </w:rPr>
        <w:t xml:space="preserve">que le directeur général de la police nationale et le préfet de police. </w:t>
      </w:r>
      <w:r>
        <w:rPr>
          <w:rFonts w:ascii="NimbusSanL;Times New Roman" w:eastAsia="Times New Roman" w:hAnsi="NimbusSanL;Times New Roman" w:cs="NimbusSanL;Times New Roman"/>
          <w:bCs/>
          <w:sz w:val="20"/>
          <w:szCs w:val="20"/>
          <w:lang w:val="fr-FR" w:eastAsia="fr-FR" w:bidi="ar-SA"/>
        </w:rPr>
        <w:t>[…]</w:t>
      </w:r>
      <w:r>
        <w:rPr>
          <w:rFonts w:ascii="NimbusSanL;Times New Roman" w:eastAsia="Times New Roman" w:hAnsi="NimbusSanL;Times New Roman" w:cs="NimbusSanL;Times New Roman"/>
          <w:bCs/>
          <w:i/>
          <w:sz w:val="20"/>
          <w:szCs w:val="20"/>
          <w:lang w:val="fr-FR" w:eastAsia="fr-FR" w:bidi="ar-SA"/>
        </w:rPr>
        <w:t xml:space="preserve"> De plus, la personne à la tête de l’IGPN est nommée par le ministre de l’Intérieur, lequel peut la révoquer </w:t>
      </w:r>
      <w:r>
        <w:rPr>
          <w:rFonts w:ascii="NimbusSanL;Times New Roman" w:eastAsia="Times New Roman" w:hAnsi="NimbusSanL;Times New Roman" w:cs="NimbusSanL;Times New Roman"/>
          <w:bCs/>
          <w:sz w:val="20"/>
          <w:szCs w:val="20"/>
          <w:lang w:val="fr-FR" w:eastAsia="fr-FR" w:bidi="ar-SA"/>
        </w:rPr>
        <w:t>»</w:t>
      </w:r>
      <w:r>
        <w:rPr>
          <w:rStyle w:val="FootnoteReference"/>
          <w:rFonts w:ascii="NimbusSanL;Times New Roman" w:eastAsia="Times New Roman" w:hAnsi="NimbusSanL;Times New Roman" w:cs="NimbusSanL;Times New Roman"/>
          <w:bCs/>
          <w:sz w:val="20"/>
          <w:szCs w:val="20"/>
          <w:lang w:val="fr-FR" w:eastAsia="fr-FR" w:bidi="ar-SA"/>
        </w:rPr>
        <w:footnoteReference w:id="9"/>
      </w:r>
      <w:r>
        <w:rPr>
          <w:rFonts w:ascii="NimbusSanL;Times New Roman" w:eastAsia="Times New Roman" w:hAnsi="NimbusSanL;Times New Roman" w:cs="NimbusSanL;Times New Roman"/>
          <w:bCs/>
          <w:sz w:val="20"/>
          <w:szCs w:val="20"/>
          <w:lang w:val="fr-FR" w:eastAsia="fr-FR" w:bidi="ar-SA"/>
        </w:rPr>
        <w:t>. Ce type de critique a été repris à plusieurs reprises par le Conseil de l’Europe</w:t>
      </w:r>
      <w:r>
        <w:rPr>
          <w:rStyle w:val="FootnoteReference"/>
          <w:rFonts w:ascii="NimbusSanL;Times New Roman" w:eastAsia="Times New Roman" w:hAnsi="NimbusSanL;Times New Roman" w:cs="NimbusSanL;Times New Roman"/>
          <w:color w:val="000000"/>
          <w:sz w:val="20"/>
          <w:szCs w:val="20"/>
          <w:shd w:val="clear" w:color="auto" w:fill="FFFF00"/>
          <w:lang w:val="fr-FR" w:eastAsia="fr-FR" w:bidi="ar-SA"/>
        </w:rPr>
        <w:footnoteReference w:id="10"/>
      </w:r>
      <w:r>
        <w:rPr>
          <w:rFonts w:ascii="NimbusSanL;Times New Roman" w:eastAsia="Times New Roman" w:hAnsi="NimbusSanL;Times New Roman" w:cs="NimbusSanL;Times New Roman"/>
          <w:bCs/>
          <w:sz w:val="20"/>
          <w:szCs w:val="20"/>
          <w:lang w:val="fr-FR" w:eastAsia="fr-FR" w:bidi="ar-SA"/>
        </w:rPr>
        <w:t xml:space="preserve">. </w:t>
      </w:r>
    </w:p>
    <w:p w14:paraId="65588792" w14:textId="77777777" w:rsidR="00F35929" w:rsidRDefault="00F35929">
      <w:pPr>
        <w:pStyle w:val="Standard"/>
        <w:jc w:val="both"/>
        <w:rPr>
          <w:rFonts w:ascii="NimbusSanL;Times New Roman" w:hAnsi="NimbusSanL;Times New Roman" w:cs="NimbusSanL;Times New Roman"/>
          <w:sz w:val="20"/>
          <w:szCs w:val="20"/>
        </w:rPr>
      </w:pPr>
    </w:p>
    <w:p w14:paraId="1055C9A1" w14:textId="77777777" w:rsidR="00F35929" w:rsidRDefault="002B5C50">
      <w:pPr>
        <w:pStyle w:val="Standard"/>
        <w:jc w:val="both"/>
        <w:rPr>
          <w:sz w:val="20"/>
          <w:szCs w:val="20"/>
        </w:rPr>
      </w:pPr>
      <w:r>
        <w:rPr>
          <w:rFonts w:ascii="NimbusSanL;Times New Roman" w:eastAsia="Times New Roman" w:hAnsi="NimbusSanL;Times New Roman" w:cs="NimbusSanL;Times New Roman"/>
          <w:bCs/>
          <w:sz w:val="20"/>
          <w:szCs w:val="20"/>
          <w:lang w:val="fr-FR" w:eastAsia="fr-FR" w:bidi="ar-SA"/>
        </w:rPr>
        <w:t xml:space="preserve">La critique la plus virulente contre la partialité de l’Inspection est aussi la plus documentée. Après avoir mené de très nombreuses auditions, une commission d’enquête présidée par un député de la majorité présidentielle (et ancien patron du RAID, une unité d’intervention de la police nationale) rendait un verdict sans appel : </w:t>
      </w:r>
      <w:r>
        <w:rPr>
          <w:rFonts w:ascii="NimbusSanL" w:eastAsia="Times New Roman" w:hAnsi="NimbusSanL" w:cs="NimbusSanL"/>
          <w:sz w:val="20"/>
          <w:szCs w:val="20"/>
          <w:lang w:val="fr-FR" w:eastAsia="fr-FR" w:bidi="ar-SA"/>
        </w:rPr>
        <w:t>« </w:t>
      </w:r>
      <w:r>
        <w:rPr>
          <w:rStyle w:val="Hyperlink"/>
          <w:rFonts w:ascii="NimbusSanL" w:eastAsia="Times New Roman" w:hAnsi="NimbusSanL" w:cs="NimbusSanL"/>
          <w:i/>
          <w:color w:val="auto"/>
          <w:sz w:val="20"/>
          <w:szCs w:val="20"/>
          <w:u w:val="none"/>
          <w:lang w:val="fr-FR" w:eastAsia="fr-FR" w:bidi="ar-SA"/>
        </w:rPr>
        <w:t xml:space="preserve">Les enquêtes réalisées par l’IGPN et l’IGGN sur les services de police et de gendarmerie font l’objet de critiques régulières portant principalement sur trois aspects : l’insuffisance des moyens humains dont disposent ces inspections générales afin de mener à bien leurs missions, </w:t>
      </w:r>
      <w:r>
        <w:rPr>
          <w:rStyle w:val="Hyperlink"/>
          <w:rFonts w:ascii="NimbusSanL" w:eastAsia="Times New Roman" w:hAnsi="NimbusSanL" w:cs="NimbusSanL"/>
          <w:b/>
          <w:bCs/>
          <w:i/>
          <w:color w:val="auto"/>
          <w:sz w:val="20"/>
          <w:szCs w:val="20"/>
          <w:u w:val="none"/>
          <w:lang w:val="fr-FR" w:eastAsia="fr-FR" w:bidi="ar-SA"/>
        </w:rPr>
        <w:t>l’absence d’indépendance et d’autonomie fonctionnelle caractérisant leur statut et le soupçon de partialité affectant leur action</w:t>
      </w:r>
      <w:r>
        <w:rPr>
          <w:rStyle w:val="Hyperlink"/>
          <w:rFonts w:ascii="NimbusSanL" w:eastAsia="Times New Roman" w:hAnsi="NimbusSanL" w:cs="NimbusSanL"/>
          <w:i/>
          <w:color w:val="auto"/>
          <w:sz w:val="20"/>
          <w:szCs w:val="20"/>
          <w:u w:val="none"/>
          <w:lang w:val="fr-FR" w:eastAsia="fr-FR" w:bidi="ar-SA"/>
        </w:rPr>
        <w:t>. Si votre rapporteur considère certaines critiques comme excessives, beaucoup d’entre elles paraiss</w:t>
      </w:r>
      <w:r>
        <w:rPr>
          <w:rStyle w:val="Hyperlink"/>
          <w:rFonts w:ascii="NimbusSanL" w:eastAsia="Times New Roman" w:hAnsi="NimbusSanL" w:cs="NimbusSanL"/>
          <w:i/>
          <w:color w:val="auto"/>
          <w:sz w:val="20"/>
          <w:szCs w:val="20"/>
          <w:u w:val="none"/>
          <w:lang w:val="fr-FR" w:eastAsia="fr-FR" w:bidi="ar-SA"/>
        </w:rPr>
        <w:t xml:space="preserve">ent justifiées, révélant ainsi la nécessité désormais communément admise d’engager une </w:t>
      </w:r>
      <w:r>
        <w:rPr>
          <w:rStyle w:val="Hyperlink"/>
          <w:rFonts w:ascii="NimbusSanL" w:eastAsia="Times New Roman" w:hAnsi="NimbusSanL" w:cs="NimbusSanL"/>
          <w:i/>
          <w:color w:val="auto"/>
          <w:sz w:val="20"/>
          <w:szCs w:val="20"/>
          <w:u w:val="none"/>
          <w:lang w:val="fr-FR" w:eastAsia="fr-FR" w:bidi="ar-SA"/>
        </w:rPr>
        <w:lastRenderedPageBreak/>
        <w:t>réforme structurelle de ces corps d’inspection</w:t>
      </w:r>
      <w:r>
        <w:rPr>
          <w:rFonts w:ascii="NimbusSanL" w:eastAsia="Times New Roman" w:hAnsi="NimbusSanL" w:cs="NimbusSanL"/>
          <w:i/>
          <w:sz w:val="20"/>
          <w:szCs w:val="20"/>
          <w:lang w:val="fr-FR" w:eastAsia="fr-FR" w:bidi="ar-SA"/>
        </w:rPr>
        <w:t> »</w:t>
      </w:r>
      <w:r>
        <w:rPr>
          <w:rStyle w:val="FootnoteReference"/>
          <w:rFonts w:ascii="NimbusSanL" w:eastAsia="Times New Roman" w:hAnsi="NimbusSanL" w:cs="NimbusSanL"/>
          <w:i/>
          <w:sz w:val="20"/>
          <w:szCs w:val="20"/>
          <w:lang w:val="fr-FR" w:eastAsia="fr-FR" w:bidi="ar-SA"/>
        </w:rPr>
        <w:footnoteReference w:id="11"/>
      </w:r>
      <w:r>
        <w:rPr>
          <w:rFonts w:ascii="NimbusSanL" w:eastAsia="Times New Roman" w:hAnsi="NimbusSanL" w:cs="NimbusSanL"/>
          <w:i/>
          <w:sz w:val="20"/>
          <w:szCs w:val="20"/>
          <w:lang w:val="fr-FR" w:eastAsia="fr-FR" w:bidi="ar-SA"/>
        </w:rPr>
        <w:t>.</w:t>
      </w:r>
    </w:p>
    <w:p w14:paraId="4624D3F2" w14:textId="77777777" w:rsidR="00F35929" w:rsidRDefault="00F35929">
      <w:pPr>
        <w:pStyle w:val="Standard"/>
        <w:jc w:val="both"/>
        <w:rPr>
          <w:sz w:val="20"/>
          <w:szCs w:val="20"/>
        </w:rPr>
      </w:pPr>
    </w:p>
    <w:p w14:paraId="0DE3B612" w14:textId="77777777" w:rsidR="00F35929" w:rsidRDefault="00F35929">
      <w:pPr>
        <w:pStyle w:val="BodyText"/>
        <w:spacing w:line="240" w:lineRule="auto"/>
        <w:rPr>
          <w:sz w:val="20"/>
          <w:szCs w:val="20"/>
        </w:rPr>
      </w:pPr>
    </w:p>
    <w:p w14:paraId="73CC8B21" w14:textId="77777777" w:rsidR="00F35929" w:rsidRDefault="00F35929">
      <w:pPr>
        <w:pStyle w:val="Standard"/>
        <w:jc w:val="both"/>
        <w:rPr>
          <w:rFonts w:ascii="NimbusSanL;Times New Roman" w:hAnsi="NimbusSanL;Times New Roman" w:cs="NimbusSanL;Times New Roman"/>
          <w:sz w:val="20"/>
          <w:szCs w:val="20"/>
        </w:rPr>
      </w:pPr>
    </w:p>
    <w:p w14:paraId="090272D8" w14:textId="77777777" w:rsidR="00F35929" w:rsidRDefault="002B5C50">
      <w:pPr>
        <w:pStyle w:val="Standard"/>
        <w:jc w:val="both"/>
        <w:rPr>
          <w:rFonts w:ascii="NimbusSanL;Times New Roman" w:hAnsi="NimbusSanL;Times New Roman" w:cs="NimbusSanL;Times New Roman"/>
          <w:sz w:val="20"/>
          <w:szCs w:val="20"/>
        </w:rPr>
      </w:pPr>
      <w:r>
        <w:rPr>
          <w:rFonts w:ascii="NimbusSanL;Times New Roman" w:eastAsia="Times New Roman" w:hAnsi="NimbusSanL;Times New Roman" w:cs="NimbusSanL;Times New Roman"/>
          <w:b/>
          <w:bCs/>
          <w:sz w:val="20"/>
          <w:szCs w:val="20"/>
          <w:lang w:val="fr-FR" w:eastAsia="fr-FR" w:bidi="ar-SA"/>
        </w:rPr>
        <w:t>I.2. Une homogénéité statutaire et culturelle incapacitante quand il s’agit d’enquêter sur des usages excessifs de la force</w:t>
      </w:r>
    </w:p>
    <w:p w14:paraId="3DFC73B4" w14:textId="77777777" w:rsidR="00F35929" w:rsidRDefault="00F35929">
      <w:pPr>
        <w:pStyle w:val="Standard"/>
        <w:jc w:val="both"/>
        <w:rPr>
          <w:rFonts w:ascii="NimbusSanL;Times New Roman" w:hAnsi="NimbusSanL;Times New Roman" w:cs="NimbusSanL;Times New Roman"/>
          <w:sz w:val="20"/>
          <w:szCs w:val="20"/>
        </w:rPr>
      </w:pPr>
    </w:p>
    <w:p w14:paraId="18EF92D1" w14:textId="77777777" w:rsidR="00F35929" w:rsidRDefault="002B5C50">
      <w:pPr>
        <w:pStyle w:val="Standard"/>
        <w:jc w:val="both"/>
        <w:rPr>
          <w:rFonts w:ascii="NimbusSanL;Times New Roman" w:hAnsi="NimbusSanL;Times New Roman" w:cs="NimbusSanL;Times New Roman"/>
          <w:sz w:val="20"/>
          <w:szCs w:val="20"/>
        </w:rPr>
      </w:pPr>
      <w:r>
        <w:rPr>
          <w:rFonts w:ascii="NimbusSanL;Times New Roman" w:eastAsia="Times New Roman" w:hAnsi="NimbusSanL;Times New Roman" w:cs="NimbusSanL;Times New Roman"/>
          <w:bCs/>
          <w:sz w:val="20"/>
          <w:szCs w:val="20"/>
          <w:lang w:val="fr-FR" w:eastAsia="fr-FR" w:bidi="ar-SA"/>
        </w:rPr>
        <w:t xml:space="preserve">Le second volet des critiques relatives à l’absence de garanties d’indépendance de l’IGPN provient de l’homogénéité statutaire et culturelle des enquêteurs et des enquêtés. Pour la CNCDH, </w:t>
      </w:r>
      <w:r>
        <w:rPr>
          <w:rFonts w:ascii="NimbusSanL;Times New Roman" w:eastAsia="Times New Roman" w:hAnsi="NimbusSanL;Times New Roman" w:cs="NimbusSanL;Times New Roman"/>
          <w:sz w:val="20"/>
          <w:szCs w:val="20"/>
          <w:lang w:val="fr-FR" w:eastAsia="fr-FR" w:bidi="ar-SA"/>
        </w:rPr>
        <w:t>«</w:t>
      </w:r>
      <w:r>
        <w:rPr>
          <w:rFonts w:ascii="NimbusSanL;Times New Roman" w:eastAsia="Times New Roman" w:hAnsi="NimbusSanL;Times New Roman" w:cs="NimbusSanL;Times New Roman"/>
          <w:i/>
          <w:sz w:val="20"/>
          <w:szCs w:val="20"/>
          <w:lang w:val="fr-FR" w:eastAsia="fr-FR" w:bidi="ar-SA"/>
        </w:rPr>
        <w:t> le fait que ce soit […] la police qui enquête sur ses propres erreurs paraît constituer la principale cause du manque de confiance des victimes dans ces enquêtes et du sentiment d’impunité pouvant en résulter</w:t>
      </w:r>
      <w:r>
        <w:rPr>
          <w:rFonts w:ascii="NimbusSanL;Times New Roman" w:eastAsia="Times New Roman" w:hAnsi="NimbusSanL;Times New Roman" w:cs="NimbusSanL;Times New Roman"/>
          <w:sz w:val="20"/>
          <w:szCs w:val="20"/>
          <w:lang w:val="fr-FR" w:eastAsia="fr-FR" w:bidi="ar-SA"/>
        </w:rPr>
        <w:t> »</w:t>
      </w:r>
      <w:r>
        <w:rPr>
          <w:rStyle w:val="FootnoteReference"/>
          <w:rFonts w:ascii="NimbusSanL;Times New Roman" w:eastAsia="Times New Roman" w:hAnsi="NimbusSanL;Times New Roman" w:cs="NimbusSanL;Times New Roman"/>
          <w:sz w:val="20"/>
          <w:szCs w:val="20"/>
          <w:lang w:val="fr-FR" w:eastAsia="fr-FR" w:bidi="ar-SA"/>
        </w:rPr>
        <w:footnoteReference w:id="12"/>
      </w:r>
      <w:r>
        <w:rPr>
          <w:rFonts w:ascii="NimbusSanL;Times New Roman" w:eastAsia="Times New Roman" w:hAnsi="NimbusSanL;Times New Roman" w:cs="NimbusSanL;Times New Roman"/>
          <w:sz w:val="20"/>
          <w:szCs w:val="20"/>
          <w:lang w:val="fr-FR" w:eastAsia="fr-FR" w:bidi="ar-SA"/>
        </w:rPr>
        <w:t xml:space="preserve">. </w:t>
      </w:r>
      <w:r>
        <w:rPr>
          <w:rFonts w:ascii="NimbusSanL;Times New Roman" w:eastAsia="Times New Roman" w:hAnsi="NimbusSanL;Times New Roman" w:cs="NimbusSanL;Times New Roman"/>
          <w:bCs/>
          <w:sz w:val="20"/>
          <w:szCs w:val="20"/>
          <w:lang w:val="fr-FR" w:eastAsia="fr-FR" w:bidi="ar-SA"/>
        </w:rPr>
        <w:t xml:space="preserve">Auditionné dans le cadre de la commission d’enquête de l’Assemblée nationale précitée, le chercheur au CNRS Sébastian Roché rappelle que </w:t>
      </w:r>
      <w:r>
        <w:rPr>
          <w:rFonts w:ascii="NimbusSanL;Times New Roman" w:eastAsia="Times New Roman" w:hAnsi="NimbusSanL;Times New Roman" w:cs="NimbusSanL;Times New Roman"/>
          <w:b/>
          <w:bCs/>
          <w:sz w:val="20"/>
          <w:szCs w:val="20"/>
          <w:lang w:val="fr-FR" w:eastAsia="fr-FR" w:bidi="ar-SA"/>
        </w:rPr>
        <w:t>les membres de l’IGPN «</w:t>
      </w:r>
      <w:r>
        <w:rPr>
          <w:rFonts w:ascii="NimbusSanL;Times New Roman" w:eastAsia="Times New Roman" w:hAnsi="NimbusSanL;Times New Roman" w:cs="NimbusSanL;Times New Roman"/>
          <w:b/>
          <w:bCs/>
          <w:i/>
          <w:sz w:val="20"/>
          <w:szCs w:val="20"/>
          <w:lang w:val="fr-FR" w:eastAsia="fr-FR" w:bidi="ar-SA"/>
        </w:rPr>
        <w:t> </w:t>
      </w:r>
      <w:r>
        <w:rPr>
          <w:rFonts w:ascii="NimbusSanL;Times New Roman" w:eastAsia="Times New Roman" w:hAnsi="NimbusSanL;Times New Roman" w:cs="NimbusSanL;Times New Roman"/>
          <w:b/>
          <w:bCs/>
          <w:i/>
          <w:iCs/>
          <w:sz w:val="20"/>
          <w:szCs w:val="20"/>
          <w:lang w:val="fr-FR" w:eastAsia="fr-FR" w:bidi="ar-SA"/>
        </w:rPr>
        <w:t>partagent une identité professionnelle policière, ce qui introduit des biais dans les jugements. L’IGPN est donc dépendante à la hiérarchie et à la culture policière</w:t>
      </w:r>
      <w:r>
        <w:rPr>
          <w:rFonts w:ascii="NimbusSanL;Times New Roman" w:eastAsia="Times New Roman" w:hAnsi="NimbusSanL;Times New Roman" w:cs="NimbusSanL;Times New Roman"/>
          <w:b/>
          <w:bCs/>
          <w:i/>
          <w:sz w:val="20"/>
          <w:szCs w:val="20"/>
          <w:lang w:val="fr-FR" w:eastAsia="fr-FR" w:bidi="ar-SA"/>
        </w:rPr>
        <w:t> </w:t>
      </w:r>
      <w:r>
        <w:rPr>
          <w:rFonts w:ascii="NimbusSanL;Times New Roman" w:eastAsia="Times New Roman" w:hAnsi="NimbusSanL;Times New Roman" w:cs="NimbusSanL;Times New Roman"/>
          <w:b/>
          <w:bCs/>
          <w:sz w:val="20"/>
          <w:szCs w:val="20"/>
          <w:lang w:val="fr-FR" w:eastAsia="fr-FR" w:bidi="ar-SA"/>
        </w:rPr>
        <w:t>»</w:t>
      </w:r>
      <w:r>
        <w:rPr>
          <w:rFonts w:ascii="NimbusSanL;Times New Roman" w:eastAsia="Times New Roman" w:hAnsi="NimbusSanL;Times New Roman" w:cs="NimbusSanL;Times New Roman"/>
          <w:bCs/>
          <w:sz w:val="20"/>
          <w:szCs w:val="20"/>
          <w:lang w:val="fr-FR" w:eastAsia="fr-FR" w:bidi="ar-SA"/>
        </w:rPr>
        <w:t xml:space="preserve">. </w:t>
      </w:r>
    </w:p>
    <w:p w14:paraId="39E007E9" w14:textId="77777777" w:rsidR="00F35929" w:rsidRDefault="00F35929">
      <w:pPr>
        <w:pStyle w:val="Standard"/>
        <w:jc w:val="both"/>
        <w:rPr>
          <w:rFonts w:ascii="NimbusSanL;Times New Roman" w:hAnsi="NimbusSanL;Times New Roman" w:cs="NimbusSanL;Times New Roman"/>
          <w:sz w:val="20"/>
          <w:szCs w:val="20"/>
        </w:rPr>
      </w:pPr>
    </w:p>
    <w:p w14:paraId="629C4105" w14:textId="77777777" w:rsidR="00F35929" w:rsidRDefault="002B5C50">
      <w:pPr>
        <w:pStyle w:val="Standard"/>
        <w:jc w:val="both"/>
        <w:rPr>
          <w:sz w:val="20"/>
          <w:szCs w:val="20"/>
        </w:rPr>
      </w:pPr>
      <w:r>
        <w:rPr>
          <w:rFonts w:ascii="NimbusSanL;Times New Roman" w:eastAsia="Times New Roman" w:hAnsi="NimbusSanL;Times New Roman" w:cs="NimbusSanL;Times New Roman"/>
          <w:bCs/>
          <w:sz w:val="20"/>
          <w:szCs w:val="20"/>
          <w:lang w:val="fr-FR" w:eastAsia="fr-FR" w:bidi="ar-SA"/>
        </w:rPr>
        <w:t>De nombreux témoignages accréditent l’idée que dans tout ce qui concerne les relations police-population, et particulièrement en ce qui concerne l’usage de la force, l’institution et, au-delà, la profession font bloc. Également auditionné par l’Assemblée nationale, un avocat, membre de la Ligue des droits de l’Homme relève que «</w:t>
      </w:r>
      <w:r>
        <w:rPr>
          <w:rFonts w:ascii="NimbusSanL;Times New Roman" w:eastAsia="Times New Roman" w:hAnsi="NimbusSanL;Times New Roman" w:cs="NimbusSanL;Times New Roman"/>
          <w:bCs/>
          <w:i/>
          <w:sz w:val="20"/>
          <w:szCs w:val="20"/>
          <w:lang w:val="fr-FR" w:eastAsia="fr-FR" w:bidi="ar-SA"/>
        </w:rPr>
        <w:t> </w:t>
      </w:r>
      <w:r>
        <w:rPr>
          <w:rFonts w:ascii="NimbusSanL;Times New Roman" w:eastAsia="Times New Roman" w:hAnsi="NimbusSanL;Times New Roman" w:cs="NimbusSanL;Times New Roman"/>
          <w:bCs/>
          <w:i/>
          <w:iCs/>
          <w:sz w:val="20"/>
          <w:szCs w:val="20"/>
          <w:lang w:val="fr-FR" w:eastAsia="fr-FR" w:bidi="ar-SA"/>
        </w:rPr>
        <w:t xml:space="preserve">lorsqu’il s’agit de comportements “ripoux” de policiers, c’est-à-dire de corruption, nous avons l’impression que l’IGPN fait son boulot. En revanche, dès lors qu’il s’agit de comportements des forces de l’ordre dans l’exercice de leurs fonctions, nous avons quelques doutes </w:t>
      </w:r>
      <w:r>
        <w:rPr>
          <w:rFonts w:ascii="NimbusSanL;Times New Roman" w:eastAsia="Times New Roman" w:hAnsi="NimbusSanL;Times New Roman" w:cs="NimbusSanL;Times New Roman"/>
          <w:bCs/>
          <w:sz w:val="20"/>
          <w:szCs w:val="20"/>
          <w:lang w:val="fr-FR" w:eastAsia="fr-FR" w:bidi="ar-SA"/>
        </w:rPr>
        <w:t>»</w:t>
      </w:r>
      <w:r>
        <w:rPr>
          <w:rStyle w:val="FootnoteReference"/>
          <w:rFonts w:ascii="NimbusSanL;Times New Roman" w:eastAsia="Times New Roman" w:hAnsi="NimbusSanL;Times New Roman" w:cs="NimbusSanL;Times New Roman"/>
          <w:bCs/>
          <w:sz w:val="20"/>
          <w:szCs w:val="20"/>
          <w:lang w:val="fr-FR" w:eastAsia="fr-FR" w:bidi="ar-SA"/>
        </w:rPr>
        <w:footnoteReference w:id="13"/>
      </w:r>
      <w:r>
        <w:rPr>
          <w:rFonts w:ascii="NimbusSanL;Times New Roman" w:eastAsia="Times New Roman" w:hAnsi="NimbusSanL;Times New Roman" w:cs="NimbusSanL;Times New Roman"/>
          <w:bCs/>
          <w:sz w:val="20"/>
          <w:szCs w:val="20"/>
          <w:lang w:val="fr-FR" w:eastAsia="fr-FR" w:bidi="ar-SA"/>
        </w:rPr>
        <w:t xml:space="preserve">. </w:t>
      </w:r>
    </w:p>
    <w:p w14:paraId="1F7752AE" w14:textId="77777777" w:rsidR="00F35929" w:rsidRDefault="00F35929">
      <w:pPr>
        <w:pStyle w:val="Standard"/>
        <w:jc w:val="both"/>
        <w:rPr>
          <w:sz w:val="20"/>
          <w:szCs w:val="20"/>
        </w:rPr>
      </w:pPr>
    </w:p>
    <w:p w14:paraId="3FABAC56" w14:textId="77777777" w:rsidR="00F35929" w:rsidRDefault="002B5C50">
      <w:pPr>
        <w:pStyle w:val="Standard"/>
        <w:jc w:val="both"/>
        <w:rPr>
          <w:rFonts w:ascii="NimbusSanL;Times New Roman" w:hAnsi="NimbusSanL;Times New Roman" w:cs="NimbusSanL;Times New Roman"/>
          <w:sz w:val="20"/>
          <w:szCs w:val="20"/>
        </w:rPr>
      </w:pPr>
      <w:r>
        <w:rPr>
          <w:rFonts w:ascii="NimbusSanL;Times New Roman" w:eastAsia="Times New Roman" w:hAnsi="NimbusSanL;Times New Roman" w:cs="NimbusSanL;Times New Roman"/>
          <w:bCs/>
          <w:sz w:val="20"/>
          <w:szCs w:val="20"/>
          <w:lang w:val="fr-FR" w:eastAsia="fr-FR" w:bidi="ar-SA"/>
        </w:rPr>
        <w:t xml:space="preserve">Ce pratique du double standard a été documentée par un observateur </w:t>
      </w:r>
      <w:r>
        <w:rPr>
          <w:rFonts w:ascii="NimbusSanL;Times New Roman" w:eastAsia="Times New Roman" w:hAnsi="NimbusSanL;Times New Roman" w:cs="NimbusSanL;Times New Roman"/>
          <w:bCs/>
          <w:sz w:val="20"/>
          <w:szCs w:val="20"/>
          <w:lang w:val="fr-FR" w:eastAsia="fr-FR" w:bidi="ar-SA"/>
        </w:rPr>
        <w:t>privilégié, le seul sociologue à avoir pu dépouiller et traiter un corpus d’affaires disciplinaires de l’IGS (ancêtre de l’IGPN pour la région parisienne). Selon lui, « </w:t>
      </w:r>
      <w:r>
        <w:rPr>
          <w:rFonts w:ascii="NimbusSanL;Times New Roman" w:eastAsia="Times New Roman" w:hAnsi="NimbusSanL;Times New Roman" w:cs="NimbusSanL;Times New Roman"/>
          <w:b/>
          <w:bCs/>
          <w:i/>
          <w:iCs/>
          <w:sz w:val="20"/>
          <w:szCs w:val="20"/>
          <w:lang w:val="fr-FR" w:eastAsia="fr-FR" w:bidi="ar-SA"/>
        </w:rPr>
        <w:t>sur le registre des fautes professionnelles, il en est un certain nombre qui suscitent, de la part des instances de contrôles et des services disciplinaires policiers, une sévérité bien plus grande que ce qui se manifeste dans les cas d’usage excessif de la violence</w:t>
      </w:r>
      <w:r>
        <w:rPr>
          <w:rFonts w:ascii="NimbusSanL;Times New Roman" w:eastAsia="Times New Roman" w:hAnsi="NimbusSanL;Times New Roman" w:cs="NimbusSanL;Times New Roman"/>
          <w:bCs/>
          <w:i/>
          <w:iCs/>
          <w:sz w:val="20"/>
          <w:szCs w:val="20"/>
          <w:lang w:val="fr-FR" w:eastAsia="fr-FR" w:bidi="ar-SA"/>
        </w:rPr>
        <w:t>. C’est le cas, généralement, de toutes les manières par lesquelles des polic</w:t>
      </w:r>
      <w:r>
        <w:rPr>
          <w:rFonts w:ascii="NimbusSanL;Times New Roman" w:eastAsia="Times New Roman" w:hAnsi="NimbusSanL;Times New Roman" w:cs="NimbusSanL;Times New Roman"/>
          <w:bCs/>
          <w:i/>
          <w:iCs/>
          <w:sz w:val="20"/>
          <w:szCs w:val="20"/>
          <w:lang w:val="fr-FR" w:eastAsia="fr-FR" w:bidi="ar-SA"/>
        </w:rPr>
        <w:t>iers peuvent utiliser à des fins privées les moyens mis à leur disposition par leur appartenance à la force publique : consultation de fichiers de police à des fins privées, utilisation de matériel à en-tête professionnel pour des raisons personnelles, toutes formes de corruption, passive ou active</w:t>
      </w:r>
      <w:r>
        <w:rPr>
          <w:rFonts w:ascii="NimbusSanL;Times New Roman" w:eastAsia="Times New Roman" w:hAnsi="NimbusSanL;Times New Roman" w:cs="NimbusSanL;Times New Roman"/>
          <w:bCs/>
          <w:sz w:val="20"/>
          <w:szCs w:val="20"/>
          <w:lang w:val="fr-FR" w:eastAsia="fr-FR" w:bidi="ar-SA"/>
        </w:rPr>
        <w:t> »</w:t>
      </w:r>
      <w:r>
        <w:rPr>
          <w:rStyle w:val="FootnoteReference"/>
          <w:rFonts w:ascii="NimbusSanL;Times New Roman" w:eastAsia="Times New Roman" w:hAnsi="NimbusSanL;Times New Roman" w:cs="NimbusSanL;Times New Roman"/>
          <w:bCs/>
          <w:sz w:val="20"/>
          <w:szCs w:val="20"/>
          <w:lang w:val="fr-FR" w:eastAsia="fr-FR" w:bidi="ar-SA"/>
        </w:rPr>
        <w:footnoteReference w:id="14"/>
      </w:r>
      <w:r>
        <w:rPr>
          <w:rFonts w:ascii="NimbusSanL;Times New Roman" w:eastAsia="Times New Roman" w:hAnsi="NimbusSanL;Times New Roman" w:cs="NimbusSanL;Times New Roman"/>
          <w:bCs/>
          <w:sz w:val="20"/>
          <w:szCs w:val="20"/>
          <w:lang w:val="fr-FR" w:eastAsia="fr-FR" w:bidi="ar-SA"/>
        </w:rPr>
        <w:t>.</w:t>
      </w:r>
    </w:p>
    <w:p w14:paraId="37FF31E4" w14:textId="77777777" w:rsidR="00F35929" w:rsidRDefault="00F35929">
      <w:pPr>
        <w:pStyle w:val="Standard"/>
        <w:jc w:val="both"/>
        <w:rPr>
          <w:rFonts w:ascii="NimbusSanL;Times New Roman" w:hAnsi="NimbusSanL;Times New Roman" w:cs="NimbusSanL;Times New Roman"/>
          <w:sz w:val="20"/>
          <w:szCs w:val="20"/>
        </w:rPr>
      </w:pPr>
    </w:p>
    <w:p w14:paraId="5429B8B7" w14:textId="77777777" w:rsidR="00F35929" w:rsidRDefault="002B5C50">
      <w:pPr>
        <w:pStyle w:val="Standard"/>
        <w:jc w:val="both"/>
        <w:rPr>
          <w:sz w:val="20"/>
          <w:szCs w:val="20"/>
        </w:rPr>
      </w:pPr>
      <w:r>
        <w:rPr>
          <w:rFonts w:ascii="NimbusSanL;Times New Roman" w:eastAsia="Times New Roman" w:hAnsi="NimbusSanL;Times New Roman" w:cs="NimbusSanL;Times New Roman"/>
          <w:bCs/>
          <w:sz w:val="20"/>
          <w:szCs w:val="20"/>
          <w:lang w:val="fr-FR" w:eastAsia="fr-FR" w:bidi="ar-SA"/>
        </w:rPr>
        <w:t>Une source policièr</w:t>
      </w:r>
      <w:r>
        <w:rPr>
          <w:rFonts w:ascii="NimbusSanL;Times New Roman" w:eastAsia="Times New Roman" w:hAnsi="NimbusSanL;Times New Roman" w:cs="NimbusSanL;Times New Roman"/>
          <w:bCs/>
          <w:color w:val="000000"/>
          <w:sz w:val="20"/>
          <w:szCs w:val="20"/>
          <w:lang w:val="fr-FR" w:eastAsia="fr-FR" w:bidi="ar-SA"/>
        </w:rPr>
        <w:t>e, qui travaille dans une cellule déontologie</w:t>
      </w:r>
      <w:r>
        <w:rPr>
          <w:rStyle w:val="FootnoteReference"/>
          <w:rFonts w:ascii="NimbusSanL;Times New Roman" w:eastAsia="Times New Roman" w:hAnsi="NimbusSanL;Times New Roman" w:cs="NimbusSanL;Times New Roman"/>
          <w:bCs/>
          <w:color w:val="000000"/>
          <w:sz w:val="20"/>
          <w:szCs w:val="20"/>
          <w:lang w:val="fr-FR" w:eastAsia="fr-FR" w:bidi="ar-SA"/>
        </w:rPr>
        <w:footnoteReference w:id="15"/>
      </w:r>
      <w:r>
        <w:rPr>
          <w:rFonts w:ascii="NimbusSanL;Times New Roman" w:eastAsia="Times New Roman" w:hAnsi="NimbusSanL;Times New Roman" w:cs="NimbusSanL;Times New Roman"/>
          <w:bCs/>
          <w:sz w:val="20"/>
          <w:szCs w:val="20"/>
          <w:lang w:val="fr-FR" w:eastAsia="fr-FR" w:bidi="ar-SA"/>
        </w:rPr>
        <w:t>, abonde en ce sens : « </w:t>
      </w:r>
      <w:proofErr w:type="spellStart"/>
      <w:r>
        <w:rPr>
          <w:rFonts w:ascii="NimbusSanL;Times New Roman" w:eastAsia="Times New Roman" w:hAnsi="NimbusSanL;Times New Roman" w:cs="NimbusSanL;Times New Roman"/>
          <w:bCs/>
          <w:i/>
          <w:iCs/>
          <w:sz w:val="20"/>
          <w:szCs w:val="20"/>
          <w:lang w:val="fr-FR" w:eastAsia="fr-FR" w:bidi="ar-SA"/>
        </w:rPr>
        <w:t>i</w:t>
      </w:r>
      <w:r>
        <w:rPr>
          <w:rFonts w:ascii="NimbusSanL" w:eastAsia="Times New Roman" w:hAnsi="NimbusSanL" w:cs="NimbusSanL"/>
          <w:bCs/>
          <w:i/>
          <w:iCs/>
          <w:sz w:val="20"/>
          <w:szCs w:val="20"/>
          <w:lang w:val="fr-FR" w:eastAsia="fr-FR" w:bidi="ar-SA"/>
        </w:rPr>
        <w:t>I</w:t>
      </w:r>
      <w:proofErr w:type="spellEnd"/>
      <w:r>
        <w:rPr>
          <w:rFonts w:ascii="NimbusSanL" w:eastAsia="Times New Roman" w:hAnsi="NimbusSanL" w:cs="NimbusSanL"/>
          <w:bCs/>
          <w:i/>
          <w:iCs/>
          <w:sz w:val="20"/>
          <w:szCs w:val="20"/>
          <w:lang w:val="fr-FR" w:eastAsia="fr-FR" w:bidi="ar-SA"/>
        </w:rPr>
        <w:t xml:space="preserve"> y a des cas où la hiérarchie ménage les flics qui dérapent. En les sanctionnant pas trop fort et le plus tard possible, et en les soutenant de plusieurs façons pour qu'au pénal </w:t>
      </w:r>
      <w:proofErr w:type="gramStart"/>
      <w:r>
        <w:rPr>
          <w:rFonts w:ascii="NimbusSanL" w:eastAsia="Times New Roman" w:hAnsi="NimbusSanL" w:cs="NimbusSanL"/>
          <w:bCs/>
          <w:i/>
          <w:iCs/>
          <w:sz w:val="20"/>
          <w:szCs w:val="20"/>
          <w:lang w:val="fr-FR" w:eastAsia="fr-FR" w:bidi="ar-SA"/>
        </w:rPr>
        <w:t>ils prennent pas</w:t>
      </w:r>
      <w:proofErr w:type="gramEnd"/>
      <w:r>
        <w:rPr>
          <w:rFonts w:ascii="NimbusSanL" w:eastAsia="Times New Roman" w:hAnsi="NimbusSanL" w:cs="NimbusSanL"/>
          <w:bCs/>
          <w:i/>
          <w:iCs/>
          <w:sz w:val="20"/>
          <w:szCs w:val="20"/>
          <w:lang w:val="fr-FR" w:eastAsia="fr-FR" w:bidi="ar-SA"/>
        </w:rPr>
        <w:t xml:space="preserve"> trop cher, même si ça dépend avant tout des magistrats. Et ces </w:t>
      </w:r>
      <w:proofErr w:type="spellStart"/>
      <w:r>
        <w:rPr>
          <w:rFonts w:ascii="NimbusSanL" w:eastAsia="Times New Roman" w:hAnsi="NimbusSanL" w:cs="NimbusSanL"/>
          <w:bCs/>
          <w:i/>
          <w:iCs/>
          <w:sz w:val="20"/>
          <w:szCs w:val="20"/>
          <w:lang w:val="fr-FR" w:eastAsia="fr-FR" w:bidi="ar-SA"/>
        </w:rPr>
        <w:t>cas là</w:t>
      </w:r>
      <w:proofErr w:type="spellEnd"/>
      <w:r>
        <w:rPr>
          <w:rFonts w:ascii="NimbusSanL" w:eastAsia="Times New Roman" w:hAnsi="NimbusSanL" w:cs="NimbusSanL"/>
          <w:bCs/>
          <w:i/>
          <w:iCs/>
          <w:sz w:val="20"/>
          <w:szCs w:val="20"/>
          <w:lang w:val="fr-FR" w:eastAsia="fr-FR" w:bidi="ar-SA"/>
        </w:rPr>
        <w:t xml:space="preserve">, c'est surtout </w:t>
      </w:r>
      <w:proofErr w:type="gramStart"/>
      <w:r>
        <w:rPr>
          <w:rFonts w:ascii="NimbusSanL" w:eastAsia="Times New Roman" w:hAnsi="NimbusSanL" w:cs="NimbusSanL"/>
          <w:bCs/>
          <w:i/>
          <w:iCs/>
          <w:sz w:val="20"/>
          <w:szCs w:val="20"/>
          <w:lang w:val="fr-FR" w:eastAsia="fr-FR" w:bidi="ar-SA"/>
        </w:rPr>
        <w:t>quand</w:t>
      </w:r>
      <w:proofErr w:type="gramEnd"/>
      <w:r>
        <w:rPr>
          <w:rFonts w:ascii="NimbusSanL" w:eastAsia="Times New Roman" w:hAnsi="NimbusSanL" w:cs="NimbusSanL"/>
          <w:bCs/>
          <w:i/>
          <w:iCs/>
          <w:sz w:val="20"/>
          <w:szCs w:val="20"/>
          <w:lang w:val="fr-FR" w:eastAsia="fr-FR" w:bidi="ar-SA"/>
        </w:rPr>
        <w:t xml:space="preserve"> à l'origine il y a un usager qui s’est plaint. Le flic qui pique du matos, qui triche sur ses heures sup ou ses arrêts maladie, qui dit merde à son officier, s’il se fait toper, on ne lui pardonne pas</w:t>
      </w:r>
      <w:r>
        <w:rPr>
          <w:rFonts w:ascii="NimbusSanL" w:eastAsia="Times New Roman" w:hAnsi="NimbusSanL" w:cs="NimbusSanL"/>
          <w:bCs/>
          <w:i/>
          <w:iCs/>
          <w:sz w:val="20"/>
          <w:szCs w:val="20"/>
          <w:lang w:val="fr-FR" w:eastAsia="fr-FR" w:bidi="ar-SA"/>
        </w:rPr>
        <w:t xml:space="preserve">. Personne n'ira l'aider, sauf les syndicats. </w:t>
      </w:r>
      <w:proofErr w:type="gramStart"/>
      <w:r>
        <w:rPr>
          <w:rFonts w:ascii="NimbusSanL" w:eastAsia="Times New Roman" w:hAnsi="NimbusSanL" w:cs="NimbusSanL"/>
          <w:bCs/>
          <w:i/>
          <w:iCs/>
          <w:sz w:val="20"/>
          <w:szCs w:val="20"/>
          <w:lang w:val="fr-FR" w:eastAsia="fr-FR" w:bidi="ar-SA"/>
        </w:rPr>
        <w:t>Par contre</w:t>
      </w:r>
      <w:proofErr w:type="gramEnd"/>
      <w:r>
        <w:rPr>
          <w:rFonts w:ascii="NimbusSanL" w:eastAsia="Times New Roman" w:hAnsi="NimbusSanL" w:cs="NimbusSanL"/>
          <w:bCs/>
          <w:i/>
          <w:iCs/>
          <w:sz w:val="20"/>
          <w:szCs w:val="20"/>
          <w:lang w:val="fr-FR" w:eastAsia="fr-FR" w:bidi="ar-SA"/>
        </w:rPr>
        <w:t xml:space="preserve"> </w:t>
      </w:r>
      <w:r>
        <w:rPr>
          <w:rFonts w:ascii="NimbusSanL" w:eastAsia="Times New Roman" w:hAnsi="NimbusSanL" w:cs="NimbusSanL"/>
          <w:b/>
          <w:bCs/>
          <w:i/>
          <w:iCs/>
          <w:sz w:val="20"/>
          <w:szCs w:val="20"/>
          <w:lang w:val="fr-FR" w:eastAsia="fr-FR" w:bidi="ar-SA"/>
        </w:rPr>
        <w:t xml:space="preserve">le flic qui est accusé d'avoir frappé ou insulté une personne, surtout si </w:t>
      </w:r>
      <w:r>
        <w:rPr>
          <w:rFonts w:ascii="NimbusSanL" w:eastAsia="Times New Roman" w:hAnsi="NimbusSanL" w:cs="NimbusSanL"/>
          <w:b/>
          <w:bCs/>
          <w:i/>
          <w:iCs/>
          <w:sz w:val="20"/>
          <w:szCs w:val="20"/>
          <w:lang w:val="fr-FR" w:eastAsia="fr-FR" w:bidi="ar-SA"/>
        </w:rPr>
        <w:t>cette dernière n’a pas le profil du parfait citoyen idéal, il va voir la boîte faire bloc autour de lui, autant que possible, comme si l'accuser lui c'était accuser la police dans son ensemble et qu'il fallait faire corps</w:t>
      </w:r>
      <w:r>
        <w:rPr>
          <w:rFonts w:ascii="NimbusSanL;Times New Roman" w:eastAsia="Times New Roman" w:hAnsi="NimbusSanL;Times New Roman" w:cs="NimbusSanL;Times New Roman"/>
          <w:bCs/>
          <w:sz w:val="20"/>
          <w:szCs w:val="20"/>
          <w:lang w:val="fr-FR" w:eastAsia="fr-FR" w:bidi="ar-SA"/>
        </w:rPr>
        <w:t> »</w:t>
      </w:r>
      <w:r>
        <w:rPr>
          <w:rStyle w:val="FootnoteReference"/>
          <w:rFonts w:ascii="NimbusSanL;Times New Roman" w:eastAsia="Times New Roman" w:hAnsi="NimbusSanL;Times New Roman" w:cs="NimbusSanL;Times New Roman"/>
          <w:bCs/>
          <w:sz w:val="20"/>
          <w:szCs w:val="20"/>
          <w:lang w:val="fr-FR" w:eastAsia="fr-FR" w:bidi="ar-SA"/>
        </w:rPr>
        <w:footnoteReference w:id="16"/>
      </w:r>
      <w:r>
        <w:rPr>
          <w:rFonts w:ascii="NimbusSanL;Times New Roman" w:eastAsia="Times New Roman" w:hAnsi="NimbusSanL;Times New Roman" w:cs="NimbusSanL;Times New Roman"/>
          <w:bCs/>
          <w:sz w:val="20"/>
          <w:szCs w:val="20"/>
          <w:lang w:val="fr-FR" w:eastAsia="fr-FR" w:bidi="ar-SA"/>
        </w:rPr>
        <w:t>.</w:t>
      </w:r>
    </w:p>
    <w:p w14:paraId="5FA029DB" w14:textId="77777777" w:rsidR="00F35929" w:rsidRDefault="00F35929">
      <w:pPr>
        <w:pStyle w:val="Standard"/>
        <w:jc w:val="both"/>
        <w:rPr>
          <w:sz w:val="20"/>
          <w:szCs w:val="20"/>
        </w:rPr>
      </w:pPr>
    </w:p>
    <w:p w14:paraId="1E72AD8C" w14:textId="77777777" w:rsidR="00F35929" w:rsidRDefault="00F35929">
      <w:pPr>
        <w:pStyle w:val="Standard"/>
        <w:jc w:val="both"/>
        <w:rPr>
          <w:rFonts w:ascii="NimbusSanL;Times New Roman" w:hAnsi="NimbusSanL;Times New Roman" w:cs="NimbusSanL;Times New Roman"/>
          <w:sz w:val="20"/>
          <w:szCs w:val="20"/>
        </w:rPr>
      </w:pPr>
    </w:p>
    <w:p w14:paraId="3078986C" w14:textId="77777777" w:rsidR="00F35929" w:rsidRDefault="002B5C50">
      <w:pPr>
        <w:pStyle w:val="Standard"/>
        <w:jc w:val="both"/>
        <w:rPr>
          <w:rFonts w:ascii="NimbusSanL;Times New Roman" w:hAnsi="NimbusSanL;Times New Roman" w:cs="NimbusSanL;Times New Roman"/>
          <w:sz w:val="20"/>
          <w:szCs w:val="20"/>
        </w:rPr>
      </w:pPr>
      <w:r>
        <w:rPr>
          <w:rFonts w:ascii="NimbusSanL;Times New Roman" w:hAnsi="NimbusSanL;Times New Roman" w:cs="NimbusSanL;Times New Roman"/>
          <w:b/>
          <w:bCs/>
          <w:sz w:val="20"/>
          <w:szCs w:val="20"/>
        </w:rPr>
        <w:t xml:space="preserve">I.3. Une crise des vocations qui entraîne un </w:t>
      </w:r>
      <w:r>
        <w:rPr>
          <w:rFonts w:ascii="NimbusSanL;Times New Roman" w:eastAsia="Times New Roman" w:hAnsi="NimbusSanL;Times New Roman" w:cs="NimbusSanL;Times New Roman"/>
          <w:b/>
          <w:bCs/>
          <w:sz w:val="20"/>
          <w:szCs w:val="20"/>
          <w:lang w:val="fr-FR" w:eastAsia="fr-FR" w:bidi="ar-SA"/>
        </w:rPr>
        <w:t>« risque de paralysie » de l’Inspection</w:t>
      </w:r>
    </w:p>
    <w:p w14:paraId="1D7C226E" w14:textId="77777777" w:rsidR="00F35929" w:rsidRDefault="00F35929">
      <w:pPr>
        <w:pStyle w:val="Standard"/>
        <w:jc w:val="both"/>
        <w:rPr>
          <w:rFonts w:ascii="NimbusSanL;Times New Roman" w:hAnsi="NimbusSanL;Times New Roman" w:cs="NimbusSanL;Times New Roman"/>
          <w:sz w:val="20"/>
          <w:szCs w:val="20"/>
        </w:rPr>
      </w:pPr>
    </w:p>
    <w:p w14:paraId="3E419C78" w14:textId="77777777" w:rsidR="00F35929" w:rsidRDefault="002B5C50">
      <w:pPr>
        <w:pStyle w:val="Standard"/>
        <w:jc w:val="both"/>
        <w:rPr>
          <w:rFonts w:ascii="NimbusSanL;Times New Roman" w:hAnsi="NimbusSanL;Times New Roman" w:cs="NimbusSanL;Times New Roman"/>
          <w:sz w:val="20"/>
          <w:szCs w:val="20"/>
        </w:rPr>
      </w:pPr>
      <w:r>
        <w:rPr>
          <w:rFonts w:ascii="NimbusSanL;Times New Roman" w:eastAsia="Times New Roman" w:hAnsi="NimbusSanL;Times New Roman" w:cs="NimbusSanL;Times New Roman"/>
          <w:bCs/>
          <w:sz w:val="20"/>
          <w:szCs w:val="20"/>
          <w:lang w:val="fr-FR" w:eastAsia="fr-FR" w:bidi="ar-SA"/>
        </w:rPr>
        <w:t>Devant l’Assemblée nationale, le Syndicat de la magistrature a rappelé « </w:t>
      </w:r>
      <w:r>
        <w:rPr>
          <w:rFonts w:ascii="NimbusSanL;Times New Roman" w:eastAsia="Times New Roman" w:hAnsi="NimbusSanL;Times New Roman" w:cs="NimbusSanL;Times New Roman"/>
          <w:bCs/>
          <w:i/>
          <w:iCs/>
          <w:sz w:val="20"/>
          <w:szCs w:val="20"/>
          <w:lang w:val="fr-FR" w:eastAsia="fr-FR" w:bidi="ar-SA"/>
        </w:rPr>
        <w:t>la grande difficulté pour des policiers d’enquêter sur des collègues</w:t>
      </w:r>
      <w:r>
        <w:rPr>
          <w:rFonts w:ascii="NimbusSanL;Times New Roman" w:eastAsia="Times New Roman" w:hAnsi="NimbusSanL;Times New Roman" w:cs="NimbusSanL;Times New Roman"/>
          <w:bCs/>
          <w:sz w:val="20"/>
          <w:szCs w:val="20"/>
          <w:lang w:val="fr-FR" w:eastAsia="fr-FR" w:bidi="ar-SA"/>
        </w:rPr>
        <w:t> »</w:t>
      </w:r>
      <w:r>
        <w:rPr>
          <w:rStyle w:val="FootnoteReference"/>
          <w:rFonts w:ascii="NimbusSanL;Times New Roman" w:eastAsia="Times New Roman" w:hAnsi="NimbusSanL;Times New Roman" w:cs="NimbusSanL;Times New Roman"/>
          <w:bCs/>
          <w:sz w:val="20"/>
          <w:szCs w:val="20"/>
          <w:lang w:val="fr-FR" w:eastAsia="fr-FR" w:bidi="ar-SA"/>
        </w:rPr>
        <w:footnoteReference w:id="17"/>
      </w:r>
      <w:r>
        <w:rPr>
          <w:rFonts w:ascii="NimbusSanL;Times New Roman" w:eastAsia="Times New Roman" w:hAnsi="NimbusSanL;Times New Roman" w:cs="NimbusSanL;Times New Roman"/>
          <w:bCs/>
          <w:i/>
          <w:sz w:val="20"/>
          <w:szCs w:val="20"/>
          <w:lang w:val="fr-FR" w:eastAsia="fr-FR" w:bidi="ar-SA"/>
        </w:rPr>
        <w:t xml:space="preserve">. </w:t>
      </w:r>
      <w:r>
        <w:rPr>
          <w:rFonts w:ascii="NimbusSanL;Times New Roman" w:eastAsia="Times New Roman" w:hAnsi="NimbusSanL;Times New Roman" w:cs="NimbusSanL;Times New Roman"/>
          <w:bCs/>
          <w:sz w:val="20"/>
          <w:szCs w:val="20"/>
          <w:lang w:val="fr-FR" w:eastAsia="fr-FR" w:bidi="ar-SA"/>
        </w:rPr>
        <w:t xml:space="preserve">Une seconde source policière, qui a </w:t>
      </w:r>
      <w:r>
        <w:rPr>
          <w:rFonts w:ascii="NimbusSanL;Times New Roman" w:eastAsia="Times New Roman" w:hAnsi="NimbusSanL;Times New Roman" w:cs="NimbusSanL;Times New Roman"/>
          <w:bCs/>
          <w:sz w:val="20"/>
          <w:szCs w:val="20"/>
          <w:lang w:val="fr-FR" w:eastAsia="fr-FR" w:bidi="ar-SA"/>
        </w:rPr>
        <w:t>travaillé par le passé dans une cellule déontologie, abonde en ce sens : « </w:t>
      </w:r>
      <w:r>
        <w:rPr>
          <w:rFonts w:ascii="NimbusSanL;Times New Roman" w:eastAsia="Times New Roman" w:hAnsi="NimbusSanL;Times New Roman" w:cs="NimbusSanL;Times New Roman"/>
          <w:bCs/>
          <w:i/>
          <w:iCs/>
          <w:sz w:val="20"/>
          <w:szCs w:val="20"/>
          <w:lang w:val="fr-FR" w:eastAsia="fr-FR" w:bidi="ar-SA"/>
        </w:rPr>
        <w:t>en tant que chargé des affaires internes, on est comme un pestiféré avec sa cloche. C’est un sacerdoce, il faut avoir l’envie et la foi</w:t>
      </w:r>
      <w:r>
        <w:rPr>
          <w:rFonts w:ascii="NimbusSanL;Times New Roman" w:eastAsia="Times New Roman" w:hAnsi="NimbusSanL;Times New Roman" w:cs="NimbusSanL;Times New Roman"/>
          <w:bCs/>
          <w:sz w:val="20"/>
          <w:szCs w:val="20"/>
          <w:lang w:val="fr-FR" w:eastAsia="fr-FR" w:bidi="ar-SA"/>
        </w:rPr>
        <w:t> ». Ce fonctionnaire fait le lien avec la crise des vocations que semble traverser l’IGPN, par ailleurs attestée par la Cour des comptes, qui parle de « </w:t>
      </w:r>
      <w:r>
        <w:rPr>
          <w:rFonts w:ascii="NimbusSanL;Times New Roman" w:eastAsia="Times New Roman" w:hAnsi="NimbusSanL;Times New Roman" w:cs="NimbusSanL;Times New Roman"/>
          <w:bCs/>
          <w:i/>
          <w:iCs/>
          <w:sz w:val="20"/>
          <w:szCs w:val="20"/>
          <w:lang w:val="fr-FR" w:eastAsia="fr-FR" w:bidi="ar-SA"/>
        </w:rPr>
        <w:t>manque d’attractivité</w:t>
      </w:r>
      <w:r>
        <w:rPr>
          <w:rFonts w:ascii="NimbusSanL;Times New Roman" w:eastAsia="Times New Roman" w:hAnsi="NimbusSanL;Times New Roman" w:cs="NimbusSanL;Times New Roman"/>
          <w:bCs/>
          <w:sz w:val="20"/>
          <w:szCs w:val="20"/>
          <w:lang w:val="fr-FR" w:eastAsia="fr-FR" w:bidi="ar-SA"/>
        </w:rPr>
        <w:t> » de l’Inspection. Aux côtés de « </w:t>
      </w:r>
      <w:r>
        <w:rPr>
          <w:rStyle w:val="Emphasis"/>
          <w:rFonts w:ascii="NimbusSanL;Times New Roman" w:eastAsia="Times New Roman" w:hAnsi="NimbusSanL;Times New Roman" w:cs="NimbusSanL;Times New Roman"/>
          <w:bCs/>
          <w:sz w:val="20"/>
          <w:szCs w:val="20"/>
          <w:lang w:val="fr-FR" w:eastAsia="fr-FR" w:bidi="ar-SA"/>
        </w:rPr>
        <w:t>la désaffection pour les métiers de l’enquête, de l’absence d’avantage indemnitaire </w:t>
      </w:r>
      <w:r>
        <w:rPr>
          <w:rStyle w:val="Emphasis"/>
          <w:rFonts w:ascii="NimbusSanL;Times New Roman" w:eastAsia="Times New Roman" w:hAnsi="NimbusSanL;Times New Roman" w:cs="NimbusSanL;Times New Roman"/>
          <w:bCs/>
          <w:i w:val="0"/>
          <w:iCs w:val="0"/>
          <w:sz w:val="20"/>
          <w:szCs w:val="20"/>
          <w:lang w:val="fr-FR" w:eastAsia="fr-FR" w:bidi="ar-SA"/>
        </w:rPr>
        <w:t>», la Cou</w:t>
      </w:r>
      <w:r>
        <w:rPr>
          <w:rStyle w:val="Emphasis"/>
          <w:rFonts w:ascii="NimbusSanL;Times New Roman" w:eastAsia="Times New Roman" w:hAnsi="NimbusSanL;Times New Roman" w:cs="NimbusSanL;Times New Roman"/>
          <w:bCs/>
          <w:i w:val="0"/>
          <w:iCs w:val="0"/>
          <w:sz w:val="20"/>
          <w:szCs w:val="20"/>
          <w:lang w:val="fr-FR" w:eastAsia="fr-FR" w:bidi="ar-SA"/>
        </w:rPr>
        <w:t>r estime que «</w:t>
      </w:r>
      <w:r>
        <w:rPr>
          <w:rStyle w:val="Emphasis"/>
          <w:rFonts w:ascii="NimbusSanL;Times New Roman" w:eastAsia="Times New Roman" w:hAnsi="NimbusSanL;Times New Roman" w:cs="NimbusSanL;Times New Roman"/>
          <w:bCs/>
          <w:sz w:val="20"/>
          <w:szCs w:val="20"/>
          <w:lang w:val="fr-FR" w:eastAsia="fr-FR" w:bidi="ar-SA"/>
        </w:rPr>
        <w:t> </w:t>
      </w:r>
      <w:r>
        <w:rPr>
          <w:rStyle w:val="Emphasis"/>
          <w:rFonts w:ascii="NimbusSanL;Times New Roman" w:eastAsia="Times New Roman" w:hAnsi="NimbusSanL;Times New Roman" w:cs="NimbusSanL;Times New Roman"/>
          <w:b/>
          <w:bCs/>
          <w:sz w:val="20"/>
          <w:szCs w:val="20"/>
          <w:lang w:val="fr-FR" w:eastAsia="fr-FR" w:bidi="ar-SA"/>
        </w:rPr>
        <w:t xml:space="preserve">la difficulté du métier et de l’image de l’IGPN </w:t>
      </w:r>
      <w:r>
        <w:rPr>
          <w:rStyle w:val="Emphasis"/>
          <w:rFonts w:ascii="NimbusSanL;Times New Roman" w:eastAsia="Times New Roman" w:hAnsi="NimbusSanL;Times New Roman" w:cs="NimbusSanL;Times New Roman"/>
          <w:b/>
          <w:bCs/>
          <w:i w:val="0"/>
          <w:iCs w:val="0"/>
          <w:sz w:val="20"/>
          <w:szCs w:val="20"/>
          <w:lang w:val="fr-FR" w:eastAsia="fr-FR" w:bidi="ar-SA"/>
        </w:rPr>
        <w:t>[…]</w:t>
      </w:r>
      <w:r>
        <w:rPr>
          <w:rStyle w:val="Emphasis"/>
          <w:rFonts w:ascii="NimbusSanL;Times New Roman" w:eastAsia="Times New Roman" w:hAnsi="NimbusSanL;Times New Roman" w:cs="NimbusSanL;Times New Roman"/>
          <w:b/>
          <w:bCs/>
          <w:sz w:val="20"/>
          <w:szCs w:val="20"/>
          <w:lang w:val="fr-FR" w:eastAsia="fr-FR" w:bidi="ar-SA"/>
        </w:rPr>
        <w:t xml:space="preserve"> peuvent constituer un repoussoir au sein </w:t>
      </w:r>
      <w:r>
        <w:rPr>
          <w:rStyle w:val="Emphasis"/>
          <w:rFonts w:ascii="NimbusSanL;Times New Roman" w:eastAsia="Times New Roman" w:hAnsi="NimbusSanL;Times New Roman" w:cs="NimbusSanL;Times New Roman"/>
          <w:b/>
          <w:bCs/>
          <w:sz w:val="20"/>
          <w:szCs w:val="20"/>
          <w:lang w:val="fr-FR" w:eastAsia="fr-FR" w:bidi="ar-SA"/>
        </w:rPr>
        <w:lastRenderedPageBreak/>
        <w:t>des services de police</w:t>
      </w:r>
      <w:r>
        <w:rPr>
          <w:rFonts w:ascii="NimbusSanL;Times New Roman" w:eastAsia="Times New Roman" w:hAnsi="NimbusSanL;Times New Roman" w:cs="NimbusSanL;Times New Roman"/>
          <w:bCs/>
          <w:sz w:val="20"/>
          <w:szCs w:val="20"/>
          <w:lang w:val="fr-FR" w:eastAsia="fr-FR" w:bidi="ar-SA"/>
        </w:rPr>
        <w:t> »</w:t>
      </w:r>
      <w:r>
        <w:rPr>
          <w:rStyle w:val="FootnoteReference"/>
          <w:rFonts w:ascii="NimbusSanL;Times New Roman" w:eastAsia="Times New Roman" w:hAnsi="NimbusSanL;Times New Roman" w:cs="NimbusSanL;Times New Roman"/>
          <w:bCs/>
          <w:sz w:val="20"/>
          <w:szCs w:val="20"/>
          <w:lang w:val="fr-FR" w:eastAsia="fr-FR" w:bidi="ar-SA"/>
        </w:rPr>
        <w:footnoteReference w:id="18"/>
      </w:r>
      <w:r>
        <w:rPr>
          <w:rFonts w:ascii="NimbusSanL;Times New Roman" w:eastAsia="Times New Roman" w:hAnsi="NimbusSanL;Times New Roman" w:cs="NimbusSanL;Times New Roman"/>
          <w:bCs/>
          <w:sz w:val="20"/>
          <w:szCs w:val="20"/>
          <w:lang w:val="fr-FR" w:eastAsia="fr-FR" w:bidi="ar-SA"/>
        </w:rPr>
        <w:t>.</w:t>
      </w:r>
    </w:p>
    <w:p w14:paraId="761C7E82" w14:textId="77777777" w:rsidR="00F35929" w:rsidRDefault="00F35929">
      <w:pPr>
        <w:pStyle w:val="Standard"/>
        <w:jc w:val="both"/>
        <w:rPr>
          <w:rFonts w:ascii="NimbusSanL;Times New Roman" w:hAnsi="NimbusSanL;Times New Roman" w:cs="NimbusSanL;Times New Roman"/>
          <w:sz w:val="20"/>
          <w:szCs w:val="20"/>
        </w:rPr>
      </w:pPr>
    </w:p>
    <w:p w14:paraId="3E2E360A" w14:textId="77777777" w:rsidR="00F35929" w:rsidRDefault="002B5C50">
      <w:pPr>
        <w:pStyle w:val="Standard"/>
        <w:jc w:val="both"/>
        <w:rPr>
          <w:sz w:val="20"/>
          <w:szCs w:val="20"/>
        </w:rPr>
      </w:pPr>
      <w:r>
        <w:rPr>
          <w:rFonts w:ascii="NimbusSanL;Times New Roman" w:eastAsia="Times New Roman" w:hAnsi="NimbusSanL;Times New Roman" w:cs="NimbusSanL;Times New Roman"/>
          <w:bCs/>
          <w:sz w:val="20"/>
          <w:szCs w:val="20"/>
          <w:lang w:val="fr-FR" w:eastAsia="fr-FR" w:bidi="ar-SA"/>
        </w:rPr>
        <w:t>De fait, le dernier rapport d’activités de l’IGPN, qui évoque une « </w:t>
      </w:r>
      <w:r>
        <w:rPr>
          <w:rFonts w:ascii="NimbusSanL;Times New Roman" w:eastAsia="Times New Roman" w:hAnsi="NimbusSanL;Times New Roman" w:cs="NimbusSanL;Times New Roman"/>
          <w:bCs/>
          <w:i/>
          <w:iCs/>
          <w:sz w:val="20"/>
          <w:szCs w:val="20"/>
          <w:lang w:val="fr-FR" w:eastAsia="fr-FR" w:bidi="ar-SA"/>
        </w:rPr>
        <w:t>situation RH dégradée</w:t>
      </w:r>
      <w:r>
        <w:rPr>
          <w:rFonts w:ascii="NimbusSanL;Times New Roman" w:eastAsia="Times New Roman" w:hAnsi="NimbusSanL;Times New Roman" w:cs="NimbusSanL;Times New Roman"/>
          <w:bCs/>
          <w:sz w:val="20"/>
          <w:szCs w:val="20"/>
          <w:lang w:val="fr-FR" w:eastAsia="fr-FR" w:bidi="ar-SA"/>
        </w:rPr>
        <w:t xml:space="preserve"> » établit qu’en 2023, </w:t>
      </w:r>
      <w:r>
        <w:rPr>
          <w:rFonts w:ascii="NimbusSanL;Times New Roman" w:eastAsia="Times New Roman" w:hAnsi="NimbusSanL;Times New Roman" w:cs="NimbusSanL;Times New Roman"/>
          <w:bCs/>
          <w:sz w:val="20"/>
          <w:szCs w:val="20"/>
          <w:lang w:val="fr-FR" w:eastAsia="fr-FR" w:bidi="ar-SA"/>
        </w:rPr>
        <w:t>l’Inspection affiche le nombre d’agents le plus bas depuis qu’elle rend compte publiquement de son activité (en 2017). Le pôle des enquêtes administratives et judiciaires enregistre en particulier une baisse drastique : il passe de 121 agents en 2022 à « </w:t>
      </w:r>
      <w:r>
        <w:rPr>
          <w:rStyle w:val="Emphasis"/>
          <w:rFonts w:ascii="NimbusSanL;Times New Roman" w:eastAsia="Times New Roman" w:hAnsi="NimbusSanL;Times New Roman" w:cs="NimbusSanL;Times New Roman"/>
          <w:bCs/>
          <w:sz w:val="20"/>
          <w:szCs w:val="20"/>
          <w:lang w:val="fr-FR" w:eastAsia="fr-FR" w:bidi="ar-SA"/>
        </w:rPr>
        <w:t>une centaine</w:t>
      </w:r>
      <w:r>
        <w:rPr>
          <w:rFonts w:ascii="NimbusSanL;Times New Roman" w:eastAsia="Times New Roman" w:hAnsi="NimbusSanL;Times New Roman" w:cs="NimbusSanL;Times New Roman"/>
          <w:bCs/>
          <w:sz w:val="20"/>
          <w:szCs w:val="20"/>
          <w:lang w:val="fr-FR" w:eastAsia="fr-FR" w:bidi="ar-SA"/>
        </w:rPr>
        <w:t> » en 2023, soit semble-t-il une baisse d’un cinquième, en plein pic d’usage de la force</w:t>
      </w:r>
      <w:r>
        <w:rPr>
          <w:rStyle w:val="FootnoteReference"/>
          <w:rFonts w:ascii="NimbusSanL;Times New Roman" w:eastAsia="Times New Roman" w:hAnsi="NimbusSanL;Times New Roman" w:cs="NimbusSanL;Times New Roman"/>
          <w:bCs/>
          <w:sz w:val="20"/>
          <w:szCs w:val="20"/>
          <w:lang w:val="fr-FR" w:eastAsia="fr-FR" w:bidi="ar-SA"/>
        </w:rPr>
        <w:footnoteReference w:id="19"/>
      </w:r>
      <w:r>
        <w:rPr>
          <w:rFonts w:ascii="NimbusSanL;Times New Roman" w:eastAsia="Times New Roman" w:hAnsi="NimbusSanL;Times New Roman" w:cs="NimbusSanL;Times New Roman"/>
          <w:bCs/>
          <w:sz w:val="20"/>
          <w:szCs w:val="20"/>
          <w:lang w:val="fr-FR" w:eastAsia="fr-FR" w:bidi="ar-SA"/>
        </w:rPr>
        <w:t xml:space="preserve">. </w:t>
      </w:r>
      <w:r>
        <w:rPr>
          <w:rFonts w:ascii="NimbusSanL;Times New Roman" w:eastAsia="Times New Roman" w:hAnsi="NimbusSanL;Times New Roman" w:cs="NimbusSanL;Times New Roman"/>
          <w:sz w:val="20"/>
          <w:szCs w:val="20"/>
          <w:lang w:val="fr-FR" w:eastAsia="fr-FR" w:bidi="ar-SA"/>
        </w:rPr>
        <w:t>Or, comme le relevait déjà l’Assemblée nationale en 2021, « </w:t>
      </w:r>
      <w:r>
        <w:rPr>
          <w:rFonts w:ascii="NimbusSanL;Times New Roman" w:eastAsia="Times New Roman" w:hAnsi="NimbusSanL;Times New Roman" w:cs="NimbusSanL;Times New Roman"/>
          <w:i/>
          <w:iCs/>
          <w:sz w:val="20"/>
          <w:szCs w:val="20"/>
          <w:lang w:val="fr-FR" w:eastAsia="fr-FR" w:bidi="ar-SA"/>
        </w:rPr>
        <w:t>les effectifs des inspections générales, singulièrement ceux de l’IGPN, apparaissent sous-dotés afin de réaliser d’une part, les enquêtes administratives et judiciaires qui leur incombent, et, d’autre part, le traitement exponentiel des signalements effectués par les citoyens depuis les plateformes numériques. […] Bien que les agents de l’IGPN affectés aux enquêtes administratives et judiciaires soient quatre fois plus nombreux que ceux de l’IGGN</w:t>
      </w:r>
      <w:r>
        <w:rPr>
          <w:rFonts w:ascii="NimbusSanL;Times New Roman" w:eastAsia="Times New Roman" w:hAnsi="NimbusSanL;Times New Roman" w:cs="NimbusSanL;Times New Roman"/>
          <w:i/>
          <w:iCs/>
          <w:sz w:val="20"/>
          <w:szCs w:val="20"/>
          <w:lang w:val="fr-FR" w:eastAsia="fr-FR" w:bidi="ar-SA"/>
        </w:rPr>
        <w:t xml:space="preserve">, leur activité d’enquête est pourtant dix à quinze fois plus importante au regard des éléments statistiques présentés précédemment, ce qui illustre l’inadéquation des effectifs de l’IGPN à son volume d’activité actuel. </w:t>
      </w:r>
      <w:r>
        <w:rPr>
          <w:rFonts w:ascii="NimbusSanL;Times New Roman" w:eastAsia="Times New Roman" w:hAnsi="NimbusSanL;Times New Roman" w:cs="NimbusSanL;Times New Roman"/>
          <w:b/>
          <w:bCs/>
          <w:i/>
          <w:iCs/>
          <w:sz w:val="20"/>
          <w:szCs w:val="20"/>
          <w:lang w:val="fr-FR" w:eastAsia="fr-FR" w:bidi="ar-SA"/>
        </w:rPr>
        <w:t>Ses effectifs ne semblent donc pas en mesure d’absorber la charge de travail croissante découlant de l’augmentation des saisines de l’IGPN</w:t>
      </w:r>
      <w:r>
        <w:rPr>
          <w:rFonts w:ascii="NimbusSanL;Times New Roman" w:eastAsia="Times New Roman" w:hAnsi="NimbusSanL;Times New Roman" w:cs="NimbusSanL;Times New Roman"/>
          <w:i/>
          <w:iCs/>
          <w:sz w:val="20"/>
          <w:szCs w:val="20"/>
          <w:lang w:val="fr-FR" w:eastAsia="fr-FR" w:bidi="ar-SA"/>
        </w:rPr>
        <w:t xml:space="preserve"> qui résulte elle-même du nombre accru d’opérations de maintien de l’ordre depuis la crise des Gilets jaunes</w:t>
      </w:r>
      <w:r>
        <w:rPr>
          <w:rFonts w:ascii="NimbusSanL;Times New Roman" w:eastAsia="Times New Roman" w:hAnsi="NimbusSanL;Times New Roman" w:cs="NimbusSanL;Times New Roman"/>
          <w:sz w:val="20"/>
          <w:szCs w:val="20"/>
          <w:lang w:val="fr-FR" w:eastAsia="fr-FR" w:bidi="ar-SA"/>
        </w:rPr>
        <w:t> »</w:t>
      </w:r>
      <w:r>
        <w:rPr>
          <w:rStyle w:val="FootnoteReference"/>
          <w:rFonts w:ascii="NimbusSanL;Times New Roman" w:eastAsia="Times New Roman" w:hAnsi="NimbusSanL;Times New Roman" w:cs="NimbusSanL;Times New Roman"/>
          <w:sz w:val="20"/>
          <w:szCs w:val="20"/>
          <w:lang w:val="fr-FR" w:eastAsia="fr-FR" w:bidi="ar-SA"/>
        </w:rPr>
        <w:footnoteReference w:id="20"/>
      </w:r>
      <w:r>
        <w:rPr>
          <w:rFonts w:ascii="NimbusSanL;Times New Roman" w:eastAsia="Times New Roman" w:hAnsi="NimbusSanL;Times New Roman" w:cs="NimbusSanL;Times New Roman"/>
          <w:sz w:val="20"/>
          <w:szCs w:val="20"/>
          <w:lang w:val="fr-FR" w:eastAsia="fr-FR" w:bidi="ar-SA"/>
        </w:rPr>
        <w:t>.</w:t>
      </w:r>
    </w:p>
    <w:p w14:paraId="0DDBFE5E" w14:textId="77777777" w:rsidR="00F35929" w:rsidRDefault="00F35929">
      <w:pPr>
        <w:pStyle w:val="Standard"/>
        <w:jc w:val="both"/>
        <w:rPr>
          <w:sz w:val="20"/>
          <w:szCs w:val="20"/>
        </w:rPr>
      </w:pPr>
    </w:p>
    <w:p w14:paraId="4BBA22BB" w14:textId="77777777" w:rsidR="00F35929" w:rsidRDefault="002B5C50">
      <w:pPr>
        <w:pStyle w:val="BodyText"/>
        <w:spacing w:after="0" w:line="240" w:lineRule="auto"/>
        <w:jc w:val="center"/>
        <w:rPr>
          <w:rFonts w:ascii="NimbusSanL;Times New Roman" w:hAnsi="NimbusSanL;Times New Roman" w:cs="NimbusSanL;Times New Roman"/>
          <w:sz w:val="20"/>
          <w:szCs w:val="20"/>
        </w:rPr>
      </w:pPr>
      <w:r>
        <w:rPr>
          <w:rFonts w:ascii="NimbusSanL;Times New Roman" w:hAnsi="NimbusSanL;Times New Roman" w:cs="NimbusSanL;Times New Roman"/>
          <w:noProof/>
          <w:sz w:val="20"/>
          <w:szCs w:val="20"/>
        </w:rPr>
        <w:drawing>
          <wp:inline distT="0" distB="0" distL="0" distR="0" wp14:anchorId="2DA390F7" wp14:editId="76FD17FD">
            <wp:extent cx="3707765" cy="2314575"/>
            <wp:effectExtent l="0" t="0" r="0" b="0"/>
            <wp:docPr id="8"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pic:cNvPicPr>
                      <a:picLocks noChangeAspect="1" noChangeArrowheads="1"/>
                    </pic:cNvPicPr>
                  </pic:nvPicPr>
                  <pic:blipFill>
                    <a:blip r:embed="rId10"/>
                    <a:srcRect l="-125" t="-201" r="-125" b="-201"/>
                    <a:stretch>
                      <a:fillRect/>
                    </a:stretch>
                  </pic:blipFill>
                  <pic:spPr bwMode="auto">
                    <a:xfrm>
                      <a:off x="0" y="0"/>
                      <a:ext cx="3707765" cy="2314575"/>
                    </a:xfrm>
                    <a:prstGeom prst="rect">
                      <a:avLst/>
                    </a:prstGeom>
                  </pic:spPr>
                </pic:pic>
              </a:graphicData>
            </a:graphic>
          </wp:inline>
        </w:drawing>
      </w:r>
    </w:p>
    <w:p w14:paraId="3ED33DD2" w14:textId="77777777" w:rsidR="00F35929" w:rsidRDefault="00F35929">
      <w:pPr>
        <w:pStyle w:val="Standard"/>
        <w:jc w:val="both"/>
        <w:rPr>
          <w:rFonts w:ascii="NimbusSanL;Times New Roman" w:hAnsi="NimbusSanL;Times New Roman" w:cs="NimbusSanL;Times New Roman"/>
          <w:sz w:val="20"/>
          <w:szCs w:val="20"/>
        </w:rPr>
      </w:pPr>
    </w:p>
    <w:p w14:paraId="48F76B9E" w14:textId="77777777" w:rsidR="00F35929" w:rsidRDefault="00F35929">
      <w:pPr>
        <w:jc w:val="both"/>
        <w:rPr>
          <w:rFonts w:ascii="NimbusSanL;Times New Roman" w:hAnsi="NimbusSanL;Times New Roman" w:cs="NimbusSanL;Times New Roman"/>
          <w:sz w:val="20"/>
          <w:szCs w:val="20"/>
        </w:rPr>
      </w:pPr>
    </w:p>
    <w:p w14:paraId="56E86D6E"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Devant l’Assemblée nationale,</w:t>
      </w:r>
      <w:r>
        <w:rPr>
          <w:rFonts w:ascii="NimbusSanL;Times New Roman" w:hAnsi="NimbusSanL;Times New Roman" w:cs="NimbusSanL;Times New Roman"/>
          <w:b/>
          <w:bCs/>
          <w:sz w:val="20"/>
          <w:szCs w:val="20"/>
        </w:rPr>
        <w:t xml:space="preserve"> l’ancienne directrice de l’Inspection évoque « </w:t>
      </w:r>
      <w:r>
        <w:rPr>
          <w:rFonts w:ascii="NimbusSanL;Times New Roman" w:hAnsi="NimbusSanL;Times New Roman" w:cs="NimbusSanL;Times New Roman"/>
          <w:b/>
          <w:bCs/>
          <w:i/>
          <w:iCs/>
          <w:sz w:val="20"/>
          <w:szCs w:val="20"/>
        </w:rPr>
        <w:t xml:space="preserve">un risque de paralysie des agents, au-delà de l’action de l’institution de la police, et un </w:t>
      </w:r>
      <w:r>
        <w:rPr>
          <w:rFonts w:ascii="NimbusSanL;Times New Roman" w:hAnsi="NimbusSanL;Times New Roman" w:cs="NimbusSanL;Times New Roman"/>
          <w:b/>
          <w:bCs/>
          <w:i/>
          <w:iCs/>
          <w:sz w:val="20"/>
          <w:szCs w:val="20"/>
        </w:rPr>
        <w:t>engorgement réel de l’inspection générale</w:t>
      </w:r>
      <w:r>
        <w:rPr>
          <w:rFonts w:ascii="NimbusSanL;Times New Roman" w:hAnsi="NimbusSanL;Times New Roman" w:cs="NimbusSanL;Times New Roman"/>
          <w:b/>
          <w:bCs/>
          <w:sz w:val="20"/>
          <w:szCs w:val="20"/>
        </w:rPr>
        <w:t xml:space="preserve"> »</w:t>
      </w:r>
      <w:r>
        <w:rPr>
          <w:rFonts w:ascii="NimbusSanL;Times New Roman" w:hAnsi="NimbusSanL;Times New Roman" w:cs="NimbusSanL;Times New Roman"/>
          <w:sz w:val="20"/>
          <w:szCs w:val="20"/>
        </w:rPr>
        <w:t xml:space="preserve">. Le ministère de la Justice déplore également cette situation : « </w:t>
      </w:r>
      <w:r>
        <w:rPr>
          <w:rFonts w:ascii="NimbusSanL;Times New Roman" w:hAnsi="NimbusSanL;Times New Roman" w:cs="NimbusSanL;Times New Roman"/>
          <w:i/>
          <w:iCs/>
          <w:sz w:val="20"/>
          <w:szCs w:val="20"/>
        </w:rPr>
        <w:t>Dans un contexte de multiplication des plaintes contre les forces de l’ordre, les services d’enquête compétents sont ainsi soumis à de fortes tensions. Les antennes régionales de l’IGPN, dont la saisine est naturellement privilégiée par les procureurs, sont régulièrement saturées, quand leur éloignement géographique n’est pas un frein à leur action</w:t>
      </w:r>
      <w:r>
        <w:rPr>
          <w:rFonts w:ascii="NimbusSanL;Times New Roman" w:hAnsi="NimbusSanL;Times New Roman" w:cs="NimbusSanL;Times New Roman"/>
          <w:sz w:val="20"/>
          <w:szCs w:val="20"/>
        </w:rPr>
        <w:t xml:space="preserve"> »</w:t>
      </w:r>
      <w:r>
        <w:rPr>
          <w:rStyle w:val="FootnoteReference"/>
          <w:rFonts w:ascii="NimbusSanL;Times New Roman" w:hAnsi="NimbusSanL;Times New Roman" w:cs="NimbusSanL;Times New Roman"/>
          <w:sz w:val="20"/>
          <w:szCs w:val="20"/>
        </w:rPr>
        <w:footnoteReference w:id="21"/>
      </w:r>
      <w:r>
        <w:rPr>
          <w:rFonts w:ascii="NimbusSanL;Times New Roman" w:hAnsi="NimbusSanL;Times New Roman" w:cs="NimbusSanL;Times New Roman"/>
          <w:sz w:val="20"/>
          <w:szCs w:val="20"/>
        </w:rPr>
        <w:t>. Le rapport 2023 de l’Inspection ne fait pas mystère des conséquences de cette situation : « </w:t>
      </w:r>
      <w:r>
        <w:rPr>
          <w:rFonts w:ascii="NimbusSanL;Times New Roman" w:hAnsi="NimbusSanL;Times New Roman" w:cs="NimbusSanL;Times New Roman"/>
          <w:i/>
          <w:iCs/>
          <w:sz w:val="20"/>
          <w:szCs w:val="20"/>
        </w:rPr>
        <w:t>La très légère inflexion quantitative de l’activité de l’IGPN en matière d’enquête judiciaire peut, si elle doit être commentée, trouver une explication dans la situation RH dégradée de délégations d’enquête de l’IGPN en 2023, Marseille en particulier, qui a pu, de manière très ponctuelle, conduire des parquets à saisir d’autres services d’enquête pour des faits de moindre complexité</w:t>
      </w:r>
      <w:r>
        <w:rPr>
          <w:rFonts w:ascii="NimbusSanL;Times New Roman" w:hAnsi="NimbusSanL;Times New Roman" w:cs="NimbusSanL;Times New Roman"/>
          <w:sz w:val="20"/>
          <w:szCs w:val="20"/>
        </w:rPr>
        <w:t> ».</w:t>
      </w:r>
    </w:p>
    <w:p w14:paraId="2DBAF76B" w14:textId="77777777" w:rsidR="00F35929" w:rsidRDefault="00F35929">
      <w:pPr>
        <w:rPr>
          <w:rFonts w:ascii="NimbusSanL;Times New Roman" w:hAnsi="NimbusSanL;Times New Roman" w:cs="NimbusSanL;Times New Roman"/>
          <w:sz w:val="20"/>
          <w:szCs w:val="20"/>
        </w:rPr>
      </w:pPr>
    </w:p>
    <w:p w14:paraId="78B29145" w14:textId="77777777" w:rsidR="00F35929" w:rsidRDefault="002B5C50">
      <w:pPr>
        <w:pStyle w:val="BodyText"/>
        <w:spacing w:after="0" w:line="240" w:lineRule="auto"/>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D’année en année, l’IGPN fait donc le choix d’orienter une part grandissante des enquêtes vers des services qui présentent moins de garanties d’indépendance encore </w:t>
      </w:r>
      <w:r>
        <w:rPr>
          <w:rFonts w:ascii="NimbusSanL;Times New Roman" w:hAnsi="NimbusSanL;Times New Roman" w:cs="NimbusSanL;Times New Roman"/>
          <w:b/>
          <w:bCs/>
          <w:sz w:val="20"/>
          <w:szCs w:val="20"/>
        </w:rPr>
        <w:t>(</w:t>
      </w:r>
      <w:proofErr w:type="spellStart"/>
      <w:r>
        <w:rPr>
          <w:rFonts w:ascii="NimbusSanL;Times New Roman" w:hAnsi="NimbusSanL;Times New Roman" w:cs="NimbusSanL;Times New Roman"/>
          <w:b/>
          <w:bCs/>
          <w:sz w:val="20"/>
          <w:szCs w:val="20"/>
        </w:rPr>
        <w:t>cf</w:t>
      </w:r>
      <w:proofErr w:type="spellEnd"/>
      <w:r>
        <w:rPr>
          <w:rFonts w:ascii="NimbusSanL;Times New Roman" w:hAnsi="NimbusSanL;Times New Roman" w:cs="NimbusSanL;Times New Roman"/>
          <w:b/>
          <w:bCs/>
          <w:sz w:val="20"/>
          <w:szCs w:val="20"/>
        </w:rPr>
        <w:t xml:space="preserve"> infra n°II.4)</w:t>
      </w:r>
      <w:r>
        <w:rPr>
          <w:rFonts w:ascii="NimbusSanL;Times New Roman" w:hAnsi="NimbusSanL;Times New Roman" w:cs="NimbusSanL;Times New Roman"/>
          <w:sz w:val="20"/>
          <w:szCs w:val="20"/>
        </w:rPr>
        <w:t xml:space="preserve">. </w:t>
      </w:r>
    </w:p>
    <w:p w14:paraId="757BF641" w14:textId="77777777" w:rsidR="00F35929" w:rsidRDefault="00F35929">
      <w:pPr>
        <w:pStyle w:val="BodyText"/>
        <w:spacing w:after="0" w:line="240" w:lineRule="auto"/>
        <w:rPr>
          <w:rFonts w:ascii="NimbusSanL;Times New Roman" w:hAnsi="NimbusSanL;Times New Roman" w:cs="NimbusSanL;Times New Roman"/>
          <w:sz w:val="20"/>
          <w:szCs w:val="20"/>
        </w:rPr>
      </w:pPr>
    </w:p>
    <w:p w14:paraId="2FA314EC" w14:textId="77777777" w:rsidR="00F35929" w:rsidRDefault="00F35929">
      <w:pPr>
        <w:pStyle w:val="BodyText"/>
        <w:spacing w:after="0" w:line="240" w:lineRule="auto"/>
        <w:rPr>
          <w:rFonts w:ascii="NimbusSanL;Times New Roman" w:hAnsi="NimbusSanL;Times New Roman" w:cs="NimbusSanL;Times New Roman"/>
          <w:sz w:val="20"/>
          <w:szCs w:val="20"/>
        </w:rPr>
      </w:pPr>
    </w:p>
    <w:p w14:paraId="1E667E93" w14:textId="77777777" w:rsidR="00F35929" w:rsidRDefault="00F35929">
      <w:pPr>
        <w:jc w:val="both"/>
        <w:rPr>
          <w:rFonts w:ascii="NimbusSanL;Times New Roman" w:hAnsi="NimbusSanL;Times New Roman" w:cs="NimbusSanL;Times New Roman"/>
          <w:sz w:val="20"/>
          <w:szCs w:val="20"/>
        </w:rPr>
      </w:pPr>
    </w:p>
    <w:p w14:paraId="5D1282E6"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b/>
          <w:bCs/>
          <w:sz w:val="20"/>
          <w:szCs w:val="20"/>
        </w:rPr>
        <w:t>I.4. Des réformes envisagées, qui n’ont jamais vu le jour</w:t>
      </w:r>
    </w:p>
    <w:p w14:paraId="2A34A5EC" w14:textId="77777777" w:rsidR="00F35929" w:rsidRDefault="00F35929">
      <w:pPr>
        <w:jc w:val="both"/>
        <w:rPr>
          <w:rFonts w:ascii="NimbusSanL;Times New Roman" w:hAnsi="NimbusSanL;Times New Roman" w:cs="NimbusSanL;Times New Roman"/>
          <w:sz w:val="20"/>
          <w:szCs w:val="20"/>
        </w:rPr>
      </w:pPr>
    </w:p>
    <w:p w14:paraId="40CE0595"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Pour remédier à la crise de légitimité que traverse l’IGPN, tant vis-à-vis de </w:t>
      </w:r>
      <w:r>
        <w:rPr>
          <w:rFonts w:ascii="NimbusSanL;Times New Roman" w:hAnsi="NimbusSanL;Times New Roman" w:cs="NimbusSanL;Times New Roman"/>
          <w:sz w:val="20"/>
          <w:szCs w:val="20"/>
        </w:rPr>
        <w:t>public qu’en interne, et mettre en place un organe d’enquête plus indépendant, les propositions ne manquent pas. La CNCDH, à l’unisson de nombreux observateurs, rappelle que «</w:t>
      </w:r>
      <w:r>
        <w:rPr>
          <w:rFonts w:ascii="NimbusSanL;Times New Roman" w:hAnsi="NimbusSanL;Times New Roman" w:cs="NimbusSanL;Times New Roman"/>
          <w:i/>
          <w:sz w:val="20"/>
          <w:szCs w:val="20"/>
        </w:rPr>
        <w:t> l’expérience de l’</w:t>
      </w:r>
      <w:proofErr w:type="spellStart"/>
      <w:r>
        <w:rPr>
          <w:rFonts w:ascii="NimbusSanL;Times New Roman" w:hAnsi="NimbusSanL;Times New Roman" w:cs="NimbusSanL;Times New Roman"/>
          <w:i/>
          <w:sz w:val="20"/>
          <w:szCs w:val="20"/>
        </w:rPr>
        <w:t>Independant</w:t>
      </w:r>
      <w:proofErr w:type="spellEnd"/>
      <w:r>
        <w:rPr>
          <w:rFonts w:ascii="NimbusSanL;Times New Roman" w:hAnsi="NimbusSanL;Times New Roman" w:cs="NimbusSanL;Times New Roman"/>
          <w:i/>
          <w:sz w:val="20"/>
          <w:szCs w:val="20"/>
        </w:rPr>
        <w:t xml:space="preserve"> Office for Police </w:t>
      </w:r>
      <w:proofErr w:type="spellStart"/>
      <w:r>
        <w:rPr>
          <w:rFonts w:ascii="NimbusSanL;Times New Roman" w:hAnsi="NimbusSanL;Times New Roman" w:cs="NimbusSanL;Times New Roman"/>
          <w:i/>
          <w:sz w:val="20"/>
          <w:szCs w:val="20"/>
        </w:rPr>
        <w:t>Conduct</w:t>
      </w:r>
      <w:proofErr w:type="spellEnd"/>
      <w:r>
        <w:rPr>
          <w:rFonts w:ascii="NimbusSanL;Times New Roman" w:hAnsi="NimbusSanL;Times New Roman" w:cs="NimbusSanL;Times New Roman"/>
          <w:i/>
          <w:sz w:val="20"/>
          <w:szCs w:val="20"/>
        </w:rPr>
        <w:t xml:space="preserve"> au Royaume-Uni a </w:t>
      </w:r>
      <w:r>
        <w:rPr>
          <w:rFonts w:ascii="NimbusSanL;Times New Roman" w:hAnsi="NimbusSanL;Times New Roman" w:cs="NimbusSanL;Times New Roman"/>
          <w:i/>
          <w:sz w:val="20"/>
          <w:szCs w:val="20"/>
        </w:rPr>
        <w:lastRenderedPageBreak/>
        <w:t>démontré qu’il est possible de former et faire fonctionner un corps d’enquêteurs n’appartenant pas à la police </w:t>
      </w:r>
      <w:r>
        <w:rPr>
          <w:rFonts w:ascii="NimbusSanL;Times New Roman" w:hAnsi="NimbusSanL;Times New Roman" w:cs="NimbusSanL;Times New Roman"/>
          <w:sz w:val="20"/>
          <w:szCs w:val="20"/>
        </w:rPr>
        <w:t>»</w:t>
      </w:r>
      <w:r>
        <w:rPr>
          <w:rStyle w:val="FootnoteReference"/>
          <w:rFonts w:ascii="NimbusSanL;Times New Roman" w:hAnsi="NimbusSanL;Times New Roman" w:cs="NimbusSanL;Times New Roman"/>
          <w:sz w:val="20"/>
          <w:szCs w:val="20"/>
        </w:rPr>
        <w:footnoteReference w:id="22"/>
      </w:r>
      <w:r>
        <w:rPr>
          <w:rFonts w:ascii="NimbusSanL;Times New Roman" w:hAnsi="NimbusSanL;Times New Roman" w:cs="NimbusSanL;Times New Roman"/>
          <w:sz w:val="20"/>
          <w:szCs w:val="20"/>
        </w:rPr>
        <w:t>. La Commission recommande la création «</w:t>
      </w:r>
      <w:r>
        <w:rPr>
          <w:rFonts w:ascii="NimbusSanL;Times New Roman" w:hAnsi="NimbusSanL;Times New Roman" w:cs="NimbusSanL;Times New Roman"/>
          <w:i/>
          <w:sz w:val="20"/>
          <w:szCs w:val="20"/>
        </w:rPr>
        <w:t> d’un corps d’inspection ad hoc, composé d’officiers de police judiciaire spécialement dédiés à ces enquêtes, dotés d’un statut les soustrayant à l’autorité du ministère de l’Intérieur, entièrement rattachés au ministère de la Justice </w:t>
      </w:r>
      <w:r>
        <w:rPr>
          <w:rFonts w:ascii="NimbusSanL;Times New Roman" w:hAnsi="NimbusSanL;Times New Roman" w:cs="NimbusSanL;Times New Roman"/>
          <w:sz w:val="20"/>
          <w:szCs w:val="20"/>
        </w:rPr>
        <w:t>». A défaut, elle préconise notamment « </w:t>
      </w:r>
      <w:r>
        <w:rPr>
          <w:rFonts w:ascii="NimbusSanL;Times New Roman" w:hAnsi="NimbusSanL;Times New Roman" w:cs="NimbusSanL;Times New Roman"/>
          <w:i/>
          <w:sz w:val="20"/>
          <w:szCs w:val="20"/>
        </w:rPr>
        <w:t>la création, au sein de chacune des inspections, d’un organe collégial en charge de la supervision des enquêtes, compétent pour décider des suites à y donner. Cet organe collégial devrait être comp</w:t>
      </w:r>
      <w:r>
        <w:rPr>
          <w:rFonts w:ascii="NimbusSanL;Times New Roman" w:hAnsi="NimbusSanL;Times New Roman" w:cs="NimbusSanL;Times New Roman"/>
          <w:i/>
          <w:sz w:val="20"/>
          <w:szCs w:val="20"/>
        </w:rPr>
        <w:t>osé majoritairement de personnalités extérieures au ministère de l’Intérieur </w:t>
      </w:r>
      <w:r>
        <w:rPr>
          <w:rFonts w:ascii="NimbusSanL;Times New Roman" w:hAnsi="NimbusSanL;Times New Roman" w:cs="NimbusSanL;Times New Roman"/>
          <w:sz w:val="20"/>
          <w:szCs w:val="20"/>
        </w:rPr>
        <w:t>»</w:t>
      </w:r>
      <w:r>
        <w:rPr>
          <w:rStyle w:val="FootnoteReference"/>
          <w:rFonts w:ascii="NimbusSanL;Times New Roman" w:hAnsi="NimbusSanL;Times New Roman" w:cs="NimbusSanL;Times New Roman"/>
          <w:sz w:val="20"/>
          <w:szCs w:val="20"/>
        </w:rPr>
        <w:footnoteReference w:id="23"/>
      </w:r>
      <w:r>
        <w:rPr>
          <w:rFonts w:ascii="NimbusSanL;Times New Roman" w:hAnsi="NimbusSanL;Times New Roman" w:cs="NimbusSanL;Times New Roman"/>
          <w:i/>
          <w:sz w:val="20"/>
          <w:szCs w:val="20"/>
        </w:rPr>
        <w:t>.</w:t>
      </w:r>
    </w:p>
    <w:p w14:paraId="3AB8FD78" w14:textId="77777777" w:rsidR="00F35929" w:rsidRDefault="00F35929">
      <w:pPr>
        <w:jc w:val="both"/>
        <w:rPr>
          <w:rFonts w:ascii="NimbusSanL;Times New Roman" w:hAnsi="NimbusSanL;Times New Roman" w:cs="NimbusSanL;Times New Roman"/>
          <w:sz w:val="20"/>
          <w:szCs w:val="20"/>
        </w:rPr>
      </w:pPr>
    </w:p>
    <w:p w14:paraId="65E0C45A" w14:textId="77777777" w:rsidR="00F35929" w:rsidRDefault="002B5C50">
      <w:pPr>
        <w:pStyle w:val="Standard"/>
        <w:jc w:val="both"/>
        <w:rPr>
          <w:rFonts w:ascii="NimbusSanL;Times New Roman" w:hAnsi="NimbusSanL;Times New Roman" w:cs="NimbusSanL;Times New Roman"/>
          <w:sz w:val="20"/>
          <w:szCs w:val="20"/>
        </w:rPr>
      </w:pPr>
      <w:r>
        <w:rPr>
          <w:rFonts w:ascii="NimbusSanL;Times New Roman" w:eastAsia="Times New Roman" w:hAnsi="NimbusSanL;Times New Roman" w:cs="NimbusSanL;Times New Roman"/>
          <w:bCs/>
          <w:sz w:val="20"/>
          <w:szCs w:val="20"/>
          <w:lang w:val="fr-FR" w:eastAsia="fr-FR" w:bidi="ar-SA"/>
        </w:rPr>
        <w:t xml:space="preserve">Le CNB recommande notamment de </w:t>
      </w:r>
      <w:r>
        <w:rPr>
          <w:rFonts w:ascii="NimbusSanL;Times New Roman" w:eastAsia="Times New Roman" w:hAnsi="NimbusSanL;Times New Roman" w:cs="NimbusSanL;Times New Roman"/>
          <w:bCs/>
          <w:sz w:val="20"/>
          <w:szCs w:val="20"/>
          <w:lang w:val="fr-FR" w:eastAsia="fr-FR" w:bidi="ar-SA"/>
        </w:rPr>
        <w:t>« </w:t>
      </w:r>
      <w:r>
        <w:rPr>
          <w:rFonts w:ascii="NimbusSanL;Times New Roman" w:eastAsia="Times New Roman" w:hAnsi="NimbusSanL;Times New Roman" w:cs="NimbusSanL;Times New Roman"/>
          <w:bCs/>
          <w:i/>
          <w:sz w:val="20"/>
          <w:szCs w:val="20"/>
          <w:lang w:val="fr-FR" w:eastAsia="fr-FR" w:bidi="ar-SA"/>
        </w:rPr>
        <w:t xml:space="preserve">supprimer le lien </w:t>
      </w:r>
      <w:r>
        <w:rPr>
          <w:rFonts w:ascii="NimbusSanL;Times New Roman" w:eastAsia="Times New Roman" w:hAnsi="NimbusSanL;Times New Roman" w:cs="NimbusSanL;Times New Roman"/>
          <w:bCs/>
          <w:i/>
          <w:sz w:val="20"/>
          <w:szCs w:val="20"/>
          <w:lang w:val="fr-FR" w:eastAsia="fr-FR" w:bidi="ar-SA"/>
        </w:rPr>
        <w:t>hiérarchique entre l’IGPN et la DGPN </w:t>
      </w:r>
      <w:r>
        <w:rPr>
          <w:rFonts w:ascii="NimbusSanL;Times New Roman" w:eastAsia="Times New Roman" w:hAnsi="NimbusSanL;Times New Roman" w:cs="NimbusSanL;Times New Roman"/>
          <w:bCs/>
          <w:sz w:val="20"/>
          <w:szCs w:val="20"/>
          <w:lang w:val="fr-FR" w:eastAsia="fr-FR" w:bidi="ar-SA"/>
        </w:rPr>
        <w:t>» et de « </w:t>
      </w:r>
      <w:r>
        <w:rPr>
          <w:rFonts w:ascii="NimbusSanL;Times New Roman" w:eastAsia="Times New Roman" w:hAnsi="NimbusSanL;Times New Roman" w:cs="NimbusSanL;Times New Roman"/>
          <w:bCs/>
          <w:i/>
          <w:sz w:val="20"/>
          <w:szCs w:val="20"/>
          <w:lang w:val="fr-FR" w:eastAsia="fr-FR" w:bidi="ar-SA"/>
        </w:rPr>
        <w:t>prévoir que la nomination du chef de l’IGPN soit d’origine parlementaire, éventuellement sur proposition du ministre de l’Intérieur, pour une durée déterminée </w:t>
      </w:r>
      <w:r>
        <w:rPr>
          <w:rFonts w:ascii="NimbusSanL;Times New Roman" w:eastAsia="Times New Roman" w:hAnsi="NimbusSanL;Times New Roman" w:cs="NimbusSanL;Times New Roman"/>
          <w:bCs/>
          <w:sz w:val="20"/>
          <w:szCs w:val="20"/>
          <w:lang w:val="fr-FR" w:eastAsia="fr-FR" w:bidi="ar-SA"/>
        </w:rPr>
        <w:t>»</w:t>
      </w:r>
      <w:r>
        <w:rPr>
          <w:rFonts w:ascii="NimbusSanL;Times New Roman" w:eastAsia="Times New Roman" w:hAnsi="NimbusSanL;Times New Roman" w:cs="NimbusSanL;Times New Roman"/>
          <w:bCs/>
          <w:i/>
          <w:sz w:val="20"/>
          <w:szCs w:val="20"/>
          <w:lang w:val="fr-FR" w:eastAsia="fr-FR" w:bidi="ar-SA"/>
        </w:rPr>
        <w:t xml:space="preserve">. </w:t>
      </w:r>
      <w:r>
        <w:rPr>
          <w:rFonts w:ascii="NimbusSanL;Times New Roman" w:eastAsia="Times New Roman" w:hAnsi="NimbusSanL;Times New Roman" w:cs="NimbusSanL;Times New Roman"/>
          <w:bCs/>
          <w:sz w:val="20"/>
          <w:szCs w:val="20"/>
          <w:lang w:val="fr-FR" w:eastAsia="fr-FR" w:bidi="ar-SA"/>
        </w:rPr>
        <w:t>La mission d’enquête de l’Assemblée nationale conclut également à la nécessité de « </w:t>
      </w:r>
      <w:r>
        <w:rPr>
          <w:rFonts w:ascii="NimbusSanL;Times New Roman" w:eastAsia="Times New Roman" w:hAnsi="NimbusSanL;Times New Roman" w:cs="NimbusSanL;Times New Roman"/>
          <w:bCs/>
          <w:i/>
          <w:sz w:val="20"/>
          <w:szCs w:val="20"/>
          <w:lang w:val="fr-FR" w:eastAsia="fr-FR" w:bidi="ar-SA"/>
        </w:rPr>
        <w:t>supprimer la tutelle administrative de la DGPN [...] sur l’IGPN […] en rattachant directement les inspections générales au ministre de l'Intérieur </w:t>
      </w:r>
      <w:r>
        <w:rPr>
          <w:rFonts w:ascii="NimbusSanL;Times New Roman" w:eastAsia="Times New Roman" w:hAnsi="NimbusSanL;Times New Roman" w:cs="NimbusSanL;Times New Roman"/>
          <w:bCs/>
          <w:sz w:val="20"/>
          <w:szCs w:val="20"/>
          <w:lang w:val="fr-FR" w:eastAsia="fr-FR" w:bidi="ar-SA"/>
        </w:rPr>
        <w:t>».</w:t>
      </w:r>
      <w:r>
        <w:rPr>
          <w:rFonts w:ascii="NimbusSanL;Times New Roman" w:eastAsia="Times New Roman" w:hAnsi="NimbusSanL;Times New Roman" w:cs="NimbusSanL;Times New Roman"/>
          <w:bCs/>
          <w:i/>
          <w:sz w:val="20"/>
          <w:szCs w:val="20"/>
          <w:lang w:val="fr-FR" w:eastAsia="fr-FR" w:bidi="ar-SA"/>
        </w:rPr>
        <w:t xml:space="preserve"> </w:t>
      </w:r>
      <w:r>
        <w:rPr>
          <w:rFonts w:ascii="NimbusSanL;Times New Roman" w:eastAsia="Times New Roman" w:hAnsi="NimbusSanL;Times New Roman" w:cs="NimbusSanL;Times New Roman"/>
          <w:bCs/>
          <w:sz w:val="20"/>
          <w:szCs w:val="20"/>
          <w:lang w:val="fr-FR" w:eastAsia="fr-FR" w:bidi="ar-SA"/>
        </w:rPr>
        <w:t>Sans attendre les conclusions de ce dernier rapport, le pouvoir polit</w:t>
      </w:r>
      <w:r>
        <w:rPr>
          <w:rFonts w:ascii="NimbusSanL;Times New Roman" w:eastAsia="Times New Roman" w:hAnsi="NimbusSanL;Times New Roman" w:cs="NimbusSanL;Times New Roman"/>
          <w:bCs/>
          <w:sz w:val="20"/>
          <w:szCs w:val="20"/>
          <w:lang w:val="fr-FR" w:eastAsia="fr-FR" w:bidi="ar-SA"/>
        </w:rPr>
        <w:t xml:space="preserve">ique semble, un temps, avoir pris la mesure du problème. </w:t>
      </w:r>
      <w:r>
        <w:rPr>
          <w:rFonts w:ascii="NimbusSanL;Times New Roman" w:eastAsia="Times New Roman" w:hAnsi="NimbusSanL;Times New Roman" w:cs="NimbusSanL;Times New Roman"/>
          <w:b/>
          <w:bCs/>
          <w:sz w:val="20"/>
          <w:szCs w:val="20"/>
          <w:lang w:val="fr-FR" w:eastAsia="fr-FR" w:bidi="ar-SA"/>
        </w:rPr>
        <w:t xml:space="preserve">En juin 2020, le ministre de l’Intérieur Christophe </w:t>
      </w:r>
      <w:proofErr w:type="spellStart"/>
      <w:r>
        <w:rPr>
          <w:rFonts w:ascii="NimbusSanL;Times New Roman" w:eastAsia="Times New Roman" w:hAnsi="NimbusSanL;Times New Roman" w:cs="NimbusSanL;Times New Roman"/>
          <w:b/>
          <w:bCs/>
          <w:sz w:val="20"/>
          <w:szCs w:val="20"/>
          <w:lang w:val="fr-FR" w:eastAsia="fr-FR" w:bidi="ar-SA"/>
        </w:rPr>
        <w:t>Castaner</w:t>
      </w:r>
      <w:proofErr w:type="spellEnd"/>
      <w:r>
        <w:rPr>
          <w:rFonts w:ascii="NimbusSanL;Times New Roman" w:eastAsia="Times New Roman" w:hAnsi="NimbusSanL;Times New Roman" w:cs="NimbusSanL;Times New Roman"/>
          <w:b/>
          <w:bCs/>
          <w:sz w:val="20"/>
          <w:szCs w:val="20"/>
          <w:lang w:val="fr-FR" w:eastAsia="fr-FR" w:bidi="ar-SA"/>
        </w:rPr>
        <w:t>, annonce « </w:t>
      </w:r>
      <w:r>
        <w:rPr>
          <w:rFonts w:ascii="NimbusSanL;Times New Roman" w:eastAsia="Times New Roman" w:hAnsi="NimbusSanL;Times New Roman" w:cs="NimbusSanL;Times New Roman"/>
          <w:b/>
          <w:bCs/>
          <w:i/>
          <w:iCs/>
          <w:sz w:val="20"/>
          <w:szCs w:val="20"/>
          <w:lang w:val="fr-FR" w:eastAsia="fr-FR" w:bidi="ar-SA"/>
        </w:rPr>
        <w:t>une réforme en profondeur des inspections du ministère de l'Intérieur</w:t>
      </w:r>
      <w:r>
        <w:rPr>
          <w:rFonts w:ascii="NimbusSanL;Times New Roman" w:eastAsia="Times New Roman" w:hAnsi="NimbusSanL;Times New Roman" w:cs="NimbusSanL;Times New Roman"/>
          <w:b/>
          <w:bCs/>
          <w:sz w:val="20"/>
          <w:szCs w:val="20"/>
          <w:lang w:val="fr-FR" w:eastAsia="fr-FR" w:bidi="ar-SA"/>
        </w:rPr>
        <w:t> », qui « </w:t>
      </w:r>
      <w:r>
        <w:rPr>
          <w:rFonts w:ascii="NimbusSanL;Times New Roman" w:eastAsia="Times New Roman" w:hAnsi="NimbusSanL;Times New Roman" w:cs="NimbusSanL;Times New Roman"/>
          <w:b/>
          <w:bCs/>
          <w:i/>
          <w:iCs/>
          <w:sz w:val="20"/>
          <w:szCs w:val="20"/>
          <w:lang w:val="fr-FR" w:eastAsia="fr-FR" w:bidi="ar-SA"/>
        </w:rPr>
        <w:t>devra permettre plus de cohérence, plus de collégialité entre ses inspections et surtout plus d'indépendance dans leur action vis-à-vis des services</w:t>
      </w:r>
      <w:r>
        <w:rPr>
          <w:rFonts w:ascii="NimbusSanL;Times New Roman" w:eastAsia="Times New Roman" w:hAnsi="NimbusSanL;Times New Roman" w:cs="NimbusSanL;Times New Roman"/>
          <w:b/>
          <w:bCs/>
          <w:sz w:val="20"/>
          <w:szCs w:val="20"/>
          <w:lang w:val="fr-FR" w:eastAsia="fr-FR" w:bidi="ar-SA"/>
        </w:rPr>
        <w:t> »</w:t>
      </w:r>
      <w:r>
        <w:rPr>
          <w:rStyle w:val="FootnoteReference"/>
          <w:rFonts w:ascii="NimbusSanL;Times New Roman" w:eastAsia="Times New Roman" w:hAnsi="NimbusSanL;Times New Roman" w:cs="NimbusSanL;Times New Roman"/>
          <w:bCs/>
          <w:sz w:val="20"/>
          <w:szCs w:val="20"/>
          <w:lang w:val="fr-FR" w:eastAsia="fr-FR" w:bidi="ar-SA"/>
        </w:rPr>
        <w:footnoteReference w:id="24"/>
      </w:r>
      <w:r>
        <w:rPr>
          <w:rFonts w:ascii="NimbusSanL;Times New Roman" w:eastAsia="Times New Roman" w:hAnsi="NimbusSanL;Times New Roman" w:cs="NimbusSanL;Times New Roman"/>
          <w:bCs/>
          <w:sz w:val="20"/>
          <w:szCs w:val="20"/>
          <w:lang w:val="fr-FR" w:eastAsia="fr-FR" w:bidi="ar-SA"/>
        </w:rPr>
        <w:t>. Le ministre sera remplacé moins d’un mois plus tard par Gérald Darmanin.</w:t>
      </w:r>
    </w:p>
    <w:p w14:paraId="7AD98FC7" w14:textId="77777777" w:rsidR="00F35929" w:rsidRDefault="00F35929">
      <w:pPr>
        <w:pStyle w:val="Standard"/>
        <w:jc w:val="both"/>
        <w:rPr>
          <w:rFonts w:ascii="NimbusSanL;Times New Roman" w:hAnsi="NimbusSanL;Times New Roman" w:cs="NimbusSanL;Times New Roman"/>
          <w:sz w:val="20"/>
          <w:szCs w:val="20"/>
        </w:rPr>
      </w:pPr>
    </w:p>
    <w:p w14:paraId="076DB264" w14:textId="77777777" w:rsidR="00F35929" w:rsidRDefault="002B5C50">
      <w:pPr>
        <w:pStyle w:val="Standard"/>
        <w:jc w:val="both"/>
        <w:rPr>
          <w:rFonts w:ascii="NimbusSanL;Times New Roman" w:hAnsi="NimbusSanL;Times New Roman" w:cs="NimbusSanL;Times New Roman"/>
          <w:sz w:val="20"/>
          <w:szCs w:val="20"/>
        </w:rPr>
      </w:pPr>
      <w:r>
        <w:rPr>
          <w:rFonts w:ascii="NimbusSanL;Times New Roman" w:eastAsia="Times New Roman" w:hAnsi="NimbusSanL;Times New Roman" w:cs="NimbusSanL;Times New Roman"/>
          <w:bCs/>
          <w:sz w:val="20"/>
          <w:szCs w:val="20"/>
          <w:lang w:val="fr-FR" w:eastAsia="fr-FR" w:bidi="ar-SA"/>
        </w:rPr>
        <w:t xml:space="preserve">En novembre 2020, ce dernier affirme devant la commission des lois de l’Assemblée nationale être </w:t>
      </w:r>
      <w:r>
        <w:rPr>
          <w:rStyle w:val="Emphasis"/>
          <w:rFonts w:ascii="NimbusSanL;Times New Roman" w:hAnsi="NimbusSanL;Times New Roman" w:cs="NimbusSanL;Times New Roman"/>
          <w:i w:val="0"/>
          <w:sz w:val="20"/>
          <w:szCs w:val="20"/>
        </w:rPr>
        <w:t>«</w:t>
      </w:r>
      <w:r>
        <w:rPr>
          <w:rStyle w:val="Emphasis"/>
          <w:rFonts w:ascii="NimbusSanL;Times New Roman" w:hAnsi="NimbusSanL;Times New Roman" w:cs="NimbusSanL;Times New Roman"/>
          <w:sz w:val="20"/>
          <w:szCs w:val="20"/>
        </w:rPr>
        <w:t> prêt à tout étudier </w:t>
      </w:r>
      <w:r>
        <w:rPr>
          <w:rStyle w:val="Emphasis"/>
          <w:rFonts w:ascii="NimbusSanL;Times New Roman" w:hAnsi="NimbusSanL;Times New Roman" w:cs="NimbusSanL;Times New Roman"/>
          <w:i w:val="0"/>
          <w:sz w:val="20"/>
          <w:szCs w:val="20"/>
        </w:rPr>
        <w:t>»</w:t>
      </w:r>
      <w:r>
        <w:rPr>
          <w:rFonts w:ascii="NimbusSanL;Times New Roman" w:hAnsi="NimbusSanL;Times New Roman" w:cs="NimbusSanL;Times New Roman"/>
          <w:i/>
          <w:sz w:val="20"/>
          <w:szCs w:val="20"/>
        </w:rPr>
        <w:t xml:space="preserve"> </w:t>
      </w:r>
      <w:r>
        <w:rPr>
          <w:rFonts w:ascii="NimbusSanL;Times New Roman" w:hAnsi="NimbusSanL;Times New Roman" w:cs="NimbusSanL;Times New Roman"/>
          <w:sz w:val="20"/>
          <w:szCs w:val="20"/>
        </w:rPr>
        <w:t>concernant la refonte de l’IGPN</w:t>
      </w:r>
      <w:r>
        <w:rPr>
          <w:rStyle w:val="FootnoteReference"/>
          <w:rFonts w:ascii="NimbusSanL;Times New Roman" w:eastAsia="Times New Roman" w:hAnsi="NimbusSanL;Times New Roman" w:cs="NimbusSanL;Times New Roman"/>
          <w:bCs/>
          <w:sz w:val="20"/>
          <w:szCs w:val="20"/>
          <w:lang w:val="fr-FR" w:eastAsia="fr-FR" w:bidi="ar-SA"/>
        </w:rPr>
        <w:footnoteReference w:id="25"/>
      </w:r>
      <w:r>
        <w:rPr>
          <w:rFonts w:ascii="NimbusSanL;Times New Roman" w:eastAsia="Times New Roman" w:hAnsi="NimbusSanL;Times New Roman" w:cs="NimbusSanL;Times New Roman"/>
          <w:bCs/>
          <w:sz w:val="20"/>
          <w:szCs w:val="20"/>
          <w:lang w:val="fr-FR" w:eastAsia="fr-FR" w:bidi="ar-SA"/>
        </w:rPr>
        <w:t>. Mais bien vite, alors que sept français sur dix estiment qu’une réforme s’impose</w:t>
      </w:r>
      <w:r>
        <w:rPr>
          <w:rStyle w:val="FootnoteReference"/>
          <w:rFonts w:ascii="NimbusSanL;Times New Roman" w:eastAsia="Times New Roman" w:hAnsi="NimbusSanL;Times New Roman" w:cs="NimbusSanL;Times New Roman"/>
          <w:bCs/>
          <w:sz w:val="20"/>
          <w:szCs w:val="20"/>
          <w:lang w:val="fr-FR" w:eastAsia="fr-FR" w:bidi="ar-SA"/>
        </w:rPr>
        <w:footnoteReference w:id="26"/>
      </w:r>
      <w:r>
        <w:rPr>
          <w:rFonts w:ascii="NimbusSanL;Times New Roman" w:eastAsia="Times New Roman" w:hAnsi="NimbusSanL;Times New Roman" w:cs="NimbusSanL;Times New Roman"/>
          <w:bCs/>
          <w:sz w:val="20"/>
          <w:szCs w:val="20"/>
          <w:lang w:val="fr-FR" w:eastAsia="fr-FR" w:bidi="ar-SA"/>
        </w:rPr>
        <w:t xml:space="preserve">, une retouche a minima est mise en avant par le premier ministre : la direction de </w:t>
      </w:r>
      <w:r>
        <w:rPr>
          <w:rFonts w:ascii="NimbusSanL;Times New Roman" w:eastAsia="Times New Roman" w:hAnsi="NimbusSanL;Times New Roman" w:cs="NimbusSanL;Times New Roman"/>
          <w:bCs/>
          <w:sz w:val="20"/>
          <w:szCs w:val="20"/>
          <w:lang w:val="fr-FR" w:eastAsia="fr-FR" w:bidi="ar-SA"/>
        </w:rPr>
        <w:t>l’Inspection par une personnalité extérieure</w:t>
      </w:r>
      <w:r>
        <w:rPr>
          <w:rStyle w:val="FootnoteReference"/>
          <w:rFonts w:ascii="NimbusSanL;Times New Roman" w:eastAsia="Times New Roman" w:hAnsi="NimbusSanL;Times New Roman" w:cs="NimbusSanL;Times New Roman"/>
          <w:bCs/>
          <w:sz w:val="20"/>
          <w:szCs w:val="20"/>
          <w:lang w:val="fr-FR" w:eastAsia="fr-FR" w:bidi="ar-SA"/>
        </w:rPr>
        <w:footnoteReference w:id="27"/>
      </w:r>
      <w:r>
        <w:rPr>
          <w:rFonts w:ascii="NimbusSanL;Times New Roman" w:eastAsia="Times New Roman" w:hAnsi="NimbusSanL;Times New Roman" w:cs="NimbusSanL;Times New Roman"/>
          <w:bCs/>
          <w:sz w:val="20"/>
          <w:szCs w:val="20"/>
          <w:lang w:val="fr-FR" w:eastAsia="fr-FR" w:bidi="ar-SA"/>
        </w:rPr>
        <w:t>. En septembre 2021, dans le cadre du Beauvau de la sécurité, le ministre de l’Intérieur confirme d’ailleurs qu’il n’envisage pas de détacher les deux inspections des directions générales de la police et de la gendarmerie</w:t>
      </w:r>
      <w:r>
        <w:rPr>
          <w:rStyle w:val="FootnoteReference"/>
          <w:rFonts w:ascii="NimbusSanL;Times New Roman" w:eastAsia="Times New Roman" w:hAnsi="NimbusSanL;Times New Roman" w:cs="NimbusSanL;Times New Roman"/>
          <w:bCs/>
          <w:sz w:val="20"/>
          <w:szCs w:val="20"/>
          <w:lang w:val="fr-FR" w:eastAsia="fr-FR" w:bidi="ar-SA"/>
        </w:rPr>
        <w:footnoteReference w:id="28"/>
      </w:r>
      <w:r>
        <w:rPr>
          <w:rFonts w:ascii="NimbusSanL;Times New Roman" w:eastAsia="Times New Roman" w:hAnsi="NimbusSanL;Times New Roman" w:cs="NimbusSanL;Times New Roman"/>
          <w:bCs/>
          <w:sz w:val="20"/>
          <w:szCs w:val="20"/>
          <w:lang w:val="fr-FR" w:eastAsia="fr-FR" w:bidi="ar-SA"/>
        </w:rPr>
        <w:t xml:space="preserve">. </w:t>
      </w:r>
      <w:r>
        <w:rPr>
          <w:rFonts w:ascii="NimbusSanL;Times New Roman" w:hAnsi="NimbusSanL;Times New Roman" w:cs="NimbusSanL;Times New Roman"/>
          <w:sz w:val="20"/>
          <w:szCs w:val="20"/>
        </w:rPr>
        <w:t>Finalement, en juillet 2022, une magistrate est nommée à la tête de l’Inspection. V</w:t>
      </w:r>
      <w:proofErr w:type="spellStart"/>
      <w:r>
        <w:rPr>
          <w:rFonts w:ascii="NimbusSanL;Times New Roman" w:eastAsia="Times New Roman" w:hAnsi="NimbusSanL;Times New Roman" w:cs="NimbusSanL;Times New Roman"/>
          <w:bCs/>
          <w:sz w:val="20"/>
          <w:szCs w:val="20"/>
          <w:lang w:val="fr-FR" w:eastAsia="fr-FR" w:bidi="ar-SA"/>
        </w:rPr>
        <w:t>olontiers</w:t>
      </w:r>
      <w:proofErr w:type="spellEnd"/>
      <w:r>
        <w:rPr>
          <w:rFonts w:ascii="NimbusSanL;Times New Roman" w:eastAsia="Times New Roman" w:hAnsi="NimbusSanL;Times New Roman" w:cs="NimbusSanL;Times New Roman"/>
          <w:bCs/>
          <w:sz w:val="20"/>
          <w:szCs w:val="20"/>
          <w:lang w:val="fr-FR" w:eastAsia="fr-FR" w:bidi="ar-SA"/>
        </w:rPr>
        <w:t xml:space="preserve"> présentée comme un signe d’ouverture, voire une « </w:t>
      </w:r>
      <w:r>
        <w:rPr>
          <w:rFonts w:ascii="NimbusSanL;Times New Roman" w:eastAsia="Times New Roman" w:hAnsi="NimbusSanL;Times New Roman" w:cs="NimbusSanL;Times New Roman"/>
          <w:bCs/>
          <w:i/>
          <w:iCs/>
          <w:sz w:val="20"/>
          <w:szCs w:val="20"/>
          <w:lang w:val="fr-FR" w:eastAsia="fr-FR" w:bidi="ar-SA"/>
        </w:rPr>
        <w:t>révolution culturelle</w:t>
      </w:r>
      <w:r>
        <w:rPr>
          <w:rFonts w:ascii="NimbusSanL;Times New Roman" w:eastAsia="Times New Roman" w:hAnsi="NimbusSanL;Times New Roman" w:cs="NimbusSanL;Times New Roman"/>
          <w:bCs/>
          <w:sz w:val="20"/>
          <w:szCs w:val="20"/>
          <w:lang w:val="fr-FR" w:eastAsia="fr-FR" w:bidi="ar-SA"/>
        </w:rPr>
        <w:t> » par Gérald Darmanin</w:t>
      </w:r>
      <w:r>
        <w:rPr>
          <w:rStyle w:val="FootnoteReference"/>
          <w:rFonts w:ascii="NimbusSanL;Times New Roman" w:eastAsia="Times New Roman" w:hAnsi="NimbusSanL;Times New Roman" w:cs="NimbusSanL;Times New Roman"/>
          <w:bCs/>
          <w:sz w:val="20"/>
          <w:szCs w:val="20"/>
          <w:lang w:val="fr-FR" w:eastAsia="fr-FR" w:bidi="ar-SA"/>
        </w:rPr>
        <w:footnoteReference w:id="29"/>
      </w:r>
      <w:r>
        <w:rPr>
          <w:rFonts w:ascii="NimbusSanL;Times New Roman" w:eastAsia="Times New Roman" w:hAnsi="NimbusSanL;Times New Roman" w:cs="NimbusSanL;Times New Roman"/>
          <w:bCs/>
          <w:sz w:val="20"/>
          <w:szCs w:val="20"/>
          <w:lang w:val="fr-FR" w:eastAsia="fr-FR" w:bidi="ar-SA"/>
        </w:rPr>
        <w:t>, la nomination tient surtout du simulacre. La magistrate en question, Agnès Thibaut-</w:t>
      </w:r>
      <w:proofErr w:type="spellStart"/>
      <w:r>
        <w:rPr>
          <w:rFonts w:ascii="NimbusSanL;Times New Roman" w:eastAsia="Times New Roman" w:hAnsi="NimbusSanL;Times New Roman" w:cs="NimbusSanL;Times New Roman"/>
          <w:bCs/>
          <w:sz w:val="20"/>
          <w:szCs w:val="20"/>
          <w:lang w:val="fr-FR" w:eastAsia="fr-FR" w:bidi="ar-SA"/>
        </w:rPr>
        <w:t>Lecuivre</w:t>
      </w:r>
      <w:proofErr w:type="spellEnd"/>
      <w:r>
        <w:rPr>
          <w:rFonts w:ascii="NimbusSanL;Times New Roman" w:eastAsia="Times New Roman" w:hAnsi="NimbusSanL;Times New Roman" w:cs="NimbusSanL;Times New Roman"/>
          <w:bCs/>
          <w:sz w:val="20"/>
          <w:szCs w:val="20"/>
          <w:lang w:val="fr-FR" w:eastAsia="fr-FR" w:bidi="ar-SA"/>
        </w:rPr>
        <w:t>, avait passé l’essentiel de sa carrière en tant que communicante, du procureur de la République de Paris d’abord, puis dans divers cabinets ministériels… dont celui du ministre de l’Intérieur. En réalité,</w:t>
      </w:r>
      <w:r>
        <w:rPr>
          <w:rFonts w:ascii="NimbusSanL;Times New Roman" w:eastAsia="Times New Roman" w:hAnsi="NimbusSanL;Times New Roman" w:cs="NimbusSanL;Times New Roman"/>
          <w:b/>
          <w:bCs/>
          <w:sz w:val="20"/>
          <w:szCs w:val="20"/>
          <w:lang w:val="fr-FR" w:eastAsia="fr-FR" w:bidi="ar-SA"/>
        </w:rPr>
        <w:t xml:space="preserve"> la confusion entre la fonction d’inspection de l’IGPN et son rôle de vitrine de la police nationale, voire de « </w:t>
      </w:r>
      <w:r>
        <w:rPr>
          <w:rFonts w:ascii="NimbusSanL;Times New Roman" w:eastAsia="Times New Roman" w:hAnsi="NimbusSanL;Times New Roman" w:cs="NimbusSanL;Times New Roman"/>
          <w:b/>
          <w:bCs/>
          <w:i/>
          <w:iCs/>
          <w:sz w:val="20"/>
          <w:szCs w:val="20"/>
          <w:lang w:val="fr-FR" w:eastAsia="fr-FR" w:bidi="ar-SA"/>
        </w:rPr>
        <w:t>lessiveuse des violences policières</w:t>
      </w:r>
      <w:r>
        <w:rPr>
          <w:rFonts w:ascii="NimbusSanL;Times New Roman" w:eastAsia="Times New Roman" w:hAnsi="NimbusSanL;Times New Roman" w:cs="NimbusSanL;Times New Roman"/>
          <w:b/>
          <w:bCs/>
          <w:sz w:val="20"/>
          <w:szCs w:val="20"/>
          <w:lang w:val="fr-FR" w:eastAsia="fr-FR" w:bidi="ar-SA"/>
        </w:rPr>
        <w:t> »</w:t>
      </w:r>
      <w:r>
        <w:rPr>
          <w:rStyle w:val="FootnoteReference"/>
          <w:rFonts w:ascii="NimbusSanL;Times New Roman" w:eastAsia="Times New Roman" w:hAnsi="NimbusSanL;Times New Roman" w:cs="NimbusSanL;Times New Roman"/>
          <w:b/>
          <w:bCs/>
          <w:sz w:val="20"/>
          <w:szCs w:val="20"/>
          <w:lang w:val="fr-FR" w:eastAsia="fr-FR" w:bidi="ar-SA"/>
        </w:rPr>
        <w:footnoteReference w:id="30"/>
      </w:r>
      <w:r>
        <w:rPr>
          <w:rFonts w:ascii="NimbusSanL;Times New Roman" w:eastAsia="Times New Roman" w:hAnsi="NimbusSanL;Times New Roman" w:cs="NimbusSanL;Times New Roman"/>
          <w:b/>
          <w:bCs/>
          <w:sz w:val="20"/>
          <w:szCs w:val="20"/>
          <w:lang w:val="fr-FR" w:eastAsia="fr-FR" w:bidi="ar-SA"/>
        </w:rPr>
        <w:t>, n’a jamais été aussi forte</w:t>
      </w:r>
      <w:r>
        <w:rPr>
          <w:rFonts w:ascii="NimbusSanL;Times New Roman" w:eastAsia="Times New Roman" w:hAnsi="NimbusSanL;Times New Roman" w:cs="NimbusSanL;Times New Roman"/>
          <w:bCs/>
          <w:sz w:val="20"/>
          <w:szCs w:val="20"/>
          <w:lang w:val="fr-FR" w:eastAsia="fr-FR" w:bidi="ar-SA"/>
        </w:rPr>
        <w:t xml:space="preserve"> que sous la direction de Madame Thibaut-</w:t>
      </w:r>
      <w:proofErr w:type="spellStart"/>
      <w:r>
        <w:rPr>
          <w:rFonts w:ascii="NimbusSanL;Times New Roman" w:eastAsia="Times New Roman" w:hAnsi="NimbusSanL;Times New Roman" w:cs="NimbusSanL;Times New Roman"/>
          <w:bCs/>
          <w:sz w:val="20"/>
          <w:szCs w:val="20"/>
          <w:lang w:val="fr-FR" w:eastAsia="fr-FR" w:bidi="ar-SA"/>
        </w:rPr>
        <w:t>Lecuivre</w:t>
      </w:r>
      <w:proofErr w:type="spellEnd"/>
      <w:r>
        <w:rPr>
          <w:rFonts w:ascii="NimbusSanL;Times New Roman" w:eastAsia="Times New Roman" w:hAnsi="NimbusSanL;Times New Roman" w:cs="NimbusSanL;Times New Roman"/>
          <w:bCs/>
          <w:sz w:val="20"/>
          <w:szCs w:val="20"/>
          <w:lang w:val="fr-FR" w:eastAsia="fr-FR" w:bidi="ar-SA"/>
        </w:rPr>
        <w:t>.</w:t>
      </w:r>
    </w:p>
    <w:p w14:paraId="16616BCA" w14:textId="77777777" w:rsidR="00F35929" w:rsidRDefault="00F35929">
      <w:pPr>
        <w:pStyle w:val="Standard"/>
        <w:jc w:val="both"/>
        <w:rPr>
          <w:rFonts w:ascii="NimbusSanL;Times New Roman" w:hAnsi="NimbusSanL;Times New Roman" w:cs="NimbusSanL;Times New Roman"/>
          <w:sz w:val="20"/>
          <w:szCs w:val="20"/>
        </w:rPr>
      </w:pPr>
    </w:p>
    <w:p w14:paraId="3270E679" w14:textId="77777777" w:rsidR="00F35929" w:rsidRDefault="002B5C50">
      <w:pPr>
        <w:pStyle w:val="Standard"/>
        <w:jc w:val="both"/>
      </w:pPr>
      <w:r>
        <w:rPr>
          <w:rFonts w:ascii="NimbusSanL;Times New Roman" w:eastAsia="Times New Roman" w:hAnsi="NimbusSanL;Times New Roman" w:cs="NimbusSanL;Times New Roman"/>
          <w:bCs/>
          <w:sz w:val="20"/>
          <w:szCs w:val="20"/>
          <w:lang w:val="fr-FR" w:eastAsia="fr-FR" w:bidi="ar-SA"/>
        </w:rPr>
        <w:t>Dernier exemple en date, cette dernière a notamment fait fonction de porte-parole de la DGPN devant le Comité des droits de l’homme des Nations unies, lors de l’examen de la France en octobre dernier</w:t>
      </w:r>
      <w:r>
        <w:rPr>
          <w:rStyle w:val="FootnoteReference"/>
          <w:rFonts w:ascii="NimbusSanL;Times New Roman" w:eastAsia="Times New Roman" w:hAnsi="NimbusSanL;Times New Roman" w:cs="NimbusSanL;Times New Roman"/>
          <w:bCs/>
          <w:sz w:val="20"/>
          <w:szCs w:val="20"/>
          <w:lang w:val="fr-FR" w:eastAsia="fr-FR" w:bidi="ar-SA"/>
        </w:rPr>
        <w:footnoteReference w:id="31"/>
      </w:r>
      <w:r>
        <w:rPr>
          <w:rFonts w:ascii="NimbusSanL;Times New Roman" w:eastAsia="Times New Roman" w:hAnsi="NimbusSanL;Times New Roman" w:cs="NimbusSanL;Times New Roman"/>
          <w:bCs/>
          <w:sz w:val="20"/>
          <w:szCs w:val="20"/>
          <w:lang w:val="fr-FR" w:eastAsia="fr-FR" w:bidi="ar-SA"/>
        </w:rPr>
        <w:t>. Elle y a notamment soutenu que « </w:t>
      </w:r>
      <w:r>
        <w:rPr>
          <w:rStyle w:val="Emphasis"/>
          <w:rFonts w:ascii="NimbusSanL;Times New Roman" w:eastAsia="Times New Roman" w:hAnsi="NimbusSanL;Times New Roman" w:cs="NimbusSanL;Times New Roman"/>
          <w:bCs/>
          <w:sz w:val="20"/>
          <w:szCs w:val="20"/>
          <w:lang w:val="fr-FR" w:eastAsia="fr-FR" w:bidi="ar-SA"/>
        </w:rPr>
        <w:t>la doctrine d’emploi des armes de force intermédiaire […] permet d’apporter une réponse graduée et proportionnée</w:t>
      </w:r>
      <w:r>
        <w:rPr>
          <w:rFonts w:ascii="NimbusSanL;Times New Roman" w:eastAsia="Times New Roman" w:hAnsi="NimbusSanL;Times New Roman" w:cs="NimbusSanL;Times New Roman"/>
          <w:bCs/>
          <w:sz w:val="20"/>
          <w:szCs w:val="20"/>
          <w:lang w:val="fr-FR" w:eastAsia="fr-FR" w:bidi="ar-SA"/>
        </w:rPr>
        <w:t> » et que « </w:t>
      </w:r>
      <w:r>
        <w:rPr>
          <w:rStyle w:val="Emphasis"/>
          <w:rFonts w:ascii="NimbusSanL;Times New Roman" w:eastAsia="Times New Roman" w:hAnsi="NimbusSanL;Times New Roman" w:cs="NimbusSanL;Times New Roman"/>
          <w:bCs/>
          <w:sz w:val="20"/>
          <w:szCs w:val="20"/>
          <w:lang w:val="fr-FR" w:eastAsia="fr-FR" w:bidi="ar-SA"/>
        </w:rPr>
        <w:t>des évolutions récentes</w:t>
      </w:r>
      <w:r>
        <w:rPr>
          <w:rFonts w:ascii="NimbusSanL;Times New Roman" w:eastAsia="Times New Roman" w:hAnsi="NimbusSanL;Times New Roman" w:cs="NimbusSanL;Times New Roman"/>
          <w:bCs/>
          <w:sz w:val="20"/>
          <w:szCs w:val="20"/>
          <w:lang w:val="fr-FR" w:eastAsia="fr-FR" w:bidi="ar-SA"/>
        </w:rPr>
        <w:t> » du cadre réglementaire permettent « </w:t>
      </w:r>
      <w:r>
        <w:rPr>
          <w:rStyle w:val="Emphasis"/>
          <w:rFonts w:ascii="NimbusSanL;Times New Roman" w:eastAsia="Times New Roman" w:hAnsi="NimbusSanL;Times New Roman" w:cs="NimbusSanL;Times New Roman"/>
          <w:bCs/>
          <w:sz w:val="20"/>
          <w:szCs w:val="20"/>
          <w:lang w:val="fr-FR" w:eastAsia="fr-FR" w:bidi="ar-SA"/>
        </w:rPr>
        <w:t>de circonscrire encore d’avantage les risques de blessures</w:t>
      </w:r>
      <w:r>
        <w:rPr>
          <w:rFonts w:ascii="NimbusSanL;Times New Roman" w:eastAsia="Times New Roman" w:hAnsi="NimbusSanL;Times New Roman" w:cs="NimbusSanL;Times New Roman"/>
          <w:bCs/>
          <w:sz w:val="20"/>
          <w:szCs w:val="20"/>
          <w:lang w:val="fr-FR" w:eastAsia="fr-FR" w:bidi="ar-SA"/>
        </w:rPr>
        <w:t xml:space="preserve"> ». Le dernier rapport annuel de l’IGPN fait pourtant état du contraire : le nombre de blessés graves </w:t>
      </w:r>
      <w:proofErr w:type="gramStart"/>
      <w:r>
        <w:rPr>
          <w:rFonts w:ascii="NimbusSanL;Times New Roman" w:eastAsia="Times New Roman" w:hAnsi="NimbusSanL;Times New Roman" w:cs="NimbusSanL;Times New Roman"/>
          <w:bCs/>
          <w:sz w:val="20"/>
          <w:szCs w:val="20"/>
          <w:lang w:val="fr-FR" w:eastAsia="fr-FR" w:bidi="ar-SA"/>
        </w:rPr>
        <w:t>suite à une</w:t>
      </w:r>
      <w:proofErr w:type="gramEnd"/>
      <w:r>
        <w:rPr>
          <w:rFonts w:ascii="NimbusSanL;Times New Roman" w:eastAsia="Times New Roman" w:hAnsi="NimbusSanL;Times New Roman" w:cs="NimbusSanL;Times New Roman"/>
          <w:bCs/>
          <w:sz w:val="20"/>
          <w:szCs w:val="20"/>
          <w:lang w:val="fr-FR" w:eastAsia="fr-FR" w:bidi="ar-SA"/>
        </w:rPr>
        <w:t xml:space="preserve"> action de la police a augmenté de 25 % entre 2022 et 2023, alors que s’établissait un nombre record d’usage des armes d</w:t>
      </w:r>
      <w:r>
        <w:rPr>
          <w:rFonts w:ascii="NimbusSanL;Times New Roman" w:eastAsia="Times New Roman" w:hAnsi="NimbusSanL;Times New Roman" w:cs="NimbusSanL;Times New Roman"/>
          <w:bCs/>
          <w:sz w:val="20"/>
          <w:szCs w:val="20"/>
          <w:lang w:val="fr-FR" w:eastAsia="fr-FR" w:bidi="ar-SA"/>
        </w:rPr>
        <w:t>ites de « force intermédiaire »</w:t>
      </w:r>
      <w:r>
        <w:rPr>
          <w:rStyle w:val="FootnoteReference"/>
          <w:rFonts w:ascii="NimbusSanL;Times New Roman" w:eastAsia="Times New Roman" w:hAnsi="NimbusSanL;Times New Roman" w:cs="NimbusSanL;Times New Roman"/>
          <w:bCs/>
          <w:sz w:val="20"/>
          <w:szCs w:val="20"/>
          <w:lang w:val="fr-FR" w:eastAsia="fr-FR" w:bidi="ar-SA"/>
        </w:rPr>
        <w:footnoteReference w:id="32"/>
      </w:r>
      <w:r>
        <w:rPr>
          <w:rFonts w:ascii="NimbusSanL;Times New Roman" w:eastAsia="Times New Roman" w:hAnsi="NimbusSanL;Times New Roman" w:cs="NimbusSanL;Times New Roman"/>
          <w:bCs/>
          <w:sz w:val="20"/>
          <w:szCs w:val="20"/>
          <w:lang w:val="fr-FR" w:eastAsia="fr-FR" w:bidi="ar-SA"/>
        </w:rPr>
        <w:t>. En décembre 2024, Gérald Darmanin a été finalement nommé ministre de la Justice. Madame Thibaut-</w:t>
      </w:r>
      <w:proofErr w:type="spellStart"/>
      <w:r>
        <w:rPr>
          <w:rFonts w:ascii="NimbusSanL;Times New Roman" w:eastAsia="Times New Roman" w:hAnsi="NimbusSanL;Times New Roman" w:cs="NimbusSanL;Times New Roman"/>
          <w:bCs/>
          <w:sz w:val="20"/>
          <w:szCs w:val="20"/>
          <w:lang w:val="fr-FR" w:eastAsia="fr-FR" w:bidi="ar-SA"/>
        </w:rPr>
        <w:t>Lecuivre</w:t>
      </w:r>
      <w:proofErr w:type="spellEnd"/>
      <w:r>
        <w:rPr>
          <w:rFonts w:ascii="NimbusSanL;Times New Roman" w:eastAsia="Times New Roman" w:hAnsi="NimbusSanL;Times New Roman" w:cs="NimbusSanL;Times New Roman"/>
          <w:bCs/>
          <w:sz w:val="20"/>
          <w:szCs w:val="20"/>
          <w:lang w:val="fr-FR" w:eastAsia="fr-FR" w:bidi="ar-SA"/>
        </w:rPr>
        <w:t xml:space="preserve"> a, elle, été nommée directrice de son cabinet quelques semaines plus tard. En février, le Gouvernement a nommé Stéphane Hardouin </w:t>
      </w:r>
      <w:r>
        <w:rPr>
          <w:rFonts w:ascii="NimbusSanL;Times New Roman" w:eastAsia="Times New Roman" w:hAnsi="NimbusSanL;Times New Roman" w:cs="NimbusSanL;Times New Roman"/>
          <w:bCs/>
          <w:sz w:val="20"/>
          <w:szCs w:val="20"/>
          <w:lang w:val="fr-FR" w:eastAsia="fr-FR" w:bidi="ar-SA"/>
        </w:rPr>
        <w:lastRenderedPageBreak/>
        <w:t>au poste de chef de l’IGPN</w:t>
      </w:r>
      <w:r>
        <w:rPr>
          <w:rStyle w:val="FootnoteReference"/>
          <w:rFonts w:ascii="NimbusSanL;Times New Roman" w:eastAsia="Times New Roman" w:hAnsi="NimbusSanL;Times New Roman" w:cs="NimbusSanL;Times New Roman"/>
          <w:bCs/>
          <w:sz w:val="20"/>
          <w:szCs w:val="20"/>
          <w:lang w:val="fr-FR" w:eastAsia="fr-FR" w:bidi="ar-SA"/>
        </w:rPr>
        <w:footnoteReference w:id="33"/>
      </w:r>
      <w:r>
        <w:rPr>
          <w:rFonts w:ascii="NimbusSanL;Times New Roman" w:eastAsia="Times New Roman" w:hAnsi="NimbusSanL;Times New Roman" w:cs="NimbusSanL;Times New Roman"/>
          <w:bCs/>
          <w:sz w:val="20"/>
          <w:szCs w:val="20"/>
          <w:lang w:val="fr-FR" w:eastAsia="fr-FR" w:bidi="ar-SA"/>
        </w:rPr>
        <w:t>. Ce dernier, anciennement procureur de la République à Créteil, a exercé de nombreuses fonctions en cabinets ministériels et en administration centrale.</w:t>
      </w:r>
    </w:p>
    <w:p w14:paraId="30466B60" w14:textId="77777777" w:rsidR="00F35929" w:rsidRDefault="00F35929">
      <w:pPr>
        <w:pStyle w:val="Standard"/>
        <w:jc w:val="both"/>
      </w:pPr>
    </w:p>
    <w:p w14:paraId="18921D4A" w14:textId="77777777" w:rsidR="00F35929" w:rsidRDefault="00F35929">
      <w:pPr>
        <w:pStyle w:val="Standard"/>
        <w:jc w:val="both"/>
      </w:pPr>
    </w:p>
    <w:p w14:paraId="387A6A70" w14:textId="77777777" w:rsidR="00F35929" w:rsidRDefault="00F35929">
      <w:pPr>
        <w:pStyle w:val="Standard"/>
        <w:jc w:val="both"/>
      </w:pPr>
    </w:p>
    <w:p w14:paraId="4B521A43" w14:textId="77777777" w:rsidR="00F35929" w:rsidRDefault="00F35929">
      <w:pPr>
        <w:pStyle w:val="Standard"/>
        <w:jc w:val="both"/>
      </w:pPr>
    </w:p>
    <w:p w14:paraId="27C6526F" w14:textId="77777777" w:rsidR="00F35929" w:rsidRDefault="00F35929">
      <w:pPr>
        <w:pStyle w:val="Standard"/>
        <w:jc w:val="both"/>
      </w:pPr>
    </w:p>
    <w:p w14:paraId="7E553AD8" w14:textId="77777777" w:rsidR="00F35929" w:rsidRDefault="002B5C50">
      <w:pPr>
        <w:pStyle w:val="Standard"/>
        <w:jc w:val="both"/>
      </w:pPr>
      <w:r>
        <w:rPr>
          <w:noProof/>
        </w:rPr>
        <mc:AlternateContent>
          <mc:Choice Requires="wps">
            <w:drawing>
              <wp:anchor distT="0" distB="0" distL="114935" distR="114935" simplePos="0" relativeHeight="27" behindDoc="0" locked="0" layoutInCell="1" allowOverlap="1" wp14:anchorId="668E30F4" wp14:editId="77F8FE24">
                <wp:simplePos x="0" y="0"/>
                <wp:positionH relativeFrom="column">
                  <wp:posOffset>1185545</wp:posOffset>
                </wp:positionH>
                <wp:positionV relativeFrom="paragraph">
                  <wp:posOffset>41910</wp:posOffset>
                </wp:positionV>
                <wp:extent cx="5634990" cy="580390"/>
                <wp:effectExtent l="0" t="0" r="0" b="0"/>
                <wp:wrapNone/>
                <wp:docPr id="9" name="Text Box 9"/>
                <wp:cNvGraphicFramePr/>
                <a:graphic xmlns:a="http://schemas.openxmlformats.org/drawingml/2006/main">
                  <a:graphicData uri="http://schemas.microsoft.com/office/word/2010/wordprocessingShape">
                    <wps:wsp>
                      <wps:cNvSpPr txBox="1"/>
                      <wps:spPr>
                        <a:xfrm>
                          <a:off x="0" y="0"/>
                          <a:ext cx="5635080" cy="580320"/>
                        </a:xfrm>
                        <a:prstGeom prst="rect">
                          <a:avLst/>
                        </a:prstGeom>
                        <a:solidFill>
                          <a:srgbClr val="85CFFF"/>
                        </a:solidFill>
                        <a:ln w="0">
                          <a:noFill/>
                        </a:ln>
                      </wps:spPr>
                      <wps:txbx>
                        <w:txbxContent>
                          <w:p w14:paraId="02B4C4DB" w14:textId="77777777" w:rsidR="00F35929" w:rsidRDefault="002B5C50">
                            <w:pPr>
                              <w:overflowPunct w:val="0"/>
                            </w:pPr>
                            <w:r>
                              <w:rPr>
                                <w:rFonts w:ascii="Nimbus Sans L;Arial" w:hAnsi="Nimbus Sans L;Arial" w:cs="Nimbus Sans L;Arial"/>
                                <w:b/>
                                <w:bCs/>
                                <w:w w:val="95"/>
                                <w:sz w:val="18"/>
                                <w:szCs w:val="18"/>
                                <w:lang w:eastAsia="fr-FR"/>
                              </w:rPr>
                              <w:t xml:space="preserve">II. L’IGPN, un paravent qui cache le volume total des </w:t>
                            </w:r>
                            <w:r>
                              <w:rPr>
                                <w:rFonts w:ascii="Nimbus Sans L;Arial" w:hAnsi="Nimbus Sans L;Arial" w:cs="Nimbus Sans L;Arial"/>
                                <w:b/>
                                <w:bCs/>
                                <w:w w:val="95"/>
                                <w:sz w:val="18"/>
                                <w:szCs w:val="18"/>
                                <w:lang w:eastAsia="fr-FR"/>
                              </w:rPr>
                              <w:t>affaires impliquant la police et des problèmes d’indépendance aggravés</w:t>
                            </w:r>
                          </w:p>
                        </w:txbxContent>
                      </wps:txbx>
                      <wps:bodyPr wrap="square" lIns="0" tIns="0" rIns="0" bIns="0" anchor="ctr">
                        <a:noAutofit/>
                      </wps:bodyPr>
                    </wps:wsp>
                  </a:graphicData>
                </a:graphic>
              </wp:anchor>
            </w:drawing>
          </mc:Choice>
          <mc:Fallback>
            <w:pict>
              <v:shape w14:anchorId="668E30F4" id="Text Box 9" o:spid="_x0000_s1029" type="#_x0000_t202" style="position:absolute;left:0;text-align:left;margin-left:93.35pt;margin-top:3.3pt;width:443.7pt;height:45.7pt;z-index:27;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T2ctgEAAF0DAAAOAAAAZHJzL2Uyb0RvYy54bWysU9uK2zAQfS/0H4TeG3sTsgQTZ2l3cSmU&#10;trDbD5BlKRbIGnWkxM7fd6TESS9vy77II83tnDPj7cM0WHZUGAy4mt8tSs6Uk9AZt6/5z5fmw4az&#10;EIXrhAWnan5SgT/s3r/bjr5SS+jBdgoZFXGhGn3N+xh9VRRB9moQYQFeOXJqwEFEuuK+6FCMVH2w&#10;xbIs74sRsPMIUoVAr09nJ9/l+lorGb9rHVRktuaELeYT89mms9htRbVH4XsjLzDEK1AMwjhqei31&#10;JKJgBzT/lRqMRAig40LCUIDWRqrMgdjclf+wee6FV5kLiRP8VabwdmXlt+Oz/4EsTp9gogEmQUYf&#10;qkCPic+kcUhfQsrITxKerrKpKTJJj+v71brckEuSb70pV8usa3HL9hjiZwUDS0bNkcaS1RLHryFS&#10;RwqdQ1KzANZ0jbE2X3DfPlpkR0Ej3Kwfm6ZJICnlrzDr2JiQpRQHKfkcZB3F3hglK07txExX89XM&#10;toXuRCKMtAc1D78OAhVn9osjodPSzAbORjsbwskeaJ1kxEvnj4cI2mRSqde58gUCzTADv+xbWpI/&#10;7znq9lfsfgMAAP//AwBQSwMEFAAGAAgAAAAhAOvn1j7dAAAACQEAAA8AAABkcnMvZG93bnJldi54&#10;bWxMj8FOwzAQRO9I/IO1SNyoXUBJCHEqVAmpFyTS9gO2yRJHxOsQO03697gnOI5mNPOm2Cy2F2ca&#10;fedYw3qlQBDXrum41XA8vD9kIHxAbrB3TBou5GFT3t4UmDdu5orO+9CKWMI+Rw0mhCGX0teGLPqV&#10;G4ij9+VGiyHKsZXNiHMst718VCqRFjuOCwYH2hqqv/eT1VClh2remcvy8blzncy2OP08odb3d8vb&#10;K4hAS/gLwxU/okMZmU5u4saLPuosSWNUQ5KAuPoqfV6DOGl4yRTIspD/H5S/AAAA//8DAFBLAQIt&#10;ABQABgAIAAAAIQC2gziS/gAAAOEBAAATAAAAAAAAAAAAAAAAAAAAAABbQ29udGVudF9UeXBlc10u&#10;eG1sUEsBAi0AFAAGAAgAAAAhADj9If/WAAAAlAEAAAsAAAAAAAAAAAAAAAAALwEAAF9yZWxzLy5y&#10;ZWxzUEsBAi0AFAAGAAgAAAAhANrRPZy2AQAAXQMAAA4AAAAAAAAAAAAAAAAALgIAAGRycy9lMm9E&#10;b2MueG1sUEsBAi0AFAAGAAgAAAAhAOvn1j7dAAAACQEAAA8AAAAAAAAAAAAAAAAAEAQAAGRycy9k&#10;b3ducmV2LnhtbFBLBQYAAAAABAAEAPMAAAAaBQAAAAA=&#10;" fillcolor="#85cfff" stroked="f" strokeweight="0">
                <v:textbox inset="0,0,0,0">
                  <w:txbxContent>
                    <w:p w14:paraId="02B4C4DB" w14:textId="77777777" w:rsidR="00F35929" w:rsidRDefault="002B5C50">
                      <w:pPr>
                        <w:overflowPunct w:val="0"/>
                      </w:pPr>
                      <w:r>
                        <w:rPr>
                          <w:rFonts w:ascii="Nimbus Sans L;Arial" w:hAnsi="Nimbus Sans L;Arial" w:cs="Nimbus Sans L;Arial"/>
                          <w:b/>
                          <w:bCs/>
                          <w:w w:val="95"/>
                          <w:sz w:val="18"/>
                          <w:szCs w:val="18"/>
                          <w:lang w:eastAsia="fr-FR"/>
                        </w:rPr>
                        <w:t xml:space="preserve">II. L’IGPN, un paravent qui cache le volume total des </w:t>
                      </w:r>
                      <w:r>
                        <w:rPr>
                          <w:rFonts w:ascii="Nimbus Sans L;Arial" w:hAnsi="Nimbus Sans L;Arial" w:cs="Nimbus Sans L;Arial"/>
                          <w:b/>
                          <w:bCs/>
                          <w:w w:val="95"/>
                          <w:sz w:val="18"/>
                          <w:szCs w:val="18"/>
                          <w:lang w:eastAsia="fr-FR"/>
                        </w:rPr>
                        <w:t>affaires impliquant la police et des problèmes d’indépendance aggravés</w:t>
                      </w:r>
                    </w:p>
                  </w:txbxContent>
                </v:textbox>
              </v:shape>
            </w:pict>
          </mc:Fallback>
        </mc:AlternateContent>
      </w:r>
    </w:p>
    <w:p w14:paraId="26BF7E76" w14:textId="77777777" w:rsidR="00F35929" w:rsidRDefault="00F35929">
      <w:pPr>
        <w:pStyle w:val="Standard"/>
        <w:jc w:val="both"/>
        <w:rPr>
          <w:sz w:val="20"/>
          <w:szCs w:val="20"/>
        </w:rPr>
      </w:pPr>
    </w:p>
    <w:p w14:paraId="1B633070" w14:textId="77777777" w:rsidR="00F35929" w:rsidRDefault="00F35929">
      <w:pPr>
        <w:rPr>
          <w:rFonts w:ascii="NimbusSanL;Times New Roman" w:hAnsi="NimbusSanL;Times New Roman" w:cs="NimbusSanL;Times New Roman"/>
          <w:sz w:val="20"/>
          <w:szCs w:val="20"/>
        </w:rPr>
      </w:pPr>
    </w:p>
    <w:p w14:paraId="4745FBAC" w14:textId="77777777" w:rsidR="00F35929" w:rsidRDefault="00F35929">
      <w:pPr>
        <w:rPr>
          <w:rFonts w:ascii="NimbusSanL;Times New Roman" w:hAnsi="NimbusSanL;Times New Roman" w:cs="NimbusSanL;Times New Roman"/>
          <w:b/>
          <w:bCs/>
          <w:sz w:val="20"/>
          <w:szCs w:val="20"/>
        </w:rPr>
      </w:pPr>
    </w:p>
    <w:p w14:paraId="62D4DE28" w14:textId="77777777" w:rsidR="00F35929" w:rsidRDefault="00F35929">
      <w:pPr>
        <w:rPr>
          <w:rFonts w:ascii="NimbusSanL;Times New Roman" w:hAnsi="NimbusSanL;Times New Roman" w:cs="NimbusSanL;Times New Roman"/>
          <w:b/>
          <w:bCs/>
          <w:sz w:val="20"/>
          <w:szCs w:val="20"/>
        </w:rPr>
      </w:pPr>
    </w:p>
    <w:p w14:paraId="1B5B9B38" w14:textId="77777777" w:rsidR="00F35929" w:rsidRDefault="00F35929">
      <w:pPr>
        <w:jc w:val="both"/>
        <w:rPr>
          <w:rFonts w:ascii="NimbusSanL;Times New Roman" w:hAnsi="NimbusSanL;Times New Roman" w:cs="NimbusSanL;Times New Roman"/>
          <w:sz w:val="20"/>
          <w:szCs w:val="20"/>
        </w:rPr>
      </w:pPr>
    </w:p>
    <w:p w14:paraId="245E8265" w14:textId="77777777" w:rsidR="00F35929" w:rsidRDefault="00F35929">
      <w:pPr>
        <w:jc w:val="both"/>
      </w:pPr>
    </w:p>
    <w:p w14:paraId="58BD285E"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Dans son rapport d’activités 2021, l’IGPN affirme que ses services « </w:t>
      </w:r>
      <w:r>
        <w:rPr>
          <w:rFonts w:ascii="NimbusSanL;Times New Roman" w:hAnsi="NimbusSanL;Times New Roman" w:cs="NimbusSanL;Times New Roman"/>
          <w:i/>
          <w:iCs/>
          <w:sz w:val="20"/>
          <w:szCs w:val="20"/>
        </w:rPr>
        <w:t xml:space="preserve">ne sont pas saisis de l’ensemble des affaires mettant en cause des fonctionnaires de police. La très grande majorité des enquêtes est réalisée par d’autres services de police. </w:t>
      </w:r>
      <w:r>
        <w:rPr>
          <w:rFonts w:ascii="NimbusSanL;Times New Roman" w:hAnsi="NimbusSanL;Times New Roman" w:cs="NimbusSanL;Times New Roman"/>
          <w:b/>
          <w:bCs/>
          <w:i/>
          <w:iCs/>
          <w:sz w:val="20"/>
          <w:szCs w:val="20"/>
        </w:rPr>
        <w:t>L’IGPN n’est saisie que des affaires les plus graves ou les plus retentissantes, soit environ 10 % du total</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34"/>
      </w:r>
      <w:r>
        <w:rPr>
          <w:rFonts w:ascii="NimbusSanL;Times New Roman" w:hAnsi="NimbusSanL;Times New Roman" w:cs="NimbusSanL;Times New Roman"/>
          <w:sz w:val="20"/>
          <w:szCs w:val="20"/>
        </w:rPr>
        <w:t xml:space="preserve">. </w:t>
      </w:r>
      <w:r>
        <w:rPr>
          <w:rFonts w:ascii="NimbusSanL;Times New Roman" w:hAnsi="NimbusSanL;Times New Roman" w:cs="NimbusSanL;Times New Roman"/>
          <w:color w:val="000000"/>
          <w:sz w:val="20"/>
          <w:szCs w:val="20"/>
        </w:rPr>
        <w:t xml:space="preserve">Néanmoins, les autorités nationales continuent encore souvent de se référer aux seules statistiques des affaires confiées à l’IGPN, ce qui constitue un véritable miroir déformant </w:t>
      </w:r>
      <w:r>
        <w:rPr>
          <w:rFonts w:ascii="NimbusSanL;Times New Roman" w:hAnsi="NimbusSanL;Times New Roman" w:cs="NimbusSanL;Times New Roman"/>
          <w:b/>
          <w:bCs/>
          <w:color w:val="000000"/>
          <w:sz w:val="20"/>
          <w:szCs w:val="20"/>
        </w:rPr>
        <w:t>(II.1.)</w:t>
      </w:r>
      <w:r>
        <w:rPr>
          <w:rFonts w:ascii="NimbusSanL;Times New Roman" w:hAnsi="NimbusSanL;Times New Roman" w:cs="NimbusSanL;Times New Roman"/>
          <w:color w:val="000000"/>
          <w:sz w:val="20"/>
          <w:szCs w:val="20"/>
        </w:rPr>
        <w:t>. E</w:t>
      </w:r>
      <w:r>
        <w:rPr>
          <w:rFonts w:ascii="NimbusSanL;Times New Roman" w:hAnsi="NimbusSanL;Times New Roman" w:cs="NimbusSanL;Times New Roman"/>
          <w:sz w:val="20"/>
          <w:szCs w:val="20"/>
        </w:rPr>
        <w:t xml:space="preserve">n réalité, même les affaires les plus graves comme celles concernant des homicides policiers ne sont pas toujours confiées à l’Inspection </w:t>
      </w:r>
      <w:r>
        <w:rPr>
          <w:rFonts w:ascii="NimbusSanL;Times New Roman" w:hAnsi="NimbusSanL;Times New Roman" w:cs="NimbusSanL;Times New Roman"/>
          <w:b/>
          <w:bCs/>
          <w:sz w:val="20"/>
          <w:szCs w:val="20"/>
        </w:rPr>
        <w:t>(II.2)</w:t>
      </w:r>
      <w:r>
        <w:rPr>
          <w:rFonts w:ascii="NimbusSanL;Times New Roman" w:hAnsi="NimbusSanL;Times New Roman" w:cs="NimbusSanL;Times New Roman"/>
          <w:sz w:val="20"/>
          <w:szCs w:val="20"/>
        </w:rPr>
        <w:t xml:space="preserve">. La plupart des enquêtes sur des usages excessifs de la force semblent confiées à des services départementaux, qui ne rendent aucun compte : les « cellules déontologie » </w:t>
      </w:r>
      <w:r>
        <w:rPr>
          <w:rFonts w:ascii="NimbusSanL;Times New Roman" w:hAnsi="NimbusSanL;Times New Roman" w:cs="NimbusSanL;Times New Roman"/>
          <w:b/>
          <w:bCs/>
          <w:sz w:val="20"/>
          <w:szCs w:val="20"/>
        </w:rPr>
        <w:t>(II.3)</w:t>
      </w:r>
      <w:r>
        <w:rPr>
          <w:rFonts w:ascii="NimbusSanL;Times New Roman" w:hAnsi="NimbusSanL;Times New Roman" w:cs="NimbusSanL;Times New Roman"/>
          <w:sz w:val="20"/>
          <w:szCs w:val="20"/>
        </w:rPr>
        <w:t xml:space="preserve">. Qu’il s’agisse de ces dernières, ou d’autres services d’enquête de droit commun, les problèmes de partialité s’avèrent redoublés, s’agissant d’unités placées sous la direction des autorités locales de police </w:t>
      </w:r>
      <w:r>
        <w:rPr>
          <w:rFonts w:ascii="NimbusSanL;Times New Roman" w:hAnsi="NimbusSanL;Times New Roman" w:cs="NimbusSanL;Times New Roman"/>
          <w:b/>
          <w:bCs/>
          <w:sz w:val="20"/>
          <w:szCs w:val="20"/>
        </w:rPr>
        <w:t>(II.4)</w:t>
      </w:r>
      <w:r>
        <w:rPr>
          <w:rFonts w:ascii="NimbusSanL;Times New Roman" w:hAnsi="NimbusSanL;Times New Roman" w:cs="NimbusSanL;Times New Roman"/>
          <w:sz w:val="20"/>
          <w:szCs w:val="20"/>
        </w:rPr>
        <w:t>.</w:t>
      </w:r>
    </w:p>
    <w:p w14:paraId="6BC28985" w14:textId="77777777" w:rsidR="00F35929" w:rsidRDefault="00F35929">
      <w:pPr>
        <w:rPr>
          <w:rFonts w:ascii="NimbusSanL;Times New Roman" w:hAnsi="NimbusSanL;Times New Roman" w:cs="NimbusSanL;Times New Roman"/>
          <w:sz w:val="20"/>
          <w:szCs w:val="20"/>
        </w:rPr>
      </w:pPr>
    </w:p>
    <w:p w14:paraId="21229852" w14:textId="77777777" w:rsidR="00F35929" w:rsidRDefault="00F35929">
      <w:pPr>
        <w:rPr>
          <w:rFonts w:ascii="NimbusSanL;Times New Roman" w:hAnsi="NimbusSanL;Times New Roman" w:cs="NimbusSanL;Times New Roman"/>
          <w:sz w:val="20"/>
          <w:szCs w:val="20"/>
        </w:rPr>
      </w:pPr>
    </w:p>
    <w:p w14:paraId="473A55EF" w14:textId="77777777" w:rsidR="00F35929" w:rsidRDefault="00F35929">
      <w:pPr>
        <w:rPr>
          <w:rFonts w:ascii="NimbusSanL;Times New Roman" w:hAnsi="NimbusSanL;Times New Roman" w:cs="NimbusSanL;Times New Roman"/>
          <w:sz w:val="20"/>
          <w:szCs w:val="20"/>
        </w:rPr>
      </w:pPr>
    </w:p>
    <w:p w14:paraId="23FF8AFE" w14:textId="77777777" w:rsidR="00F35929" w:rsidRDefault="002B5C50">
      <w:pPr>
        <w:rPr>
          <w:rFonts w:ascii="NimbusSanL;Times New Roman" w:hAnsi="NimbusSanL;Times New Roman" w:cs="NimbusSanL;Times New Roman"/>
          <w:sz w:val="20"/>
          <w:szCs w:val="20"/>
        </w:rPr>
      </w:pPr>
      <w:r>
        <w:rPr>
          <w:rFonts w:ascii="NimbusSanL;Times New Roman" w:hAnsi="NimbusSanL;Times New Roman" w:cs="NimbusSanL;Times New Roman"/>
          <w:b/>
          <w:bCs/>
          <w:sz w:val="20"/>
          <w:szCs w:val="20"/>
        </w:rPr>
        <w:t>II.1. Les chiffres de l’IGPN : un trompe-l’œil statistique</w:t>
      </w:r>
    </w:p>
    <w:p w14:paraId="1D83EB99" w14:textId="77777777" w:rsidR="00F35929" w:rsidRDefault="00F35929">
      <w:pPr>
        <w:rPr>
          <w:rFonts w:ascii="NimbusSanL;Times New Roman" w:hAnsi="NimbusSanL;Times New Roman" w:cs="NimbusSanL;Times New Roman"/>
          <w:sz w:val="20"/>
          <w:szCs w:val="20"/>
        </w:rPr>
      </w:pPr>
    </w:p>
    <w:p w14:paraId="68F1FE55"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Les divers chiffres produits par le Gouvernement ne permettent pas de quantifier les affaires ouvertes pour usages excessifs de la force commis par les forces de l’ordre dépendant du seul ministère de l’Intérieur. Ainsi, </w:t>
      </w:r>
      <w:r>
        <w:rPr>
          <w:rFonts w:ascii="NimbusSanL;Times New Roman" w:hAnsi="NimbusSanL;Times New Roman" w:cs="NimbusSanL;Times New Roman"/>
          <w:b/>
          <w:bCs/>
          <w:sz w:val="20"/>
          <w:szCs w:val="20"/>
        </w:rPr>
        <w:t>le phénomène nommé couramment « violences policières » reste en l’état non mesurable</w:t>
      </w:r>
      <w:r>
        <w:rPr>
          <w:rStyle w:val="FootnoteReference"/>
          <w:rFonts w:ascii="NimbusSanL;Times New Roman" w:hAnsi="NimbusSanL;Times New Roman" w:cs="NimbusSanL;Times New Roman"/>
          <w:sz w:val="20"/>
          <w:szCs w:val="20"/>
        </w:rPr>
        <w:footnoteReference w:id="35"/>
      </w:r>
      <w:r>
        <w:rPr>
          <w:rFonts w:ascii="NimbusSanL;Times New Roman" w:hAnsi="NimbusSanL;Times New Roman" w:cs="NimbusSanL;Times New Roman"/>
          <w:sz w:val="20"/>
          <w:szCs w:val="20"/>
        </w:rPr>
        <w:t>. L’IGPN publie des données statistiques moins complètes que son homologue de la gendarmerie. Dans son rapport 2023, l’IGGN mentionne non seulement le nombre d’enquêtes judiciaires internes (impliquant donc des gendarmes) que son bureau des enquêtes judiciaires (BEJ) a effectuées, à savoir 68 enquêtes ; mais elle précise aussi que 857 dossiers ont été traités par des « </w:t>
      </w:r>
      <w:r>
        <w:rPr>
          <w:rFonts w:ascii="NimbusSanL;Times New Roman" w:hAnsi="NimbusSanL;Times New Roman" w:cs="NimbusSanL;Times New Roman"/>
          <w:i/>
          <w:iCs/>
          <w:sz w:val="20"/>
          <w:szCs w:val="20"/>
        </w:rPr>
        <w:t>formations administratives</w:t>
      </w:r>
      <w:r>
        <w:rPr>
          <w:rFonts w:ascii="NimbusSanL;Times New Roman" w:hAnsi="NimbusSanL;Times New Roman" w:cs="NimbusSanL;Times New Roman"/>
          <w:sz w:val="20"/>
          <w:szCs w:val="20"/>
        </w:rPr>
        <w:t> » : des services locaux de la gendarmerie, non spécialisés. L’IGGN appuie ces chiffres par un graphique qui donne</w:t>
      </w:r>
      <w:r>
        <w:rPr>
          <w:rFonts w:ascii="NimbusSanL;Times New Roman" w:hAnsi="NimbusSanL;Times New Roman" w:cs="NimbusSanL;Times New Roman"/>
          <w:sz w:val="20"/>
          <w:szCs w:val="20"/>
        </w:rPr>
        <w:t xml:space="preserve"> à voir la prédominance des affaires pénales internes qu’elle n’a pas elle-même traitées. Notons que le nombre d’affaires concernant précisément des usages excessifs de la force traité en gendarmerie reste lui, inconnu</w:t>
      </w:r>
      <w:r>
        <w:rPr>
          <w:rStyle w:val="FootnoteReference"/>
          <w:rFonts w:ascii="NimbusSanL;Times New Roman" w:hAnsi="NimbusSanL;Times New Roman" w:cs="NimbusSanL;Times New Roman"/>
          <w:sz w:val="20"/>
          <w:szCs w:val="20"/>
        </w:rPr>
        <w:footnoteReference w:id="36"/>
      </w:r>
      <w:r>
        <w:rPr>
          <w:rFonts w:ascii="NimbusSanL;Times New Roman" w:hAnsi="NimbusSanL;Times New Roman" w:cs="NimbusSanL;Times New Roman"/>
          <w:sz w:val="20"/>
          <w:szCs w:val="20"/>
        </w:rPr>
        <w:t>.</w:t>
      </w:r>
    </w:p>
    <w:p w14:paraId="26B6F419" w14:textId="77777777" w:rsidR="00F35929" w:rsidRDefault="00F35929">
      <w:pPr>
        <w:jc w:val="both"/>
        <w:rPr>
          <w:rFonts w:ascii="NimbusSanL;Times New Roman" w:hAnsi="NimbusSanL;Times New Roman" w:cs="NimbusSanL;Times New Roman"/>
          <w:sz w:val="20"/>
          <w:szCs w:val="20"/>
        </w:rPr>
      </w:pPr>
    </w:p>
    <w:p w14:paraId="53BF282A" w14:textId="77777777" w:rsidR="00F35929" w:rsidRDefault="002B5C50">
      <w:pPr>
        <w:pStyle w:val="BodyText"/>
        <w:spacing w:after="0" w:line="240" w:lineRule="auto"/>
        <w:jc w:val="center"/>
        <w:rPr>
          <w:rFonts w:ascii="NimbusSanL;Times New Roman" w:hAnsi="NimbusSanL;Times New Roman" w:cs="NimbusSanL;Times New Roman"/>
          <w:sz w:val="20"/>
          <w:szCs w:val="20"/>
        </w:rPr>
      </w:pPr>
      <w:r>
        <w:rPr>
          <w:rFonts w:ascii="NimbusSanL;Times New Roman" w:hAnsi="NimbusSanL;Times New Roman" w:cs="NimbusSanL;Times New Roman"/>
          <w:noProof/>
          <w:sz w:val="20"/>
          <w:szCs w:val="20"/>
        </w:rPr>
        <w:drawing>
          <wp:inline distT="0" distB="0" distL="0" distR="0" wp14:anchorId="263AB4CC" wp14:editId="3536CA8E">
            <wp:extent cx="3429000" cy="1739900"/>
            <wp:effectExtent l="0" t="0" r="0" b="0"/>
            <wp:docPr id="10"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pic:cNvPicPr>
                      <a:picLocks noChangeAspect="1" noChangeArrowheads="1"/>
                    </pic:cNvPicPr>
                  </pic:nvPicPr>
                  <pic:blipFill>
                    <a:blip r:embed="rId11"/>
                    <a:srcRect l="-151" t="-300" r="-151" b="-300"/>
                    <a:stretch>
                      <a:fillRect/>
                    </a:stretch>
                  </pic:blipFill>
                  <pic:spPr bwMode="auto">
                    <a:xfrm>
                      <a:off x="0" y="0"/>
                      <a:ext cx="3429000" cy="1739900"/>
                    </a:xfrm>
                    <a:prstGeom prst="rect">
                      <a:avLst/>
                    </a:prstGeom>
                  </pic:spPr>
                </pic:pic>
              </a:graphicData>
            </a:graphic>
          </wp:inline>
        </w:drawing>
      </w:r>
    </w:p>
    <w:p w14:paraId="6774BF3A"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04D90A76"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lastRenderedPageBreak/>
        <w:t xml:space="preserve">Du côté de la police, la proportion des enquêtes judiciaires internes traitées par l’IGPN est à peu près la même : de l’ordre de 10 %. Mais l’IGPN ne communique que les chiffres des enquêtes dont elle a elle-même été saisie, à savoir 1015 enquêtes judiciaires en 2023. D’année en année (sauf pic en 2019 au moment des Gilets jaunes), </w:t>
      </w:r>
      <w:r>
        <w:rPr>
          <w:rFonts w:ascii="NimbusSanL;Times New Roman" w:hAnsi="NimbusSanL;Times New Roman" w:cs="NimbusSanL;Times New Roman"/>
          <w:b/>
          <w:bCs/>
          <w:sz w:val="20"/>
          <w:szCs w:val="20"/>
        </w:rPr>
        <w:t>le nombre d’enquêtes judiciaires traitées par l’IGPN reste stable, autour du millier, mais ne dit rien du nombre total d’enquêtes ouvertes contre des policiers. Cette dernière donnée, pourtant basique, et essentielle dans le débat public sur l’usage de la force, reste toujours inconnue</w:t>
      </w:r>
      <w:r>
        <w:rPr>
          <w:rFonts w:ascii="NimbusSanL;Times New Roman" w:hAnsi="NimbusSanL;Times New Roman" w:cs="NimbusSanL;Times New Roman"/>
          <w:sz w:val="20"/>
          <w:szCs w:val="20"/>
        </w:rPr>
        <w:t>. En dépit de multiples relances, la DGPN ne répond pas aux questions de Flagrant déni sur ce sujet.</w:t>
      </w:r>
    </w:p>
    <w:p w14:paraId="1573040C"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786EF628"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Il semble cependant que la part des enquêtes traitées en dehors de l’IGPN </w:t>
      </w:r>
      <w:r>
        <w:rPr>
          <w:rFonts w:ascii="NimbusSanL;Times New Roman" w:hAnsi="NimbusSanL;Times New Roman" w:cs="NimbusSanL;Times New Roman"/>
          <w:sz w:val="20"/>
          <w:szCs w:val="20"/>
        </w:rPr>
        <w:t>tend à augmenter. En effet, si le « portefeuille » de l’IGPN lui, reste très stable, le nombre global d’enquêtes ouvertes pour violences par personnes dépositaires de l’autorité publique (PDAP) tend à augmenter</w:t>
      </w:r>
      <w:r>
        <w:rPr>
          <w:rStyle w:val="FootnoteReference"/>
          <w:rFonts w:ascii="NimbusSanL;Times New Roman" w:hAnsi="NimbusSanL;Times New Roman" w:cs="NimbusSanL;Times New Roman"/>
          <w:sz w:val="20"/>
          <w:szCs w:val="20"/>
        </w:rPr>
        <w:footnoteReference w:id="37"/>
      </w:r>
      <w:r>
        <w:rPr>
          <w:rFonts w:ascii="NimbusSanL;Times New Roman" w:hAnsi="NimbusSanL;Times New Roman" w:cs="NimbusSanL;Times New Roman"/>
          <w:sz w:val="20"/>
          <w:szCs w:val="20"/>
        </w:rPr>
        <w:t xml:space="preserve">. L’IGPN le reconnaît d’ailleurs dans son rapport d’activités 2023 </w:t>
      </w:r>
      <w:r>
        <w:rPr>
          <w:rFonts w:ascii="NimbusSanL;Times New Roman" w:hAnsi="NimbusSanL;Times New Roman" w:cs="NimbusSanL;Times New Roman"/>
          <w:b/>
          <w:bCs/>
          <w:sz w:val="20"/>
          <w:szCs w:val="20"/>
        </w:rPr>
        <w:t>(cf. supra, n°II.3.)</w:t>
      </w:r>
      <w:r>
        <w:rPr>
          <w:rFonts w:ascii="NimbusSanL;Times New Roman" w:hAnsi="NimbusSanL;Times New Roman" w:cs="NimbusSanL;Times New Roman"/>
          <w:sz w:val="20"/>
          <w:szCs w:val="20"/>
        </w:rPr>
        <w:t xml:space="preserve"> et dans un « </w:t>
      </w:r>
      <w:r>
        <w:rPr>
          <w:rFonts w:ascii="NimbusSanL;Times New Roman" w:hAnsi="NimbusSanL;Times New Roman" w:cs="NimbusSanL;Times New Roman"/>
          <w:i/>
          <w:iCs/>
          <w:sz w:val="20"/>
          <w:szCs w:val="20"/>
        </w:rPr>
        <w:t>protocole de saisine</w:t>
      </w:r>
      <w:r>
        <w:rPr>
          <w:rFonts w:ascii="NimbusSanL;Times New Roman" w:hAnsi="NimbusSanL;Times New Roman" w:cs="NimbusSanL;Times New Roman"/>
          <w:sz w:val="20"/>
          <w:szCs w:val="20"/>
        </w:rPr>
        <w:t> » adressé au ministère de la Justice en 2022 : « </w:t>
      </w:r>
      <w:r>
        <w:rPr>
          <w:rFonts w:ascii="NimbusSanL;Times New Roman" w:hAnsi="NimbusSanL;Times New Roman" w:cs="NimbusSanL;Times New Roman"/>
          <w:b/>
          <w:bCs/>
          <w:i/>
          <w:iCs/>
          <w:sz w:val="20"/>
          <w:szCs w:val="20"/>
        </w:rPr>
        <w:t>Depuis plusieurs années, l’IGPN a enregistré une augmentation du nombre de saisines pour différentes raisons, dont l’augmentation de la contestation des opérations de police par les usagers</w:t>
      </w:r>
      <w:r>
        <w:rPr>
          <w:rFonts w:ascii="NimbusSanL;Times New Roman" w:hAnsi="NimbusSanL;Times New Roman" w:cs="NimbusSanL;Times New Roman"/>
          <w:i/>
          <w:iCs/>
          <w:sz w:val="20"/>
          <w:szCs w:val="20"/>
        </w:rPr>
        <w:t xml:space="preserve"> et le recours plus fréquent des parquets à la saisir en première intention. Sauf à obérer son efficacité et à contester sa caractéristique de service s</w:t>
      </w:r>
      <w:r>
        <w:rPr>
          <w:rFonts w:ascii="NimbusSanL;Times New Roman" w:hAnsi="NimbusSanL;Times New Roman" w:cs="NimbusSanL;Times New Roman"/>
          <w:i/>
          <w:iCs/>
          <w:sz w:val="20"/>
          <w:szCs w:val="20"/>
        </w:rPr>
        <w:t>pécialisé […], la politique de saisine de l’IGPN doit être maîtrisée, car les ressources de l’IGPN ne permettent pas, ou plus, de faire face à des saisines systématiques ou de principe, notamment fondées sur les critères historiques de l’ex-IGS [l’ancêtre de l’IGPN à Paris] que l’IGPN ne peut reprendre à son compte</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38"/>
      </w:r>
      <w:r>
        <w:rPr>
          <w:rFonts w:ascii="NimbusSanL;Times New Roman" w:hAnsi="NimbusSanL;Times New Roman" w:cs="NimbusSanL;Times New Roman"/>
          <w:sz w:val="20"/>
          <w:szCs w:val="20"/>
        </w:rPr>
        <w:t>.</w:t>
      </w:r>
    </w:p>
    <w:p w14:paraId="53E64667"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4427D095"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A l’ombre de l’IGPN, et pour faire face à cette hausse du nombre de saisines, d’autres services jouent donc un rôle de plus en plus important… et parfaitement invisible du public. Car ces services ne semblent remonter aucune donnée statistique sur leur activité de police des polices. Sébastian Roché, chercheur au CNRS, explique : « </w:t>
      </w:r>
      <w:r>
        <w:rPr>
          <w:rStyle w:val="Emphasis"/>
          <w:rFonts w:ascii="NimbusSanL;Times New Roman" w:hAnsi="NimbusSanL;Times New Roman" w:cs="NimbusSanL;Times New Roman"/>
          <w:b/>
          <w:bCs/>
          <w:sz w:val="20"/>
          <w:szCs w:val="20"/>
        </w:rPr>
        <w:t>Il faudrait déjà que les cellules déontologiques soient déontologiques, et qu’elles rendent publique leur activité. Or elles ne le font pas.</w:t>
      </w:r>
      <w:r>
        <w:rPr>
          <w:rStyle w:val="Emphasis"/>
          <w:rFonts w:ascii="NimbusSanL;Times New Roman" w:hAnsi="NimbusSanL;Times New Roman" w:cs="NimbusSanL;Times New Roman"/>
          <w:sz w:val="20"/>
          <w:szCs w:val="20"/>
        </w:rPr>
        <w:t xml:space="preserve"> Même si elles n’ont pas les moyens d’analyser leurs données, il faudrait au moins qu’elles les partagent. Et à ma connaissance, elles ne le font pas</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39"/>
      </w:r>
      <w:r>
        <w:rPr>
          <w:rFonts w:ascii="NimbusSanL;Times New Roman" w:hAnsi="NimbusSanL;Times New Roman" w:cs="NimbusSanL;Times New Roman"/>
          <w:sz w:val="20"/>
          <w:szCs w:val="20"/>
        </w:rPr>
        <w:t>. Une source policière confirme à Flagrant déni n’avoir jamais été sollicitée par l’IGPN ou la hiérarchie pour remonter les statistiques de son activité d’enquêtes internes</w:t>
      </w:r>
      <w:r>
        <w:rPr>
          <w:rStyle w:val="FootnoteReference"/>
          <w:rFonts w:ascii="NimbusSanL;Times New Roman" w:hAnsi="NimbusSanL;Times New Roman" w:cs="NimbusSanL;Times New Roman"/>
          <w:sz w:val="20"/>
          <w:szCs w:val="20"/>
        </w:rPr>
        <w:footnoteReference w:id="40"/>
      </w:r>
      <w:r>
        <w:rPr>
          <w:rFonts w:ascii="NimbusSanL;Times New Roman" w:hAnsi="NimbusSanL;Times New Roman" w:cs="NimbusSanL;Times New Roman"/>
          <w:sz w:val="20"/>
          <w:szCs w:val="20"/>
        </w:rPr>
        <w:t xml:space="preserve">. </w:t>
      </w:r>
    </w:p>
    <w:p w14:paraId="4679C4F0"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4884F8BD"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Mais </w:t>
      </w:r>
      <w:r>
        <w:rPr>
          <w:rFonts w:ascii="NimbusSanL;Times New Roman" w:hAnsi="NimbusSanL;Times New Roman" w:cs="NimbusSanL;Times New Roman"/>
          <w:b/>
          <w:bCs/>
          <w:sz w:val="20"/>
          <w:szCs w:val="20"/>
        </w:rPr>
        <w:t>ces défaillances statistiques semblent avoir un intérêt pour les pouvoirs publics : elles leur permettent de communiquer des chiffres tronqués, au rabais, et qui tendent à minimiser le degré de violence policière</w:t>
      </w:r>
      <w:r>
        <w:rPr>
          <w:rFonts w:ascii="NimbusSanL;Times New Roman" w:hAnsi="NimbusSanL;Times New Roman" w:cs="NimbusSanL;Times New Roman"/>
          <w:sz w:val="20"/>
          <w:szCs w:val="20"/>
        </w:rPr>
        <w:t>. Au cours du mouvement pour les retraites de 2023, le ministère de l’Intérieur a communiqué publiquement le chiffre de 36 enquêtes confiées à l’IGPN pour des faits d’allégation d’usage excessif de la force, et les médias ont très largement repris ce chiffre. Or, comme a pu le constater Flagrant dén</w:t>
      </w:r>
      <w:r>
        <w:rPr>
          <w:rFonts w:ascii="NimbusSanL;Times New Roman" w:hAnsi="NimbusSanL;Times New Roman" w:cs="NimbusSanL;Times New Roman"/>
          <w:sz w:val="20"/>
          <w:szCs w:val="20"/>
        </w:rPr>
        <w:t>i, de nombreuses affaires ont été attribuées à d’autres services</w:t>
      </w:r>
      <w:r>
        <w:rPr>
          <w:rStyle w:val="FootnoteReference"/>
          <w:rFonts w:ascii="NimbusSanL;Times New Roman" w:hAnsi="NimbusSanL;Times New Roman" w:cs="NimbusSanL;Times New Roman"/>
          <w:sz w:val="20"/>
          <w:szCs w:val="20"/>
        </w:rPr>
        <w:footnoteReference w:id="41"/>
      </w:r>
      <w:r>
        <w:rPr>
          <w:rFonts w:ascii="NimbusSanL;Times New Roman" w:hAnsi="NimbusSanL;Times New Roman" w:cs="NimbusSanL;Times New Roman"/>
          <w:sz w:val="20"/>
          <w:szCs w:val="20"/>
        </w:rPr>
        <w:t>. Questionnée à l’époque, la DGPN avait assuré à Flagrant déni ne pas disposer des données sur l’ensemble des enquêtes ouvertes</w:t>
      </w:r>
      <w:r>
        <w:rPr>
          <w:rStyle w:val="FootnoteReference"/>
          <w:rFonts w:ascii="NimbusSanL;Times New Roman" w:hAnsi="NimbusSanL;Times New Roman" w:cs="NimbusSanL;Times New Roman"/>
          <w:sz w:val="20"/>
          <w:szCs w:val="20"/>
        </w:rPr>
        <w:footnoteReference w:id="42"/>
      </w:r>
      <w:r>
        <w:rPr>
          <w:rFonts w:ascii="NimbusSanL;Times New Roman" w:hAnsi="NimbusSanL;Times New Roman" w:cs="NimbusSanL;Times New Roman"/>
          <w:sz w:val="20"/>
          <w:szCs w:val="20"/>
        </w:rPr>
        <w:t>.</w:t>
      </w:r>
    </w:p>
    <w:p w14:paraId="3047446D"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3918D44D"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Même </w:t>
      </w:r>
      <w:r>
        <w:rPr>
          <w:rFonts w:ascii="NimbusSanL;Times New Roman" w:hAnsi="NimbusSanL;Times New Roman" w:cs="NimbusSanL;Times New Roman"/>
          <w:b/>
          <w:bCs/>
          <w:sz w:val="20"/>
          <w:szCs w:val="20"/>
        </w:rPr>
        <w:t>devant le Comité des droits humains de l’ONU, la France a réitéré ce type de réponse volontiers partielle, à propos du mouvement des Gilets jaunes</w:t>
      </w:r>
      <w:r>
        <w:rPr>
          <w:rFonts w:ascii="NimbusSanL;Times New Roman" w:hAnsi="NimbusSanL;Times New Roman" w:cs="NimbusSanL;Times New Roman"/>
          <w:sz w:val="20"/>
          <w:szCs w:val="20"/>
        </w:rPr>
        <w:t>. Les autorités se sont bornées à indiquer que « </w:t>
      </w:r>
      <w:r>
        <w:rPr>
          <w:rFonts w:ascii="NimbusSanL;Times New Roman" w:hAnsi="NimbusSanL;Times New Roman" w:cs="NimbusSanL;Times New Roman"/>
          <w:i/>
          <w:iCs/>
          <w:sz w:val="20"/>
          <w:szCs w:val="20"/>
        </w:rPr>
        <w:t xml:space="preserve">en 2019, 1 460 enquêtes judiciaires ont été confiées à l’IGPN : 292 saisines étaient spécifiquement liées à l’usage de la force ou des armes lors des manifestations des gilets jaunes ; 1 322 enquêtes ont été closes et transmises à l’autorité judiciaire. En 2020, 1101 enquêtes judiciaires ont été ouvertes tandis que </w:t>
      </w:r>
      <w:r>
        <w:rPr>
          <w:rFonts w:ascii="NimbusSanL;Times New Roman" w:hAnsi="NimbusSanL;Times New Roman" w:cs="NimbusSanL;Times New Roman"/>
          <w:i/>
          <w:iCs/>
          <w:sz w:val="20"/>
          <w:szCs w:val="20"/>
        </w:rPr>
        <w:t>1 167 étaient closes et transmises à l’autorité judiciaire</w:t>
      </w:r>
      <w:r>
        <w:rPr>
          <w:rFonts w:ascii="NimbusSanL;Times New Roman" w:hAnsi="NimbusSanL;Times New Roman" w:cs="NimbusSanL;Times New Roman"/>
          <w:sz w:val="20"/>
          <w:szCs w:val="20"/>
        </w:rPr>
        <w:t> ». Or là encore, de nombreuses affaires ont été confiées à d’autres services d’enquête. Pour les Gilets jaunes, le mouvement sur les retraites ou les émeutes urbaines de 2023, le nombre total d’affaires d’allégations d’usage excessif de la force portées à la connaissance de la Justice reste inconnu</w:t>
      </w:r>
      <w:r>
        <w:rPr>
          <w:rStyle w:val="FootnoteReference"/>
          <w:rFonts w:ascii="NimbusSanL;Times New Roman" w:hAnsi="NimbusSanL;Times New Roman" w:cs="NimbusSanL;Times New Roman"/>
          <w:sz w:val="20"/>
          <w:szCs w:val="20"/>
        </w:rPr>
        <w:footnoteReference w:id="43"/>
      </w:r>
      <w:r>
        <w:rPr>
          <w:rFonts w:ascii="NimbusSanL;Times New Roman" w:hAnsi="NimbusSanL;Times New Roman" w:cs="NimbusSanL;Times New Roman"/>
          <w:sz w:val="20"/>
          <w:szCs w:val="20"/>
        </w:rPr>
        <w:t>.</w:t>
      </w:r>
    </w:p>
    <w:p w14:paraId="08956B7D" w14:textId="77777777" w:rsidR="00F35929" w:rsidRDefault="00F35929">
      <w:pPr>
        <w:pStyle w:val="BodyText"/>
        <w:spacing w:after="0" w:line="240" w:lineRule="auto"/>
        <w:rPr>
          <w:rFonts w:ascii="NimbusSanL;Times New Roman" w:hAnsi="NimbusSanL;Times New Roman" w:cs="NimbusSanL;Times New Roman"/>
          <w:sz w:val="20"/>
          <w:szCs w:val="20"/>
        </w:rPr>
      </w:pPr>
    </w:p>
    <w:p w14:paraId="674941E5" w14:textId="77777777" w:rsidR="00F35929" w:rsidRDefault="00F35929">
      <w:pPr>
        <w:pStyle w:val="BodyText"/>
        <w:spacing w:after="0" w:line="240" w:lineRule="auto"/>
        <w:rPr>
          <w:rFonts w:ascii="NimbusSanL;Times New Roman" w:hAnsi="NimbusSanL;Times New Roman" w:cs="NimbusSanL;Times New Roman"/>
          <w:sz w:val="20"/>
          <w:szCs w:val="20"/>
        </w:rPr>
      </w:pPr>
    </w:p>
    <w:p w14:paraId="0071E3D5" w14:textId="77777777" w:rsidR="00F35929" w:rsidRDefault="00F35929">
      <w:pPr>
        <w:rPr>
          <w:rFonts w:ascii="NimbusSanL;Times New Roman" w:hAnsi="NimbusSanL;Times New Roman" w:cs="NimbusSanL;Times New Roman"/>
          <w:sz w:val="20"/>
          <w:szCs w:val="20"/>
        </w:rPr>
      </w:pPr>
    </w:p>
    <w:p w14:paraId="2C3E1C9A" w14:textId="77777777" w:rsidR="00F35929" w:rsidRDefault="002B5C50">
      <w:pPr>
        <w:rPr>
          <w:rFonts w:ascii="NimbusSanL;Times New Roman" w:hAnsi="NimbusSanL;Times New Roman" w:cs="NimbusSanL;Times New Roman"/>
          <w:sz w:val="20"/>
          <w:szCs w:val="20"/>
        </w:rPr>
      </w:pPr>
      <w:r>
        <w:rPr>
          <w:rFonts w:ascii="NimbusSanL;Times New Roman" w:hAnsi="NimbusSanL;Times New Roman" w:cs="NimbusSanL;Times New Roman"/>
          <w:b/>
          <w:bCs/>
          <w:sz w:val="20"/>
          <w:szCs w:val="20"/>
        </w:rPr>
        <w:t>II.2. Au moins un quart des affaires d’homicides policiers échappe à l’IGPN</w:t>
      </w:r>
    </w:p>
    <w:p w14:paraId="65DBF897" w14:textId="77777777" w:rsidR="00F35929" w:rsidRDefault="00F35929">
      <w:pPr>
        <w:rPr>
          <w:rFonts w:ascii="NimbusSanL;Times New Roman" w:hAnsi="NimbusSanL;Times New Roman" w:cs="NimbusSanL;Times New Roman"/>
          <w:sz w:val="20"/>
          <w:szCs w:val="20"/>
        </w:rPr>
      </w:pPr>
    </w:p>
    <w:p w14:paraId="42DCAA7C"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L’analyse détaillée par Flagrant déni de 433 cas d’homicides policiers recensés sur période 2000 et 2024</w:t>
      </w:r>
      <w:r>
        <w:rPr>
          <w:rStyle w:val="FootnoteReference"/>
          <w:rFonts w:ascii="NimbusSanL;Times New Roman" w:hAnsi="NimbusSanL;Times New Roman" w:cs="NimbusSanL;Times New Roman"/>
          <w:sz w:val="20"/>
          <w:szCs w:val="20"/>
        </w:rPr>
        <w:footnoteReference w:id="44"/>
      </w:r>
      <w:r>
        <w:rPr>
          <w:rFonts w:ascii="NimbusSanL;Times New Roman" w:hAnsi="NimbusSanL;Times New Roman" w:cs="NimbusSanL;Times New Roman"/>
          <w:sz w:val="20"/>
          <w:szCs w:val="20"/>
        </w:rPr>
        <w:t xml:space="preserve"> montre que contrairement à une idée reçue, tous ne font pas l’objet d’une enquête de l’IGPN. </w:t>
      </w:r>
      <w:proofErr w:type="gramStart"/>
      <w:r>
        <w:rPr>
          <w:rFonts w:ascii="NimbusSanL;Times New Roman" w:hAnsi="NimbusSanL;Times New Roman" w:cs="NimbusSanL;Times New Roman"/>
          <w:sz w:val="20"/>
          <w:szCs w:val="20"/>
        </w:rPr>
        <w:t>Loin s’en faut</w:t>
      </w:r>
      <w:proofErr w:type="gramEnd"/>
      <w:r>
        <w:rPr>
          <w:rFonts w:ascii="NimbusSanL;Times New Roman" w:hAnsi="NimbusSanL;Times New Roman" w:cs="NimbusSanL;Times New Roman"/>
          <w:sz w:val="20"/>
          <w:szCs w:val="20"/>
        </w:rPr>
        <w:t xml:space="preserve"> : </w:t>
      </w:r>
      <w:r>
        <w:rPr>
          <w:rFonts w:ascii="NimbusSanL;Times New Roman" w:hAnsi="NimbusSanL;Times New Roman" w:cs="NimbusSanL;Times New Roman"/>
          <w:b/>
          <w:bCs/>
          <w:sz w:val="20"/>
          <w:szCs w:val="20"/>
        </w:rPr>
        <w:t xml:space="preserve">dans </w:t>
      </w:r>
      <w:r>
        <w:rPr>
          <w:rFonts w:ascii="NimbusSanL;Times New Roman" w:hAnsi="NimbusSanL;Times New Roman" w:cs="NimbusSanL;Times New Roman"/>
          <w:b/>
          <w:bCs/>
          <w:sz w:val="20"/>
          <w:szCs w:val="20"/>
        </w:rPr>
        <w:lastRenderedPageBreak/>
        <w:t>au moins une centaine de cas, soit près du quart, la presse mentionne explicitement que le parquet n’a pas saisi l’Inspection générale</w:t>
      </w:r>
      <w:r>
        <w:rPr>
          <w:rFonts w:ascii="NimbusSanL;Times New Roman" w:hAnsi="NimbusSanL;Times New Roman" w:cs="NimbusSanL;Times New Roman"/>
          <w:sz w:val="20"/>
          <w:szCs w:val="20"/>
        </w:rPr>
        <w:t xml:space="preserve">. </w:t>
      </w:r>
    </w:p>
    <w:p w14:paraId="26852F50" w14:textId="77777777" w:rsidR="00F35929" w:rsidRDefault="00F35929">
      <w:pPr>
        <w:jc w:val="both"/>
        <w:rPr>
          <w:rFonts w:ascii="NimbusSanL;Times New Roman" w:hAnsi="NimbusSanL;Times New Roman" w:cs="NimbusSanL;Times New Roman"/>
          <w:sz w:val="20"/>
          <w:szCs w:val="20"/>
        </w:rPr>
      </w:pPr>
    </w:p>
    <w:p w14:paraId="5E74E8DA"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Premier cas typique de décès ne donnant pas lieu à une saisine de l’Inspection : celui qui intervient à la suite d’un accident corporel de la circulation. En janvier 2023, deux jeunes hommes décèdent sur la commune de Saint-Herblain (Loire-Atlantique) à la suite d’une course poursuite. Le soir des faits, le procureur de la République affirme à la presse que « </w:t>
      </w:r>
      <w:r>
        <w:rPr>
          <w:rFonts w:ascii="NimbusSanL;Times New Roman" w:hAnsi="NimbusSanL;Times New Roman" w:cs="NimbusSanL;Times New Roman"/>
          <w:i/>
          <w:iCs/>
          <w:sz w:val="20"/>
          <w:szCs w:val="20"/>
        </w:rPr>
        <w:t>rien ne permet de déterminer une mise en danger de la vie d'autrui. Aucun élément ne met en cause l'action des services de police</w:t>
      </w:r>
      <w:r>
        <w:rPr>
          <w:rFonts w:ascii="NimbusSanL;Times New Roman" w:hAnsi="NimbusSanL;Times New Roman" w:cs="NimbusSanL;Times New Roman"/>
          <w:sz w:val="20"/>
          <w:szCs w:val="20"/>
        </w:rPr>
        <w:t> ». Par conséquent « </w:t>
      </w:r>
      <w:r>
        <w:rPr>
          <w:rStyle w:val="Emphasis"/>
          <w:rFonts w:ascii="NimbusSanL;Times New Roman" w:hAnsi="NimbusSanL;Times New Roman" w:cs="NimbusSanL;Times New Roman"/>
          <w:sz w:val="20"/>
          <w:szCs w:val="20"/>
        </w:rPr>
        <w:t>l'IGPN</w:t>
      </w:r>
      <w:r>
        <w:rPr>
          <w:rFonts w:ascii="NimbusSanL;Times New Roman" w:hAnsi="NimbusSanL;Times New Roman" w:cs="NimbusSanL;Times New Roman"/>
          <w:sz w:val="20"/>
          <w:szCs w:val="20"/>
        </w:rPr>
        <w:t xml:space="preserve"> </w:t>
      </w:r>
      <w:r>
        <w:rPr>
          <w:rStyle w:val="Emphasis"/>
          <w:rFonts w:ascii="NimbusSanL;Times New Roman" w:hAnsi="NimbusSanL;Times New Roman" w:cs="NimbusSanL;Times New Roman"/>
          <w:sz w:val="20"/>
          <w:szCs w:val="20"/>
        </w:rPr>
        <w:t>n'est pas saisie à ce stade de l'enquête</w:t>
      </w:r>
      <w:r>
        <w:rPr>
          <w:rStyle w:val="Emphasis"/>
          <w:rFonts w:ascii="NimbusSanL;Times New Roman" w:hAnsi="NimbusSanL;Times New Roman" w:cs="NimbusSanL;Times New Roman"/>
          <w:i w:val="0"/>
          <w:iCs w:val="0"/>
          <w:sz w:val="20"/>
          <w:szCs w:val="20"/>
        </w:rPr>
        <w:t> »</w:t>
      </w:r>
      <w:r>
        <w:rPr>
          <w:rStyle w:val="FootnoteReference"/>
          <w:rFonts w:ascii="NimbusSanL;Times New Roman" w:hAnsi="NimbusSanL;Times New Roman" w:cs="NimbusSanL;Times New Roman"/>
          <w:sz w:val="20"/>
          <w:szCs w:val="20"/>
        </w:rPr>
        <w:footnoteReference w:id="45"/>
      </w:r>
      <w:r>
        <w:rPr>
          <w:rStyle w:val="Emphasis"/>
          <w:rFonts w:ascii="NimbusSanL;Times New Roman" w:hAnsi="NimbusSanL;Times New Roman" w:cs="NimbusSanL;Times New Roman"/>
          <w:i w:val="0"/>
          <w:iCs w:val="0"/>
          <w:sz w:val="20"/>
          <w:szCs w:val="20"/>
        </w:rPr>
        <w:t xml:space="preserve">. Cette pratique est récurrente, </w:t>
      </w:r>
      <w:proofErr w:type="gramStart"/>
      <w:r>
        <w:rPr>
          <w:rStyle w:val="Emphasis"/>
          <w:rFonts w:ascii="NimbusSanL;Times New Roman" w:hAnsi="NimbusSanL;Times New Roman" w:cs="NimbusSanL;Times New Roman"/>
          <w:i w:val="0"/>
          <w:iCs w:val="0"/>
          <w:sz w:val="20"/>
          <w:szCs w:val="20"/>
        </w:rPr>
        <w:t>comme par exemple</w:t>
      </w:r>
      <w:proofErr w:type="gramEnd"/>
      <w:r>
        <w:rPr>
          <w:rStyle w:val="Emphasis"/>
          <w:rFonts w:ascii="NimbusSanL;Times New Roman" w:hAnsi="NimbusSanL;Times New Roman" w:cs="NimbusSanL;Times New Roman"/>
          <w:i w:val="0"/>
          <w:iCs w:val="0"/>
          <w:sz w:val="20"/>
          <w:szCs w:val="20"/>
        </w:rPr>
        <w:t xml:space="preserve"> suite au décès d’un jeune homme à Paris en novembre 2023</w:t>
      </w:r>
      <w:r>
        <w:rPr>
          <w:rStyle w:val="FootnoteReference"/>
          <w:rFonts w:ascii="NimbusSanL;Times New Roman" w:hAnsi="NimbusSanL;Times New Roman" w:cs="NimbusSanL;Times New Roman"/>
          <w:sz w:val="20"/>
          <w:szCs w:val="20"/>
        </w:rPr>
        <w:footnoteReference w:id="46"/>
      </w:r>
      <w:r>
        <w:rPr>
          <w:rStyle w:val="Emphasis"/>
          <w:rFonts w:ascii="NimbusSanL;Times New Roman" w:hAnsi="NimbusSanL;Times New Roman" w:cs="NimbusSanL;Times New Roman"/>
          <w:i w:val="0"/>
          <w:iCs w:val="0"/>
          <w:sz w:val="20"/>
          <w:szCs w:val="20"/>
        </w:rPr>
        <w:t xml:space="preserve">, de deux hommes à Paris à </w:t>
      </w:r>
      <w:r>
        <w:rPr>
          <w:rStyle w:val="Emphasis"/>
          <w:rFonts w:ascii="NimbusSanL;Times New Roman" w:hAnsi="NimbusSanL;Times New Roman" w:cs="NimbusSanL;Times New Roman"/>
          <w:i w:val="0"/>
          <w:iCs w:val="0"/>
          <w:sz w:val="20"/>
          <w:szCs w:val="20"/>
        </w:rPr>
        <w:t>Bobigny en 2014</w:t>
      </w:r>
      <w:r>
        <w:rPr>
          <w:rStyle w:val="FootnoteReference"/>
          <w:rFonts w:ascii="NimbusSanL;Times New Roman" w:hAnsi="NimbusSanL;Times New Roman" w:cs="NimbusSanL;Times New Roman"/>
          <w:sz w:val="20"/>
          <w:szCs w:val="20"/>
        </w:rPr>
        <w:footnoteReference w:id="47"/>
      </w:r>
      <w:r>
        <w:rPr>
          <w:rStyle w:val="Emphasis"/>
          <w:rFonts w:ascii="NimbusSanL;Times New Roman" w:hAnsi="NimbusSanL;Times New Roman" w:cs="NimbusSanL;Times New Roman"/>
          <w:i w:val="0"/>
          <w:iCs w:val="0"/>
          <w:sz w:val="20"/>
          <w:szCs w:val="20"/>
        </w:rPr>
        <w:t xml:space="preserve">, ou d’un jeune homme à Lyon en décembre 2016 </w:t>
      </w:r>
      <w:r>
        <w:rPr>
          <w:rStyle w:val="Emphasis"/>
          <w:rFonts w:ascii="NimbusSanL;Times New Roman" w:hAnsi="NimbusSanL;Times New Roman" w:cs="NimbusSanL;Times New Roman"/>
          <w:b/>
          <w:bCs/>
          <w:i w:val="0"/>
          <w:iCs w:val="0"/>
          <w:sz w:val="20"/>
          <w:szCs w:val="20"/>
        </w:rPr>
        <w:t>(voir encadré)</w:t>
      </w:r>
      <w:r>
        <w:rPr>
          <w:rStyle w:val="Emphasis"/>
          <w:rFonts w:ascii="NimbusSanL;Times New Roman" w:hAnsi="NimbusSanL;Times New Roman" w:cs="NimbusSanL;Times New Roman"/>
          <w:i w:val="0"/>
          <w:iCs w:val="0"/>
          <w:sz w:val="20"/>
          <w:szCs w:val="20"/>
        </w:rPr>
        <w:t xml:space="preserve">. La pratique des parquets consiste en général à saisir des services d’enquêtes spécialisés dans les accidents routiers, qui appartiennent souvent aux mêmes directions d’emploi que les fonctionnaires impliqués dans les accidents </w:t>
      </w:r>
      <w:r>
        <w:rPr>
          <w:rStyle w:val="Emphasis"/>
          <w:rFonts w:ascii="NimbusSanL;Times New Roman" w:hAnsi="NimbusSanL;Times New Roman" w:cs="NimbusSanL;Times New Roman"/>
          <w:b/>
          <w:bCs/>
          <w:i w:val="0"/>
          <w:iCs w:val="0"/>
          <w:sz w:val="20"/>
          <w:szCs w:val="20"/>
        </w:rPr>
        <w:t>(cf. infra, n°II.4)</w:t>
      </w:r>
      <w:r>
        <w:rPr>
          <w:rStyle w:val="Emphasis"/>
          <w:rFonts w:ascii="NimbusSanL;Times New Roman" w:hAnsi="NimbusSanL;Times New Roman" w:cs="NimbusSanL;Times New Roman"/>
          <w:i w:val="0"/>
          <w:iCs w:val="0"/>
          <w:sz w:val="20"/>
          <w:szCs w:val="20"/>
        </w:rPr>
        <w:t>.</w:t>
      </w:r>
    </w:p>
    <w:p w14:paraId="4615D666" w14:textId="77777777" w:rsidR="00F35929" w:rsidRDefault="00F35929">
      <w:pPr>
        <w:jc w:val="both"/>
        <w:rPr>
          <w:rFonts w:ascii="NimbusSanL;Times New Roman" w:hAnsi="NimbusSanL;Times New Roman" w:cs="NimbusSanL;Times New Roman"/>
          <w:sz w:val="20"/>
          <w:szCs w:val="20"/>
        </w:rPr>
      </w:pPr>
    </w:p>
    <w:p w14:paraId="4ECEF3C6" w14:textId="77777777" w:rsidR="00F35929" w:rsidRDefault="002B5C50">
      <w:pPr>
        <w:pStyle w:val="BodyText"/>
        <w:pBdr>
          <w:top w:val="single" w:sz="2" w:space="10" w:color="85CFFF"/>
          <w:left w:val="single" w:sz="2" w:space="10" w:color="85CFFF"/>
          <w:bottom w:val="single" w:sz="2" w:space="10" w:color="85CFFF"/>
          <w:right w:val="single" w:sz="2" w:space="10" w:color="85CFFF"/>
        </w:pBdr>
        <w:spacing w:after="0" w:line="240" w:lineRule="auto"/>
        <w:ind w:left="454" w:right="340"/>
        <w:jc w:val="center"/>
        <w:rPr>
          <w:rFonts w:ascii="Happy Times at the IKOB Italic" w:hAnsi="Happy Times at the IKOB Italic" w:cs="Happy Times at the IKOB Italic"/>
          <w:sz w:val="20"/>
          <w:szCs w:val="20"/>
        </w:rPr>
      </w:pPr>
      <w:r>
        <w:rPr>
          <w:rFonts w:ascii="Happy Times at the IKOB Italic" w:hAnsi="Happy Times at the IKOB Italic" w:cs="Happy Times at the IKOB Italic"/>
          <w:b/>
          <w:bCs/>
          <w:sz w:val="20"/>
          <w:szCs w:val="20"/>
        </w:rPr>
        <w:t>Mort de Mehdi D : l’enquête réalisée par des collègues des policiers mis en cause</w:t>
      </w:r>
    </w:p>
    <w:p w14:paraId="746AE245" w14:textId="77777777" w:rsidR="00F35929" w:rsidRDefault="00F35929">
      <w:pPr>
        <w:pStyle w:val="BodyText"/>
        <w:pBdr>
          <w:top w:val="single" w:sz="2" w:space="10" w:color="85CFFF"/>
          <w:left w:val="single" w:sz="2" w:space="10" w:color="85CFFF"/>
          <w:bottom w:val="single" w:sz="2" w:space="10" w:color="85CFFF"/>
          <w:right w:val="single" w:sz="2" w:space="10" w:color="85CFFF"/>
        </w:pBdr>
        <w:spacing w:after="0" w:line="240" w:lineRule="auto"/>
        <w:ind w:left="454" w:right="340"/>
        <w:jc w:val="both"/>
        <w:rPr>
          <w:rFonts w:ascii="Happy Times at the IKOB Italic" w:hAnsi="Happy Times at the IKOB Italic" w:cs="Happy Times at the IKOB Italic"/>
          <w:sz w:val="20"/>
          <w:szCs w:val="20"/>
        </w:rPr>
      </w:pPr>
    </w:p>
    <w:p w14:paraId="43776E1F" w14:textId="77777777" w:rsidR="00F35929" w:rsidRDefault="002B5C50">
      <w:pPr>
        <w:pStyle w:val="BodyText"/>
        <w:pBdr>
          <w:top w:val="single" w:sz="2" w:space="10" w:color="85CFFF"/>
          <w:left w:val="single" w:sz="2" w:space="10" w:color="85CFFF"/>
          <w:bottom w:val="single" w:sz="2" w:space="10" w:color="85CFFF"/>
          <w:right w:val="single" w:sz="2" w:space="10" w:color="85CFFF"/>
        </w:pBdr>
        <w:spacing w:after="0" w:line="240" w:lineRule="auto"/>
        <w:ind w:left="454" w:right="340"/>
        <w:jc w:val="both"/>
        <w:rPr>
          <w:rFonts w:ascii="NimbusSanL;Times New Roman" w:hAnsi="NimbusSanL;Times New Roman" w:cs="NimbusSanL;Times New Roman"/>
          <w:sz w:val="20"/>
          <w:szCs w:val="20"/>
        </w:rPr>
      </w:pPr>
      <w:r>
        <w:rPr>
          <w:rFonts w:ascii="Happy Times at the IKOB Italic" w:hAnsi="Happy Times at the IKOB Italic" w:cs="Happy Times at the IKOB Italic"/>
          <w:sz w:val="20"/>
          <w:szCs w:val="20"/>
        </w:rPr>
        <w:t xml:space="preserve">Mehdi D. est mort en décembre 2016 à Lyon, alors qu’il était en scooter et suivi par la </w:t>
      </w:r>
      <w:r>
        <w:rPr>
          <w:rFonts w:ascii="Happy Times at the IKOB Italic" w:hAnsi="Happy Times at the IKOB Italic" w:cs="Happy Times at the IKOB Italic"/>
          <w:sz w:val="20"/>
          <w:szCs w:val="20"/>
        </w:rPr>
        <w:t>police. La cellule de déontologie, chargée de l’enquête, n’a pas auditionné les passagers du scooter, n’a réalisé aucun constat technique sur les véhicules, et n’a sollicité aucune expertise.</w:t>
      </w:r>
      <w:r>
        <w:rPr>
          <w:rStyle w:val="Emphasis"/>
          <w:rFonts w:ascii="Happy Times at the IKOB Italic" w:hAnsi="Happy Times at the IKOB Italic" w:cs="Happy Times at the IKOB Italic"/>
          <w:sz w:val="20"/>
          <w:szCs w:val="20"/>
        </w:rPr>
        <w:t xml:space="preserve"> </w:t>
      </w:r>
      <w:r>
        <w:rPr>
          <w:rFonts w:ascii="Happy Times at the IKOB Italic" w:hAnsi="Happy Times at the IKOB Italic" w:cs="Happy Times at the IKOB Italic"/>
          <w:sz w:val="20"/>
          <w:szCs w:val="20"/>
        </w:rPr>
        <w:t xml:space="preserve">Pour conclure à l’absence de faute des policiers, la cellule déontologie s’est presque totalement basée sur l’enquête de routine effectuée par les autres services sur l’accident… des collègues des policiers qui poursuivaient Mehdi. Les </w:t>
      </w:r>
      <w:r>
        <w:rPr>
          <w:rStyle w:val="Emphasis"/>
          <w:rFonts w:ascii="Happy Times at the IKOB Italic" w:hAnsi="Happy Times at the IKOB Italic" w:cs="Happy Times at the IKOB Italic"/>
          <w:i w:val="0"/>
          <w:iCs w:val="0"/>
          <w:sz w:val="20"/>
          <w:szCs w:val="20"/>
        </w:rPr>
        <w:t>premières constatations</w:t>
      </w:r>
      <w:r>
        <w:rPr>
          <w:rFonts w:ascii="Happy Times at the IKOB Italic" w:hAnsi="Happy Times at the IKOB Italic" w:cs="Happy Times at the IKOB Italic"/>
          <w:sz w:val="20"/>
          <w:szCs w:val="20"/>
        </w:rPr>
        <w:t xml:space="preserve"> attestent que sur le scooter de Mehdi, la roue arrière est «</w:t>
      </w:r>
      <w:r>
        <w:rPr>
          <w:rFonts w:ascii="Happy Times at the IKOB Italic" w:hAnsi="Happy Times at the IKOB Italic" w:cs="Happy Times at the IKOB Italic"/>
          <w:sz w:val="20"/>
          <w:szCs w:val="20"/>
        </w:rPr>
        <w:t> </w:t>
      </w:r>
      <w:r>
        <w:rPr>
          <w:rStyle w:val="Emphasis"/>
          <w:rFonts w:ascii="Happy Times at the IKOB Italic" w:hAnsi="Happy Times at the IKOB Italic" w:cs="Happy Times at the IKOB Italic"/>
          <w:sz w:val="20"/>
          <w:szCs w:val="20"/>
        </w:rPr>
        <w:t>tordue</w:t>
      </w:r>
      <w:r>
        <w:rPr>
          <w:rFonts w:ascii="Happy Times at the IKOB Italic" w:hAnsi="Happy Times at the IKOB Italic" w:cs="Happy Times at the IKOB Italic"/>
          <w:sz w:val="20"/>
          <w:szCs w:val="20"/>
        </w:rPr>
        <w:t> ». Preuve possible d’un choc important sur l’arrière du scooter, l’un des PV précise : « </w:t>
      </w:r>
      <w:r>
        <w:rPr>
          <w:rStyle w:val="Emphasis"/>
          <w:rFonts w:ascii="Happy Times at the IKOB Italic" w:hAnsi="Happy Times at the IKOB Italic" w:cs="Happy Times at the IKOB Italic"/>
          <w:sz w:val="20"/>
          <w:szCs w:val="20"/>
        </w:rPr>
        <w:t>A l’arrière, la roue est complètement désaxée sur la droite</w:t>
      </w:r>
      <w:r>
        <w:rPr>
          <w:rFonts w:ascii="Happy Times at the IKOB Italic" w:hAnsi="Happy Times at the IKOB Italic" w:cs="Happy Times at the IKOB Italic"/>
          <w:sz w:val="20"/>
          <w:szCs w:val="20"/>
        </w:rPr>
        <w:t> ». Malgré ces indices, et l’absence totale d’explication dans le dossier, l’hypothèse d’un violent contact avec la voiture de police, c’est-à-dire un « </w:t>
      </w:r>
      <w:proofErr w:type="spellStart"/>
      <w:r>
        <w:rPr>
          <w:rFonts w:ascii="Happy Times at the IKOB Italic" w:hAnsi="Happy Times at the IKOB Italic" w:cs="Happy Times at the IKOB Italic"/>
          <w:sz w:val="20"/>
          <w:szCs w:val="20"/>
        </w:rPr>
        <w:t>parchocage</w:t>
      </w:r>
      <w:proofErr w:type="spellEnd"/>
      <w:r>
        <w:rPr>
          <w:rFonts w:ascii="Happy Times at the IKOB Italic" w:hAnsi="Happy Times at the IKOB Italic" w:cs="Happy Times at the IKOB Italic"/>
          <w:sz w:val="20"/>
          <w:szCs w:val="20"/>
        </w:rPr>
        <w:t> », ne sera jamais envisagée</w:t>
      </w:r>
      <w:r>
        <w:rPr>
          <w:rStyle w:val="FootnoteReference"/>
          <w:rFonts w:ascii="Happy Times at the IKOB Italic" w:hAnsi="Happy Times at the IKOB Italic" w:cs="Happy Times at the IKOB Italic"/>
          <w:sz w:val="20"/>
          <w:szCs w:val="20"/>
        </w:rPr>
        <w:footnoteReference w:id="48"/>
      </w:r>
      <w:r>
        <w:rPr>
          <w:rFonts w:ascii="Happy Times at the IKOB Italic" w:hAnsi="Happy Times at the IKOB Italic" w:cs="Happy Times at the IKOB Italic"/>
          <w:sz w:val="20"/>
          <w:szCs w:val="20"/>
        </w:rPr>
        <w:t>. Pourtant, un passager situé à l’arrière du scooter affirme que le parechoc de la voiture de police « </w:t>
      </w:r>
      <w:r>
        <w:rPr>
          <w:rStyle w:val="Emphasis"/>
          <w:rFonts w:ascii="Happy Times at the IKOB Italic" w:hAnsi="Happy Times at the IKOB Italic" w:cs="Happy Times at the IKOB Italic"/>
          <w:sz w:val="20"/>
          <w:szCs w:val="20"/>
        </w:rPr>
        <w:t>était à 10 cm au niveau de ma hanche</w:t>
      </w:r>
      <w:r>
        <w:rPr>
          <w:rFonts w:ascii="Happy Times at the IKOB Italic" w:hAnsi="Happy Times at the IKOB Italic" w:cs="Happy Times at the IKOB Italic"/>
          <w:sz w:val="20"/>
          <w:szCs w:val="20"/>
        </w:rPr>
        <w:t> ». Le juge d’instruction n’a pas auditionné ce témoin clé. Dans l’instruction, les constatations techniques sur l’arrière du scooter sont passées sous silence. Se fondant sur les seuls récits policiers, l’ordonnance de non-lieu estime qu’« </w:t>
      </w:r>
      <w:r>
        <w:rPr>
          <w:rStyle w:val="Emphasis"/>
          <w:rFonts w:ascii="Happy Times at the IKOB Italic" w:hAnsi="Happy Times at the IKOB Italic" w:cs="Happy Times at the IKOB Italic"/>
          <w:sz w:val="20"/>
          <w:szCs w:val="20"/>
        </w:rPr>
        <w:t>il n’y a eu aucun contact entre le véhicule de police et le scooter</w:t>
      </w:r>
      <w:r>
        <w:rPr>
          <w:rFonts w:ascii="Happy Times at the IKOB Italic" w:hAnsi="Happy Times at the IKOB Italic" w:cs="Happy Times at the IKOB Italic"/>
          <w:sz w:val="20"/>
          <w:szCs w:val="20"/>
        </w:rPr>
        <w:t> »</w:t>
      </w:r>
      <w:r>
        <w:rPr>
          <w:rStyle w:val="FootnoteReference"/>
          <w:rFonts w:ascii="Happy Times at the IKOB Italic" w:hAnsi="Happy Times at the IKOB Italic" w:cs="Happy Times at the IKOB Italic"/>
          <w:sz w:val="20"/>
          <w:szCs w:val="20"/>
        </w:rPr>
        <w:footnoteReference w:id="49"/>
      </w:r>
      <w:r>
        <w:rPr>
          <w:rFonts w:ascii="Happy Times at the IKOB Italic" w:hAnsi="Happy Times at the IKOB Italic" w:cs="Happy Times at the IKOB Italic"/>
          <w:sz w:val="20"/>
          <w:szCs w:val="20"/>
        </w:rPr>
        <w:t>.</w:t>
      </w:r>
    </w:p>
    <w:p w14:paraId="57C87B3E" w14:textId="77777777" w:rsidR="00F35929" w:rsidRDefault="00F35929">
      <w:pPr>
        <w:jc w:val="both"/>
        <w:rPr>
          <w:rFonts w:ascii="NimbusSanL;Times New Roman" w:hAnsi="NimbusSanL;Times New Roman" w:cs="NimbusSanL;Times New Roman"/>
          <w:sz w:val="20"/>
          <w:szCs w:val="20"/>
        </w:rPr>
      </w:pPr>
    </w:p>
    <w:p w14:paraId="412CED83" w14:textId="77777777" w:rsidR="00F35929" w:rsidRDefault="002B5C50">
      <w:pPr>
        <w:jc w:val="both"/>
        <w:rPr>
          <w:rFonts w:ascii="NimbusSanL;Times New Roman" w:hAnsi="NimbusSanL;Times New Roman" w:cs="NimbusSanL;Times New Roman"/>
          <w:sz w:val="20"/>
          <w:szCs w:val="20"/>
        </w:rPr>
      </w:pPr>
      <w:r>
        <w:rPr>
          <w:rStyle w:val="Emphasis"/>
          <w:rFonts w:ascii="NimbusSanL;Times New Roman" w:hAnsi="NimbusSanL;Times New Roman" w:cs="NimbusSanL;Times New Roman"/>
          <w:i w:val="0"/>
          <w:iCs w:val="0"/>
          <w:sz w:val="20"/>
          <w:szCs w:val="20"/>
        </w:rPr>
        <w:t xml:space="preserve">Il en va de même en cas de décès qualifiés de « malaises ». </w:t>
      </w:r>
      <w:r>
        <w:rPr>
          <w:rFonts w:ascii="NimbusSanL;Times New Roman" w:hAnsi="NimbusSanL;Times New Roman" w:cs="NimbusSanL;Times New Roman"/>
          <w:sz w:val="20"/>
          <w:szCs w:val="20"/>
        </w:rPr>
        <w:t>Le 1</w:t>
      </w:r>
      <w:r>
        <w:rPr>
          <w:rFonts w:ascii="NimbusSanL;Times New Roman" w:hAnsi="NimbusSanL;Times New Roman" w:cs="NimbusSanL;Times New Roman"/>
          <w:sz w:val="20"/>
          <w:szCs w:val="20"/>
          <w:vertAlign w:val="superscript"/>
        </w:rPr>
        <w:t>er</w:t>
      </w:r>
      <w:r>
        <w:rPr>
          <w:rFonts w:ascii="NimbusSanL;Times New Roman" w:hAnsi="NimbusSanL;Times New Roman" w:cs="NimbusSanL;Times New Roman"/>
          <w:sz w:val="20"/>
          <w:szCs w:val="20"/>
        </w:rPr>
        <w:t xml:space="preserve"> mai 2020, un jeune homme est retrouvé mort dans sa cellule du commissariat de Saint-Denis (Seine-Saint-Denis). </w:t>
      </w:r>
      <w:r>
        <w:rPr>
          <w:rFonts w:ascii="NimbusSanL;Times New Roman" w:hAnsi="NimbusSanL;Times New Roman" w:cs="NimbusSanL;Times New Roman"/>
          <w:b/>
          <w:bCs/>
          <w:sz w:val="20"/>
          <w:szCs w:val="20"/>
        </w:rPr>
        <w:t>Le service chargé par le parquet de mener l’enquête en recherche des causes de la mort est le commissariat de Saint-Denis, c’est à dire le même que celui qui avait la charge de la garde de l’homme décédé</w:t>
      </w:r>
      <w:r>
        <w:rPr>
          <w:rStyle w:val="FootnoteReference"/>
          <w:rFonts w:ascii="NimbusSanL;Times New Roman" w:hAnsi="NimbusSanL;Times New Roman" w:cs="NimbusSanL;Times New Roman"/>
          <w:sz w:val="20"/>
          <w:szCs w:val="20"/>
        </w:rPr>
        <w:footnoteReference w:id="50"/>
      </w:r>
      <w:r>
        <w:rPr>
          <w:rFonts w:ascii="NimbusSanL;Times New Roman" w:hAnsi="NimbusSanL;Times New Roman" w:cs="NimbusSanL;Times New Roman"/>
          <w:sz w:val="20"/>
          <w:szCs w:val="20"/>
        </w:rPr>
        <w:t xml:space="preserve">. Si les choix des parquets en matière de services d’enquête semblent rarement aussi caricaturaux, le constat est souvent le même que pour les accidents routiers : les services saisis appartiennent souvent aux mêmes directions d’emploi que les policiers présents au moment du décès. En juillet 2024, une femme décède au commissariat de Sarreguemines (Moselle), après avoir été placée en rétention alors qu’elle était en état d’ébriété. L’enquête est confiée au commissariat de Forbach, situé à vingt kilomètres, </w:t>
      </w:r>
      <w:r>
        <w:rPr>
          <w:rFonts w:ascii="NimbusSanL;Times New Roman" w:hAnsi="NimbusSanL;Times New Roman" w:cs="NimbusSanL;Times New Roman"/>
          <w:sz w:val="20"/>
          <w:szCs w:val="20"/>
        </w:rPr>
        <w:t>et dépendant de la même direction interdépartementale de sécurité publique</w:t>
      </w:r>
      <w:r>
        <w:rPr>
          <w:rStyle w:val="FootnoteReference"/>
          <w:rFonts w:ascii="NimbusSanL;Times New Roman" w:hAnsi="NimbusSanL;Times New Roman" w:cs="NimbusSanL;Times New Roman"/>
          <w:sz w:val="20"/>
          <w:szCs w:val="20"/>
        </w:rPr>
        <w:footnoteReference w:id="51"/>
      </w:r>
      <w:r>
        <w:rPr>
          <w:rFonts w:ascii="NimbusSanL;Times New Roman" w:hAnsi="NimbusSanL;Times New Roman" w:cs="NimbusSanL;Times New Roman"/>
          <w:sz w:val="20"/>
          <w:szCs w:val="20"/>
        </w:rPr>
        <w:t xml:space="preserve">. En juin 2017, un homme décède en cellule au commissariat central de Bordeaux. C’est la sûreté départementale qui est chargée de </w:t>
      </w:r>
      <w:r>
        <w:rPr>
          <w:rFonts w:ascii="NimbusSanL;Times New Roman" w:hAnsi="NimbusSanL;Times New Roman" w:cs="NimbusSanL;Times New Roman"/>
          <w:sz w:val="20"/>
          <w:szCs w:val="20"/>
        </w:rPr>
        <w:lastRenderedPageBreak/>
        <w:t>l’enquête, c’est-à-dire un service placé sous l’égide de la direction départementale, dont le siège est au commissariat central</w:t>
      </w:r>
      <w:r>
        <w:rPr>
          <w:rStyle w:val="FootnoteReference"/>
          <w:rFonts w:ascii="NimbusSanL;Times New Roman" w:hAnsi="NimbusSanL;Times New Roman" w:cs="NimbusSanL;Times New Roman"/>
          <w:sz w:val="20"/>
          <w:szCs w:val="20"/>
        </w:rPr>
        <w:footnoteReference w:id="52"/>
      </w:r>
      <w:r>
        <w:rPr>
          <w:rFonts w:ascii="NimbusSanL;Times New Roman" w:hAnsi="NimbusSanL;Times New Roman" w:cs="NimbusSanL;Times New Roman"/>
          <w:sz w:val="20"/>
          <w:szCs w:val="20"/>
        </w:rPr>
        <w:t>.</w:t>
      </w:r>
    </w:p>
    <w:p w14:paraId="73A09B52" w14:textId="77777777" w:rsidR="00F35929" w:rsidRDefault="00F35929">
      <w:pPr>
        <w:jc w:val="both"/>
        <w:rPr>
          <w:rFonts w:ascii="NimbusSanL;Times New Roman" w:hAnsi="NimbusSanL;Times New Roman" w:cs="NimbusSanL;Times New Roman"/>
          <w:sz w:val="20"/>
          <w:szCs w:val="20"/>
        </w:rPr>
      </w:pPr>
    </w:p>
    <w:p w14:paraId="737385BB" w14:textId="77777777" w:rsidR="00F35929" w:rsidRDefault="002B5C50">
      <w:pPr>
        <w:jc w:val="both"/>
        <w:rPr>
          <w:sz w:val="20"/>
          <w:szCs w:val="20"/>
        </w:rPr>
      </w:pPr>
      <w:r>
        <w:rPr>
          <w:rFonts w:ascii="NimbusSanL;Times New Roman" w:hAnsi="NimbusSanL;Times New Roman" w:cs="NimbusSanL;Times New Roman"/>
          <w:color w:val="000000"/>
          <w:sz w:val="20"/>
          <w:szCs w:val="20"/>
        </w:rPr>
        <w:t xml:space="preserve">Dans certaines circonstances, même des affaires de tirs mortels peuvent échapper aux investigations de l’IGPN. </w:t>
      </w:r>
      <w:r>
        <w:rPr>
          <w:rFonts w:ascii="NimbusSanL;Times New Roman" w:eastAsia="Calibri" w:hAnsi="NimbusSanL;Times New Roman" w:cs="NimbusSanL;Times New Roman"/>
          <w:color w:val="000000"/>
          <w:sz w:val="20"/>
          <w:szCs w:val="20"/>
        </w:rPr>
        <w:t xml:space="preserve">En décembre 2001, </w:t>
      </w:r>
      <w:proofErr w:type="spellStart"/>
      <w:r>
        <w:rPr>
          <w:rFonts w:ascii="NimbusSanL;Times New Roman" w:eastAsia="Calibri" w:hAnsi="NimbusSanL;Times New Roman" w:cs="NimbusSanL;Times New Roman"/>
          <w:color w:val="000000"/>
          <w:sz w:val="20"/>
          <w:szCs w:val="20"/>
        </w:rPr>
        <w:t>Djelloul</w:t>
      </w:r>
      <w:proofErr w:type="spellEnd"/>
      <w:r>
        <w:rPr>
          <w:rFonts w:ascii="NimbusSanL;Times New Roman" w:eastAsia="Calibri" w:hAnsi="NimbusSanL;Times New Roman" w:cs="NimbusSanL;Times New Roman"/>
          <w:color w:val="000000"/>
          <w:sz w:val="20"/>
          <w:szCs w:val="20"/>
        </w:rPr>
        <w:t xml:space="preserve"> </w:t>
      </w:r>
      <w:proofErr w:type="spellStart"/>
      <w:r>
        <w:rPr>
          <w:rFonts w:ascii="NimbusSanL;Times New Roman" w:eastAsia="Calibri" w:hAnsi="NimbusSanL;Times New Roman" w:cs="NimbusSanL;Times New Roman"/>
          <w:color w:val="000000"/>
          <w:sz w:val="20"/>
          <w:szCs w:val="20"/>
        </w:rPr>
        <w:t>Behlaoui</w:t>
      </w:r>
      <w:proofErr w:type="spellEnd"/>
      <w:r>
        <w:rPr>
          <w:rFonts w:ascii="NimbusSanL;Times New Roman" w:eastAsia="Calibri" w:hAnsi="NimbusSanL;Times New Roman" w:cs="NimbusSanL;Times New Roman"/>
          <w:color w:val="000000"/>
          <w:sz w:val="20"/>
          <w:szCs w:val="20"/>
        </w:rPr>
        <w:t xml:space="preserve"> est abattu par des membres de la BAC alors qu’il vient de commettre un hold-up dans une banque parisienne. C’est la brigade de répression du banditisme, dépendant de la PJ parisienne, qui est saisie</w:t>
      </w:r>
      <w:r>
        <w:rPr>
          <w:rStyle w:val="FootnoteReference"/>
          <w:rFonts w:ascii="NimbusSanL;Times New Roman" w:eastAsia="Calibri" w:hAnsi="NimbusSanL;Times New Roman" w:cs="NimbusSanL;Times New Roman"/>
          <w:color w:val="000000"/>
          <w:sz w:val="20"/>
          <w:szCs w:val="20"/>
        </w:rPr>
        <w:footnoteReference w:id="53"/>
      </w:r>
      <w:r>
        <w:rPr>
          <w:rFonts w:ascii="NimbusSanL;Times New Roman" w:eastAsia="Calibri" w:hAnsi="NimbusSanL;Times New Roman" w:cs="NimbusSanL;Times New Roman"/>
          <w:color w:val="000000"/>
          <w:sz w:val="20"/>
          <w:szCs w:val="20"/>
        </w:rPr>
        <w:t xml:space="preserve">. </w:t>
      </w:r>
      <w:r>
        <w:rPr>
          <w:rFonts w:ascii="NimbusSanL;Times New Roman" w:hAnsi="NimbusSanL;Times New Roman" w:cs="NimbusSanL;Times New Roman"/>
          <w:color w:val="000000"/>
          <w:sz w:val="20"/>
          <w:szCs w:val="20"/>
        </w:rPr>
        <w:t xml:space="preserve">En août 2007, Olivier </w:t>
      </w:r>
      <w:proofErr w:type="spellStart"/>
      <w:r>
        <w:rPr>
          <w:rFonts w:ascii="NimbusSanL;Times New Roman" w:hAnsi="NimbusSanL;Times New Roman" w:cs="NimbusSanL;Times New Roman"/>
          <w:color w:val="000000"/>
          <w:sz w:val="20"/>
          <w:szCs w:val="20"/>
        </w:rPr>
        <w:t>Massonaud</w:t>
      </w:r>
      <w:proofErr w:type="spellEnd"/>
      <w:r>
        <w:rPr>
          <w:rFonts w:ascii="NimbusSanL;Times New Roman" w:hAnsi="NimbusSanL;Times New Roman" w:cs="NimbusSanL;Times New Roman"/>
          <w:color w:val="000000"/>
          <w:sz w:val="20"/>
          <w:szCs w:val="20"/>
        </w:rPr>
        <w:t xml:space="preserve"> est tué par balle. L’enquête diligentée par le parquet est confiée à la police judiciaire, et non à l’IGPN. Devant la cour d’assises, bien des années plus tard (le policier tireur sera jugé, puis acquitté en 2019), le parquetier de permanence affirme qu’il s’agissait d’un « </w:t>
      </w:r>
      <w:r>
        <w:rPr>
          <w:rFonts w:ascii="NimbusSanL;Times New Roman" w:hAnsi="NimbusSanL;Times New Roman" w:cs="NimbusSanL;Times New Roman"/>
          <w:i/>
          <w:iCs/>
          <w:color w:val="000000"/>
          <w:sz w:val="20"/>
          <w:szCs w:val="20"/>
        </w:rPr>
        <w:t>ordre du procureur</w:t>
      </w:r>
      <w:r>
        <w:rPr>
          <w:rFonts w:ascii="NimbusSanL;Times New Roman" w:hAnsi="NimbusSanL;Times New Roman" w:cs="NimbusSanL;Times New Roman"/>
          <w:color w:val="000000"/>
          <w:sz w:val="20"/>
          <w:szCs w:val="20"/>
        </w:rPr>
        <w:t> »</w:t>
      </w:r>
      <w:r>
        <w:rPr>
          <w:rStyle w:val="FootnoteReference"/>
          <w:rFonts w:ascii="NimbusSanL;Times New Roman" w:hAnsi="NimbusSanL;Times New Roman" w:cs="NimbusSanL;Times New Roman"/>
          <w:color w:val="000000"/>
          <w:sz w:val="20"/>
          <w:szCs w:val="20"/>
        </w:rPr>
        <w:footnoteReference w:id="54"/>
      </w:r>
      <w:r>
        <w:rPr>
          <w:rFonts w:ascii="NimbusSanL;Times New Roman" w:hAnsi="NimbusSanL;Times New Roman" w:cs="NimbusSanL;Times New Roman"/>
          <w:color w:val="000000"/>
          <w:sz w:val="20"/>
          <w:szCs w:val="20"/>
        </w:rPr>
        <w:t>. E</w:t>
      </w:r>
      <w:r>
        <w:rPr>
          <w:rFonts w:ascii="NimbusSanL;Times New Roman" w:eastAsia="Calibri" w:hAnsi="NimbusSanL;Times New Roman" w:cs="NimbusSanL;Times New Roman"/>
          <w:color w:val="000000"/>
          <w:sz w:val="20"/>
          <w:szCs w:val="20"/>
        </w:rPr>
        <w:t>n décembre 2013, Carlos Da Silva Batista est abattu par la police en Guyane. Le parquet ouvre une information judiciaire mais ne saisit pas l’IGPN</w:t>
      </w:r>
      <w:r>
        <w:rPr>
          <w:rStyle w:val="FootnoteReference"/>
          <w:rFonts w:ascii="NimbusSanL;Times New Roman" w:eastAsia="Calibri" w:hAnsi="NimbusSanL;Times New Roman" w:cs="NimbusSanL;Times New Roman"/>
          <w:color w:val="000000"/>
          <w:sz w:val="20"/>
          <w:szCs w:val="20"/>
        </w:rPr>
        <w:footnoteReference w:id="55"/>
      </w:r>
      <w:r>
        <w:rPr>
          <w:rFonts w:ascii="NimbusSanL;Times New Roman" w:eastAsia="Calibri" w:hAnsi="NimbusSanL;Times New Roman" w:cs="NimbusSanL;Times New Roman"/>
          <w:color w:val="000000"/>
          <w:sz w:val="20"/>
          <w:szCs w:val="20"/>
        </w:rPr>
        <w:t xml:space="preserve">. En janvier 2023, Fabrice Hoareau est abattu à la </w:t>
      </w:r>
      <w:r>
        <w:rPr>
          <w:rFonts w:ascii="NimbusSanL;Times New Roman" w:eastAsia="Calibri" w:hAnsi="NimbusSanL;Times New Roman" w:cs="NimbusSanL;Times New Roman"/>
          <w:color w:val="000000"/>
          <w:sz w:val="20"/>
          <w:szCs w:val="20"/>
        </w:rPr>
        <w:t>réunion. L’enquête est confiée à la police judiciaire et à la cellule déontologie et discipline, « </w:t>
      </w:r>
      <w:r>
        <w:rPr>
          <w:rFonts w:ascii="NimbusSanL;Times New Roman" w:eastAsia="Calibri" w:hAnsi="NimbusSanL;Times New Roman" w:cs="NimbusSanL;Times New Roman"/>
          <w:i/>
          <w:iCs/>
          <w:color w:val="000000"/>
          <w:sz w:val="20"/>
          <w:szCs w:val="20"/>
        </w:rPr>
        <w:t>seul service "équivalent" à une antenne IGPN sur le département de La Réunion</w:t>
      </w:r>
      <w:r>
        <w:rPr>
          <w:rFonts w:ascii="NimbusSanL;Times New Roman" w:eastAsia="Calibri" w:hAnsi="NimbusSanL;Times New Roman" w:cs="NimbusSanL;Times New Roman"/>
          <w:color w:val="000000"/>
          <w:sz w:val="20"/>
          <w:szCs w:val="20"/>
        </w:rPr>
        <w:t> »</w:t>
      </w:r>
      <w:r>
        <w:rPr>
          <w:rStyle w:val="FootnoteReference"/>
          <w:rFonts w:ascii="NimbusSanL;Times New Roman" w:eastAsia="Calibri" w:hAnsi="NimbusSanL;Times New Roman" w:cs="NimbusSanL;Times New Roman"/>
          <w:color w:val="000000"/>
          <w:sz w:val="20"/>
          <w:szCs w:val="20"/>
        </w:rPr>
        <w:footnoteReference w:id="56"/>
      </w:r>
      <w:r>
        <w:rPr>
          <w:rFonts w:ascii="NimbusSanL;Times New Roman" w:eastAsia="Calibri" w:hAnsi="NimbusSanL;Times New Roman" w:cs="NimbusSanL;Times New Roman"/>
          <w:color w:val="000000"/>
          <w:sz w:val="20"/>
          <w:szCs w:val="20"/>
        </w:rPr>
        <w:t xml:space="preserve">. En effet, </w:t>
      </w:r>
      <w:r>
        <w:rPr>
          <w:rFonts w:ascii="NimbusSanL;Times New Roman" w:eastAsia="Calibri" w:hAnsi="NimbusSanL;Times New Roman" w:cs="NimbusSanL;Times New Roman"/>
          <w:b/>
          <w:bCs/>
          <w:color w:val="000000"/>
          <w:sz w:val="20"/>
          <w:szCs w:val="20"/>
        </w:rPr>
        <w:t xml:space="preserve">l’IGPN dispose d’une délégation locale située en </w:t>
      </w:r>
      <w:r>
        <w:rPr>
          <w:rFonts w:ascii="NimbusSanL;Times New Roman" w:eastAsia="Calibri" w:hAnsi="NimbusSanL;Times New Roman" w:cs="NimbusSanL;Times New Roman"/>
          <w:b/>
          <w:bCs/>
          <w:color w:val="000000"/>
          <w:sz w:val="20"/>
          <w:szCs w:val="20"/>
        </w:rPr>
        <w:t xml:space="preserve">Martinique, mais aucune sur la zone de </w:t>
      </w:r>
      <w:proofErr w:type="gramStart"/>
      <w:r>
        <w:rPr>
          <w:rFonts w:ascii="NimbusSanL;Times New Roman" w:eastAsia="Calibri" w:hAnsi="NimbusSanL;Times New Roman" w:cs="NimbusSanL;Times New Roman"/>
          <w:b/>
          <w:bCs/>
          <w:color w:val="000000"/>
          <w:sz w:val="20"/>
          <w:szCs w:val="20"/>
        </w:rPr>
        <w:t>l’Océan indien</w:t>
      </w:r>
      <w:proofErr w:type="gramEnd"/>
      <w:r>
        <w:rPr>
          <w:rFonts w:ascii="NimbusSanL;Times New Roman" w:eastAsia="Calibri" w:hAnsi="NimbusSanL;Times New Roman" w:cs="NimbusSanL;Times New Roman"/>
          <w:b/>
          <w:bCs/>
          <w:color w:val="000000"/>
          <w:sz w:val="20"/>
          <w:szCs w:val="20"/>
        </w:rPr>
        <w:t>, zone qu’elle reconnaît ne pas pouvoir couvrir</w:t>
      </w:r>
      <w:r>
        <w:rPr>
          <w:rStyle w:val="FootnoteReference"/>
          <w:rFonts w:ascii="NimbusSanL;Times New Roman" w:eastAsia="Calibri" w:hAnsi="NimbusSanL;Times New Roman" w:cs="NimbusSanL;Times New Roman"/>
          <w:color w:val="000000"/>
          <w:sz w:val="20"/>
          <w:szCs w:val="20"/>
        </w:rPr>
        <w:footnoteReference w:id="57"/>
      </w:r>
      <w:r>
        <w:rPr>
          <w:rFonts w:ascii="NimbusSanL;Times New Roman" w:eastAsia="Calibri" w:hAnsi="NimbusSanL;Times New Roman" w:cs="NimbusSanL;Times New Roman"/>
          <w:color w:val="000000"/>
          <w:sz w:val="20"/>
          <w:szCs w:val="20"/>
        </w:rPr>
        <w:t xml:space="preserve">. </w:t>
      </w:r>
    </w:p>
    <w:p w14:paraId="31DE5B55" w14:textId="77777777" w:rsidR="00F35929" w:rsidRDefault="00F35929">
      <w:pPr>
        <w:jc w:val="both"/>
        <w:rPr>
          <w:sz w:val="20"/>
          <w:szCs w:val="20"/>
        </w:rPr>
      </w:pPr>
    </w:p>
    <w:p w14:paraId="3A62A438" w14:textId="77777777" w:rsidR="00F35929" w:rsidRDefault="00F35929">
      <w:pPr>
        <w:jc w:val="both"/>
        <w:rPr>
          <w:sz w:val="20"/>
          <w:szCs w:val="20"/>
        </w:rPr>
      </w:pPr>
    </w:p>
    <w:p w14:paraId="7542D819" w14:textId="77777777" w:rsidR="00F35929" w:rsidRDefault="00F35929">
      <w:pPr>
        <w:jc w:val="both"/>
        <w:rPr>
          <w:rFonts w:ascii="NimbusSanL;Times New Roman" w:hAnsi="NimbusSanL;Times New Roman" w:cs="NimbusSanL;Times New Roman"/>
          <w:sz w:val="20"/>
          <w:szCs w:val="20"/>
        </w:rPr>
      </w:pPr>
    </w:p>
    <w:p w14:paraId="20693C88" w14:textId="77777777" w:rsidR="00F35929" w:rsidRDefault="002B5C50">
      <w:pPr>
        <w:jc w:val="both"/>
        <w:rPr>
          <w:rFonts w:ascii="NimbusSanL;Times New Roman" w:hAnsi="NimbusSanL;Times New Roman" w:cs="NimbusSanL;Times New Roman"/>
          <w:b/>
          <w:bCs/>
          <w:sz w:val="20"/>
          <w:szCs w:val="20"/>
        </w:rPr>
      </w:pPr>
      <w:r>
        <w:rPr>
          <w:rFonts w:ascii="NimbusSanL;Times New Roman" w:hAnsi="NimbusSanL;Times New Roman" w:cs="NimbusSanL;Times New Roman"/>
          <w:b/>
          <w:bCs/>
          <w:sz w:val="20"/>
          <w:szCs w:val="20"/>
        </w:rPr>
        <w:t>II.3. L’IGPN de l’ombre : les « cellules de déontologie »</w:t>
      </w:r>
    </w:p>
    <w:p w14:paraId="0043F438" w14:textId="77777777" w:rsidR="00F35929" w:rsidRDefault="00F35929">
      <w:pPr>
        <w:jc w:val="both"/>
        <w:rPr>
          <w:rFonts w:ascii="NimbusSanL;Times New Roman" w:hAnsi="NimbusSanL;Times New Roman" w:cs="NimbusSanL;Times New Roman"/>
          <w:b/>
          <w:bCs/>
          <w:sz w:val="20"/>
          <w:szCs w:val="20"/>
        </w:rPr>
      </w:pPr>
    </w:p>
    <w:p w14:paraId="49FCAE68"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Dans son rapport pour l’année 2023, l’Inspection rappelle, comme chaque année, que « </w:t>
      </w:r>
      <w:r>
        <w:rPr>
          <w:rFonts w:ascii="NimbusSanL;Times New Roman" w:hAnsi="NimbusSanL;Times New Roman" w:cs="NimbusSanL;Times New Roman"/>
          <w:i/>
          <w:iCs/>
          <w:sz w:val="20"/>
          <w:szCs w:val="20"/>
        </w:rPr>
        <w:t>conformément aux termes de la circulaire de la direction des affaires criminelles et des grâces du 20 février 2014, l’IGPN doit être saisie pour traiter des affaires […] d’une particulière gravité, complexes ou retentissantes. Sur le plan local, des services de déontologie, qui comprennent des agents disposant de la qualification d’OPJ, exercent les mêmes prérogatives pour des enquêtes judiciaires de moindre importance</w:t>
      </w:r>
      <w:r>
        <w:rPr>
          <w:rFonts w:ascii="NimbusSanL;Times New Roman" w:hAnsi="NimbusSanL;Times New Roman" w:cs="NimbusSanL;Times New Roman"/>
          <w:sz w:val="20"/>
          <w:szCs w:val="20"/>
        </w:rPr>
        <w:t xml:space="preserve"> ». </w:t>
      </w:r>
      <w:r>
        <w:rPr>
          <w:rFonts w:ascii="NimbusSanL;Times New Roman" w:hAnsi="NimbusSanL;Times New Roman" w:cs="NimbusSanL;Times New Roman"/>
          <w:b/>
          <w:bCs/>
          <w:sz w:val="20"/>
          <w:szCs w:val="20"/>
        </w:rPr>
        <w:t>Il semble donc que la plupart des enquêtes non-traitées par l’IGPN soient prises en ch</w:t>
      </w:r>
      <w:r>
        <w:rPr>
          <w:rFonts w:ascii="NimbusSanL;Times New Roman" w:hAnsi="NimbusSanL;Times New Roman" w:cs="NimbusSanL;Times New Roman"/>
          <w:b/>
          <w:bCs/>
          <w:sz w:val="20"/>
          <w:szCs w:val="20"/>
        </w:rPr>
        <w:t>arge par des  « services » ou « cellules » déontologie</w:t>
      </w:r>
      <w:r>
        <w:rPr>
          <w:rFonts w:ascii="NimbusSanL;Times New Roman" w:hAnsi="NimbusSanL;Times New Roman" w:cs="NimbusSanL;Times New Roman"/>
          <w:sz w:val="20"/>
          <w:szCs w:val="20"/>
        </w:rPr>
        <w:t>. En général nommés « </w:t>
      </w:r>
      <w:r>
        <w:rPr>
          <w:rFonts w:ascii="NimbusSanL;Times New Roman" w:hAnsi="NimbusSanL;Times New Roman" w:cs="NimbusSanL;Times New Roman"/>
          <w:i/>
          <w:iCs/>
          <w:sz w:val="20"/>
          <w:szCs w:val="20"/>
        </w:rPr>
        <w:t>bureaux déontologie et enquête</w:t>
      </w:r>
      <w:r>
        <w:rPr>
          <w:rFonts w:ascii="NimbusSanL;Times New Roman" w:hAnsi="NimbusSanL;Times New Roman" w:cs="NimbusSanL;Times New Roman"/>
          <w:sz w:val="20"/>
          <w:szCs w:val="20"/>
        </w:rPr>
        <w:t xml:space="preserve"> » depuis la réforme de la police nationale intervenue en 2024, ils sont institués auprès des directions départementales ou interdépartementales de la police nationale (DDPN ou DIPN). </w:t>
      </w:r>
    </w:p>
    <w:p w14:paraId="7DBBB01C"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246012B7"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Selon la taille de ces directions, il peut s’agir de véritables services, ou au contraire d’un seul fonctionnaire de la DDPN ou DIPN, affecté par ailleurs à d’autres missions. Le chercheur Frédéric </w:t>
      </w:r>
      <w:proofErr w:type="spellStart"/>
      <w:r>
        <w:rPr>
          <w:rFonts w:ascii="NimbusSanL;Times New Roman" w:hAnsi="NimbusSanL;Times New Roman" w:cs="NimbusSanL;Times New Roman"/>
          <w:sz w:val="20"/>
          <w:szCs w:val="20"/>
        </w:rPr>
        <w:t>Ocqueteau</w:t>
      </w:r>
      <w:proofErr w:type="spellEnd"/>
      <w:r>
        <w:rPr>
          <w:rFonts w:ascii="NimbusSanL;Times New Roman" w:hAnsi="NimbusSanL;Times New Roman" w:cs="NimbusSanL;Times New Roman"/>
          <w:sz w:val="20"/>
          <w:szCs w:val="20"/>
        </w:rPr>
        <w:t xml:space="preserve"> explique : « </w:t>
      </w:r>
      <w:r>
        <w:rPr>
          <w:rFonts w:ascii="NimbusSanL;Times New Roman" w:hAnsi="NimbusSanL;Times New Roman" w:cs="NimbusSanL;Times New Roman"/>
          <w:i/>
          <w:iCs/>
          <w:sz w:val="20"/>
          <w:szCs w:val="20"/>
        </w:rPr>
        <w:t>les grosses directions départementales disposent de "pôles de déontologie", les moyennes de "cellules", et les petites de simples "référents"</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58"/>
      </w:r>
      <w:r>
        <w:rPr>
          <w:rFonts w:ascii="NimbusSanL;Times New Roman" w:hAnsi="NimbusSanL;Times New Roman" w:cs="NimbusSanL;Times New Roman"/>
          <w:sz w:val="20"/>
          <w:szCs w:val="20"/>
        </w:rPr>
        <w:t>. A Lille, la cellule compte six fonctionnaires et traite un contentieux d’environ 150 dossiers judiciaires par an</w:t>
      </w:r>
      <w:r>
        <w:rPr>
          <w:rStyle w:val="FootnoteReference"/>
          <w:rFonts w:ascii="NimbusSanL;Times New Roman" w:hAnsi="NimbusSanL;Times New Roman" w:cs="NimbusSanL;Times New Roman"/>
          <w:sz w:val="20"/>
          <w:szCs w:val="20"/>
        </w:rPr>
        <w:footnoteReference w:id="59"/>
      </w:r>
      <w:r>
        <w:rPr>
          <w:rFonts w:ascii="NimbusSanL;Times New Roman" w:hAnsi="NimbusSanL;Times New Roman" w:cs="NimbusSanL;Times New Roman"/>
          <w:sz w:val="20"/>
          <w:szCs w:val="20"/>
        </w:rPr>
        <w:t>. A Lyon, elle compte 5 fonctionnaires et traitait, en 2017, 70 enquêtes judiciaires</w:t>
      </w:r>
      <w:r>
        <w:rPr>
          <w:rStyle w:val="FootnoteReference"/>
          <w:rFonts w:ascii="NimbusSanL;Times New Roman" w:hAnsi="NimbusSanL;Times New Roman" w:cs="NimbusSanL;Times New Roman"/>
          <w:sz w:val="20"/>
          <w:szCs w:val="20"/>
        </w:rPr>
        <w:footnoteReference w:id="60"/>
      </w:r>
      <w:r>
        <w:rPr>
          <w:rFonts w:ascii="NimbusSanL;Times New Roman" w:hAnsi="NimbusSanL;Times New Roman" w:cs="NimbusSanL;Times New Roman"/>
          <w:sz w:val="20"/>
          <w:szCs w:val="20"/>
        </w:rPr>
        <w:t xml:space="preserve">. A Clermont-Ferrand, le fonctionnaire en charge de la déontologie s’occupe également de la communication de la police locale. </w:t>
      </w:r>
    </w:p>
    <w:p w14:paraId="14BAC9BB"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5CD9B6D7" w14:textId="77777777" w:rsidR="00F35929" w:rsidRDefault="002B5C50">
      <w:pPr>
        <w:pStyle w:val="BodyText"/>
        <w:spacing w:after="0" w:line="240" w:lineRule="auto"/>
        <w:jc w:val="both"/>
        <w:rPr>
          <w:sz w:val="20"/>
          <w:szCs w:val="20"/>
        </w:rPr>
      </w:pPr>
      <w:r>
        <w:rPr>
          <w:rFonts w:ascii="NimbusSanL;Times New Roman" w:hAnsi="NimbusSanL;Times New Roman" w:cs="NimbusSanL;Times New Roman"/>
          <w:sz w:val="20"/>
          <w:szCs w:val="20"/>
        </w:rPr>
        <w:t>D’après une source policière, qui a travaillé dans l’une de ces cellules, leur création est relativement récente : « </w:t>
      </w:r>
      <w:r>
        <w:rPr>
          <w:rFonts w:ascii="NimbusSanL;Times New Roman" w:hAnsi="NimbusSanL;Times New Roman" w:cs="NimbusSanL;Times New Roman"/>
          <w:i/>
          <w:iCs/>
          <w:sz w:val="20"/>
          <w:szCs w:val="20"/>
        </w:rPr>
        <w:t xml:space="preserve">Il faut rappeler qu’au départ, l’IGPN n’avait pas de délégations locales, et il était très rare que des enquêteurs parisiens de l’IGPN se déplacent. Et c’était simplement la hiérarchie locale des policiers mis en cause qui assurait les enquêtes administratives. Et puis je pense qu’il y a eu de plus en plus de contentieux, des pressions de magistrats pour qu’il y ait de vraies suites données à leurs demandes, et aussi une certaine pression des médias. Donc il a fallu leur donner des réponses. La création de </w:t>
      </w:r>
      <w:r>
        <w:rPr>
          <w:rFonts w:ascii="NimbusSanL;Times New Roman" w:hAnsi="NimbusSanL;Times New Roman" w:cs="NimbusSanL;Times New Roman"/>
          <w:i/>
          <w:iCs/>
          <w:sz w:val="20"/>
          <w:szCs w:val="20"/>
        </w:rPr>
        <w:t>ces cellules a été empirique, elle s’est faite au cas par cas, dans chaque DDSP</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61"/>
      </w:r>
      <w:r>
        <w:rPr>
          <w:rFonts w:ascii="NimbusSanL;Times New Roman" w:hAnsi="NimbusSanL;Times New Roman" w:cs="NimbusSanL;Times New Roman"/>
          <w:sz w:val="20"/>
          <w:szCs w:val="20"/>
        </w:rPr>
        <w:t xml:space="preserve">. Un membre de l’IGPN cité par le chercheur Frédéric </w:t>
      </w:r>
      <w:proofErr w:type="spellStart"/>
      <w:r>
        <w:rPr>
          <w:rFonts w:ascii="NimbusSanL;Times New Roman" w:hAnsi="NimbusSanL;Times New Roman" w:cs="NimbusSanL;Times New Roman"/>
          <w:sz w:val="20"/>
          <w:szCs w:val="20"/>
        </w:rPr>
        <w:t>Ocqueteau</w:t>
      </w:r>
      <w:proofErr w:type="spellEnd"/>
      <w:r>
        <w:rPr>
          <w:rFonts w:ascii="NimbusSanL;Times New Roman" w:hAnsi="NimbusSanL;Times New Roman" w:cs="NimbusSanL;Times New Roman"/>
          <w:sz w:val="20"/>
          <w:szCs w:val="20"/>
        </w:rPr>
        <w:t> confirme : « </w:t>
      </w:r>
      <w:r>
        <w:rPr>
          <w:rFonts w:ascii="NimbusSanL;Times New Roman" w:hAnsi="NimbusSanL;Times New Roman" w:cs="NimbusSanL;Times New Roman"/>
          <w:i/>
          <w:iCs/>
          <w:sz w:val="20"/>
          <w:szCs w:val="20"/>
        </w:rPr>
        <w:t xml:space="preserve">Tout cela reste un peu empirique. À X. </w:t>
      </w:r>
      <w:r>
        <w:rPr>
          <w:rFonts w:ascii="NimbusSanL;Times New Roman" w:hAnsi="NimbusSanL;Times New Roman" w:cs="NimbusSanL;Times New Roman"/>
          <w:i/>
          <w:iCs/>
          <w:sz w:val="20"/>
          <w:szCs w:val="20"/>
        </w:rPr>
        <w:lastRenderedPageBreak/>
        <w:t>nous n’avons pas institué de cellule de déontologie, à la différence de Y (une agglomération, siège d’une DDSP et d’un SRPJ). Parce que ça reste surtout lié aux "besoins des DDSP"</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62"/>
      </w:r>
      <w:r>
        <w:rPr>
          <w:rFonts w:ascii="NimbusSanL;Times New Roman" w:hAnsi="NimbusSanL;Times New Roman" w:cs="NimbusSanL;Times New Roman"/>
          <w:sz w:val="20"/>
          <w:szCs w:val="20"/>
        </w:rPr>
        <w:t xml:space="preserve">. </w:t>
      </w:r>
    </w:p>
    <w:p w14:paraId="274840E1" w14:textId="77777777" w:rsidR="00F35929" w:rsidRDefault="00F35929">
      <w:pPr>
        <w:pStyle w:val="BodyText"/>
        <w:spacing w:after="0" w:line="240" w:lineRule="auto"/>
        <w:jc w:val="both"/>
        <w:rPr>
          <w:sz w:val="20"/>
          <w:szCs w:val="20"/>
        </w:rPr>
      </w:pPr>
    </w:p>
    <w:p w14:paraId="19EDCB5C"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Si la date de création des premières cellules reste à ce jour inconnue, une</w:t>
      </w:r>
      <w:r>
        <w:rPr>
          <w:rFonts w:ascii="NimbusSanL;Times New Roman" w:hAnsi="NimbusSanL;Times New Roman" w:cs="NimbusSanL;Times New Roman"/>
          <w:sz w:val="20"/>
          <w:szCs w:val="20"/>
        </w:rPr>
        <w:t xml:space="preserve"> phase d’harmonisation au niveau national semble avoir eu lieu en 2013, au moment de la suppression définitive de l’IGS (qui assurait les missions de l’IGPN sur le ressort de la préfecture de police de Paris). Outre les tailles variées de ces services, leurs noms, avant l’uniformisation de 2024, laisse à voir ce caractère empirique et les priorités données par les autorités locales : « </w:t>
      </w:r>
      <w:r>
        <w:rPr>
          <w:rFonts w:ascii="NimbusSanL;Times New Roman" w:hAnsi="NimbusSanL;Times New Roman" w:cs="NimbusSanL;Times New Roman"/>
          <w:i/>
          <w:iCs/>
          <w:sz w:val="20"/>
          <w:szCs w:val="20"/>
        </w:rPr>
        <w:t>Pôle commandement discipline et déontologie</w:t>
      </w:r>
      <w:r>
        <w:rPr>
          <w:rFonts w:ascii="NimbusSanL;Times New Roman" w:hAnsi="NimbusSanL;Times New Roman" w:cs="NimbusSanL;Times New Roman"/>
          <w:sz w:val="20"/>
          <w:szCs w:val="20"/>
        </w:rPr>
        <w:t> » dans le Rhône, « </w:t>
      </w:r>
      <w:r>
        <w:rPr>
          <w:rFonts w:ascii="NimbusSanL;Times New Roman" w:hAnsi="NimbusSanL;Times New Roman" w:cs="NimbusSanL;Times New Roman"/>
          <w:i/>
          <w:iCs/>
          <w:sz w:val="20"/>
          <w:szCs w:val="20"/>
        </w:rPr>
        <w:t>Cellule audit déontologie discipline</w:t>
      </w:r>
      <w:r>
        <w:rPr>
          <w:rFonts w:ascii="NimbusSanL;Times New Roman" w:hAnsi="NimbusSanL;Times New Roman" w:cs="NimbusSanL;Times New Roman"/>
          <w:sz w:val="20"/>
          <w:szCs w:val="20"/>
        </w:rPr>
        <w:t> » dans le Val d’Oise, «</w:t>
      </w:r>
      <w:r>
        <w:rPr>
          <w:rFonts w:ascii="NimbusSanL;Times New Roman" w:hAnsi="NimbusSanL;Times New Roman" w:cs="NimbusSanL;Times New Roman"/>
          <w:sz w:val="20"/>
          <w:szCs w:val="20"/>
        </w:rPr>
        <w:t> </w:t>
      </w:r>
      <w:r>
        <w:rPr>
          <w:rFonts w:ascii="NimbusSanL;Times New Roman" w:hAnsi="NimbusSanL;Times New Roman" w:cs="NimbusSanL;Times New Roman"/>
          <w:i/>
          <w:iCs/>
          <w:sz w:val="20"/>
          <w:szCs w:val="20"/>
        </w:rPr>
        <w:t>Cellule déontologie évaluation performance</w:t>
      </w:r>
      <w:r>
        <w:rPr>
          <w:rFonts w:ascii="NimbusSanL;Times New Roman" w:hAnsi="NimbusSanL;Times New Roman" w:cs="NimbusSanL;Times New Roman"/>
          <w:sz w:val="20"/>
          <w:szCs w:val="20"/>
        </w:rPr>
        <w:t> » dans les Yvelines, « </w:t>
      </w:r>
      <w:r>
        <w:rPr>
          <w:rFonts w:ascii="NimbusSanL;Times New Roman" w:hAnsi="NimbusSanL;Times New Roman" w:cs="NimbusSanL;Times New Roman"/>
          <w:i/>
          <w:iCs/>
          <w:sz w:val="20"/>
          <w:szCs w:val="20"/>
        </w:rPr>
        <w:t>Service déontologie, discipline, application et méthode</w:t>
      </w:r>
      <w:r>
        <w:rPr>
          <w:rFonts w:ascii="NimbusSanL;Times New Roman" w:hAnsi="NimbusSanL;Times New Roman" w:cs="NimbusSanL;Times New Roman"/>
          <w:sz w:val="20"/>
          <w:szCs w:val="20"/>
        </w:rPr>
        <w:t> » dans le Nord, etc. Le SDSE parisien, la plus grosse cellule déontologie française, correspondait au « </w:t>
      </w:r>
      <w:r>
        <w:rPr>
          <w:rFonts w:ascii="NimbusSanL;Times New Roman" w:hAnsi="NimbusSanL;Times New Roman" w:cs="NimbusSanL;Times New Roman"/>
          <w:i/>
          <w:iCs/>
          <w:sz w:val="20"/>
          <w:szCs w:val="20"/>
        </w:rPr>
        <w:t>service de déontologie et de soutien aux effectifs</w:t>
      </w:r>
      <w:r>
        <w:rPr>
          <w:rFonts w:ascii="NimbusSanL;Times New Roman" w:hAnsi="NimbusSanL;Times New Roman" w:cs="NimbusSanL;Times New Roman"/>
          <w:sz w:val="20"/>
          <w:szCs w:val="20"/>
        </w:rPr>
        <w:t> » en 2014 ; gardant son acronyme, il est désormais « </w:t>
      </w:r>
      <w:r>
        <w:rPr>
          <w:rFonts w:ascii="NimbusSanL;Times New Roman" w:hAnsi="NimbusSanL;Times New Roman" w:cs="NimbusSanL;Times New Roman"/>
          <w:i/>
          <w:iCs/>
          <w:sz w:val="20"/>
          <w:szCs w:val="20"/>
        </w:rPr>
        <w:t>service de déontologie, de synthèse et d’évaluation</w:t>
      </w:r>
      <w:r>
        <w:rPr>
          <w:rFonts w:ascii="NimbusSanL;Times New Roman" w:hAnsi="NimbusSanL;Times New Roman" w:cs="NimbusSanL;Times New Roman"/>
          <w:sz w:val="20"/>
          <w:szCs w:val="20"/>
        </w:rPr>
        <w:t> ».</w:t>
      </w:r>
    </w:p>
    <w:p w14:paraId="529F572C" w14:textId="77777777" w:rsidR="00F35929" w:rsidRDefault="00F35929">
      <w:pPr>
        <w:pStyle w:val="BodyText"/>
        <w:spacing w:after="0" w:line="240" w:lineRule="auto"/>
        <w:rPr>
          <w:rFonts w:ascii="NimbusSanL;Times New Roman" w:hAnsi="NimbusSanL;Times New Roman" w:cs="NimbusSanL;Times New Roman"/>
          <w:sz w:val="20"/>
          <w:szCs w:val="20"/>
        </w:rPr>
      </w:pPr>
    </w:p>
    <w:p w14:paraId="45E00927"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Ces cellules assurent à la fois des enquêtes administratives (préalables à d’éventuelles sanctions disciplinaires), des enquêtes judiciaires, et souvent d’autres missions d’audit, d’organisation, etc. La source policière précitée insiste sur le caractère informel d’une grande part du travail effectué : « </w:t>
      </w:r>
      <w:r>
        <w:rPr>
          <w:rFonts w:ascii="NimbusSanL;Times New Roman" w:hAnsi="NimbusSanL;Times New Roman" w:cs="NimbusSanL;Times New Roman"/>
          <w:i/>
          <w:iCs/>
          <w:sz w:val="20"/>
          <w:szCs w:val="20"/>
        </w:rPr>
        <w:t xml:space="preserve">On faisait beaucoup d’informel, ni administratif, ni judiciaire, à moins qu’il y ait plainte en bonne et due forme, qui oblige une enquête judiciaire. </w:t>
      </w:r>
      <w:r>
        <w:rPr>
          <w:rFonts w:ascii="NimbusSanL;Times New Roman" w:hAnsi="NimbusSanL;Times New Roman" w:cs="NimbusSanL;Times New Roman"/>
          <w:b/>
          <w:bCs/>
          <w:i/>
          <w:iCs/>
          <w:sz w:val="20"/>
          <w:szCs w:val="20"/>
        </w:rPr>
        <w:t xml:space="preserve">Il s’agissait souvent de donner une apparence qu’on </w:t>
      </w:r>
      <w:proofErr w:type="gramStart"/>
      <w:r>
        <w:rPr>
          <w:rFonts w:ascii="NimbusSanL;Times New Roman" w:hAnsi="NimbusSanL;Times New Roman" w:cs="NimbusSanL;Times New Roman"/>
          <w:b/>
          <w:bCs/>
          <w:i/>
          <w:iCs/>
          <w:sz w:val="20"/>
          <w:szCs w:val="20"/>
        </w:rPr>
        <w:t>faisait</w:t>
      </w:r>
      <w:proofErr w:type="gramEnd"/>
      <w:r>
        <w:rPr>
          <w:rFonts w:ascii="NimbusSanL;Times New Roman" w:hAnsi="NimbusSanL;Times New Roman" w:cs="NimbusSanL;Times New Roman"/>
          <w:b/>
          <w:bCs/>
          <w:i/>
          <w:iCs/>
          <w:sz w:val="20"/>
          <w:szCs w:val="20"/>
        </w:rPr>
        <w:t xml:space="preserve"> le travail. Par exemple, on recevait un coup de fil de la délégation IGPN, saisie sur telle ou telle affaire, qui voulait en savoir plus avant de poursuivre elle-même, ou nous passer le dossier. Il y avait beaucoup d’échanges oraux aussi avec le parquet, y compris pour l’opportunité de faire des enqu</w:t>
      </w:r>
      <w:r>
        <w:rPr>
          <w:rFonts w:ascii="NimbusSanL;Times New Roman" w:hAnsi="NimbusSanL;Times New Roman" w:cs="NimbusSanL;Times New Roman"/>
          <w:b/>
          <w:bCs/>
          <w:i/>
          <w:iCs/>
          <w:sz w:val="20"/>
          <w:szCs w:val="20"/>
        </w:rPr>
        <w:t>êtes, ou pas,</w:t>
      </w:r>
      <w:r>
        <w:rPr>
          <w:rFonts w:ascii="NimbusSanL;Times New Roman" w:hAnsi="NimbusSanL;Times New Roman" w:cs="NimbusSanL;Times New Roman"/>
          <w:i/>
          <w:iCs/>
          <w:sz w:val="20"/>
          <w:szCs w:val="20"/>
        </w:rPr>
        <w:t xml:space="preserve"> selon les preuves potentiellement disponibles, les faits, le profil des plaignants, et aussi pour fixer les délais et les contenus de l’enquête</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63"/>
      </w:r>
      <w:r>
        <w:rPr>
          <w:rFonts w:ascii="NimbusSanL;Times New Roman" w:hAnsi="NimbusSanL;Times New Roman" w:cs="NimbusSanL;Times New Roman"/>
          <w:sz w:val="20"/>
          <w:szCs w:val="20"/>
        </w:rPr>
        <w:t>.</w:t>
      </w:r>
    </w:p>
    <w:p w14:paraId="3ECBF2A9"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312920E7"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La plus grosse cellule déontologie française, le SDSE parisien, a d’ailleurs mis en place une unité qui assure un travail ne relevant ni des enquêtes judiciaires, ni des enquêtes administratives. Cette unité est « </w:t>
      </w:r>
      <w:r>
        <w:rPr>
          <w:rFonts w:ascii="NimbusSanL;Times New Roman" w:hAnsi="NimbusSanL;Times New Roman" w:cs="NimbusSanL;Times New Roman"/>
          <w:i/>
          <w:iCs/>
          <w:sz w:val="20"/>
          <w:szCs w:val="20"/>
        </w:rPr>
        <w:t>chargée d’établir des notes d’attention à destination de la direction sur des faits impliquant des fonctionnaires de la DSPAP et répondre aux différentes doléances du public notamment au regard des signalements effectués sur la plateforme IGPN</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64"/>
      </w:r>
      <w:r>
        <w:rPr>
          <w:rFonts w:ascii="NimbusSanL;Times New Roman" w:hAnsi="NimbusSanL;Times New Roman" w:cs="NimbusSanL;Times New Roman"/>
          <w:sz w:val="20"/>
          <w:szCs w:val="20"/>
        </w:rPr>
        <w:t>.</w:t>
      </w:r>
    </w:p>
    <w:p w14:paraId="11DFF9CA"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587E72E1"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0609F9EF"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47C5F148" w14:textId="77777777" w:rsidR="00F35929" w:rsidRDefault="002B5C50">
      <w:pPr>
        <w:pStyle w:val="BodyText"/>
        <w:spacing w:after="0" w:line="240" w:lineRule="auto"/>
        <w:jc w:val="both"/>
        <w:rPr>
          <w:rFonts w:ascii="NimbusSanL;Times New Roman" w:hAnsi="NimbusSanL;Times New Roman" w:cs="NimbusSanL;Times New Roman"/>
          <w:sz w:val="20"/>
          <w:szCs w:val="20"/>
        </w:rPr>
      </w:pPr>
      <w:r>
        <w:rPr>
          <w:rFonts w:ascii="NimbusSanL;Times New Roman" w:hAnsi="NimbusSanL;Times New Roman" w:cs="NimbusSanL;Times New Roman"/>
          <w:b/>
          <w:bCs/>
          <w:sz w:val="20"/>
          <w:szCs w:val="20"/>
        </w:rPr>
        <w:t>II.4. Services d’enquête départementaux : des effets de censure redoublés par la dépendance locale à la hiérarchie et aux collègues</w:t>
      </w:r>
    </w:p>
    <w:p w14:paraId="0FC63E7C" w14:textId="77777777" w:rsidR="00F35929" w:rsidRDefault="00F35929">
      <w:pPr>
        <w:pStyle w:val="BodyText"/>
        <w:spacing w:after="0" w:line="240" w:lineRule="auto"/>
        <w:jc w:val="both"/>
        <w:rPr>
          <w:rFonts w:ascii="NimbusSanL;Times New Roman" w:hAnsi="NimbusSanL;Times New Roman" w:cs="NimbusSanL;Times New Roman"/>
          <w:sz w:val="20"/>
          <w:szCs w:val="20"/>
        </w:rPr>
      </w:pPr>
    </w:p>
    <w:p w14:paraId="4357E108" w14:textId="77777777" w:rsidR="00F35929" w:rsidRDefault="002B5C50">
      <w:pPr>
        <w:pStyle w:val="BodyText"/>
        <w:spacing w:after="0" w:line="240" w:lineRule="auto"/>
        <w:jc w:val="both"/>
        <w:rPr>
          <w:rFonts w:ascii="NimbusSanL;Times New Roman" w:hAnsi="NimbusSanL;Times New Roman" w:cs="NimbusSanL;Times New Roman"/>
          <w:color w:val="000000"/>
          <w:sz w:val="20"/>
          <w:szCs w:val="20"/>
        </w:rPr>
      </w:pPr>
      <w:r>
        <w:rPr>
          <w:rFonts w:ascii="NimbusSanL;Times New Roman" w:hAnsi="NimbusSanL;Times New Roman" w:cs="NimbusSanL;Times New Roman"/>
          <w:sz w:val="20"/>
          <w:szCs w:val="20"/>
        </w:rPr>
        <w:t xml:space="preserve">Les deux </w:t>
      </w:r>
      <w:r>
        <w:rPr>
          <w:rFonts w:ascii="NimbusSanL;Times New Roman" w:hAnsi="NimbusSanL;Times New Roman" w:cs="NimbusSanL;Times New Roman"/>
          <w:sz w:val="20"/>
          <w:szCs w:val="20"/>
        </w:rPr>
        <w:t>premiers « étages de la fusée » de la police des polices (pour reprendre l’expression de l’ancien responsable des enquêtes à l’IGPN</w:t>
      </w:r>
      <w:r>
        <w:rPr>
          <w:rStyle w:val="FootnoteReference"/>
          <w:rFonts w:ascii="NimbusSanL;Times New Roman" w:hAnsi="NimbusSanL;Times New Roman" w:cs="NimbusSanL;Times New Roman"/>
          <w:sz w:val="20"/>
          <w:szCs w:val="20"/>
        </w:rPr>
        <w:footnoteReference w:id="65"/>
      </w:r>
      <w:r>
        <w:rPr>
          <w:rFonts w:ascii="NimbusSanL;Times New Roman" w:hAnsi="NimbusSanL;Times New Roman" w:cs="NimbusSanL;Times New Roman"/>
          <w:sz w:val="20"/>
          <w:szCs w:val="20"/>
        </w:rPr>
        <w:t>) sont donc les cellules de déontologie d’une part, et certains services de droit commun d’autre part. L’analyse détaillée des cas d’homicides réalisée par Flagrant déni montre que les services de droit commun le plus souvent saisis dans ces affaires sont des services de</w:t>
      </w:r>
      <w:r>
        <w:rPr>
          <w:rFonts w:ascii="NimbusSanL;Times New Roman" w:eastAsia="Calibri" w:hAnsi="NimbusSanL;Times New Roman" w:cs="NimbusSanL;Times New Roman"/>
          <w:color w:val="000000"/>
          <w:sz w:val="20"/>
          <w:szCs w:val="20"/>
        </w:rPr>
        <w:t xml:space="preserve"> police judiciaire</w:t>
      </w:r>
      <w:r>
        <w:rPr>
          <w:rStyle w:val="FootnoteReference"/>
          <w:rFonts w:ascii="NimbusSanL;Times New Roman" w:eastAsia="Calibri" w:hAnsi="NimbusSanL;Times New Roman" w:cs="NimbusSanL;Times New Roman"/>
          <w:color w:val="000000"/>
          <w:sz w:val="20"/>
          <w:szCs w:val="20"/>
        </w:rPr>
        <w:footnoteReference w:id="66"/>
      </w:r>
      <w:r>
        <w:rPr>
          <w:rFonts w:ascii="NimbusSanL;Times New Roman" w:eastAsia="Calibri" w:hAnsi="NimbusSanL;Times New Roman" w:cs="NimbusSanL;Times New Roman"/>
          <w:color w:val="000000"/>
          <w:sz w:val="20"/>
          <w:szCs w:val="20"/>
        </w:rPr>
        <w:t>. Or, si les antennes régionales ou départementales de PJ ont longtemps été relativement indépendantes des autorités de sécurité publique locale (auxquelles appartiennent les unités de voie publique, les plus souvent mises en cause dans les affaires d’homicides policiers), ce n’est désormais plus le cas avec la réforme intervenue au début de l’année 2024. Cette réforme place l’ensemble des effectifs de police judiciaire sous l’autorité du directeur départemental ou interdépartemental de la police (DDPN ou D</w:t>
      </w:r>
      <w:r>
        <w:rPr>
          <w:rFonts w:ascii="NimbusSanL;Times New Roman" w:eastAsia="Calibri" w:hAnsi="NimbusSanL;Times New Roman" w:cs="NimbusSanL;Times New Roman"/>
          <w:color w:val="000000"/>
          <w:sz w:val="20"/>
          <w:szCs w:val="20"/>
        </w:rPr>
        <w:t>IPN). Cette évolution, par ailleurs critiquée de façon quasi-unanime dans le monde judiciaire, ne semble pas avoir fait notablement évoluer les pratiques des parquets en matière d’homicides impliquant la police : dans au moins deux cas de décès intervenus en 2024, des services de PJ ont été saisis, et non l’IGPN</w:t>
      </w:r>
      <w:r>
        <w:rPr>
          <w:rStyle w:val="FootnoteReference"/>
          <w:rFonts w:ascii="NimbusSanL;Times New Roman" w:eastAsia="Calibri" w:hAnsi="NimbusSanL;Times New Roman" w:cs="NimbusSanL;Times New Roman"/>
          <w:color w:val="000000"/>
          <w:sz w:val="20"/>
          <w:szCs w:val="20"/>
        </w:rPr>
        <w:footnoteReference w:id="67"/>
      </w:r>
      <w:r>
        <w:rPr>
          <w:rFonts w:ascii="NimbusSanL;Times New Roman" w:eastAsia="Calibri" w:hAnsi="NimbusSanL;Times New Roman" w:cs="NimbusSanL;Times New Roman"/>
          <w:color w:val="000000"/>
          <w:sz w:val="20"/>
          <w:szCs w:val="20"/>
        </w:rPr>
        <w:t>.</w:t>
      </w:r>
    </w:p>
    <w:p w14:paraId="1D60BC69" w14:textId="77777777" w:rsidR="00F35929" w:rsidRDefault="00F35929">
      <w:pPr>
        <w:jc w:val="both"/>
        <w:rPr>
          <w:rFonts w:ascii="NimbusSanL;Times New Roman" w:hAnsi="NimbusSanL;Times New Roman" w:cs="NimbusSanL;Times New Roman"/>
          <w:color w:val="000000"/>
          <w:sz w:val="20"/>
          <w:szCs w:val="20"/>
        </w:rPr>
      </w:pPr>
    </w:p>
    <w:p w14:paraId="2328CD15" w14:textId="77777777" w:rsidR="00F35929" w:rsidRDefault="002B5C50">
      <w:pPr>
        <w:jc w:val="both"/>
        <w:rPr>
          <w:rFonts w:ascii="NimbusSanL;Times New Roman" w:eastAsia="Calibri" w:hAnsi="NimbusSanL;Times New Roman" w:cs="NimbusSanL;Times New Roman"/>
          <w:color w:val="000000"/>
          <w:sz w:val="20"/>
          <w:szCs w:val="20"/>
          <w:shd w:val="clear" w:color="auto" w:fill="FFFF00"/>
        </w:rPr>
      </w:pPr>
      <w:r>
        <w:rPr>
          <w:rFonts w:ascii="NimbusSanL;Times New Roman" w:eastAsia="Calibri" w:hAnsi="NimbusSanL;Times New Roman" w:cs="NimbusSanL;Times New Roman"/>
          <w:color w:val="000000"/>
          <w:sz w:val="20"/>
          <w:szCs w:val="20"/>
        </w:rPr>
        <w:t xml:space="preserve">Qu’il s’agisse de services de droit commun ou de cellules déontologie, </w:t>
      </w:r>
      <w:r>
        <w:rPr>
          <w:rFonts w:ascii="NimbusSanL;Times New Roman" w:eastAsia="Calibri" w:hAnsi="NimbusSanL;Times New Roman" w:cs="NimbusSanL;Times New Roman"/>
          <w:b/>
          <w:bCs/>
          <w:color w:val="000000"/>
          <w:sz w:val="20"/>
          <w:szCs w:val="20"/>
        </w:rPr>
        <w:t>les services d’enquête saisis sont donc désormais placés sous la même direction départementale que les policiers impliqués et/ou sont constitués par des agents très proches, géographiquement et socialement, de ceux mis en cause</w:t>
      </w:r>
      <w:r>
        <w:rPr>
          <w:rFonts w:ascii="NimbusSanL;Times New Roman" w:eastAsia="Calibri" w:hAnsi="NimbusSanL;Times New Roman" w:cs="NimbusSanL;Times New Roman"/>
          <w:color w:val="000000"/>
          <w:sz w:val="20"/>
          <w:szCs w:val="20"/>
        </w:rPr>
        <w:t xml:space="preserve">. Or, la jurisprudence de la Cour européenne des droits de l’Homme prohibe les enquêtes menées par des « </w:t>
      </w:r>
      <w:r>
        <w:rPr>
          <w:rFonts w:ascii="NimbusSanL;Times New Roman" w:eastAsia="Calibri" w:hAnsi="NimbusSanL;Times New Roman" w:cs="NimbusSanL;Times New Roman"/>
          <w:i/>
          <w:iCs/>
          <w:color w:val="000000"/>
          <w:sz w:val="20"/>
          <w:szCs w:val="20"/>
        </w:rPr>
        <w:t xml:space="preserve">collègues </w:t>
      </w:r>
      <w:r>
        <w:rPr>
          <w:rFonts w:ascii="NimbusSanL;Times New Roman" w:eastAsia="Calibri" w:hAnsi="NimbusSanL;Times New Roman" w:cs="NimbusSanL;Times New Roman"/>
          <w:i/>
          <w:iCs/>
          <w:color w:val="000000"/>
          <w:sz w:val="20"/>
          <w:szCs w:val="20"/>
        </w:rPr>
        <w:lastRenderedPageBreak/>
        <w:t>directs</w:t>
      </w:r>
      <w:r>
        <w:rPr>
          <w:rFonts w:ascii="NimbusSanL;Times New Roman" w:eastAsia="Calibri" w:hAnsi="NimbusSanL;Times New Roman" w:cs="NimbusSanL;Times New Roman"/>
          <w:color w:val="000000"/>
          <w:sz w:val="20"/>
          <w:szCs w:val="20"/>
        </w:rPr>
        <w:t xml:space="preserve"> » de ceux mis en cause, par exemple s’ils exercent dans le même « </w:t>
      </w:r>
      <w:r>
        <w:rPr>
          <w:rFonts w:ascii="NimbusSanL;Times New Roman" w:eastAsia="Calibri" w:hAnsi="NimbusSanL;Times New Roman" w:cs="NimbusSanL;Times New Roman"/>
          <w:i/>
          <w:iCs/>
          <w:color w:val="000000"/>
          <w:sz w:val="20"/>
          <w:szCs w:val="20"/>
        </w:rPr>
        <w:t>bureau</w:t>
      </w:r>
      <w:r>
        <w:rPr>
          <w:rFonts w:ascii="NimbusSanL;Times New Roman" w:eastAsia="Calibri" w:hAnsi="NimbusSanL;Times New Roman" w:cs="NimbusSanL;Times New Roman"/>
          <w:color w:val="000000"/>
          <w:sz w:val="20"/>
          <w:szCs w:val="20"/>
        </w:rPr>
        <w:t xml:space="preserve"> » (au sens de commissariat)</w:t>
      </w:r>
      <w:r>
        <w:rPr>
          <w:rStyle w:val="FootnoteReference"/>
          <w:rFonts w:ascii="NimbusSanL;Times New Roman" w:eastAsia="Calibri" w:hAnsi="NimbusSanL;Times New Roman" w:cs="NimbusSanL;Times New Roman"/>
          <w:color w:val="000000"/>
          <w:sz w:val="20"/>
          <w:szCs w:val="20"/>
        </w:rPr>
        <w:footnoteReference w:id="68"/>
      </w:r>
      <w:r>
        <w:rPr>
          <w:rFonts w:ascii="NimbusSanL;Times New Roman" w:eastAsia="Calibri" w:hAnsi="NimbusSanL;Times New Roman" w:cs="NimbusSanL;Times New Roman"/>
          <w:color w:val="000000"/>
          <w:sz w:val="20"/>
          <w:szCs w:val="20"/>
        </w:rPr>
        <w:t>. Il en va de même si l’enquête est menée par des policiers appartenant au même corps et exerçant dans la même ville que ceux en cause</w:t>
      </w:r>
      <w:r>
        <w:rPr>
          <w:rStyle w:val="FootnoteReference"/>
          <w:rFonts w:ascii="NimbusSanL;Times New Roman" w:eastAsia="Calibri" w:hAnsi="NimbusSanL;Times New Roman" w:cs="NimbusSanL;Times New Roman"/>
          <w:color w:val="000000"/>
          <w:sz w:val="20"/>
          <w:szCs w:val="20"/>
        </w:rPr>
        <w:footnoteReference w:id="69"/>
      </w:r>
      <w:r>
        <w:rPr>
          <w:rFonts w:ascii="NimbusSanL;Times New Roman" w:eastAsia="Calibri" w:hAnsi="NimbusSanL;Times New Roman" w:cs="NimbusSanL;Times New Roman"/>
          <w:color w:val="000000"/>
          <w:sz w:val="20"/>
          <w:szCs w:val="20"/>
        </w:rPr>
        <w:t> ; mais également si le responsable d’enquête dépend de la même « </w:t>
      </w:r>
      <w:r>
        <w:rPr>
          <w:rFonts w:ascii="NimbusSanL;Times New Roman" w:eastAsia="Calibri" w:hAnsi="NimbusSanL;Times New Roman" w:cs="NimbusSanL;Times New Roman"/>
          <w:i/>
          <w:iCs/>
          <w:color w:val="000000"/>
          <w:sz w:val="20"/>
          <w:szCs w:val="20"/>
        </w:rPr>
        <w:t>hiérarchie locale</w:t>
      </w:r>
      <w:r>
        <w:rPr>
          <w:rFonts w:ascii="NimbusSanL;Times New Roman" w:eastAsia="Calibri" w:hAnsi="NimbusSanL;Times New Roman" w:cs="NimbusSanL;Times New Roman"/>
          <w:color w:val="000000"/>
          <w:sz w:val="20"/>
          <w:szCs w:val="20"/>
        </w:rPr>
        <w:t> »</w:t>
      </w:r>
      <w:r>
        <w:rPr>
          <w:rStyle w:val="FootnoteReference"/>
          <w:rFonts w:ascii="NimbusSanL;Times New Roman" w:eastAsia="Calibri" w:hAnsi="NimbusSanL;Times New Roman" w:cs="NimbusSanL;Times New Roman"/>
          <w:color w:val="000000"/>
          <w:sz w:val="20"/>
          <w:szCs w:val="20"/>
        </w:rPr>
        <w:footnoteReference w:id="70"/>
      </w:r>
      <w:r>
        <w:rPr>
          <w:rFonts w:ascii="NimbusSanL;Times New Roman" w:eastAsia="Calibri" w:hAnsi="NimbusSanL;Times New Roman" w:cs="NimbusSanL;Times New Roman"/>
          <w:color w:val="000000"/>
          <w:sz w:val="20"/>
          <w:szCs w:val="20"/>
        </w:rPr>
        <w:t xml:space="preserve">. </w:t>
      </w:r>
    </w:p>
    <w:p w14:paraId="6F50564C" w14:textId="77777777" w:rsidR="00F35929" w:rsidRDefault="00F35929">
      <w:pPr>
        <w:jc w:val="both"/>
        <w:rPr>
          <w:rFonts w:ascii="NimbusSanL;Times New Roman" w:eastAsia="Calibri" w:hAnsi="NimbusSanL;Times New Roman" w:cs="NimbusSanL;Times New Roman"/>
          <w:color w:val="000000"/>
          <w:sz w:val="20"/>
          <w:szCs w:val="20"/>
          <w:shd w:val="clear" w:color="auto" w:fill="FFFF00"/>
        </w:rPr>
      </w:pPr>
    </w:p>
    <w:p w14:paraId="780BA03C" w14:textId="77777777" w:rsidR="00F35929" w:rsidRDefault="00F35929">
      <w:pPr>
        <w:jc w:val="both"/>
        <w:rPr>
          <w:rFonts w:ascii="NimbusSanL;Times New Roman" w:eastAsia="Calibri" w:hAnsi="NimbusSanL;Times New Roman" w:cs="NimbusSanL;Times New Roman"/>
          <w:color w:val="000000"/>
          <w:sz w:val="20"/>
          <w:szCs w:val="20"/>
          <w:shd w:val="clear" w:color="auto" w:fill="FFFF00"/>
        </w:rPr>
      </w:pPr>
    </w:p>
    <w:p w14:paraId="710F1D19" w14:textId="77777777" w:rsidR="00F35929" w:rsidRDefault="002B5C50">
      <w:pPr>
        <w:pBdr>
          <w:top w:val="single" w:sz="2" w:space="10" w:color="85CFFF"/>
          <w:left w:val="single" w:sz="2" w:space="10" w:color="85CFFF"/>
          <w:bottom w:val="single" w:sz="2" w:space="10" w:color="85CFFF"/>
          <w:right w:val="single" w:sz="2" w:space="10" w:color="85CFFF"/>
        </w:pBdr>
        <w:ind w:left="510" w:right="397"/>
        <w:jc w:val="center"/>
        <w:rPr>
          <w:rFonts w:ascii="Happy Times at the IKOB Italic" w:eastAsia="Calibri" w:hAnsi="Happy Times at the IKOB Italic" w:cs="Happy Times at the IKOB Italic"/>
          <w:color w:val="000000"/>
          <w:sz w:val="20"/>
          <w:szCs w:val="20"/>
        </w:rPr>
      </w:pPr>
      <w:r>
        <w:rPr>
          <w:rFonts w:ascii="Happy Times at the IKOB Italic" w:eastAsia="Calibri" w:hAnsi="Happy Times at the IKOB Italic" w:cs="Happy Times at the IKOB Italic"/>
          <w:b/>
          <w:bCs/>
          <w:color w:val="000000"/>
          <w:sz w:val="20"/>
          <w:szCs w:val="20"/>
        </w:rPr>
        <w:t>Quand l’épouse du commissaire mis en cause dirige l’enquête</w:t>
      </w:r>
    </w:p>
    <w:p w14:paraId="6BDC394C" w14:textId="77777777" w:rsidR="00F35929" w:rsidRDefault="00F35929">
      <w:pPr>
        <w:pBdr>
          <w:top w:val="single" w:sz="2" w:space="10" w:color="85CFFF"/>
          <w:left w:val="single" w:sz="2" w:space="10" w:color="85CFFF"/>
          <w:bottom w:val="single" w:sz="2" w:space="10" w:color="85CFFF"/>
          <w:right w:val="single" w:sz="2" w:space="10" w:color="85CFFF"/>
        </w:pBdr>
        <w:ind w:left="510" w:right="397"/>
        <w:jc w:val="both"/>
        <w:rPr>
          <w:rFonts w:ascii="Happy Times at the IKOB Italic" w:eastAsia="Calibri" w:hAnsi="Happy Times at the IKOB Italic" w:cs="Happy Times at the IKOB Italic"/>
          <w:color w:val="000000"/>
          <w:sz w:val="20"/>
          <w:szCs w:val="20"/>
        </w:rPr>
      </w:pPr>
    </w:p>
    <w:p w14:paraId="7A8F0421" w14:textId="77777777" w:rsidR="00F35929" w:rsidRDefault="002B5C50">
      <w:pPr>
        <w:pBdr>
          <w:top w:val="single" w:sz="2" w:space="10" w:color="85CFFF"/>
          <w:left w:val="single" w:sz="2" w:space="10" w:color="85CFFF"/>
          <w:bottom w:val="single" w:sz="2" w:space="10" w:color="85CFFF"/>
          <w:right w:val="single" w:sz="2" w:space="10" w:color="85CFFF"/>
        </w:pBdr>
        <w:ind w:left="510" w:right="397"/>
        <w:jc w:val="both"/>
      </w:pPr>
      <w:r>
        <w:rPr>
          <w:rFonts w:ascii="Happy Times at the IKOB Italic" w:eastAsia="Calibri" w:hAnsi="Happy Times at the IKOB Italic" w:cs="Happy Times at the IKOB Italic"/>
          <w:color w:val="000000"/>
          <w:sz w:val="20"/>
          <w:szCs w:val="20"/>
        </w:rPr>
        <w:t xml:space="preserve">Au cours d’une manifestation des gilets jaunes, le samedi 23 mars à Nice, la militante d’Attac Geneviève </w:t>
      </w:r>
      <w:proofErr w:type="spellStart"/>
      <w:r>
        <w:rPr>
          <w:rFonts w:ascii="Happy Times at the IKOB Italic" w:eastAsia="Calibri" w:hAnsi="Happy Times at the IKOB Italic" w:cs="Happy Times at the IKOB Italic"/>
          <w:color w:val="000000"/>
          <w:sz w:val="20"/>
          <w:szCs w:val="20"/>
        </w:rPr>
        <w:t>Legay</w:t>
      </w:r>
      <w:proofErr w:type="spellEnd"/>
      <w:r>
        <w:rPr>
          <w:rFonts w:ascii="Happy Times at the IKOB Italic" w:eastAsia="Calibri" w:hAnsi="Happy Times at the IKOB Italic" w:cs="Happy Times at the IKOB Italic"/>
          <w:color w:val="000000"/>
          <w:sz w:val="20"/>
          <w:szCs w:val="20"/>
        </w:rPr>
        <w:t xml:space="preserve"> a été grièvement blessée par une charge de police. Le procureur Jean-Michel Prêtre a confié </w:t>
      </w:r>
      <w:r>
        <w:rPr>
          <w:rFonts w:ascii="Happy Times at the IKOB Italic" w:eastAsia="Calibri" w:hAnsi="Happy Times at the IKOB Italic" w:cs="Happy Times at the IKOB Italic"/>
          <w:color w:val="000000"/>
          <w:sz w:val="20"/>
          <w:szCs w:val="20"/>
        </w:rPr>
        <w:t xml:space="preserve">l’enquête préliminaire à Hélène </w:t>
      </w:r>
      <w:proofErr w:type="spellStart"/>
      <w:r>
        <w:rPr>
          <w:rFonts w:ascii="Happy Times at the IKOB Italic" w:eastAsia="Calibri" w:hAnsi="Happy Times at the IKOB Italic" w:cs="Happy Times at the IKOB Italic"/>
          <w:color w:val="000000"/>
          <w:sz w:val="20"/>
          <w:szCs w:val="20"/>
        </w:rPr>
        <w:t>Pedoya</w:t>
      </w:r>
      <w:proofErr w:type="spellEnd"/>
      <w:r>
        <w:rPr>
          <w:rFonts w:ascii="Happy Times at the IKOB Italic" w:eastAsia="Calibri" w:hAnsi="Happy Times at the IKOB Italic" w:cs="Happy Times at the IKOB Italic"/>
          <w:color w:val="000000"/>
          <w:sz w:val="20"/>
          <w:szCs w:val="20"/>
        </w:rPr>
        <w:t xml:space="preserve">, cheffe de la Sûreté départementale, qui n’est autre que la compagne du commissaire Rabah </w:t>
      </w:r>
      <w:proofErr w:type="spellStart"/>
      <w:r>
        <w:rPr>
          <w:rFonts w:ascii="Happy Times at the IKOB Italic" w:eastAsia="Calibri" w:hAnsi="Happy Times at the IKOB Italic" w:cs="Happy Times at the IKOB Italic"/>
          <w:color w:val="000000"/>
          <w:sz w:val="20"/>
          <w:szCs w:val="20"/>
        </w:rPr>
        <w:t>Souchi</w:t>
      </w:r>
      <w:proofErr w:type="spellEnd"/>
      <w:r>
        <w:rPr>
          <w:rFonts w:ascii="Happy Times at the IKOB Italic" w:eastAsia="Calibri" w:hAnsi="Happy Times at the IKOB Italic" w:cs="Happy Times at the IKOB Italic"/>
          <w:color w:val="000000"/>
          <w:sz w:val="20"/>
          <w:szCs w:val="20"/>
        </w:rPr>
        <w:t xml:space="preserve">, chargé des opérations ce jour-là […]. Selon des sources proches de l’enquête, Hélène </w:t>
      </w:r>
      <w:proofErr w:type="spellStart"/>
      <w:r>
        <w:rPr>
          <w:rFonts w:ascii="Happy Times at the IKOB Italic" w:eastAsia="Calibri" w:hAnsi="Happy Times at the IKOB Italic" w:cs="Happy Times at the IKOB Italic"/>
          <w:color w:val="000000"/>
          <w:sz w:val="20"/>
          <w:szCs w:val="20"/>
        </w:rPr>
        <w:t>Pedoya</w:t>
      </w:r>
      <w:proofErr w:type="spellEnd"/>
      <w:r>
        <w:rPr>
          <w:rFonts w:ascii="Happy Times at the IKOB Italic" w:eastAsia="Calibri" w:hAnsi="Happy Times at the IKOB Italic" w:cs="Happy Times at the IKOB Italic"/>
          <w:color w:val="000000"/>
          <w:sz w:val="20"/>
          <w:szCs w:val="20"/>
        </w:rPr>
        <w:t xml:space="preserve"> a également participé au maintien de l’ordre le jour même de la manifestation, et de surcroît dans le périmètre où Geneviève </w:t>
      </w:r>
      <w:proofErr w:type="spellStart"/>
      <w:r>
        <w:rPr>
          <w:rFonts w:ascii="Happy Times at the IKOB Italic" w:eastAsia="Calibri" w:hAnsi="Happy Times at the IKOB Italic" w:cs="Happy Times at the IKOB Italic"/>
          <w:color w:val="000000"/>
          <w:sz w:val="20"/>
          <w:szCs w:val="20"/>
        </w:rPr>
        <w:t>Legay</w:t>
      </w:r>
      <w:proofErr w:type="spellEnd"/>
      <w:r>
        <w:rPr>
          <w:rFonts w:ascii="Happy Times at the IKOB Italic" w:eastAsia="Calibri" w:hAnsi="Happy Times at the IKOB Italic" w:cs="Happy Times at the IKOB Italic"/>
          <w:color w:val="000000"/>
          <w:sz w:val="20"/>
          <w:szCs w:val="20"/>
        </w:rPr>
        <w:t xml:space="preserve"> a été heurtée par des policiers. […] Interrogé par Mediapart sur ce nouveau conflit d’intérêts, le procureur Jean-Michel Prêtre confirme avoir « été au </w:t>
      </w:r>
      <w:r>
        <w:rPr>
          <w:rFonts w:ascii="Happy Times at the IKOB Italic" w:eastAsia="Calibri" w:hAnsi="Happy Times at the IKOB Italic" w:cs="Happy Times at the IKOB Italic"/>
          <w:color w:val="000000"/>
          <w:sz w:val="20"/>
          <w:szCs w:val="20"/>
        </w:rPr>
        <w:t xml:space="preserve">courant de la présence d’Hélène </w:t>
      </w:r>
      <w:proofErr w:type="spellStart"/>
      <w:r>
        <w:rPr>
          <w:rFonts w:ascii="Happy Times at the IKOB Italic" w:eastAsia="Calibri" w:hAnsi="Happy Times at the IKOB Italic" w:cs="Happy Times at the IKOB Italic"/>
          <w:color w:val="000000"/>
          <w:sz w:val="20"/>
          <w:szCs w:val="20"/>
        </w:rPr>
        <w:t>Pedoya</w:t>
      </w:r>
      <w:proofErr w:type="spellEnd"/>
      <w:r>
        <w:rPr>
          <w:rFonts w:ascii="Happy Times at the IKOB Italic" w:eastAsia="Calibri" w:hAnsi="Happy Times at the IKOB Italic" w:cs="Happy Times at the IKOB Italic"/>
          <w:color w:val="000000"/>
          <w:sz w:val="20"/>
          <w:szCs w:val="20"/>
        </w:rPr>
        <w:t xml:space="preserve"> lors des manifestations, dans la zone où Geneviève </w:t>
      </w:r>
      <w:proofErr w:type="spellStart"/>
      <w:r>
        <w:rPr>
          <w:rFonts w:ascii="Happy Times at the IKOB Italic" w:eastAsia="Calibri" w:hAnsi="Happy Times at the IKOB Italic" w:cs="Happy Times at the IKOB Italic"/>
          <w:color w:val="000000"/>
          <w:sz w:val="20"/>
          <w:szCs w:val="20"/>
        </w:rPr>
        <w:t>Legay</w:t>
      </w:r>
      <w:proofErr w:type="spellEnd"/>
      <w:r>
        <w:rPr>
          <w:rFonts w:ascii="Happy Times at the IKOB Italic" w:eastAsia="Calibri" w:hAnsi="Happy Times at the IKOB Italic" w:cs="Happy Times at the IKOB Italic"/>
          <w:color w:val="000000"/>
          <w:sz w:val="20"/>
          <w:szCs w:val="20"/>
        </w:rPr>
        <w:t xml:space="preserve"> a été blessée » mais sans percevoir « où est le problème ». Il tente néanmoins de minimiser l’implication de la commissaire divisionnaire qui, selon lui, « ne menait pas l’enquête. C’est le service qu’elle dirigeait qui en avait la charge [sic] »</w:t>
      </w:r>
      <w:r>
        <w:rPr>
          <w:rStyle w:val="FootnoteReference"/>
          <w:rFonts w:ascii="Happy Times at the IKOB Italic" w:eastAsia="Calibri" w:hAnsi="Happy Times at the IKOB Italic" w:cs="Happy Times at the IKOB Italic"/>
          <w:color w:val="000000"/>
          <w:sz w:val="20"/>
          <w:szCs w:val="20"/>
        </w:rPr>
        <w:footnoteReference w:id="71"/>
      </w:r>
    </w:p>
    <w:p w14:paraId="5B9E5900" w14:textId="77777777" w:rsidR="00F35929" w:rsidRDefault="00F35929">
      <w:pPr>
        <w:jc w:val="both"/>
      </w:pPr>
    </w:p>
    <w:p w14:paraId="64C94E4F" w14:textId="77777777" w:rsidR="00F35929" w:rsidRDefault="00F35929">
      <w:pPr>
        <w:jc w:val="both"/>
      </w:pPr>
    </w:p>
    <w:p w14:paraId="19CE0977"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Étudiant les effets potentiels de la réforme de la police nationale intervenue en 2024, un rapport d’information du Sénat français relève « </w:t>
      </w:r>
      <w:r>
        <w:rPr>
          <w:rFonts w:ascii="NimbusSanL;Times New Roman" w:hAnsi="NimbusSanL;Times New Roman" w:cs="NimbusSanL;Times New Roman"/>
          <w:i/>
          <w:iCs/>
          <w:sz w:val="20"/>
          <w:szCs w:val="20"/>
        </w:rPr>
        <w:t>un risque pour l'indépendance des enquêtes les plus sensibles : en ce que le rattachement hiérarchique direct du DDPN au préfet rendrait plus difficile pour lui de ne pas faire état de l'avancement des enquêtes</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72"/>
      </w:r>
      <w:r>
        <w:rPr>
          <w:rFonts w:ascii="NimbusSanL;Times New Roman" w:hAnsi="NimbusSanL;Times New Roman" w:cs="NimbusSanL;Times New Roman"/>
          <w:sz w:val="20"/>
          <w:szCs w:val="20"/>
        </w:rPr>
        <w:t>. Pour le procureur général près la Cour de cassation, auditionné par le Sénat, « </w:t>
      </w:r>
      <w:r>
        <w:rPr>
          <w:rFonts w:ascii="NimbusSanL;Times New Roman" w:hAnsi="NimbusSanL;Times New Roman" w:cs="NimbusSanL;Times New Roman"/>
          <w:i/>
          <w:sz w:val="20"/>
          <w:szCs w:val="20"/>
        </w:rPr>
        <w:t>renforcer l'autorité des préfets de département crée un risque d'interférence des préfets, des politiques et des élus dans les enquêtes </w:t>
      </w:r>
      <w:r>
        <w:rPr>
          <w:rFonts w:ascii="NimbusSanL;Times New Roman" w:hAnsi="NimbusSanL;Times New Roman" w:cs="NimbusSanL;Times New Roman"/>
          <w:sz w:val="20"/>
          <w:szCs w:val="20"/>
        </w:rPr>
        <w:t>». C’est la situation qui existe quand les enquêtes sur des faits commis par des policiers sont traitées au niveau des DDPN, dans les cellules déontologie ou d’autres services de droit commun.</w:t>
      </w:r>
    </w:p>
    <w:p w14:paraId="104DC8C4" w14:textId="77777777" w:rsidR="00F35929" w:rsidRDefault="00F35929">
      <w:pPr>
        <w:jc w:val="both"/>
        <w:rPr>
          <w:rFonts w:ascii="NimbusSanL;Times New Roman" w:hAnsi="NimbusSanL;Times New Roman" w:cs="NimbusSanL;Times New Roman"/>
          <w:sz w:val="20"/>
          <w:szCs w:val="20"/>
        </w:rPr>
      </w:pPr>
    </w:p>
    <w:p w14:paraId="131BB2F7"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Dans chaque département en effet, le DDPN ou DIPN est un acteur politique important : il est à la fois le bras droit du préfet, le chef des troupes policières de son territoire, et l’interlocuteur privilégié des syndicats policiers. À ce titre, il est également comptable de la réputation locale de l’institution, dont il assure d’ailleurs la communication officielle. L’officier membre de l’IGPN cité par le chercheur Frédéric </w:t>
      </w:r>
      <w:proofErr w:type="spellStart"/>
      <w:r>
        <w:rPr>
          <w:rFonts w:ascii="NimbusSanL;Times New Roman" w:hAnsi="NimbusSanL;Times New Roman" w:cs="NimbusSanL;Times New Roman"/>
          <w:sz w:val="20"/>
          <w:szCs w:val="20"/>
        </w:rPr>
        <w:t>Ocqueteau</w:t>
      </w:r>
      <w:proofErr w:type="spellEnd"/>
      <w:r>
        <w:rPr>
          <w:rFonts w:ascii="NimbusSanL;Times New Roman" w:hAnsi="NimbusSanL;Times New Roman" w:cs="NimbusSanL;Times New Roman"/>
          <w:sz w:val="20"/>
          <w:szCs w:val="20"/>
        </w:rPr>
        <w:t xml:space="preserve"> illustre ce propos : « </w:t>
      </w:r>
      <w:r>
        <w:rPr>
          <w:rFonts w:ascii="NimbusSanL;Times New Roman" w:hAnsi="NimbusSanL;Times New Roman" w:cs="NimbusSanL;Times New Roman"/>
          <w:i/>
          <w:iCs/>
          <w:sz w:val="20"/>
          <w:szCs w:val="20"/>
        </w:rPr>
        <w:t xml:space="preserve">Le risque d’une trop grande décentralisation [du contrôle déontologique] serait qu’un DDSP en fasse "sa chose personnelle". Dans la mesure où il incarne le pouvoir disciplinaire local, il pourrait fort bien donner le la à "sa cellule de déontologie"… et du coup, elles risqueraient d’être aussitôt vues comme "les enquêtes du DDSP". Or, ce que je dis là est déjà tout-à-fait palpable, </w:t>
      </w:r>
      <w:r>
        <w:rPr>
          <w:rFonts w:ascii="NimbusSanL;Times New Roman" w:hAnsi="NimbusSanL;Times New Roman" w:cs="NimbusSanL;Times New Roman"/>
          <w:b/>
          <w:bCs/>
          <w:i/>
          <w:iCs/>
          <w:sz w:val="20"/>
          <w:szCs w:val="20"/>
        </w:rPr>
        <w:t>nous avons déjà dû "reprendre des copies", notamment des dossiers à notre niveau qui, pour des</w:t>
      </w:r>
      <w:r>
        <w:rPr>
          <w:rFonts w:ascii="NimbusSanL;Times New Roman" w:hAnsi="NimbusSanL;Times New Roman" w:cs="NimbusSanL;Times New Roman"/>
          <w:b/>
          <w:bCs/>
          <w:i/>
          <w:iCs/>
          <w:sz w:val="20"/>
          <w:szCs w:val="20"/>
        </w:rPr>
        <w:t xml:space="preserve"> faits identiques, ne nous apparaissaient pas comme ayant fait l’objet de traitements équitables, sur le plan de la légalité des faits à charge et à décharge, et même sur la régularité de la procédure disciplinaire</w:t>
      </w:r>
      <w:r>
        <w:rPr>
          <w:rFonts w:ascii="NimbusSanL;Times New Roman" w:hAnsi="NimbusSanL;Times New Roman" w:cs="NimbusSanL;Times New Roman"/>
          <w:i/>
          <w:iCs/>
          <w:sz w:val="20"/>
          <w:szCs w:val="20"/>
        </w:rPr>
        <w:t>…. Je dirai donc que seuls les DDSP qui ont vraiment du recul avec la déontologie sont capables de faire le même boulot que le nôtre</w:t>
      </w:r>
      <w:r>
        <w:rPr>
          <w:rFonts w:ascii="NimbusSanL;Times New Roman" w:hAnsi="NimbusSanL;Times New Roman" w:cs="NimbusSanL;Times New Roman"/>
          <w:sz w:val="20"/>
          <w:szCs w:val="20"/>
        </w:rPr>
        <w:t xml:space="preserve"> »</w:t>
      </w:r>
      <w:r>
        <w:rPr>
          <w:rStyle w:val="FootnoteReference"/>
          <w:rFonts w:ascii="NimbusSanL;Times New Roman" w:hAnsi="NimbusSanL;Times New Roman" w:cs="NimbusSanL;Times New Roman"/>
          <w:sz w:val="20"/>
          <w:szCs w:val="20"/>
        </w:rPr>
        <w:footnoteReference w:id="73"/>
      </w:r>
      <w:r>
        <w:rPr>
          <w:rFonts w:ascii="NimbusSanL;Times New Roman" w:hAnsi="NimbusSanL;Times New Roman" w:cs="NimbusSanL;Times New Roman"/>
          <w:sz w:val="20"/>
          <w:szCs w:val="20"/>
        </w:rPr>
        <w:t>.</w:t>
      </w:r>
    </w:p>
    <w:p w14:paraId="28AD6435" w14:textId="77777777" w:rsidR="00F35929" w:rsidRDefault="00F35929">
      <w:pPr>
        <w:jc w:val="both"/>
        <w:rPr>
          <w:rFonts w:ascii="NimbusSanL;Times New Roman" w:hAnsi="NimbusSanL;Times New Roman" w:cs="NimbusSanL;Times New Roman"/>
          <w:sz w:val="20"/>
          <w:szCs w:val="20"/>
        </w:rPr>
      </w:pPr>
    </w:p>
    <w:p w14:paraId="1EE9FAC1"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Ce sentiment est partagé par un ancien membre d’une cellule de déontologie : « </w:t>
      </w:r>
      <w:r>
        <w:rPr>
          <w:rFonts w:ascii="NimbusSanL;Times New Roman" w:hAnsi="NimbusSanL;Times New Roman" w:cs="NimbusSanL;Times New Roman"/>
          <w:i/>
          <w:iCs/>
          <w:sz w:val="20"/>
          <w:szCs w:val="20"/>
        </w:rPr>
        <w:t xml:space="preserve">Il est possible qu’un directeur départemental veuille avoir la main mise. Il a forcément l’enjeu de montrer à sa hiérarchie nationale qu’il garde la main sur ses troupes, donc il n’a pas forcément intérêt à afficher des problèmes internes. Dans ce sens, la cellule de déontologie est un service tampon, on traite en interne. Bien sûr, en cas d’inertie sur une enquête, un fonctionnaire d’une cellule peut toujours dire à sa hiérarchie "OK, je me tourne vers le parquet" </w:t>
      </w:r>
      <w:r>
        <w:rPr>
          <w:rFonts w:ascii="NimbusSanL;Times New Roman" w:hAnsi="NimbusSanL;Times New Roman" w:cs="NimbusSanL;Times New Roman"/>
          <w:sz w:val="20"/>
          <w:szCs w:val="20"/>
        </w:rPr>
        <w:t xml:space="preserve">[qui en droit au moins, dirige les </w:t>
      </w:r>
      <w:r>
        <w:rPr>
          <w:rFonts w:ascii="NimbusSanL;Times New Roman" w:hAnsi="NimbusSanL;Times New Roman" w:cs="NimbusSanL;Times New Roman"/>
          <w:sz w:val="20"/>
          <w:szCs w:val="20"/>
        </w:rPr>
        <w:lastRenderedPageBreak/>
        <w:t>enquête</w:t>
      </w:r>
      <w:r>
        <w:rPr>
          <w:rFonts w:ascii="NimbusSanL;Times New Roman" w:hAnsi="NimbusSanL;Times New Roman" w:cs="NimbusSanL;Times New Roman"/>
          <w:sz w:val="20"/>
          <w:szCs w:val="20"/>
        </w:rPr>
        <w:t>s]</w:t>
      </w:r>
      <w:r>
        <w:rPr>
          <w:rFonts w:ascii="NimbusSanL;Times New Roman" w:hAnsi="NimbusSanL;Times New Roman" w:cs="NimbusSanL;Times New Roman"/>
          <w:i/>
          <w:iCs/>
          <w:sz w:val="20"/>
          <w:szCs w:val="20"/>
        </w:rPr>
        <w:t>, mais il faut avoir du courage, on est noté par notre hiérarchie… ce sont des postes un peu poudre aux yeux</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74"/>
      </w:r>
      <w:r>
        <w:rPr>
          <w:rFonts w:ascii="NimbusSanL;Times New Roman" w:hAnsi="NimbusSanL;Times New Roman" w:cs="NimbusSanL;Times New Roman"/>
          <w:sz w:val="20"/>
          <w:szCs w:val="20"/>
        </w:rPr>
        <w:t xml:space="preserve">. </w:t>
      </w:r>
    </w:p>
    <w:p w14:paraId="11458C1E" w14:textId="77777777" w:rsidR="00F35929" w:rsidRDefault="00F35929">
      <w:pPr>
        <w:jc w:val="both"/>
        <w:rPr>
          <w:rFonts w:ascii="NimbusSanL;Times New Roman" w:hAnsi="NimbusSanL;Times New Roman" w:cs="NimbusSanL;Times New Roman"/>
          <w:sz w:val="20"/>
          <w:szCs w:val="20"/>
        </w:rPr>
      </w:pPr>
    </w:p>
    <w:p w14:paraId="341D11BF"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D’ailleurs, </w:t>
      </w:r>
      <w:r>
        <w:rPr>
          <w:rFonts w:ascii="NimbusSanL;Times New Roman" w:hAnsi="NimbusSanL;Times New Roman" w:cs="NimbusSanL;Times New Roman"/>
          <w:b/>
          <w:bCs/>
          <w:sz w:val="20"/>
          <w:szCs w:val="20"/>
        </w:rPr>
        <w:t>dès 2007, la Commission nationale déontologie de la sécurité (CNDS), s’est interrogée « </w:t>
      </w:r>
      <w:r>
        <w:rPr>
          <w:rFonts w:ascii="NimbusSanL;Times New Roman" w:hAnsi="NimbusSanL;Times New Roman" w:cs="NimbusSanL;Times New Roman"/>
          <w:b/>
          <w:bCs/>
          <w:i/>
          <w:iCs/>
          <w:sz w:val="20"/>
          <w:szCs w:val="20"/>
        </w:rPr>
        <w:t xml:space="preserve">sur les difficultés </w:t>
      </w:r>
      <w:proofErr w:type="gramStart"/>
      <w:r>
        <w:rPr>
          <w:rFonts w:ascii="NimbusSanL;Times New Roman" w:hAnsi="NimbusSanL;Times New Roman" w:cs="NimbusSanL;Times New Roman"/>
          <w:b/>
          <w:bCs/>
          <w:i/>
          <w:iCs/>
          <w:sz w:val="20"/>
          <w:szCs w:val="20"/>
        </w:rPr>
        <w:t>en terme</w:t>
      </w:r>
      <w:proofErr w:type="gramEnd"/>
      <w:r>
        <w:rPr>
          <w:rFonts w:ascii="NimbusSanL;Times New Roman" w:hAnsi="NimbusSanL;Times New Roman" w:cs="NimbusSanL;Times New Roman"/>
          <w:b/>
          <w:bCs/>
          <w:i/>
          <w:iCs/>
          <w:sz w:val="20"/>
          <w:szCs w:val="20"/>
        </w:rPr>
        <w:t xml:space="preserve"> d’impartialité objective qu’une section locale peut rencontrer </w:t>
      </w:r>
      <w:r>
        <w:rPr>
          <w:rFonts w:ascii="NimbusSanL;Times New Roman" w:hAnsi="NimbusSanL;Times New Roman" w:cs="NimbusSanL;Times New Roman"/>
          <w:b/>
          <w:bCs/>
          <w:i/>
          <w:iCs/>
          <w:sz w:val="20"/>
          <w:szCs w:val="20"/>
        </w:rPr>
        <w:t>lorsqu’elle enquête sur des personnels exerçant au sein de la même direction départementale</w:t>
      </w:r>
      <w:r>
        <w:rPr>
          <w:rFonts w:ascii="NimbusSanL;Times New Roman" w:hAnsi="NimbusSanL;Times New Roman" w:cs="NimbusSanL;Times New Roman"/>
          <w:b/>
          <w:bCs/>
          <w:sz w:val="20"/>
          <w:szCs w:val="20"/>
        </w:rPr>
        <w:t> »</w:t>
      </w:r>
      <w:r>
        <w:rPr>
          <w:rFonts w:ascii="NimbusSanL;Times New Roman" w:hAnsi="NimbusSanL;Times New Roman" w:cs="NimbusSanL;Times New Roman"/>
          <w:sz w:val="20"/>
          <w:szCs w:val="20"/>
        </w:rPr>
        <w:t xml:space="preserve">. Par conséquent, elle </w:t>
      </w:r>
      <w:proofErr w:type="gramStart"/>
      <w:r>
        <w:rPr>
          <w:rFonts w:ascii="NimbusSanL;Times New Roman" w:hAnsi="NimbusSanL;Times New Roman" w:cs="NimbusSanL;Times New Roman"/>
          <w:sz w:val="20"/>
          <w:szCs w:val="20"/>
        </w:rPr>
        <w:t>demande à ce</w:t>
      </w:r>
      <w:proofErr w:type="gramEnd"/>
      <w:r>
        <w:rPr>
          <w:rFonts w:ascii="NimbusSanL;Times New Roman" w:hAnsi="NimbusSanL;Times New Roman" w:cs="NimbusSanL;Times New Roman"/>
          <w:sz w:val="20"/>
          <w:szCs w:val="20"/>
        </w:rPr>
        <w:t xml:space="preserve"> que « </w:t>
      </w:r>
      <w:r>
        <w:rPr>
          <w:rFonts w:ascii="NimbusSanL;Times New Roman" w:hAnsi="NimbusSanL;Times New Roman" w:cs="NimbusSanL;Times New Roman"/>
          <w:i/>
          <w:iCs/>
          <w:sz w:val="20"/>
          <w:szCs w:val="20"/>
        </w:rPr>
        <w:t>les domaines respectifs de compétence de l’IGPN et des sections de discipline créées localement au sein des directions départementales pour enquêter sur des allégations de violences policières soient clarifiés</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75"/>
      </w:r>
      <w:r>
        <w:rPr>
          <w:rFonts w:ascii="NimbusSanL;Times New Roman" w:hAnsi="NimbusSanL;Times New Roman" w:cs="NimbusSanL;Times New Roman"/>
          <w:sz w:val="20"/>
          <w:szCs w:val="20"/>
        </w:rPr>
        <w:t>. En réponse, le DGPN a beau jeu de répondre que la « </w:t>
      </w:r>
      <w:r>
        <w:rPr>
          <w:rFonts w:ascii="NimbusSanL;Times New Roman" w:hAnsi="NimbusSanL;Times New Roman" w:cs="NimbusSanL;Times New Roman"/>
          <w:i/>
          <w:iCs/>
          <w:sz w:val="20"/>
          <w:szCs w:val="20"/>
        </w:rPr>
        <w:t>qualité</w:t>
      </w:r>
      <w:r>
        <w:rPr>
          <w:rFonts w:ascii="NimbusSanL;Times New Roman" w:hAnsi="NimbusSanL;Times New Roman" w:cs="NimbusSanL;Times New Roman"/>
          <w:sz w:val="20"/>
          <w:szCs w:val="20"/>
        </w:rPr>
        <w:t> » du travail de la cellule déontologie est « </w:t>
      </w:r>
      <w:r>
        <w:rPr>
          <w:rFonts w:ascii="NimbusSanL;Times New Roman" w:hAnsi="NimbusSanL;Times New Roman" w:cs="NimbusSanL;Times New Roman"/>
          <w:i/>
          <w:iCs/>
          <w:sz w:val="20"/>
          <w:szCs w:val="20"/>
        </w:rPr>
        <w:t>attestée par la confiance renouvelée du parquet local</w:t>
      </w:r>
      <w:r>
        <w:rPr>
          <w:rFonts w:ascii="NimbusSanL;Times New Roman" w:hAnsi="NimbusSanL;Times New Roman" w:cs="NimbusSanL;Times New Roman"/>
          <w:sz w:val="20"/>
          <w:szCs w:val="20"/>
        </w:rPr>
        <w:t> », qui continue à la saisir. Le DGPN ne répond pas aux questions soulevées en matière d’impartialité, mettant en avant l’« </w:t>
      </w:r>
      <w:r>
        <w:rPr>
          <w:rFonts w:ascii="NimbusSanL;Times New Roman" w:hAnsi="NimbusSanL;Times New Roman" w:cs="NimbusSanL;Times New Roman"/>
          <w:i/>
          <w:iCs/>
          <w:sz w:val="20"/>
          <w:szCs w:val="20"/>
        </w:rPr>
        <w:t>expérience</w:t>
      </w:r>
      <w:r>
        <w:rPr>
          <w:rFonts w:ascii="NimbusSanL;Times New Roman" w:hAnsi="NimbusSanL;Times New Roman" w:cs="NimbusSanL;Times New Roman"/>
          <w:sz w:val="20"/>
          <w:szCs w:val="20"/>
        </w:rPr>
        <w:t> » des membres de la cellule. A notre connaissance, cette question n’a depuis jamais été reposée.</w:t>
      </w:r>
    </w:p>
    <w:p w14:paraId="5A3EA4BA" w14:textId="77777777" w:rsidR="00F35929" w:rsidRDefault="00F35929">
      <w:pPr>
        <w:jc w:val="both"/>
        <w:rPr>
          <w:rFonts w:ascii="NimbusSanL;Times New Roman" w:hAnsi="NimbusSanL;Times New Roman" w:cs="NimbusSanL;Times New Roman"/>
          <w:sz w:val="20"/>
          <w:szCs w:val="20"/>
        </w:rPr>
      </w:pPr>
    </w:p>
    <w:p w14:paraId="30425354"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Les formes de censure décrites supra</w:t>
      </w:r>
      <w:r>
        <w:rPr>
          <w:rFonts w:ascii="NimbusSanL;Times New Roman" w:hAnsi="NimbusSanL;Times New Roman" w:cs="NimbusSanL;Times New Roman"/>
          <w:b/>
          <w:bCs/>
          <w:sz w:val="20"/>
          <w:szCs w:val="20"/>
        </w:rPr>
        <w:t xml:space="preserve"> (cf. n°I.3)</w:t>
      </w:r>
      <w:r>
        <w:rPr>
          <w:rFonts w:ascii="NimbusSanL;Times New Roman" w:hAnsi="NimbusSanL;Times New Roman" w:cs="NimbusSanL;Times New Roman"/>
          <w:sz w:val="20"/>
          <w:szCs w:val="20"/>
        </w:rPr>
        <w:t xml:space="preserve">, découlant de l’homogénéité statutaire et professionnelle des enquêteurs et des enquêtés ne peut que jouer plus fortement en cas de proximité géographique. La source policière précitée explique : </w:t>
      </w:r>
      <w:r>
        <w:rPr>
          <w:rFonts w:ascii="NimbusSanL;Times New Roman" w:hAnsi="NimbusSanL;Times New Roman" w:cs="NimbusSanL;Times New Roman"/>
          <w:color w:val="000000"/>
          <w:sz w:val="20"/>
          <w:szCs w:val="20"/>
        </w:rPr>
        <w:t>« </w:t>
      </w:r>
      <w:r>
        <w:rPr>
          <w:rFonts w:ascii="NimbusSanL;Times New Roman" w:hAnsi="NimbusSanL;Times New Roman" w:cs="NimbusSanL;Times New Roman"/>
          <w:i/>
          <w:iCs/>
          <w:color w:val="000000"/>
          <w:sz w:val="20"/>
          <w:szCs w:val="20"/>
        </w:rPr>
        <w:t xml:space="preserve">il n’est pas rare d’enquêter sur un collègue ou un ancien collègue avec qui on </w:t>
      </w:r>
      <w:proofErr w:type="gramStart"/>
      <w:r>
        <w:rPr>
          <w:rFonts w:ascii="NimbusSanL;Times New Roman" w:hAnsi="NimbusSanL;Times New Roman" w:cs="NimbusSanL;Times New Roman"/>
          <w:i/>
          <w:iCs/>
          <w:color w:val="000000"/>
          <w:sz w:val="20"/>
          <w:szCs w:val="20"/>
        </w:rPr>
        <w:t>a été</w:t>
      </w:r>
      <w:proofErr w:type="gramEnd"/>
      <w:r>
        <w:rPr>
          <w:rFonts w:ascii="NimbusSanL;Times New Roman" w:hAnsi="NimbusSanL;Times New Roman" w:cs="NimbusSanL;Times New Roman"/>
          <w:i/>
          <w:iCs/>
          <w:color w:val="000000"/>
          <w:sz w:val="20"/>
          <w:szCs w:val="20"/>
        </w:rPr>
        <w:t xml:space="preserve"> à l’école, dans tel service, etc. C’est d’ailleurs vrai même pour les membres des délégations locales de l’IGPN, et même dans de grandes villes. Dans ces cas-là, la tentation est grande d’appeler le collègue pour l’i</w:t>
      </w:r>
      <w:r>
        <w:rPr>
          <w:rFonts w:ascii="NimbusSanL;Times New Roman" w:hAnsi="NimbusSanL;Times New Roman" w:cs="NimbusSanL;Times New Roman"/>
          <w:i/>
          <w:iCs/>
          <w:color w:val="000000"/>
          <w:sz w:val="20"/>
          <w:szCs w:val="20"/>
        </w:rPr>
        <w:t>nformer, de privilégier des approches informelles, etc.</w:t>
      </w:r>
      <w:r>
        <w:rPr>
          <w:rFonts w:ascii="NimbusSanL;Times New Roman" w:hAnsi="NimbusSanL;Times New Roman" w:cs="NimbusSanL;Times New Roman"/>
          <w:color w:val="000000"/>
          <w:sz w:val="20"/>
          <w:szCs w:val="20"/>
        </w:rPr>
        <w:t> »</w:t>
      </w:r>
      <w:r>
        <w:rPr>
          <w:rStyle w:val="FootnoteReference"/>
          <w:rFonts w:ascii="NimbusSanL;Times New Roman" w:hAnsi="NimbusSanL;Times New Roman" w:cs="NimbusSanL;Times New Roman"/>
          <w:color w:val="000000"/>
          <w:sz w:val="20"/>
          <w:szCs w:val="20"/>
        </w:rPr>
        <w:footnoteReference w:id="76"/>
      </w:r>
      <w:r>
        <w:rPr>
          <w:rFonts w:ascii="NimbusSanL;Times New Roman" w:hAnsi="NimbusSanL;Times New Roman" w:cs="NimbusSanL;Times New Roman"/>
          <w:color w:val="000000"/>
          <w:sz w:val="20"/>
          <w:szCs w:val="20"/>
        </w:rPr>
        <w:t>.</w:t>
      </w:r>
    </w:p>
    <w:p w14:paraId="7B839C99" w14:textId="77777777" w:rsidR="00F35929" w:rsidRDefault="00F35929">
      <w:pPr>
        <w:jc w:val="both"/>
        <w:rPr>
          <w:rFonts w:ascii="NimbusSanL;Times New Roman" w:hAnsi="NimbusSanL;Times New Roman" w:cs="NimbusSanL;Times New Roman"/>
          <w:sz w:val="20"/>
          <w:szCs w:val="20"/>
        </w:rPr>
      </w:pPr>
    </w:p>
    <w:p w14:paraId="031B86AF"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Selon les critères de la CEDH, l’indépendance d’un service enquêteur s’analyse aussi à travers « </w:t>
      </w:r>
      <w:r>
        <w:rPr>
          <w:rFonts w:ascii="NimbusSanL;Times New Roman" w:hAnsi="NimbusSanL;Times New Roman" w:cs="NimbusSanL;Times New Roman"/>
          <w:i/>
          <w:iCs/>
          <w:sz w:val="20"/>
          <w:szCs w:val="20"/>
        </w:rPr>
        <w:t>les conclusions de l’enquête</w:t>
      </w:r>
      <w:r>
        <w:rPr>
          <w:rFonts w:ascii="NimbusSanL;Times New Roman" w:hAnsi="NimbusSanL;Times New Roman" w:cs="NimbusSanL;Times New Roman"/>
          <w:sz w:val="20"/>
          <w:szCs w:val="20"/>
        </w:rPr>
        <w:t> » qui doivent se fonder « </w:t>
      </w:r>
      <w:r>
        <w:rPr>
          <w:rFonts w:ascii="NimbusSanL;Times New Roman" w:hAnsi="NimbusSanL;Times New Roman" w:cs="NimbusSanL;Times New Roman"/>
          <w:i/>
          <w:iCs/>
          <w:sz w:val="20"/>
          <w:szCs w:val="20"/>
        </w:rPr>
        <w:t>sur une analyse méticuleuse, objective et impartiale </w:t>
      </w:r>
      <w:r>
        <w:rPr>
          <w:rFonts w:ascii="NimbusSanL;Times New Roman" w:hAnsi="NimbusSanL;Times New Roman" w:cs="NimbusSanL;Times New Roman"/>
          <w:sz w:val="20"/>
          <w:szCs w:val="20"/>
        </w:rPr>
        <w:t>»</w:t>
      </w:r>
      <w:r>
        <w:rPr>
          <w:rStyle w:val="FootnoteReference"/>
          <w:rFonts w:ascii="NimbusSanL;Times New Roman" w:hAnsi="NimbusSanL;Times New Roman" w:cs="NimbusSanL;Times New Roman"/>
          <w:sz w:val="20"/>
          <w:szCs w:val="20"/>
        </w:rPr>
        <w:footnoteReference w:id="77"/>
      </w:r>
      <w:r>
        <w:rPr>
          <w:rFonts w:ascii="NimbusSanL;Times New Roman" w:hAnsi="NimbusSanL;Times New Roman" w:cs="NimbusSanL;Times New Roman"/>
          <w:sz w:val="20"/>
          <w:szCs w:val="20"/>
        </w:rPr>
        <w:t xml:space="preserve">. Or, les défauts d’indépendance décrits supra </w:t>
      </w:r>
      <w:proofErr w:type="gramStart"/>
      <w:r>
        <w:rPr>
          <w:rFonts w:ascii="NimbusSanL;Times New Roman" w:hAnsi="NimbusSanL;Times New Roman" w:cs="NimbusSanL;Times New Roman"/>
          <w:sz w:val="20"/>
          <w:szCs w:val="20"/>
        </w:rPr>
        <w:t>ont</w:t>
      </w:r>
      <w:proofErr w:type="gramEnd"/>
      <w:r>
        <w:rPr>
          <w:rFonts w:ascii="NimbusSanL;Times New Roman" w:hAnsi="NimbusSanL;Times New Roman" w:cs="NimbusSanL;Times New Roman"/>
          <w:sz w:val="20"/>
          <w:szCs w:val="20"/>
        </w:rPr>
        <w:t xml:space="preserve"> des conséquences concrètes sur le déroulement des enquêtes. En 2022, Flagrant déni a pu analyser un panel de dossiers judiciaires concernant un usage excessif de la force à Lyon (Rhône), en comparant ceux confiés à l’IGPN, et ceux confiés à la cellule de déontologie locale. Cette dernière procède en moyenne à 7 fois moins d’auditions de témoins. Pire : </w:t>
      </w:r>
      <w:r>
        <w:rPr>
          <w:rFonts w:ascii="NimbusSanL;Times New Roman" w:hAnsi="NimbusSanL;Times New Roman" w:cs="NimbusSanL;Times New Roman"/>
          <w:b/>
          <w:bCs/>
          <w:sz w:val="20"/>
          <w:szCs w:val="20"/>
        </w:rPr>
        <w:t>la cellule déontologie n’auditionne presque jamais de policier (une seule audition dans un dossier, sur le</w:t>
      </w:r>
      <w:r>
        <w:rPr>
          <w:rFonts w:ascii="NimbusSanL;Times New Roman" w:hAnsi="NimbusSanL;Times New Roman" w:cs="NimbusSanL;Times New Roman"/>
          <w:b/>
          <w:bCs/>
          <w:sz w:val="20"/>
          <w:szCs w:val="20"/>
        </w:rPr>
        <w:t>s 5 analysés)</w:t>
      </w:r>
      <w:r>
        <w:rPr>
          <w:rFonts w:ascii="NimbusSanL;Times New Roman" w:hAnsi="NimbusSanL;Times New Roman" w:cs="NimbusSanL;Times New Roman"/>
          <w:sz w:val="20"/>
          <w:szCs w:val="20"/>
        </w:rPr>
        <w:t>. Que dirait-on d’un service de lutte contre les stupéfiants, par exemple, qui interrogerait aussi peu souvent des trafiquants</w:t>
      </w:r>
      <w:r>
        <w:rPr>
          <w:rStyle w:val="FootnoteReference"/>
          <w:rFonts w:ascii="NimbusSanL;Times New Roman" w:hAnsi="NimbusSanL;Times New Roman" w:cs="NimbusSanL;Times New Roman"/>
          <w:sz w:val="20"/>
          <w:szCs w:val="20"/>
        </w:rPr>
        <w:footnoteReference w:id="78"/>
      </w:r>
      <w:r>
        <w:rPr>
          <w:rFonts w:ascii="NimbusSanL;Times New Roman" w:hAnsi="NimbusSanL;Times New Roman" w:cs="NimbusSanL;Times New Roman"/>
          <w:sz w:val="20"/>
          <w:szCs w:val="20"/>
        </w:rPr>
        <w:t> ?</w:t>
      </w:r>
    </w:p>
    <w:p w14:paraId="520A86AB" w14:textId="77777777" w:rsidR="00F35929" w:rsidRDefault="00F35929">
      <w:pPr>
        <w:jc w:val="both"/>
        <w:rPr>
          <w:rFonts w:ascii="NimbusSanL;Times New Roman" w:hAnsi="NimbusSanL;Times New Roman" w:cs="NimbusSanL;Times New Roman"/>
          <w:sz w:val="20"/>
          <w:szCs w:val="20"/>
        </w:rPr>
      </w:pPr>
    </w:p>
    <w:p w14:paraId="78DD3692" w14:textId="77777777" w:rsidR="00F35929" w:rsidRDefault="002B5C50">
      <w:pPr>
        <w:jc w:val="both"/>
        <w:rPr>
          <w:rFonts w:ascii="NimbusSanL;Times New Roman" w:hAnsi="NimbusSanL;Times New Roman" w:cs="NimbusSanL;Times New Roman"/>
          <w:sz w:val="20"/>
          <w:szCs w:val="20"/>
        </w:rPr>
      </w:pPr>
      <w:r>
        <w:br w:type="page"/>
      </w:r>
    </w:p>
    <w:p w14:paraId="598377D2" w14:textId="77777777" w:rsidR="00F35929" w:rsidRDefault="00F35929">
      <w:pPr>
        <w:jc w:val="both"/>
        <w:rPr>
          <w:rFonts w:ascii="NimbusSanL;Times New Roman" w:hAnsi="NimbusSanL;Times New Roman" w:cs="NimbusSanL;Times New Roman"/>
          <w:sz w:val="20"/>
          <w:szCs w:val="20"/>
        </w:rPr>
      </w:pPr>
    </w:p>
    <w:p w14:paraId="2398AC00" w14:textId="77777777" w:rsidR="00F35929" w:rsidRDefault="00F35929">
      <w:pPr>
        <w:jc w:val="center"/>
        <w:rPr>
          <w:rFonts w:ascii="NimbusSanL;Times New Roman" w:hAnsi="NimbusSanL;Times New Roman" w:cs="NimbusSanL;Times New Roman"/>
          <w:sz w:val="20"/>
          <w:szCs w:val="20"/>
        </w:rPr>
      </w:pPr>
    </w:p>
    <w:p w14:paraId="330B4761" w14:textId="77777777" w:rsidR="00F35929" w:rsidRDefault="002B5C50">
      <w:pPr>
        <w:jc w:val="center"/>
        <w:rPr>
          <w:rFonts w:ascii="NimbusSanL;Times New Roman" w:hAnsi="NimbusSanL;Times New Roman" w:cs="NimbusSanL;Times New Roman"/>
          <w:sz w:val="20"/>
          <w:szCs w:val="20"/>
        </w:rPr>
      </w:pPr>
      <w:r>
        <w:rPr>
          <w:rFonts w:ascii="NimbusSanL;Times New Roman" w:hAnsi="NimbusSanL;Times New Roman" w:cs="NimbusSanL;Times New Roman"/>
          <w:noProof/>
          <w:sz w:val="20"/>
          <w:szCs w:val="20"/>
        </w:rPr>
        <mc:AlternateContent>
          <mc:Choice Requires="wps">
            <w:drawing>
              <wp:anchor distT="0" distB="0" distL="114935" distR="114935" simplePos="0" relativeHeight="29" behindDoc="0" locked="0" layoutInCell="1" allowOverlap="1" wp14:anchorId="12057844" wp14:editId="76E37189">
                <wp:simplePos x="0" y="0"/>
                <wp:positionH relativeFrom="column">
                  <wp:posOffset>1184275</wp:posOffset>
                </wp:positionH>
                <wp:positionV relativeFrom="paragraph">
                  <wp:posOffset>43180</wp:posOffset>
                </wp:positionV>
                <wp:extent cx="5634990" cy="58039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635080" cy="580320"/>
                        </a:xfrm>
                        <a:prstGeom prst="rect">
                          <a:avLst/>
                        </a:prstGeom>
                        <a:solidFill>
                          <a:srgbClr val="85CFFF"/>
                        </a:solidFill>
                        <a:ln w="0">
                          <a:noFill/>
                        </a:ln>
                      </wps:spPr>
                      <wps:txbx>
                        <w:txbxContent>
                          <w:p w14:paraId="0D113EC9" w14:textId="77777777" w:rsidR="00F35929" w:rsidRDefault="002B5C50">
                            <w:pPr>
                              <w:overflowPunct w:val="0"/>
                              <w:ind w:left="1587"/>
                            </w:pPr>
                            <w:r>
                              <w:rPr>
                                <w:rFonts w:ascii="Nimbus Sans L;Arial" w:hAnsi="Nimbus Sans L;Arial" w:cs="Nimbus Sans L;Arial"/>
                                <w:b/>
                                <w:bCs/>
                                <w:w w:val="95"/>
                                <w:sz w:val="18"/>
                                <w:szCs w:val="18"/>
                                <w:lang w:eastAsia="fr-FR"/>
                              </w:rPr>
                              <w:t>Des questions qui demeurent</w:t>
                            </w:r>
                          </w:p>
                        </w:txbxContent>
                      </wps:txbx>
                      <wps:bodyPr wrap="square" lIns="0" tIns="0" rIns="0" bIns="0" anchor="ctr">
                        <a:noAutofit/>
                      </wps:bodyPr>
                    </wps:wsp>
                  </a:graphicData>
                </a:graphic>
              </wp:anchor>
            </w:drawing>
          </mc:Choice>
          <mc:Fallback>
            <w:pict>
              <v:shape w14:anchorId="12057844" id="Text Box 11" o:spid="_x0000_s1030" type="#_x0000_t202" style="position:absolute;left:0;text-align:left;margin-left:93.25pt;margin-top:3.4pt;width:443.7pt;height:45.7pt;z-index:29;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8ZtwEAAF0DAAAOAAAAZHJzL2Uyb0RvYy54bWysU8tu2zAQvBfoPxC811KcODAEy0GbQEWB&#10;oC2Q9gMoirQIUFxmSVvy32dJW3Yft6IXasl9zcyuNg/TYNlBYTDgan6zKDlTTkJn3K7mP380H9ac&#10;hShcJyw4VfOjCvxh+/7dZvSVWkIPtlPIqIgL1ehr3sfoq6IIsleDCAvwypFTAw4i0hV3RYdipOqD&#10;LZZleV+MgJ1HkCoEen06Ofk219dayfhN66AiszUnbDGfmM82ncV2I6odCt8beYYh/gHFIIyjppdS&#10;TyIKtkfzV6nBSIQAOi4kDAVobaTKHIjNTfkHm5deeJW5kDjBX2QK/6+s/Hp48d+RxekTTDTAJMjo&#10;QxXoMfGZNA7pS0gZ+UnC40U2NUUm6XF1f7sq1+SS5Futy9tl1rW4ZnsM8bOCgSWj5khjyWqJw3OI&#10;1JFC55DULIA1XWOszRfctY8W2UHQCNerx6ZpEkhK+S3MOjYmZCnFQUo+BVlHsVdGyYpTOzHT1fxu&#10;ZttCdyQRRtqDmofXvUDFmf3iSOi0NLOBs9HOhnCyB1onGfHc+eM+gjaZVOp1qnyGQDPMwM/7lpbk&#10;13uOuv4V2zcAAAD//wMAUEsDBBQABgAIAAAAIQC5Z92w3QAAAAkBAAAPAAAAZHJzL2Rvd25yZXYu&#10;eG1sTI/BTsMwEETvSPyDtUjcqEMr0jTEqVAlpF6QSNsP2MZLHBGvQ+w06d/jnuA4mtHMm2I7205c&#10;aPCtYwXPiwQEce10y42C0/H9KQPhA7LGzjEpuJKHbXl/V2Cu3cQVXQ6hEbGEfY4KTAh9LqWvDVn0&#10;C9cTR+/LDRZDlEMj9YBTLLedXCZJKi22HBcM9rQzVH8fRqugWh+raW+u88fn3rUy2+H4s0KlHh/m&#10;t1cQgebwF4YbfkSHMjKd3cjaiy7qLH2JUQVpfHDzk/VqA+KsYJMtQZaF/P+g/AUAAP//AwBQSwEC&#10;LQAUAAYACAAAACEAtoM4kv4AAADhAQAAEwAAAAAAAAAAAAAAAAAAAAAAW0NvbnRlbnRfVHlwZXNd&#10;LnhtbFBLAQItABQABgAIAAAAIQA4/SH/1gAAAJQBAAALAAAAAAAAAAAAAAAAAC8BAABfcmVscy8u&#10;cmVsc1BLAQItABQABgAIAAAAIQBiDK8ZtwEAAF0DAAAOAAAAAAAAAAAAAAAAAC4CAABkcnMvZTJv&#10;RG9jLnhtbFBLAQItABQABgAIAAAAIQC5Z92w3QAAAAkBAAAPAAAAAAAAAAAAAAAAABEEAABkcnMv&#10;ZG93bnJldi54bWxQSwUGAAAAAAQABADzAAAAGwUAAAAA&#10;" fillcolor="#85cfff" stroked="f" strokeweight="0">
                <v:textbox inset="0,0,0,0">
                  <w:txbxContent>
                    <w:p w14:paraId="0D113EC9" w14:textId="77777777" w:rsidR="00F35929" w:rsidRDefault="002B5C50">
                      <w:pPr>
                        <w:overflowPunct w:val="0"/>
                        <w:ind w:left="1587"/>
                      </w:pPr>
                      <w:r>
                        <w:rPr>
                          <w:rFonts w:ascii="Nimbus Sans L;Arial" w:hAnsi="Nimbus Sans L;Arial" w:cs="Nimbus Sans L;Arial"/>
                          <w:b/>
                          <w:bCs/>
                          <w:w w:val="95"/>
                          <w:sz w:val="18"/>
                          <w:szCs w:val="18"/>
                          <w:lang w:eastAsia="fr-FR"/>
                        </w:rPr>
                        <w:t>Des questions qui demeurent</w:t>
                      </w:r>
                    </w:p>
                  </w:txbxContent>
                </v:textbox>
              </v:shape>
            </w:pict>
          </mc:Fallback>
        </mc:AlternateContent>
      </w:r>
      <w:r>
        <w:rPr>
          <w:rFonts w:ascii="NimbusSanL;Times New Roman" w:hAnsi="NimbusSanL;Times New Roman" w:cs="NimbusSanL;Times New Roman"/>
          <w:noProof/>
          <w:sz w:val="20"/>
          <w:szCs w:val="20"/>
        </w:rPr>
        <w:drawing>
          <wp:anchor distT="0" distB="0" distL="0" distR="0" simplePos="0" relativeHeight="30" behindDoc="0" locked="0" layoutInCell="1" allowOverlap="1" wp14:anchorId="0E8794C0" wp14:editId="02624685">
            <wp:simplePos x="0" y="0"/>
            <wp:positionH relativeFrom="column">
              <wp:posOffset>1184275</wp:posOffset>
            </wp:positionH>
            <wp:positionV relativeFrom="paragraph">
              <wp:posOffset>43180</wp:posOffset>
            </wp:positionV>
            <wp:extent cx="866775" cy="579120"/>
            <wp:effectExtent l="0" t="0" r="0" b="0"/>
            <wp:wrapNone/>
            <wp:docPr id="12"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pic:cNvPicPr>
                      <a:picLocks noChangeAspect="1" noChangeArrowheads="1"/>
                    </pic:cNvPicPr>
                  </pic:nvPicPr>
                  <pic:blipFill>
                    <a:blip r:embed="rId8"/>
                    <a:srcRect l="-2" t="-3" r="-2" b="-3"/>
                    <a:stretch>
                      <a:fillRect/>
                    </a:stretch>
                  </pic:blipFill>
                  <pic:spPr bwMode="auto">
                    <a:xfrm>
                      <a:off x="0" y="0"/>
                      <a:ext cx="866775" cy="579120"/>
                    </a:xfrm>
                    <a:prstGeom prst="rect">
                      <a:avLst/>
                    </a:prstGeom>
                  </pic:spPr>
                </pic:pic>
              </a:graphicData>
            </a:graphic>
          </wp:anchor>
        </w:drawing>
      </w:r>
    </w:p>
    <w:p w14:paraId="52BE23BD" w14:textId="77777777" w:rsidR="00F35929" w:rsidRDefault="00F35929">
      <w:pPr>
        <w:jc w:val="center"/>
        <w:rPr>
          <w:rFonts w:ascii="NimbusSanL;Times New Roman" w:hAnsi="NimbusSanL;Times New Roman" w:cs="NimbusSanL;Times New Roman"/>
          <w:sz w:val="20"/>
          <w:szCs w:val="20"/>
        </w:rPr>
      </w:pPr>
    </w:p>
    <w:p w14:paraId="636DD8C8" w14:textId="77777777" w:rsidR="00F35929" w:rsidRDefault="00F35929">
      <w:pPr>
        <w:jc w:val="both"/>
        <w:rPr>
          <w:rFonts w:ascii="NimbusSanL;Times New Roman" w:hAnsi="NimbusSanL;Times New Roman" w:cs="NimbusSanL;Times New Roman"/>
          <w:sz w:val="20"/>
          <w:szCs w:val="20"/>
        </w:rPr>
      </w:pPr>
    </w:p>
    <w:p w14:paraId="082269AB" w14:textId="77777777" w:rsidR="00F35929" w:rsidRDefault="00F35929">
      <w:pPr>
        <w:jc w:val="both"/>
      </w:pPr>
    </w:p>
    <w:p w14:paraId="2B3C8603" w14:textId="77777777" w:rsidR="00F35929" w:rsidRDefault="00F35929">
      <w:pPr>
        <w:jc w:val="both"/>
      </w:pPr>
    </w:p>
    <w:p w14:paraId="4BEDE01B" w14:textId="77777777" w:rsidR="00F35929" w:rsidRDefault="00F35929">
      <w:pPr>
        <w:jc w:val="both"/>
      </w:pPr>
    </w:p>
    <w:p w14:paraId="7FBB3C6E" w14:textId="77777777" w:rsidR="00F35929" w:rsidRDefault="00F35929">
      <w:pPr>
        <w:jc w:val="both"/>
      </w:pPr>
    </w:p>
    <w:p w14:paraId="4D0A32E2" w14:textId="77777777" w:rsidR="00F35929" w:rsidRDefault="00F35929">
      <w:pPr>
        <w:jc w:val="both"/>
      </w:pPr>
    </w:p>
    <w:p w14:paraId="1B4EE9BC" w14:textId="77777777" w:rsidR="00F35929" w:rsidRDefault="00F35929">
      <w:pPr>
        <w:jc w:val="both"/>
      </w:pPr>
    </w:p>
    <w:p w14:paraId="3D699EC6"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En matière de déontologie policière, tout concourt à ce que la part immergée de l’iceberg, la plus massive, reste cachée. </w:t>
      </w:r>
      <w:r>
        <w:rPr>
          <w:rFonts w:ascii="NimbusSanL;Times New Roman" w:hAnsi="NimbusSanL;Times New Roman" w:cs="NimbusSanL;Times New Roman"/>
          <w:color w:val="000000"/>
          <w:sz w:val="20"/>
          <w:szCs w:val="20"/>
        </w:rPr>
        <w:t>Il en découle</w:t>
      </w:r>
      <w:r>
        <w:rPr>
          <w:rFonts w:ascii="NimbusSanL;Times New Roman" w:hAnsi="NimbusSanL;Times New Roman" w:cs="NimbusSanL;Times New Roman"/>
          <w:sz w:val="20"/>
          <w:szCs w:val="20"/>
        </w:rPr>
        <w:t xml:space="preserve"> un certain nombre de questions, cruciales sur l’usage de la force en France, en précision de celles déjà pos</w:t>
      </w:r>
      <w:r>
        <w:rPr>
          <w:rFonts w:ascii="NimbusSanL;Times New Roman" w:hAnsi="NimbusSanL;Times New Roman" w:cs="NimbusSanL;Times New Roman"/>
          <w:sz w:val="20"/>
          <w:szCs w:val="20"/>
        </w:rPr>
        <w:t>ées par le Comité aux autorités</w:t>
      </w:r>
      <w:r>
        <w:rPr>
          <w:rStyle w:val="FootnoteReference"/>
          <w:rFonts w:ascii="NimbusSanL;Times New Roman" w:hAnsi="NimbusSanL;Times New Roman" w:cs="NimbusSanL;Times New Roman"/>
          <w:sz w:val="20"/>
          <w:szCs w:val="20"/>
        </w:rPr>
        <w:footnoteReference w:id="79"/>
      </w:r>
      <w:r>
        <w:rPr>
          <w:rFonts w:ascii="NimbusSanL;Times New Roman" w:hAnsi="NimbusSanL;Times New Roman" w:cs="NimbusSanL;Times New Roman"/>
          <w:sz w:val="20"/>
          <w:szCs w:val="20"/>
        </w:rPr>
        <w:t xml:space="preserve"> : </w:t>
      </w:r>
    </w:p>
    <w:p w14:paraId="17FCE4BA" w14:textId="77777777" w:rsidR="00F35929" w:rsidRDefault="00F35929">
      <w:pPr>
        <w:jc w:val="both"/>
        <w:rPr>
          <w:rFonts w:ascii="NimbusSanL;Times New Roman" w:hAnsi="NimbusSanL;Times New Roman" w:cs="NimbusSanL;Times New Roman"/>
          <w:sz w:val="20"/>
          <w:szCs w:val="20"/>
        </w:rPr>
      </w:pPr>
    </w:p>
    <w:p w14:paraId="5BDF8265"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Combien d’enquêtes sont-elles ouvertes chaque année pour des usages excessifs de la force, y compris de la force meurtrière, pour chaque corps des forces de sécurité intérieure (police et gendarmerie nationale) ?</w:t>
      </w:r>
    </w:p>
    <w:p w14:paraId="289A39D4" w14:textId="77777777" w:rsidR="00F35929" w:rsidRDefault="00F35929">
      <w:pPr>
        <w:jc w:val="both"/>
        <w:rPr>
          <w:rFonts w:ascii="NimbusSanL;Times New Roman" w:hAnsi="NimbusSanL;Times New Roman" w:cs="NimbusSanL;Times New Roman"/>
          <w:sz w:val="20"/>
          <w:szCs w:val="20"/>
        </w:rPr>
      </w:pPr>
    </w:p>
    <w:p w14:paraId="3FA94B63"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Quel est le volume d’affaires traitées respectivement par les divers services d’enquêtes saisis par l’autorité judiciaire ?</w:t>
      </w:r>
    </w:p>
    <w:p w14:paraId="5CBDF8D8" w14:textId="77777777" w:rsidR="00F35929" w:rsidRDefault="00F35929">
      <w:pPr>
        <w:jc w:val="both"/>
        <w:rPr>
          <w:rFonts w:ascii="NimbusSanL;Times New Roman" w:hAnsi="NimbusSanL;Times New Roman" w:cs="NimbusSanL;Times New Roman"/>
          <w:sz w:val="20"/>
          <w:szCs w:val="20"/>
        </w:rPr>
      </w:pPr>
    </w:p>
    <w:p w14:paraId="7F00552D"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Quelles sont les garanties, en matière d’indépendance, d’impartialité, d’effectivité des enquêtes effectuées par les cellules déontologie et autres services départementaux de police ? Quel est le nombre de personnels affecté à ces services ? Comment sont-ils organisés hiérarchiquement et formés aux enquêtes internes ?</w:t>
      </w:r>
    </w:p>
    <w:p w14:paraId="4AD08FF7" w14:textId="77777777" w:rsidR="00F35929" w:rsidRDefault="00F35929">
      <w:pPr>
        <w:jc w:val="both"/>
        <w:rPr>
          <w:rFonts w:ascii="NimbusSanL;Times New Roman" w:hAnsi="NimbusSanL;Times New Roman" w:cs="NimbusSanL;Times New Roman"/>
          <w:sz w:val="20"/>
          <w:szCs w:val="20"/>
        </w:rPr>
      </w:pPr>
    </w:p>
    <w:p w14:paraId="3E2FD0DF"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Quelles sont les suites données à l’ensemble des affaires et le cas échéant, quels sont les motifs des classements sans suite retenus par les parquets ? Existe-t-il un indicateur qui permette de comparer les taux de classement sans suite en fonction des services d’enquêtes saisis ?</w:t>
      </w:r>
    </w:p>
    <w:p w14:paraId="4B6CC231" w14:textId="77777777" w:rsidR="00F35929" w:rsidRDefault="00F35929">
      <w:pPr>
        <w:jc w:val="both"/>
        <w:rPr>
          <w:rFonts w:ascii="NimbusSanL;Times New Roman" w:hAnsi="NimbusSanL;Times New Roman" w:cs="NimbusSanL;Times New Roman"/>
          <w:sz w:val="20"/>
          <w:szCs w:val="20"/>
        </w:rPr>
      </w:pPr>
    </w:p>
    <w:p w14:paraId="2662C112" w14:textId="77777777" w:rsidR="00F35929" w:rsidRDefault="00F35929">
      <w:pPr>
        <w:jc w:val="center"/>
        <w:rPr>
          <w:rFonts w:ascii="NimbusSanL;Times New Roman" w:hAnsi="NimbusSanL;Times New Roman" w:cs="NimbusSanL;Times New Roman"/>
          <w:sz w:val="20"/>
          <w:szCs w:val="20"/>
        </w:rPr>
      </w:pPr>
    </w:p>
    <w:p w14:paraId="35959F44" w14:textId="77777777" w:rsidR="00F35929" w:rsidRDefault="00F35929">
      <w:pPr>
        <w:jc w:val="center"/>
        <w:rPr>
          <w:rFonts w:ascii="NimbusSanL;Times New Roman" w:hAnsi="NimbusSanL;Times New Roman" w:cs="NimbusSanL;Times New Roman"/>
          <w:sz w:val="20"/>
          <w:szCs w:val="20"/>
        </w:rPr>
      </w:pPr>
    </w:p>
    <w:p w14:paraId="480BB15E" w14:textId="77777777" w:rsidR="00F35929" w:rsidRDefault="00F35929">
      <w:pPr>
        <w:jc w:val="center"/>
        <w:rPr>
          <w:rFonts w:ascii="NimbusSanL;Times New Roman" w:hAnsi="NimbusSanL;Times New Roman" w:cs="NimbusSanL;Times New Roman"/>
          <w:sz w:val="20"/>
          <w:szCs w:val="20"/>
        </w:rPr>
      </w:pPr>
    </w:p>
    <w:p w14:paraId="03A04FCC" w14:textId="77777777" w:rsidR="00F35929" w:rsidRDefault="00F35929">
      <w:pPr>
        <w:jc w:val="both"/>
        <w:rPr>
          <w:rFonts w:ascii="NimbusSanL;Times New Roman" w:hAnsi="NimbusSanL;Times New Roman" w:cs="NimbusSanL;Times New Roman"/>
          <w:sz w:val="20"/>
          <w:szCs w:val="20"/>
        </w:rPr>
      </w:pPr>
    </w:p>
    <w:p w14:paraId="3822071F" w14:textId="77777777" w:rsidR="00F35929" w:rsidRDefault="002B5C50">
      <w:pPr>
        <w:jc w:val="both"/>
        <w:rPr>
          <w:rFonts w:ascii="NimbusSanL;Times New Roman" w:hAnsi="NimbusSanL;Times New Roman" w:cs="NimbusSanL;Times New Roman"/>
          <w:b/>
          <w:bCs/>
          <w:sz w:val="20"/>
          <w:szCs w:val="20"/>
        </w:rPr>
      </w:pPr>
      <w:r>
        <w:br w:type="page"/>
      </w:r>
    </w:p>
    <w:p w14:paraId="0C780B14" w14:textId="77777777" w:rsidR="00F35929" w:rsidRDefault="00F35929">
      <w:pPr>
        <w:jc w:val="both"/>
        <w:rPr>
          <w:rFonts w:ascii="NimbusSanL;Times New Roman" w:hAnsi="NimbusSanL;Times New Roman" w:cs="NimbusSanL;Times New Roman"/>
          <w:b/>
          <w:bCs/>
          <w:sz w:val="20"/>
          <w:szCs w:val="20"/>
        </w:rPr>
      </w:pPr>
    </w:p>
    <w:p w14:paraId="744DB76F" w14:textId="77777777" w:rsidR="00F35929" w:rsidRDefault="00F35929">
      <w:pPr>
        <w:jc w:val="both"/>
        <w:rPr>
          <w:sz w:val="20"/>
          <w:szCs w:val="20"/>
        </w:rPr>
      </w:pPr>
    </w:p>
    <w:p w14:paraId="64830DDD" w14:textId="77777777" w:rsidR="00F35929" w:rsidRDefault="00F35929">
      <w:pPr>
        <w:jc w:val="both"/>
        <w:rPr>
          <w:sz w:val="20"/>
          <w:szCs w:val="20"/>
        </w:rPr>
      </w:pPr>
    </w:p>
    <w:p w14:paraId="12B7D0E6" w14:textId="77777777" w:rsidR="00F35929" w:rsidRDefault="00F35929">
      <w:pPr>
        <w:jc w:val="both"/>
        <w:rPr>
          <w:sz w:val="20"/>
          <w:szCs w:val="20"/>
        </w:rPr>
      </w:pPr>
    </w:p>
    <w:p w14:paraId="30D5B377" w14:textId="77777777" w:rsidR="00F35929" w:rsidRDefault="002B5C50">
      <w:pPr>
        <w:jc w:val="both"/>
        <w:rPr>
          <w:sz w:val="20"/>
          <w:szCs w:val="20"/>
        </w:rPr>
      </w:pPr>
      <w:r>
        <w:rPr>
          <w:noProof/>
          <w:sz w:val="20"/>
          <w:szCs w:val="20"/>
        </w:rPr>
        <mc:AlternateContent>
          <mc:Choice Requires="wps">
            <w:drawing>
              <wp:anchor distT="0" distB="0" distL="114935" distR="114935" simplePos="0" relativeHeight="28" behindDoc="0" locked="0" layoutInCell="1" allowOverlap="1" wp14:anchorId="0F381BB6" wp14:editId="768BBBDB">
                <wp:simplePos x="0" y="0"/>
                <wp:positionH relativeFrom="column">
                  <wp:posOffset>1204595</wp:posOffset>
                </wp:positionH>
                <wp:positionV relativeFrom="paragraph">
                  <wp:posOffset>46355</wp:posOffset>
                </wp:positionV>
                <wp:extent cx="5634990" cy="58039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5635080" cy="580320"/>
                        </a:xfrm>
                        <a:prstGeom prst="rect">
                          <a:avLst/>
                        </a:prstGeom>
                        <a:solidFill>
                          <a:srgbClr val="85CFFF"/>
                        </a:solidFill>
                        <a:ln w="0">
                          <a:noFill/>
                        </a:ln>
                      </wps:spPr>
                      <wps:txbx>
                        <w:txbxContent>
                          <w:p w14:paraId="11FC2AE7" w14:textId="77777777" w:rsidR="00F35929" w:rsidRDefault="002B5C50">
                            <w:pPr>
                              <w:overflowPunct w:val="0"/>
                              <w:jc w:val="both"/>
                            </w:pPr>
                            <w:r>
                              <w:rPr>
                                <w:rFonts w:ascii="Nimbus Sans L;Arial" w:hAnsi="Nimbus Sans L;Arial" w:cs="Nimbus Sans L;Arial"/>
                                <w:b/>
                                <w:bCs/>
                                <w:w w:val="95"/>
                                <w:sz w:val="18"/>
                                <w:szCs w:val="18"/>
                                <w:lang w:eastAsia="fr-FR"/>
                              </w:rPr>
                              <w:t xml:space="preserve">Annexe sur les </w:t>
                            </w:r>
                            <w:r>
                              <w:rPr>
                                <w:rFonts w:ascii="Nimbus Sans L;Arial" w:hAnsi="Nimbus Sans L;Arial" w:cs="Nimbus Sans L;Arial"/>
                                <w:b/>
                                <w:bCs/>
                                <w:w w:val="95"/>
                                <w:sz w:val="18"/>
                                <w:szCs w:val="18"/>
                                <w:lang w:eastAsia="fr-FR"/>
                              </w:rPr>
                              <w:t>statistiques produites concernant les affaires d’usage excessif de la force en France</w:t>
                            </w:r>
                          </w:p>
                        </w:txbxContent>
                      </wps:txbx>
                      <wps:bodyPr wrap="square" lIns="0" tIns="0" rIns="0" bIns="0" anchor="ctr">
                        <a:noAutofit/>
                      </wps:bodyPr>
                    </wps:wsp>
                  </a:graphicData>
                </a:graphic>
              </wp:anchor>
            </w:drawing>
          </mc:Choice>
          <mc:Fallback>
            <w:pict>
              <v:shape w14:anchorId="0F381BB6" id="Text Box 13" o:spid="_x0000_s1031" type="#_x0000_t202" style="position:absolute;left:0;text-align:left;margin-left:94.85pt;margin-top:3.65pt;width:443.7pt;height:45.7pt;z-index:28;visibility:visible;mso-wrap-style:square;mso-wrap-distance-left:9.05pt;mso-wrap-distance-top:0;mso-wrap-distance-right:9.05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8utgEAAF0DAAAOAAAAZHJzL2Uyb0RvYy54bWysU8tu2zAQvBfoPxC8x1IcODAEy0GbQEWB&#10;oi2Q5AMoirQIUFx2SVvy33dJW3bS3opeqCX3NTO72jxMg2UHhcGAq/ntouRMOQmdcbuav740N2vO&#10;QhSuExacqvlRBf6w/fhhM/pKLaEH2ylkVMSFavQ172P0VVEE2atBhAV45cipAQcR6Yq7okMxUvXB&#10;FsuyvC9GwM4jSBUCvT6dnHyb62utZPyhdVCR2ZoTtphPzGebzmK7EdUOhe+NPMMQ/4BiEMZR00up&#10;JxEF26P5q9RgJEIAHRcShgK0NlJlDsTmtvyDzXMvvMpcSJzgLzKF/1dWfj88+5/I4vQZJhpgEmT0&#10;oQr0mPhMGof0JaSM/CTh8SKbmiKT9Li6v1uVa3JJ8q3W5d0y61pcsz2G+EXBwJJRc6SxZLXE4VuI&#10;1JFC55DULIA1XWOszRfctY8W2UHQCNerx6ZpEkhKeRdmHRsTspTiICWfgqyj2CujZMWpnZjpCOvM&#10;toXuSCKMtAc1D7/2AhVn9qsjodPSzAbORjsbwskeaJ1kxHPnT/sI2mRSqdep8hkCzTADP+9bWpK3&#10;9xx1/Su2vwEAAP//AwBQSwMEFAAGAAgAAAAhAART+9XdAAAACQEAAA8AAABkcnMvZG93bnJldi54&#10;bWxMj8FqwzAQRO+F/oPYQG+NnAYqx7UcSqCQS6FO8gEba2ubWCvXkmPn76uc2uMww8ybfDvbTlxp&#10;8K1jDatlAoK4cqblWsPp+PGcgvAB2WDnmDTcyMO2eHzIMTNu4pKuh1CLWMI+Qw1NCH0mpa8asuiX&#10;rieO3rcbLIYoh1qaAadYbjv5kiSv0mLLcaHBnnYNVZfDaDWU6lhO++Y2f37tXSvTHY4/a9T6aTG/&#10;v4EINIe/MNzxIzoUkensRjZedFGnGxWjGtQaxN1PlFqBOGvYpApkkcv/D4pfAAAA//8DAFBLAQIt&#10;ABQABgAIAAAAIQC2gziS/gAAAOEBAAATAAAAAAAAAAAAAAAAAAAAAABbQ29udGVudF9UeXBlc10u&#10;eG1sUEsBAi0AFAAGAAgAAAAhADj9If/WAAAAlAEAAAsAAAAAAAAAAAAAAAAALwEAAF9yZWxzLy5y&#10;ZWxzUEsBAi0AFAAGAAgAAAAhAOr+ny62AQAAXQMAAA4AAAAAAAAAAAAAAAAALgIAAGRycy9lMm9E&#10;b2MueG1sUEsBAi0AFAAGAAgAAAAhAART+9XdAAAACQEAAA8AAAAAAAAAAAAAAAAAEAQAAGRycy9k&#10;b3ducmV2LnhtbFBLBQYAAAAABAAEAPMAAAAaBQAAAAA=&#10;" fillcolor="#85cfff" stroked="f" strokeweight="0">
                <v:textbox inset="0,0,0,0">
                  <w:txbxContent>
                    <w:p w14:paraId="11FC2AE7" w14:textId="77777777" w:rsidR="00F35929" w:rsidRDefault="002B5C50">
                      <w:pPr>
                        <w:overflowPunct w:val="0"/>
                        <w:jc w:val="both"/>
                      </w:pPr>
                      <w:r>
                        <w:rPr>
                          <w:rFonts w:ascii="Nimbus Sans L;Arial" w:hAnsi="Nimbus Sans L;Arial" w:cs="Nimbus Sans L;Arial"/>
                          <w:b/>
                          <w:bCs/>
                          <w:w w:val="95"/>
                          <w:sz w:val="18"/>
                          <w:szCs w:val="18"/>
                          <w:lang w:eastAsia="fr-FR"/>
                        </w:rPr>
                        <w:t xml:space="preserve">Annexe sur les </w:t>
                      </w:r>
                      <w:r>
                        <w:rPr>
                          <w:rFonts w:ascii="Nimbus Sans L;Arial" w:hAnsi="Nimbus Sans L;Arial" w:cs="Nimbus Sans L;Arial"/>
                          <w:b/>
                          <w:bCs/>
                          <w:w w:val="95"/>
                          <w:sz w:val="18"/>
                          <w:szCs w:val="18"/>
                          <w:lang w:eastAsia="fr-FR"/>
                        </w:rPr>
                        <w:t>statistiques produites concernant les affaires d’usage excessif de la force en France</w:t>
                      </w:r>
                    </w:p>
                  </w:txbxContent>
                </v:textbox>
              </v:shape>
            </w:pict>
          </mc:Fallback>
        </mc:AlternateContent>
      </w:r>
    </w:p>
    <w:p w14:paraId="1152A0A5" w14:textId="77777777" w:rsidR="00F35929" w:rsidRDefault="00F35929">
      <w:pPr>
        <w:jc w:val="both"/>
        <w:rPr>
          <w:rFonts w:ascii="NimbusSanL;Times New Roman" w:hAnsi="NimbusSanL;Times New Roman" w:cs="NimbusSanL;Times New Roman"/>
          <w:sz w:val="20"/>
          <w:szCs w:val="20"/>
        </w:rPr>
      </w:pPr>
    </w:p>
    <w:p w14:paraId="29E98733" w14:textId="77777777" w:rsidR="00F35929" w:rsidRDefault="00F35929">
      <w:pPr>
        <w:jc w:val="both"/>
        <w:rPr>
          <w:rFonts w:ascii="NimbusSanL;Times New Roman" w:hAnsi="NimbusSanL;Times New Roman" w:cs="NimbusSanL;Times New Roman"/>
          <w:sz w:val="20"/>
          <w:szCs w:val="20"/>
        </w:rPr>
      </w:pPr>
    </w:p>
    <w:p w14:paraId="7EF47E46" w14:textId="77777777" w:rsidR="00F35929" w:rsidRDefault="00F35929">
      <w:pPr>
        <w:jc w:val="both"/>
        <w:rPr>
          <w:rFonts w:ascii="NimbusSanL;Times New Roman" w:hAnsi="NimbusSanL;Times New Roman" w:cs="NimbusSanL;Times New Roman"/>
          <w:sz w:val="20"/>
          <w:szCs w:val="20"/>
        </w:rPr>
      </w:pPr>
    </w:p>
    <w:p w14:paraId="049D3FF7" w14:textId="77777777" w:rsidR="00F35929" w:rsidRDefault="002B5C50">
      <w:pPr>
        <w:pBdr>
          <w:top w:val="single" w:sz="2" w:space="18" w:color="85CFFF"/>
          <w:left w:val="single" w:sz="2" w:space="16" w:color="85CFFF"/>
          <w:bottom w:val="single" w:sz="2" w:space="18" w:color="85CFFF"/>
          <w:right w:val="single" w:sz="2" w:space="16" w:color="85CFFF"/>
        </w:pBdr>
        <w:jc w:val="both"/>
        <w:rPr>
          <w:sz w:val="20"/>
          <w:szCs w:val="20"/>
        </w:rPr>
      </w:pPr>
      <w:r>
        <w:rPr>
          <w:rFonts w:ascii="NimbusSanL;Times New Roman" w:hAnsi="NimbusSanL;Times New Roman" w:cs="NimbusSanL;Times New Roman"/>
          <w:sz w:val="20"/>
          <w:szCs w:val="20"/>
        </w:rPr>
        <w:t>Jusqu’à présent, les autorités françaises ont produit devant plusieurs organes de l’ONU deux indicateurs statistiques sur les plaintes pour usages excessifs de la force. Ceux-ci présentent une double faiblesse : ils ne permettent ni une analyse des suites judiciaires réservées à ces affaires, ni de comptabiliser les affaires concernant uniquement le ministère de l’Intérieur (police et gendarmerie), à l’exclusion notamment de l’administration pénitentiaire. Pour l’instant, ce que le débat public national nom</w:t>
      </w:r>
      <w:r>
        <w:rPr>
          <w:rFonts w:ascii="NimbusSanL;Times New Roman" w:hAnsi="NimbusSanL;Times New Roman" w:cs="NimbusSanL;Times New Roman"/>
          <w:sz w:val="20"/>
          <w:szCs w:val="20"/>
        </w:rPr>
        <w:t>me « violences policières » ne connaît donc pas d’indicateur statistique fiable.</w:t>
      </w:r>
    </w:p>
    <w:p w14:paraId="1FAB9603" w14:textId="77777777" w:rsidR="00F35929" w:rsidRDefault="00F35929">
      <w:pPr>
        <w:jc w:val="both"/>
        <w:rPr>
          <w:sz w:val="20"/>
          <w:szCs w:val="20"/>
        </w:rPr>
      </w:pPr>
    </w:p>
    <w:p w14:paraId="14A6BC2C" w14:textId="77777777" w:rsidR="00F35929" w:rsidRDefault="00F35929">
      <w:pPr>
        <w:jc w:val="both"/>
        <w:rPr>
          <w:sz w:val="20"/>
          <w:szCs w:val="20"/>
        </w:rPr>
      </w:pPr>
    </w:p>
    <w:p w14:paraId="5B8D979C" w14:textId="77777777" w:rsidR="00F35929" w:rsidRDefault="00F35929">
      <w:pPr>
        <w:jc w:val="both"/>
      </w:pPr>
    </w:p>
    <w:p w14:paraId="61FE1B47" w14:textId="77777777" w:rsidR="00F35929" w:rsidRDefault="00F35929">
      <w:pPr>
        <w:jc w:val="both"/>
      </w:pPr>
    </w:p>
    <w:p w14:paraId="6C696A4D"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Le Comité </w:t>
      </w:r>
      <w:r>
        <w:rPr>
          <w:rStyle w:val="Marquedecommentaire"/>
          <w:rFonts w:ascii="NimbusSanL;Times New Roman" w:hAnsi="NimbusSanL;Times New Roman" w:cs="NimbusSanL;Times New Roman"/>
          <w:sz w:val="20"/>
          <w:szCs w:val="20"/>
        </w:rPr>
        <w:t xml:space="preserve">contre la torture </w:t>
      </w:r>
      <w:r>
        <w:rPr>
          <w:rFonts w:ascii="NimbusSanL;Times New Roman" w:hAnsi="NimbusSanL;Times New Roman" w:cs="NimbusSanL;Times New Roman"/>
          <w:sz w:val="20"/>
          <w:szCs w:val="20"/>
        </w:rPr>
        <w:t>s’est depuis longtemps alarmé de « </w:t>
      </w:r>
      <w:r>
        <w:rPr>
          <w:rFonts w:ascii="NimbusSanL;Times New Roman" w:hAnsi="NimbusSanL;Times New Roman" w:cs="NimbusSanL;Times New Roman"/>
          <w:i/>
          <w:iCs/>
          <w:sz w:val="20"/>
          <w:szCs w:val="20"/>
        </w:rPr>
        <w:t>l’absence de données statistiques sur les plaintes permettant de faire une comparaison par rapport aux enquêtes ouvertes et aux poursuites engagées</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80"/>
      </w:r>
      <w:r>
        <w:rPr>
          <w:rFonts w:ascii="NimbusSanL;Times New Roman" w:hAnsi="NimbusSanL;Times New Roman" w:cs="NimbusSanL;Times New Roman"/>
          <w:sz w:val="20"/>
          <w:szCs w:val="20"/>
        </w:rPr>
        <w:t>. En 2023, l’Assemblée parlementaire du Conseil de l’Europe a encore regretté « </w:t>
      </w:r>
      <w:r>
        <w:rPr>
          <w:rStyle w:val="Emphasis"/>
          <w:rFonts w:ascii="NimbusSanL;Times New Roman" w:hAnsi="NimbusSanL;Times New Roman" w:cs="NimbusSanL;Times New Roman"/>
          <w:sz w:val="20"/>
          <w:szCs w:val="20"/>
        </w:rPr>
        <w:t xml:space="preserve">que les données statistiques ne </w:t>
      </w:r>
      <w:r>
        <w:rPr>
          <w:rStyle w:val="Emphasis"/>
          <w:rFonts w:ascii="NimbusSanL;Times New Roman" w:hAnsi="NimbusSanL;Times New Roman" w:cs="NimbusSanL;Times New Roman"/>
          <w:sz w:val="20"/>
          <w:szCs w:val="20"/>
        </w:rPr>
        <w:t>permettent pas de recenser clairement </w:t>
      </w:r>
      <w:r>
        <w:rPr>
          <w:rStyle w:val="Emphasis"/>
          <w:rFonts w:ascii="NimbusSanL;Times New Roman" w:hAnsi="NimbusSanL;Times New Roman" w:cs="NimbusSanL;Times New Roman"/>
          <w:i w:val="0"/>
          <w:sz w:val="20"/>
          <w:szCs w:val="20"/>
        </w:rPr>
        <w:t>»</w:t>
      </w:r>
      <w:r>
        <w:rPr>
          <w:rFonts w:ascii="NimbusSanL;Times New Roman" w:hAnsi="NimbusSanL;Times New Roman" w:cs="NimbusSanL;Times New Roman"/>
          <w:sz w:val="20"/>
          <w:szCs w:val="20"/>
        </w:rPr>
        <w:t xml:space="preserve"> le nombre de personnes </w:t>
      </w:r>
      <w:r>
        <w:rPr>
          <w:rStyle w:val="Emphasis"/>
          <w:rFonts w:ascii="NimbusSanL;Times New Roman" w:hAnsi="NimbusSanL;Times New Roman" w:cs="NimbusSanL;Times New Roman"/>
          <w:i w:val="0"/>
          <w:sz w:val="20"/>
          <w:szCs w:val="20"/>
        </w:rPr>
        <w:t>«</w:t>
      </w:r>
      <w:r>
        <w:rPr>
          <w:rStyle w:val="Emphasis"/>
          <w:rFonts w:ascii="NimbusSanL;Times New Roman" w:hAnsi="NimbusSanL;Times New Roman" w:cs="NimbusSanL;Times New Roman"/>
          <w:sz w:val="20"/>
          <w:szCs w:val="20"/>
        </w:rPr>
        <w:t> blessées ou tuées par les forces de l’ordre lors des manifestations </w:t>
      </w:r>
      <w:r>
        <w:rPr>
          <w:rStyle w:val="Emphasis"/>
          <w:rFonts w:ascii="NimbusSanL;Times New Roman" w:hAnsi="NimbusSanL;Times New Roman" w:cs="NimbusSanL;Times New Roman"/>
          <w:i w:val="0"/>
          <w:iCs w:val="0"/>
          <w:sz w:val="20"/>
          <w:szCs w:val="20"/>
        </w:rPr>
        <w:t>»</w:t>
      </w:r>
      <w:r>
        <w:rPr>
          <w:rFonts w:ascii="NimbusSanL;Times New Roman" w:hAnsi="NimbusSanL;Times New Roman" w:cs="NimbusSanL;Times New Roman"/>
          <w:sz w:val="20"/>
          <w:szCs w:val="20"/>
        </w:rPr>
        <w:t>. La CNCDH recommande quant à elle, « </w:t>
      </w:r>
      <w:r>
        <w:rPr>
          <w:rFonts w:ascii="NimbusSanL;Times New Roman" w:hAnsi="NimbusSanL;Times New Roman" w:cs="NimbusSanL;Times New Roman"/>
          <w:i/>
          <w:iCs/>
          <w:sz w:val="20"/>
          <w:szCs w:val="20"/>
        </w:rPr>
        <w:t>tant pour les enquêtes administratives et les sanctions disciplinaires que pour les enquêtes judiciaires et les décisions de justice [de] prévoir plus de transparence à tous les niveaux de la chaîne (inspections, DDD, ministre, justice), avec des indicateurs harmonisés permettant de suivre statistiquement et individuellement le traitement</w:t>
      </w:r>
      <w:r>
        <w:rPr>
          <w:rFonts w:ascii="NimbusSanL;Times New Roman" w:hAnsi="NimbusSanL;Times New Roman" w:cs="NimbusSanL;Times New Roman"/>
          <w:i/>
          <w:iCs/>
          <w:sz w:val="20"/>
          <w:szCs w:val="20"/>
        </w:rPr>
        <w:t xml:space="preserve"> et l’issue administrative et/ou judiciaire des signalements, à partir d’une publication au moins annuelle dans le respect de l’anonymat des agents</w:t>
      </w:r>
      <w:r>
        <w:rPr>
          <w:rFonts w:ascii="NimbusSanL;Times New Roman" w:hAnsi="NimbusSanL;Times New Roman" w:cs="NimbusSanL;Times New Roman"/>
          <w:sz w:val="20"/>
          <w:szCs w:val="20"/>
        </w:rPr>
        <w:t> »</w:t>
      </w:r>
      <w:r>
        <w:rPr>
          <w:rStyle w:val="FootnoteReference"/>
          <w:rFonts w:ascii="NimbusSanL;Times New Roman" w:hAnsi="NimbusSanL;Times New Roman" w:cs="NimbusSanL;Times New Roman"/>
          <w:sz w:val="20"/>
          <w:szCs w:val="20"/>
        </w:rPr>
        <w:footnoteReference w:id="81"/>
      </w:r>
      <w:r>
        <w:rPr>
          <w:rFonts w:ascii="NimbusSanL;Times New Roman" w:hAnsi="NimbusSanL;Times New Roman" w:cs="NimbusSanL;Times New Roman"/>
          <w:sz w:val="20"/>
          <w:szCs w:val="20"/>
        </w:rPr>
        <w:t>.</w:t>
      </w:r>
    </w:p>
    <w:p w14:paraId="23200150" w14:textId="77777777" w:rsidR="00F35929" w:rsidRDefault="00F35929">
      <w:pPr>
        <w:jc w:val="both"/>
        <w:rPr>
          <w:rFonts w:ascii="NimbusSanL;Times New Roman" w:hAnsi="NimbusSanL;Times New Roman" w:cs="NimbusSanL;Times New Roman"/>
          <w:sz w:val="20"/>
          <w:szCs w:val="20"/>
        </w:rPr>
      </w:pPr>
    </w:p>
    <w:p w14:paraId="1DDF1EED"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Dans le cadre du présent examen, un indicateur statistique fiable a été communiqué au Comité dans le </w:t>
      </w:r>
      <w:r>
        <w:rPr>
          <w:rFonts w:ascii="NimbusSanL;Times New Roman" w:hAnsi="NimbusSanL;Times New Roman" w:cs="NimbusSanL;Times New Roman"/>
          <w:sz w:val="20"/>
          <w:szCs w:val="20"/>
        </w:rPr>
        <w:t>rapport de la France</w:t>
      </w:r>
      <w:r>
        <w:rPr>
          <w:rStyle w:val="FootnoteReference"/>
          <w:rFonts w:ascii="NimbusSanL;Times New Roman" w:hAnsi="NimbusSanL;Times New Roman" w:cs="NimbusSanL;Times New Roman"/>
          <w:sz w:val="20"/>
          <w:szCs w:val="20"/>
        </w:rPr>
        <w:footnoteReference w:id="82"/>
      </w:r>
      <w:r>
        <w:rPr>
          <w:rFonts w:ascii="NimbusSanL;Times New Roman" w:hAnsi="NimbusSanL;Times New Roman" w:cs="NimbusSanL;Times New Roman"/>
          <w:sz w:val="20"/>
          <w:szCs w:val="20"/>
        </w:rPr>
        <w:t xml:space="preserve">. Il s’agit de données produites par le ministère de l’Intérieur : </w:t>
      </w:r>
      <w:r>
        <w:rPr>
          <w:rFonts w:ascii="NimbusSanL;Times New Roman" w:hAnsi="NimbusSanL;Times New Roman" w:cs="NimbusSanL;Times New Roman"/>
          <w:b/>
          <w:bCs/>
          <w:sz w:val="20"/>
          <w:szCs w:val="20"/>
        </w:rPr>
        <w:t>la « base victimes »</w:t>
      </w:r>
      <w:r>
        <w:rPr>
          <w:rFonts w:ascii="NimbusSanL;Times New Roman" w:hAnsi="NimbusSanL;Times New Roman" w:cs="NimbusSanL;Times New Roman"/>
          <w:sz w:val="20"/>
          <w:szCs w:val="20"/>
        </w:rPr>
        <w:t>, qui comporte le nombre d’affaires judiciaires ouvertes par les services de police et de gendarmerie pour violences par personne dépositaire de l’autorité publique (donc tous corps confondus : police, gendarmerie, etc.). Flagrant déni a pu se faire confirmer par le ministère que ces données comportent l’ensemble des affaires, qu’elles soient issues d’une plainte auprès des services concernés, ou bien d’une transmission p</w:t>
      </w:r>
      <w:r>
        <w:rPr>
          <w:rFonts w:ascii="NimbusSanL;Times New Roman" w:hAnsi="NimbusSanL;Times New Roman" w:cs="NimbusSanL;Times New Roman"/>
          <w:sz w:val="20"/>
          <w:szCs w:val="20"/>
        </w:rPr>
        <w:t>ar un parquet. Elles semblent donc assez exhaustives et pertinentes. Une actualisation de ces données pour les années récentes serait donc précieuse</w:t>
      </w:r>
      <w:r>
        <w:rPr>
          <w:rStyle w:val="FootnoteReference"/>
          <w:rFonts w:ascii="NimbusSanL;Times New Roman" w:hAnsi="NimbusSanL;Times New Roman" w:cs="NimbusSanL;Times New Roman"/>
          <w:sz w:val="20"/>
          <w:szCs w:val="20"/>
        </w:rPr>
        <w:footnoteReference w:id="83"/>
      </w:r>
      <w:r>
        <w:rPr>
          <w:rFonts w:ascii="NimbusSanL;Times New Roman" w:hAnsi="NimbusSanL;Times New Roman" w:cs="NimbusSanL;Times New Roman"/>
          <w:sz w:val="20"/>
          <w:szCs w:val="20"/>
        </w:rPr>
        <w:t>. En revanche, ces données ne permettent aucune analyse des suites réservées à ces affaires.</w:t>
      </w:r>
    </w:p>
    <w:p w14:paraId="13B21ACE" w14:textId="77777777" w:rsidR="00F35929" w:rsidRDefault="00F35929">
      <w:pPr>
        <w:jc w:val="both"/>
        <w:rPr>
          <w:rFonts w:ascii="NimbusSanL;Times New Roman" w:hAnsi="NimbusSanL;Times New Roman" w:cs="NimbusSanL;Times New Roman"/>
          <w:sz w:val="20"/>
          <w:szCs w:val="20"/>
        </w:rPr>
      </w:pPr>
    </w:p>
    <w:p w14:paraId="32BB06DC"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Un autre indicateur plus récent a été communiqué, oralement, par les représentants des autorités françaises au Comité des droits de l’homme de l’ONU</w:t>
      </w:r>
      <w:r>
        <w:rPr>
          <w:rStyle w:val="FootnoteReference"/>
          <w:rFonts w:ascii="NimbusSanL;Times New Roman" w:hAnsi="NimbusSanL;Times New Roman" w:cs="NimbusSanL;Times New Roman"/>
          <w:sz w:val="20"/>
          <w:szCs w:val="20"/>
        </w:rPr>
        <w:footnoteReference w:id="84"/>
      </w:r>
      <w:r>
        <w:rPr>
          <w:rFonts w:ascii="NimbusSanL;Times New Roman" w:hAnsi="NimbusSanL;Times New Roman" w:cs="NimbusSanL;Times New Roman"/>
          <w:sz w:val="20"/>
          <w:szCs w:val="20"/>
        </w:rPr>
        <w:t xml:space="preserve">. Il s’agit de données produites par le ministère de la Justice : </w:t>
      </w:r>
      <w:r>
        <w:rPr>
          <w:rFonts w:ascii="NimbusSanL;Times New Roman" w:hAnsi="NimbusSanL;Times New Roman" w:cs="NimbusSanL;Times New Roman"/>
          <w:b/>
          <w:bCs/>
          <w:sz w:val="20"/>
          <w:szCs w:val="20"/>
        </w:rPr>
        <w:t>les auteurs mis en cause pour violences par personne dépositaire de l’autorité publique</w:t>
      </w:r>
      <w:r>
        <w:rPr>
          <w:rFonts w:ascii="NimbusSanL;Times New Roman" w:hAnsi="NimbusSanL;Times New Roman" w:cs="NimbusSanL;Times New Roman"/>
          <w:sz w:val="20"/>
          <w:szCs w:val="20"/>
        </w:rPr>
        <w:t xml:space="preserve">. Mais cet indicateur présente une importante faiblesse : il ne comptabilise que les affaires dans lesquelles un auteur a pu être identifié, et ne comptabilise pas les affaires où elles ne l’ont pas été. Or, une première analyse laisse à penser que dans la moitié des affaires judiciaires ouvertes, les auteurs de violences par personnes dépositaires ne sont </w:t>
      </w:r>
      <w:r>
        <w:rPr>
          <w:rFonts w:ascii="NimbusSanL;Times New Roman" w:hAnsi="NimbusSanL;Times New Roman" w:cs="NimbusSanL;Times New Roman"/>
          <w:sz w:val="20"/>
          <w:szCs w:val="20"/>
        </w:rPr>
        <w:t>jamais retrouvés</w:t>
      </w:r>
      <w:r>
        <w:rPr>
          <w:rStyle w:val="FootnoteReference"/>
          <w:rFonts w:ascii="NimbusSanL;Times New Roman" w:hAnsi="NimbusSanL;Times New Roman" w:cs="NimbusSanL;Times New Roman"/>
          <w:sz w:val="20"/>
          <w:szCs w:val="20"/>
        </w:rPr>
        <w:footnoteReference w:id="85"/>
      </w:r>
      <w:r>
        <w:rPr>
          <w:rFonts w:ascii="NimbusSanL;Times New Roman" w:hAnsi="NimbusSanL;Times New Roman" w:cs="NimbusSanL;Times New Roman"/>
          <w:sz w:val="20"/>
          <w:szCs w:val="20"/>
        </w:rPr>
        <w:t>. Il semble pourtant que le ministère de la Justice dispose d’un outil statistique permettant de dénombrer l’ensemble des affaires portées à la connaissance des parquets</w:t>
      </w:r>
      <w:r>
        <w:rPr>
          <w:rStyle w:val="FootnoteReference"/>
          <w:rFonts w:ascii="NimbusSanL;Times New Roman" w:hAnsi="NimbusSanL;Times New Roman" w:cs="NimbusSanL;Times New Roman"/>
          <w:sz w:val="20"/>
          <w:szCs w:val="20"/>
        </w:rPr>
        <w:footnoteReference w:id="86"/>
      </w:r>
      <w:r>
        <w:rPr>
          <w:rFonts w:ascii="NimbusSanL;Times New Roman" w:hAnsi="NimbusSanL;Times New Roman" w:cs="NimbusSanL;Times New Roman"/>
          <w:sz w:val="20"/>
          <w:szCs w:val="20"/>
        </w:rPr>
        <w:t xml:space="preserve">. En outre, </w:t>
      </w:r>
      <w:r>
        <w:rPr>
          <w:rFonts w:ascii="NimbusSanL;Times New Roman" w:hAnsi="NimbusSanL;Times New Roman" w:cs="NimbusSanL;Times New Roman"/>
          <w:b/>
          <w:bCs/>
          <w:sz w:val="20"/>
          <w:szCs w:val="20"/>
        </w:rPr>
        <w:t xml:space="preserve">ces données ont un intérêt unique : elles permettent d’identifier l’orientation des affaires par les parquets, ce qui inclut le </w:t>
      </w:r>
      <w:proofErr w:type="gramStart"/>
      <w:r>
        <w:rPr>
          <w:rFonts w:ascii="NimbusSanL;Times New Roman" w:hAnsi="NimbusSanL;Times New Roman" w:cs="NimbusSanL;Times New Roman"/>
          <w:b/>
          <w:bCs/>
          <w:sz w:val="20"/>
          <w:szCs w:val="20"/>
        </w:rPr>
        <w:lastRenderedPageBreak/>
        <w:t>taux</w:t>
      </w:r>
      <w:proofErr w:type="gramEnd"/>
      <w:r>
        <w:rPr>
          <w:rFonts w:ascii="NimbusSanL;Times New Roman" w:hAnsi="NimbusSanL;Times New Roman" w:cs="NimbusSanL;Times New Roman"/>
          <w:b/>
          <w:bCs/>
          <w:sz w:val="20"/>
          <w:szCs w:val="20"/>
        </w:rPr>
        <w:t xml:space="preserve"> et le type de poursuites engagées, et le taux et les causes détaillées des classements sans suite</w:t>
      </w:r>
      <w:r>
        <w:rPr>
          <w:rStyle w:val="FootnoteReference"/>
          <w:rFonts w:ascii="NimbusSanL;Times New Roman" w:hAnsi="NimbusSanL;Times New Roman" w:cs="NimbusSanL;Times New Roman"/>
          <w:sz w:val="20"/>
          <w:szCs w:val="20"/>
        </w:rPr>
        <w:footnoteReference w:id="87"/>
      </w:r>
      <w:r>
        <w:rPr>
          <w:rFonts w:ascii="NimbusSanL;Times New Roman" w:hAnsi="NimbusSanL;Times New Roman" w:cs="NimbusSanL;Times New Roman"/>
          <w:sz w:val="20"/>
          <w:szCs w:val="20"/>
        </w:rPr>
        <w:t>. C’est donc une donnée d’intérêt primordial.</w:t>
      </w:r>
    </w:p>
    <w:p w14:paraId="4C02FE56" w14:textId="77777777" w:rsidR="00F35929" w:rsidRDefault="00F35929">
      <w:pPr>
        <w:jc w:val="both"/>
        <w:rPr>
          <w:rFonts w:ascii="NimbusSanL;Times New Roman" w:hAnsi="NimbusSanL;Times New Roman" w:cs="NimbusSanL;Times New Roman"/>
          <w:sz w:val="20"/>
          <w:szCs w:val="20"/>
        </w:rPr>
      </w:pPr>
    </w:p>
    <w:p w14:paraId="29E40FF8"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Il convient de noter enfin que ces deux séries de données présentent plusieurs limites : </w:t>
      </w:r>
    </w:p>
    <w:p w14:paraId="2D45780F" w14:textId="77777777" w:rsidR="00F35929" w:rsidRDefault="00F35929">
      <w:pPr>
        <w:jc w:val="both"/>
        <w:rPr>
          <w:rFonts w:ascii="NimbusSanL;Times New Roman" w:hAnsi="NimbusSanL;Times New Roman" w:cs="NimbusSanL;Times New Roman"/>
          <w:sz w:val="20"/>
          <w:szCs w:val="20"/>
        </w:rPr>
      </w:pPr>
    </w:p>
    <w:p w14:paraId="5D1B9E8E"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D’abord, en l’absence de publication des données complètes du ministère de la Justice, il est pour l’instant impossible de faire une analyse des suites réservées à ces affaires, ce qui constitue pourtant une demande ancienne du Comité contre la torture.</w:t>
      </w:r>
    </w:p>
    <w:p w14:paraId="079E95E4" w14:textId="77777777" w:rsidR="00F35929" w:rsidRDefault="00F35929">
      <w:pPr>
        <w:jc w:val="both"/>
        <w:rPr>
          <w:rFonts w:ascii="NimbusSanL;Times New Roman" w:hAnsi="NimbusSanL;Times New Roman" w:cs="NimbusSanL;Times New Roman"/>
          <w:sz w:val="20"/>
          <w:szCs w:val="20"/>
        </w:rPr>
      </w:pPr>
    </w:p>
    <w:p w14:paraId="69E8F94F" w14:textId="77777777" w:rsidR="00F35929" w:rsidRDefault="002B5C50">
      <w:pPr>
        <w:jc w:val="both"/>
        <w:rPr>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 xml:space="preserve">Ensuite, ces données comptabilisent l’ensemble des violences par PDAP, tous corps confondus : gendarmerie, police, administration pénitentiaire, etc. </w:t>
      </w:r>
      <w:r>
        <w:rPr>
          <w:rFonts w:ascii="NimbusSanL;Times New Roman" w:hAnsi="NimbusSanL;Times New Roman" w:cs="NimbusSanL;Times New Roman"/>
          <w:b/>
          <w:bCs/>
          <w:sz w:val="20"/>
          <w:szCs w:val="20"/>
        </w:rPr>
        <w:t>Il est donc impossible, en l’état, de connaître le détail d’affaires d’usage excessif de la force par corps concerné, ou même d’isoler les affaires concernant le ministère de l’Intérieur</w:t>
      </w:r>
      <w:r>
        <w:rPr>
          <w:rFonts w:ascii="NimbusSanL;Times New Roman" w:hAnsi="NimbusSanL;Times New Roman" w:cs="NimbusSanL;Times New Roman"/>
          <w:sz w:val="20"/>
          <w:szCs w:val="20"/>
        </w:rPr>
        <w:t xml:space="preserve"> (les violences sur PDAP recensées peuvent concerner aussi, par exemple, des agents de l’administration pénitentiaire). Ce que l’opinion publique nationale a pris pour habitud</w:t>
      </w:r>
      <w:r>
        <w:rPr>
          <w:rFonts w:ascii="NimbusSanL;Times New Roman" w:hAnsi="NimbusSanL;Times New Roman" w:cs="NimbusSanL;Times New Roman"/>
          <w:sz w:val="20"/>
          <w:szCs w:val="20"/>
        </w:rPr>
        <w:t xml:space="preserve">e de nommer « violences policières » n’est donc en l’état pas mesurable. Seule, la généralisation de la pratique de la DGGN, qui consiste à publier le nombre total d’enquêtes pénales traité en gendarmerie, par l’IGGN et par l’ensemble des services </w:t>
      </w:r>
      <w:r>
        <w:rPr>
          <w:rFonts w:ascii="NimbusSanL;Times New Roman" w:hAnsi="NimbusSanL;Times New Roman" w:cs="NimbusSanL;Times New Roman"/>
          <w:b/>
          <w:bCs/>
          <w:sz w:val="20"/>
          <w:szCs w:val="20"/>
        </w:rPr>
        <w:t>(</w:t>
      </w:r>
      <w:proofErr w:type="spellStart"/>
      <w:r>
        <w:rPr>
          <w:rFonts w:ascii="NimbusSanL;Times New Roman" w:hAnsi="NimbusSanL;Times New Roman" w:cs="NimbusSanL;Times New Roman"/>
          <w:b/>
          <w:bCs/>
          <w:sz w:val="20"/>
          <w:szCs w:val="20"/>
        </w:rPr>
        <w:t>cf</w:t>
      </w:r>
      <w:proofErr w:type="spellEnd"/>
      <w:r>
        <w:rPr>
          <w:rFonts w:ascii="NimbusSanL;Times New Roman" w:hAnsi="NimbusSanL;Times New Roman" w:cs="NimbusSanL;Times New Roman"/>
          <w:b/>
          <w:bCs/>
          <w:sz w:val="20"/>
          <w:szCs w:val="20"/>
        </w:rPr>
        <w:t xml:space="preserve"> supra, n°II.1)</w:t>
      </w:r>
      <w:r>
        <w:rPr>
          <w:rFonts w:ascii="NimbusSanL;Times New Roman" w:hAnsi="NimbusSanL;Times New Roman" w:cs="NimbusSanL;Times New Roman"/>
          <w:sz w:val="20"/>
          <w:szCs w:val="20"/>
        </w:rPr>
        <w:t>, permettrait de remédier à cette lacune. Il conviendrait aussi de préciser le nombre d’affaires concernant spécifiquement des usages de la force.</w:t>
      </w:r>
    </w:p>
    <w:p w14:paraId="29B12F5B" w14:textId="77777777" w:rsidR="00F35929" w:rsidRDefault="00F35929">
      <w:pPr>
        <w:jc w:val="both"/>
        <w:rPr>
          <w:sz w:val="20"/>
          <w:szCs w:val="20"/>
        </w:rPr>
      </w:pPr>
    </w:p>
    <w:p w14:paraId="0D727FDE" w14:textId="77777777" w:rsidR="00F35929" w:rsidRDefault="002B5C50">
      <w:pP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Enfin, un doute subsiste sur les qualifications comprises ou exclues (on ne sait pas, par exemple, si les violences ayant entraîné une mutilation permanente, ou les faits qualifiés d’homicides volontaires ou involontaires sont comptabilisés). Sans connaître avec précision les qualifications retenues ou exclues, il est donc impossible de comparer avec précision ces deux séries de données entre elles.</w:t>
      </w:r>
    </w:p>
    <w:p w14:paraId="7CA017E6" w14:textId="77777777" w:rsidR="00F35929" w:rsidRDefault="00F35929">
      <w:pPr>
        <w:jc w:val="both"/>
        <w:rPr>
          <w:rFonts w:ascii="NimbusSanL;Times New Roman" w:hAnsi="NimbusSanL;Times New Roman" w:cs="NimbusSanL;Times New Roman"/>
          <w:sz w:val="20"/>
          <w:szCs w:val="20"/>
        </w:rPr>
      </w:pPr>
    </w:p>
    <w:p w14:paraId="24C1D1DC" w14:textId="77777777" w:rsidR="00F35929" w:rsidRDefault="002B5C50">
      <w:pPr>
        <w:pBdr>
          <w:top w:val="single" w:sz="2" w:space="10" w:color="85CFFF"/>
          <w:left w:val="single" w:sz="2" w:space="10" w:color="85CFFF"/>
          <w:bottom w:val="single" w:sz="2" w:space="10" w:color="85CFFF"/>
          <w:right w:val="single" w:sz="2" w:space="10" w:color="85CFFF"/>
        </w:pBd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 xml:space="preserve">Flagrant déni estime donc nécessaire, pour éclairer le débat public sur l’usage excessif de la force en France, que soient produites les données suivantes, assorties des précisions méthodologiques nécessaires, notamment sur les infractions recensées : </w:t>
      </w:r>
    </w:p>
    <w:p w14:paraId="3A9CAFC7" w14:textId="77777777" w:rsidR="00F35929" w:rsidRDefault="00F35929">
      <w:pPr>
        <w:pBdr>
          <w:top w:val="single" w:sz="2" w:space="10" w:color="85CFFF"/>
          <w:left w:val="single" w:sz="2" w:space="10" w:color="85CFFF"/>
          <w:bottom w:val="single" w:sz="2" w:space="10" w:color="85CFFF"/>
          <w:right w:val="single" w:sz="2" w:space="10" w:color="85CFFF"/>
        </w:pBdr>
        <w:jc w:val="both"/>
        <w:rPr>
          <w:rFonts w:ascii="NimbusSanL;Times New Roman" w:hAnsi="NimbusSanL;Times New Roman" w:cs="NimbusSanL;Times New Roman"/>
          <w:sz w:val="20"/>
          <w:szCs w:val="20"/>
        </w:rPr>
      </w:pPr>
    </w:p>
    <w:p w14:paraId="28102A61" w14:textId="77777777" w:rsidR="00F35929" w:rsidRDefault="002B5C50">
      <w:pPr>
        <w:pBdr>
          <w:top w:val="single" w:sz="2" w:space="10" w:color="85CFFF"/>
          <w:left w:val="single" w:sz="2" w:space="10" w:color="85CFFF"/>
          <w:bottom w:val="single" w:sz="2" w:space="10" w:color="85CFFF"/>
          <w:right w:val="single" w:sz="2" w:space="10" w:color="85CFFF"/>
        </w:pBd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les données actualisées de la « base victime » du ministère de l’Intérieur ;</w:t>
      </w:r>
    </w:p>
    <w:p w14:paraId="0F3690DA" w14:textId="77777777" w:rsidR="00F35929" w:rsidRDefault="00F35929">
      <w:pPr>
        <w:pBdr>
          <w:top w:val="single" w:sz="2" w:space="10" w:color="85CFFF"/>
          <w:left w:val="single" w:sz="2" w:space="10" w:color="85CFFF"/>
          <w:bottom w:val="single" w:sz="2" w:space="10" w:color="85CFFF"/>
          <w:right w:val="single" w:sz="2" w:space="10" w:color="85CFFF"/>
        </w:pBdr>
        <w:jc w:val="both"/>
        <w:rPr>
          <w:rFonts w:ascii="NimbusSanL;Times New Roman" w:hAnsi="NimbusSanL;Times New Roman" w:cs="NimbusSanL;Times New Roman"/>
          <w:sz w:val="20"/>
          <w:szCs w:val="20"/>
        </w:rPr>
      </w:pPr>
    </w:p>
    <w:p w14:paraId="3B5FA4DB" w14:textId="77777777" w:rsidR="00F35929" w:rsidRDefault="002B5C50">
      <w:pPr>
        <w:pBdr>
          <w:top w:val="single" w:sz="2" w:space="10" w:color="85CFFF"/>
          <w:left w:val="single" w:sz="2" w:space="10" w:color="85CFFF"/>
          <w:bottom w:val="single" w:sz="2" w:space="10" w:color="85CFFF"/>
          <w:right w:val="single" w:sz="2" w:space="10" w:color="85CFFF"/>
        </w:pBdr>
        <w:jc w:val="both"/>
        <w:rPr>
          <w:rFonts w:ascii="NimbusSanL;Times New Roman" w:hAnsi="NimbusSanL;Times New Roman" w:cs="NimbusSanL;Times New Roman"/>
          <w:sz w:val="20"/>
          <w:szCs w:val="20"/>
        </w:rPr>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les données complètes et actualisées des affaires enregistrées par les parquets, et les orientations prises par ces derniers, qui constituent une base incontournable d’analyse des orientations données dans ces affaires ;</w:t>
      </w:r>
    </w:p>
    <w:p w14:paraId="5F443F19" w14:textId="77777777" w:rsidR="00F35929" w:rsidRDefault="00F35929">
      <w:pPr>
        <w:pBdr>
          <w:top w:val="single" w:sz="2" w:space="10" w:color="85CFFF"/>
          <w:left w:val="single" w:sz="2" w:space="10" w:color="85CFFF"/>
          <w:bottom w:val="single" w:sz="2" w:space="10" w:color="85CFFF"/>
          <w:right w:val="single" w:sz="2" w:space="10" w:color="85CFFF"/>
        </w:pBdr>
        <w:jc w:val="both"/>
        <w:rPr>
          <w:rFonts w:ascii="NimbusSanL;Times New Roman" w:hAnsi="NimbusSanL;Times New Roman" w:cs="NimbusSanL;Times New Roman"/>
          <w:sz w:val="20"/>
          <w:szCs w:val="20"/>
        </w:rPr>
      </w:pPr>
    </w:p>
    <w:p w14:paraId="58357E3E" w14:textId="77777777" w:rsidR="00F35929" w:rsidRDefault="002B5C50">
      <w:pPr>
        <w:pBdr>
          <w:top w:val="single" w:sz="2" w:space="10" w:color="85CFFF"/>
          <w:left w:val="single" w:sz="2" w:space="10" w:color="85CFFF"/>
          <w:bottom w:val="single" w:sz="2" w:space="10" w:color="85CFFF"/>
          <w:right w:val="single" w:sz="2" w:space="10" w:color="85CFFF"/>
        </w:pBdr>
        <w:jc w:val="both"/>
      </w:pPr>
      <w:r>
        <w:rPr>
          <w:rFonts w:ascii="NimbusSanL;Times New Roman" w:hAnsi="NimbusSanL;Times New Roman" w:cs="NimbusSanL;Times New Roman"/>
          <w:sz w:val="20"/>
          <w:szCs w:val="20"/>
        </w:rPr>
        <w:t>–</w:t>
      </w:r>
      <w:r>
        <w:rPr>
          <w:rFonts w:ascii="NimbusSanL;Times New Roman" w:eastAsia="NimbusSanL;Times New Roman" w:hAnsi="NimbusSanL;Times New Roman" w:cs="NimbusSanL;Times New Roman"/>
          <w:sz w:val="20"/>
          <w:szCs w:val="20"/>
        </w:rPr>
        <w:t xml:space="preserve"> </w:t>
      </w:r>
      <w:r>
        <w:rPr>
          <w:rFonts w:ascii="NimbusSanL;Times New Roman" w:hAnsi="NimbusSanL;Times New Roman" w:cs="NimbusSanL;Times New Roman"/>
          <w:sz w:val="20"/>
          <w:szCs w:val="20"/>
        </w:rPr>
        <w:t xml:space="preserve">les données centralisées des affaires d’usage excessif de la force recensées par les directions de la police et de la gendarmerie, traitées par leurs inspections respectives </w:t>
      </w:r>
      <w:r>
        <w:rPr>
          <w:rFonts w:ascii="NimbusSanL;Times New Roman" w:hAnsi="NimbusSanL;Times New Roman" w:cs="NimbusSanL;Times New Roman"/>
          <w:sz w:val="20"/>
          <w:szCs w:val="20"/>
          <w:u w:val="single"/>
        </w:rPr>
        <w:t>et</w:t>
      </w:r>
      <w:r>
        <w:rPr>
          <w:rFonts w:ascii="NimbusSanL;Times New Roman" w:hAnsi="NimbusSanL;Times New Roman" w:cs="NimbusSanL;Times New Roman"/>
          <w:sz w:val="20"/>
          <w:szCs w:val="20"/>
        </w:rPr>
        <w:t xml:space="preserve"> par l’ensemble de leurs services. </w:t>
      </w:r>
    </w:p>
    <w:sectPr w:rsidR="00F35929">
      <w:footerReference w:type="default" r:id="rId12"/>
      <w:footerReference w:type="first" r:id="rId13"/>
      <w:pgSz w:w="11906" w:h="16838"/>
      <w:pgMar w:top="1134" w:right="1134" w:bottom="1191" w:left="1134"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A721E" w14:textId="77777777" w:rsidR="002B5C50" w:rsidRDefault="002B5C50">
      <w:r>
        <w:separator/>
      </w:r>
    </w:p>
  </w:endnote>
  <w:endnote w:type="continuationSeparator" w:id="0">
    <w:p w14:paraId="642E6745" w14:textId="77777777" w:rsidR="002B5C50" w:rsidRDefault="002B5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erif CJK SC">
    <w:charset w:val="01"/>
    <w:family w:val="auto"/>
    <w:pitch w:val="variable"/>
  </w:font>
  <w:font w:name="Noto Sans Devanagari">
    <w:charset w:val="00"/>
    <w:family w:val="swiss"/>
    <w:pitch w:val="variable"/>
    <w:sig w:usb0="80008023" w:usb1="00002046" w:usb2="00000000" w:usb3="00000000" w:csb0="00000001" w:csb1="00000000"/>
  </w:font>
  <w:font w:name="Noto Sans Devanagari;Times New">
    <w:panose1 w:val="00000000000000000000"/>
    <w:charset w:val="00"/>
    <w:family w:val="roman"/>
    <w:notTrueType/>
    <w:pitch w:val="default"/>
  </w:font>
  <w:font w:name="Liberation Serif;Times New Roma">
    <w:panose1 w:val="00000000000000000000"/>
    <w:charset w:val="00"/>
    <w:family w:val="roman"/>
    <w:notTrueType/>
    <w:pitch w:val="default"/>
  </w:font>
  <w:font w:name="Lohit Devanagari;Times New Rom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angal;Liberation Mono">
    <w:panose1 w:val="00000000000000000000"/>
    <w:charset w:val="00"/>
    <w:family w:val="roman"/>
    <w:notTrueType/>
    <w:pitch w:val="default"/>
  </w:font>
  <w:font w:name="Noto Sans CJK SC">
    <w:charset w:val="01"/>
    <w:family w:val="auto"/>
    <w:pitch w:val="variable"/>
  </w:font>
  <w:font w:name="NimbusSanL">
    <w:altName w:val="Times New Roman"/>
    <w:charset w:val="01"/>
    <w:family w:val="auto"/>
    <w:pitch w:val="variable"/>
  </w:font>
  <w:font w:name="Andale Sans UI;Arial Unicode M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Nimbus Sans L;Arial">
    <w:altName w:val="Cambria"/>
    <w:panose1 w:val="00000000000000000000"/>
    <w:charset w:val="00"/>
    <w:family w:val="roman"/>
    <w:notTrueType/>
    <w:pitch w:val="default"/>
  </w:font>
  <w:font w:name="Happy Times at the IKOB Italic">
    <w:altName w:val="Calibri"/>
    <w:charset w:val="01"/>
    <w:family w:val="script"/>
    <w:pitch w:val="variable"/>
  </w:font>
  <w:font w:name="NimbusSanL;Times New Roman">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2FEEF" w14:textId="77777777" w:rsidR="00F35929" w:rsidRDefault="002B5C50">
    <w:pPr>
      <w:pStyle w:val="Footer"/>
      <w:tabs>
        <w:tab w:val="clear" w:pos="9638"/>
        <w:tab w:val="right" w:pos="9637"/>
      </w:tabs>
      <w:ind w:left="397"/>
    </w:pPr>
    <w:bookmarkStart w:id="0" w:name="PageNumWizard_FOOTER_Style_de_page_par_d"/>
    <w:bookmarkStart w:id="1" w:name="PageNumWizard_FOOTER_Style_de_page_par_1"/>
    <w:bookmarkEnd w:id="0"/>
    <w:bookmarkEnd w:id="1"/>
    <w:r>
      <w:rPr>
        <w:noProof/>
      </w:rPr>
      <w:drawing>
        <wp:anchor distT="0" distB="0" distL="0" distR="0" simplePos="0" relativeHeight="19" behindDoc="0" locked="0" layoutInCell="0" allowOverlap="1" wp14:anchorId="31544318" wp14:editId="089EC73D">
          <wp:simplePos x="0" y="0"/>
          <wp:positionH relativeFrom="column">
            <wp:posOffset>3810</wp:posOffset>
          </wp:positionH>
          <wp:positionV relativeFrom="paragraph">
            <wp:posOffset>-17145</wp:posOffset>
          </wp:positionV>
          <wp:extent cx="174625" cy="174625"/>
          <wp:effectExtent l="0" t="0" r="0" b="0"/>
          <wp:wrapSquare wrapText="largest"/>
          <wp:docPr id="14"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pic:cNvPicPr>
                    <a:picLocks noChangeAspect="1" noChangeArrowheads="1"/>
                  </pic:cNvPicPr>
                </pic:nvPicPr>
                <pic:blipFill>
                  <a:blip r:embed="rId1"/>
                  <a:srcRect l="-61" t="-61" r="-61" b="-61"/>
                  <a:stretch>
                    <a:fillRect/>
                  </a:stretch>
                </pic:blipFill>
                <pic:spPr bwMode="auto">
                  <a:xfrm>
                    <a:off x="0" y="0"/>
                    <a:ext cx="174625" cy="174625"/>
                  </a:xfrm>
                  <a:prstGeom prst="rect">
                    <a:avLst/>
                  </a:prstGeom>
                </pic:spPr>
              </pic:pic>
            </a:graphicData>
          </a:graphic>
        </wp:anchor>
      </w:drawing>
    </w:r>
    <w:r>
      <w:rPr>
        <w:rFonts w:ascii="Happy Times at the IKOB Italic" w:hAnsi="Happy Times at the IKOB Italic" w:cs="Happy Times at the IKOB Italic"/>
        <w:color w:val="808080"/>
        <w:sz w:val="18"/>
        <w:szCs w:val="18"/>
      </w:rPr>
      <w:t xml:space="preserve">Note pour le 8ème </w:t>
    </w:r>
    <w:r>
      <w:rPr>
        <w:rFonts w:ascii="Happy Times at the IKOB Italic" w:hAnsi="Happy Times at the IKOB Italic" w:cs="Happy Times at the IKOB Italic"/>
        <w:color w:val="808080"/>
        <w:sz w:val="18"/>
        <w:szCs w:val="18"/>
      </w:rPr>
      <w:t>examen périodique de la France sur la Convention contre la torture</w:t>
    </w:r>
    <w:r>
      <w:rPr>
        <w:rFonts w:ascii="Happy Times at the IKOB Italic" w:hAnsi="Happy Times at the IKOB Italic" w:cs="Happy Times at the IKOB Italic"/>
        <w:color w:val="808080"/>
        <w:sz w:val="18"/>
        <w:szCs w:val="18"/>
      </w:rPr>
      <w:tab/>
    </w:r>
    <w:r>
      <w:rPr>
        <w:rFonts w:ascii="Happy Times at the IKOB Italic" w:hAnsi="Happy Times at the IKOB Italic" w:cs="Happy Times at the IKOB Italic"/>
        <w:color w:val="808080"/>
        <w:sz w:val="18"/>
        <w:szCs w:val="18"/>
      </w:rPr>
      <w:fldChar w:fldCharType="begin"/>
    </w:r>
    <w:r>
      <w:rPr>
        <w:rFonts w:ascii="Happy Times at the IKOB Italic" w:hAnsi="Happy Times at the IKOB Italic" w:cs="Happy Times at the IKOB Italic"/>
        <w:color w:val="808080"/>
        <w:sz w:val="18"/>
        <w:szCs w:val="18"/>
      </w:rPr>
      <w:instrText xml:space="preserve"> PAGE </w:instrText>
    </w:r>
    <w:r>
      <w:rPr>
        <w:rFonts w:ascii="Happy Times at the IKOB Italic" w:hAnsi="Happy Times at the IKOB Italic" w:cs="Happy Times at the IKOB Italic"/>
        <w:color w:val="808080"/>
        <w:sz w:val="18"/>
        <w:szCs w:val="18"/>
      </w:rPr>
      <w:fldChar w:fldCharType="separate"/>
    </w:r>
    <w:r>
      <w:rPr>
        <w:rFonts w:ascii="Happy Times at the IKOB Italic" w:hAnsi="Happy Times at the IKOB Italic" w:cs="Happy Times at the IKOB Italic"/>
        <w:color w:val="808080"/>
        <w:sz w:val="18"/>
        <w:szCs w:val="18"/>
      </w:rPr>
      <w:t>15</w:t>
    </w:r>
    <w:r>
      <w:rPr>
        <w:rFonts w:ascii="Happy Times at the IKOB Italic" w:hAnsi="Happy Times at the IKOB Italic" w:cs="Happy Times at the IKOB Italic"/>
        <w:color w:val="808080"/>
        <w:sz w:val="18"/>
        <w:szCs w:val="18"/>
      </w:rPr>
      <w:fldChar w:fldCharType="end"/>
    </w:r>
    <w:r>
      <w:rPr>
        <w:rFonts w:ascii="NimbusSanL" w:hAnsi="NimbusSanL" w:cs="NimbusSanL"/>
        <w:color w:val="808080"/>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5A2BF" w14:textId="77777777" w:rsidR="00F35929" w:rsidRDefault="00F35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2ADE0" w14:textId="77777777" w:rsidR="00F35929" w:rsidRDefault="002B5C50">
      <w:pPr>
        <w:rPr>
          <w:sz w:val="12"/>
        </w:rPr>
      </w:pPr>
      <w:r>
        <w:separator/>
      </w:r>
    </w:p>
  </w:footnote>
  <w:footnote w:type="continuationSeparator" w:id="0">
    <w:p w14:paraId="5EAD8067" w14:textId="77777777" w:rsidR="00F35929" w:rsidRDefault="002B5C50">
      <w:pPr>
        <w:rPr>
          <w:sz w:val="12"/>
        </w:rPr>
      </w:pPr>
      <w:r>
        <w:continuationSeparator/>
      </w:r>
    </w:p>
  </w:footnote>
  <w:footnote w:id="1">
    <w:p w14:paraId="4E4E28A1" w14:textId="77777777" w:rsidR="00F35929" w:rsidRDefault="002B5C50">
      <w:pPr>
        <w:pStyle w:val="FootnoteText"/>
      </w:pPr>
      <w:r>
        <w:rPr>
          <w:rStyle w:val="Caractresdenotedebasdepage"/>
        </w:rPr>
        <w:footnoteRef/>
      </w:r>
      <w:r>
        <w:rPr>
          <w:rStyle w:val="Hyperlink"/>
          <w:color w:val="808080"/>
        </w:rPr>
        <w:t xml:space="preserve"> </w:t>
      </w:r>
      <w:hyperlink r:id="rId1">
        <w:r>
          <w:rPr>
            <w:rStyle w:val="Hyperlink"/>
            <w:color w:val="1C1C1C"/>
          </w:rPr>
          <w:t>https://www.flagrant-deni.fr/le-17-guide-victimes-violences-policieres-que-faire-accueil/</w:t>
        </w:r>
      </w:hyperlink>
      <w:r>
        <w:t xml:space="preserve"> </w:t>
      </w:r>
    </w:p>
  </w:footnote>
  <w:footnote w:id="2">
    <w:p w14:paraId="27798E8B" w14:textId="77777777" w:rsidR="00F35929" w:rsidRDefault="002B5C50">
      <w:pPr>
        <w:pStyle w:val="FootnoteText"/>
      </w:pPr>
      <w:r>
        <w:rPr>
          <w:rStyle w:val="Caractresdenotedebasdepage"/>
        </w:rPr>
        <w:footnoteRef/>
      </w:r>
      <w:r>
        <w:t xml:space="preserve"> CAT/C/FRA/CO/7, 10 juin 2016, § 16.</w:t>
      </w:r>
    </w:p>
  </w:footnote>
  <w:footnote w:id="3">
    <w:p w14:paraId="7D5E2D1B" w14:textId="77777777" w:rsidR="00F35929" w:rsidRDefault="002B5C50">
      <w:pPr>
        <w:pStyle w:val="FootnoteText"/>
      </w:pPr>
      <w:r>
        <w:rPr>
          <w:rStyle w:val="Caractresdenotedebasdepage"/>
        </w:rPr>
        <w:footnoteRef/>
      </w:r>
      <w:r>
        <w:rPr>
          <w:rFonts w:cs="Times New Roman"/>
        </w:rPr>
        <w:t xml:space="preserve"> LOIPR, § 17 a) et b)</w:t>
      </w:r>
    </w:p>
  </w:footnote>
  <w:footnote w:id="4">
    <w:p w14:paraId="20F55102" w14:textId="77777777" w:rsidR="00F35929" w:rsidRDefault="002B5C50">
      <w:pPr>
        <w:pStyle w:val="FootnoteText"/>
      </w:pPr>
      <w:r>
        <w:rPr>
          <w:rStyle w:val="Caractresdenotedebasdepage"/>
        </w:rPr>
        <w:footnoteRef/>
      </w:r>
      <w:r>
        <w:rPr>
          <w:rFonts w:cs="Times New Roman"/>
        </w:rPr>
        <w:t xml:space="preserve"> Rapport de la France, § 155</w:t>
      </w:r>
    </w:p>
  </w:footnote>
  <w:footnote w:id="5">
    <w:p w14:paraId="7E31784A" w14:textId="77777777" w:rsidR="00F35929" w:rsidRDefault="002B5C50">
      <w:pPr>
        <w:pStyle w:val="FootnoteText"/>
      </w:pPr>
      <w:r>
        <w:rPr>
          <w:rStyle w:val="Caractresdenotedebasdepage"/>
        </w:rPr>
        <w:footnoteRef/>
      </w:r>
      <w:r>
        <w:rPr>
          <w:rFonts w:cs="Times New Roman"/>
        </w:rPr>
        <w:t xml:space="preserve"> </w:t>
      </w:r>
      <w:r>
        <w:rPr>
          <w:rFonts w:cs="Times New Roman"/>
          <w:color w:val="1C1C1C"/>
        </w:rPr>
        <w:t xml:space="preserve">Voir les chiffres publiés dans les rapports d’activités de l’IGPN et de l’IGGN, ou encore </w:t>
      </w:r>
      <w:hyperlink r:id="rId2" w:anchor="__RefHeading___Toc256000097" w:history="1">
        <w:r>
          <w:rPr>
            <w:rStyle w:val="Hyperlink"/>
            <w:rFonts w:cs="Times New Roman"/>
            <w:color w:val="1C1C1C"/>
          </w:rPr>
          <w:t>Assemblée nationale, Rapport relatif à l’état des lieux, la déontologie, les pratiques et les doctrines de maintien de l’ordre, 2021</w:t>
        </w:r>
      </w:hyperlink>
    </w:p>
  </w:footnote>
  <w:footnote w:id="6">
    <w:p w14:paraId="4AE0A26C" w14:textId="77777777" w:rsidR="00F35929" w:rsidRDefault="002B5C50">
      <w:pPr>
        <w:pStyle w:val="FootnoteText"/>
      </w:pPr>
      <w:r>
        <w:rPr>
          <w:rStyle w:val="Caractresdenotedebasdepage"/>
        </w:rPr>
        <w:footnoteRef/>
      </w:r>
      <w:r>
        <w:rPr>
          <w:rFonts w:cs="Times New Roman"/>
        </w:rPr>
        <w:t xml:space="preserve"> Décret n° 2013-728 du 12 août 2013 portant organisation de l'administration centrale du ministère de l'intérieur et du ministère des outre-mer, article 6</w:t>
      </w:r>
    </w:p>
  </w:footnote>
  <w:footnote w:id="7">
    <w:p w14:paraId="26C3E6AC" w14:textId="77777777" w:rsidR="00F35929" w:rsidRDefault="002B5C50">
      <w:pPr>
        <w:pStyle w:val="FootnoteText"/>
      </w:pPr>
      <w:r>
        <w:rPr>
          <w:rStyle w:val="Caractresdenotedebasdepage"/>
        </w:rPr>
        <w:footnoteRef/>
      </w:r>
      <w:r>
        <w:rPr>
          <w:rFonts w:cs="Times New Roman"/>
        </w:rPr>
        <w:t xml:space="preserve"> Rapport d’activités 2023 de l’IGPN</w:t>
      </w:r>
    </w:p>
  </w:footnote>
  <w:footnote w:id="8">
    <w:p w14:paraId="44751B5E" w14:textId="77777777" w:rsidR="00F35929" w:rsidRDefault="002B5C50">
      <w:pPr>
        <w:pStyle w:val="FootnoteText"/>
      </w:pPr>
      <w:r>
        <w:rPr>
          <w:rStyle w:val="Caractresdenotedebasdepage"/>
        </w:rPr>
        <w:footnoteRef/>
      </w:r>
      <w:r>
        <w:rPr>
          <w:rFonts w:cs="Times New Roman"/>
          <w:szCs w:val="18"/>
        </w:rPr>
        <w:t xml:space="preserve"> </w:t>
      </w:r>
      <w:hyperlink r:id="rId3">
        <w:r>
          <w:rPr>
            <w:rStyle w:val="Hyperlink"/>
            <w:rFonts w:cs="Times New Roman"/>
            <w:color w:val="1C1C1C"/>
            <w:szCs w:val="18"/>
          </w:rPr>
          <w:t xml:space="preserve">CNCDH, </w:t>
        </w:r>
        <w:r>
          <w:rPr>
            <w:rStyle w:val="Hyperlink"/>
            <w:rFonts w:cs="Times New Roman"/>
            <w:color w:val="1C1C1C"/>
            <w:szCs w:val="18"/>
          </w:rPr>
          <w:t>Avis sur les rapports entre police et population : rétablir la confiance entre la police et la population »,  2021</w:t>
        </w:r>
      </w:hyperlink>
    </w:p>
  </w:footnote>
  <w:footnote w:id="9">
    <w:p w14:paraId="5BA7B88B" w14:textId="77777777" w:rsidR="00F35929" w:rsidRDefault="002B5C50">
      <w:pPr>
        <w:pStyle w:val="FootnoteText"/>
      </w:pPr>
      <w:r>
        <w:rPr>
          <w:rStyle w:val="Caractresdenotedebasdepage"/>
        </w:rPr>
        <w:footnoteRef/>
      </w:r>
      <w:r>
        <w:rPr>
          <w:rFonts w:cs="Times New Roman"/>
          <w:color w:val="1C1C1C"/>
          <w:szCs w:val="18"/>
        </w:rPr>
        <w:t xml:space="preserve"> </w:t>
      </w:r>
      <w:hyperlink r:id="rId4">
        <w:r>
          <w:rPr>
            <w:rStyle w:val="Hyperlink"/>
            <w:rFonts w:cs="Times New Roman"/>
            <w:color w:val="1C1C1C"/>
            <w:szCs w:val="18"/>
          </w:rPr>
          <w:t xml:space="preserve">CNB, </w:t>
        </w:r>
        <w:r>
          <w:rPr>
            <w:rStyle w:val="Hyperlink"/>
            <w:rFonts w:eastAsia="Times New Roman" w:cs="Times New Roman"/>
            <w:bCs/>
            <w:color w:val="1C1C1C"/>
            <w:szCs w:val="18"/>
            <w:lang w:eastAsia="fr-FR" w:bidi="ar-SA"/>
          </w:rPr>
          <w:t>42 recommandations pour améliorer les relations les relations police / population</w:t>
        </w:r>
      </w:hyperlink>
      <w:r>
        <w:rPr>
          <w:rFonts w:eastAsia="Times New Roman" w:cs="Times New Roman"/>
          <w:bCs/>
          <w:color w:val="1C1C1C"/>
          <w:szCs w:val="18"/>
          <w:lang w:eastAsia="fr-FR" w:bidi="ar-SA"/>
        </w:rPr>
        <w:t>, 2023</w:t>
      </w:r>
      <w:r>
        <w:rPr>
          <w:rFonts w:cs="Times New Roman"/>
          <w:color w:val="1C1C1C"/>
          <w:szCs w:val="18"/>
        </w:rPr>
        <w:t xml:space="preserve">  </w:t>
      </w:r>
    </w:p>
  </w:footnote>
  <w:footnote w:id="10">
    <w:p w14:paraId="4C5F8CB4" w14:textId="77777777" w:rsidR="00F35929" w:rsidRDefault="002B5C50">
      <w:pPr>
        <w:pStyle w:val="FootnoteText"/>
      </w:pPr>
      <w:r>
        <w:rPr>
          <w:rStyle w:val="Caractresdenotedebasdepage"/>
        </w:rPr>
        <w:footnoteRef/>
      </w:r>
      <w:r>
        <w:rPr>
          <w:rFonts w:cs="Times New Roman"/>
        </w:rPr>
        <w:t xml:space="preserve"> </w:t>
      </w:r>
      <w:hyperlink r:id="rId5">
        <w:r>
          <w:rPr>
            <w:rStyle w:val="Hyperlink"/>
            <w:rFonts w:cs="Times New Roman"/>
            <w:color w:val="1C1C1C"/>
          </w:rPr>
          <w:t>Commission européenne contre le racisme et l’intolérance, Rapport sur la France, 2022</w:t>
        </w:r>
      </w:hyperlink>
      <w:r>
        <w:rPr>
          <w:rStyle w:val="Hyperlink"/>
          <w:rFonts w:cs="Times New Roman"/>
          <w:color w:val="1C1C1C"/>
          <w:u w:val="none"/>
        </w:rPr>
        <w:t xml:space="preserve"> ; </w:t>
      </w:r>
      <w:hyperlink r:id="rId6">
        <w:r>
          <w:rPr>
            <w:rStyle w:val="Hyperlink"/>
            <w:rFonts w:cs="Times New Roman"/>
            <w:color w:val="1C1C1C"/>
            <w:u w:val="none"/>
          </w:rPr>
          <w:t>Conseil de l’Europe, Le respect par la France des obligations découlant de l'adhésion au Conseil de l'Europe, 2023</w:t>
        </w:r>
      </w:hyperlink>
      <w:r>
        <w:rPr>
          <w:rStyle w:val="Hyperlink"/>
          <w:rFonts w:cs="Times New Roman"/>
          <w:color w:val="1C1C1C"/>
          <w:u w:val="none"/>
        </w:rPr>
        <w:t xml:space="preserve"> ; </w:t>
      </w:r>
      <w:hyperlink r:id="rId7">
        <w:r>
          <w:rPr>
            <w:rStyle w:val="Hyperlink"/>
            <w:rFonts w:cs="Times New Roman"/>
            <w:color w:val="1C1C1C"/>
            <w:u w:val="none"/>
          </w:rPr>
          <w:t>https://www.lemonde.fr/international/article/2023/10/10/le-conseil-de-l-europe-appelle-paris-a-reformer-l-igpn-et-l-iggn-afin-d-ameliorer-la-perception-de-leur-independance-et-de-leur-impartialite_6193616_3210.html</w:t>
        </w:r>
      </w:hyperlink>
      <w:r>
        <w:rPr>
          <w:rStyle w:val="Hyperlink"/>
          <w:rFonts w:cs="Times New Roman"/>
          <w:color w:val="000000"/>
          <w:u w:val="none"/>
        </w:rPr>
        <w:t xml:space="preserve"> </w:t>
      </w:r>
    </w:p>
  </w:footnote>
  <w:footnote w:id="11">
    <w:p w14:paraId="08A5B7ED" w14:textId="77777777" w:rsidR="00F35929" w:rsidRDefault="002B5C50">
      <w:pPr>
        <w:pStyle w:val="FootnoteText"/>
      </w:pPr>
      <w:r>
        <w:rPr>
          <w:rStyle w:val="Caractresdenotedebasdepage"/>
        </w:rPr>
        <w:footnoteRef/>
      </w:r>
      <w:r>
        <w:t xml:space="preserve"> </w:t>
      </w:r>
      <w:hyperlink r:id="rId8" w:anchor="__RefHeading___Toc256000097" w:history="1">
        <w:r>
          <w:rPr>
            <w:rStyle w:val="Hyperlink"/>
            <w:rFonts w:cs="Times New Roman"/>
            <w:color w:val="1C1C1C"/>
            <w:szCs w:val="18"/>
          </w:rPr>
          <w:t>Assemblée nationale, Rapport relatif à l’état des lieux, la déontologie, les pratiques et les doctrines de maintien de l’ordre, 2021</w:t>
        </w:r>
      </w:hyperlink>
    </w:p>
  </w:footnote>
  <w:footnote w:id="12">
    <w:p w14:paraId="588DAD1A" w14:textId="77777777" w:rsidR="00F35929" w:rsidRDefault="002B5C50">
      <w:pPr>
        <w:pStyle w:val="FootnoteText"/>
      </w:pPr>
      <w:r>
        <w:rPr>
          <w:rStyle w:val="Caractresdenotedebasdepage"/>
        </w:rPr>
        <w:footnoteRef/>
      </w:r>
      <w:r>
        <w:rPr>
          <w:rFonts w:cs="Times New Roman"/>
        </w:rPr>
        <w:t xml:space="preserve"> </w:t>
      </w:r>
      <w:hyperlink r:id="rId9">
        <w:r>
          <w:rPr>
            <w:rStyle w:val="Hyperlink"/>
            <w:rFonts w:cs="Times New Roman"/>
            <w:color w:val="1C1C1C"/>
          </w:rPr>
          <w:t>CNCDH, rapport précité</w:t>
        </w:r>
      </w:hyperlink>
    </w:p>
  </w:footnote>
  <w:footnote w:id="13">
    <w:p w14:paraId="4E36AC84" w14:textId="77777777" w:rsidR="00F35929" w:rsidRDefault="002B5C50">
      <w:pPr>
        <w:pStyle w:val="FootnoteText"/>
      </w:pPr>
      <w:r>
        <w:rPr>
          <w:rStyle w:val="Caractresdenotedebasdepage"/>
        </w:rPr>
        <w:footnoteRef/>
      </w:r>
      <w:r>
        <w:rPr>
          <w:rFonts w:cs="Times New Roman"/>
          <w:color w:val="F79646"/>
          <w:sz w:val="20"/>
        </w:rPr>
        <w:t xml:space="preserve"> </w:t>
      </w:r>
      <w:hyperlink r:id="rId10" w:anchor="__RefHeading___Toc256000097" w:history="1">
        <w:r>
          <w:rPr>
            <w:rStyle w:val="Hyperlink"/>
            <w:color w:val="1C1C1C"/>
            <w:szCs w:val="18"/>
          </w:rPr>
          <w:t>Assemblée nationale, Rapport précité, 2021</w:t>
        </w:r>
      </w:hyperlink>
    </w:p>
  </w:footnote>
  <w:footnote w:id="14">
    <w:p w14:paraId="22851747" w14:textId="77777777" w:rsidR="00F35929" w:rsidRDefault="002B5C50">
      <w:pPr>
        <w:pStyle w:val="FootnoteText"/>
      </w:pPr>
      <w:r>
        <w:rPr>
          <w:rStyle w:val="Caractresdenotedebasdepage"/>
        </w:rPr>
        <w:footnoteRef/>
      </w:r>
      <w:r>
        <w:t xml:space="preserve"> Cédric Moreau de Bellaing, Force publique, une sociologie de l’institution policière, 2015, Paris, Economica. L’auteur a étudié 255 affaires disciplinaires de l’IGS entre 1993 et 1999. Le propos cité est tiré d’u</w:t>
      </w:r>
      <w:r>
        <w:rPr>
          <w:color w:val="1C1C1C"/>
        </w:rPr>
        <w:t>n</w:t>
      </w:r>
      <w:r>
        <w:rPr>
          <w:color w:val="1C1C1C"/>
        </w:rPr>
        <w:t xml:space="preserve"> </w:t>
      </w:r>
      <w:hyperlink r:id="rId11">
        <w:r>
          <w:rPr>
            <w:rStyle w:val="Hyperlink"/>
            <w:color w:val="1C1C1C"/>
          </w:rPr>
          <w:t>entretien avec le journal Médiapart</w:t>
        </w:r>
      </w:hyperlink>
      <w:r>
        <w:rPr>
          <w:color w:val="1C1C1C"/>
        </w:rPr>
        <w:t>.</w:t>
      </w:r>
    </w:p>
  </w:footnote>
  <w:footnote w:id="15">
    <w:p w14:paraId="66DAB1AB" w14:textId="77777777" w:rsidR="00F35929" w:rsidRDefault="002B5C50">
      <w:pPr>
        <w:pStyle w:val="FootnoteText"/>
      </w:pPr>
      <w:r>
        <w:rPr>
          <w:rStyle w:val="Caractresdenotedebasdepage"/>
        </w:rPr>
        <w:footnoteRef/>
      </w:r>
      <w:r>
        <w:rPr>
          <w:rFonts w:cs="Times New Roman"/>
        </w:rPr>
        <w:t xml:space="preserve"> Pour plus de détails sur ce que sont les cellules déontologie, voir </w:t>
      </w:r>
      <w:r>
        <w:rPr>
          <w:rFonts w:cs="Times New Roman"/>
          <w:b/>
          <w:bCs/>
        </w:rPr>
        <w:t>infra, n°II.3</w:t>
      </w:r>
      <w:r>
        <w:rPr>
          <w:rFonts w:cs="Times New Roman"/>
        </w:rPr>
        <w:t>.</w:t>
      </w:r>
    </w:p>
  </w:footnote>
  <w:footnote w:id="16">
    <w:p w14:paraId="6EDED3C5" w14:textId="77777777" w:rsidR="00F35929" w:rsidRDefault="002B5C50">
      <w:pPr>
        <w:pStyle w:val="FootnoteText"/>
      </w:pPr>
      <w:r>
        <w:rPr>
          <w:rStyle w:val="Caractresdenotedebasdepage"/>
        </w:rPr>
        <w:footnoteRef/>
      </w:r>
      <w:r>
        <w:rPr>
          <w:rFonts w:cs="Times New Roman"/>
        </w:rPr>
        <w:t xml:space="preserve"> Source A, entretien avec Flagrant déni, 2025. Ce témoignage concerne plus spécifiquement les cellules de déontologie, mais il confirme ce que d’autres observateurs analysent aussi à propos de l’IGPN.</w:t>
      </w:r>
    </w:p>
  </w:footnote>
  <w:footnote w:id="17">
    <w:p w14:paraId="756F26EC" w14:textId="77777777" w:rsidR="00F35929" w:rsidRDefault="002B5C50">
      <w:pPr>
        <w:pStyle w:val="FootnoteText"/>
      </w:pPr>
      <w:r>
        <w:rPr>
          <w:rStyle w:val="Caractresdenotedebasdepage"/>
        </w:rPr>
        <w:footnoteRef/>
      </w:r>
      <w:r>
        <w:rPr>
          <w:rFonts w:cs="Times New Roman"/>
        </w:rPr>
        <w:t xml:space="preserve"> </w:t>
      </w:r>
      <w:hyperlink r:id="rId12" w:anchor="__RefHeading___Toc256000097" w:history="1">
        <w:r>
          <w:rPr>
            <w:rStyle w:val="Hyperlink"/>
            <w:color w:val="1C1C1C"/>
            <w:szCs w:val="18"/>
          </w:rPr>
          <w:t>Assemblée nationale, Rapport précité, 2021</w:t>
        </w:r>
      </w:hyperlink>
    </w:p>
  </w:footnote>
  <w:footnote w:id="18">
    <w:p w14:paraId="44351D67" w14:textId="77777777" w:rsidR="00F35929" w:rsidRDefault="002B5C50">
      <w:pPr>
        <w:pStyle w:val="FootnoteText"/>
      </w:pPr>
      <w:r>
        <w:rPr>
          <w:rStyle w:val="Caractresdenotedebasdepage"/>
        </w:rPr>
        <w:footnoteRef/>
      </w:r>
      <w:r>
        <w:rPr>
          <w:rFonts w:cs="Times New Roman"/>
        </w:rPr>
        <w:t xml:space="preserve"> </w:t>
      </w:r>
      <w:hyperlink r:id="rId13">
        <w:r>
          <w:rPr>
            <w:rStyle w:val="Hyperlink"/>
            <w:rFonts w:cs="Times New Roman"/>
            <w:color w:val="1C1C1C"/>
          </w:rPr>
          <w:t>Cour des comptes, Les forces de police à Marseille, 2024</w:t>
        </w:r>
      </w:hyperlink>
      <w:r>
        <w:rPr>
          <w:rFonts w:cs="Times New Roman"/>
          <w:color w:val="1C1C1C"/>
        </w:rPr>
        <w:t>.</w:t>
      </w:r>
      <w:r>
        <w:rPr>
          <w:rFonts w:cs="Times New Roman"/>
        </w:rPr>
        <w:t xml:space="preserve"> </w:t>
      </w:r>
    </w:p>
  </w:footnote>
  <w:footnote w:id="19">
    <w:p w14:paraId="44B5C106" w14:textId="77777777" w:rsidR="00F35929" w:rsidRDefault="002B5C50">
      <w:pPr>
        <w:pStyle w:val="FootnoteText"/>
      </w:pPr>
      <w:r>
        <w:rPr>
          <w:rStyle w:val="Caractresdenotedebasdepage"/>
        </w:rPr>
        <w:footnoteRef/>
      </w:r>
      <w:r>
        <w:rPr>
          <w:rFonts w:cs="Times New Roman"/>
        </w:rPr>
        <w:t xml:space="preserve"> En 2023, les émeutes urbaines consécutives à la mort de </w:t>
      </w:r>
      <w:r>
        <w:rPr>
          <w:rFonts w:cs="Times New Roman"/>
          <w:color w:val="1C1C1C"/>
        </w:rPr>
        <w:t xml:space="preserve">Nahel </w:t>
      </w:r>
      <w:proofErr w:type="spellStart"/>
      <w:r>
        <w:rPr>
          <w:rFonts w:cs="Times New Roman"/>
          <w:color w:val="1C1C1C"/>
        </w:rPr>
        <w:t>Merzouk</w:t>
      </w:r>
      <w:proofErr w:type="spellEnd"/>
      <w:r>
        <w:rPr>
          <w:rFonts w:cs="Times New Roman"/>
          <w:color w:val="1C1C1C"/>
        </w:rPr>
        <w:t xml:space="preserve"> à Nanterre et les manifestations pour les retraites ont donné lieu à un usage de la force sans précédent : </w:t>
      </w:r>
      <w:hyperlink r:id="rId14">
        <w:r>
          <w:rPr>
            <w:rStyle w:val="Hyperlink"/>
            <w:rFonts w:cs="Times New Roman"/>
            <w:color w:val="1C1C1C"/>
          </w:rPr>
          <w:t>https://www.flagrant-deni.fr/igpn-la-com-passe-le-personnel-trepasse/</w:t>
        </w:r>
      </w:hyperlink>
      <w:r>
        <w:rPr>
          <w:rFonts w:cs="Times New Roman"/>
          <w:color w:val="1C1C1C"/>
        </w:rPr>
        <w:t xml:space="preserve"> </w:t>
      </w:r>
    </w:p>
  </w:footnote>
  <w:footnote w:id="20">
    <w:p w14:paraId="0BBADD66" w14:textId="77777777" w:rsidR="00F35929" w:rsidRDefault="002B5C50">
      <w:pPr>
        <w:pStyle w:val="FootnoteText"/>
      </w:pPr>
      <w:r>
        <w:rPr>
          <w:rStyle w:val="Caractresdenotedebasdepage"/>
        </w:rPr>
        <w:footnoteRef/>
      </w:r>
      <w:r>
        <w:rPr>
          <w:rFonts w:cs="Times New Roman"/>
        </w:rPr>
        <w:t xml:space="preserve"> </w:t>
      </w:r>
      <w:hyperlink r:id="rId15" w:anchor="__RefHeading___Toc256000097" w:history="1">
        <w:r>
          <w:rPr>
            <w:rStyle w:val="Hyperlink"/>
            <w:rFonts w:cs="Times New Roman"/>
            <w:color w:val="1C1C1C"/>
            <w:szCs w:val="18"/>
          </w:rPr>
          <w:t>Assemblée nationale, Rapport précité, 2021</w:t>
        </w:r>
      </w:hyperlink>
    </w:p>
  </w:footnote>
  <w:footnote w:id="21">
    <w:p w14:paraId="1ACC39D8" w14:textId="77777777" w:rsidR="00F35929" w:rsidRDefault="002B5C50">
      <w:pPr>
        <w:pStyle w:val="FootnoteText"/>
      </w:pPr>
      <w:r>
        <w:rPr>
          <w:rStyle w:val="Caractresdenotedebasdepage"/>
        </w:rPr>
        <w:footnoteRef/>
      </w:r>
      <w:r>
        <w:rPr>
          <w:rFonts w:cs="Times New Roman"/>
        </w:rPr>
        <w:t xml:space="preserve"> </w:t>
      </w:r>
      <w:r>
        <w:rPr>
          <w:rFonts w:cs="Times New Roman"/>
        </w:rPr>
        <w:t xml:space="preserve">Ministère de la Justice, Rapport annuel du ministère public 2019, p. 33.  </w:t>
      </w:r>
    </w:p>
  </w:footnote>
  <w:footnote w:id="22">
    <w:p w14:paraId="27D3D841" w14:textId="77777777" w:rsidR="00F35929" w:rsidRDefault="002B5C50">
      <w:pPr>
        <w:pStyle w:val="FootnoteText"/>
      </w:pPr>
      <w:r>
        <w:rPr>
          <w:rStyle w:val="Caractresdenotedebasdepage"/>
        </w:rPr>
        <w:footnoteRef/>
      </w:r>
      <w:r>
        <w:rPr>
          <w:rFonts w:cs="Times New Roman"/>
        </w:rPr>
        <w:t xml:space="preserve"> Des membres de ce dernier sont d’ailleurs venu témoigner lors du Beauvau de la Sécurité organisé par le ministère de l’Intérieur français, en 2021</w:t>
      </w:r>
    </w:p>
  </w:footnote>
  <w:footnote w:id="23">
    <w:p w14:paraId="051C05B7" w14:textId="77777777" w:rsidR="00F35929" w:rsidRDefault="002B5C50">
      <w:pPr>
        <w:pStyle w:val="FootnoteText"/>
      </w:pPr>
      <w:r>
        <w:rPr>
          <w:rStyle w:val="Caractresdenotedebasdepage"/>
        </w:rPr>
        <w:footnoteRef/>
      </w:r>
      <w:r>
        <w:t xml:space="preserve"> </w:t>
      </w:r>
      <w:hyperlink r:id="rId16">
        <w:r>
          <w:rPr>
            <w:rStyle w:val="Hyperlink"/>
            <w:color w:val="1C1C1C"/>
          </w:rPr>
          <w:t>CNCDH, rapport précité</w:t>
        </w:r>
      </w:hyperlink>
    </w:p>
  </w:footnote>
  <w:footnote w:id="24">
    <w:p w14:paraId="1F13F7A1" w14:textId="77777777" w:rsidR="00F35929" w:rsidRDefault="002B5C50">
      <w:pPr>
        <w:pStyle w:val="FootnoteText"/>
      </w:pPr>
      <w:r>
        <w:rPr>
          <w:rStyle w:val="Caractresdenotedebasdepage"/>
        </w:rPr>
        <w:footnoteRef/>
      </w:r>
      <w:r>
        <w:rPr>
          <w:rFonts w:cs="Times New Roman"/>
        </w:rPr>
        <w:t xml:space="preserve"> </w:t>
      </w:r>
      <w:hyperlink r:id="rId17">
        <w:r>
          <w:rPr>
            <w:rStyle w:val="Hyperlink"/>
            <w:rFonts w:cs="Times New Roman"/>
            <w:color w:val="1C1C1C"/>
          </w:rPr>
          <w:t>https://www.vie-publique.fr/discours/275377-christophe-castaner-08062020-racisme-force-de-lordre-sanctions</w:t>
        </w:r>
      </w:hyperlink>
      <w:r>
        <w:rPr>
          <w:rFonts w:cs="Times New Roman"/>
        </w:rPr>
        <w:t xml:space="preserve"> </w:t>
      </w:r>
    </w:p>
  </w:footnote>
  <w:footnote w:id="25">
    <w:p w14:paraId="5C0F8D2A" w14:textId="77777777" w:rsidR="00F35929" w:rsidRDefault="002B5C50">
      <w:pPr>
        <w:pStyle w:val="FootnoteText"/>
      </w:pPr>
      <w:r>
        <w:rPr>
          <w:rStyle w:val="Caractresdenotedebasdepage"/>
        </w:rPr>
        <w:footnoteRef/>
      </w:r>
      <w:r>
        <w:rPr>
          <w:rFonts w:cs="Times New Roman"/>
        </w:rPr>
        <w:t xml:space="preserve"> </w:t>
      </w:r>
      <w:hyperlink r:id="rId18">
        <w:r>
          <w:rPr>
            <w:rStyle w:val="Hyperlink"/>
            <w:rFonts w:cs="Times New Roman"/>
            <w:color w:val="1C1C1C"/>
          </w:rPr>
          <w:t>https://www.lemonde.fr/politique/article/2020/11/30/igpn-darmanin-pret-a-etudier-toutes-les-pistes-de-reforme_6061704_823448.html</w:t>
        </w:r>
      </w:hyperlink>
      <w:r>
        <w:rPr>
          <w:rFonts w:cs="Times New Roman"/>
        </w:rPr>
        <w:t xml:space="preserve"> </w:t>
      </w:r>
    </w:p>
  </w:footnote>
  <w:footnote w:id="26">
    <w:p w14:paraId="5BA76E81" w14:textId="77777777" w:rsidR="00F35929" w:rsidRDefault="002B5C50">
      <w:pPr>
        <w:pStyle w:val="FootnoteText"/>
      </w:pPr>
      <w:r>
        <w:rPr>
          <w:rStyle w:val="Caractresdenotedebasdepage"/>
        </w:rPr>
        <w:footnoteRef/>
      </w:r>
      <w:r>
        <w:rPr>
          <w:rFonts w:cs="Times New Roman"/>
        </w:rPr>
        <w:t xml:space="preserve"> </w:t>
      </w:r>
      <w:hyperlink r:id="rId19">
        <w:r>
          <w:rPr>
            <w:rStyle w:val="Hyperlink"/>
            <w:rFonts w:cs="Times New Roman"/>
            <w:color w:val="1C1C1C"/>
          </w:rPr>
          <w:t>https://www.huffingtonpost.fr/politique/article/reformer-l-igpn-sans-couper-de-tetes-les-francais-tres-partages-sur-leur-police-sondage-exclusif_173650.html</w:t>
        </w:r>
      </w:hyperlink>
      <w:r>
        <w:rPr>
          <w:rFonts w:cs="Times New Roman"/>
        </w:rPr>
        <w:t xml:space="preserve"> </w:t>
      </w:r>
    </w:p>
  </w:footnote>
  <w:footnote w:id="27">
    <w:p w14:paraId="41473A6F" w14:textId="77777777" w:rsidR="00F35929" w:rsidRDefault="002B5C50">
      <w:pPr>
        <w:pStyle w:val="FootnoteText"/>
      </w:pPr>
      <w:r>
        <w:rPr>
          <w:rStyle w:val="Caractresdenotedebasdepage"/>
        </w:rPr>
        <w:footnoteRef/>
      </w:r>
      <w:r>
        <w:rPr>
          <w:rFonts w:cs="Times New Roman"/>
        </w:rPr>
        <w:t xml:space="preserve"> </w:t>
      </w:r>
      <w:hyperlink r:id="rId20">
        <w:r>
          <w:rPr>
            <w:rStyle w:val="Hyperlink"/>
            <w:rFonts w:cs="Times New Roman"/>
            <w:color w:val="1C1C1C"/>
          </w:rPr>
          <w:t>https://www.francetvinfo.fr/faits-divers/police/reforme-de-l-igpn-jean-castex-pas-defavorable-a-ce-qu-une-personnalite-independante-dirige-la-police-des-polices_4203719.html</w:t>
        </w:r>
      </w:hyperlink>
      <w:r>
        <w:rPr>
          <w:rFonts w:cs="Times New Roman"/>
        </w:rPr>
        <w:t xml:space="preserve"> </w:t>
      </w:r>
    </w:p>
  </w:footnote>
  <w:footnote w:id="28">
    <w:p w14:paraId="6499798E" w14:textId="77777777" w:rsidR="00F35929" w:rsidRDefault="002B5C50">
      <w:pPr>
        <w:pStyle w:val="FootnoteText"/>
      </w:pPr>
      <w:r>
        <w:rPr>
          <w:rStyle w:val="Caractresdenotedebasdepage"/>
        </w:rPr>
        <w:footnoteRef/>
      </w:r>
      <w:r>
        <w:rPr>
          <w:rFonts w:cs="Times New Roman"/>
        </w:rPr>
        <w:t xml:space="preserve"> </w:t>
      </w:r>
      <w:hyperlink r:id="rId21">
        <w:r>
          <w:rPr>
            <w:rStyle w:val="Hyperlink"/>
            <w:rFonts w:cs="Times New Roman"/>
            <w:color w:val="1C1C1C"/>
          </w:rPr>
          <w:t>https://www.interieur.gouv.fr/actualites/grands-dossiers/beauvau-de-securite/beauvau-de-securite-controle-interne</w:t>
        </w:r>
      </w:hyperlink>
      <w:r>
        <w:rPr>
          <w:rFonts w:cs="Times New Roman"/>
        </w:rPr>
        <w:t xml:space="preserve"> </w:t>
      </w:r>
    </w:p>
  </w:footnote>
  <w:footnote w:id="29">
    <w:p w14:paraId="6ED9367E" w14:textId="77777777" w:rsidR="00F35929" w:rsidRDefault="002B5C50">
      <w:pPr>
        <w:pStyle w:val="FootnoteText"/>
      </w:pPr>
      <w:r>
        <w:rPr>
          <w:rStyle w:val="Caractresdenotedebasdepage"/>
        </w:rPr>
        <w:footnoteRef/>
      </w:r>
      <w:r>
        <w:rPr>
          <w:rFonts w:cs="Times New Roman"/>
          <w:color w:val="1C1C1C"/>
        </w:rPr>
        <w:t xml:space="preserve"> </w:t>
      </w:r>
      <w:hyperlink r:id="rId22">
        <w:r>
          <w:rPr>
            <w:rStyle w:val="Hyperlink"/>
            <w:rFonts w:cs="Times New Roman"/>
            <w:color w:val="1C1C1C"/>
          </w:rPr>
          <w:t>https://www.leparisien.fr/faits-divers/gerald-darmanin-nous-allons-creer-500-nouveaux-postes-de-policiers-a-paris-dans-les-deux-prochaines-annees-20-07-2022-CZJYRHSK65CS3O4SGB35MK6H2Q.php?ts=1658336996138</w:t>
        </w:r>
      </w:hyperlink>
      <w:r>
        <w:rPr>
          <w:rFonts w:cs="Times New Roman"/>
          <w:color w:val="1C1C1C"/>
        </w:rPr>
        <w:t xml:space="preserve"> </w:t>
      </w:r>
    </w:p>
  </w:footnote>
  <w:footnote w:id="30">
    <w:p w14:paraId="1E0C6DEC" w14:textId="77777777" w:rsidR="00F35929" w:rsidRDefault="002B5C50">
      <w:pPr>
        <w:pStyle w:val="FootnoteText"/>
      </w:pPr>
      <w:r>
        <w:rPr>
          <w:rStyle w:val="Caractresdenotedebasdepage"/>
        </w:rPr>
        <w:footnoteRef/>
      </w:r>
      <w:r>
        <w:rPr>
          <w:rFonts w:cs="Times New Roman"/>
        </w:rPr>
        <w:t xml:space="preserve"> </w:t>
      </w:r>
      <w:r>
        <w:rPr>
          <w:rFonts w:cs="Times New Roman"/>
          <w:color w:val="1C1C1C"/>
        </w:rPr>
        <w:t xml:space="preserve">Pour reprendre le terme du journaliste indépendant David Dufresne, </w:t>
      </w:r>
      <w:hyperlink r:id="rId23" w:anchor="__RefHeading___Toc256000097" w:history="1">
        <w:r>
          <w:rPr>
            <w:rStyle w:val="Hyperlink"/>
            <w:rFonts w:cs="Times New Roman"/>
            <w:color w:val="1C1C1C"/>
          </w:rPr>
          <w:t>auditionné par l’Assemblée nationale</w:t>
        </w:r>
      </w:hyperlink>
      <w:r>
        <w:rPr>
          <w:rFonts w:cs="Times New Roman"/>
          <w:color w:val="1C1C1C"/>
        </w:rPr>
        <w:t>.</w:t>
      </w:r>
    </w:p>
  </w:footnote>
  <w:footnote w:id="31">
    <w:p w14:paraId="5DE1AACF" w14:textId="77777777" w:rsidR="00F35929" w:rsidRDefault="002B5C50">
      <w:pPr>
        <w:pStyle w:val="FootnoteText"/>
      </w:pPr>
      <w:r>
        <w:rPr>
          <w:rStyle w:val="Caractresdenotedebasdepage"/>
        </w:rPr>
        <w:footnoteRef/>
      </w:r>
      <w:r>
        <w:rPr>
          <w:rFonts w:cs="Times New Roman"/>
        </w:rPr>
        <w:t xml:space="preserve"> </w:t>
      </w:r>
      <w:hyperlink r:id="rId24">
        <w:r>
          <w:rPr>
            <w:rStyle w:val="Hyperlink"/>
            <w:rFonts w:cs="Times New Roman"/>
            <w:color w:val="1C1C1C"/>
          </w:rPr>
          <w:t>Echanges avec la France, 23 octobre 2024 (regarder à 8’40’’)</w:t>
        </w:r>
      </w:hyperlink>
    </w:p>
  </w:footnote>
  <w:footnote w:id="32">
    <w:p w14:paraId="3562AA41" w14:textId="77777777" w:rsidR="00F35929" w:rsidRDefault="002B5C50">
      <w:pPr>
        <w:pStyle w:val="FootnoteText"/>
      </w:pPr>
      <w:r>
        <w:rPr>
          <w:rStyle w:val="Caractresdenotedebasdepage"/>
        </w:rPr>
        <w:footnoteRef/>
      </w:r>
      <w:r>
        <w:rPr>
          <w:rFonts w:cs="Times New Roman"/>
        </w:rPr>
        <w:t xml:space="preserve"> </w:t>
      </w:r>
      <w:r>
        <w:rPr>
          <w:rFonts w:cs="Times New Roman"/>
          <w:color w:val="1C1C1C"/>
        </w:rPr>
        <w:t xml:space="preserve">Sur ce point nous renvoyons à notre article publié en décembre 2024 : </w:t>
      </w:r>
      <w:hyperlink r:id="rId25">
        <w:r>
          <w:rPr>
            <w:rStyle w:val="Hyperlink"/>
            <w:rFonts w:cs="Times New Roman"/>
            <w:color w:val="1C1C1C"/>
          </w:rPr>
          <w:t>https://www.flagrant-deni.fr/igpn-la-com-passe-le-personnel-trepasse/</w:t>
        </w:r>
      </w:hyperlink>
      <w:r>
        <w:rPr>
          <w:rFonts w:cs="Times New Roman"/>
        </w:rPr>
        <w:t xml:space="preserve"> </w:t>
      </w:r>
    </w:p>
  </w:footnote>
  <w:footnote w:id="33">
    <w:p w14:paraId="252A5E66" w14:textId="77777777" w:rsidR="00F35929" w:rsidRDefault="002B5C50">
      <w:pPr>
        <w:pStyle w:val="FootnoteText"/>
      </w:pPr>
      <w:r>
        <w:rPr>
          <w:rStyle w:val="Caractresdenotedebasdepage"/>
        </w:rPr>
        <w:footnoteRef/>
      </w:r>
      <w:r>
        <w:t xml:space="preserve"> Décret du 19 février 2025 portant nomination d'un directeur des services actifs de la police nationale, chef de </w:t>
      </w:r>
      <w:r>
        <w:t>l'inspection générale de la police nationale</w:t>
      </w:r>
    </w:p>
  </w:footnote>
  <w:footnote w:id="34">
    <w:p w14:paraId="65744046" w14:textId="77777777" w:rsidR="00F35929" w:rsidRDefault="002B5C50">
      <w:pPr>
        <w:pStyle w:val="FootnoteText"/>
      </w:pPr>
      <w:r>
        <w:rPr>
          <w:rStyle w:val="Caractresdenotedebasdepage"/>
        </w:rPr>
        <w:footnoteRef/>
      </w:r>
      <w:r>
        <w:rPr>
          <w:rFonts w:cs="Times New Roman"/>
        </w:rPr>
        <w:t xml:space="preserve"> IGPN, rapport d’activités 2021</w:t>
      </w:r>
    </w:p>
  </w:footnote>
  <w:footnote w:id="35">
    <w:p w14:paraId="37D2B9BD" w14:textId="77777777" w:rsidR="00F35929" w:rsidRDefault="002B5C50">
      <w:pPr>
        <w:pStyle w:val="FootnoteText"/>
      </w:pPr>
      <w:r>
        <w:rPr>
          <w:rStyle w:val="Caractresdenotedebasdepage"/>
        </w:rPr>
        <w:footnoteRef/>
      </w:r>
      <w:r>
        <w:t xml:space="preserve"> Pour plus détails sur ces données, voir notre annexe en infra</w:t>
      </w:r>
    </w:p>
  </w:footnote>
  <w:footnote w:id="36">
    <w:p w14:paraId="2A2C4840" w14:textId="77777777" w:rsidR="00F35929" w:rsidRDefault="002B5C50">
      <w:pPr>
        <w:pStyle w:val="FootnoteText"/>
      </w:pPr>
      <w:r>
        <w:rPr>
          <w:rStyle w:val="Caractresdenotedebasdepage"/>
        </w:rPr>
        <w:footnoteRef/>
      </w:r>
      <w:r>
        <w:rPr>
          <w:rFonts w:cs="Times New Roman"/>
        </w:rPr>
        <w:t xml:space="preserve"> </w:t>
      </w:r>
      <w:proofErr w:type="gramStart"/>
      <w:r>
        <w:rPr>
          <w:rFonts w:cs="Times New Roman"/>
        </w:rPr>
        <w:t>Suite à une</w:t>
      </w:r>
      <w:proofErr w:type="gramEnd"/>
      <w:r>
        <w:rPr>
          <w:rFonts w:cs="Times New Roman"/>
        </w:rPr>
        <w:t xml:space="preserve"> demande de précisions de Flagrant déni sur ce point, la direction générale de la gendarmerie nationale a répondu : « </w:t>
      </w:r>
      <w:r>
        <w:rPr>
          <w:rFonts w:cs="Times New Roman"/>
          <w:i/>
          <w:iCs/>
        </w:rPr>
        <w:t>nous ne nous prononcerons pas</w:t>
      </w:r>
      <w:r>
        <w:rPr>
          <w:rFonts w:cs="Times New Roman"/>
        </w:rPr>
        <w:t xml:space="preserve"> ». </w:t>
      </w:r>
    </w:p>
  </w:footnote>
  <w:footnote w:id="37">
    <w:p w14:paraId="7FDC88C0" w14:textId="77777777" w:rsidR="00F35929" w:rsidRDefault="002B5C50">
      <w:pPr>
        <w:pStyle w:val="FootnoteText"/>
      </w:pPr>
      <w:r>
        <w:rPr>
          <w:rStyle w:val="Caractresdenotedebasdepage"/>
        </w:rPr>
        <w:footnoteRef/>
      </w:r>
      <w:r>
        <w:rPr>
          <w:rFonts w:cs="Times New Roman"/>
        </w:rPr>
        <w:t xml:space="preserve"> </w:t>
      </w:r>
      <w:r>
        <w:rPr>
          <w:rFonts w:cs="Times New Roman"/>
          <w:color w:val="1C1C1C"/>
        </w:rPr>
        <w:t xml:space="preserve">Nous renvoyons à la </w:t>
      </w:r>
      <w:hyperlink r:id="rId26">
        <w:r>
          <w:rPr>
            <w:rStyle w:val="Hyperlink"/>
            <w:rFonts w:cs="Times New Roman"/>
            <w:color w:val="1C1C1C"/>
          </w:rPr>
          <w:t>note adressée au Comité des droits de l’homme</w:t>
        </w:r>
      </w:hyperlink>
      <w:r>
        <w:rPr>
          <w:rFonts w:cs="Times New Roman"/>
          <w:color w:val="1C1C1C"/>
        </w:rPr>
        <w:t>, n°II.2.</w:t>
      </w:r>
      <w:r>
        <w:rPr>
          <w:rFonts w:cs="Times New Roman"/>
          <w:shd w:val="clear" w:color="auto" w:fill="FFFF00"/>
        </w:rPr>
        <w:t xml:space="preserve"> </w:t>
      </w:r>
    </w:p>
  </w:footnote>
  <w:footnote w:id="38">
    <w:p w14:paraId="4A773538" w14:textId="77777777" w:rsidR="00F35929" w:rsidRDefault="002B5C50">
      <w:pPr>
        <w:pStyle w:val="FootnoteText"/>
      </w:pPr>
      <w:r>
        <w:rPr>
          <w:rStyle w:val="Caractresdenotedebasdepage"/>
        </w:rPr>
        <w:footnoteRef/>
      </w:r>
      <w:r>
        <w:rPr>
          <w:rFonts w:cs="Times New Roman"/>
        </w:rPr>
        <w:t xml:space="preserve"> </w:t>
      </w:r>
      <w:r>
        <w:rPr>
          <w:rFonts w:cs="Times New Roman"/>
        </w:rPr>
        <w:t>IGPN, Rappel des principes de saisine judiciaire de l’IGPN, 2022, document obtenu par Flagrant déni et joint à la présente soumission</w:t>
      </w:r>
    </w:p>
  </w:footnote>
  <w:footnote w:id="39">
    <w:p w14:paraId="5A418EC4" w14:textId="77777777" w:rsidR="00F35929" w:rsidRDefault="002B5C50">
      <w:pPr>
        <w:pStyle w:val="FootnoteText"/>
      </w:pPr>
      <w:r>
        <w:rPr>
          <w:rStyle w:val="Caractresdenotedebasdepage"/>
        </w:rPr>
        <w:footnoteRef/>
      </w:r>
      <w:r>
        <w:rPr>
          <w:rFonts w:cs="Times New Roman"/>
        </w:rPr>
        <w:t xml:space="preserve"> Entretien avec Flagrant déni, 2023</w:t>
      </w:r>
    </w:p>
  </w:footnote>
  <w:footnote w:id="40">
    <w:p w14:paraId="200EE4D9" w14:textId="77777777" w:rsidR="00F35929" w:rsidRDefault="002B5C50">
      <w:pPr>
        <w:pStyle w:val="FootnoteText"/>
      </w:pPr>
      <w:r>
        <w:rPr>
          <w:rStyle w:val="Caractresdenotedebasdepage"/>
        </w:rPr>
        <w:footnoteRef/>
      </w:r>
      <w:r>
        <w:rPr>
          <w:rFonts w:cs="Times New Roman"/>
        </w:rPr>
        <w:t xml:space="preserve"> Source B, entretien avec Flagrant déni, 2025</w:t>
      </w:r>
    </w:p>
  </w:footnote>
  <w:footnote w:id="41">
    <w:p w14:paraId="766E2508" w14:textId="77777777" w:rsidR="00F35929" w:rsidRDefault="002B5C50">
      <w:pPr>
        <w:pStyle w:val="FootnoteText"/>
      </w:pPr>
      <w:r>
        <w:rPr>
          <w:rStyle w:val="Caractresdenotedebasdepage"/>
        </w:rPr>
        <w:footnoteRef/>
      </w:r>
      <w:r>
        <w:rPr>
          <w:rFonts w:cs="Times New Roman"/>
        </w:rPr>
        <w:t xml:space="preserve"> </w:t>
      </w:r>
      <w:r>
        <w:rPr>
          <w:rFonts w:cs="Times New Roman"/>
        </w:rPr>
        <w:t>https://www.flagrant-deni.fr/les-chiffres-de-ligpn-un-iceberg-des-violences-policieres/</w:t>
      </w:r>
    </w:p>
  </w:footnote>
  <w:footnote w:id="42">
    <w:p w14:paraId="7A8F99B1" w14:textId="77777777" w:rsidR="00F35929" w:rsidRDefault="002B5C50">
      <w:pPr>
        <w:pStyle w:val="FootnoteText"/>
      </w:pPr>
      <w:r>
        <w:rPr>
          <w:rStyle w:val="Caractresdenotedebasdepage"/>
        </w:rPr>
        <w:footnoteRef/>
      </w:r>
      <w:r>
        <w:rPr>
          <w:rFonts w:cs="Times New Roman"/>
        </w:rPr>
        <w:t xml:space="preserve"> https://www.flagrant-deni.fr/les-chiffres-de-ligpn-un-iceberg-des-violences-policieres/</w:t>
      </w:r>
    </w:p>
  </w:footnote>
  <w:footnote w:id="43">
    <w:p w14:paraId="720809D1" w14:textId="77777777" w:rsidR="00F35929" w:rsidRDefault="002B5C50">
      <w:pPr>
        <w:pStyle w:val="FootnoteText"/>
      </w:pPr>
      <w:r>
        <w:rPr>
          <w:rStyle w:val="Caractresdenotedebasdepage"/>
        </w:rPr>
        <w:footnoteRef/>
      </w:r>
      <w:r>
        <w:rPr>
          <w:rFonts w:cs="Times New Roman"/>
        </w:rPr>
        <w:t xml:space="preserve"> Sur les statistiques disponibles, voir notre annexe infra</w:t>
      </w:r>
    </w:p>
  </w:footnote>
  <w:footnote w:id="44">
    <w:p w14:paraId="396D9422" w14:textId="77777777" w:rsidR="00F35929" w:rsidRDefault="002B5C50">
      <w:pPr>
        <w:pStyle w:val="FootnoteText"/>
      </w:pPr>
      <w:r>
        <w:rPr>
          <w:rStyle w:val="Caractresdenotedebasdepage"/>
        </w:rPr>
        <w:footnoteRef/>
      </w:r>
      <w:r>
        <w:rPr>
          <w:rFonts w:cs="Times New Roman"/>
        </w:rPr>
        <w:t xml:space="preserve"> La présente analyse se fonde sur les sources publiques (essentiellement presse et rapports annuels de l’IGPN). Elle ne comptabilise que les cas impliquant des policiers nationaux, et concerne les premières phases de l’enquête (les plus systématiquement documentées dans la presse). Par exemple, si un juge d’instruction ultérieurement saisi par une plainte de la famille saisit à son tour l’IGPN, le cas n’apparaît pas dans la base de données. Dans de très nombreux cas, les données disponibles ne précisent pas</w:t>
      </w:r>
      <w:r>
        <w:rPr>
          <w:rFonts w:cs="Times New Roman"/>
        </w:rPr>
        <w:t xml:space="preserve"> si l’IGPN a été saisie, ou pas. </w:t>
      </w:r>
      <w:r>
        <w:rPr>
          <w:rStyle w:val="Emphasis"/>
          <w:rFonts w:cs="Times New Roman"/>
          <w:i w:val="0"/>
        </w:rPr>
        <w:t xml:space="preserve">Flagrant déni utilise le terme d’« homicides policiers », qui permet également de faire le parallèle avec l’expression « violences policières ». En droit, le terme homicide est neutre : il désigne le fait de donner la mort, que ce soit intentionnel (meurtre) ou pas (homicide involontaire). Le terme renvoie également à la jurisprudence de la CEDH, qui fait peser une présomption de responsabilité sur les autorités en cas de décès intervenu alors que la victime était aux mains </w:t>
      </w:r>
      <w:r>
        <w:rPr>
          <w:rStyle w:val="Emphasis"/>
          <w:rFonts w:cs="Times New Roman"/>
          <w:i w:val="0"/>
        </w:rPr>
        <w:t xml:space="preserve">de la police (CEDH, 24 mars 2011, GC, </w:t>
      </w:r>
      <w:r>
        <w:rPr>
          <w:rStyle w:val="Emphasis"/>
          <w:rFonts w:cs="Times New Roman"/>
        </w:rPr>
        <w:t xml:space="preserve">Giuliano et </w:t>
      </w:r>
      <w:proofErr w:type="spellStart"/>
      <w:r>
        <w:rPr>
          <w:rStyle w:val="Emphasis"/>
          <w:rFonts w:cs="Times New Roman"/>
        </w:rPr>
        <w:t>Gaggio</w:t>
      </w:r>
      <w:proofErr w:type="spellEnd"/>
      <w:r>
        <w:rPr>
          <w:rStyle w:val="Emphasis"/>
          <w:rFonts w:cs="Times New Roman"/>
          <w:i w:val="0"/>
        </w:rPr>
        <w:t xml:space="preserve">, §181). </w:t>
      </w:r>
      <w:r>
        <w:rPr>
          <w:rStyle w:val="Emphasis"/>
          <w:rFonts w:cs="Times New Roman"/>
          <w:i w:val="0"/>
          <w:color w:val="1C1C1C"/>
        </w:rPr>
        <w:t>Enfin, s</w:t>
      </w:r>
      <w:r>
        <w:rPr>
          <w:rFonts w:cs="Times New Roman"/>
          <w:color w:val="1C1C1C"/>
        </w:rPr>
        <w:t xml:space="preserve">ur l’ensemble des cas d’homicides policiers recensés, voir la publication du site </w:t>
      </w:r>
      <w:proofErr w:type="spellStart"/>
      <w:r>
        <w:rPr>
          <w:rFonts w:cs="Times New Roman"/>
          <w:color w:val="1C1C1C"/>
        </w:rPr>
        <w:t>Basta.media</w:t>
      </w:r>
      <w:proofErr w:type="spellEnd"/>
      <w:r>
        <w:rPr>
          <w:rFonts w:cs="Times New Roman"/>
          <w:color w:val="1C1C1C"/>
        </w:rPr>
        <w:t xml:space="preserve"> : </w:t>
      </w:r>
      <w:hyperlink r:id="rId27">
        <w:r>
          <w:rPr>
            <w:rStyle w:val="Hyperlink"/>
            <w:rFonts w:cs="Times New Roman"/>
            <w:color w:val="1C1C1C"/>
          </w:rPr>
          <w:t>https://bastamag.net/webdocs/police/</w:t>
        </w:r>
      </w:hyperlink>
      <w:r>
        <w:rPr>
          <w:rFonts w:cs="Times New Roman"/>
        </w:rPr>
        <w:t xml:space="preserve"> </w:t>
      </w:r>
    </w:p>
  </w:footnote>
  <w:footnote w:id="45">
    <w:p w14:paraId="3BD8A3E9" w14:textId="77777777" w:rsidR="00F35929" w:rsidRDefault="002B5C50">
      <w:pPr>
        <w:pStyle w:val="FootnoteText"/>
      </w:pPr>
      <w:r>
        <w:rPr>
          <w:rStyle w:val="Caractresdenotedebasdepage"/>
        </w:rPr>
        <w:footnoteRef/>
      </w:r>
      <w:r>
        <w:rPr>
          <w:rStyle w:val="Hyperlink"/>
          <w:rFonts w:cs="Times New Roman"/>
        </w:rPr>
        <w:t xml:space="preserve"> </w:t>
      </w:r>
      <w:hyperlink r:id="rId28">
        <w:r>
          <w:rPr>
            <w:rStyle w:val="Hyperlink"/>
            <w:rFonts w:cs="Times New Roman"/>
            <w:color w:val="1C1C1C"/>
          </w:rPr>
          <w:t>https://www.lefigaro.fr/nantes/pres-de-nantes-deux-jeunes-meurent-dans-une-sortie-de-route-apres-une-course-poursuite-avec-la-police-20230125</w:t>
        </w:r>
      </w:hyperlink>
      <w:r>
        <w:rPr>
          <w:rFonts w:cs="Times New Roman"/>
        </w:rPr>
        <w:t xml:space="preserve"> </w:t>
      </w:r>
    </w:p>
  </w:footnote>
  <w:footnote w:id="46">
    <w:p w14:paraId="0114E708" w14:textId="77777777" w:rsidR="00F35929" w:rsidRDefault="002B5C50">
      <w:pPr>
        <w:pStyle w:val="FootnoteText"/>
      </w:pPr>
      <w:r>
        <w:rPr>
          <w:rStyle w:val="Caractresdenotedebasdepage"/>
        </w:rPr>
        <w:footnoteRef/>
      </w:r>
      <w:r>
        <w:rPr>
          <w:rFonts w:cs="Times New Roman"/>
        </w:rPr>
        <w:t xml:space="preserve"> </w:t>
      </w:r>
      <w:hyperlink r:id="rId29">
        <w:r>
          <w:rPr>
            <w:rStyle w:val="Hyperlink"/>
            <w:rFonts w:cs="Times New Roman"/>
            <w:color w:val="1C1C1C"/>
          </w:rPr>
          <w:t>https://94.citoyens.com/2023/a-paris-une-course-poursuite-mortelle-avec-la-police,14-11-2023.html</w:t>
        </w:r>
      </w:hyperlink>
      <w:r>
        <w:rPr>
          <w:rFonts w:cs="Times New Roman"/>
        </w:rPr>
        <w:t xml:space="preserve"> </w:t>
      </w:r>
    </w:p>
  </w:footnote>
  <w:footnote w:id="47">
    <w:p w14:paraId="19EFD907" w14:textId="77777777" w:rsidR="00F35929" w:rsidRDefault="002B5C50">
      <w:pPr>
        <w:pStyle w:val="FootnoteText"/>
      </w:pPr>
      <w:r>
        <w:rPr>
          <w:rStyle w:val="Caractresdenotedebasdepage"/>
        </w:rPr>
        <w:footnoteRef/>
      </w:r>
      <w:r>
        <w:rPr>
          <w:rFonts w:cs="Times New Roman"/>
        </w:rPr>
        <w:t xml:space="preserve"> </w:t>
      </w:r>
      <w:hyperlink r:id="rId30">
        <w:r>
          <w:rPr>
            <w:rStyle w:val="Hyperlink"/>
            <w:rFonts w:cs="Times New Roman"/>
            <w:color w:val="1C1C1C"/>
          </w:rPr>
          <w:t>https://www.leparisien.fr/seine-saint-denis-93/deux-morts-dans-la-punto-qui-fuyait-la-police-03-06-2014-3892079.php</w:t>
        </w:r>
      </w:hyperlink>
      <w:r>
        <w:rPr>
          <w:rFonts w:cs="Times New Roman"/>
        </w:rPr>
        <w:t xml:space="preserve"> </w:t>
      </w:r>
    </w:p>
  </w:footnote>
  <w:footnote w:id="48">
    <w:p w14:paraId="2165A116" w14:textId="77777777" w:rsidR="00F35929" w:rsidRDefault="002B5C50">
      <w:pPr>
        <w:pStyle w:val="FootnoteText"/>
      </w:pPr>
      <w:r>
        <w:rPr>
          <w:rStyle w:val="Caractresdenotedebasdepage"/>
        </w:rPr>
        <w:footnoteRef/>
      </w:r>
      <w:r>
        <w:t xml:space="preserve"> </w:t>
      </w:r>
      <w:r>
        <w:rPr>
          <w:color w:val="1C1C1C"/>
        </w:rPr>
        <w:t xml:space="preserve">Cette « technique », qui consiste pour les policiers poursuivant un scooter à percuter ce dernier pour le stopper est interdite en France : </w:t>
      </w:r>
      <w:hyperlink r:id="rId31">
        <w:r>
          <w:rPr>
            <w:rStyle w:val="Hyperlink"/>
            <w:color w:val="1C1C1C"/>
          </w:rPr>
          <w:t>https://questions.assemblee-nationale.fr/q16/16-8692QE.htm</w:t>
        </w:r>
      </w:hyperlink>
      <w:r>
        <w:t xml:space="preserve"> </w:t>
      </w:r>
    </w:p>
  </w:footnote>
  <w:footnote w:id="49">
    <w:p w14:paraId="52E1892B" w14:textId="77777777" w:rsidR="00F35929" w:rsidRDefault="002B5C50">
      <w:pPr>
        <w:pStyle w:val="FootnoteText"/>
      </w:pPr>
      <w:r>
        <w:rPr>
          <w:rStyle w:val="Caractresdenotedebasdepage"/>
        </w:rPr>
        <w:footnoteRef/>
      </w:r>
      <w:hyperlink r:id="rId32">
        <w:r>
          <w:rPr>
            <w:rStyle w:val="Hyperlink"/>
            <w:rFonts w:cs="Times New Roman"/>
            <w:color w:val="1C1C1C"/>
          </w:rPr>
          <w:t>https://www.flagrant-deni.fr/mort-de-mehdi-une-non-enquete-pour-un-non-lieu/</w:t>
        </w:r>
      </w:hyperlink>
      <w:r>
        <w:rPr>
          <w:rFonts w:cs="Times New Roman"/>
        </w:rPr>
        <w:t xml:space="preserve"> </w:t>
      </w:r>
    </w:p>
  </w:footnote>
  <w:footnote w:id="50">
    <w:p w14:paraId="31581359" w14:textId="77777777" w:rsidR="00F35929" w:rsidRDefault="002B5C50">
      <w:pPr>
        <w:pStyle w:val="FootnoteText"/>
      </w:pPr>
      <w:r>
        <w:rPr>
          <w:rStyle w:val="Caractresdenotedebasdepage"/>
        </w:rPr>
        <w:footnoteRef/>
      </w:r>
      <w:r>
        <w:rPr>
          <w:rFonts w:cs="Times New Roman"/>
        </w:rPr>
        <w:t xml:space="preserve"> </w:t>
      </w:r>
      <w:hyperlink r:id="rId33">
        <w:r>
          <w:rPr>
            <w:rStyle w:val="Hyperlink"/>
            <w:rFonts w:cs="Times New Roman"/>
            <w:color w:val="1C1C1C"/>
          </w:rPr>
          <w:t>https://www.leparisien.fr/seine-saint-denis-93/saint-denis-la-famille-de-romain-mort-au-commissariat-depose-plainte-pour-non-assistance-a-personne-en-danger-04-05-2020-8310453.php</w:t>
        </w:r>
      </w:hyperlink>
      <w:r>
        <w:rPr>
          <w:rFonts w:cs="Times New Roman"/>
        </w:rPr>
        <w:t xml:space="preserve"> </w:t>
      </w:r>
    </w:p>
  </w:footnote>
  <w:footnote w:id="51">
    <w:p w14:paraId="1AEAFB86" w14:textId="77777777" w:rsidR="00F35929" w:rsidRDefault="002B5C50">
      <w:pPr>
        <w:pStyle w:val="FootnoteText"/>
      </w:pPr>
      <w:r>
        <w:rPr>
          <w:rStyle w:val="Caractresdenotedebasdepage"/>
        </w:rPr>
        <w:footnoteRef/>
      </w:r>
      <w:r>
        <w:rPr>
          <w:rFonts w:cs="Times New Roman"/>
        </w:rPr>
        <w:t xml:space="preserve"> </w:t>
      </w:r>
      <w:hyperlink r:id="rId34">
        <w:r>
          <w:rPr>
            <w:rStyle w:val="Hyperlink"/>
            <w:rFonts w:cs="Times New Roman"/>
            <w:color w:val="1C1C1C"/>
          </w:rPr>
          <w:t>https://www.lefigaro.fr/faits-divers/une-femme-sans-abri-decede-au-commissariat-en-moselle-20240709</w:t>
        </w:r>
      </w:hyperlink>
      <w:r>
        <w:rPr>
          <w:rFonts w:cs="Times New Roman"/>
        </w:rPr>
        <w:t xml:space="preserve"> </w:t>
      </w:r>
    </w:p>
  </w:footnote>
  <w:footnote w:id="52">
    <w:p w14:paraId="43C01461" w14:textId="77777777" w:rsidR="00F35929" w:rsidRDefault="002B5C50">
      <w:pPr>
        <w:pStyle w:val="FootnoteText"/>
      </w:pPr>
      <w:r>
        <w:rPr>
          <w:rStyle w:val="Caractresdenotedebasdepage"/>
        </w:rPr>
        <w:footnoteRef/>
      </w:r>
      <w:r>
        <w:rPr>
          <w:rFonts w:cs="Times New Roman"/>
        </w:rPr>
        <w:t xml:space="preserve"> </w:t>
      </w:r>
      <w:hyperlink r:id="rId35">
        <w:r>
          <w:rPr>
            <w:rStyle w:val="Hyperlink"/>
            <w:rFonts w:cs="Times New Roman"/>
            <w:color w:val="1C1C1C"/>
          </w:rPr>
          <w:t>https://www.ladepeche.fr/article/2007/06/16/4608-bordeaux-deces-homme-cellule-degrisement-commissariat.html</w:t>
        </w:r>
      </w:hyperlink>
      <w:r>
        <w:rPr>
          <w:rFonts w:cs="Times New Roman"/>
        </w:rPr>
        <w:t xml:space="preserve"> </w:t>
      </w:r>
    </w:p>
  </w:footnote>
  <w:footnote w:id="53">
    <w:p w14:paraId="3ADA98C4" w14:textId="77777777" w:rsidR="00F35929" w:rsidRDefault="002B5C50">
      <w:pPr>
        <w:pStyle w:val="FootnoteText"/>
      </w:pPr>
      <w:r>
        <w:rPr>
          <w:rStyle w:val="Caractresdenotedebasdepage"/>
        </w:rPr>
        <w:footnoteRef/>
      </w:r>
      <w:r>
        <w:rPr>
          <w:rFonts w:cs="Times New Roman"/>
        </w:rPr>
        <w:t xml:space="preserve"> </w:t>
      </w:r>
      <w:hyperlink r:id="rId36">
        <w:r>
          <w:rPr>
            <w:rStyle w:val="Hyperlink"/>
            <w:rFonts w:cs="Times New Roman"/>
            <w:color w:val="1C1C1C"/>
          </w:rPr>
          <w:t>https://www.liberation.fr/societe/2001/12/28/la-mort-apres-le-braquage_388734/</w:t>
        </w:r>
      </w:hyperlink>
      <w:r>
        <w:rPr>
          <w:rFonts w:cs="Times New Roman"/>
        </w:rPr>
        <w:t xml:space="preserve"> </w:t>
      </w:r>
    </w:p>
  </w:footnote>
  <w:footnote w:id="54">
    <w:p w14:paraId="6F2374A3" w14:textId="77777777" w:rsidR="00F35929" w:rsidRDefault="002B5C50">
      <w:pPr>
        <w:pStyle w:val="FootnoteText"/>
      </w:pPr>
      <w:r>
        <w:rPr>
          <w:rStyle w:val="Caractresdenotedebasdepage"/>
        </w:rPr>
        <w:footnoteRef/>
      </w:r>
      <w:r>
        <w:rPr>
          <w:rFonts w:cs="Times New Roman"/>
        </w:rPr>
        <w:t xml:space="preserve"> </w:t>
      </w:r>
      <w:hyperlink r:id="rId37">
        <w:r>
          <w:rPr>
            <w:rStyle w:val="Hyperlink"/>
            <w:rFonts w:cs="Times New Roman"/>
            <w:color w:val="1C1C1C"/>
          </w:rPr>
          <w:t>https://www.lanouvellerepublique.fr/poitiers/pour-moi-il-etait-en-train-de-planter-mon-collegue-accuse-d-un-tir-mortel-en-2007-un-policier-poitevin-aux-assises</w:t>
        </w:r>
      </w:hyperlink>
      <w:r>
        <w:rPr>
          <w:rFonts w:cs="Times New Roman"/>
        </w:rPr>
        <w:t xml:space="preserve"> </w:t>
      </w:r>
    </w:p>
  </w:footnote>
  <w:footnote w:id="55">
    <w:p w14:paraId="3E3E7E76" w14:textId="77777777" w:rsidR="00F35929" w:rsidRDefault="002B5C50">
      <w:pPr>
        <w:pStyle w:val="FootnoteText"/>
      </w:pPr>
      <w:r>
        <w:rPr>
          <w:rStyle w:val="Caractresdenotedebasdepage"/>
        </w:rPr>
        <w:footnoteRef/>
      </w:r>
      <w:r>
        <w:rPr>
          <w:rFonts w:cs="Times New Roman"/>
        </w:rPr>
        <w:t xml:space="preserve"> </w:t>
      </w:r>
      <w:hyperlink r:id="rId38">
        <w:r>
          <w:rPr>
            <w:rStyle w:val="Hyperlink"/>
            <w:rFonts w:cs="Times New Roman"/>
            <w:color w:val="1C1C1C"/>
          </w:rPr>
          <w:t>https://la1ere.francetvinfo.fr/guyane/2013/12/20/affaire-batista-da-silva-une-information-judiciaire-contre-x-est-ouverte-95809.html</w:t>
        </w:r>
      </w:hyperlink>
      <w:r>
        <w:rPr>
          <w:rFonts w:cs="Times New Roman"/>
        </w:rPr>
        <w:t xml:space="preserve"> </w:t>
      </w:r>
    </w:p>
  </w:footnote>
  <w:footnote w:id="56">
    <w:p w14:paraId="7E864869" w14:textId="77777777" w:rsidR="00F35929" w:rsidRDefault="002B5C50">
      <w:pPr>
        <w:pStyle w:val="FootnoteText"/>
      </w:pPr>
      <w:r>
        <w:rPr>
          <w:rStyle w:val="Caractresdenotedebasdepage"/>
        </w:rPr>
        <w:footnoteRef/>
      </w:r>
      <w:r>
        <w:rPr>
          <w:rFonts w:cs="Times New Roman"/>
        </w:rPr>
        <w:t xml:space="preserve"> </w:t>
      </w:r>
      <w:hyperlink r:id="rId39">
        <w:r>
          <w:rPr>
            <w:rStyle w:val="Hyperlink"/>
            <w:rFonts w:cs="Times New Roman"/>
            <w:color w:val="1C1C1C"/>
          </w:rPr>
          <w:t>https://www.zinfos974.com/tentative-de-meurtre-a-la-bretagne-le-point-sur-les-3-enquetes-ouvertes/</w:t>
        </w:r>
      </w:hyperlink>
      <w:r>
        <w:rPr>
          <w:rFonts w:cs="Times New Roman"/>
        </w:rPr>
        <w:t xml:space="preserve"> </w:t>
      </w:r>
    </w:p>
  </w:footnote>
  <w:footnote w:id="57">
    <w:p w14:paraId="0094D24B" w14:textId="77777777" w:rsidR="00F35929" w:rsidRDefault="002B5C50">
      <w:pPr>
        <w:pStyle w:val="FootnoteText"/>
      </w:pPr>
      <w:r>
        <w:rPr>
          <w:rStyle w:val="Caractresdenotedebasdepage"/>
        </w:rPr>
        <w:footnoteRef/>
      </w:r>
      <w:r>
        <w:rPr>
          <w:rFonts w:cs="Times New Roman"/>
        </w:rPr>
        <w:t xml:space="preserve"> Dans le protocole de saisine adressé à la Chancellerie (document joint infra), l’IGPN indique qu’« </w:t>
      </w:r>
      <w:r>
        <w:rPr>
          <w:rFonts w:cs="Times New Roman"/>
          <w:i/>
          <w:iCs/>
        </w:rPr>
        <w:t>il lui est quasiment impossible matériellement de répondre à la demande de l’autorité judiciaire qui entendrait la saisir sur les autres territoires outre-mer (Réunion, Mayotte, Nouvelle-Calédonie et Polynésie)</w:t>
      </w:r>
      <w:r>
        <w:rPr>
          <w:rFonts w:cs="Times New Roman"/>
        </w:rPr>
        <w:t> ».</w:t>
      </w:r>
    </w:p>
  </w:footnote>
  <w:footnote w:id="58">
    <w:p w14:paraId="68543B52" w14:textId="77777777" w:rsidR="00F35929" w:rsidRDefault="002B5C50">
      <w:pPr>
        <w:pStyle w:val="FootnoteText"/>
      </w:pPr>
      <w:r>
        <w:rPr>
          <w:rStyle w:val="Caractresdenotedebasdepage"/>
        </w:rPr>
        <w:footnoteRef/>
      </w:r>
      <w:r>
        <w:rPr>
          <w:rFonts w:cs="Times New Roman"/>
        </w:rPr>
        <w:t xml:space="preserve"> </w:t>
      </w:r>
      <w:r>
        <w:rPr>
          <w:rFonts w:cs="Times New Roman"/>
        </w:rPr>
        <w:t xml:space="preserve">Frédéric </w:t>
      </w:r>
      <w:proofErr w:type="spellStart"/>
      <w:r>
        <w:rPr>
          <w:rFonts w:cs="Times New Roman"/>
        </w:rPr>
        <w:t>Ocqueteau</w:t>
      </w:r>
      <w:proofErr w:type="spellEnd"/>
      <w:r>
        <w:rPr>
          <w:rFonts w:cs="Times New Roman"/>
        </w:rPr>
        <w:t>, « Qu’est-ce qu’une police déontologique ? », Revue internationale de criminologie et de police technique et scientifique, 2016, n°3</w:t>
      </w:r>
    </w:p>
  </w:footnote>
  <w:footnote w:id="59">
    <w:p w14:paraId="02749BD9" w14:textId="77777777" w:rsidR="00F35929" w:rsidRDefault="002B5C50">
      <w:pPr>
        <w:pStyle w:val="FootnoteText"/>
      </w:pPr>
      <w:r>
        <w:rPr>
          <w:rStyle w:val="Caractresdenotedebasdepage"/>
        </w:rPr>
        <w:footnoteRef/>
      </w:r>
      <w:r>
        <w:rPr>
          <w:rFonts w:cs="Times New Roman"/>
        </w:rPr>
        <w:t xml:space="preserve"> À Lille, un gardien de la paix avoue : « J’ai fait une belle bêtise… », </w:t>
      </w:r>
      <w:r>
        <w:rPr>
          <w:rFonts w:cs="Times New Roman"/>
          <w:i/>
        </w:rPr>
        <w:t>Le Figaro</w:t>
      </w:r>
      <w:r>
        <w:rPr>
          <w:rFonts w:cs="Times New Roman"/>
        </w:rPr>
        <w:t>, 6 mai 2021</w:t>
      </w:r>
    </w:p>
  </w:footnote>
  <w:footnote w:id="60">
    <w:p w14:paraId="4E8B97B7" w14:textId="77777777" w:rsidR="00F35929" w:rsidRDefault="002B5C50">
      <w:pPr>
        <w:pStyle w:val="FootnoteText"/>
      </w:pPr>
      <w:r>
        <w:rPr>
          <w:rStyle w:val="Caractresdenotedebasdepage"/>
        </w:rPr>
        <w:footnoteRef/>
      </w:r>
      <w:r>
        <w:rPr>
          <w:rFonts w:cs="Times New Roman"/>
        </w:rPr>
        <w:t xml:space="preserve"> La même année, le parquet a confié 16 enquêtes à l’IGPN (5 fois moins), et ne mentionne aucun service de droit commun saisi, ce qui accrédite la thèse de la prédominance du traitement judiciaire par les cellules déontologie (source : rapport d’activités 2017 du ministère public de Lyon).</w:t>
      </w:r>
    </w:p>
  </w:footnote>
  <w:footnote w:id="61">
    <w:p w14:paraId="5C48370D" w14:textId="77777777" w:rsidR="00F35929" w:rsidRDefault="002B5C50">
      <w:pPr>
        <w:pStyle w:val="FootnoteText"/>
      </w:pPr>
      <w:r>
        <w:rPr>
          <w:rStyle w:val="Caractresdenotedebasdepage"/>
        </w:rPr>
        <w:footnoteRef/>
      </w:r>
      <w:r>
        <w:rPr>
          <w:rFonts w:cs="Times New Roman"/>
        </w:rPr>
        <w:t xml:space="preserve"> Entretien avec Flagrant déni, 2025</w:t>
      </w:r>
    </w:p>
  </w:footnote>
  <w:footnote w:id="62">
    <w:p w14:paraId="5974C9F5" w14:textId="77777777" w:rsidR="00F35929" w:rsidRDefault="002B5C50">
      <w:pPr>
        <w:pStyle w:val="FootnoteText"/>
      </w:pPr>
      <w:r>
        <w:rPr>
          <w:rStyle w:val="Caractresdenotedebasdepage"/>
        </w:rPr>
        <w:footnoteRef/>
      </w:r>
      <w:r>
        <w:rPr>
          <w:rFonts w:cs="Times New Roman"/>
        </w:rPr>
        <w:t xml:space="preserve"> Frédéric </w:t>
      </w:r>
      <w:proofErr w:type="spellStart"/>
      <w:r>
        <w:rPr>
          <w:rFonts w:cs="Times New Roman"/>
        </w:rPr>
        <w:t>Ocqueteau</w:t>
      </w:r>
      <w:proofErr w:type="spellEnd"/>
      <w:r>
        <w:rPr>
          <w:rFonts w:cs="Times New Roman"/>
        </w:rPr>
        <w:t>, Fusionner police et gendarmerie nationales ? CESDIP, Etudes et données pénales, 2017, n°116.</w:t>
      </w:r>
    </w:p>
  </w:footnote>
  <w:footnote w:id="63">
    <w:p w14:paraId="7074ACD8" w14:textId="77777777" w:rsidR="00F35929" w:rsidRDefault="002B5C50">
      <w:pPr>
        <w:pStyle w:val="FootnoteText"/>
      </w:pPr>
      <w:r>
        <w:rPr>
          <w:rStyle w:val="Caractresdenotedebasdepage"/>
        </w:rPr>
        <w:footnoteRef/>
      </w:r>
      <w:r>
        <w:rPr>
          <w:rFonts w:cs="Times New Roman"/>
        </w:rPr>
        <w:t xml:space="preserve"> Source B, entretien avec Flagrant déni, 2025</w:t>
      </w:r>
    </w:p>
  </w:footnote>
  <w:footnote w:id="64">
    <w:p w14:paraId="4717C970" w14:textId="77777777" w:rsidR="00F35929" w:rsidRDefault="002B5C50">
      <w:pPr>
        <w:pStyle w:val="FootnoteText"/>
      </w:pPr>
      <w:r>
        <w:rPr>
          <w:rStyle w:val="Caractresdenotedebasdepage"/>
        </w:rPr>
        <w:footnoteRef/>
      </w:r>
      <w:r>
        <w:rPr>
          <w:rFonts w:cs="Times New Roman"/>
        </w:rPr>
        <w:t xml:space="preserve"> Rapport d’activités 2021 de l’IGPN, page </w:t>
      </w:r>
      <w:r>
        <w:rPr>
          <w:rFonts w:cs="Times New Roman"/>
        </w:rPr>
        <w:t>40.</w:t>
      </w:r>
    </w:p>
  </w:footnote>
  <w:footnote w:id="65">
    <w:p w14:paraId="7697A7F9" w14:textId="77777777" w:rsidR="00F35929" w:rsidRDefault="002B5C50">
      <w:pPr>
        <w:pStyle w:val="FootnoteText"/>
      </w:pPr>
      <w:r>
        <w:rPr>
          <w:rStyle w:val="Caractresdenotedebasdepage"/>
        </w:rPr>
        <w:footnoteRef/>
      </w:r>
      <w:r>
        <w:rPr>
          <w:rFonts w:cs="Times New Roman"/>
        </w:rPr>
        <w:t xml:space="preserve"> Rapport d’activités 2021 de l’IGPN</w:t>
      </w:r>
    </w:p>
  </w:footnote>
  <w:footnote w:id="66">
    <w:p w14:paraId="3313F6F1" w14:textId="77777777" w:rsidR="00F35929" w:rsidRDefault="002B5C50">
      <w:pPr>
        <w:pStyle w:val="FootnoteText"/>
      </w:pPr>
      <w:r>
        <w:rPr>
          <w:rStyle w:val="Caractresdenotedebasdepage"/>
        </w:rPr>
        <w:footnoteRef/>
      </w:r>
      <w:r>
        <w:t xml:space="preserve">  D</w:t>
      </w:r>
      <w:r>
        <w:rPr>
          <w:rFonts w:ascii="NimbusSanL;Times New Roman" w:eastAsia="Calibri" w:hAnsi="NimbusSanL;Times New Roman" w:cs="NimbusSanL;Times New Roman"/>
          <w:color w:val="000000"/>
          <w:szCs w:val="22"/>
        </w:rPr>
        <w:t>ans une quarantaine de cas sur une centaine non-traitée par l’IGPN. Les services saisis sont des PJ et sûretés départementales avant la réforme de 2024, les DCOS et DCT après cette dernière.</w:t>
      </w:r>
    </w:p>
  </w:footnote>
  <w:footnote w:id="67">
    <w:p w14:paraId="1FF53C37" w14:textId="77777777" w:rsidR="00F35929" w:rsidRDefault="002B5C50">
      <w:pPr>
        <w:pStyle w:val="FootnoteText"/>
      </w:pPr>
      <w:r>
        <w:rPr>
          <w:rStyle w:val="Caractresdenotedebasdepage"/>
        </w:rPr>
        <w:footnoteRef/>
      </w:r>
      <w:r>
        <w:rPr>
          <w:rFonts w:cs="Times New Roman"/>
        </w:rPr>
        <w:t xml:space="preserve"> </w:t>
      </w:r>
      <w:r>
        <w:rPr>
          <w:rFonts w:cs="Times New Roman"/>
          <w:color w:val="1C1C1C"/>
        </w:rPr>
        <w:t xml:space="preserve">Décès du 10 août 2024 à Saint-Nazaire (Loire-Atlantique) : </w:t>
      </w:r>
      <w:hyperlink r:id="rId40">
        <w:r>
          <w:rPr>
            <w:rStyle w:val="Hyperlink"/>
            <w:rFonts w:cs="Times New Roman"/>
            <w:color w:val="1C1C1C"/>
          </w:rPr>
          <w:t>https://actu.fr/pays-de-la-loire/saint-nazaire_44184/un-homme-retrouve-mort-dans-une-cellule-du-commissariat-de-saint-nazaire_61507170.html</w:t>
        </w:r>
      </w:hyperlink>
      <w:r>
        <w:rPr>
          <w:rFonts w:cs="Times New Roman"/>
          <w:color w:val="1C1C1C"/>
        </w:rPr>
        <w:t xml:space="preserve"> – décès du 26 juin 2024 : </w:t>
      </w:r>
      <w:hyperlink r:id="rId41">
        <w:r>
          <w:rPr>
            <w:rStyle w:val="Hyperlink"/>
            <w:rFonts w:cs="Times New Roman"/>
            <w:color w:val="1C1C1C"/>
          </w:rPr>
          <w:t>https://www.lefigaro.fr/marseille/marseille-un-homme-tres-lourdement-connu-des-services-de-police-meurt-apres-un-refus-d-obtemperer-20240627</w:t>
        </w:r>
      </w:hyperlink>
      <w:r>
        <w:rPr>
          <w:rFonts w:cs="Times New Roman"/>
        </w:rPr>
        <w:t xml:space="preserve"> </w:t>
      </w:r>
    </w:p>
  </w:footnote>
  <w:footnote w:id="68">
    <w:p w14:paraId="1E13DA75" w14:textId="77777777" w:rsidR="00F35929" w:rsidRDefault="002B5C50">
      <w:pPr>
        <w:pStyle w:val="FootnoteText"/>
      </w:pPr>
      <w:r>
        <w:rPr>
          <w:rStyle w:val="Caractresdenotedebasdepage"/>
        </w:rPr>
        <w:footnoteRef/>
      </w:r>
      <w:r>
        <w:rPr>
          <w:rFonts w:cs="Times New Roman"/>
        </w:rPr>
        <w:t xml:space="preserve"> CEDH, </w:t>
      </w:r>
      <w:proofErr w:type="spellStart"/>
      <w:r>
        <w:rPr>
          <w:rFonts w:cs="Times New Roman"/>
          <w:i/>
          <w:iCs/>
        </w:rPr>
        <w:t>Khodyukevich</w:t>
      </w:r>
      <w:proofErr w:type="spellEnd"/>
      <w:r>
        <w:rPr>
          <w:rFonts w:cs="Times New Roman"/>
          <w:i/>
          <w:iCs/>
        </w:rPr>
        <w:t xml:space="preserve"> c. Russie</w:t>
      </w:r>
      <w:r>
        <w:rPr>
          <w:rFonts w:cs="Times New Roman"/>
        </w:rPr>
        <w:t>, 28 août 2018, §74.</w:t>
      </w:r>
    </w:p>
  </w:footnote>
  <w:footnote w:id="69">
    <w:p w14:paraId="7AB07120" w14:textId="77777777" w:rsidR="00F35929" w:rsidRDefault="002B5C50">
      <w:pPr>
        <w:pStyle w:val="FootnoteText"/>
      </w:pPr>
      <w:r>
        <w:rPr>
          <w:rStyle w:val="Caractresdenotedebasdepage"/>
        </w:rPr>
        <w:footnoteRef/>
      </w:r>
      <w:r>
        <w:rPr>
          <w:rFonts w:cs="Times New Roman"/>
        </w:rPr>
        <w:t xml:space="preserve"> </w:t>
      </w:r>
      <w:proofErr w:type="spellStart"/>
      <w:r>
        <w:rPr>
          <w:rFonts w:cs="Times New Roman"/>
        </w:rPr>
        <w:t>CEDh</w:t>
      </w:r>
      <w:proofErr w:type="spellEnd"/>
      <w:r>
        <w:rPr>
          <w:rFonts w:cs="Times New Roman"/>
        </w:rPr>
        <w:t xml:space="preserve">, </w:t>
      </w:r>
      <w:proofErr w:type="spellStart"/>
      <w:r>
        <w:rPr>
          <w:rFonts w:cs="Times New Roman"/>
          <w:i/>
          <w:iCs/>
        </w:rPr>
        <w:t>Bursuc</w:t>
      </w:r>
      <w:proofErr w:type="spellEnd"/>
      <w:r>
        <w:rPr>
          <w:rFonts w:cs="Times New Roman"/>
          <w:i/>
          <w:iCs/>
        </w:rPr>
        <w:t xml:space="preserve"> c/ Roumanie</w:t>
      </w:r>
      <w:r>
        <w:rPr>
          <w:rFonts w:cs="Times New Roman"/>
        </w:rPr>
        <w:t>, 12 oct. 2004, § 104, s’agissant d’une ville d’environ 100 000 habitants : « </w:t>
      </w:r>
      <w:r>
        <w:rPr>
          <w:rFonts w:cs="Times New Roman"/>
          <w:i/>
          <w:iCs/>
        </w:rPr>
        <w:t xml:space="preserve">les preuves ont été recueillies et les témoins ont été entendus par la police judiciaire de </w:t>
      </w:r>
      <w:proofErr w:type="spellStart"/>
      <w:r>
        <w:rPr>
          <w:rFonts w:cs="Times New Roman"/>
          <w:i/>
          <w:iCs/>
        </w:rPr>
        <w:t>Piatra</w:t>
      </w:r>
      <w:proofErr w:type="spellEnd"/>
      <w:r>
        <w:rPr>
          <w:rFonts w:cs="Times New Roman"/>
          <w:i/>
          <w:iCs/>
        </w:rPr>
        <w:t xml:space="preserve"> Neamţ, alors que les policiers mis en cause étaient en fonction toujours au sein de la police de </w:t>
      </w:r>
      <w:proofErr w:type="spellStart"/>
      <w:r>
        <w:rPr>
          <w:rFonts w:cs="Times New Roman"/>
          <w:i/>
          <w:iCs/>
        </w:rPr>
        <w:t>Piatra</w:t>
      </w:r>
      <w:proofErr w:type="spellEnd"/>
      <w:r>
        <w:rPr>
          <w:rFonts w:cs="Times New Roman"/>
          <w:i/>
          <w:iCs/>
        </w:rPr>
        <w:t xml:space="preserve"> Neamţ. Or, cela n'est nullement compatible avec le principe de l'absence de lien hiérarchique ou institutionnel entre les personnes chargées de mener les investigations et celles impliquées dans les événeme</w:t>
      </w:r>
      <w:r>
        <w:rPr>
          <w:rFonts w:cs="Times New Roman"/>
          <w:i/>
          <w:iCs/>
        </w:rPr>
        <w:t>nts</w:t>
      </w:r>
      <w:r>
        <w:rPr>
          <w:rFonts w:cs="Times New Roman"/>
        </w:rPr>
        <w:t> »</w:t>
      </w:r>
    </w:p>
  </w:footnote>
  <w:footnote w:id="70">
    <w:p w14:paraId="5DF0C26C" w14:textId="77777777" w:rsidR="00F35929" w:rsidRDefault="002B5C50">
      <w:pPr>
        <w:pStyle w:val="FootnoteText"/>
      </w:pPr>
      <w:r>
        <w:rPr>
          <w:rStyle w:val="Caractresdenotedebasdepage"/>
        </w:rPr>
        <w:footnoteRef/>
      </w:r>
      <w:r>
        <w:rPr>
          <w:rFonts w:cs="Times New Roman"/>
        </w:rPr>
        <w:t xml:space="preserve"> CEDH, </w:t>
      </w:r>
      <w:proofErr w:type="spellStart"/>
      <w:r>
        <w:rPr>
          <w:rFonts w:cs="Times New Roman"/>
          <w:i/>
          <w:iCs/>
        </w:rPr>
        <w:t>O</w:t>
      </w:r>
      <w:r>
        <w:rPr>
          <w:rFonts w:cs="Times New Roman"/>
          <w:i/>
          <w:iCs/>
        </w:rPr>
        <w:t>Ğ</w:t>
      </w:r>
      <w:r>
        <w:rPr>
          <w:rFonts w:cs="Times New Roman"/>
          <w:i/>
          <w:iCs/>
        </w:rPr>
        <w:t>ur</w:t>
      </w:r>
      <w:proofErr w:type="spellEnd"/>
      <w:r>
        <w:rPr>
          <w:rFonts w:cs="Times New Roman"/>
          <w:i/>
          <w:iCs/>
        </w:rPr>
        <w:t xml:space="preserve"> c. Turquie</w:t>
      </w:r>
      <w:r>
        <w:rPr>
          <w:rFonts w:cs="Times New Roman"/>
        </w:rPr>
        <w:t>, 20 mai 1999, § 91 : « </w:t>
      </w:r>
      <w:r>
        <w:rPr>
          <w:rFonts w:cs="Times New Roman"/>
          <w:i/>
          <w:iCs/>
        </w:rPr>
        <w:t>La Cour observe en effet que l’instructeur, nommé par le préfet, était lieutenant-colonel de gendarmerie et, en cette qualité, dépendait de la même hiérarchie locale que les forces de sécurité sur lesquelles il menait son enquête</w:t>
      </w:r>
      <w:r>
        <w:rPr>
          <w:rFonts w:cs="Times New Roman"/>
        </w:rPr>
        <w:t> ».</w:t>
      </w:r>
    </w:p>
  </w:footnote>
  <w:footnote w:id="71">
    <w:p w14:paraId="785F955A" w14:textId="77777777" w:rsidR="00F35929" w:rsidRDefault="002B5C50">
      <w:pPr>
        <w:pStyle w:val="FootnoteText"/>
      </w:pPr>
      <w:r>
        <w:rPr>
          <w:rStyle w:val="Caractresdenotedebasdepage"/>
        </w:rPr>
        <w:footnoteRef/>
      </w:r>
      <w:r>
        <w:t xml:space="preserve"> </w:t>
      </w:r>
      <w:hyperlink r:id="rId42">
        <w:r>
          <w:rPr>
            <w:rStyle w:val="Hyperlink"/>
            <w:color w:val="1C1C1C"/>
          </w:rPr>
          <w:t>https://www.mediapart.fr/journal/france/060519/affaire-genevieve-legay-zones-d-ombre-et-nouveau-conflit-d-interets-dans-l-enquete</w:t>
        </w:r>
      </w:hyperlink>
      <w:r>
        <w:t xml:space="preserve"> </w:t>
      </w:r>
    </w:p>
  </w:footnote>
  <w:footnote w:id="72">
    <w:p w14:paraId="05F1A206" w14:textId="77777777" w:rsidR="00F35929" w:rsidRDefault="002B5C50">
      <w:pPr>
        <w:pStyle w:val="FootnoteText"/>
      </w:pPr>
      <w:r>
        <w:rPr>
          <w:rStyle w:val="Caractresdenotedebasdepage"/>
        </w:rPr>
        <w:footnoteRef/>
      </w:r>
      <w:r>
        <w:rPr>
          <w:rFonts w:cs="Times New Roman"/>
          <w:color w:val="1C1C1C"/>
        </w:rPr>
        <w:t xml:space="preserve"> </w:t>
      </w:r>
      <w:hyperlink r:id="rId43">
        <w:r>
          <w:rPr>
            <w:rStyle w:val="Hyperlink"/>
            <w:rFonts w:cs="Times New Roman"/>
            <w:color w:val="1C1C1C"/>
          </w:rPr>
          <w:t xml:space="preserve">Sénat, </w:t>
        </w:r>
        <w:r>
          <w:rPr>
            <w:rStyle w:val="Hyperlink"/>
            <w:rFonts w:cs="Times New Roman"/>
            <w:color w:val="1C1C1C"/>
          </w:rPr>
          <w:t>La police judiciaire dans la police nationale : se donner le temps de la réussite</w:t>
        </w:r>
      </w:hyperlink>
      <w:r>
        <w:rPr>
          <w:rFonts w:cs="Times New Roman"/>
          <w:color w:val="1C1C1C"/>
          <w:u w:val="single"/>
        </w:rPr>
        <w:t>, 2023.</w:t>
      </w:r>
    </w:p>
  </w:footnote>
  <w:footnote w:id="73">
    <w:p w14:paraId="21E16B44" w14:textId="77777777" w:rsidR="00F35929" w:rsidRDefault="002B5C50">
      <w:pPr>
        <w:pStyle w:val="FootnoteText"/>
      </w:pPr>
      <w:r>
        <w:rPr>
          <w:rStyle w:val="Caractresdenotedebasdepage"/>
        </w:rPr>
        <w:footnoteRef/>
      </w:r>
      <w:r>
        <w:rPr>
          <w:rFonts w:cs="Times New Roman"/>
        </w:rPr>
        <w:t xml:space="preserve"> Frédéric </w:t>
      </w:r>
      <w:proofErr w:type="spellStart"/>
      <w:r>
        <w:rPr>
          <w:rFonts w:cs="Times New Roman"/>
        </w:rPr>
        <w:t>Ocqueteau</w:t>
      </w:r>
      <w:proofErr w:type="spellEnd"/>
      <w:r>
        <w:rPr>
          <w:rFonts w:cs="Times New Roman"/>
        </w:rPr>
        <w:t>, Fusionner police et gendarmerie nationales ? CESDIP, Etudes et données pénales, 2017, n°116.</w:t>
      </w:r>
    </w:p>
  </w:footnote>
  <w:footnote w:id="74">
    <w:p w14:paraId="5FDCD430" w14:textId="77777777" w:rsidR="00F35929" w:rsidRDefault="002B5C50">
      <w:pPr>
        <w:pStyle w:val="FootnoteText"/>
      </w:pPr>
      <w:r>
        <w:rPr>
          <w:rStyle w:val="Caractresdenotedebasdepage"/>
        </w:rPr>
        <w:footnoteRef/>
      </w:r>
      <w:r>
        <w:rPr>
          <w:rFonts w:cs="Times New Roman"/>
        </w:rPr>
        <w:t xml:space="preserve"> Entretien avec Flagrant déni, 2025</w:t>
      </w:r>
    </w:p>
  </w:footnote>
  <w:footnote w:id="75">
    <w:p w14:paraId="35C51007" w14:textId="77777777" w:rsidR="00F35929" w:rsidRDefault="002B5C50">
      <w:pPr>
        <w:pStyle w:val="FootnoteText"/>
      </w:pPr>
      <w:r>
        <w:rPr>
          <w:rStyle w:val="Caractresdenotedebasdepage"/>
        </w:rPr>
        <w:footnoteRef/>
      </w:r>
      <w:r>
        <w:rPr>
          <w:rFonts w:cs="Times New Roman"/>
        </w:rPr>
        <w:t xml:space="preserve"> </w:t>
      </w:r>
      <w:r>
        <w:rPr>
          <w:rFonts w:cs="Times New Roman"/>
        </w:rPr>
        <w:t xml:space="preserve">CNDS, avis et recommandations n°2005-6 du 10 septembre 2007. Depuis la reprise des missions de la CNDS par le Défenseur des droits (intervenue en 2011), ce dernier ne semble pas (sauf erreur de notre part) avoir émis de nouvel avis sur les cellules déontologie. </w:t>
      </w:r>
    </w:p>
  </w:footnote>
  <w:footnote w:id="76">
    <w:p w14:paraId="6404A72B" w14:textId="77777777" w:rsidR="00F35929" w:rsidRDefault="002B5C50">
      <w:pPr>
        <w:pStyle w:val="FootnoteText"/>
      </w:pPr>
      <w:r>
        <w:rPr>
          <w:rStyle w:val="Caractresdenotedebasdepage"/>
        </w:rPr>
        <w:footnoteRef/>
      </w:r>
      <w:r>
        <w:rPr>
          <w:rFonts w:cs="Times New Roman"/>
        </w:rPr>
        <w:t xml:space="preserve"> Source B, entretien avec Flagrant déni, 2025</w:t>
      </w:r>
    </w:p>
  </w:footnote>
  <w:footnote w:id="77">
    <w:p w14:paraId="218E1987" w14:textId="77777777" w:rsidR="00F35929" w:rsidRDefault="002B5C50">
      <w:pPr>
        <w:pStyle w:val="FootnoteText"/>
      </w:pPr>
      <w:r>
        <w:rPr>
          <w:rStyle w:val="Caractresdenotedebasdepage"/>
        </w:rPr>
        <w:footnoteRef/>
      </w:r>
      <w:r>
        <w:rPr>
          <w:rFonts w:cs="Times New Roman"/>
        </w:rPr>
        <w:t xml:space="preserve"> CEDH, </w:t>
      </w:r>
      <w:r>
        <w:rPr>
          <w:rFonts w:cs="Times New Roman"/>
          <w:i/>
          <w:iCs/>
        </w:rPr>
        <w:t>X. et autres c/ Bulgarie</w:t>
      </w:r>
      <w:r>
        <w:rPr>
          <w:rFonts w:cs="Times New Roman"/>
        </w:rPr>
        <w:t>, 2 février 2021, § 190.</w:t>
      </w:r>
    </w:p>
  </w:footnote>
  <w:footnote w:id="78">
    <w:p w14:paraId="63762203" w14:textId="77777777" w:rsidR="00F35929" w:rsidRDefault="002B5C50">
      <w:pPr>
        <w:pStyle w:val="FootnoteText"/>
      </w:pPr>
      <w:r>
        <w:rPr>
          <w:rStyle w:val="Caractresdenotedebasdepage"/>
        </w:rPr>
        <w:footnoteRef/>
      </w:r>
      <w:r>
        <w:rPr>
          <w:rFonts w:cs="Times New Roman"/>
        </w:rPr>
        <w:t xml:space="preserve"> </w:t>
      </w:r>
      <w:r>
        <w:rPr>
          <w:rFonts w:cs="Times New Roman"/>
          <w:color w:val="1C1C1C"/>
        </w:rPr>
        <w:t xml:space="preserve">L’analyse complète de Flagrant déni est disponible sous ce lien : </w:t>
      </w:r>
      <w:hyperlink r:id="rId44">
        <w:r>
          <w:rPr>
            <w:rStyle w:val="Hyperlink"/>
            <w:rFonts w:cs="Times New Roman"/>
            <w:color w:val="1C1C1C"/>
          </w:rPr>
          <w:t>https://www.flagrant-deni.fr/wp-content/uploads/2022/05/constats-proposition-pour-en-finir-avec-impunite-police-1.pdf</w:t>
        </w:r>
      </w:hyperlink>
      <w:r>
        <w:rPr>
          <w:rFonts w:cs="Times New Roman"/>
        </w:rPr>
        <w:t xml:space="preserve"> </w:t>
      </w:r>
    </w:p>
  </w:footnote>
  <w:footnote w:id="79">
    <w:p w14:paraId="4603C25A" w14:textId="77777777" w:rsidR="00F35929" w:rsidRDefault="002B5C50">
      <w:pPr>
        <w:pStyle w:val="FootnoteText"/>
      </w:pPr>
      <w:r>
        <w:rPr>
          <w:rStyle w:val="Caractresdenotedebasdepage"/>
        </w:rPr>
        <w:footnoteRef/>
      </w:r>
      <w:r>
        <w:t xml:space="preserve"> Pour le détail des données disponibles en matière statistique, nous renvoyons à notre annexe, infra</w:t>
      </w:r>
    </w:p>
  </w:footnote>
  <w:footnote w:id="80">
    <w:p w14:paraId="1943DACD" w14:textId="77777777" w:rsidR="00F35929" w:rsidRDefault="002B5C50">
      <w:pPr>
        <w:pStyle w:val="FootnoteText"/>
      </w:pPr>
      <w:r>
        <w:rPr>
          <w:rStyle w:val="Caractresdenotedebasdepage"/>
        </w:rPr>
        <w:footnoteRef/>
      </w:r>
      <w:r>
        <w:rPr>
          <w:rFonts w:cs="Times New Roman"/>
        </w:rPr>
        <w:t xml:space="preserve"> CAT/C/FRA/CO/7, 10 juin 2016, § 16. </w:t>
      </w:r>
    </w:p>
  </w:footnote>
  <w:footnote w:id="81">
    <w:p w14:paraId="5B2DB7B9" w14:textId="77777777" w:rsidR="00F35929" w:rsidRDefault="002B5C50">
      <w:pPr>
        <w:pStyle w:val="FootnoteText"/>
      </w:pPr>
      <w:r>
        <w:rPr>
          <w:rStyle w:val="Caractresdenotedebasdepage"/>
        </w:rPr>
        <w:footnoteRef/>
      </w:r>
      <w:r>
        <w:rPr>
          <w:rFonts w:cs="Times New Roman"/>
        </w:rPr>
        <w:t xml:space="preserve"> CNCDH, rapport précité</w:t>
      </w:r>
    </w:p>
  </w:footnote>
  <w:footnote w:id="82">
    <w:p w14:paraId="03EE1877" w14:textId="77777777" w:rsidR="00F35929" w:rsidRDefault="002B5C50">
      <w:pPr>
        <w:pStyle w:val="FootnoteText"/>
      </w:pPr>
      <w:r>
        <w:rPr>
          <w:rStyle w:val="Caractresdenotedebasdepage"/>
        </w:rPr>
        <w:footnoteRef/>
      </w:r>
      <w:r>
        <w:t xml:space="preserve"> Rapport de la France, a</w:t>
      </w:r>
      <w:r>
        <w:rPr>
          <w:rFonts w:ascii="NimbusSanL;Times New Roman" w:hAnsi="NimbusSanL;Times New Roman" w:cs="NimbusSanL;Times New Roman"/>
          <w:szCs w:val="22"/>
        </w:rPr>
        <w:t xml:space="preserve">nnexe </w:t>
      </w:r>
      <w:proofErr w:type="spellStart"/>
      <w:r>
        <w:rPr>
          <w:rFonts w:ascii="NimbusSanL;Times New Roman" w:hAnsi="NimbusSanL;Times New Roman" w:cs="NimbusSanL;Times New Roman"/>
          <w:szCs w:val="22"/>
        </w:rPr>
        <w:t>n°X</w:t>
      </w:r>
      <w:proofErr w:type="spellEnd"/>
    </w:p>
  </w:footnote>
  <w:footnote w:id="83">
    <w:p w14:paraId="602D420E" w14:textId="77777777" w:rsidR="00F35929" w:rsidRDefault="002B5C50">
      <w:pPr>
        <w:pStyle w:val="FootnoteText"/>
      </w:pPr>
      <w:r>
        <w:rPr>
          <w:rStyle w:val="Caractresdenotedebasdepage"/>
        </w:rPr>
        <w:footnoteRef/>
      </w:r>
      <w:r>
        <w:rPr>
          <w:rFonts w:cs="Times New Roman"/>
        </w:rPr>
        <w:t xml:space="preserve"> Les données communiquées au Comité s’arrêtent en cours d’année 2019</w:t>
      </w:r>
    </w:p>
  </w:footnote>
  <w:footnote w:id="84">
    <w:p w14:paraId="434BEF19" w14:textId="77777777" w:rsidR="00F35929" w:rsidRDefault="002B5C50">
      <w:pPr>
        <w:pStyle w:val="FootnoteText"/>
      </w:pPr>
      <w:r>
        <w:rPr>
          <w:rStyle w:val="Caractresdenotedebasdepage"/>
        </w:rPr>
        <w:footnoteRef/>
      </w:r>
      <w:r>
        <w:rPr>
          <w:rFonts w:cs="Times New Roman"/>
        </w:rPr>
        <w:t xml:space="preserve"> </w:t>
      </w:r>
      <w:r>
        <w:rPr>
          <w:rFonts w:cs="Times New Roman"/>
          <w:color w:val="1C1C1C"/>
        </w:rPr>
        <w:t xml:space="preserve">23 octobre 2024 : </w:t>
      </w:r>
      <w:hyperlink r:id="rId45">
        <w:r>
          <w:rPr>
            <w:rStyle w:val="Hyperlink"/>
            <w:rFonts w:cs="Times New Roman"/>
            <w:color w:val="1C1C1C"/>
          </w:rPr>
          <w:t>https://webtv.un.org/en/asset/k1c/k1cwg1xrnr</w:t>
        </w:r>
      </w:hyperlink>
      <w:r>
        <w:rPr>
          <w:rFonts w:cs="Times New Roman"/>
          <w:color w:val="1C1C1C"/>
        </w:rPr>
        <w:t xml:space="preserve"> (à 8’50)</w:t>
      </w:r>
    </w:p>
  </w:footnote>
  <w:footnote w:id="85">
    <w:p w14:paraId="53206E05" w14:textId="77777777" w:rsidR="00F35929" w:rsidRDefault="002B5C50">
      <w:pPr>
        <w:pStyle w:val="FootnoteText"/>
      </w:pPr>
      <w:r>
        <w:rPr>
          <w:rStyle w:val="Caractresdenotedebasdepage"/>
        </w:rPr>
        <w:footnoteRef/>
      </w:r>
      <w:r>
        <w:rPr>
          <w:rFonts w:cs="Times New Roman"/>
          <w:color w:val="1C1C1C"/>
        </w:rPr>
        <w:t xml:space="preserve"> Sur ce point, nous renvoyons à la </w:t>
      </w:r>
      <w:hyperlink r:id="rId46">
        <w:r>
          <w:rPr>
            <w:rStyle w:val="Hyperlink"/>
            <w:rFonts w:cs="Times New Roman"/>
            <w:color w:val="1C1C1C"/>
          </w:rPr>
          <w:t>note adressée au Comité des droits d</w:t>
        </w:r>
      </w:hyperlink>
      <w:r>
        <w:rPr>
          <w:rFonts w:cs="Times New Roman"/>
          <w:color w:val="1C1C1C"/>
        </w:rPr>
        <w:t>e l’homme, n°II.2.</w:t>
      </w:r>
    </w:p>
  </w:footnote>
  <w:footnote w:id="86">
    <w:p w14:paraId="1E298ACA" w14:textId="77777777" w:rsidR="00F35929" w:rsidRDefault="002B5C50">
      <w:pPr>
        <w:pStyle w:val="FootnoteText"/>
      </w:pPr>
      <w:r>
        <w:rPr>
          <w:rStyle w:val="Caractresdenotedebasdepage"/>
        </w:rPr>
        <w:footnoteRef/>
      </w:r>
      <w:r>
        <w:rPr>
          <w:rFonts w:cs="Times New Roman"/>
        </w:rPr>
        <w:t xml:space="preserve"> </w:t>
      </w:r>
      <w:r>
        <w:rPr>
          <w:rFonts w:cs="Times New Roman"/>
          <w:color w:val="1C1C1C"/>
        </w:rPr>
        <w:t xml:space="preserve">Le ministère de la justice publie désormais des données de ce type sur : </w:t>
      </w:r>
      <w:hyperlink r:id="rId47">
        <w:r>
          <w:rPr>
            <w:rStyle w:val="Hyperlink"/>
            <w:rFonts w:cs="Times New Roman"/>
            <w:color w:val="1C1C1C"/>
          </w:rPr>
          <w:t>https://www.justice.gouv.fr/documentation/etudes-et-statistiques/tableaux-interactifs</w:t>
        </w:r>
      </w:hyperlink>
      <w:r>
        <w:rPr>
          <w:rFonts w:cs="Times New Roman"/>
          <w:color w:val="1C1C1C"/>
        </w:rPr>
        <w:t>.</w:t>
      </w:r>
      <w:r>
        <w:rPr>
          <w:rFonts w:cs="Times New Roman"/>
        </w:rPr>
        <w:t xml:space="preserve"> Il est possible de sélectionner l’ensemble des « affaires arrivées aux parquets », par groupe d’infractions, y compris pour les années récentes (à cette date, les données de 2024 sont disponibles). Malheureusement, le groupe d’infractions le plus précis (A39 : violences par autorité publique) comprend aussi les violences par des agents de service public ou autres, qui ne sont pas dépositaires de l’autorité publique.</w:t>
      </w:r>
    </w:p>
  </w:footnote>
  <w:footnote w:id="87">
    <w:p w14:paraId="3ABE1A1C" w14:textId="77777777" w:rsidR="00F35929" w:rsidRDefault="002B5C50">
      <w:pPr>
        <w:pStyle w:val="FootnoteText"/>
      </w:pPr>
      <w:r>
        <w:rPr>
          <w:rStyle w:val="Caractresdenotedebasdepage"/>
        </w:rPr>
        <w:footnoteRef/>
      </w:r>
      <w:r>
        <w:rPr>
          <w:rFonts w:cs="Times New Roman"/>
        </w:rPr>
        <w:t xml:space="preserve"> Ces données sont disponibles à l’adresse précitée, en sélectionnant « orientations » des affaires. Des données très détaillées notamment sur les motifs de classement y sont disponibles.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3827"/>
    <w:multiLevelType w:val="multilevel"/>
    <w:tmpl w:val="BAF28A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62229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929"/>
    <w:rsid w:val="002B5C50"/>
    <w:rsid w:val="00F35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872BA"/>
  <w15:docId w15:val="{74F6AB94-9B65-47F4-BF07-759471A6E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Noto Serif CJK SC" w:hAnsi="Times New Roman" w:cs="Noto Sans Devanagari"/>
        <w:sz w:val="22"/>
        <w:szCs w:val="24"/>
        <w:lang w:val="fr-F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Noto Sans Devanagari;Times New"/>
      <w:kern w:val="2"/>
    </w:rPr>
  </w:style>
  <w:style w:type="paragraph" w:styleId="Heading6">
    <w:name w:val="heading 6"/>
    <w:basedOn w:val="Titre1"/>
    <w:next w:val="BodyText"/>
    <w:uiPriority w:val="9"/>
    <w:unhideWhenUsed/>
    <w:qFormat/>
    <w:pPr>
      <w:numPr>
        <w:ilvl w:val="5"/>
        <w:numId w:val="1"/>
      </w:numPr>
      <w:spacing w:before="60" w:after="60"/>
      <w:outlineLvl w:val="5"/>
    </w:pPr>
    <w:rPr>
      <w:rFonts w:ascii="Liberation Serif;Times New Roma" w:eastAsia="Noto Serif CJK SC" w:hAnsi="Liberation Serif;Times New Roma" w:cs="Lohit Devanagari;Times New Roma"/>
      <w:b/>
      <w:bCs/>
      <w:sz w:val="14"/>
      <w:szCs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
    <w:name w:val="Police par défaut"/>
    <w:qFormat/>
  </w:style>
  <w:style w:type="character" w:customStyle="1" w:styleId="WW8Num1z0">
    <w:name w:val="WW8Num1z0"/>
    <w:qFormat/>
    <w:rPr>
      <w:rFonts w:ascii="Symbol" w:hAnsi="Symbol" w:cs="OpenSymbol;Arial Unicode MS"/>
    </w:rPr>
  </w:style>
  <w:style w:type="character" w:customStyle="1" w:styleId="WW8Num2z0">
    <w:name w:val="WW8Num2z0"/>
    <w:qFormat/>
    <w:rPr>
      <w:rFonts w:ascii="Symbol" w:hAnsi="Symbol" w:cs="OpenSymbol;Arial Unicode MS"/>
    </w:rPr>
  </w:style>
  <w:style w:type="character" w:customStyle="1" w:styleId="WW8Num3z0">
    <w:name w:val="WW8Num3z0"/>
    <w:qFormat/>
    <w:rPr>
      <w:rFonts w:ascii="Symbol" w:hAnsi="Symbol" w:cs="OpenSymbol;Arial Unicode MS"/>
    </w:rPr>
  </w:style>
  <w:style w:type="character" w:customStyle="1" w:styleId="WW8Num4z0">
    <w:name w:val="WW8Num4z0"/>
    <w:qFormat/>
    <w:rPr>
      <w:rFonts w:ascii="Symbol" w:hAnsi="Symbol" w:cs="OpenSymbol;Arial Unicode MS"/>
    </w:rPr>
  </w:style>
  <w:style w:type="character" w:styleId="Strong">
    <w:name w:val="Strong"/>
    <w:qFormat/>
    <w:rPr>
      <w:b/>
      <w:bCs/>
    </w:rPr>
  </w:style>
  <w:style w:type="character" w:styleId="Hyperlink">
    <w:name w:val="Hyperlink"/>
    <w:rPr>
      <w:color w:val="000080"/>
      <w:u w:val="single"/>
    </w:rPr>
  </w:style>
  <w:style w:type="character" w:styleId="Emphasis">
    <w:name w:val="Emphasis"/>
    <w:qFormat/>
    <w:rPr>
      <w:i/>
      <w:iCs/>
    </w:rPr>
  </w:style>
  <w:style w:type="character" w:customStyle="1" w:styleId="Puces">
    <w:name w:val="Puces"/>
    <w:qFormat/>
    <w:rPr>
      <w:rFonts w:ascii="OpenSymbol;Arial Unicode MS" w:eastAsia="OpenSymbol;Arial Unicode MS" w:hAnsi="OpenSymbol;Arial Unicode MS" w:cs="OpenSymbol;Arial Unicode MS"/>
    </w:rPr>
  </w:style>
  <w:style w:type="character" w:customStyle="1" w:styleId="Caractresdenotedebasdepage">
    <w:name w:val="Caractères de note de bas de page"/>
    <w:qFormat/>
  </w:style>
  <w:style w:type="character" w:customStyle="1" w:styleId="FootnoteReference1">
    <w:name w:val="Footnote Reference1"/>
    <w:qFormat/>
    <w:rPr>
      <w:vertAlign w:val="superscript"/>
    </w:rPr>
  </w:style>
  <w:style w:type="character" w:customStyle="1" w:styleId="Caractresdenotedefin">
    <w:name w:val="Caractères de note de fin"/>
    <w:qFormat/>
    <w:rPr>
      <w:vertAlign w:val="superscript"/>
    </w:rPr>
  </w:style>
  <w:style w:type="character" w:customStyle="1" w:styleId="WW-Caractresdenotedefin">
    <w:name w:val="WW-Caractères de note de fin"/>
    <w:qFormat/>
  </w:style>
  <w:style w:type="character" w:customStyle="1" w:styleId="FootnoteReference2">
    <w:name w:val="Footnote Reference2"/>
    <w:qFormat/>
    <w:rPr>
      <w:vertAlign w:val="superscript"/>
    </w:rPr>
  </w:style>
  <w:style w:type="character" w:customStyle="1" w:styleId="EndnoteReference1">
    <w:name w:val="Endnote Reference1"/>
    <w:qFormat/>
    <w:rPr>
      <w:vertAlign w:val="superscript"/>
    </w:rPr>
  </w:style>
  <w:style w:type="character" w:styleId="FollowedHyperlink">
    <w:name w:val="FollowedHyperlink"/>
    <w:rPr>
      <w:color w:val="954F72"/>
      <w:u w:val="single"/>
    </w:rPr>
  </w:style>
  <w:style w:type="character" w:customStyle="1" w:styleId="FollowedHyperlink1">
    <w:name w:val="FollowedHyperlink1"/>
    <w:qFormat/>
    <w:rPr>
      <w:color w:val="800000"/>
      <w:u w:val="single"/>
    </w:rPr>
  </w:style>
  <w:style w:type="character" w:customStyle="1" w:styleId="FootnoteReference3">
    <w:name w:val="Footnote Reference3"/>
    <w:qFormat/>
    <w:rPr>
      <w:vertAlign w:val="superscript"/>
    </w:rPr>
  </w:style>
  <w:style w:type="character" w:customStyle="1" w:styleId="EndnoteReference2">
    <w:name w:val="Endnote Reference2"/>
    <w:qFormat/>
    <w:rPr>
      <w:vertAlign w:val="superscript"/>
    </w:rPr>
  </w:style>
  <w:style w:type="character" w:customStyle="1" w:styleId="FootnoteReference4">
    <w:name w:val="Footnote Reference4"/>
    <w:qFormat/>
    <w:rPr>
      <w:vertAlign w:val="superscript"/>
    </w:rPr>
  </w:style>
  <w:style w:type="character" w:customStyle="1" w:styleId="EndnoteReference3">
    <w:name w:val="Endnote Reference3"/>
    <w:qFormat/>
    <w:rPr>
      <w:vertAlign w:val="superscript"/>
    </w:rPr>
  </w:style>
  <w:style w:type="character" w:customStyle="1" w:styleId="FootnoteReference5">
    <w:name w:val="Footnote Reference5"/>
    <w:qFormat/>
    <w:rPr>
      <w:vertAlign w:val="superscript"/>
    </w:rPr>
  </w:style>
  <w:style w:type="character" w:customStyle="1" w:styleId="EndnoteReference4">
    <w:name w:val="Endnote Reference4"/>
    <w:qFormat/>
    <w:rPr>
      <w:vertAlign w:val="superscript"/>
    </w:rPr>
  </w:style>
  <w:style w:type="character" w:customStyle="1" w:styleId="FootnoteReference6">
    <w:name w:val="Footnote Reference6"/>
    <w:qFormat/>
    <w:rPr>
      <w:vertAlign w:val="superscript"/>
    </w:rPr>
  </w:style>
  <w:style w:type="character" w:customStyle="1" w:styleId="EndnoteReference5">
    <w:name w:val="Endnote Reference5"/>
    <w:qFormat/>
    <w:rPr>
      <w:vertAlign w:val="superscript"/>
    </w:rPr>
  </w:style>
  <w:style w:type="character" w:customStyle="1" w:styleId="ky2igmncmogjharherah">
    <w:name w:val="ky2igmncmogjharherah"/>
    <w:basedOn w:val="DefaultParagraphFont"/>
    <w:qFormat/>
  </w:style>
  <w:style w:type="character" w:customStyle="1" w:styleId="FootnoteReference7">
    <w:name w:val="Footnote Reference7"/>
    <w:qFormat/>
    <w:rPr>
      <w:vertAlign w:val="superscript"/>
    </w:rPr>
  </w:style>
  <w:style w:type="character" w:customStyle="1" w:styleId="EndnoteReference6">
    <w:name w:val="Endnote Reference6"/>
    <w:qFormat/>
    <w:rPr>
      <w:vertAlign w:val="superscript"/>
    </w:rPr>
  </w:style>
  <w:style w:type="character" w:customStyle="1" w:styleId="FootnoteReference8">
    <w:name w:val="Footnote Reference8"/>
    <w:qFormat/>
    <w:rPr>
      <w:vertAlign w:val="superscript"/>
    </w:rPr>
  </w:style>
  <w:style w:type="character" w:customStyle="1" w:styleId="EndnoteReference7">
    <w:name w:val="Endnote Reference7"/>
    <w:qFormat/>
    <w:rPr>
      <w:vertAlign w:val="superscript"/>
    </w:rPr>
  </w:style>
  <w:style w:type="character" w:customStyle="1" w:styleId="Appelnotedebasdep">
    <w:name w:val="Appel note de bas de p."/>
    <w:qFormat/>
    <w:rPr>
      <w:vertAlign w:val="superscript"/>
    </w:rPr>
  </w:style>
  <w:style w:type="character" w:customStyle="1" w:styleId="Appeldenotedefin">
    <w:name w:val="Appel de note de fin"/>
    <w:qFormat/>
    <w:rPr>
      <w:vertAlign w:val="superscript"/>
    </w:rPr>
  </w:style>
  <w:style w:type="character" w:customStyle="1" w:styleId="TextedebullesCar">
    <w:name w:val="Texte de bulles Car"/>
    <w:qFormat/>
    <w:rPr>
      <w:rFonts w:ascii="Segoe UI" w:eastAsia="Noto Serif CJK SC" w:hAnsi="Segoe UI" w:cs="Mangal;Liberation Mono"/>
      <w:kern w:val="2"/>
      <w:sz w:val="18"/>
      <w:szCs w:val="16"/>
      <w:lang w:eastAsia="zh-CN" w:bidi="hi-IN"/>
    </w:rPr>
  </w:style>
  <w:style w:type="character" w:customStyle="1" w:styleId="Marquedecommentaire">
    <w:name w:val="Marque de commentaire"/>
    <w:qFormat/>
    <w:rPr>
      <w:sz w:val="16"/>
      <w:szCs w:val="16"/>
    </w:rPr>
  </w:style>
  <w:style w:type="character" w:customStyle="1" w:styleId="CommentaireCar">
    <w:name w:val="Commentaire Car"/>
    <w:qFormat/>
    <w:rPr>
      <w:rFonts w:eastAsia="Noto Serif CJK SC" w:cs="Mangal;Liberation Mono"/>
      <w:kern w:val="2"/>
      <w:szCs w:val="18"/>
      <w:lang w:eastAsia="zh-CN" w:bidi="hi-IN"/>
    </w:rPr>
  </w:style>
  <w:style w:type="character" w:customStyle="1" w:styleId="ObjetducommentaireCar">
    <w:name w:val="Objet du commentaire Car"/>
    <w:qFormat/>
    <w:rPr>
      <w:rFonts w:eastAsia="Noto Serif CJK SC" w:cs="Mangal;Liberation Mono"/>
      <w:b/>
      <w:bCs/>
      <w:kern w:val="2"/>
      <w:szCs w:val="18"/>
      <w:lang w:eastAsia="zh-CN" w:bidi="hi-IN"/>
    </w:rPr>
  </w:style>
  <w:style w:type="character" w:customStyle="1" w:styleId="FootnoteReference9">
    <w:name w:val="Footnote Reference9"/>
    <w:qFormat/>
    <w:rPr>
      <w:vertAlign w:val="superscript"/>
    </w:rPr>
  </w:style>
  <w:style w:type="character" w:styleId="LineNumber">
    <w:name w:val="line number"/>
  </w:style>
  <w:style w:type="character" w:customStyle="1" w:styleId="EndnoteReference8">
    <w:name w:val="Endnote Reference8"/>
    <w:qFormat/>
    <w:rPr>
      <w:vertAlign w:val="superscript"/>
    </w:rPr>
  </w:style>
  <w:style w:type="character" w:customStyle="1" w:styleId="FootnoteReference10">
    <w:name w:val="Footnote Reference10"/>
    <w:qFormat/>
    <w:rPr>
      <w:vertAlign w:val="superscript"/>
    </w:rPr>
  </w:style>
  <w:style w:type="character" w:customStyle="1" w:styleId="EndnoteReference9">
    <w:name w:val="Endnote Reference9"/>
    <w:qFormat/>
    <w:rPr>
      <w:vertAlign w:val="superscript"/>
    </w:rPr>
  </w:style>
  <w:style w:type="character" w:customStyle="1" w:styleId="FootnoteReference11">
    <w:name w:val="Footnote Reference11"/>
    <w:qFormat/>
    <w:rPr>
      <w:vertAlign w:val="superscript"/>
    </w:rPr>
  </w:style>
  <w:style w:type="character" w:customStyle="1" w:styleId="EndnoteReference10">
    <w:name w:val="Endnote Reference10"/>
    <w:qFormat/>
    <w:rPr>
      <w:vertAlign w:val="superscript"/>
    </w:rPr>
  </w:style>
  <w:style w:type="character" w:customStyle="1" w:styleId="FootnoteReference12">
    <w:name w:val="Footnote Reference12"/>
    <w:qFormat/>
    <w:rPr>
      <w:vertAlign w:val="superscript"/>
    </w:rPr>
  </w:style>
  <w:style w:type="character" w:customStyle="1" w:styleId="EndnoteReference11">
    <w:name w:val="Endnote Reference11"/>
    <w:qFormat/>
    <w:rPr>
      <w:vertAlign w:val="superscript"/>
    </w:rPr>
  </w:style>
  <w:style w:type="character" w:customStyle="1" w:styleId="FootnoteReference13">
    <w:name w:val="Footnote Reference13"/>
    <w:qFormat/>
    <w:rPr>
      <w:vertAlign w:val="superscript"/>
    </w:rPr>
  </w:style>
  <w:style w:type="character" w:customStyle="1" w:styleId="EndnoteReference12">
    <w:name w:val="Endnote Reference12"/>
    <w:qFormat/>
    <w:rPr>
      <w:vertAlign w:val="superscript"/>
    </w:rPr>
  </w:style>
  <w:style w:type="character" w:customStyle="1" w:styleId="FootnoteReference14">
    <w:name w:val="Footnote Reference14"/>
    <w:qFormat/>
    <w:rPr>
      <w:vertAlign w:val="superscript"/>
    </w:rPr>
  </w:style>
  <w:style w:type="character" w:customStyle="1" w:styleId="EndnoteReference13">
    <w:name w:val="Endnote Reference13"/>
    <w:qFormat/>
    <w:rPr>
      <w:vertAlign w:val="superscript"/>
    </w:rPr>
  </w:style>
  <w:style w:type="character" w:customStyle="1" w:styleId="FootnoteReference15">
    <w:name w:val="Footnote Reference15"/>
    <w:qFormat/>
    <w:rPr>
      <w:vertAlign w:val="superscript"/>
    </w:rPr>
  </w:style>
  <w:style w:type="character" w:customStyle="1" w:styleId="EndnoteReference14">
    <w:name w:val="Endnote Reference14"/>
    <w:qFormat/>
    <w:rPr>
      <w:vertAlign w:val="superscript"/>
    </w:rPr>
  </w:style>
  <w:style w:type="character" w:customStyle="1" w:styleId="FootnoteReference16">
    <w:name w:val="Footnote Reference16"/>
    <w:qFormat/>
    <w:rPr>
      <w:vertAlign w:val="superscript"/>
    </w:rPr>
  </w:style>
  <w:style w:type="character" w:customStyle="1" w:styleId="EndnoteReference15">
    <w:name w:val="Endnote Reference15"/>
    <w:qFormat/>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paragraph" w:customStyle="1" w:styleId="Titre">
    <w:name w:val="Titre"/>
    <w:basedOn w:val="Normal"/>
    <w:next w:val="BodyText"/>
    <w:qFormat/>
    <w:pPr>
      <w:keepNext/>
      <w:spacing w:before="240" w:after="120"/>
    </w:pPr>
    <w:rPr>
      <w:rFonts w:eastAsia="Noto Sans CJK SC" w:cs="Noto Sans Devanagari"/>
      <w:sz w:val="28"/>
      <w:szCs w:val="28"/>
    </w:rPr>
  </w:style>
  <w:style w:type="paragraph" w:styleId="BodyText">
    <w:name w:val="Body Text"/>
    <w:basedOn w:val="Normal"/>
    <w:pPr>
      <w:spacing w:after="140" w:line="276" w:lineRule="auto"/>
    </w:pPr>
  </w:style>
  <w:style w:type="paragraph" w:styleId="List">
    <w:name w:val="List"/>
    <w:basedOn w:val="BodyText"/>
    <w:rPr>
      <w:sz w:val="24"/>
    </w:rPr>
  </w:style>
  <w:style w:type="paragraph" w:styleId="Caption">
    <w:name w:val="caption"/>
    <w:basedOn w:val="Normal"/>
    <w:qFormat/>
    <w:pPr>
      <w:suppressLineNumbers/>
      <w:spacing w:before="120" w:after="120"/>
    </w:pPr>
    <w:rPr>
      <w:rFonts w:cs="Noto Sans Devanagari"/>
      <w:i/>
      <w:iCs/>
      <w:sz w:val="24"/>
    </w:rPr>
  </w:style>
  <w:style w:type="paragraph" w:customStyle="1" w:styleId="Index">
    <w:name w:val="Index"/>
    <w:basedOn w:val="Normal"/>
    <w:qFormat/>
    <w:pPr>
      <w:suppressLineNumbers/>
    </w:pPr>
    <w:rPr>
      <w:sz w:val="24"/>
    </w:rPr>
  </w:style>
  <w:style w:type="paragraph" w:customStyle="1" w:styleId="Titre1">
    <w:name w:val="Titre1"/>
    <w:basedOn w:val="Normal"/>
    <w:next w:val="BodyText"/>
    <w:qFormat/>
    <w:pPr>
      <w:keepNext/>
      <w:spacing w:before="240" w:after="120"/>
    </w:pPr>
    <w:rPr>
      <w:rFonts w:eastAsia="Noto Sans CJK SC"/>
      <w:sz w:val="28"/>
      <w:szCs w:val="28"/>
    </w:rPr>
  </w:style>
  <w:style w:type="paragraph" w:customStyle="1" w:styleId="Caption1">
    <w:name w:val="Caption1"/>
    <w:basedOn w:val="Normal"/>
    <w:qFormat/>
    <w:pPr>
      <w:suppressLineNumbers/>
      <w:spacing w:before="120" w:after="120"/>
    </w:pPr>
    <w:rPr>
      <w:rFonts w:cs="Noto Sans Devanagari"/>
      <w:i/>
      <w:iCs/>
      <w:sz w:val="24"/>
    </w:rPr>
  </w:style>
  <w:style w:type="paragraph" w:customStyle="1" w:styleId="Caption11">
    <w:name w:val="Caption11"/>
    <w:basedOn w:val="Normal"/>
    <w:qFormat/>
    <w:pPr>
      <w:suppressLineNumbers/>
      <w:spacing w:before="120" w:after="120"/>
    </w:pPr>
    <w:rPr>
      <w:rFonts w:cs="Noto Sans Devanagari"/>
      <w:i/>
      <w:iCs/>
      <w:sz w:val="24"/>
    </w:rPr>
  </w:style>
  <w:style w:type="paragraph" w:customStyle="1" w:styleId="Caption111">
    <w:name w:val="Caption111"/>
    <w:basedOn w:val="Normal"/>
    <w:qFormat/>
    <w:pPr>
      <w:suppressLineNumbers/>
      <w:spacing w:before="120" w:after="120"/>
    </w:pPr>
    <w:rPr>
      <w:rFonts w:cs="Noto Sans Devanagari"/>
      <w:i/>
      <w:iCs/>
      <w:sz w:val="24"/>
    </w:rPr>
  </w:style>
  <w:style w:type="paragraph" w:customStyle="1" w:styleId="Caption1111">
    <w:name w:val="Caption1111"/>
    <w:basedOn w:val="Normal"/>
    <w:qFormat/>
    <w:pPr>
      <w:suppressLineNumbers/>
      <w:spacing w:before="120" w:after="120"/>
    </w:pPr>
    <w:rPr>
      <w:rFonts w:cs="Noto Sans Devanagari"/>
      <w:i/>
      <w:iCs/>
      <w:sz w:val="24"/>
    </w:rPr>
  </w:style>
  <w:style w:type="paragraph" w:customStyle="1" w:styleId="Caption11111">
    <w:name w:val="Caption11111"/>
    <w:basedOn w:val="Normal"/>
    <w:qFormat/>
    <w:pPr>
      <w:suppressLineNumbers/>
      <w:spacing w:before="120" w:after="120"/>
    </w:pPr>
    <w:rPr>
      <w:rFonts w:cs="Noto Sans Devanagari"/>
      <w:i/>
      <w:iCs/>
      <w:sz w:val="24"/>
    </w:rPr>
  </w:style>
  <w:style w:type="paragraph" w:customStyle="1" w:styleId="Caption111111">
    <w:name w:val="Caption111111"/>
    <w:basedOn w:val="Normal"/>
    <w:qFormat/>
    <w:pPr>
      <w:suppressLineNumbers/>
      <w:spacing w:before="120" w:after="120"/>
    </w:pPr>
    <w:rPr>
      <w:rFonts w:cs="Noto Sans Devanagari"/>
      <w:i/>
      <w:iCs/>
      <w:sz w:val="24"/>
    </w:rPr>
  </w:style>
  <w:style w:type="paragraph" w:customStyle="1" w:styleId="Caption1111111">
    <w:name w:val="Caption1111111"/>
    <w:basedOn w:val="Normal"/>
    <w:qFormat/>
    <w:pPr>
      <w:suppressLineNumbers/>
      <w:spacing w:before="120" w:after="120"/>
    </w:pPr>
    <w:rPr>
      <w:rFonts w:cs="Noto Sans Devanagari"/>
      <w:i/>
      <w:iCs/>
      <w:sz w:val="24"/>
    </w:rPr>
  </w:style>
  <w:style w:type="paragraph" w:customStyle="1" w:styleId="Caption11111111">
    <w:name w:val="Caption11111111"/>
    <w:basedOn w:val="Normal"/>
    <w:qFormat/>
    <w:pPr>
      <w:suppressLineNumbers/>
      <w:spacing w:before="120" w:after="120"/>
    </w:pPr>
    <w:rPr>
      <w:i/>
      <w:iCs/>
      <w:sz w:val="24"/>
    </w:rPr>
  </w:style>
  <w:style w:type="paragraph" w:customStyle="1" w:styleId="Caption111111111">
    <w:name w:val="Caption111111111"/>
    <w:basedOn w:val="Normal"/>
    <w:qFormat/>
    <w:pPr>
      <w:suppressLineNumbers/>
      <w:spacing w:before="120" w:after="120"/>
    </w:pPr>
    <w:rPr>
      <w:i/>
      <w:iCs/>
      <w:sz w:val="24"/>
    </w:rPr>
  </w:style>
  <w:style w:type="paragraph" w:customStyle="1" w:styleId="Caption1111111111">
    <w:name w:val="Caption1111111111"/>
    <w:basedOn w:val="Normal"/>
    <w:qFormat/>
    <w:pPr>
      <w:suppressLineNumbers/>
      <w:spacing w:before="120" w:after="120"/>
    </w:pPr>
    <w:rPr>
      <w:i/>
      <w:iCs/>
      <w:sz w:val="24"/>
    </w:rPr>
  </w:style>
  <w:style w:type="paragraph" w:customStyle="1" w:styleId="Caption11111111111">
    <w:name w:val="Caption11111111111"/>
    <w:basedOn w:val="Normal"/>
    <w:qFormat/>
    <w:pPr>
      <w:suppressLineNumbers/>
      <w:spacing w:before="120" w:after="120"/>
    </w:pPr>
    <w:rPr>
      <w:i/>
      <w:iCs/>
      <w:sz w:val="24"/>
    </w:rPr>
  </w:style>
  <w:style w:type="paragraph" w:customStyle="1" w:styleId="Caption111111111111">
    <w:name w:val="Caption111111111111"/>
    <w:basedOn w:val="Normal"/>
    <w:qFormat/>
    <w:pPr>
      <w:suppressLineNumbers/>
      <w:spacing w:before="120" w:after="120"/>
    </w:pPr>
    <w:rPr>
      <w:i/>
      <w:iCs/>
      <w:sz w:val="24"/>
    </w:rPr>
  </w:style>
  <w:style w:type="paragraph" w:customStyle="1" w:styleId="Caption1111111111111">
    <w:name w:val="Caption1111111111111"/>
    <w:basedOn w:val="Normal"/>
    <w:qFormat/>
    <w:pPr>
      <w:suppressLineNumbers/>
      <w:spacing w:before="120" w:after="120"/>
    </w:pPr>
    <w:rPr>
      <w:i/>
      <w:iCs/>
      <w:sz w:val="24"/>
    </w:rPr>
  </w:style>
  <w:style w:type="paragraph" w:customStyle="1" w:styleId="Caption11111111111111">
    <w:name w:val="Caption11111111111111"/>
    <w:basedOn w:val="Normal"/>
    <w:qFormat/>
    <w:pPr>
      <w:suppressLineNumbers/>
      <w:spacing w:before="120" w:after="120"/>
    </w:pPr>
    <w:rPr>
      <w:i/>
      <w:iCs/>
      <w:sz w:val="24"/>
    </w:rPr>
  </w:style>
  <w:style w:type="paragraph" w:customStyle="1" w:styleId="Caption111111111111111">
    <w:name w:val="Caption111111111111111"/>
    <w:basedOn w:val="Normal"/>
    <w:qFormat/>
    <w:pPr>
      <w:suppressLineNumbers/>
      <w:spacing w:before="120" w:after="120"/>
    </w:pPr>
    <w:rPr>
      <w:i/>
      <w:iCs/>
      <w:sz w:val="24"/>
    </w:rPr>
  </w:style>
  <w:style w:type="paragraph" w:customStyle="1" w:styleId="Caption1111111111111111">
    <w:name w:val="Caption1111111111111111"/>
    <w:basedOn w:val="Normal"/>
    <w:qFormat/>
    <w:pPr>
      <w:suppressLineNumbers/>
      <w:spacing w:before="120" w:after="120"/>
    </w:pPr>
    <w:rPr>
      <w:i/>
      <w:iCs/>
      <w:sz w:val="24"/>
    </w:rPr>
  </w:style>
  <w:style w:type="paragraph" w:customStyle="1" w:styleId="Caption11111111111111111">
    <w:name w:val="Caption11111111111111111"/>
    <w:basedOn w:val="Normal"/>
    <w:qFormat/>
    <w:pPr>
      <w:suppressLineNumbers/>
      <w:spacing w:before="120" w:after="120"/>
    </w:pPr>
    <w:rPr>
      <w:i/>
      <w:iCs/>
      <w:sz w:val="24"/>
    </w:rPr>
  </w:style>
  <w:style w:type="paragraph" w:customStyle="1" w:styleId="Caption111111111111111111">
    <w:name w:val="Caption111111111111111111"/>
    <w:basedOn w:val="Normal"/>
    <w:qFormat/>
    <w:pPr>
      <w:suppressLineNumbers/>
      <w:spacing w:before="120" w:after="120"/>
    </w:pPr>
    <w:rPr>
      <w:i/>
      <w:iCs/>
      <w:sz w:val="24"/>
    </w:rPr>
  </w:style>
  <w:style w:type="paragraph" w:customStyle="1" w:styleId="Caption1111111111111111111">
    <w:name w:val="Caption1111111111111111111"/>
    <w:basedOn w:val="Normal"/>
    <w:qFormat/>
    <w:pPr>
      <w:suppressLineNumbers/>
      <w:spacing w:before="120" w:after="120"/>
    </w:pPr>
    <w:rPr>
      <w:i/>
      <w:iCs/>
      <w:sz w:val="24"/>
    </w:rPr>
  </w:style>
  <w:style w:type="paragraph" w:customStyle="1" w:styleId="Caption11111111111111111111">
    <w:name w:val="Caption11111111111111111111"/>
    <w:basedOn w:val="Normal"/>
    <w:qFormat/>
    <w:pPr>
      <w:suppressLineNumbers/>
      <w:spacing w:before="120" w:after="120"/>
    </w:pPr>
    <w:rPr>
      <w:i/>
      <w:iCs/>
      <w:sz w:val="24"/>
    </w:rPr>
  </w:style>
  <w:style w:type="paragraph" w:styleId="FootnoteText">
    <w:name w:val="footnote text"/>
    <w:basedOn w:val="Normal"/>
    <w:pPr>
      <w:suppressLineNumbers/>
      <w:shd w:val="clear" w:color="auto" w:fill="CCCCCC"/>
      <w:ind w:left="1474"/>
    </w:pPr>
    <w:rPr>
      <w:rFonts w:ascii="NimbusSanL" w:hAnsi="NimbusSanL" w:cs="NimbusSanL"/>
      <w:color w:val="333333"/>
      <w:sz w:val="18"/>
      <w:szCs w:val="20"/>
    </w:rPr>
  </w:style>
  <w:style w:type="paragraph" w:customStyle="1" w:styleId="Commentaire1">
    <w:name w:val="Commentaire1"/>
    <w:basedOn w:val="Normal"/>
    <w:qFormat/>
    <w:rPr>
      <w:sz w:val="20"/>
      <w:szCs w:val="20"/>
    </w:rPr>
  </w:style>
  <w:style w:type="paragraph" w:customStyle="1" w:styleId="Standard">
    <w:name w:val="Standard"/>
    <w:qFormat/>
    <w:pPr>
      <w:widowControl w:val="0"/>
      <w:textAlignment w:val="baseline"/>
    </w:pPr>
    <w:rPr>
      <w:rFonts w:eastAsia="Andale Sans UI;Arial Unicode MS" w:cs="Tahoma"/>
      <w:kern w:val="2"/>
      <w:sz w:val="24"/>
      <w:lang w:val="de-DE" w:eastAsia="ja-JP" w:bidi="fa-IR"/>
    </w:rPr>
  </w:style>
  <w:style w:type="paragraph" w:customStyle="1" w:styleId="Textbody">
    <w:name w:val="Text body"/>
    <w:basedOn w:val="Standard"/>
    <w:qFormat/>
    <w:pPr>
      <w:spacing w:after="120"/>
    </w:pPr>
  </w:style>
  <w:style w:type="paragraph" w:customStyle="1" w:styleId="mb-medium">
    <w:name w:val="_mb-medium"/>
    <w:basedOn w:val="Normal"/>
    <w:qFormat/>
    <w:pPr>
      <w:spacing w:before="100" w:after="100"/>
    </w:pPr>
    <w:rPr>
      <w:rFonts w:eastAsia="Times New Roman" w:cs="Times New Roman"/>
      <w:sz w:val="24"/>
    </w:rPr>
  </w:style>
  <w:style w:type="paragraph" w:customStyle="1" w:styleId="Textedebulles">
    <w:name w:val="Texte de bulles"/>
    <w:basedOn w:val="Normal"/>
    <w:qFormat/>
    <w:rPr>
      <w:rFonts w:ascii="Segoe UI" w:hAnsi="Segoe UI" w:cs="Mangal;Liberation Mono"/>
      <w:sz w:val="18"/>
      <w:szCs w:val="16"/>
    </w:rPr>
  </w:style>
  <w:style w:type="paragraph" w:customStyle="1" w:styleId="Commentaire">
    <w:name w:val="Commentaire"/>
    <w:basedOn w:val="Normal"/>
    <w:qFormat/>
    <w:rPr>
      <w:rFonts w:cs="Mangal;Liberation Mono"/>
      <w:sz w:val="20"/>
      <w:szCs w:val="18"/>
    </w:rPr>
  </w:style>
  <w:style w:type="paragraph" w:customStyle="1" w:styleId="Objetducommentaire">
    <w:name w:val="Objet du commentaire"/>
    <w:basedOn w:val="Commentaire"/>
    <w:next w:val="Commentaire"/>
    <w:qFormat/>
    <w:rPr>
      <w:b/>
      <w:bCs/>
    </w:rPr>
  </w:style>
  <w:style w:type="paragraph" w:customStyle="1" w:styleId="En-tteetpieddepage">
    <w:name w:val="En-tête et pied de page"/>
    <w:basedOn w:val="Normal"/>
    <w:qFormat/>
    <w:pPr>
      <w:suppressLineNumbers/>
      <w:tabs>
        <w:tab w:val="center" w:pos="4819"/>
        <w:tab w:val="right" w:pos="9638"/>
      </w:tabs>
    </w:pPr>
  </w:style>
  <w:style w:type="paragraph" w:styleId="Footer">
    <w:name w:val="footer"/>
    <w:basedOn w:val="En-tteetpieddepage"/>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13" Type="http://schemas.openxmlformats.org/officeDocument/2006/relationships/hyperlink" Target="https://www.ccomptes.fr/fr/publications/les-forces-de-police-marseille" TargetMode="External"/><Relationship Id="rId18" Type="http://schemas.openxmlformats.org/officeDocument/2006/relationships/hyperlink" Target="https://www.lemonde.fr/politique/article/2020/11/30/igpn-darmanin-pret-a-etudier-toutes-les-pistes-de-reforme_6061704_823448.html" TargetMode="External"/><Relationship Id="rId26" Type="http://schemas.openxmlformats.org/officeDocument/2006/relationships/hyperlink" Target="https://www.flagrant-deni.fr/wp-content/uploads/2024/09/2024.09-flagrant-deni-note-ONU-vDEF.pdf" TargetMode="External"/><Relationship Id="rId39" Type="http://schemas.openxmlformats.org/officeDocument/2006/relationships/hyperlink" Target="https://www.zinfos974.com/tentative-de-meurtre-a-la-bretagne-le-point-sur-les-3-enquetes-ouvertes/" TargetMode="External"/><Relationship Id="rId21" Type="http://schemas.openxmlformats.org/officeDocument/2006/relationships/hyperlink" Target="https://www.interieur.gouv.fr/actualites/grands-dossiers/beauvau-de-securite/beauvau-de-securite-controle-interne" TargetMode="External"/><Relationship Id="rId34" Type="http://schemas.openxmlformats.org/officeDocument/2006/relationships/hyperlink" Target="https://www.lefigaro.fr/faits-divers/une-femme-sans-abri-decede-au-commissariat-en-moselle-20240709" TargetMode="External"/><Relationship Id="rId42" Type="http://schemas.openxmlformats.org/officeDocument/2006/relationships/hyperlink" Target="https://www.mediapart.fr/journal/france/060519/affaire-genevieve-legay-zones-d-ombre-et-nouveau-conflit-d-interets-dans-l-enquete" TargetMode="External"/><Relationship Id="rId47" Type="http://schemas.openxmlformats.org/officeDocument/2006/relationships/hyperlink" Target="https://www.justice.gouv.fr/documentation/etudes-et-statistiques/tableaux-interactifs" TargetMode="External"/><Relationship Id="rId7" Type="http://schemas.openxmlformats.org/officeDocument/2006/relationships/hyperlink" Target="https://www.lemonde.fr/international/article/2023/10/10/le-conseil-de-l-europe-appelle-paris-a-reformer-l-igpn-et-l-iggn-afin-d-ameliorer-la-perception-de-leur-independance-et-de-leur-impartialite_6193616_3210.html" TargetMode="External"/><Relationship Id="rId2" Type="http://schemas.openxmlformats.org/officeDocument/2006/relationships/hyperlink" Target="https://www.assemblee-nationale.fr/dyn/15/rapports/ceordre/l15b3786_rapport-enquete" TargetMode="External"/><Relationship Id="rId16" Type="http://schemas.openxmlformats.org/officeDocument/2006/relationships/hyperlink" Target="https://www.cncdh.fr/sites/default/files/2021-04/A%20-%202021%20-%202%20-%20Relations%20Police%20-%20population%2C%20f&#233;vrier%202021.pdf" TargetMode="External"/><Relationship Id="rId29" Type="http://schemas.openxmlformats.org/officeDocument/2006/relationships/hyperlink" Target="https://94.citoyens.com/2023/a-paris-une-course-poursuite-mortelle-avec-la-police,14-11-2023.html" TargetMode="External"/><Relationship Id="rId1" Type="http://schemas.openxmlformats.org/officeDocument/2006/relationships/hyperlink" Target="https://www.flagrant-deni.fr/le-17-guide-victimes-violences-policieres-que-faire-accueil/" TargetMode="External"/><Relationship Id="rId6" Type="http://schemas.openxmlformats.org/officeDocument/2006/relationships/hyperlink" Target="https://rm.coe.int/le-respect-par-la-france-des-obligations-decoulant-de-l-adhesion-au-co/1680ac8caf" TargetMode="External"/><Relationship Id="rId11" Type="http://schemas.openxmlformats.org/officeDocument/2006/relationships/hyperlink" Target="https://www.mediapart.fr/journal/france/120620/sept-ans-de-rapports-igpn-analyses-une-absence-de-sincerite-dans-la-recherche-de-la-transparence?onglet=full" TargetMode="External"/><Relationship Id="rId24" Type="http://schemas.openxmlformats.org/officeDocument/2006/relationships/hyperlink" Target="https://webtv.un.org/en/asset/k1c/k1cwg1xrnr" TargetMode="External"/><Relationship Id="rId32" Type="http://schemas.openxmlformats.org/officeDocument/2006/relationships/hyperlink" Target="https://www.flagrant-deni.fr/mort-de-mehdi-une-non-enquete-pour-un-non-lieu/" TargetMode="External"/><Relationship Id="rId37" Type="http://schemas.openxmlformats.org/officeDocument/2006/relationships/hyperlink" Target="https://www.lanouvellerepublique.fr/poitiers/pour-moi-il-etait-en-train-de-planter-mon-collegue-accuse-d-un-tir-mortel-en-2007-un-policier-poitevin-aux-assises" TargetMode="External"/><Relationship Id="rId40" Type="http://schemas.openxmlformats.org/officeDocument/2006/relationships/hyperlink" Target="https://actu.fr/pays-de-la-loire/saint-nazaire_44184/un-homme-retrouve-mort-dans-une-cellule-du-commissariat-de-saint-nazaire_61507170.html" TargetMode="External"/><Relationship Id="rId45" Type="http://schemas.openxmlformats.org/officeDocument/2006/relationships/hyperlink" Target="https://webtv.un.org/en/asset/k1c/k1cwg1xrnr" TargetMode="External"/><Relationship Id="rId5" Type="http://schemas.openxmlformats.org/officeDocument/2006/relationships/hyperlink" Target="https://rm.coe.int/0900001680a81884" TargetMode="External"/><Relationship Id="rId15" Type="http://schemas.openxmlformats.org/officeDocument/2006/relationships/hyperlink" Target="https://www.assemblee-nationale.fr/dyn/15/rapports/ceordre/l15b3786_rapport-enquete" TargetMode="External"/><Relationship Id="rId23" Type="http://schemas.openxmlformats.org/officeDocument/2006/relationships/hyperlink" Target="https://www.assemblee-nationale.fr/dyn/15/rapports/ceordre/l15b3786_rapport-enquete" TargetMode="External"/><Relationship Id="rId28" Type="http://schemas.openxmlformats.org/officeDocument/2006/relationships/hyperlink" Target="https://www.lefigaro.fr/nantes/pres-de-nantes-deux-jeunes-meurent-dans-une-sortie-de-route-apres-une-course-poursuite-avec-la-police-20230125" TargetMode="External"/><Relationship Id="rId36" Type="http://schemas.openxmlformats.org/officeDocument/2006/relationships/hyperlink" Target="https://www.liberation.fr/societe/2001/12/28/la-mort-apres-le-braquage_388734/" TargetMode="External"/><Relationship Id="rId10" Type="http://schemas.openxmlformats.org/officeDocument/2006/relationships/hyperlink" Target="https://www.assemblee-nationale.fr/dyn/15/rapports/ceordre/l15b3786_rapport-enquete" TargetMode="External"/><Relationship Id="rId19" Type="http://schemas.openxmlformats.org/officeDocument/2006/relationships/hyperlink" Target="https://www.huffingtonpost.fr/politique/article/reformer-l-igpn-sans-couper-de-tetes-les-francais-tres-partages-sur-leur-police-sondage-exclusif_173650.html" TargetMode="External"/><Relationship Id="rId31" Type="http://schemas.openxmlformats.org/officeDocument/2006/relationships/hyperlink" Target="https://questions.assemblee-nationale.fr/q16/16-8692QE.htm" TargetMode="External"/><Relationship Id="rId44" Type="http://schemas.openxmlformats.org/officeDocument/2006/relationships/hyperlink" Target="https://www.flagrant-deni.fr/wp-content/uploads/2022/05/constats-proposition-pour-en-finir-avec-impunite-police-1.pdf" TargetMode="External"/><Relationship Id="rId4" Type="http://schemas.openxmlformats.org/officeDocument/2006/relationships/hyperlink" Target="https://www.cnb.avocat.fr/fr/actualites/42-recommandations-pour-ameliorer-les-relations-les-relations-police-population" TargetMode="External"/><Relationship Id="rId9" Type="http://schemas.openxmlformats.org/officeDocument/2006/relationships/hyperlink" Target="https://www.cncdh.fr/sites/default/files/2021-04/A%20-%202021%20-%202%20-%20Relations%20Police%20-%20population%2C%20f&#233;vrier%202021.pdf" TargetMode="External"/><Relationship Id="rId14" Type="http://schemas.openxmlformats.org/officeDocument/2006/relationships/hyperlink" Target="https://www.flagrant-deni.fr/igpn-la-com-passe-le-personnel-trepasse/" TargetMode="External"/><Relationship Id="rId22" Type="http://schemas.openxmlformats.org/officeDocument/2006/relationships/hyperlink" Target="https://www.leparisien.fr/faits-divers/gerald-darmanin-nous-allons-creer-500-nouveaux-postes-de-policiers-a-paris-dans-les-deux-prochaines-annees-20-07-2022-CZJYRHSK65CS3O4SGB35MK6H2Q.php?ts=1658336996138" TargetMode="External"/><Relationship Id="rId27" Type="http://schemas.openxmlformats.org/officeDocument/2006/relationships/hyperlink" Target="https://bastamag.net/webdocs/police/" TargetMode="External"/><Relationship Id="rId30" Type="http://schemas.openxmlformats.org/officeDocument/2006/relationships/hyperlink" Target="https://www.leparisien.fr/seine-saint-denis-93/deux-morts-dans-la-punto-qui-fuyait-la-police-03-06-2014-3892079.php" TargetMode="External"/><Relationship Id="rId35" Type="http://schemas.openxmlformats.org/officeDocument/2006/relationships/hyperlink" Target="https://www.ladepeche.fr/article/2007/06/16/4608-bordeaux-deces-homme-cellule-degrisement-commissariat.html" TargetMode="External"/><Relationship Id="rId43" Type="http://schemas.openxmlformats.org/officeDocument/2006/relationships/hyperlink" Target="https://www.senat.fr/rap/r22-387/r22-387_mono.html" TargetMode="External"/><Relationship Id="rId8" Type="http://schemas.openxmlformats.org/officeDocument/2006/relationships/hyperlink" Target="https://www.assemblee-nationale.fr/dyn/15/rapports/ceordre/l15b3786_rapport-enquete" TargetMode="External"/><Relationship Id="rId3" Type="http://schemas.openxmlformats.org/officeDocument/2006/relationships/hyperlink" Target="https://www.cncdh.fr/sites/default/files/2021-04/A%20-%202021%20-%202%20-%20Relations%20Police%20-%20population%2C%20f&#233;vrier%202021.pdf" TargetMode="External"/><Relationship Id="rId12" Type="http://schemas.openxmlformats.org/officeDocument/2006/relationships/hyperlink" Target="https://www.assemblee-nationale.fr/dyn/15/rapports/ceordre/l15b3786_rapport-enquete" TargetMode="External"/><Relationship Id="rId17" Type="http://schemas.openxmlformats.org/officeDocument/2006/relationships/hyperlink" Target="https://www.vie-publique.fr/discours/275377-christophe-castaner-08062020-racisme-force-de-lordre-sanctions" TargetMode="External"/><Relationship Id="rId25" Type="http://schemas.openxmlformats.org/officeDocument/2006/relationships/hyperlink" Target="https://www.flagrant-deni.fr/igpn-la-com-passe-le-personnel-trepasse/" TargetMode="External"/><Relationship Id="rId33" Type="http://schemas.openxmlformats.org/officeDocument/2006/relationships/hyperlink" Target="https://www.leparisien.fr/seine-saint-denis-93/saint-denis-la-famille-de-romain-mort-au-commissariat-depose-plainte-pour-non-assistance-a-personne-en-danger-04-05-2020-8310453.php" TargetMode="External"/><Relationship Id="rId38" Type="http://schemas.openxmlformats.org/officeDocument/2006/relationships/hyperlink" Target="https://la1ere.francetvinfo.fr/guyane/2013/12/20/affaire-batista-da-silva-une-information-judiciaire-contre-x-est-ouverte-95809.html" TargetMode="External"/><Relationship Id="rId46" Type="http://schemas.openxmlformats.org/officeDocument/2006/relationships/hyperlink" Target="https://www.flagrant-deni.fr/wp-content/uploads/2024/09/2024.09-flagrant-deni-note-ONU-vDEF.pdf" TargetMode="External"/><Relationship Id="rId20" Type="http://schemas.openxmlformats.org/officeDocument/2006/relationships/hyperlink" Target="https://www.francetvinfo.fr/faits-divers/police/reforme-de-l-igpn-jean-castex-pas-defavorable-a-ce-qu-une-personnalite-independante-dirige-la-police-des-polices_4203719.html" TargetMode="External"/><Relationship Id="rId41" Type="http://schemas.openxmlformats.org/officeDocument/2006/relationships/hyperlink" Target="https://www.lefigaro.fr/marseille/marseille-un-homme-tres-lourdement-connu-des-services-de-police-meurt-apres-un-refus-d-obtemperer-20240627"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2025-03-18T07:38:31+00:00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2025-03-18T07:38:31+00:00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2025-03-18T07:38:31+00:00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234377F9-0FDA-41EA-8891-EE25AB432054}"/>
</file>

<file path=customXml/itemProps2.xml><?xml version="1.0" encoding="utf-8"?>
<ds:datastoreItem xmlns:ds="http://schemas.openxmlformats.org/officeDocument/2006/customXml" ds:itemID="{02880F01-9B79-4B90-9F4F-2FF1742747FC}"/>
</file>

<file path=customXml/itemProps3.xml><?xml version="1.0" encoding="utf-8"?>
<ds:datastoreItem xmlns:ds="http://schemas.openxmlformats.org/officeDocument/2006/customXml" ds:itemID="{06CB4D61-567B-4EBA-847F-9651AFEF6D85}"/>
</file>

<file path=docProps/app.xml><?xml version="1.0" encoding="utf-8"?>
<Properties xmlns="http://schemas.openxmlformats.org/officeDocument/2006/extended-properties" xmlns:vt="http://schemas.openxmlformats.org/officeDocument/2006/docPropsVTypes">
  <Template>Normal.dotm</Template>
  <TotalTime>2</TotalTime>
  <Pages>16</Pages>
  <Words>7863</Words>
  <Characters>44821</Characters>
  <Application>Microsoft Office Word</Application>
  <DocSecurity>4</DocSecurity>
  <Lines>373</Lines>
  <Paragraphs>105</Paragraphs>
  <ScaleCrop>false</ScaleCrop>
  <Company>OHCHR</Company>
  <LinksUpToDate>false</LinksUpToDate>
  <CharactersWithSpaces>52579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HAMDAN Youssef</dc:creator>
  <cp:lastModifiedBy>Youssef Hamdan</cp:lastModifiedBy>
  <cp:revision>2</cp:revision>
  <dcterms:created xsi:type="dcterms:W3CDTF">2025-03-11T13:46:00Z</dcterms:created>
  <dcterms:modified xsi:type="dcterms:W3CDTF">2025-03-11T13:46:00Z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2025-03-03T12:51:00Z</dcterms:created>
  <dc:creator>Rafael Cos</dc:creator>
  <dc:description/>
  <dc:language>fr-FR</dc:language>
  <cp:lastModifiedBy/>
  <dcterms:modified xsi:type="dcterms:W3CDTF">2025-03-10T16:04:52Z</dcterms:modified>
  <cp:revision>93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