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C03E0" w14:textId="77777777" w:rsidR="00464899" w:rsidRPr="00464899" w:rsidRDefault="00464899">
      <w:pPr>
        <w:rPr>
          <w:b/>
          <w:sz w:val="32"/>
          <w:szCs w:val="32"/>
        </w:rPr>
      </w:pPr>
      <w:r w:rsidRPr="00464899">
        <w:rPr>
          <w:b/>
          <w:sz w:val="32"/>
          <w:szCs w:val="32"/>
        </w:rPr>
        <w:t xml:space="preserve">Submission to the UN Human Rights Committee </w:t>
      </w:r>
    </w:p>
    <w:p w14:paraId="71AC27AB" w14:textId="747AB704" w:rsidR="00464899" w:rsidRPr="00464899" w:rsidRDefault="00464899">
      <w:pPr>
        <w:rPr>
          <w:b/>
          <w:sz w:val="32"/>
          <w:szCs w:val="32"/>
        </w:rPr>
      </w:pPr>
      <w:r w:rsidRPr="00464899">
        <w:rPr>
          <w:b/>
          <w:sz w:val="32"/>
          <w:szCs w:val="32"/>
        </w:rPr>
        <w:t xml:space="preserve">Written Contribution for Türkiye under Review (2nd) CCPR </w:t>
      </w:r>
    </w:p>
    <w:p w14:paraId="45BE2903" w14:textId="712D7607" w:rsidR="00464899" w:rsidRPr="00464899" w:rsidRDefault="00464899">
      <w:pPr>
        <w:rPr>
          <w:b/>
          <w:sz w:val="32"/>
          <w:szCs w:val="32"/>
        </w:rPr>
      </w:pPr>
      <w:r w:rsidRPr="00464899">
        <w:rPr>
          <w:b/>
          <w:sz w:val="32"/>
          <w:szCs w:val="32"/>
        </w:rPr>
        <w:t xml:space="preserve">International Covenant on Civil and Political Rights 142nd Session (16 - 17 October) </w:t>
      </w:r>
    </w:p>
    <w:p w14:paraId="6325C802" w14:textId="5317B2E3" w:rsidR="00464899" w:rsidRPr="00464899" w:rsidRDefault="00464899" w:rsidP="00464899">
      <w:pPr>
        <w:rPr>
          <w:b/>
          <w:sz w:val="32"/>
          <w:szCs w:val="32"/>
        </w:rPr>
      </w:pPr>
      <w:r w:rsidRPr="00464899">
        <w:rPr>
          <w:b/>
          <w:sz w:val="32"/>
          <w:szCs w:val="32"/>
        </w:rPr>
        <w:t>From Right to Life Association (Yaşam Hakları Derneği)</w:t>
      </w:r>
    </w:p>
    <w:p w14:paraId="75529245" w14:textId="3B76DD84" w:rsidR="00D95E7A" w:rsidRDefault="00464899" w:rsidP="00464899">
      <w:pPr>
        <w:rPr>
          <w:b/>
        </w:rPr>
      </w:pPr>
      <w:r w:rsidRPr="00464899">
        <w:rPr>
          <w:b/>
          <w:sz w:val="32"/>
          <w:szCs w:val="32"/>
        </w:rPr>
        <w:t>August 2024</w:t>
      </w:r>
    </w:p>
    <w:p w14:paraId="7BC256C7" w14:textId="77777777" w:rsidR="00D95E7A" w:rsidRDefault="00D95E7A">
      <w:pPr>
        <w:rPr>
          <w:b/>
        </w:rPr>
      </w:pPr>
    </w:p>
    <w:p w14:paraId="2B70E1C7" w14:textId="77777777" w:rsidR="00710794" w:rsidRDefault="00710794">
      <w:pPr>
        <w:rPr>
          <w:b/>
        </w:rPr>
      </w:pPr>
    </w:p>
    <w:p w14:paraId="24925773" w14:textId="77777777" w:rsidR="00710794" w:rsidRDefault="00710794">
      <w:pPr>
        <w:rPr>
          <w:b/>
        </w:rPr>
      </w:pPr>
    </w:p>
    <w:p w14:paraId="25637753" w14:textId="77777777" w:rsidR="00D95E7A" w:rsidRDefault="00D95E7A">
      <w:pPr>
        <w:rPr>
          <w:b/>
        </w:rPr>
      </w:pPr>
    </w:p>
    <w:p w14:paraId="73E56D76" w14:textId="77777777" w:rsidR="00D95E7A" w:rsidRDefault="00D95E7A">
      <w:pPr>
        <w:rPr>
          <w:b/>
        </w:rPr>
      </w:pPr>
    </w:p>
    <w:p w14:paraId="43A53E8E" w14:textId="77777777" w:rsidR="00D95E7A" w:rsidRDefault="00D95E7A">
      <w:pPr>
        <w:rPr>
          <w:b/>
        </w:rPr>
      </w:pPr>
    </w:p>
    <w:p w14:paraId="01747884" w14:textId="3374C5F8" w:rsidR="00C163BC" w:rsidRDefault="00DC20CF">
      <w:pPr>
        <w:pBdr>
          <w:top w:val="single" w:sz="4" w:space="1" w:color="auto"/>
          <w:left w:val="single" w:sz="4" w:space="4" w:color="auto"/>
          <w:bottom w:val="single" w:sz="4" w:space="1" w:color="auto"/>
          <w:right w:val="single" w:sz="4" w:space="4" w:color="auto"/>
        </w:pBdr>
        <w:jc w:val="center"/>
        <w:rPr>
          <w:b/>
          <w:i/>
          <w:sz w:val="48"/>
          <w:szCs w:val="48"/>
        </w:rPr>
      </w:pPr>
      <w:r>
        <w:rPr>
          <w:b/>
          <w:i/>
          <w:sz w:val="48"/>
          <w:szCs w:val="48"/>
        </w:rPr>
        <w:t>The second dismissal of Peace Academics</w:t>
      </w:r>
    </w:p>
    <w:p w14:paraId="2E3C5D83" w14:textId="77777777" w:rsidR="001E67ED" w:rsidRDefault="001E67ED" w:rsidP="00D95E7A">
      <w:pPr>
        <w:jc w:val="center"/>
        <w:rPr>
          <w:b/>
          <w:sz w:val="44"/>
          <w:szCs w:val="44"/>
        </w:rPr>
      </w:pPr>
    </w:p>
    <w:p w14:paraId="704A7F3C" w14:textId="140FACF6" w:rsidR="00C163BC" w:rsidRDefault="00C163BC">
      <w:pPr>
        <w:jc w:val="center"/>
        <w:rPr>
          <w:b/>
          <w:sz w:val="44"/>
          <w:szCs w:val="44"/>
        </w:rPr>
      </w:pPr>
    </w:p>
    <w:p w14:paraId="4BB88B88" w14:textId="77777777" w:rsidR="00D95E7A" w:rsidRDefault="00D95E7A">
      <w:pPr>
        <w:rPr>
          <w:b/>
        </w:rPr>
      </w:pPr>
    </w:p>
    <w:p w14:paraId="01CDB48E" w14:textId="77777777" w:rsidR="00D95E7A" w:rsidRDefault="00D95E7A">
      <w:pPr>
        <w:rPr>
          <w:b/>
        </w:rPr>
      </w:pPr>
    </w:p>
    <w:p w14:paraId="4B945E63" w14:textId="77777777" w:rsidR="00D95E7A" w:rsidRDefault="00D95E7A">
      <w:pPr>
        <w:rPr>
          <w:b/>
        </w:rPr>
      </w:pPr>
    </w:p>
    <w:p w14:paraId="15F5DBA7" w14:textId="77777777" w:rsidR="00D95E7A" w:rsidRDefault="00D95E7A">
      <w:pPr>
        <w:rPr>
          <w:b/>
        </w:rPr>
      </w:pPr>
    </w:p>
    <w:p w14:paraId="13F85E6D" w14:textId="77777777" w:rsidR="00D95E7A" w:rsidRDefault="00D95E7A">
      <w:pPr>
        <w:rPr>
          <w:b/>
        </w:rPr>
      </w:pPr>
    </w:p>
    <w:p w14:paraId="3A4B3D63" w14:textId="77777777" w:rsidR="00D95E7A" w:rsidRDefault="00D95E7A">
      <w:pPr>
        <w:rPr>
          <w:b/>
        </w:rPr>
      </w:pPr>
    </w:p>
    <w:p w14:paraId="737EC4DF" w14:textId="77777777" w:rsidR="00D95E7A" w:rsidRDefault="00D95E7A">
      <w:pPr>
        <w:rPr>
          <w:b/>
        </w:rPr>
      </w:pPr>
    </w:p>
    <w:p w14:paraId="61538AE8" w14:textId="77777777" w:rsidR="00D95E7A" w:rsidRDefault="00D95E7A">
      <w:pPr>
        <w:rPr>
          <w:b/>
        </w:rPr>
      </w:pPr>
    </w:p>
    <w:p w14:paraId="5D04D5B3" w14:textId="77777777" w:rsidR="00D95E7A" w:rsidRDefault="00D95E7A">
      <w:pPr>
        <w:rPr>
          <w:b/>
        </w:rPr>
      </w:pPr>
    </w:p>
    <w:p w14:paraId="1D8711B1" w14:textId="77777777" w:rsidR="00D95E7A" w:rsidRDefault="00D95E7A">
      <w:pPr>
        <w:rPr>
          <w:b/>
        </w:rPr>
      </w:pPr>
    </w:p>
    <w:p w14:paraId="61BE68B9" w14:textId="77777777" w:rsidR="00D95E7A" w:rsidRDefault="00D95E7A">
      <w:pPr>
        <w:rPr>
          <w:b/>
        </w:rPr>
      </w:pPr>
    </w:p>
    <w:p w14:paraId="60C46E9A" w14:textId="77777777" w:rsidR="00D95E7A" w:rsidRDefault="00D95E7A">
      <w:pPr>
        <w:rPr>
          <w:b/>
        </w:rPr>
      </w:pPr>
    </w:p>
    <w:p w14:paraId="6AD3EB46" w14:textId="77777777" w:rsidR="00D95E7A" w:rsidRDefault="00D95E7A">
      <w:pPr>
        <w:rPr>
          <w:b/>
        </w:rPr>
      </w:pPr>
    </w:p>
    <w:p w14:paraId="5EF5DAC2" w14:textId="77777777" w:rsidR="00D95E7A" w:rsidRDefault="00D95E7A">
      <w:pPr>
        <w:rPr>
          <w:b/>
        </w:rPr>
      </w:pPr>
    </w:p>
    <w:p w14:paraId="18D627C2" w14:textId="77777777" w:rsidR="00D95E7A" w:rsidRDefault="00D95E7A">
      <w:pPr>
        <w:rPr>
          <w:b/>
        </w:rPr>
      </w:pPr>
    </w:p>
    <w:p w14:paraId="63483690" w14:textId="16F29390" w:rsidR="00BC1216" w:rsidRDefault="00BC1216">
      <w:pPr>
        <w:rPr>
          <w:b/>
        </w:rPr>
      </w:pPr>
    </w:p>
    <w:p w14:paraId="64621FA2" w14:textId="77777777" w:rsidR="00BC1216" w:rsidRDefault="00BC1216">
      <w:pPr>
        <w:rPr>
          <w:b/>
        </w:rPr>
      </w:pPr>
    </w:p>
    <w:p w14:paraId="23646438" w14:textId="77777777" w:rsidR="00BC1216" w:rsidRDefault="00BC1216">
      <w:pPr>
        <w:rPr>
          <w:b/>
        </w:rPr>
      </w:pPr>
    </w:p>
    <w:p w14:paraId="335B8C40" w14:textId="77777777" w:rsidR="00230181" w:rsidRDefault="00230181" w:rsidP="00230181">
      <w:pPr>
        <w:pBdr>
          <w:top w:val="single" w:sz="4" w:space="1" w:color="auto"/>
          <w:left w:val="single" w:sz="4" w:space="4" w:color="auto"/>
          <w:bottom w:val="single" w:sz="4" w:space="1" w:color="auto"/>
          <w:right w:val="single" w:sz="4" w:space="4" w:color="auto"/>
        </w:pBdr>
        <w:rPr>
          <w:b/>
        </w:rPr>
      </w:pPr>
    </w:p>
    <w:p w14:paraId="740F045A" w14:textId="77777777" w:rsidR="00C163BC" w:rsidRDefault="00B33E48">
      <w:pPr>
        <w:pBdr>
          <w:top w:val="single" w:sz="4" w:space="1" w:color="auto"/>
          <w:left w:val="single" w:sz="4" w:space="4" w:color="auto"/>
          <w:bottom w:val="single" w:sz="4" w:space="1" w:color="auto"/>
          <w:right w:val="single" w:sz="4" w:space="4" w:color="auto"/>
        </w:pBdr>
        <w:rPr>
          <w:b/>
          <w:i/>
          <w:color w:val="2F5496" w:themeColor="accent5" w:themeShade="BF"/>
          <w:sz w:val="32"/>
          <w:szCs w:val="32"/>
        </w:rPr>
      </w:pPr>
      <w:r w:rsidRPr="00230181">
        <w:rPr>
          <w:b/>
          <w:i/>
          <w:color w:val="2F5496" w:themeColor="accent5" w:themeShade="BF"/>
          <w:sz w:val="32"/>
          <w:szCs w:val="32"/>
        </w:rPr>
        <w:t>Right to Life Association (Yahader)</w:t>
      </w:r>
    </w:p>
    <w:p w14:paraId="72199CFE" w14:textId="2DCC5051" w:rsidR="00230181" w:rsidRPr="00230181" w:rsidRDefault="00DC20CF" w:rsidP="00230181">
      <w:pPr>
        <w:pBdr>
          <w:top w:val="single" w:sz="4" w:space="1" w:color="auto"/>
          <w:left w:val="single" w:sz="4" w:space="4" w:color="auto"/>
          <w:bottom w:val="single" w:sz="4" w:space="1" w:color="auto"/>
          <w:right w:val="single" w:sz="4" w:space="4" w:color="auto"/>
        </w:pBdr>
        <w:rPr>
          <w:b/>
          <w:i/>
          <w:color w:val="2F5496" w:themeColor="accent5" w:themeShade="BF"/>
          <w:sz w:val="32"/>
          <w:szCs w:val="32"/>
        </w:rPr>
      </w:pPr>
      <w:r w:rsidRPr="00DC20CF">
        <w:t>Yaşam Hakları Derneği was founded in 2018. Its first activity was to film a documentary about the victims of the urban transformation process in the Kirazlıtepe neighborhood of Üsküdar, Istanbul. Later, it carried out monitoring activities focused on rights violations against people who were dismissed from their posts and public offices via Decree Laws during the state of emergency declared after the coup attempt of July 15, 2016. The association also conducted two studies on children living with their mothers in prisons and the victimization of children whose parents are incarcerated.</w:t>
      </w:r>
    </w:p>
    <w:p w14:paraId="0FB30A3F" w14:textId="77777777" w:rsidR="00C163BC" w:rsidRDefault="00B33E48">
      <w:pPr>
        <w:pBdr>
          <w:top w:val="single" w:sz="4" w:space="1" w:color="auto"/>
          <w:left w:val="single" w:sz="4" w:space="4" w:color="auto"/>
          <w:bottom w:val="single" w:sz="4" w:space="1" w:color="auto"/>
          <w:right w:val="single" w:sz="4" w:space="4" w:color="auto"/>
        </w:pBdr>
        <w:spacing w:after="0"/>
        <w:rPr>
          <w:b/>
          <w:color w:val="2F5496" w:themeColor="accent5" w:themeShade="BF"/>
        </w:rPr>
      </w:pPr>
      <w:r>
        <w:rPr>
          <w:b/>
          <w:color w:val="2F5496" w:themeColor="accent5" w:themeShade="BF"/>
        </w:rPr>
        <w:t xml:space="preserve">Address: Aziz Mahmud Hüdai Mah. </w:t>
      </w:r>
    </w:p>
    <w:p w14:paraId="629CBAF9" w14:textId="77777777" w:rsidR="00C163BC" w:rsidRDefault="00B33E48">
      <w:pPr>
        <w:pBdr>
          <w:top w:val="single" w:sz="4" w:space="1" w:color="auto"/>
          <w:left w:val="single" w:sz="4" w:space="4" w:color="auto"/>
          <w:bottom w:val="single" w:sz="4" w:space="1" w:color="auto"/>
          <w:right w:val="single" w:sz="4" w:space="4" w:color="auto"/>
        </w:pBdr>
        <w:spacing w:after="0"/>
        <w:rPr>
          <w:b/>
          <w:color w:val="2F5496" w:themeColor="accent5" w:themeShade="BF"/>
        </w:rPr>
      </w:pPr>
      <w:r>
        <w:rPr>
          <w:b/>
          <w:color w:val="2F5496" w:themeColor="accent5" w:themeShade="BF"/>
        </w:rPr>
        <w:t xml:space="preserve">             Kancal Business Centre NO: 58/19</w:t>
      </w:r>
    </w:p>
    <w:p w14:paraId="31BDC31E" w14:textId="77777777" w:rsidR="00C163BC" w:rsidRDefault="00B33E48">
      <w:pPr>
        <w:pBdr>
          <w:top w:val="single" w:sz="4" w:space="1" w:color="auto"/>
          <w:left w:val="single" w:sz="4" w:space="4" w:color="auto"/>
          <w:bottom w:val="single" w:sz="4" w:space="1" w:color="auto"/>
          <w:right w:val="single" w:sz="4" w:space="4" w:color="auto"/>
        </w:pBdr>
        <w:spacing w:after="120"/>
        <w:rPr>
          <w:b/>
          <w:color w:val="2F5496" w:themeColor="accent5" w:themeShade="BF"/>
        </w:rPr>
      </w:pPr>
      <w:r>
        <w:rPr>
          <w:b/>
          <w:color w:val="2F5496" w:themeColor="accent5" w:themeShade="BF"/>
        </w:rPr>
        <w:t xml:space="preserve">             Üsküdar-Istanbul</w:t>
      </w:r>
    </w:p>
    <w:p w14:paraId="57F31583" w14:textId="25B235B0" w:rsidR="00C163BC" w:rsidRDefault="00DC20CF">
      <w:pPr>
        <w:pBdr>
          <w:top w:val="single" w:sz="4" w:space="1" w:color="auto"/>
          <w:left w:val="single" w:sz="4" w:space="4" w:color="auto"/>
          <w:bottom w:val="single" w:sz="4" w:space="1" w:color="auto"/>
          <w:right w:val="single" w:sz="4" w:space="4" w:color="auto"/>
        </w:pBdr>
        <w:spacing w:after="120"/>
        <w:rPr>
          <w:b/>
          <w:color w:val="2F5496" w:themeColor="accent5" w:themeShade="BF"/>
        </w:rPr>
      </w:pPr>
      <w:r>
        <w:rPr>
          <w:b/>
          <w:color w:val="2F5496" w:themeColor="accent5" w:themeShade="BF"/>
        </w:rPr>
        <w:t>Phone</w:t>
      </w:r>
      <w:r w:rsidR="00B33E48" w:rsidRPr="00230181">
        <w:rPr>
          <w:b/>
          <w:color w:val="2F5496" w:themeColor="accent5" w:themeShade="BF"/>
        </w:rPr>
        <w:t>: 0533 483 0268</w:t>
      </w:r>
    </w:p>
    <w:p w14:paraId="238D2499" w14:textId="77777777" w:rsidR="00C163BC" w:rsidRDefault="00B33E48">
      <w:pPr>
        <w:pBdr>
          <w:top w:val="single" w:sz="4" w:space="1" w:color="auto"/>
          <w:left w:val="single" w:sz="4" w:space="4" w:color="auto"/>
          <w:bottom w:val="single" w:sz="4" w:space="1" w:color="auto"/>
          <w:right w:val="single" w:sz="4" w:space="4" w:color="auto"/>
        </w:pBdr>
        <w:spacing w:after="120"/>
        <w:rPr>
          <w:b/>
        </w:rPr>
      </w:pPr>
      <w:r w:rsidRPr="00230181">
        <w:rPr>
          <w:b/>
          <w:color w:val="2F5496" w:themeColor="accent5" w:themeShade="BF"/>
        </w:rPr>
        <w:t xml:space="preserve">Email: </w:t>
      </w:r>
      <w:hyperlink r:id="rId8" w:history="1">
        <w:r w:rsidRPr="002A6F05">
          <w:rPr>
            <w:rStyle w:val="Hyperlink"/>
            <w:b/>
          </w:rPr>
          <w:t>ranaberk@yahader.org</w:t>
        </w:r>
      </w:hyperlink>
    </w:p>
    <w:p w14:paraId="78C1CB88" w14:textId="77777777" w:rsidR="00C163BC" w:rsidRDefault="00B33E48">
      <w:pPr>
        <w:pBdr>
          <w:top w:val="single" w:sz="4" w:space="1" w:color="auto"/>
          <w:left w:val="single" w:sz="4" w:space="4" w:color="auto"/>
          <w:bottom w:val="single" w:sz="4" w:space="1" w:color="auto"/>
          <w:right w:val="single" w:sz="4" w:space="4" w:color="auto"/>
        </w:pBdr>
        <w:spacing w:after="120"/>
        <w:rPr>
          <w:b/>
          <w:color w:val="2F5496" w:themeColor="accent5" w:themeShade="BF"/>
        </w:rPr>
      </w:pPr>
      <w:r w:rsidRPr="00230181">
        <w:rPr>
          <w:b/>
          <w:color w:val="2F5496" w:themeColor="accent5" w:themeShade="BF"/>
        </w:rPr>
        <w:t>Website: www.yahader.org</w:t>
      </w:r>
    </w:p>
    <w:p w14:paraId="2BC9A708" w14:textId="77777777" w:rsidR="00230181" w:rsidRDefault="00230181" w:rsidP="00230181">
      <w:pPr>
        <w:pBdr>
          <w:top w:val="single" w:sz="4" w:space="1" w:color="auto"/>
          <w:left w:val="single" w:sz="4" w:space="4" w:color="auto"/>
          <w:bottom w:val="single" w:sz="4" w:space="1" w:color="auto"/>
          <w:right w:val="single" w:sz="4" w:space="4" w:color="auto"/>
        </w:pBdr>
      </w:pPr>
    </w:p>
    <w:p w14:paraId="71A9789E" w14:textId="77777777" w:rsidR="00D95E7A" w:rsidRDefault="00D95E7A" w:rsidP="00230181">
      <w:pPr>
        <w:pBdr>
          <w:top w:val="single" w:sz="4" w:space="1" w:color="auto"/>
          <w:left w:val="single" w:sz="4" w:space="4" w:color="auto"/>
          <w:bottom w:val="single" w:sz="4" w:space="1" w:color="auto"/>
          <w:right w:val="single" w:sz="4" w:space="4" w:color="auto"/>
        </w:pBdr>
        <w:rPr>
          <w:b/>
        </w:rPr>
      </w:pPr>
    </w:p>
    <w:p w14:paraId="0D853DA9" w14:textId="77777777" w:rsidR="00D95E7A" w:rsidRDefault="00D95E7A">
      <w:pPr>
        <w:rPr>
          <w:b/>
        </w:rPr>
      </w:pPr>
    </w:p>
    <w:p w14:paraId="4B9B4466" w14:textId="77777777" w:rsidR="00D95E7A" w:rsidRDefault="00D95E7A">
      <w:pPr>
        <w:rPr>
          <w:b/>
        </w:rPr>
      </w:pPr>
    </w:p>
    <w:p w14:paraId="1E9BEC40" w14:textId="77777777" w:rsidR="00D95E7A" w:rsidRDefault="00D95E7A">
      <w:pPr>
        <w:rPr>
          <w:b/>
        </w:rPr>
      </w:pPr>
    </w:p>
    <w:p w14:paraId="5EC31C01" w14:textId="77777777" w:rsidR="00D95E7A" w:rsidRDefault="00D95E7A" w:rsidP="00D95E7A">
      <w:pPr>
        <w:pStyle w:val="Body"/>
        <w:spacing w:after="0" w:line="240" w:lineRule="auto"/>
        <w:rPr>
          <w:i/>
          <w:iCs/>
          <w:sz w:val="36"/>
          <w:szCs w:val="36"/>
        </w:rPr>
      </w:pPr>
    </w:p>
    <w:p w14:paraId="7E163A83" w14:textId="77777777" w:rsidR="00D95E7A" w:rsidRDefault="00D95E7A" w:rsidP="00D95E7A">
      <w:pPr>
        <w:pStyle w:val="Body"/>
        <w:spacing w:after="0" w:line="240" w:lineRule="auto"/>
        <w:rPr>
          <w:i/>
          <w:iCs/>
          <w:sz w:val="36"/>
          <w:szCs w:val="36"/>
        </w:rPr>
      </w:pPr>
    </w:p>
    <w:p w14:paraId="35CF9FDD" w14:textId="77777777" w:rsidR="00D95E7A" w:rsidRDefault="00D95E7A" w:rsidP="00D95E7A">
      <w:pPr>
        <w:pStyle w:val="Body"/>
        <w:spacing w:after="0" w:line="240" w:lineRule="auto"/>
        <w:rPr>
          <w:i/>
          <w:iCs/>
          <w:sz w:val="36"/>
          <w:szCs w:val="36"/>
        </w:rPr>
      </w:pPr>
    </w:p>
    <w:p w14:paraId="7934A6E4" w14:textId="77777777" w:rsidR="00D95E7A" w:rsidRDefault="00D95E7A" w:rsidP="00D95E7A">
      <w:pPr>
        <w:pStyle w:val="Body"/>
        <w:spacing w:after="0" w:line="240" w:lineRule="auto"/>
        <w:rPr>
          <w:i/>
          <w:iCs/>
          <w:sz w:val="36"/>
          <w:szCs w:val="36"/>
        </w:rPr>
      </w:pPr>
    </w:p>
    <w:p w14:paraId="73F36F36" w14:textId="77777777" w:rsidR="00D95E7A" w:rsidRDefault="00D95E7A" w:rsidP="00D95E7A">
      <w:pPr>
        <w:pStyle w:val="Body"/>
        <w:spacing w:after="0" w:line="240" w:lineRule="auto"/>
        <w:rPr>
          <w:i/>
          <w:iCs/>
          <w:sz w:val="36"/>
          <w:szCs w:val="36"/>
        </w:rPr>
      </w:pPr>
    </w:p>
    <w:p w14:paraId="5CFE6A85" w14:textId="77777777" w:rsidR="00D95E7A" w:rsidRDefault="00D95E7A" w:rsidP="00D95E7A">
      <w:pPr>
        <w:pStyle w:val="Body"/>
        <w:spacing w:after="0" w:line="240" w:lineRule="auto"/>
        <w:rPr>
          <w:i/>
          <w:iCs/>
          <w:sz w:val="36"/>
          <w:szCs w:val="36"/>
        </w:rPr>
      </w:pPr>
    </w:p>
    <w:p w14:paraId="27494C8E" w14:textId="77777777" w:rsidR="00D95E7A" w:rsidRDefault="00D95E7A" w:rsidP="00D95E7A">
      <w:pPr>
        <w:pStyle w:val="Body"/>
        <w:spacing w:after="0" w:line="240" w:lineRule="auto"/>
        <w:rPr>
          <w:i/>
          <w:iCs/>
          <w:sz w:val="36"/>
          <w:szCs w:val="36"/>
        </w:rPr>
      </w:pPr>
    </w:p>
    <w:p w14:paraId="7298BA69" w14:textId="77777777" w:rsidR="00D95E7A" w:rsidRDefault="00D95E7A" w:rsidP="00D95E7A">
      <w:pPr>
        <w:pStyle w:val="Body"/>
        <w:spacing w:after="0" w:line="240" w:lineRule="auto"/>
        <w:rPr>
          <w:i/>
          <w:iCs/>
          <w:sz w:val="36"/>
          <w:szCs w:val="36"/>
        </w:rPr>
      </w:pPr>
    </w:p>
    <w:p w14:paraId="3DAA2B53" w14:textId="4F369C89" w:rsidR="00C163BC" w:rsidRDefault="00B33E48">
      <w:pPr>
        <w:pStyle w:val="Body"/>
        <w:spacing w:after="0" w:line="240" w:lineRule="auto"/>
        <w:rPr>
          <w:i/>
          <w:iCs/>
          <w:sz w:val="36"/>
          <w:szCs w:val="36"/>
        </w:rPr>
      </w:pPr>
      <w:r>
        <w:rPr>
          <w:i/>
          <w:iCs/>
          <w:sz w:val="36"/>
          <w:szCs w:val="36"/>
        </w:rPr>
        <w:lastRenderedPageBreak/>
        <w:t>ABBREVIATIONS</w:t>
      </w:r>
      <w:r w:rsidR="00902898">
        <w:rPr>
          <w:i/>
          <w:iCs/>
          <w:sz w:val="36"/>
          <w:szCs w:val="36"/>
        </w:rPr>
        <w:t xml:space="preserve"> – GLOSSARY</w:t>
      </w:r>
    </w:p>
    <w:p w14:paraId="36AC20BD" w14:textId="77777777" w:rsidR="00D95E7A" w:rsidRDefault="00D95E7A" w:rsidP="00D95E7A">
      <w:pPr>
        <w:rPr>
          <w:b/>
          <w:i/>
          <w:sz w:val="28"/>
          <w:szCs w:val="28"/>
        </w:rPr>
      </w:pPr>
    </w:p>
    <w:p w14:paraId="444CE000" w14:textId="3F0CEACC" w:rsidR="00C163BC" w:rsidRDefault="00B33E48">
      <w:pPr>
        <w:pStyle w:val="Body"/>
        <w:spacing w:after="0" w:line="480" w:lineRule="auto"/>
      </w:pPr>
      <w:r>
        <w:t>AHIM</w:t>
      </w:r>
      <w:r w:rsidR="005A7211">
        <w:t>:</w:t>
      </w:r>
      <w:r>
        <w:t xml:space="preserve"> European Court of Human Rights</w:t>
      </w:r>
    </w:p>
    <w:p w14:paraId="543A3977" w14:textId="77777777" w:rsidR="00C163BC" w:rsidRDefault="00B33E48">
      <w:pPr>
        <w:pStyle w:val="Body"/>
        <w:spacing w:after="0" w:line="480" w:lineRule="auto"/>
      </w:pPr>
      <w:r>
        <w:t>ECHR: European Convention on Human Rights</w:t>
      </w:r>
    </w:p>
    <w:p w14:paraId="58BB5F6C" w14:textId="76F47DC8" w:rsidR="00C163BC" w:rsidRDefault="004D1D35">
      <w:pPr>
        <w:pStyle w:val="Body"/>
        <w:spacing w:after="0" w:line="480" w:lineRule="auto"/>
      </w:pPr>
      <w:r>
        <w:t>AYM</w:t>
      </w:r>
      <w:r w:rsidR="00DC20CF">
        <w:t>: Turkish</w:t>
      </w:r>
      <w:r w:rsidR="00B33E48">
        <w:t xml:space="preserve"> Constitutional Court</w:t>
      </w:r>
    </w:p>
    <w:p w14:paraId="2748A03B" w14:textId="6CAC8372" w:rsidR="00C163BC" w:rsidRDefault="00B33E48">
      <w:pPr>
        <w:pStyle w:val="Body"/>
        <w:spacing w:after="0" w:line="480" w:lineRule="auto"/>
      </w:pPr>
      <w:r>
        <w:t>UN</w:t>
      </w:r>
      <w:r w:rsidR="00DC20CF">
        <w:t>:</w:t>
      </w:r>
      <w:r>
        <w:t xml:space="preserve"> United Nations</w:t>
      </w:r>
    </w:p>
    <w:p w14:paraId="2837C3CA" w14:textId="70F89A96" w:rsidR="00C163BC" w:rsidRDefault="00B33E48">
      <w:r>
        <w:t>EĞİTİM</w:t>
      </w:r>
      <w:r w:rsidR="00902898">
        <w:t>-</w:t>
      </w:r>
      <w:r>
        <w:t>SEN</w:t>
      </w:r>
      <w:r w:rsidR="00DC20CF">
        <w:t>:</w:t>
      </w:r>
      <w:r>
        <w:t xml:space="preserve"> Education and Science Workers' Union</w:t>
      </w:r>
    </w:p>
    <w:p w14:paraId="7E5ED360" w14:textId="77777777" w:rsidR="00C163BC" w:rsidRDefault="00B33E48">
      <w:r w:rsidRPr="0069405C">
        <w:t xml:space="preserve">ILO: </w:t>
      </w:r>
      <w:r>
        <w:t>International Labour Organization</w:t>
      </w:r>
    </w:p>
    <w:p w14:paraId="16E01685" w14:textId="251E425D" w:rsidR="00C163BC" w:rsidRDefault="00DC20CF">
      <w:pPr>
        <w:pStyle w:val="Body"/>
        <w:spacing w:after="0" w:line="480" w:lineRule="auto"/>
      </w:pPr>
      <w:r>
        <w:t>KHK:</w:t>
      </w:r>
      <w:r w:rsidR="00B33E48">
        <w:t xml:space="preserve"> Decree Law</w:t>
      </w:r>
    </w:p>
    <w:p w14:paraId="2DCC9D8C" w14:textId="14E4B564" w:rsidR="00C163BC" w:rsidRDefault="00B33E48">
      <w:r>
        <w:t>KESK</w:t>
      </w:r>
      <w:r w:rsidR="00DC20CF">
        <w:t>:</w:t>
      </w:r>
      <w:r>
        <w:t xml:space="preserve"> Confederation of Public Employees' Trade Unions</w:t>
      </w:r>
    </w:p>
    <w:p w14:paraId="1DC4C44D" w14:textId="77777777" w:rsidR="00C163BC" w:rsidRDefault="00B33E48">
      <w:pPr>
        <w:rPr>
          <w:b/>
        </w:rPr>
      </w:pPr>
      <w:r>
        <w:rPr>
          <w:lang w:val="de-DE"/>
        </w:rPr>
        <w:t xml:space="preserve">OHAL: </w:t>
      </w:r>
      <w:r>
        <w:t>State of Emergency</w:t>
      </w:r>
    </w:p>
    <w:p w14:paraId="0B166932" w14:textId="77777777" w:rsidR="00D95E7A" w:rsidRDefault="00D95E7A">
      <w:pPr>
        <w:rPr>
          <w:b/>
        </w:rPr>
      </w:pPr>
    </w:p>
    <w:p w14:paraId="75CE5E48" w14:textId="77777777" w:rsidR="00D95E7A" w:rsidRDefault="00D95E7A">
      <w:pPr>
        <w:rPr>
          <w:b/>
        </w:rPr>
      </w:pPr>
    </w:p>
    <w:p w14:paraId="0903D610" w14:textId="77777777" w:rsidR="00D95E7A" w:rsidRDefault="00D95E7A">
      <w:pPr>
        <w:rPr>
          <w:b/>
        </w:rPr>
      </w:pPr>
    </w:p>
    <w:p w14:paraId="7337D87C" w14:textId="77777777" w:rsidR="00D95E7A" w:rsidRDefault="00D95E7A">
      <w:pPr>
        <w:rPr>
          <w:b/>
        </w:rPr>
      </w:pPr>
    </w:p>
    <w:p w14:paraId="4079017C" w14:textId="77777777" w:rsidR="00D95E7A" w:rsidRDefault="00D95E7A">
      <w:pPr>
        <w:rPr>
          <w:b/>
        </w:rPr>
      </w:pPr>
    </w:p>
    <w:p w14:paraId="7D3AD639" w14:textId="77777777" w:rsidR="00D95E7A" w:rsidRDefault="00D95E7A">
      <w:pPr>
        <w:rPr>
          <w:b/>
        </w:rPr>
      </w:pPr>
    </w:p>
    <w:p w14:paraId="5539434A" w14:textId="77777777" w:rsidR="00D95E7A" w:rsidRDefault="00D95E7A">
      <w:pPr>
        <w:rPr>
          <w:b/>
        </w:rPr>
      </w:pPr>
    </w:p>
    <w:p w14:paraId="10D74E05" w14:textId="77777777" w:rsidR="00D95E7A" w:rsidRDefault="00D95E7A">
      <w:pPr>
        <w:rPr>
          <w:b/>
        </w:rPr>
      </w:pPr>
    </w:p>
    <w:p w14:paraId="2ED8CB04" w14:textId="77777777" w:rsidR="00D95E7A" w:rsidRDefault="00D95E7A">
      <w:pPr>
        <w:rPr>
          <w:b/>
        </w:rPr>
      </w:pPr>
    </w:p>
    <w:p w14:paraId="4DF130F1" w14:textId="77777777" w:rsidR="00D95E7A" w:rsidRDefault="00D95E7A">
      <w:pPr>
        <w:rPr>
          <w:b/>
        </w:rPr>
      </w:pPr>
    </w:p>
    <w:p w14:paraId="38EF7B3F" w14:textId="77777777" w:rsidR="00D95E7A" w:rsidRDefault="00D95E7A">
      <w:pPr>
        <w:rPr>
          <w:b/>
        </w:rPr>
      </w:pPr>
    </w:p>
    <w:p w14:paraId="5657F6BA" w14:textId="77777777" w:rsidR="00D95E7A" w:rsidRDefault="00D95E7A">
      <w:pPr>
        <w:rPr>
          <w:b/>
        </w:rPr>
      </w:pPr>
    </w:p>
    <w:p w14:paraId="07A12B6B" w14:textId="77777777" w:rsidR="00D95E7A" w:rsidRDefault="00D95E7A">
      <w:pPr>
        <w:rPr>
          <w:b/>
        </w:rPr>
      </w:pPr>
    </w:p>
    <w:p w14:paraId="4D0B6649" w14:textId="77777777" w:rsidR="00D95E7A" w:rsidRDefault="00D95E7A">
      <w:pPr>
        <w:rPr>
          <w:b/>
        </w:rPr>
      </w:pPr>
    </w:p>
    <w:p w14:paraId="495FE41F" w14:textId="77777777" w:rsidR="00D95E7A" w:rsidRDefault="00D95E7A">
      <w:pPr>
        <w:rPr>
          <w:b/>
        </w:rPr>
      </w:pPr>
    </w:p>
    <w:p w14:paraId="6EC466E4" w14:textId="77777777" w:rsidR="002E1B14" w:rsidRDefault="002E1B14">
      <w:pPr>
        <w:rPr>
          <w:b/>
        </w:rPr>
      </w:pPr>
    </w:p>
    <w:p w14:paraId="7FAC3A27" w14:textId="77777777" w:rsidR="002E1B14" w:rsidRDefault="002E1B14">
      <w:pPr>
        <w:rPr>
          <w:b/>
        </w:rPr>
      </w:pPr>
    </w:p>
    <w:p w14:paraId="652E74CE" w14:textId="77777777" w:rsidR="00D95E7A" w:rsidRDefault="00D95E7A">
      <w:pPr>
        <w:rPr>
          <w:b/>
        </w:rPr>
      </w:pPr>
    </w:p>
    <w:p w14:paraId="7313C81C" w14:textId="77777777" w:rsidR="00710794" w:rsidRDefault="00710794">
      <w:pPr>
        <w:rPr>
          <w:b/>
        </w:rPr>
      </w:pPr>
    </w:p>
    <w:p w14:paraId="58F0E157" w14:textId="77777777" w:rsidR="00710794" w:rsidRDefault="00710794">
      <w:pPr>
        <w:rPr>
          <w:b/>
        </w:rPr>
      </w:pPr>
    </w:p>
    <w:p w14:paraId="2C01BA85" w14:textId="798535EE" w:rsidR="00710794" w:rsidRPr="006D7F36" w:rsidRDefault="006D7F36">
      <w:pPr>
        <w:rPr>
          <w:b/>
          <w:sz w:val="28"/>
          <w:szCs w:val="28"/>
        </w:rPr>
      </w:pPr>
      <w:r w:rsidRPr="006D7F36">
        <w:rPr>
          <w:b/>
          <w:sz w:val="28"/>
          <w:szCs w:val="28"/>
        </w:rPr>
        <w:t>Table of Contents</w:t>
      </w:r>
    </w:p>
    <w:p w14:paraId="595D5A14" w14:textId="77777777" w:rsidR="00710794" w:rsidRDefault="00710794">
      <w:pPr>
        <w:rPr>
          <w:b/>
        </w:rPr>
      </w:pPr>
    </w:p>
    <w:p w14:paraId="0E81449B" w14:textId="329A99D2" w:rsidR="00412AC9" w:rsidRDefault="006D7F36">
      <w:pPr>
        <w:pStyle w:val="TOC2"/>
        <w:tabs>
          <w:tab w:val="right" w:leader="dot" w:pos="9062"/>
        </w:tabs>
        <w:rPr>
          <w:rFonts w:eastAsiaTheme="minorEastAsia"/>
          <w:b w:val="0"/>
          <w:noProof/>
          <w:kern w:val="2"/>
          <w:sz w:val="24"/>
          <w:szCs w:val="24"/>
          <w:lang w:eastAsia="en-GB"/>
          <w14:ligatures w14:val="standardContextual"/>
        </w:rPr>
      </w:pPr>
      <w:r w:rsidRPr="006D7F36">
        <w:rPr>
          <w:b w:val="0"/>
        </w:rPr>
        <w:fldChar w:fldCharType="begin"/>
      </w:r>
      <w:r w:rsidRPr="006D7F36">
        <w:rPr>
          <w:b w:val="0"/>
        </w:rPr>
        <w:instrText xml:space="preserve"> TOC \o "1-3" </w:instrText>
      </w:r>
      <w:r w:rsidRPr="006D7F36">
        <w:rPr>
          <w:b w:val="0"/>
        </w:rPr>
        <w:fldChar w:fldCharType="separate"/>
      </w:r>
      <w:r w:rsidR="00412AC9" w:rsidRPr="003771AC">
        <w:rPr>
          <w:noProof/>
        </w:rPr>
        <w:t>A. General information on the national human rights situation, including new measures and developments in the implementation of the Covenant</w:t>
      </w:r>
      <w:r w:rsidR="00412AC9">
        <w:rPr>
          <w:noProof/>
        </w:rPr>
        <w:tab/>
      </w:r>
      <w:r w:rsidR="00412AC9">
        <w:rPr>
          <w:noProof/>
        </w:rPr>
        <w:fldChar w:fldCharType="begin"/>
      </w:r>
      <w:r w:rsidR="00412AC9">
        <w:rPr>
          <w:noProof/>
        </w:rPr>
        <w:instrText xml:space="preserve"> PAGEREF _Toc177052022 \h </w:instrText>
      </w:r>
      <w:r w:rsidR="00412AC9">
        <w:rPr>
          <w:noProof/>
        </w:rPr>
      </w:r>
      <w:r w:rsidR="00412AC9">
        <w:rPr>
          <w:noProof/>
        </w:rPr>
        <w:fldChar w:fldCharType="separate"/>
      </w:r>
      <w:r w:rsidR="00412AC9">
        <w:rPr>
          <w:noProof/>
        </w:rPr>
        <w:t>5</w:t>
      </w:r>
      <w:r w:rsidR="00412AC9">
        <w:rPr>
          <w:noProof/>
        </w:rPr>
        <w:fldChar w:fldCharType="end"/>
      </w:r>
    </w:p>
    <w:p w14:paraId="1031A6BC" w14:textId="258F9739" w:rsidR="00412AC9" w:rsidRDefault="00412AC9">
      <w:pPr>
        <w:pStyle w:val="TOC3"/>
        <w:tabs>
          <w:tab w:val="right" w:leader="dot" w:pos="9062"/>
        </w:tabs>
        <w:rPr>
          <w:rFonts w:eastAsiaTheme="minorEastAsia"/>
          <w:noProof/>
          <w:kern w:val="2"/>
          <w:sz w:val="24"/>
          <w:szCs w:val="24"/>
          <w:lang w:eastAsia="en-GB"/>
          <w14:ligatures w14:val="standardContextual"/>
        </w:rPr>
      </w:pPr>
      <w:r w:rsidRPr="003771AC">
        <w:rPr>
          <w:b/>
          <w:noProof/>
        </w:rPr>
        <w:t>Current Situation</w:t>
      </w:r>
      <w:r>
        <w:rPr>
          <w:noProof/>
        </w:rPr>
        <w:tab/>
      </w:r>
      <w:r w:rsidRPr="00F532AB">
        <w:rPr>
          <w:b/>
          <w:noProof/>
        </w:rPr>
        <w:fldChar w:fldCharType="begin"/>
      </w:r>
      <w:r w:rsidRPr="00F532AB">
        <w:rPr>
          <w:b/>
          <w:noProof/>
        </w:rPr>
        <w:instrText xml:space="preserve"> PAGEREF _Toc177052023 \h </w:instrText>
      </w:r>
      <w:r w:rsidRPr="00F532AB">
        <w:rPr>
          <w:b/>
          <w:noProof/>
        </w:rPr>
      </w:r>
      <w:r w:rsidRPr="00F532AB">
        <w:rPr>
          <w:b/>
          <w:noProof/>
        </w:rPr>
        <w:fldChar w:fldCharType="separate"/>
      </w:r>
      <w:r w:rsidRPr="00F532AB">
        <w:rPr>
          <w:b/>
          <w:noProof/>
        </w:rPr>
        <w:t>6</w:t>
      </w:r>
      <w:r w:rsidRPr="00F532AB">
        <w:rPr>
          <w:b/>
          <w:noProof/>
        </w:rPr>
        <w:fldChar w:fldCharType="end"/>
      </w:r>
    </w:p>
    <w:p w14:paraId="5BD62528" w14:textId="01968288" w:rsidR="00412AC9" w:rsidRDefault="00412AC9">
      <w:pPr>
        <w:pStyle w:val="TOC2"/>
        <w:tabs>
          <w:tab w:val="right" w:leader="dot" w:pos="9062"/>
        </w:tabs>
        <w:rPr>
          <w:rFonts w:eastAsiaTheme="minorEastAsia"/>
          <w:b w:val="0"/>
          <w:noProof/>
          <w:kern w:val="2"/>
          <w:sz w:val="24"/>
          <w:szCs w:val="24"/>
          <w:lang w:eastAsia="en-GB"/>
          <w14:ligatures w14:val="standardContextual"/>
        </w:rPr>
      </w:pPr>
      <w:r w:rsidRPr="003771AC">
        <w:rPr>
          <w:noProof/>
        </w:rPr>
        <w:t>B. Specific information on the implementation of articles 1 to 27 of the Covenant, including the Committee's previous recommendations</w:t>
      </w:r>
      <w:r>
        <w:rPr>
          <w:noProof/>
        </w:rPr>
        <w:tab/>
      </w:r>
      <w:r w:rsidR="00F532AB">
        <w:rPr>
          <w:noProof/>
        </w:rPr>
        <w:t>7</w:t>
      </w:r>
    </w:p>
    <w:p w14:paraId="415C4579" w14:textId="3984EEF5" w:rsidR="00412AC9" w:rsidRDefault="00412AC9">
      <w:pPr>
        <w:pStyle w:val="TOC3"/>
        <w:tabs>
          <w:tab w:val="right" w:leader="dot" w:pos="9062"/>
        </w:tabs>
        <w:rPr>
          <w:rFonts w:eastAsiaTheme="minorEastAsia"/>
          <w:noProof/>
          <w:kern w:val="2"/>
          <w:sz w:val="24"/>
          <w:szCs w:val="24"/>
          <w:lang w:eastAsia="en-GB"/>
          <w14:ligatures w14:val="standardContextual"/>
        </w:rPr>
      </w:pPr>
      <w:r w:rsidRPr="003771AC">
        <w:rPr>
          <w:b/>
          <w:noProof/>
        </w:rPr>
        <w:t>Non-discrimination (Articles 2, 3, 6, 25 and 26)</w:t>
      </w:r>
      <w:r>
        <w:rPr>
          <w:noProof/>
        </w:rPr>
        <w:tab/>
      </w:r>
      <w:r w:rsidR="00F532AB" w:rsidRPr="00F532AB">
        <w:rPr>
          <w:b/>
          <w:noProof/>
        </w:rPr>
        <w:t>7</w:t>
      </w:r>
    </w:p>
    <w:p w14:paraId="0BE219E9" w14:textId="362625CC" w:rsidR="00412AC9" w:rsidRDefault="00412AC9">
      <w:pPr>
        <w:pStyle w:val="TOC3"/>
        <w:tabs>
          <w:tab w:val="right" w:leader="dot" w:pos="9062"/>
        </w:tabs>
        <w:rPr>
          <w:rFonts w:eastAsiaTheme="minorEastAsia"/>
          <w:noProof/>
          <w:kern w:val="2"/>
          <w:sz w:val="24"/>
          <w:szCs w:val="24"/>
          <w:lang w:eastAsia="en-GB"/>
          <w14:ligatures w14:val="standardContextual"/>
        </w:rPr>
      </w:pPr>
      <w:r w:rsidRPr="003771AC">
        <w:rPr>
          <w:b/>
          <w:noProof/>
        </w:rPr>
        <w:t>Abolition of slavery, servitude and human trafficking (Articles 2, 7, 8 and 26)</w:t>
      </w:r>
      <w:r>
        <w:rPr>
          <w:noProof/>
        </w:rPr>
        <w:tab/>
      </w:r>
      <w:r w:rsidR="00F532AB" w:rsidRPr="00F532AB">
        <w:rPr>
          <w:b/>
          <w:noProof/>
        </w:rPr>
        <w:t>10</w:t>
      </w:r>
    </w:p>
    <w:p w14:paraId="7C08C925" w14:textId="3567B914" w:rsidR="00412AC9" w:rsidRDefault="00412AC9">
      <w:pPr>
        <w:pStyle w:val="TOC3"/>
        <w:tabs>
          <w:tab w:val="right" w:leader="dot" w:pos="9062"/>
        </w:tabs>
        <w:rPr>
          <w:rFonts w:eastAsiaTheme="minorEastAsia"/>
          <w:noProof/>
          <w:kern w:val="2"/>
          <w:sz w:val="24"/>
          <w:szCs w:val="24"/>
          <w:lang w:eastAsia="en-GB"/>
          <w14:ligatures w14:val="standardContextual"/>
        </w:rPr>
      </w:pPr>
      <w:r w:rsidRPr="003771AC">
        <w:rPr>
          <w:b/>
          <w:noProof/>
        </w:rPr>
        <w:t>Loss of rights in academic career</w:t>
      </w:r>
      <w:r>
        <w:rPr>
          <w:noProof/>
        </w:rPr>
        <w:tab/>
      </w:r>
      <w:r w:rsidR="00F532AB" w:rsidRPr="00F532AB">
        <w:rPr>
          <w:b/>
          <w:noProof/>
        </w:rPr>
        <w:t>12</w:t>
      </w:r>
    </w:p>
    <w:p w14:paraId="781997E9" w14:textId="50F74B89" w:rsidR="00412AC9" w:rsidRDefault="00412AC9">
      <w:pPr>
        <w:pStyle w:val="TOC3"/>
        <w:tabs>
          <w:tab w:val="right" w:leader="dot" w:pos="9062"/>
        </w:tabs>
        <w:rPr>
          <w:rFonts w:eastAsiaTheme="minorEastAsia"/>
          <w:noProof/>
          <w:kern w:val="2"/>
          <w:sz w:val="24"/>
          <w:szCs w:val="24"/>
          <w:lang w:eastAsia="en-GB"/>
          <w14:ligatures w14:val="standardContextual"/>
        </w:rPr>
      </w:pPr>
      <w:r w:rsidRPr="003771AC">
        <w:rPr>
          <w:b/>
          <w:noProof/>
          <w:color w:val="2E74B5" w:themeColor="accent1" w:themeShade="BF"/>
        </w:rPr>
        <w:t>Recommendations</w:t>
      </w:r>
      <w:r>
        <w:rPr>
          <w:noProof/>
        </w:rPr>
        <w:tab/>
      </w:r>
      <w:r w:rsidR="00F532AB" w:rsidRPr="00F532AB">
        <w:rPr>
          <w:b/>
          <w:noProof/>
        </w:rPr>
        <w:t>13</w:t>
      </w:r>
    </w:p>
    <w:p w14:paraId="25A7D095" w14:textId="08E5AF13" w:rsidR="00D95E7A" w:rsidRPr="00BE4088" w:rsidRDefault="006D7F36" w:rsidP="006D7F36">
      <w:pPr>
        <w:spacing w:before="100" w:beforeAutospacing="1" w:after="100" w:afterAutospacing="1" w:line="360" w:lineRule="auto"/>
      </w:pPr>
      <w:r w:rsidRPr="006D7F36">
        <w:fldChar w:fldCharType="end"/>
      </w:r>
      <w:r w:rsidR="00D95E7A">
        <w:tab/>
      </w:r>
      <w:r w:rsidR="00D95E7A">
        <w:tab/>
      </w:r>
      <w:r w:rsidR="00D95E7A">
        <w:tab/>
      </w:r>
      <w:r w:rsidR="00D95E7A">
        <w:tab/>
      </w:r>
      <w:r w:rsidR="00D95E7A">
        <w:tab/>
      </w:r>
      <w:r w:rsidR="00D95E7A">
        <w:tab/>
      </w:r>
      <w:r w:rsidR="00D95E7A">
        <w:tab/>
      </w:r>
      <w:r w:rsidR="00D95E7A">
        <w:tab/>
      </w:r>
      <w:r w:rsidR="00D95E7A">
        <w:tab/>
      </w:r>
      <w:r w:rsidR="00D95E7A">
        <w:tab/>
      </w:r>
      <w:r w:rsidR="00507380">
        <w:t xml:space="preserve">    </w:t>
      </w:r>
      <w:r w:rsidR="00D95E7A">
        <w:tab/>
      </w:r>
    </w:p>
    <w:p w14:paraId="55984558" w14:textId="77777777" w:rsidR="00D95E7A" w:rsidRDefault="00D95E7A">
      <w:pPr>
        <w:rPr>
          <w:b/>
        </w:rPr>
      </w:pPr>
    </w:p>
    <w:p w14:paraId="4DA93735" w14:textId="77777777" w:rsidR="00D95E7A" w:rsidRDefault="00D95E7A">
      <w:pPr>
        <w:rPr>
          <w:b/>
        </w:rPr>
      </w:pPr>
    </w:p>
    <w:p w14:paraId="65C7773B" w14:textId="77777777" w:rsidR="00710794" w:rsidRDefault="00710794">
      <w:pPr>
        <w:rPr>
          <w:b/>
        </w:rPr>
      </w:pPr>
    </w:p>
    <w:p w14:paraId="30360EBE" w14:textId="77777777" w:rsidR="00710794" w:rsidRDefault="00710794">
      <w:pPr>
        <w:rPr>
          <w:b/>
        </w:rPr>
      </w:pPr>
    </w:p>
    <w:p w14:paraId="24E04F9D" w14:textId="77777777" w:rsidR="00710794" w:rsidRDefault="00710794">
      <w:pPr>
        <w:rPr>
          <w:b/>
        </w:rPr>
      </w:pPr>
    </w:p>
    <w:p w14:paraId="4C5B038A" w14:textId="77777777" w:rsidR="00710794" w:rsidRDefault="00710794">
      <w:pPr>
        <w:rPr>
          <w:b/>
        </w:rPr>
      </w:pPr>
      <w:bookmarkStart w:id="0" w:name="_GoBack"/>
      <w:bookmarkEnd w:id="0"/>
    </w:p>
    <w:p w14:paraId="6FB7B7DB" w14:textId="77777777" w:rsidR="00D95E7A" w:rsidRDefault="00D95E7A">
      <w:pPr>
        <w:rPr>
          <w:b/>
        </w:rPr>
      </w:pPr>
    </w:p>
    <w:p w14:paraId="761530F6" w14:textId="77777777" w:rsidR="00D95E7A" w:rsidRDefault="00D95E7A">
      <w:pPr>
        <w:rPr>
          <w:b/>
        </w:rPr>
      </w:pPr>
    </w:p>
    <w:p w14:paraId="2604367E" w14:textId="77777777" w:rsidR="00D95E7A" w:rsidRDefault="00D95E7A">
      <w:pPr>
        <w:rPr>
          <w:b/>
        </w:rPr>
      </w:pPr>
    </w:p>
    <w:p w14:paraId="0AAB539F" w14:textId="77777777" w:rsidR="00D95E7A" w:rsidRDefault="00D95E7A">
      <w:pPr>
        <w:rPr>
          <w:b/>
        </w:rPr>
      </w:pPr>
    </w:p>
    <w:p w14:paraId="69B3B80D" w14:textId="77777777" w:rsidR="00D95E7A" w:rsidRDefault="00D95E7A">
      <w:pPr>
        <w:rPr>
          <w:b/>
        </w:rPr>
      </w:pPr>
    </w:p>
    <w:p w14:paraId="2EA8BAE4" w14:textId="77777777" w:rsidR="00D95E7A" w:rsidRDefault="00D95E7A">
      <w:pPr>
        <w:rPr>
          <w:b/>
        </w:rPr>
      </w:pPr>
    </w:p>
    <w:p w14:paraId="1A169373" w14:textId="77777777" w:rsidR="00D95E7A" w:rsidRDefault="00D95E7A">
      <w:pPr>
        <w:rPr>
          <w:b/>
        </w:rPr>
      </w:pPr>
    </w:p>
    <w:p w14:paraId="6F23555A" w14:textId="77777777" w:rsidR="00D95E7A" w:rsidRPr="0002183E" w:rsidRDefault="00D95E7A">
      <w:pPr>
        <w:rPr>
          <w:b/>
          <w:sz w:val="24"/>
          <w:szCs w:val="24"/>
        </w:rPr>
      </w:pPr>
    </w:p>
    <w:p w14:paraId="5971655B" w14:textId="77777777" w:rsidR="00464899" w:rsidRDefault="00464899">
      <w:pPr>
        <w:rPr>
          <w:rFonts w:asciiTheme="majorHAnsi" w:eastAsiaTheme="majorEastAsia" w:hAnsiTheme="majorHAnsi" w:cstheme="majorBidi"/>
          <w:b/>
          <w:color w:val="2E74B5" w:themeColor="accent1" w:themeShade="BF"/>
          <w:sz w:val="24"/>
          <w:szCs w:val="24"/>
        </w:rPr>
      </w:pPr>
      <w:r>
        <w:rPr>
          <w:b/>
          <w:sz w:val="24"/>
          <w:szCs w:val="24"/>
        </w:rPr>
        <w:br w:type="page"/>
      </w:r>
    </w:p>
    <w:p w14:paraId="64B10149" w14:textId="0C98B556" w:rsidR="00C163BC" w:rsidRPr="0002183E" w:rsidRDefault="00B33E48" w:rsidP="00DC20CF">
      <w:pPr>
        <w:pStyle w:val="Heading2"/>
        <w:rPr>
          <w:b/>
          <w:sz w:val="24"/>
          <w:szCs w:val="24"/>
        </w:rPr>
      </w:pPr>
      <w:bookmarkStart w:id="1" w:name="_Toc177052022"/>
      <w:r w:rsidRPr="0002183E">
        <w:rPr>
          <w:b/>
          <w:sz w:val="24"/>
          <w:szCs w:val="24"/>
        </w:rPr>
        <w:lastRenderedPageBreak/>
        <w:t xml:space="preserve">A. General </w:t>
      </w:r>
      <w:r w:rsidR="00B357E0" w:rsidRPr="0002183E">
        <w:rPr>
          <w:b/>
          <w:sz w:val="24"/>
          <w:szCs w:val="24"/>
        </w:rPr>
        <w:t>information</w:t>
      </w:r>
      <w:r w:rsidRPr="0002183E">
        <w:rPr>
          <w:b/>
          <w:sz w:val="24"/>
          <w:szCs w:val="24"/>
        </w:rPr>
        <w:t xml:space="preserve"> on the national human rights situation, including new measures and developments in the implementation of the </w:t>
      </w:r>
      <w:r w:rsidR="0002183E">
        <w:rPr>
          <w:b/>
          <w:sz w:val="24"/>
          <w:szCs w:val="24"/>
        </w:rPr>
        <w:t>Covenant</w:t>
      </w:r>
      <w:bookmarkEnd w:id="1"/>
      <w:r w:rsidRPr="0002183E">
        <w:rPr>
          <w:b/>
          <w:sz w:val="24"/>
          <w:szCs w:val="24"/>
        </w:rPr>
        <w:t xml:space="preserve"> </w:t>
      </w:r>
    </w:p>
    <w:p w14:paraId="6911124A" w14:textId="77777777" w:rsidR="00DC20CF" w:rsidRDefault="00DC20CF"/>
    <w:p w14:paraId="32C0476E" w14:textId="0137453A" w:rsidR="004D1D35" w:rsidRDefault="004D1D35" w:rsidP="00464899">
      <w:pPr>
        <w:pStyle w:val="ListParagraph"/>
        <w:numPr>
          <w:ilvl w:val="0"/>
          <w:numId w:val="12"/>
        </w:numPr>
        <w:jc w:val="both"/>
      </w:pPr>
      <w:r>
        <w:t>In 2016, 409 of the 2,212 academics who signed the peace petition titled “We will not be a party to this crime” were dismissed from public service by Decree Laws (KHK) during the two-year state of emergency (OHAL) declared after the coup attempt of July 15, 2016</w:t>
      </w:r>
      <w:r>
        <w:rPr>
          <w:rStyle w:val="FootnoteReference"/>
        </w:rPr>
        <w:footnoteReference w:id="1"/>
      </w:r>
      <w:r>
        <w:t>. These dismissed academics, due to the discrimination and marginalization they faced, were unable to find employment in the private sector and endured a long and grueling process, completely outside the boundaries of the law, without access to any justice mechanisms. Unfortunately, this process continues for most of the peace academics.</w:t>
      </w:r>
    </w:p>
    <w:p w14:paraId="158123CD" w14:textId="77777777" w:rsidR="004D1D35" w:rsidRDefault="004D1D35" w:rsidP="00464899">
      <w:pPr>
        <w:pStyle w:val="ListParagraph"/>
        <w:numPr>
          <w:ilvl w:val="0"/>
          <w:numId w:val="12"/>
        </w:numPr>
        <w:jc w:val="both"/>
      </w:pPr>
      <w:r>
        <w:t>The rights violations faced by the peace academics are so broad in scope that we need to narrow our focus to examine them. In this study, we aimed to focus on the injustices and rights violations, in other words, the “second dismissals” experienced by peace academics who were reinstated to their positions.</w:t>
      </w:r>
    </w:p>
    <w:p w14:paraId="164724F9" w14:textId="1FDF20B6" w:rsidR="004D1D35" w:rsidRDefault="004D1D35" w:rsidP="00464899">
      <w:pPr>
        <w:pStyle w:val="ListParagraph"/>
        <w:numPr>
          <w:ilvl w:val="0"/>
          <w:numId w:val="12"/>
        </w:numPr>
        <w:jc w:val="both"/>
      </w:pPr>
      <w:r>
        <w:t>The persecution of peace academics through the judiciary continues. Academics who were reinstated by court decisions are being blocked from returning to work by other court rulings. In 2019, the Constitutional Court (AYM) evaluated the peace petition within the scope of "freedom of expression" as guaranteed by Article 26 of the Constitution</w:t>
      </w:r>
      <w:r>
        <w:rPr>
          <w:rStyle w:val="FootnoteReference"/>
        </w:rPr>
        <w:footnoteReference w:id="2"/>
      </w:r>
      <w:r>
        <w:t>, and ruled that the cases and dismissals of academics for signing the petition constituted rights violations</w:t>
      </w:r>
      <w:r>
        <w:rPr>
          <w:rStyle w:val="FootnoteReference"/>
        </w:rPr>
        <w:footnoteReference w:id="3"/>
      </w:r>
      <w:r>
        <w:t>. However, this ruling by the AYM from five years ago is not being recognized by some university administrations and administrative courts.</w:t>
      </w:r>
    </w:p>
    <w:p w14:paraId="42623275" w14:textId="28EF3E11" w:rsidR="004D1D35" w:rsidRDefault="004D1D35" w:rsidP="00464899">
      <w:pPr>
        <w:pStyle w:val="ListParagraph"/>
        <w:numPr>
          <w:ilvl w:val="0"/>
          <w:numId w:val="12"/>
        </w:numPr>
        <w:jc w:val="both"/>
      </w:pPr>
      <w:r>
        <w:t>Peace academics are unable to benefit from fundamental rights guaranteed by various international agreements and the Constitution. Based on the United Nations International Covenant on Civil and Political Rights (ICCPR), we can summarize these fundamental rights as follows: prohibition of discrimination (Article 2), freedom of movement (Article 12), equality before the courts and right to a fair trial (Article 14), freedom of expression (Article 19), freedom of association (Article 22), and equality before the law (Article 26)</w:t>
      </w:r>
      <w:r w:rsidRPr="00464899">
        <w:rPr>
          <w:rStyle w:val="FootnoteReference"/>
          <w:rFonts w:cs="Tahoma"/>
          <w:color w:val="281E1E"/>
          <w:shd w:val="clear" w:color="auto" w:fill="FFFFFF"/>
        </w:rPr>
        <w:t xml:space="preserve"> </w:t>
      </w:r>
      <w:r>
        <w:rPr>
          <w:rStyle w:val="FootnoteReference"/>
          <w:rFonts w:cs="Tahoma"/>
          <w:color w:val="281E1E"/>
          <w:shd w:val="clear" w:color="auto" w:fill="FFFFFF"/>
        </w:rPr>
        <w:footnoteReference w:id="4"/>
      </w:r>
      <w:r>
        <w:t>.</w:t>
      </w:r>
    </w:p>
    <w:p w14:paraId="4C368FB7" w14:textId="2EC6306E" w:rsidR="004D1D35" w:rsidRDefault="004D1D35" w:rsidP="00464899">
      <w:pPr>
        <w:pStyle w:val="ListParagraph"/>
        <w:numPr>
          <w:ilvl w:val="0"/>
          <w:numId w:val="12"/>
        </w:numPr>
        <w:jc w:val="both"/>
      </w:pPr>
      <w:r>
        <w:t>Furthermore, the second dismissals of peace academics also violate Article 2 of the ILO Convention No. 111, which Turkey has ratified. This article commits to “establishing and following a national policy aimed at promoting equality of treatment in employment and occupation and eliminating all forms of discrimination.”</w:t>
      </w:r>
      <w:r>
        <w:rPr>
          <w:rStyle w:val="FootnoteReference"/>
          <w:rFonts w:cs="Tahoma"/>
          <w:color w:val="281E1E"/>
          <w:shd w:val="clear" w:color="auto" w:fill="FFFFFF"/>
        </w:rPr>
        <w:footnoteReference w:id="5"/>
      </w:r>
    </w:p>
    <w:p w14:paraId="643437D2" w14:textId="2ACD9786" w:rsidR="004D1D35" w:rsidRDefault="004D1D35" w:rsidP="00464899">
      <w:pPr>
        <w:pStyle w:val="ListParagraph"/>
        <w:numPr>
          <w:ilvl w:val="0"/>
          <w:numId w:val="12"/>
        </w:numPr>
        <w:jc w:val="both"/>
      </w:pPr>
      <w:r>
        <w:t>For much of the eight years since the first dismissals, peace academics were unable to take any legal action. Until the establishment of the State of Emergency Procedures Investigation Commission, no legal applications were accepted. After applying to the Commission, they were forced to wait for up to five years. The Commission rejected all applications from peace academics. After going through a process involving criminal cases and administrative courts, those who were reinstated now say, “</w:t>
      </w:r>
      <w:r w:rsidRPr="00464899">
        <w:rPr>
          <w:i/>
        </w:rPr>
        <w:t>We wish we had never been reinstated</w:t>
      </w:r>
      <w:r>
        <w:t>.”</w:t>
      </w:r>
    </w:p>
    <w:p w14:paraId="424E530C" w14:textId="66350648" w:rsidR="004D1D35" w:rsidRDefault="004D1D35" w:rsidP="00464899">
      <w:pPr>
        <w:pStyle w:val="ListParagraph"/>
        <w:numPr>
          <w:ilvl w:val="0"/>
          <w:numId w:val="12"/>
        </w:numPr>
        <w:jc w:val="both"/>
      </w:pPr>
      <w:r>
        <w:t>Sadly, the voices of peace academics are not being heard enough, and the severe rights losses they have suffered over the years are not sufficiently visible. As Right to Life Association, through this study, we aim to make the grievances of the signatory academics more visible both to relevant institutions and the public in Turkey, as well as to international human rights mechanisms.</w:t>
      </w:r>
    </w:p>
    <w:p w14:paraId="29CAE7D0" w14:textId="33FDEBA1" w:rsidR="005E1BA4" w:rsidRDefault="00B33E48" w:rsidP="00B42B19">
      <w:pPr>
        <w:pStyle w:val="Heading3"/>
        <w:rPr>
          <w:b/>
          <w:sz w:val="22"/>
          <w:szCs w:val="22"/>
        </w:rPr>
      </w:pPr>
      <w:bookmarkStart w:id="2" w:name="_Toc177052023"/>
      <w:r w:rsidRPr="005E1BA4">
        <w:rPr>
          <w:b/>
          <w:sz w:val="22"/>
          <w:szCs w:val="22"/>
        </w:rPr>
        <w:lastRenderedPageBreak/>
        <w:t xml:space="preserve">Current </w:t>
      </w:r>
      <w:r w:rsidR="006D7F36">
        <w:rPr>
          <w:b/>
          <w:sz w:val="22"/>
          <w:szCs w:val="22"/>
        </w:rPr>
        <w:t>Situation</w:t>
      </w:r>
      <w:bookmarkEnd w:id="2"/>
    </w:p>
    <w:p w14:paraId="34261981" w14:textId="77777777" w:rsidR="00B42B19" w:rsidRPr="00B42B19" w:rsidRDefault="00B42B19" w:rsidP="00B42B19"/>
    <w:p w14:paraId="0943B2F2" w14:textId="17006C22" w:rsidR="00F5522B" w:rsidRDefault="00F5522B" w:rsidP="00464899">
      <w:pPr>
        <w:pStyle w:val="ListParagraph"/>
        <w:numPr>
          <w:ilvl w:val="0"/>
          <w:numId w:val="12"/>
        </w:numPr>
        <w:jc w:val="both"/>
      </w:pPr>
      <w:r>
        <w:t>Of the 385 academics who applied to administrative courts, 170 had their applications rejected, 168 were reinstated, and 47 are still awaiting a decision. Of the 168 who were reinstated, 48 had their reinstatement decisions either annulled or suspended as university administrations appealed the decisions to the regional courts of appeal. Seventy-nine academics are still awaiting decisions from these courts. On the other hand, the reinstatements of 41 academics were approved by the regional courts of appeal</w:t>
      </w:r>
      <w:r>
        <w:rPr>
          <w:rStyle w:val="FootnoteReference"/>
        </w:rPr>
        <w:footnoteReference w:id="6"/>
      </w:r>
      <w:r>
        <w:t>, though university administrations typically take these cases to the Council of State (Danıştay). If the Council of State issues a negative ruling, applications will be made to the Constitutional Court (AYM), and subsequently to the European Court of Human Rights (ECtHR), which could result in a lengthy process spanning years.</w:t>
      </w:r>
    </w:p>
    <w:p w14:paraId="4D152289" w14:textId="4C30C07F" w:rsidR="00F5522B" w:rsidRDefault="00F5522B" w:rsidP="00464899">
      <w:pPr>
        <w:pStyle w:val="ListParagraph"/>
        <w:numPr>
          <w:ilvl w:val="0"/>
          <w:numId w:val="12"/>
        </w:numPr>
        <w:jc w:val="both"/>
      </w:pPr>
      <w:r>
        <w:t>In most cases, when reinstatement decisions were overturned, no new evidence or justifications were presented. Instead, the peace petition was again cited as a reason, and reinstatements were annulled using copy-paste decisions. Social media posts, union activities, and protest actions, made by some academics either before or after their dismissals, were also used as grounds for overturning reinstatement decisions, even though these actions did not contain any criminal elements.</w:t>
      </w:r>
    </w:p>
    <w:p w14:paraId="6B757DA6" w14:textId="626F80D2" w:rsidR="00F5522B" w:rsidRDefault="00F5522B" w:rsidP="00464899">
      <w:pPr>
        <w:pStyle w:val="ListParagraph"/>
        <w:numPr>
          <w:ilvl w:val="0"/>
          <w:numId w:val="12"/>
        </w:numPr>
        <w:jc w:val="both"/>
      </w:pPr>
      <w:r>
        <w:t>Moreover, it is noteworthy that the administrative courts have issued varying decisions. The reinstatement of peace academics seems to depend on the particular administrative court handling the case, as different courts reach different conclusions, despite the fact that the allegations against all peace academics are identical. Asuman Tokgöz, a lawyer for the Eğitim-Sen union with whom we conducted an expert interview, emphasizes the politicized nature of these special jurisdiction courts: “</w:t>
      </w:r>
      <w:r w:rsidRPr="00464899">
        <w:rPr>
          <w:i/>
        </w:rPr>
        <w:t>They established special jurisdiction courts for KHK cases, but most of them, in our opinion, consist of highly politicized judges. As a result, they made very quick and poorly justified decisions, re-criminalizing the petition and disregarding the Constitutional Court's ruling on freedom of expression. We were surprised, as we did not expect such fragmented results. When reinstatement decisions were issued, we were hopeful, but we then hit the wall of the regional administrative courts. Some decisions were upheld, others were overturned, and right now chaos reigns over these cases.</w:t>
      </w:r>
      <w:r>
        <w:t>”</w:t>
      </w:r>
    </w:p>
    <w:p w14:paraId="45E8F773" w14:textId="2CA7D880" w:rsidR="006A2619" w:rsidRPr="00765BF4" w:rsidRDefault="00F5522B" w:rsidP="00464899">
      <w:pPr>
        <w:pStyle w:val="ListParagraph"/>
        <w:numPr>
          <w:ilvl w:val="0"/>
          <w:numId w:val="12"/>
        </w:numPr>
        <w:jc w:val="both"/>
        <w:rPr>
          <w:b/>
        </w:rPr>
      </w:pPr>
      <w:r>
        <w:t>Regarding the methodology of our study briefly: The data were collected through in-depth interviews. The interviews, lasting an average of 30 minutes, were conducted via Zoom using a semi-structured questionnaire. A total of nine peace academics were interviewed. In addition, an expert interview was conducted with an Eğitim-Sen lawyer. The İstanbul branch of Eğitim-Sen supported us in reaching participants and providing statistical data.</w:t>
      </w:r>
    </w:p>
    <w:p w14:paraId="6BBCEDD9" w14:textId="77777777" w:rsidR="00765BF4" w:rsidRDefault="00765BF4" w:rsidP="00765BF4">
      <w:pPr>
        <w:pStyle w:val="ListParagraph"/>
        <w:ind w:left="360"/>
        <w:jc w:val="both"/>
      </w:pPr>
    </w:p>
    <w:p w14:paraId="6770E5BC" w14:textId="77777777" w:rsidR="00765BF4" w:rsidRDefault="00765BF4" w:rsidP="00765BF4">
      <w:pPr>
        <w:pStyle w:val="ListParagraph"/>
        <w:ind w:left="360"/>
        <w:jc w:val="both"/>
      </w:pPr>
    </w:p>
    <w:p w14:paraId="28BFAC04" w14:textId="77777777" w:rsidR="00765BF4" w:rsidRDefault="00765BF4" w:rsidP="00765BF4">
      <w:pPr>
        <w:pStyle w:val="ListParagraph"/>
        <w:ind w:left="360"/>
        <w:jc w:val="both"/>
      </w:pPr>
    </w:p>
    <w:p w14:paraId="5C36D31E" w14:textId="77777777" w:rsidR="00765BF4" w:rsidRDefault="00765BF4" w:rsidP="00765BF4">
      <w:pPr>
        <w:pStyle w:val="ListParagraph"/>
        <w:ind w:left="360"/>
        <w:jc w:val="both"/>
      </w:pPr>
    </w:p>
    <w:p w14:paraId="3E4E128B" w14:textId="77777777" w:rsidR="00765BF4" w:rsidRDefault="00765BF4" w:rsidP="00765BF4">
      <w:pPr>
        <w:pStyle w:val="ListParagraph"/>
        <w:ind w:left="360"/>
        <w:jc w:val="both"/>
      </w:pPr>
    </w:p>
    <w:p w14:paraId="542A46DF" w14:textId="77777777" w:rsidR="00765BF4" w:rsidRDefault="00765BF4" w:rsidP="00765BF4">
      <w:pPr>
        <w:pStyle w:val="ListParagraph"/>
        <w:ind w:left="360"/>
        <w:jc w:val="both"/>
      </w:pPr>
    </w:p>
    <w:p w14:paraId="74EDB3D2" w14:textId="77777777" w:rsidR="00765BF4" w:rsidRDefault="00765BF4" w:rsidP="00765BF4">
      <w:pPr>
        <w:pStyle w:val="ListParagraph"/>
        <w:ind w:left="360"/>
        <w:jc w:val="both"/>
      </w:pPr>
    </w:p>
    <w:p w14:paraId="5E18852F" w14:textId="77777777" w:rsidR="00765BF4" w:rsidRPr="00464899" w:rsidRDefault="00765BF4" w:rsidP="00765BF4">
      <w:pPr>
        <w:pStyle w:val="ListParagraph"/>
        <w:ind w:left="360"/>
        <w:jc w:val="both"/>
        <w:rPr>
          <w:b/>
        </w:rPr>
      </w:pPr>
    </w:p>
    <w:p w14:paraId="64B8519F" w14:textId="63A35254" w:rsidR="00C163BC" w:rsidRDefault="00B33E48" w:rsidP="0002183E">
      <w:pPr>
        <w:pStyle w:val="Heading2"/>
        <w:rPr>
          <w:b/>
          <w:sz w:val="24"/>
          <w:szCs w:val="24"/>
        </w:rPr>
      </w:pPr>
      <w:bookmarkStart w:id="3" w:name="_Toc177052024"/>
      <w:r w:rsidRPr="0002183E">
        <w:rPr>
          <w:b/>
          <w:sz w:val="24"/>
          <w:szCs w:val="24"/>
        </w:rPr>
        <w:lastRenderedPageBreak/>
        <w:t xml:space="preserve">B. Specific information on the implementation of articles 1 to 27 of the </w:t>
      </w:r>
      <w:r w:rsidR="00D139EC">
        <w:rPr>
          <w:b/>
          <w:sz w:val="24"/>
          <w:szCs w:val="24"/>
        </w:rPr>
        <w:t>Covenant</w:t>
      </w:r>
      <w:r w:rsidRPr="0002183E">
        <w:rPr>
          <w:b/>
          <w:sz w:val="24"/>
          <w:szCs w:val="24"/>
        </w:rPr>
        <w:t>, including the Committee's previous recommendations</w:t>
      </w:r>
      <w:bookmarkEnd w:id="3"/>
      <w:r w:rsidRPr="0002183E">
        <w:rPr>
          <w:b/>
          <w:sz w:val="24"/>
          <w:szCs w:val="24"/>
        </w:rPr>
        <w:t xml:space="preserve"> </w:t>
      </w:r>
    </w:p>
    <w:p w14:paraId="2C4377B1" w14:textId="77777777" w:rsidR="0002183E" w:rsidRPr="0002183E" w:rsidRDefault="0002183E" w:rsidP="0002183E"/>
    <w:p w14:paraId="33539047" w14:textId="5C3D1FE6" w:rsidR="0002183E" w:rsidRPr="0002183E" w:rsidRDefault="00B33E48" w:rsidP="0002183E">
      <w:pPr>
        <w:pStyle w:val="Heading3"/>
        <w:rPr>
          <w:b/>
          <w:sz w:val="22"/>
          <w:szCs w:val="22"/>
        </w:rPr>
      </w:pPr>
      <w:bookmarkStart w:id="4" w:name="_Toc177052025"/>
      <w:r w:rsidRPr="0002183E">
        <w:rPr>
          <w:b/>
          <w:sz w:val="22"/>
          <w:szCs w:val="22"/>
        </w:rPr>
        <w:t>Non-discrimination (Articles 2, 3, 6, 25 and 26)</w:t>
      </w:r>
      <w:bookmarkEnd w:id="4"/>
    </w:p>
    <w:p w14:paraId="0FE92A8B" w14:textId="303EFF93" w:rsidR="0002183E" w:rsidRDefault="0002183E" w:rsidP="00464899">
      <w:pPr>
        <w:pStyle w:val="ListParagraph"/>
        <w:numPr>
          <w:ilvl w:val="0"/>
          <w:numId w:val="12"/>
        </w:numPr>
        <w:jc w:val="both"/>
      </w:pPr>
      <w:r>
        <w:t xml:space="preserve">As previously mentioned, the reinstatement decisions of 48 out of the 168 academics who were reinstated have been overturned by the regional administrative courts (courts of appeal). The reinstatement decisions for 79 individuals are still pending at the regional administrative courts. </w:t>
      </w:r>
    </w:p>
    <w:p w14:paraId="3BCBE52E" w14:textId="4B39AC5E" w:rsidR="00C163BC" w:rsidRDefault="0002183E" w:rsidP="00464899">
      <w:pPr>
        <w:pStyle w:val="ListParagraph"/>
        <w:numPr>
          <w:ilvl w:val="0"/>
          <w:numId w:val="12"/>
        </w:numPr>
        <w:jc w:val="both"/>
      </w:pPr>
      <w:r>
        <w:t>In the cases where reinstatement decisions were overturned due to objections made by university administrations, the justification was often once again the peace petition. The petition was interpreted in the rulings as evidence of affiliation with or connection to terrorist organizations. However, in its 2019 decision, the Constitutional Court (AYM) evaluated the peace petition within the scope of "freedom of expression."</w:t>
      </w:r>
      <w:r>
        <w:rPr>
          <w:rStyle w:val="FootnoteReference"/>
        </w:rPr>
        <w:footnoteReference w:id="7"/>
      </w:r>
      <w:r>
        <w:t xml:space="preserve"> The AYM's ruling is not being considered in the annulments of reinstatement decisions.</w:t>
      </w:r>
    </w:p>
    <w:p w14:paraId="4EBE6316" w14:textId="28FDDC65" w:rsidR="006C5A7A" w:rsidRPr="00B42B19" w:rsidRDefault="0002183E" w:rsidP="00B42B19">
      <w:pPr>
        <w:pBdr>
          <w:top w:val="single" w:sz="4" w:space="1" w:color="auto"/>
          <w:left w:val="single" w:sz="4" w:space="4" w:color="auto"/>
          <w:bottom w:val="single" w:sz="4" w:space="1" w:color="auto"/>
          <w:right w:val="single" w:sz="4" w:space="4" w:color="auto"/>
        </w:pBdr>
        <w:jc w:val="both"/>
        <w:rPr>
          <w:i/>
          <w:sz w:val="20"/>
          <w:szCs w:val="20"/>
        </w:rPr>
      </w:pPr>
      <w:r w:rsidRPr="0002183E">
        <w:rPr>
          <w:i/>
          <w:sz w:val="20"/>
          <w:szCs w:val="20"/>
        </w:rPr>
        <w:t xml:space="preserve">"They cited the peace petition; there is no other justification. I wasn’t even tried in that case—I’m </w:t>
      </w:r>
      <w:r>
        <w:rPr>
          <w:i/>
          <w:sz w:val="20"/>
          <w:szCs w:val="20"/>
        </w:rPr>
        <w:t xml:space="preserve">a </w:t>
      </w:r>
      <w:r w:rsidRPr="0002183E">
        <w:rPr>
          <w:i/>
          <w:sz w:val="20"/>
          <w:szCs w:val="20"/>
        </w:rPr>
        <w:t xml:space="preserve"> second</w:t>
      </w:r>
      <w:r>
        <w:rPr>
          <w:i/>
          <w:sz w:val="20"/>
          <w:szCs w:val="20"/>
        </w:rPr>
        <w:t xml:space="preserve"> wave</w:t>
      </w:r>
      <w:r w:rsidRPr="0002183E">
        <w:rPr>
          <w:i/>
          <w:sz w:val="20"/>
          <w:szCs w:val="20"/>
        </w:rPr>
        <w:t xml:space="preserve"> signatory. The decision elaborates at length that the peace declaration would be considered as association with a terrorist organization, and there is no other justification beyond that. No offense is attributed to us in the 13th Administrative Court. A defense was requested from the university, and the public prosecutor's office and the security directorate were asked whether we had any connections with various terrorist organizations. I received letters from these institutions stating that I had no affiliation with terrorist organizations, but none of this was used in the decision to suspend the execution." (44, male, </w:t>
      </w:r>
      <w:r w:rsidR="00D139EC">
        <w:rPr>
          <w:i/>
          <w:sz w:val="20"/>
          <w:szCs w:val="20"/>
        </w:rPr>
        <w:t>PhD</w:t>
      </w:r>
      <w:r w:rsidRPr="0002183E">
        <w:rPr>
          <w:i/>
          <w:sz w:val="20"/>
          <w:szCs w:val="20"/>
        </w:rPr>
        <w:t>)</w:t>
      </w:r>
    </w:p>
    <w:p w14:paraId="540F9839" w14:textId="15023A43" w:rsidR="006C5A7A" w:rsidRDefault="006C5A7A" w:rsidP="00464899">
      <w:pPr>
        <w:pStyle w:val="ListParagraph"/>
        <w:numPr>
          <w:ilvl w:val="0"/>
          <w:numId w:val="12"/>
        </w:numPr>
        <w:jc w:val="both"/>
      </w:pPr>
      <w:r>
        <w:t>As in the case above, whether or not reinstated, it has been proven that no peace academic has any connection or affiliation with terrorism, and the criminal cases against them have ended in acquittal</w:t>
      </w:r>
      <w:r>
        <w:rPr>
          <w:rStyle w:val="FootnoteReference"/>
        </w:rPr>
        <w:footnoteReference w:id="8"/>
      </w:r>
      <w:r>
        <w:t>. Despite this reality, ongoing investigations, archive searches, and similar practices clearly violate the right to a fair trial and the principle of equality before the law.</w:t>
      </w:r>
    </w:p>
    <w:p w14:paraId="78EC206D" w14:textId="3B028C54" w:rsidR="006C5A7A" w:rsidRDefault="006C5A7A" w:rsidP="00464899">
      <w:pPr>
        <w:pStyle w:val="ListParagraph"/>
        <w:numPr>
          <w:ilvl w:val="0"/>
          <w:numId w:val="12"/>
        </w:numPr>
        <w:jc w:val="both"/>
      </w:pPr>
      <w:r>
        <w:t>Another unlawful practice is archive searches. Archive checks conducted during initial appointments should not be legally applicable to academics reinstated by court decisions</w:t>
      </w:r>
      <w:r>
        <w:rPr>
          <w:rStyle w:val="FootnoteReference"/>
        </w:rPr>
        <w:footnoteReference w:id="9"/>
      </w:r>
      <w:r>
        <w:t>. However, for some academics, their appointments have been delayed for months due to these archive searches.</w:t>
      </w:r>
    </w:p>
    <w:p w14:paraId="2C02A3D8" w14:textId="58BC8EBC" w:rsidR="00C163BC" w:rsidRDefault="00B955F1" w:rsidP="00902898">
      <w:pPr>
        <w:pBdr>
          <w:top w:val="single" w:sz="4" w:space="1" w:color="auto"/>
          <w:left w:val="single" w:sz="4" w:space="4" w:color="auto"/>
          <w:bottom w:val="single" w:sz="4" w:space="1" w:color="auto"/>
          <w:right w:val="single" w:sz="4" w:space="4" w:color="auto"/>
        </w:pBdr>
        <w:jc w:val="both"/>
        <w:rPr>
          <w:i/>
          <w:sz w:val="20"/>
          <w:szCs w:val="20"/>
        </w:rPr>
      </w:pPr>
      <w:r w:rsidRPr="00B955F1">
        <w:rPr>
          <w:i/>
          <w:sz w:val="20"/>
          <w:szCs w:val="20"/>
        </w:rPr>
        <w:t>"</w:t>
      </w:r>
      <w:r w:rsidR="006C5A7A" w:rsidRPr="006C5A7A">
        <w:rPr>
          <w:i/>
          <w:sz w:val="20"/>
          <w:szCs w:val="20"/>
        </w:rPr>
        <w:t xml:space="preserve">“Marmara University, in a rare case in Turkey, requested an archive search from the General Directorate of Security to initiate my reinstatement. The result of the archive search arrived after 9 months. Following this, a decision was made to suspend my reinstatement. I filed a lawsuit against the university for not implementing the reinstatement decision, and that’s where I saw the result of the archive search. There needs to be objective, concrete evidence to make a decision against my reinstatement. No concrete evidence was provided, and the university knows this is unlawful, but there is no administrative institution that values acting according to the law anymore. They seem to think it should be a subject of litigation, dragged out for years, making us frustrated and resigned.” (39, female, </w:t>
      </w:r>
      <w:r w:rsidR="00D139EC">
        <w:rPr>
          <w:i/>
          <w:sz w:val="20"/>
          <w:szCs w:val="20"/>
        </w:rPr>
        <w:t>PhD</w:t>
      </w:r>
      <w:r w:rsidR="006C5A7A" w:rsidRPr="006C5A7A">
        <w:rPr>
          <w:i/>
          <w:sz w:val="20"/>
          <w:szCs w:val="20"/>
        </w:rPr>
        <w:t>)</w:t>
      </w:r>
    </w:p>
    <w:p w14:paraId="0296CC61" w14:textId="3D8628F8" w:rsidR="00EE421F" w:rsidRDefault="00B33E48" w:rsidP="00464899">
      <w:pPr>
        <w:pStyle w:val="ListParagraph"/>
        <w:numPr>
          <w:ilvl w:val="0"/>
          <w:numId w:val="12"/>
        </w:numPr>
        <w:jc w:val="both"/>
      </w:pPr>
      <w:r>
        <w:t xml:space="preserve">As emphasised by our participant above, </w:t>
      </w:r>
      <w:r w:rsidR="001A410F">
        <w:t xml:space="preserve">the appointment decision was </w:t>
      </w:r>
      <w:r>
        <w:t xml:space="preserve">unlawfully </w:t>
      </w:r>
      <w:r w:rsidR="006C5A7A">
        <w:t>suspended</w:t>
      </w:r>
      <w:r w:rsidR="001A410F">
        <w:t xml:space="preserve"> with an </w:t>
      </w:r>
      <w:r>
        <w:t xml:space="preserve">archive search </w:t>
      </w:r>
      <w:r w:rsidR="001A410F">
        <w:t xml:space="preserve">lasting 9 months and the reinstatement decision was </w:t>
      </w:r>
      <w:r w:rsidR="003669D8">
        <w:t>revoked</w:t>
      </w:r>
      <w:r w:rsidR="001A410F">
        <w:t xml:space="preserve"> although there was no concrete, objective evidence as a result of </w:t>
      </w:r>
      <w:r w:rsidR="00E91D2D">
        <w:t xml:space="preserve">the </w:t>
      </w:r>
      <w:r w:rsidR="001A410F">
        <w:t xml:space="preserve">archive </w:t>
      </w:r>
      <w:r w:rsidR="00E91D2D">
        <w:t>search</w:t>
      </w:r>
      <w:r w:rsidR="001A410F">
        <w:t xml:space="preserve">. </w:t>
      </w:r>
    </w:p>
    <w:p w14:paraId="2E63ABB6" w14:textId="77777777" w:rsidR="00156F93" w:rsidRDefault="00156F93" w:rsidP="00156F93">
      <w:pPr>
        <w:jc w:val="both"/>
      </w:pPr>
    </w:p>
    <w:p w14:paraId="4A148B5A" w14:textId="42285EDE" w:rsidR="00C163BC" w:rsidRDefault="00B33E48" w:rsidP="00464899">
      <w:pPr>
        <w:pStyle w:val="ListParagraph"/>
        <w:numPr>
          <w:ilvl w:val="0"/>
          <w:numId w:val="12"/>
        </w:numPr>
        <w:jc w:val="both"/>
      </w:pPr>
      <w:r>
        <w:lastRenderedPageBreak/>
        <w:t xml:space="preserve">It is noteworthy that stay of execution decisions can be issued in a few days during the reinstatement process. In other words, </w:t>
      </w:r>
      <w:r w:rsidR="00080C22">
        <w:t xml:space="preserve">while favourable decisions take years to be issued, decisions on re-dismissals can be issued at </w:t>
      </w:r>
      <w:r w:rsidR="006C5A7A">
        <w:t>ultra</w:t>
      </w:r>
      <w:r w:rsidR="00080C22">
        <w:t xml:space="preserve"> speed. For our participant, who was reinstated at Ankara University Faculty of Political Sciences, the decision to suspend the </w:t>
      </w:r>
      <w:r w:rsidR="00902898">
        <w:t>reinstatement</w:t>
      </w:r>
      <w:r w:rsidR="00080C22">
        <w:t xml:space="preserve"> was issued </w:t>
      </w:r>
      <w:r>
        <w:t xml:space="preserve">1 </w:t>
      </w:r>
      <w:r w:rsidR="00080C22">
        <w:t xml:space="preserve">day after the file was opened. </w:t>
      </w:r>
    </w:p>
    <w:p w14:paraId="1132CF8B" w14:textId="361F38BD" w:rsidR="00C163BC" w:rsidRDefault="00CA3228" w:rsidP="00902898">
      <w:pPr>
        <w:pBdr>
          <w:top w:val="single" w:sz="4" w:space="1" w:color="auto"/>
          <w:left w:val="single" w:sz="4" w:space="4" w:color="auto"/>
          <w:bottom w:val="single" w:sz="4" w:space="1" w:color="auto"/>
          <w:right w:val="single" w:sz="4" w:space="4" w:color="auto"/>
        </w:pBdr>
        <w:jc w:val="both"/>
        <w:rPr>
          <w:i/>
          <w:sz w:val="20"/>
          <w:szCs w:val="20"/>
        </w:rPr>
      </w:pPr>
      <w:r>
        <w:rPr>
          <w:i/>
          <w:sz w:val="20"/>
          <w:szCs w:val="20"/>
        </w:rPr>
        <w:t xml:space="preserve"> "</w:t>
      </w:r>
      <w:r w:rsidR="00902898" w:rsidRPr="00902898">
        <w:rPr>
          <w:i/>
          <w:sz w:val="20"/>
          <w:szCs w:val="20"/>
        </w:rPr>
        <w:t xml:space="preserve">There is no other example of such speed, to be honest. On April 7, 2023, the rectorate filed an appeal against the reinstatement decision, and a case was opened at the 14th Regional Administrative Court. After the case was opened, it was reviewed immediately on April 17, and the next day, a decision to suspend the execution was made. Although the university had stated that my reinstatement procedures were complete and that I could start work, the reinstatement decision was </w:t>
      </w:r>
      <w:r w:rsidR="003669D8">
        <w:rPr>
          <w:i/>
          <w:sz w:val="20"/>
          <w:szCs w:val="20"/>
        </w:rPr>
        <w:t>revoked</w:t>
      </w:r>
      <w:r w:rsidR="00902898" w:rsidRPr="00902898">
        <w:rPr>
          <w:i/>
          <w:sz w:val="20"/>
          <w:szCs w:val="20"/>
        </w:rPr>
        <w:t xml:space="preserve"> before I even set foot on campus. The case was opened on April 17, and the suspension of execution decision was made on April 18.” (42, female, research assistant</w:t>
      </w:r>
      <w:r w:rsidR="00902898">
        <w:rPr>
          <w:i/>
          <w:sz w:val="20"/>
          <w:szCs w:val="20"/>
        </w:rPr>
        <w:t>)</w:t>
      </w:r>
    </w:p>
    <w:p w14:paraId="6550C4C9" w14:textId="279B5F56" w:rsidR="00C163BC" w:rsidRDefault="00B33E48" w:rsidP="00464899">
      <w:pPr>
        <w:pStyle w:val="ListParagraph"/>
        <w:numPr>
          <w:ilvl w:val="0"/>
          <w:numId w:val="12"/>
        </w:numPr>
        <w:jc w:val="both"/>
      </w:pPr>
      <w:r>
        <w:t xml:space="preserve">In some cases, </w:t>
      </w:r>
      <w:r w:rsidR="00902898">
        <w:t>labour</w:t>
      </w:r>
      <w:r>
        <w:t xml:space="preserve"> union activities were cited as grounds for the extradition decision. Statements and social media posts made on behalf of the union by a participant who holds an official position in </w:t>
      </w:r>
      <w:r w:rsidR="00DA1D44">
        <w:t xml:space="preserve">KESK </w:t>
      </w:r>
      <w:r>
        <w:t>have been treated as criminal offences.</w:t>
      </w:r>
      <w:r w:rsidR="003B3250">
        <w:t xml:space="preserve"> This con</w:t>
      </w:r>
      <w:r w:rsidR="00902898">
        <w:t xml:space="preserve">stitutes a serious violation </w:t>
      </w:r>
      <w:r w:rsidR="003B3250">
        <w:t>an</w:t>
      </w:r>
      <w:r w:rsidR="00902898">
        <w:t>d</w:t>
      </w:r>
      <w:r w:rsidR="003B3250">
        <w:t xml:space="preserve"> intervention against </w:t>
      </w:r>
      <w:r w:rsidR="00902898">
        <w:t>right to organize</w:t>
      </w:r>
      <w:r w:rsidR="003B3250">
        <w:t>.</w:t>
      </w:r>
      <w:r w:rsidR="003B3250">
        <w:rPr>
          <w:rStyle w:val="FootnoteReference"/>
        </w:rPr>
        <w:footnoteReference w:id="10"/>
      </w:r>
    </w:p>
    <w:p w14:paraId="47105F0E" w14:textId="677CF9CE" w:rsidR="00C163BC" w:rsidRDefault="00902898" w:rsidP="00902898">
      <w:pPr>
        <w:pBdr>
          <w:top w:val="single" w:sz="4" w:space="1" w:color="auto"/>
          <w:left w:val="single" w:sz="4" w:space="4" w:color="auto"/>
          <w:bottom w:val="single" w:sz="4" w:space="1" w:color="auto"/>
          <w:right w:val="single" w:sz="4" w:space="4" w:color="auto"/>
        </w:pBdr>
        <w:jc w:val="both"/>
        <w:rPr>
          <w:i/>
          <w:sz w:val="20"/>
          <w:szCs w:val="20"/>
        </w:rPr>
      </w:pPr>
      <w:r w:rsidRPr="00902898">
        <w:rPr>
          <w:i/>
          <w:sz w:val="20"/>
          <w:szCs w:val="20"/>
        </w:rPr>
        <w:t>“There are cases where being a member of Eğitim-Sen is used as a criminal element in some of our colleagues' files. Activities we conducted within the union, our tweets—which are merely statements from the union—have been presented as criminal acts. Thus, union membership, particularly to non-affiliated unions and being active in them, has been criminalized. For example, the union struggled to find colleagues to serve as workplace representatives at the university during this process. There’s also this aspect: the remaining members avoid taking on roles because they fear the consequences of being unionized.” (42, female, research assistant)</w:t>
      </w:r>
    </w:p>
    <w:p w14:paraId="71B29BFE" w14:textId="4F5D6820" w:rsidR="00902898" w:rsidRPr="00464899" w:rsidRDefault="00902898" w:rsidP="00464899">
      <w:pPr>
        <w:pStyle w:val="ListParagraph"/>
        <w:numPr>
          <w:ilvl w:val="0"/>
          <w:numId w:val="12"/>
        </w:numPr>
        <w:spacing w:line="276" w:lineRule="auto"/>
        <w:jc w:val="both"/>
        <w:rPr>
          <w:rFonts w:cs="Tahoma"/>
          <w:color w:val="281E1E"/>
          <w:shd w:val="clear" w:color="auto" w:fill="FFFFFF"/>
        </w:rPr>
      </w:pPr>
      <w:r w:rsidRPr="00464899">
        <w:rPr>
          <w:rFonts w:cs="Tahoma"/>
          <w:color w:val="281E1E"/>
          <w:shd w:val="clear" w:color="auto" w:fill="FFFFFF"/>
        </w:rPr>
        <w:t>Despite the identical nature of the charges against peace academics, there are significant differences in the decisions and attitudes of regional administrative courts. Some courts do not issue any decisions, some issue predominantly favorable decisions, while others issue mostly unfavorable decisions. The assignment of academics to specific courts is entirely random, and therefore, the outcome of decisions can also be considered random.</w:t>
      </w:r>
    </w:p>
    <w:p w14:paraId="5394CCA8" w14:textId="6C9C5741" w:rsidR="00902898" w:rsidRPr="00464899" w:rsidRDefault="00902898" w:rsidP="00464899">
      <w:pPr>
        <w:pStyle w:val="ListParagraph"/>
        <w:numPr>
          <w:ilvl w:val="0"/>
          <w:numId w:val="12"/>
        </w:numPr>
        <w:spacing w:line="276" w:lineRule="auto"/>
        <w:jc w:val="both"/>
        <w:rPr>
          <w:rFonts w:cs="Tahoma"/>
          <w:color w:val="281E1E"/>
          <w:shd w:val="clear" w:color="auto" w:fill="FFFFFF"/>
        </w:rPr>
      </w:pPr>
      <w:r w:rsidRPr="00464899">
        <w:rPr>
          <w:rFonts w:cs="Tahoma"/>
          <w:color w:val="281E1E"/>
          <w:shd w:val="clear" w:color="auto" w:fill="FFFFFF"/>
        </w:rPr>
        <w:t xml:space="preserve">Regarding the differences in decisions among administrative courts </w:t>
      </w:r>
      <w:r w:rsidR="00D139EC" w:rsidRPr="00464899">
        <w:rPr>
          <w:rFonts w:cs="Tahoma"/>
          <w:color w:val="281E1E"/>
          <w:shd w:val="clear" w:color="auto" w:fill="FFFFFF"/>
        </w:rPr>
        <w:t xml:space="preserve">with special aouthorities </w:t>
      </w:r>
      <w:r w:rsidRPr="00464899">
        <w:rPr>
          <w:rFonts w:cs="Tahoma"/>
          <w:color w:val="281E1E"/>
          <w:shd w:val="clear" w:color="auto" w:fill="FFFFFF"/>
        </w:rPr>
        <w:t>in Ankara: the Ankara 20th, 24th, and 25th Administrative Courts have issued rejection decisions for all 140 cases they reviewed. The 19th Administrative Court issued 41 reinstatements and 3 rejections; the 21st Administrative Court issued 68 reinstatements and 2 rejections; and the 22nd Administrative Court issued 39 reinstatements and 7 rejections</w:t>
      </w:r>
      <w:r w:rsidR="00D139EC">
        <w:rPr>
          <w:rStyle w:val="FootnoteReference"/>
          <w:rFonts w:cs="Tahoma"/>
          <w:color w:val="281E1E"/>
          <w:shd w:val="clear" w:color="auto" w:fill="FFFFFF"/>
        </w:rPr>
        <w:footnoteReference w:id="11"/>
      </w:r>
      <w:r w:rsidRPr="00464899">
        <w:rPr>
          <w:rFonts w:cs="Tahoma"/>
          <w:color w:val="281E1E"/>
          <w:shd w:val="clear" w:color="auto" w:fill="FFFFFF"/>
        </w:rPr>
        <w:t>.</w:t>
      </w:r>
    </w:p>
    <w:p w14:paraId="071E03E6" w14:textId="77777777" w:rsidR="002E530A" w:rsidRPr="00156F93" w:rsidRDefault="00902898" w:rsidP="00464899">
      <w:pPr>
        <w:pStyle w:val="ListParagraph"/>
        <w:numPr>
          <w:ilvl w:val="0"/>
          <w:numId w:val="12"/>
        </w:numPr>
        <w:spacing w:line="276" w:lineRule="auto"/>
        <w:jc w:val="both"/>
        <w:rPr>
          <w:rFonts w:ascii="Calibri" w:hAnsi="Calibri" w:cs="Calibri"/>
          <w:color w:val="0A0A0A"/>
        </w:rPr>
      </w:pPr>
      <w:r w:rsidRPr="00464899">
        <w:rPr>
          <w:rFonts w:cs="Tahoma"/>
          <w:color w:val="281E1E"/>
          <w:shd w:val="clear" w:color="auto" w:fill="FFFFFF"/>
        </w:rPr>
        <w:t>When examining the regional administrative courts, the 13th Regional Administrative Court stands out. It has overturned the reinstatement decisions of 44 academics who were previously reinstated through its rejection or suspension decisions. It has issued a total of 77 negative decisions, including 74 rejections and 3 suspensions, and has not issued a single favorable decision. It is notable that the decisions appear to be prepared in a "copy-paste" manner.</w:t>
      </w:r>
    </w:p>
    <w:p w14:paraId="70460D0E" w14:textId="77777777" w:rsidR="00156F93" w:rsidRDefault="00156F93" w:rsidP="00156F93">
      <w:pPr>
        <w:spacing w:line="276" w:lineRule="auto"/>
        <w:jc w:val="both"/>
        <w:rPr>
          <w:rFonts w:ascii="Calibri" w:hAnsi="Calibri" w:cs="Calibri"/>
          <w:color w:val="0A0A0A"/>
        </w:rPr>
      </w:pPr>
    </w:p>
    <w:p w14:paraId="476EE829" w14:textId="77777777" w:rsidR="00156F93" w:rsidRDefault="00156F93" w:rsidP="00156F93">
      <w:pPr>
        <w:spacing w:line="276" w:lineRule="auto"/>
        <w:jc w:val="both"/>
        <w:rPr>
          <w:rFonts w:ascii="Calibri" w:hAnsi="Calibri" w:cs="Calibri"/>
          <w:color w:val="0A0A0A"/>
        </w:rPr>
      </w:pPr>
    </w:p>
    <w:p w14:paraId="04CD4790" w14:textId="77777777" w:rsidR="00156F93" w:rsidRPr="00156F93" w:rsidRDefault="00156F93" w:rsidP="00156F93">
      <w:pPr>
        <w:spacing w:line="276" w:lineRule="auto"/>
        <w:jc w:val="both"/>
        <w:rPr>
          <w:rFonts w:ascii="Calibri" w:hAnsi="Calibri" w:cs="Calibri"/>
          <w:color w:val="0A0A0A"/>
        </w:rPr>
      </w:pPr>
    </w:p>
    <w:p w14:paraId="59C7D7C2" w14:textId="2588342C" w:rsidR="00C163BC" w:rsidRPr="00464899" w:rsidRDefault="002E530A" w:rsidP="00464899">
      <w:pPr>
        <w:pStyle w:val="ListParagraph"/>
        <w:numPr>
          <w:ilvl w:val="0"/>
          <w:numId w:val="12"/>
        </w:numPr>
        <w:spacing w:line="276" w:lineRule="auto"/>
        <w:jc w:val="both"/>
        <w:rPr>
          <w:rFonts w:ascii="Calibri" w:hAnsi="Calibri" w:cs="Calibri"/>
          <w:color w:val="0A0A0A"/>
        </w:rPr>
      </w:pPr>
      <w:r w:rsidRPr="00464899">
        <w:rPr>
          <w:rFonts w:ascii="Calibri" w:hAnsi="Calibri" w:cs="Calibri"/>
          <w:color w:val="0A0A0A"/>
        </w:rPr>
        <w:lastRenderedPageBreak/>
        <w:t xml:space="preserve">In its reasoning, the 13th Regional Administrative Court </w:t>
      </w:r>
      <w:r w:rsidR="00B33E48" w:rsidRPr="00464899">
        <w:rPr>
          <w:rFonts w:ascii="Calibri" w:hAnsi="Calibri" w:cs="Calibri"/>
          <w:color w:val="0A0A0A"/>
        </w:rPr>
        <w:t>considers it obligatory for public officials to obey the political power with loyalty. In its decisions, it ignores academic freedom, takes an attitude that equates the dismissal practice, which eliminates the freedom of thought and expression of public officials and ignores the most basic rights and freedoms from freedom of movement to freedom of work, with the dismissal practice</w:t>
      </w:r>
      <w:r w:rsidR="00DA43E4" w:rsidRPr="00464899">
        <w:rPr>
          <w:rFonts w:ascii="Calibri" w:hAnsi="Calibri" w:cs="Calibri"/>
          <w:color w:val="0A0A0A"/>
        </w:rPr>
        <w:t>,</w:t>
      </w:r>
      <w:r w:rsidR="00B33E48" w:rsidRPr="00464899">
        <w:rPr>
          <w:rFonts w:ascii="Calibri" w:hAnsi="Calibri" w:cs="Calibri"/>
          <w:color w:val="0A0A0A"/>
        </w:rPr>
        <w:t xml:space="preserve"> which equates dismissal from public office with disciplinary punishment, in short, it has directly defined the act of signing the declaration as a crime again.</w:t>
      </w:r>
    </w:p>
    <w:p w14:paraId="62AD0A89" w14:textId="25F027CE" w:rsidR="00C163BC" w:rsidRDefault="002E530A" w:rsidP="00851600">
      <w:pPr>
        <w:pBdr>
          <w:top w:val="single" w:sz="4" w:space="1" w:color="auto"/>
          <w:left w:val="single" w:sz="4" w:space="4" w:color="auto"/>
          <w:bottom w:val="single" w:sz="4" w:space="1" w:color="auto"/>
          <w:right w:val="single" w:sz="4" w:space="4" w:color="auto"/>
        </w:pBdr>
        <w:spacing w:line="276" w:lineRule="auto"/>
        <w:jc w:val="both"/>
        <w:rPr>
          <w:i/>
          <w:sz w:val="20"/>
          <w:szCs w:val="20"/>
        </w:rPr>
      </w:pPr>
      <w:r w:rsidRPr="002E530A">
        <w:rPr>
          <w:i/>
          <w:sz w:val="20"/>
          <w:szCs w:val="20"/>
        </w:rPr>
        <w:t xml:space="preserve">"The 13th Administrative Court has </w:t>
      </w:r>
      <w:r>
        <w:rPr>
          <w:i/>
          <w:sz w:val="20"/>
          <w:szCs w:val="20"/>
        </w:rPr>
        <w:t>turned back</w:t>
      </w:r>
      <w:r w:rsidRPr="002E530A">
        <w:rPr>
          <w:i/>
          <w:sz w:val="20"/>
          <w:szCs w:val="20"/>
        </w:rPr>
        <w:t xml:space="preserve"> all the reinstatement decisions it received. The reasoning seems to be that as public officials, we are not allowed to criticize the political authority or the state’s institutions and bodies combating terrorism. We are expected to be unconditionally loyal. Our reinstatement decisions are </w:t>
      </w:r>
      <w:r w:rsidR="003669D8">
        <w:rPr>
          <w:i/>
          <w:sz w:val="20"/>
          <w:szCs w:val="20"/>
        </w:rPr>
        <w:t>revoked</w:t>
      </w:r>
      <w:r w:rsidRPr="002E530A">
        <w:rPr>
          <w:i/>
          <w:sz w:val="20"/>
          <w:szCs w:val="20"/>
        </w:rPr>
        <w:t xml:space="preserve"> on the grounds that we, as state officials, must comply unconditionally with state decisions and that signing the petition implies affiliation with a terrorist organization." (66, male, associate professor</w:t>
      </w:r>
      <w:r w:rsidR="00D139EC">
        <w:rPr>
          <w:i/>
          <w:sz w:val="20"/>
          <w:szCs w:val="20"/>
        </w:rPr>
        <w:t>)</w:t>
      </w:r>
    </w:p>
    <w:p w14:paraId="44B10630" w14:textId="1EDDC50D" w:rsidR="002E530A" w:rsidRDefault="002E530A" w:rsidP="00464899">
      <w:pPr>
        <w:pStyle w:val="ListParagraph"/>
        <w:numPr>
          <w:ilvl w:val="0"/>
          <w:numId w:val="12"/>
        </w:numPr>
        <w:spacing w:line="276" w:lineRule="auto"/>
        <w:jc w:val="both"/>
      </w:pPr>
      <w:r>
        <w:t>The 14th Regional Administrative Court, on the other hand, has exhibited the opposite attitude by approving the vast majority of reinstatement decisions. This indicates that the discrimination observed from the beginning of the process continues even within the regional administrative courts. The 15th Regional Administrative Court stands out for issuing very few decisions, having only rejected 8 suspension requests to date</w:t>
      </w:r>
      <w:r w:rsidR="00D139EC">
        <w:rPr>
          <w:rStyle w:val="FootnoteReference"/>
        </w:rPr>
        <w:footnoteReference w:id="12"/>
      </w:r>
      <w:r>
        <w:t>.</w:t>
      </w:r>
    </w:p>
    <w:p w14:paraId="07729331" w14:textId="31FA5F64" w:rsidR="002E530A" w:rsidRDefault="002E530A" w:rsidP="00464899">
      <w:pPr>
        <w:pStyle w:val="ListParagraph"/>
        <w:numPr>
          <w:ilvl w:val="0"/>
          <w:numId w:val="12"/>
        </w:numPr>
        <w:spacing w:line="276" w:lineRule="auto"/>
        <w:jc w:val="both"/>
      </w:pPr>
      <w:r>
        <w:t>These differing decisions for peace academics in identical legal situations confirm the view that these administrative courts are not conducting legal processes but are instead making political decisions. Education-Sen lawyer Asuman Tokgöz summarizes the situation as follows:</w:t>
      </w:r>
    </w:p>
    <w:p w14:paraId="152D0BB2" w14:textId="75A821DB" w:rsidR="00C163BC" w:rsidRDefault="00B33E48" w:rsidP="00851600">
      <w:pPr>
        <w:pBdr>
          <w:top w:val="single" w:sz="4" w:space="1" w:color="auto"/>
          <w:left w:val="single" w:sz="4" w:space="4" w:color="auto"/>
          <w:bottom w:val="single" w:sz="4" w:space="1" w:color="auto"/>
          <w:right w:val="single" w:sz="4" w:space="4" w:color="auto"/>
        </w:pBdr>
        <w:jc w:val="both"/>
        <w:rPr>
          <w:rFonts w:cs="Tahoma"/>
          <w:i/>
          <w:color w:val="281E1E"/>
          <w:sz w:val="20"/>
          <w:szCs w:val="20"/>
          <w:shd w:val="clear" w:color="auto" w:fill="FFFFFF"/>
        </w:rPr>
      </w:pPr>
      <w:r w:rsidRPr="009C188D">
        <w:rPr>
          <w:rFonts w:cs="Arial"/>
          <w:i/>
          <w:color w:val="343434"/>
          <w:sz w:val="20"/>
          <w:szCs w:val="20"/>
          <w:shd w:val="clear" w:color="auto" w:fill="FFFFFF"/>
        </w:rPr>
        <w:t>"</w:t>
      </w:r>
      <w:r w:rsidR="002E530A" w:rsidRPr="002E530A">
        <w:rPr>
          <w:i/>
          <w:sz w:val="20"/>
          <w:szCs w:val="20"/>
        </w:rPr>
        <w:t>This fragmented situation actually arose due to the different legal perspectives of judges in various courts, their interpretations of the declaration, their understanding of the concepts of liaison and affiliation, and somewhat their own political biases. Different decisions can also come from the same court; 99% of our professors were in the same situation. The</w:t>
      </w:r>
      <w:r w:rsidR="002E530A">
        <w:rPr>
          <w:i/>
          <w:sz w:val="20"/>
          <w:szCs w:val="20"/>
        </w:rPr>
        <w:t>y have nothing else to justify</w:t>
      </w:r>
      <w:r w:rsidR="009C188D" w:rsidRPr="009C188D">
        <w:rPr>
          <w:i/>
          <w:sz w:val="20"/>
          <w:szCs w:val="20"/>
        </w:rPr>
        <w:t>.</w:t>
      </w:r>
      <w:r w:rsidR="002D4A9A" w:rsidRPr="009C188D">
        <w:rPr>
          <w:rFonts w:cs="Arial"/>
          <w:i/>
          <w:color w:val="343434"/>
          <w:sz w:val="20"/>
          <w:szCs w:val="20"/>
          <w:shd w:val="clear" w:color="auto" w:fill="FFFFFF"/>
        </w:rPr>
        <w:t>"</w:t>
      </w:r>
    </w:p>
    <w:p w14:paraId="7C2673F7" w14:textId="34EA6440" w:rsidR="00C163BC" w:rsidRPr="00464899" w:rsidRDefault="00B33E48" w:rsidP="00464899">
      <w:pPr>
        <w:pStyle w:val="ListParagraph"/>
        <w:numPr>
          <w:ilvl w:val="0"/>
          <w:numId w:val="12"/>
        </w:numPr>
        <w:jc w:val="both"/>
        <w:rPr>
          <w:rFonts w:cs="Tahoma"/>
          <w:color w:val="281E1E"/>
          <w:shd w:val="clear" w:color="auto" w:fill="FFFFFF"/>
        </w:rPr>
      </w:pPr>
      <w:r w:rsidRPr="00464899">
        <w:rPr>
          <w:rFonts w:cs="Tahoma"/>
          <w:color w:val="281E1E"/>
          <w:shd w:val="clear" w:color="auto" w:fill="FFFFFF"/>
        </w:rPr>
        <w:t>We asked our participants</w:t>
      </w:r>
      <w:r w:rsidR="002E530A" w:rsidRPr="00464899">
        <w:rPr>
          <w:rFonts w:cs="Tahoma"/>
          <w:color w:val="281E1E"/>
          <w:shd w:val="clear" w:color="auto" w:fill="FFFFFF"/>
        </w:rPr>
        <w:t>,</w:t>
      </w:r>
      <w:r w:rsidRPr="00464899">
        <w:rPr>
          <w:rFonts w:cs="Tahoma"/>
          <w:color w:val="281E1E"/>
          <w:shd w:val="clear" w:color="auto" w:fill="FFFFFF"/>
        </w:rPr>
        <w:t xml:space="preserve"> whose reinstatement decisions were rejected or are </w:t>
      </w:r>
      <w:r w:rsidR="002E530A" w:rsidRPr="00464899">
        <w:rPr>
          <w:rFonts w:cs="Tahoma"/>
          <w:color w:val="281E1E"/>
          <w:shd w:val="clear" w:color="auto" w:fill="FFFFFF"/>
        </w:rPr>
        <w:t xml:space="preserve">pending at the Council of State, </w:t>
      </w:r>
      <w:r w:rsidRPr="00464899">
        <w:rPr>
          <w:rFonts w:cs="Tahoma"/>
          <w:color w:val="281E1E"/>
          <w:shd w:val="clear" w:color="auto" w:fill="FFFFFF"/>
        </w:rPr>
        <w:t xml:space="preserve">what their expectations were regarding the process. Most of our participants </w:t>
      </w:r>
      <w:r w:rsidR="002E530A" w:rsidRPr="00464899">
        <w:rPr>
          <w:rFonts w:cs="Tahoma"/>
          <w:color w:val="281E1E"/>
          <w:shd w:val="clear" w:color="auto" w:fill="FFFFFF"/>
        </w:rPr>
        <w:t>stated that</w:t>
      </w:r>
      <w:r w:rsidRPr="00464899">
        <w:rPr>
          <w:rFonts w:cs="Tahoma"/>
          <w:color w:val="281E1E"/>
          <w:shd w:val="clear" w:color="auto" w:fill="FFFFFF"/>
        </w:rPr>
        <w:t xml:space="preserve"> there </w:t>
      </w:r>
      <w:r w:rsidR="002E530A" w:rsidRPr="00464899">
        <w:rPr>
          <w:rFonts w:cs="Tahoma"/>
          <w:color w:val="281E1E"/>
          <w:shd w:val="clear" w:color="auto" w:fill="FFFFFF"/>
        </w:rPr>
        <w:t>exists</w:t>
      </w:r>
      <w:r w:rsidRPr="00464899">
        <w:rPr>
          <w:rFonts w:cs="Tahoma"/>
          <w:color w:val="281E1E"/>
          <w:shd w:val="clear" w:color="auto" w:fill="FFFFFF"/>
        </w:rPr>
        <w:t xml:space="preserve"> a great deal of uncertainty. They emphasised that the biggest </w:t>
      </w:r>
      <w:r w:rsidR="002E530A" w:rsidRPr="00464899">
        <w:rPr>
          <w:rFonts w:cs="Tahoma"/>
          <w:color w:val="281E1E"/>
          <w:shd w:val="clear" w:color="auto" w:fill="FFFFFF"/>
        </w:rPr>
        <w:t>reason behind</w:t>
      </w:r>
      <w:r w:rsidRPr="00464899">
        <w:rPr>
          <w:rFonts w:cs="Tahoma"/>
          <w:color w:val="281E1E"/>
          <w:shd w:val="clear" w:color="auto" w:fill="FFFFFF"/>
        </w:rPr>
        <w:t xml:space="preserve"> this uncertainty is the political </w:t>
      </w:r>
      <w:r w:rsidR="00DA1D44" w:rsidRPr="00464899">
        <w:rPr>
          <w:rFonts w:cs="Tahoma"/>
          <w:color w:val="281E1E"/>
          <w:shd w:val="clear" w:color="auto" w:fill="FFFFFF"/>
        </w:rPr>
        <w:t>conjuncture</w:t>
      </w:r>
      <w:r w:rsidRPr="00464899">
        <w:rPr>
          <w:rFonts w:cs="Tahoma"/>
          <w:color w:val="281E1E"/>
          <w:shd w:val="clear" w:color="auto" w:fill="FFFFFF"/>
        </w:rPr>
        <w:t xml:space="preserve">, and that if everything happens within the framework of the law, all peace academics </w:t>
      </w:r>
      <w:r w:rsidR="002E530A" w:rsidRPr="00464899">
        <w:rPr>
          <w:rFonts w:cs="Tahoma"/>
          <w:color w:val="281E1E"/>
          <w:shd w:val="clear" w:color="auto" w:fill="FFFFFF"/>
        </w:rPr>
        <w:t>would</w:t>
      </w:r>
      <w:r w:rsidRPr="00464899">
        <w:rPr>
          <w:rFonts w:cs="Tahoma"/>
          <w:color w:val="281E1E"/>
          <w:shd w:val="clear" w:color="auto" w:fill="FFFFFF"/>
        </w:rPr>
        <w:t xml:space="preserve"> return</w:t>
      </w:r>
      <w:r w:rsidR="002E530A" w:rsidRPr="00464899">
        <w:rPr>
          <w:rFonts w:cs="Tahoma"/>
          <w:color w:val="281E1E"/>
          <w:shd w:val="clear" w:color="auto" w:fill="FFFFFF"/>
        </w:rPr>
        <w:t xml:space="preserve"> to their posts</w:t>
      </w:r>
      <w:r w:rsidRPr="00464899">
        <w:rPr>
          <w:rFonts w:cs="Tahoma"/>
          <w:color w:val="281E1E"/>
          <w:shd w:val="clear" w:color="auto" w:fill="FFFFFF"/>
        </w:rPr>
        <w:t xml:space="preserve">. </w:t>
      </w:r>
    </w:p>
    <w:p w14:paraId="6A3BD5CC" w14:textId="77D721DD" w:rsidR="00C163BC" w:rsidRPr="00851600" w:rsidRDefault="00B33E48" w:rsidP="00851600">
      <w:pPr>
        <w:pBdr>
          <w:top w:val="single" w:sz="4" w:space="1" w:color="auto"/>
          <w:left w:val="single" w:sz="4" w:space="4" w:color="auto"/>
          <w:bottom w:val="single" w:sz="4" w:space="1" w:color="auto"/>
          <w:right w:val="single" w:sz="4" w:space="4" w:color="auto"/>
        </w:pBdr>
        <w:jc w:val="both"/>
        <w:rPr>
          <w:rFonts w:cs="Tahoma"/>
          <w:i/>
          <w:color w:val="281E1E"/>
          <w:sz w:val="19"/>
          <w:szCs w:val="19"/>
          <w:shd w:val="clear" w:color="auto" w:fill="FFFFFF"/>
        </w:rPr>
      </w:pPr>
      <w:r w:rsidRPr="00851600">
        <w:rPr>
          <w:rFonts w:cs="Tahoma"/>
          <w:i/>
          <w:color w:val="281E1E"/>
          <w:sz w:val="19"/>
          <w:szCs w:val="19"/>
          <w:shd w:val="clear" w:color="auto" w:fill="FFFFFF"/>
        </w:rPr>
        <w:t>"</w:t>
      </w:r>
      <w:r w:rsidR="002E530A" w:rsidRPr="00851600">
        <w:rPr>
          <w:rFonts w:cs="Tahoma"/>
          <w:i/>
          <w:color w:val="281E1E"/>
          <w:sz w:val="19"/>
          <w:szCs w:val="19"/>
          <w:shd w:val="clear" w:color="auto" w:fill="FFFFFF"/>
        </w:rPr>
        <w:t>There is significant uncertainty, with the biggest source being the political conjuncture. We do not know which direction Turkey will take. In a normal process, there is no crime, and there is a decision from the Constitutional Court; in fact, this issue should not have escalated this far. This matter should have been resolved by the State of Emergency Commission. However, the State of Emergency Commission also ignored the Constitutional Court's decision. If the Council of State adheres to the law, we will all be reinstated. But if this political climate continues, there might be a situation where some of us are dismissed while others are reinstated.” (37, male, research assistant)</w:t>
      </w:r>
    </w:p>
    <w:p w14:paraId="4F284FD6" w14:textId="2719122B" w:rsidR="00B42B19" w:rsidRPr="00464899" w:rsidRDefault="002E530A" w:rsidP="00464899">
      <w:pPr>
        <w:pStyle w:val="ListParagraph"/>
        <w:numPr>
          <w:ilvl w:val="0"/>
          <w:numId w:val="12"/>
        </w:numPr>
        <w:jc w:val="both"/>
        <w:rPr>
          <w:rFonts w:cs="Tahoma"/>
          <w:color w:val="281E1E"/>
          <w:shd w:val="clear" w:color="auto" w:fill="FFFFFF"/>
        </w:rPr>
      </w:pPr>
      <w:r w:rsidRPr="00464899">
        <w:rPr>
          <w:rFonts w:cs="Tahoma"/>
          <w:color w:val="281E1E"/>
          <w:shd w:val="clear" w:color="auto" w:fill="FFFFFF"/>
        </w:rPr>
        <w:t xml:space="preserve">The </w:t>
      </w:r>
      <w:r w:rsidR="00851600" w:rsidRPr="00464899">
        <w:rPr>
          <w:rFonts w:cs="Tahoma"/>
          <w:color w:val="281E1E"/>
          <w:shd w:val="clear" w:color="auto" w:fill="FFFFFF"/>
        </w:rPr>
        <w:t xml:space="preserve">revocation </w:t>
      </w:r>
      <w:r w:rsidRPr="00464899">
        <w:rPr>
          <w:rFonts w:cs="Tahoma"/>
          <w:color w:val="281E1E"/>
          <w:shd w:val="clear" w:color="auto" w:fill="FFFFFF"/>
        </w:rPr>
        <w:t xml:space="preserve"> of reinstatement decisions for academics who signed the Peace Petition violates fundamental rights, including freedom of expression, fair trial, the right to defend oneself, equality before the law, and the presumption of innocence</w:t>
      </w:r>
      <w:r w:rsidR="00E6103A" w:rsidRPr="00464899">
        <w:rPr>
          <w:rFonts w:cs="Tahoma"/>
          <w:color w:val="281E1E"/>
          <w:shd w:val="clear" w:color="auto" w:fill="FFFFFF"/>
        </w:rPr>
        <w:t xml:space="preserve">. These rights </w:t>
      </w:r>
      <w:r w:rsidR="001A410F" w:rsidRPr="00464899">
        <w:rPr>
          <w:rFonts w:cs="Tahoma"/>
          <w:color w:val="281E1E"/>
          <w:shd w:val="clear" w:color="auto" w:fill="FFFFFF"/>
        </w:rPr>
        <w:t xml:space="preserve">are </w:t>
      </w:r>
      <w:r w:rsidR="00E6103A" w:rsidRPr="00464899">
        <w:rPr>
          <w:rFonts w:cs="Tahoma"/>
          <w:color w:val="281E1E"/>
          <w:shd w:val="clear" w:color="auto" w:fill="FFFFFF"/>
        </w:rPr>
        <w:t xml:space="preserve">guaranteed by the UN </w:t>
      </w:r>
      <w:r w:rsidR="00E6103A" w:rsidRPr="00464899">
        <w:rPr>
          <w:rFonts w:cs="Tahoma"/>
          <w:color w:val="281E1E"/>
          <w:shd w:val="clear" w:color="auto" w:fill="FFFFFF"/>
        </w:rPr>
        <w:lastRenderedPageBreak/>
        <w:t>Universal Declaration of Human Rights</w:t>
      </w:r>
      <w:r w:rsidR="00E6103A">
        <w:rPr>
          <w:rStyle w:val="FootnoteReference"/>
          <w:rFonts w:cs="Tahoma"/>
          <w:color w:val="281E1E"/>
          <w:shd w:val="clear" w:color="auto" w:fill="FFFFFF"/>
        </w:rPr>
        <w:footnoteReference w:id="13"/>
      </w:r>
      <w:r w:rsidR="00E6103A" w:rsidRPr="00464899">
        <w:rPr>
          <w:rFonts w:cs="Tahoma"/>
          <w:color w:val="281E1E"/>
          <w:shd w:val="clear" w:color="auto" w:fill="FFFFFF"/>
        </w:rPr>
        <w:t xml:space="preserve"> , the UN Covenant on Civil and Political Rights</w:t>
      </w:r>
      <w:r w:rsidR="00E6103A">
        <w:rPr>
          <w:rStyle w:val="FootnoteReference"/>
          <w:rFonts w:cs="Tahoma"/>
          <w:color w:val="281E1E"/>
          <w:shd w:val="clear" w:color="auto" w:fill="FFFFFF"/>
        </w:rPr>
        <w:footnoteReference w:id="14"/>
      </w:r>
      <w:r w:rsidR="00E6103A" w:rsidRPr="00464899">
        <w:rPr>
          <w:rFonts w:cs="Tahoma"/>
          <w:color w:val="281E1E"/>
          <w:shd w:val="clear" w:color="auto" w:fill="FFFFFF"/>
        </w:rPr>
        <w:t xml:space="preserve"> , the European Convention on Human Rights</w:t>
      </w:r>
      <w:r w:rsidR="00E6103A">
        <w:rPr>
          <w:rStyle w:val="FootnoteReference"/>
          <w:rFonts w:cs="Tahoma"/>
          <w:color w:val="281E1E"/>
          <w:shd w:val="clear" w:color="auto" w:fill="FFFFFF"/>
        </w:rPr>
        <w:footnoteReference w:id="15"/>
      </w:r>
      <w:r w:rsidR="00E6103A" w:rsidRPr="00464899">
        <w:rPr>
          <w:rFonts w:cs="Tahoma"/>
          <w:color w:val="281E1E"/>
          <w:shd w:val="clear" w:color="auto" w:fill="FFFFFF"/>
        </w:rPr>
        <w:t xml:space="preserve"> and the Constitution</w:t>
      </w:r>
      <w:r w:rsidR="00D139EC" w:rsidRPr="00464899">
        <w:rPr>
          <w:rFonts w:cs="Tahoma"/>
          <w:color w:val="281E1E"/>
          <w:shd w:val="clear" w:color="auto" w:fill="FFFFFF"/>
        </w:rPr>
        <w:t>of Turkey</w:t>
      </w:r>
      <w:r w:rsidR="00E6103A">
        <w:rPr>
          <w:rStyle w:val="FootnoteReference"/>
          <w:rFonts w:cs="Tahoma"/>
          <w:color w:val="281E1E"/>
          <w:shd w:val="clear" w:color="auto" w:fill="FFFFFF"/>
        </w:rPr>
        <w:footnoteReference w:id="16"/>
      </w:r>
      <w:r w:rsidR="00E6103A" w:rsidRPr="00464899">
        <w:rPr>
          <w:rFonts w:cs="Tahoma"/>
          <w:color w:val="281E1E"/>
          <w:shd w:val="clear" w:color="auto" w:fill="FFFFFF"/>
        </w:rPr>
        <w:t xml:space="preserve"> . </w:t>
      </w:r>
    </w:p>
    <w:p w14:paraId="27C129BF" w14:textId="77777777" w:rsidR="00C163BC" w:rsidRPr="00B42B19" w:rsidRDefault="00B33E48" w:rsidP="00B42B19">
      <w:pPr>
        <w:pStyle w:val="Heading3"/>
        <w:rPr>
          <w:b/>
          <w:sz w:val="22"/>
          <w:szCs w:val="22"/>
        </w:rPr>
      </w:pPr>
      <w:bookmarkStart w:id="5" w:name="_Toc177052026"/>
      <w:r w:rsidRPr="00B42B19">
        <w:rPr>
          <w:b/>
          <w:sz w:val="22"/>
          <w:szCs w:val="22"/>
        </w:rPr>
        <w:t>Abolition of slavery, servitude and human trafficking (Articles 2, 7, 8 and 26)</w:t>
      </w:r>
      <w:bookmarkEnd w:id="5"/>
    </w:p>
    <w:p w14:paraId="386B3FF5" w14:textId="43C4D30A" w:rsidR="00C163BC" w:rsidRDefault="00CC10E4" w:rsidP="00464899">
      <w:pPr>
        <w:pStyle w:val="ListParagraph"/>
        <w:numPr>
          <w:ilvl w:val="0"/>
          <w:numId w:val="12"/>
        </w:numPr>
        <w:jc w:val="both"/>
      </w:pPr>
      <w:r w:rsidRPr="00CC10E4">
        <w:t xml:space="preserve">Examining financial rights reveals various losses in this area as well. First, let’s consider back payments: academics who were reinstated receive their salaries in bulk for the period since their dismissal. None of our participants have touched this money because they stated that when the reinstatement decisions were </w:t>
      </w:r>
      <w:r>
        <w:t>revoked</w:t>
      </w:r>
      <w:r w:rsidRPr="00CC10E4">
        <w:t>, they would have to repay this amount with higher interest. In other words, in the end, peace academics are left in debt to the state. While the interest applied on back salaries was a mere 9%, the repayment is demanded at an interest rate of 24%, as the legal interest</w:t>
      </w:r>
      <w:r>
        <w:t xml:space="preserve"> rate has become 24% over time.</w:t>
      </w:r>
    </w:p>
    <w:p w14:paraId="01BCB6F0" w14:textId="65F2CB91" w:rsidR="00CC10E4" w:rsidRPr="00CC10E4" w:rsidRDefault="00B33E48" w:rsidP="00B42B19">
      <w:pPr>
        <w:pBdr>
          <w:top w:val="single" w:sz="4" w:space="1" w:color="auto"/>
          <w:left w:val="single" w:sz="4" w:space="4" w:color="auto"/>
          <w:bottom w:val="single" w:sz="4" w:space="1" w:color="auto"/>
          <w:right w:val="single" w:sz="4" w:space="4" w:color="auto"/>
        </w:pBdr>
        <w:jc w:val="both"/>
        <w:rPr>
          <w:i/>
          <w:sz w:val="20"/>
          <w:szCs w:val="20"/>
        </w:rPr>
      </w:pPr>
      <w:r w:rsidRPr="00F153B6">
        <w:rPr>
          <w:i/>
          <w:sz w:val="20"/>
          <w:szCs w:val="20"/>
        </w:rPr>
        <w:t>"</w:t>
      </w:r>
      <w:r w:rsidR="00CC10E4" w:rsidRPr="00CC10E4">
        <w:t xml:space="preserve"> </w:t>
      </w:r>
      <w:r w:rsidR="00CC10E4" w:rsidRPr="00CC10E4">
        <w:rPr>
          <w:i/>
          <w:sz w:val="20"/>
          <w:szCs w:val="20"/>
        </w:rPr>
        <w:t>"While back payments were made to us with 9% interest, if the Council of State revokes the decision, they demand repayment with 24% interest. That’s why I act as if I haven’t received anything. If the Council of State revokes it tomorrow or the day after, we’ll have to repay. The payment was made 3.5 months later." (53, male, associate professor)</w:t>
      </w:r>
    </w:p>
    <w:p w14:paraId="4ED93E96" w14:textId="1AE7EE3E" w:rsidR="00C163BC" w:rsidRDefault="00CC10E4" w:rsidP="00B42B19">
      <w:pPr>
        <w:pBdr>
          <w:top w:val="single" w:sz="4" w:space="1" w:color="auto"/>
          <w:left w:val="single" w:sz="4" w:space="4" w:color="auto"/>
          <w:bottom w:val="single" w:sz="4" w:space="1" w:color="auto"/>
          <w:right w:val="single" w:sz="4" w:space="4" w:color="auto"/>
        </w:pBdr>
        <w:jc w:val="both"/>
        <w:rPr>
          <w:i/>
          <w:sz w:val="20"/>
          <w:szCs w:val="20"/>
        </w:rPr>
      </w:pPr>
      <w:r w:rsidRPr="00CC10E4">
        <w:rPr>
          <w:i/>
          <w:sz w:val="20"/>
          <w:szCs w:val="20"/>
        </w:rPr>
        <w:t>"I was also working at TTB</w:t>
      </w:r>
      <w:r>
        <w:rPr>
          <w:i/>
          <w:sz w:val="20"/>
          <w:szCs w:val="20"/>
        </w:rPr>
        <w:t>(Turkish Medical Association)</w:t>
      </w:r>
      <w:r w:rsidRPr="00CC10E4">
        <w:rPr>
          <w:i/>
          <w:sz w:val="20"/>
          <w:szCs w:val="20"/>
        </w:rPr>
        <w:t>, and I had to leave that job when I was reinstated. I ended up losing a job I was already working at. On top of that, the university is demanding an additional 200,000 TL from me, and I am now in debt. It would have been better if I had never been reinstated. They calculated a total of 958,000 TL, and now I am also 200,000 TL in debt. All of this happened within 10 months. One is left speechless." (37, male, research assistant)</w:t>
      </w:r>
    </w:p>
    <w:p w14:paraId="7F42D0D0" w14:textId="77777777" w:rsidR="00C163BC" w:rsidRDefault="00B33E48" w:rsidP="00464899">
      <w:pPr>
        <w:pStyle w:val="ListParagraph"/>
        <w:numPr>
          <w:ilvl w:val="0"/>
          <w:numId w:val="12"/>
        </w:numPr>
        <w:jc w:val="both"/>
      </w:pPr>
      <w:r>
        <w:t xml:space="preserve">Retroactive payments were paid late in some cases, and in some cases incomplete and incorrect calculations were made. Our participants stated that if they had been working during this period, they would have received additional course fees. However, tuition fees were not included in the lump sum payments. </w:t>
      </w:r>
    </w:p>
    <w:p w14:paraId="4151B0FA" w14:textId="23EF85C4" w:rsidR="00C163BC" w:rsidRDefault="00B33E48" w:rsidP="00B42B19">
      <w:pPr>
        <w:pBdr>
          <w:top w:val="single" w:sz="4" w:space="1" w:color="auto"/>
          <w:left w:val="single" w:sz="4" w:space="4" w:color="auto"/>
          <w:bottom w:val="single" w:sz="4" w:space="1" w:color="auto"/>
          <w:right w:val="single" w:sz="4" w:space="4" w:color="auto"/>
        </w:pBdr>
        <w:jc w:val="both"/>
        <w:rPr>
          <w:i/>
          <w:sz w:val="20"/>
          <w:szCs w:val="20"/>
        </w:rPr>
      </w:pPr>
      <w:r w:rsidRPr="00273F6A">
        <w:rPr>
          <w:i/>
          <w:sz w:val="20"/>
          <w:szCs w:val="20"/>
        </w:rPr>
        <w:t>"</w:t>
      </w:r>
      <w:r w:rsidR="00566BE6" w:rsidRPr="00273F6A">
        <w:rPr>
          <w:i/>
          <w:sz w:val="20"/>
          <w:szCs w:val="20"/>
        </w:rPr>
        <w:t xml:space="preserve">There was a deficiency in </w:t>
      </w:r>
      <w:r w:rsidR="00166E0C">
        <w:rPr>
          <w:i/>
          <w:sz w:val="20"/>
          <w:szCs w:val="20"/>
        </w:rPr>
        <w:t>that</w:t>
      </w:r>
      <w:r w:rsidR="00566BE6" w:rsidRPr="00273F6A">
        <w:rPr>
          <w:i/>
          <w:sz w:val="20"/>
          <w:szCs w:val="20"/>
        </w:rPr>
        <w:t xml:space="preserve">, when I was working, I had some income other than salary, such as additional course fees. The interest rate is ridiculously low. It is 9 per cent per annum </w:t>
      </w:r>
      <w:r w:rsidR="001F33FD">
        <w:rPr>
          <w:i/>
          <w:sz w:val="20"/>
          <w:szCs w:val="20"/>
        </w:rPr>
        <w:t xml:space="preserve">and </w:t>
      </w:r>
      <w:r w:rsidR="00566BE6" w:rsidRPr="00273F6A">
        <w:rPr>
          <w:i/>
          <w:sz w:val="20"/>
          <w:szCs w:val="20"/>
        </w:rPr>
        <w:t xml:space="preserve">0.75 per cent per month. Therefore, those </w:t>
      </w:r>
      <w:r w:rsidR="00CC10E4">
        <w:rPr>
          <w:i/>
          <w:sz w:val="20"/>
          <w:szCs w:val="20"/>
        </w:rPr>
        <w:t xml:space="preserve">employee </w:t>
      </w:r>
      <w:r w:rsidR="00566BE6" w:rsidRPr="00273F6A">
        <w:rPr>
          <w:i/>
          <w:sz w:val="20"/>
          <w:szCs w:val="20"/>
        </w:rPr>
        <w:t>personal rights, let's call them material rights, it is not correct to call them</w:t>
      </w:r>
      <w:r w:rsidR="00CC10E4">
        <w:rPr>
          <w:i/>
          <w:sz w:val="20"/>
          <w:szCs w:val="20"/>
        </w:rPr>
        <w:t xml:space="preserve"> employee</w:t>
      </w:r>
      <w:r w:rsidR="00566BE6" w:rsidRPr="00273F6A">
        <w:rPr>
          <w:i/>
          <w:sz w:val="20"/>
          <w:szCs w:val="20"/>
        </w:rPr>
        <w:t xml:space="preserve"> personal rights, material rights are very incomplete and insufficient.</w:t>
      </w:r>
      <w:r w:rsidRPr="00273F6A">
        <w:rPr>
          <w:i/>
          <w:sz w:val="20"/>
          <w:szCs w:val="20"/>
        </w:rPr>
        <w:t>" (66, male, associate professor)</w:t>
      </w:r>
    </w:p>
    <w:p w14:paraId="75FF3292" w14:textId="07FDF52A" w:rsidR="00C163BC" w:rsidRDefault="00B33E48" w:rsidP="00464899">
      <w:pPr>
        <w:pStyle w:val="ListParagraph"/>
        <w:numPr>
          <w:ilvl w:val="0"/>
          <w:numId w:val="12"/>
        </w:numPr>
        <w:jc w:val="both"/>
      </w:pPr>
      <w:r>
        <w:t xml:space="preserve">Some of our participants had </w:t>
      </w:r>
      <w:r w:rsidR="007652E3">
        <w:t xml:space="preserve">a </w:t>
      </w:r>
      <w:r>
        <w:t xml:space="preserve">period </w:t>
      </w:r>
      <w:r w:rsidR="007652E3">
        <w:t xml:space="preserve">of </w:t>
      </w:r>
      <w:r>
        <w:t xml:space="preserve">employment until their reinstatement decisions were </w:t>
      </w:r>
      <w:r w:rsidR="003669D8">
        <w:t>revoked</w:t>
      </w:r>
      <w:r>
        <w:t xml:space="preserve">. Their salary payments for these periods were demanded back and their social security premiums were </w:t>
      </w:r>
      <w:r w:rsidR="001E5A40">
        <w:t>annulled</w:t>
      </w:r>
      <w:r>
        <w:t xml:space="preserve">. </w:t>
      </w:r>
      <w:r w:rsidR="007652E3">
        <w:t xml:space="preserve">In other words, they were not compensated for their labour, they were made to work completely unpaid and their social security payments were also withdrawn. </w:t>
      </w:r>
    </w:p>
    <w:p w14:paraId="0DB037FA" w14:textId="6490676F" w:rsidR="00CC10E4" w:rsidRPr="00CC10E4" w:rsidRDefault="00B33E48" w:rsidP="00B42B19">
      <w:pPr>
        <w:pBdr>
          <w:top w:val="single" w:sz="4" w:space="1" w:color="auto"/>
          <w:left w:val="single" w:sz="4" w:space="4" w:color="auto"/>
          <w:bottom w:val="single" w:sz="4" w:space="1" w:color="auto"/>
          <w:right w:val="single" w:sz="4" w:space="4" w:color="auto"/>
        </w:pBdr>
        <w:jc w:val="both"/>
        <w:rPr>
          <w:i/>
          <w:sz w:val="20"/>
          <w:szCs w:val="20"/>
        </w:rPr>
      </w:pPr>
      <w:r w:rsidRPr="009C3AC6">
        <w:rPr>
          <w:i/>
          <w:sz w:val="20"/>
          <w:szCs w:val="20"/>
        </w:rPr>
        <w:t>"</w:t>
      </w:r>
      <w:r w:rsidR="00CC10E4" w:rsidRPr="00CC10E4">
        <w:rPr>
          <w:i/>
          <w:sz w:val="20"/>
          <w:szCs w:val="20"/>
        </w:rPr>
        <w:t xml:space="preserve">Then they said that we also need to repay the salaries for the period we worked. I said this is unacceptable, it’s unlawful. There is a prohibition on forced labor in the Constitution, and the European Court of Human Rights has regulations against slavery. I am not your slave; what about the compensation for my labor? How can this be allowed? The university administration also said, ‘We know this is unlawful.’” (38, female, </w:t>
      </w:r>
      <w:r w:rsidR="00D139EC">
        <w:rPr>
          <w:i/>
          <w:sz w:val="20"/>
          <w:szCs w:val="20"/>
        </w:rPr>
        <w:t>PhD</w:t>
      </w:r>
      <w:r w:rsidR="00CC10E4" w:rsidRPr="00CC10E4">
        <w:rPr>
          <w:i/>
          <w:sz w:val="20"/>
          <w:szCs w:val="20"/>
        </w:rPr>
        <w:t>)</w:t>
      </w:r>
    </w:p>
    <w:p w14:paraId="7D5C5344" w14:textId="77E5D1CA" w:rsidR="00C163BC" w:rsidRDefault="00CC10E4" w:rsidP="00B42B19">
      <w:pPr>
        <w:pBdr>
          <w:top w:val="single" w:sz="4" w:space="1" w:color="auto"/>
          <w:left w:val="single" w:sz="4" w:space="4" w:color="auto"/>
          <w:bottom w:val="single" w:sz="4" w:space="1" w:color="auto"/>
          <w:right w:val="single" w:sz="4" w:space="4" w:color="auto"/>
        </w:pBdr>
        <w:jc w:val="both"/>
        <w:rPr>
          <w:i/>
          <w:sz w:val="20"/>
          <w:szCs w:val="20"/>
        </w:rPr>
      </w:pPr>
      <w:r w:rsidRPr="00CC10E4">
        <w:rPr>
          <w:i/>
          <w:sz w:val="20"/>
          <w:szCs w:val="20"/>
        </w:rPr>
        <w:t>"I went and worked in Niğde for 10 months. When the reinstatement decision was revoked, the university not only demanded repayment for past payments but also for the 10 months of work, and even erased the 10 months of social security premiums. I objected to this, but it has been 3 weeks and I haven’t received any response from the university yet.” (37, male, research assistant)</w:t>
      </w:r>
    </w:p>
    <w:p w14:paraId="523F0A8C" w14:textId="77777777" w:rsidR="00156F93" w:rsidRDefault="00156F93" w:rsidP="00156F93">
      <w:pPr>
        <w:pStyle w:val="ListParagraph"/>
        <w:ind w:left="360"/>
        <w:jc w:val="both"/>
      </w:pPr>
    </w:p>
    <w:p w14:paraId="53CB48EA" w14:textId="154DDD22" w:rsidR="00B42B19" w:rsidRDefault="00B42B19" w:rsidP="00464899">
      <w:pPr>
        <w:pStyle w:val="ListParagraph"/>
        <w:numPr>
          <w:ilvl w:val="0"/>
          <w:numId w:val="12"/>
        </w:numPr>
        <w:jc w:val="both"/>
      </w:pPr>
      <w:r>
        <w:lastRenderedPageBreak/>
        <w:t>Another loss of rights related to financial matters concerns the conditions of leaving a current job. Academics who are reinstated have to resign from their current jobs to start their duties at the universities. As a result, they are forced to leave their jobs without receiving their rights, such as notice and severance pay. When reinstatement decisions are revoked, they cannot return to their previous jobs and are left entirely without financial security.</w:t>
      </w:r>
    </w:p>
    <w:p w14:paraId="666CF567" w14:textId="77777777" w:rsidR="00B42B19" w:rsidRDefault="00B42B19" w:rsidP="00464899">
      <w:pPr>
        <w:pStyle w:val="ListParagraph"/>
        <w:numPr>
          <w:ilvl w:val="0"/>
          <w:numId w:val="12"/>
        </w:numPr>
        <w:jc w:val="both"/>
      </w:pPr>
      <w:r>
        <w:t>The above-mentioned loss of financial rights is a violation of the most fundamental rights. Everyone has the right to work under fair and favourable conditions, to be protected against unemployment and to equal pay for equal work without discrimination</w:t>
      </w:r>
      <w:r>
        <w:rPr>
          <w:rStyle w:val="FootnoteReference"/>
        </w:rPr>
        <w:footnoteReference w:id="17"/>
      </w:r>
      <w:r>
        <w:t xml:space="preserve"> . In addition, the practices of the university administrations and regional courts in question are contrary to the prohibition of drudgery in Article 18 of the Constitution</w:t>
      </w:r>
      <w:r>
        <w:rPr>
          <w:rStyle w:val="FootnoteReference"/>
        </w:rPr>
        <w:footnoteReference w:id="18"/>
      </w:r>
      <w:r>
        <w:t xml:space="preserve"> and the prohibition of slavery</w:t>
      </w:r>
      <w:r>
        <w:rPr>
          <w:rStyle w:val="FootnoteReference"/>
        </w:rPr>
        <w:footnoteReference w:id="19"/>
      </w:r>
      <w:r>
        <w:t xml:space="preserve"> of the ECHR.  </w:t>
      </w:r>
    </w:p>
    <w:p w14:paraId="6F35C62D" w14:textId="77777777" w:rsidR="00B42B19" w:rsidRDefault="00B42B19" w:rsidP="00464899">
      <w:pPr>
        <w:pStyle w:val="ListParagraph"/>
        <w:numPr>
          <w:ilvl w:val="0"/>
          <w:numId w:val="12"/>
        </w:numPr>
        <w:jc w:val="both"/>
      </w:pPr>
      <w:r>
        <w:t>Before being dismissed, academics working in 50/d status, which is a temporary staff and valid during the education period, are not transferred to 33/a status, which is a permanent staff, by university administrations, which causes their appointments not to be made</w:t>
      </w:r>
      <w:r>
        <w:rPr>
          <w:rStyle w:val="FootnoteReference"/>
        </w:rPr>
        <w:footnoteReference w:id="20"/>
      </w:r>
      <w:r>
        <w:t xml:space="preserve"> . </w:t>
      </w:r>
    </w:p>
    <w:p w14:paraId="2DBECFE5" w14:textId="4908A211" w:rsidR="00B42B19" w:rsidRDefault="00B42B19" w:rsidP="00464899">
      <w:pPr>
        <w:pStyle w:val="ListParagraph"/>
        <w:numPr>
          <w:ilvl w:val="0"/>
          <w:numId w:val="12"/>
        </w:numPr>
        <w:jc w:val="both"/>
      </w:pPr>
      <w:r>
        <w:t xml:space="preserve">This transition is at the discretion of the university administrations. Some universities facilitate the transition by moving reinstated academics to the 33/a status and making their appointments, while renewing their student status and allowing them to continue under the 50/d status if their training is ongoing. However, some universities prevent this transition, thereby obstructing the return of peace academics to their positions. </w:t>
      </w:r>
    </w:p>
    <w:p w14:paraId="34E5D9B6" w14:textId="45A21DB6" w:rsidR="00B42B19" w:rsidRDefault="00B42B19" w:rsidP="00464899">
      <w:pPr>
        <w:pStyle w:val="ListParagraph"/>
        <w:numPr>
          <w:ilvl w:val="0"/>
          <w:numId w:val="12"/>
        </w:numPr>
        <w:jc w:val="both"/>
      </w:pPr>
      <w:r>
        <w:t xml:space="preserve">Before being dismissed, academics working under the temporary 50/d status, which is valid for the duration of their training, are not being transferred to the permanent 33/a status by university administrations, resulting in their appointments not being made. </w:t>
      </w:r>
    </w:p>
    <w:p w14:paraId="01C361EE" w14:textId="4FCEA523" w:rsidR="00C163BC" w:rsidRDefault="00B42B19" w:rsidP="00464899">
      <w:pPr>
        <w:pStyle w:val="ListParagraph"/>
        <w:numPr>
          <w:ilvl w:val="0"/>
          <w:numId w:val="12"/>
        </w:numPr>
        <w:jc w:val="both"/>
      </w:pPr>
      <w:r>
        <w:t>Two participants affected by the 50/d status have provided the following statements regarding the issue:</w:t>
      </w:r>
    </w:p>
    <w:p w14:paraId="3F90A73A" w14:textId="3F73F728" w:rsidR="00C163BC" w:rsidRDefault="00B33E48" w:rsidP="00B42B19">
      <w:pPr>
        <w:pBdr>
          <w:top w:val="single" w:sz="4" w:space="1" w:color="auto"/>
          <w:left w:val="single" w:sz="4" w:space="4" w:color="auto"/>
          <w:bottom w:val="single" w:sz="4" w:space="1" w:color="auto"/>
          <w:right w:val="single" w:sz="4" w:space="4" w:color="auto"/>
        </w:pBdr>
        <w:jc w:val="both"/>
        <w:rPr>
          <w:i/>
          <w:sz w:val="20"/>
          <w:szCs w:val="20"/>
        </w:rPr>
      </w:pPr>
      <w:r w:rsidRPr="008F3CEF">
        <w:rPr>
          <w:i/>
          <w:sz w:val="20"/>
          <w:szCs w:val="20"/>
        </w:rPr>
        <w:t>"</w:t>
      </w:r>
      <w:r w:rsidR="00B42B19" w:rsidRPr="00B42B19">
        <w:rPr>
          <w:i/>
          <w:sz w:val="20"/>
          <w:szCs w:val="20"/>
        </w:rPr>
        <w:t>To be reappointed from</w:t>
      </w:r>
      <w:r w:rsidR="00B42B19">
        <w:rPr>
          <w:i/>
          <w:sz w:val="20"/>
          <w:szCs w:val="20"/>
        </w:rPr>
        <w:t xml:space="preserve"> Article</w:t>
      </w:r>
      <w:r w:rsidR="00B42B19" w:rsidRPr="00B42B19">
        <w:rPr>
          <w:i/>
          <w:sz w:val="20"/>
          <w:szCs w:val="20"/>
        </w:rPr>
        <w:t xml:space="preserve"> 50/d, I actually need to be a student. However, after we were dismissed, there was a decision stating that all</w:t>
      </w:r>
      <w:r w:rsidR="00B42B19">
        <w:rPr>
          <w:i/>
          <w:sz w:val="20"/>
          <w:szCs w:val="20"/>
        </w:rPr>
        <w:t xml:space="preserve"> Article</w:t>
      </w:r>
      <w:r w:rsidR="00B42B19" w:rsidRPr="00B42B19">
        <w:rPr>
          <w:i/>
          <w:sz w:val="20"/>
          <w:szCs w:val="20"/>
        </w:rPr>
        <w:t xml:space="preserve"> 50/d assistants could be appointed under Article 33/a. There was no barrier to my appointment under 33/a; if I had continued, I would have transitioned to 33/a. Indeed, some universities made appointments under 33/a. Some did so from 50/d but told me they would give me six months to renew my student status. In other words, they developed various ways to figure out how to implement the court decision. On the other hand, Ankara University's approach was to not develop any solutions, but rather to remove me from student status precisely at the time when the decision was to be implemented.</w:t>
      </w:r>
      <w:r w:rsidR="00B42B19">
        <w:rPr>
          <w:i/>
          <w:sz w:val="20"/>
          <w:szCs w:val="20"/>
        </w:rPr>
        <w:t>”</w:t>
      </w:r>
      <w:r w:rsidR="00B42B19" w:rsidRPr="00B42B19">
        <w:rPr>
          <w:i/>
          <w:sz w:val="20"/>
          <w:szCs w:val="20"/>
        </w:rPr>
        <w:t xml:space="preserve"> </w:t>
      </w:r>
      <w:r w:rsidR="008F3CEF" w:rsidRPr="008F3CEF">
        <w:rPr>
          <w:i/>
          <w:sz w:val="20"/>
          <w:szCs w:val="20"/>
        </w:rPr>
        <w:t>(37, female, research assistant)</w:t>
      </w:r>
    </w:p>
    <w:p w14:paraId="3694BDEC" w14:textId="6ABDF5D7" w:rsidR="00B42B19" w:rsidRDefault="00B33E48" w:rsidP="00464899">
      <w:pPr>
        <w:pStyle w:val="ListParagraph"/>
        <w:numPr>
          <w:ilvl w:val="0"/>
          <w:numId w:val="12"/>
        </w:numPr>
        <w:jc w:val="both"/>
      </w:pPr>
      <w:r>
        <w:t xml:space="preserve">The fact that the peace academics who were reinstated to their positions were not transferred to the 33/a </w:t>
      </w:r>
      <w:r w:rsidR="00B42B19">
        <w:t>status</w:t>
      </w:r>
      <w:r>
        <w:t xml:space="preserve"> is against the prohibition of discrimination</w:t>
      </w:r>
      <w:r>
        <w:rPr>
          <w:rStyle w:val="FootnoteReference"/>
        </w:rPr>
        <w:footnoteReference w:id="21"/>
      </w:r>
      <w:r>
        <w:t xml:space="preserve"> of the ECHR</w:t>
      </w:r>
      <w:r>
        <w:rPr>
          <w:rStyle w:val="FootnoteReference"/>
        </w:rPr>
        <w:footnoteReference w:id="22"/>
      </w:r>
      <w:r>
        <w:t xml:space="preserve"> and ILO Convention No. 111.  </w:t>
      </w:r>
    </w:p>
    <w:p w14:paraId="57846F48" w14:textId="77777777" w:rsidR="00156F93" w:rsidRDefault="00156F93" w:rsidP="00156F93">
      <w:pPr>
        <w:pStyle w:val="ListParagraph"/>
        <w:ind w:left="360"/>
        <w:jc w:val="both"/>
      </w:pPr>
    </w:p>
    <w:p w14:paraId="255070AE" w14:textId="77777777" w:rsidR="00156F93" w:rsidRDefault="00156F93" w:rsidP="00156F93">
      <w:pPr>
        <w:pStyle w:val="ListParagraph"/>
        <w:ind w:left="360"/>
        <w:jc w:val="both"/>
      </w:pPr>
    </w:p>
    <w:p w14:paraId="590156E9" w14:textId="77777777" w:rsidR="00156F93" w:rsidRDefault="00156F93" w:rsidP="00156F93">
      <w:pPr>
        <w:pStyle w:val="ListParagraph"/>
        <w:ind w:left="360"/>
        <w:jc w:val="both"/>
      </w:pPr>
    </w:p>
    <w:p w14:paraId="23700EC6" w14:textId="77777777" w:rsidR="00156F93" w:rsidRDefault="00156F93" w:rsidP="00156F93">
      <w:pPr>
        <w:pStyle w:val="ListParagraph"/>
        <w:ind w:left="360"/>
        <w:jc w:val="both"/>
      </w:pPr>
    </w:p>
    <w:p w14:paraId="1CF38B83" w14:textId="77777777" w:rsidR="00156F93" w:rsidRDefault="00156F93" w:rsidP="00156F93">
      <w:pPr>
        <w:pStyle w:val="ListParagraph"/>
        <w:ind w:left="360"/>
        <w:jc w:val="both"/>
      </w:pPr>
    </w:p>
    <w:p w14:paraId="463BE24D" w14:textId="77777777" w:rsidR="00156F93" w:rsidRDefault="00156F93" w:rsidP="00156F93">
      <w:pPr>
        <w:pStyle w:val="ListParagraph"/>
        <w:ind w:left="360"/>
        <w:jc w:val="both"/>
      </w:pPr>
    </w:p>
    <w:p w14:paraId="23B4DE85" w14:textId="0346D364" w:rsidR="00B42B19" w:rsidRPr="00B42B19" w:rsidRDefault="0081590F" w:rsidP="00B42B19">
      <w:pPr>
        <w:pStyle w:val="Heading3"/>
        <w:jc w:val="both"/>
        <w:rPr>
          <w:b/>
          <w:sz w:val="22"/>
          <w:szCs w:val="22"/>
        </w:rPr>
      </w:pPr>
      <w:bookmarkStart w:id="6" w:name="_Toc177052027"/>
      <w:r w:rsidRPr="00B42B19">
        <w:rPr>
          <w:b/>
          <w:sz w:val="22"/>
          <w:szCs w:val="22"/>
        </w:rPr>
        <w:lastRenderedPageBreak/>
        <w:t>Loss</w:t>
      </w:r>
      <w:r w:rsidR="00B33E48" w:rsidRPr="00B42B19">
        <w:rPr>
          <w:b/>
          <w:sz w:val="22"/>
          <w:szCs w:val="22"/>
        </w:rPr>
        <w:t xml:space="preserve"> of </w:t>
      </w:r>
      <w:r w:rsidRPr="00B42B19">
        <w:rPr>
          <w:b/>
          <w:sz w:val="22"/>
          <w:szCs w:val="22"/>
        </w:rPr>
        <w:t xml:space="preserve">rights </w:t>
      </w:r>
      <w:r w:rsidR="00B33E48" w:rsidRPr="00B42B19">
        <w:rPr>
          <w:b/>
          <w:sz w:val="22"/>
          <w:szCs w:val="22"/>
        </w:rPr>
        <w:t>in academic career</w:t>
      </w:r>
      <w:bookmarkEnd w:id="6"/>
    </w:p>
    <w:p w14:paraId="0654890D" w14:textId="77777777" w:rsidR="00B42B19" w:rsidRDefault="00B42B19" w:rsidP="00464899">
      <w:pPr>
        <w:pStyle w:val="ListParagraph"/>
        <w:numPr>
          <w:ilvl w:val="0"/>
          <w:numId w:val="12"/>
        </w:numPr>
        <w:jc w:val="both"/>
      </w:pPr>
      <w:r>
        <w:t xml:space="preserve">When examining losses in the field of academic career, we first want to emphasize the state of mind of the peace academics who were reinstated. </w:t>
      </w:r>
    </w:p>
    <w:p w14:paraId="2E5E51FC" w14:textId="230FCA6F" w:rsidR="00DA43E4" w:rsidRDefault="00B42B19" w:rsidP="00464899">
      <w:pPr>
        <w:pStyle w:val="ListParagraph"/>
        <w:numPr>
          <w:ilvl w:val="0"/>
          <w:numId w:val="12"/>
        </w:numPr>
        <w:jc w:val="both"/>
      </w:pPr>
      <w:r>
        <w:t>Peace academics have been away from their universities, departments, and students for 8 years. They had to take on other jobs to survive and could not dedicate time to academic work. Our participants who were reinstated have highlighted that this has created a significant sense of alienation.</w:t>
      </w:r>
    </w:p>
    <w:p w14:paraId="0496470B" w14:textId="77777777" w:rsidR="00C163BC" w:rsidRDefault="00B33E48" w:rsidP="00464899">
      <w:pPr>
        <w:pStyle w:val="ListParagraph"/>
        <w:numPr>
          <w:ilvl w:val="0"/>
          <w:numId w:val="12"/>
        </w:numPr>
      </w:pPr>
      <w:r>
        <w:t xml:space="preserve">The exclusionary attitudes of university administrations and academic staff were also a factor that increased the sense of alienation. Our participants who worked even for a few months expressed this </w:t>
      </w:r>
      <w:r w:rsidR="002F73F8">
        <w:t xml:space="preserve">feeling of </w:t>
      </w:r>
      <w:r>
        <w:t xml:space="preserve">alienation </w:t>
      </w:r>
      <w:r w:rsidR="002F73F8">
        <w:t>as follows:</w:t>
      </w:r>
    </w:p>
    <w:p w14:paraId="78608083" w14:textId="4B50B510" w:rsidR="00B42B19" w:rsidRPr="00B42B19" w:rsidRDefault="00B33E48" w:rsidP="00B42B19">
      <w:pPr>
        <w:pBdr>
          <w:top w:val="single" w:sz="4" w:space="1" w:color="auto"/>
          <w:left w:val="single" w:sz="4" w:space="4" w:color="auto"/>
          <w:bottom w:val="single" w:sz="4" w:space="1" w:color="auto"/>
          <w:right w:val="single" w:sz="4" w:space="4" w:color="auto"/>
        </w:pBdr>
        <w:rPr>
          <w:i/>
          <w:sz w:val="20"/>
          <w:szCs w:val="20"/>
        </w:rPr>
      </w:pPr>
      <w:r w:rsidRPr="003E3F01">
        <w:rPr>
          <w:i/>
          <w:sz w:val="20"/>
          <w:szCs w:val="20"/>
        </w:rPr>
        <w:t>"</w:t>
      </w:r>
      <w:r w:rsidR="00B42B19" w:rsidRPr="00B42B19">
        <w:t xml:space="preserve"> </w:t>
      </w:r>
      <w:r w:rsidR="00B42B19" w:rsidRPr="00B42B19">
        <w:rPr>
          <w:i/>
          <w:sz w:val="20"/>
          <w:szCs w:val="20"/>
        </w:rPr>
        <w:t>You feel like your students have surpassed you. They should, of course; I would take pride in that. But at the same time, we’re not running together. They’ve moved ahead while I’ve been held back, and this is exhausting. You experience what Marx called alienation everywhere, and there are no restorative o</w:t>
      </w:r>
      <w:r w:rsidR="00B42B19">
        <w:rPr>
          <w:i/>
          <w:sz w:val="20"/>
          <w:szCs w:val="20"/>
        </w:rPr>
        <w:t>r supportive mechanisms for it.</w:t>
      </w:r>
      <w:r w:rsidR="00D93F98">
        <w:rPr>
          <w:i/>
          <w:sz w:val="20"/>
          <w:szCs w:val="20"/>
        </w:rPr>
        <w:t>”(</w:t>
      </w:r>
      <w:r w:rsidR="00D93F98" w:rsidRPr="003E3F01">
        <w:rPr>
          <w:i/>
          <w:sz w:val="20"/>
          <w:szCs w:val="20"/>
        </w:rPr>
        <w:t xml:space="preserve">38, </w:t>
      </w:r>
      <w:r w:rsidR="00D93F98">
        <w:rPr>
          <w:i/>
          <w:sz w:val="20"/>
          <w:szCs w:val="20"/>
        </w:rPr>
        <w:t>female</w:t>
      </w:r>
      <w:r w:rsidR="00D93F98" w:rsidRPr="003E3F01">
        <w:rPr>
          <w:i/>
          <w:sz w:val="20"/>
          <w:szCs w:val="20"/>
        </w:rPr>
        <w:t xml:space="preserve">, </w:t>
      </w:r>
      <w:r w:rsidR="00D93F98">
        <w:rPr>
          <w:i/>
          <w:sz w:val="20"/>
          <w:szCs w:val="20"/>
        </w:rPr>
        <w:t>PhD</w:t>
      </w:r>
      <w:r w:rsidR="00D93F98" w:rsidRPr="003E3F01">
        <w:rPr>
          <w:i/>
          <w:sz w:val="20"/>
          <w:szCs w:val="20"/>
        </w:rPr>
        <w:t>)</w:t>
      </w:r>
    </w:p>
    <w:p w14:paraId="13508606" w14:textId="1E38FE8B" w:rsidR="00C163BC" w:rsidRDefault="00D93F98" w:rsidP="00B42B19">
      <w:pPr>
        <w:pBdr>
          <w:top w:val="single" w:sz="4" w:space="1" w:color="auto"/>
          <w:left w:val="single" w:sz="4" w:space="4" w:color="auto"/>
          <w:bottom w:val="single" w:sz="4" w:space="1" w:color="auto"/>
          <w:right w:val="single" w:sz="4" w:space="4" w:color="auto"/>
        </w:pBdr>
        <w:rPr>
          <w:i/>
          <w:sz w:val="20"/>
          <w:szCs w:val="20"/>
        </w:rPr>
      </w:pPr>
      <w:r>
        <w:rPr>
          <w:i/>
          <w:sz w:val="20"/>
          <w:szCs w:val="20"/>
        </w:rPr>
        <w:t>“</w:t>
      </w:r>
      <w:r w:rsidR="00B42B19" w:rsidRPr="00B42B19">
        <w:rPr>
          <w:i/>
          <w:sz w:val="20"/>
          <w:szCs w:val="20"/>
        </w:rPr>
        <w:t>I was away from the university for 7.5 years. When I returned to work, first and foremost, I felt very foreign. The university was not the same as when I left, both in general and within my department. Since I started in July, part of that time was during the holiday period. Some people ignored me, some turned their heads away, and some only greeted me reluctantly. As a result, I felt very alienated.</w:t>
      </w:r>
      <w:r w:rsidR="00B42B19">
        <w:rPr>
          <w:i/>
          <w:sz w:val="20"/>
          <w:szCs w:val="20"/>
        </w:rPr>
        <w:t>”</w:t>
      </w:r>
      <w:r w:rsidR="00B42B19" w:rsidRPr="00B42B19">
        <w:rPr>
          <w:i/>
          <w:sz w:val="20"/>
          <w:szCs w:val="20"/>
        </w:rPr>
        <w:t xml:space="preserve"> </w:t>
      </w:r>
      <w:r w:rsidR="00B33E48" w:rsidRPr="003E3F01">
        <w:rPr>
          <w:i/>
          <w:sz w:val="20"/>
          <w:szCs w:val="20"/>
        </w:rPr>
        <w:t>(66, male, associate professor)</w:t>
      </w:r>
    </w:p>
    <w:p w14:paraId="116CA8BD" w14:textId="55B91672" w:rsidR="007F74AF" w:rsidRDefault="007F74AF" w:rsidP="00464899">
      <w:pPr>
        <w:pStyle w:val="ListParagraph"/>
        <w:numPr>
          <w:ilvl w:val="0"/>
          <w:numId w:val="12"/>
        </w:numPr>
      </w:pPr>
      <w:r>
        <w:t>When discussing the state of mind of reinstated academics, it is also necessary to express the significant uncertainty they face. As previously mentioned, there are 79 academics awaiting decisions on their reinstatements from the appellate courts. These 79 individuals must continue working under the constant threat of being removed from their positions. This uncertainty creates significant psychological pressure for the academics.</w:t>
      </w:r>
      <w:r w:rsidR="00B87143">
        <w:t xml:space="preserve"> </w:t>
      </w:r>
    </w:p>
    <w:p w14:paraId="0C49DA51" w14:textId="109216FB" w:rsidR="00C163BC" w:rsidRDefault="007F74AF" w:rsidP="00464899">
      <w:pPr>
        <w:pStyle w:val="ListParagraph"/>
        <w:numPr>
          <w:ilvl w:val="0"/>
          <w:numId w:val="12"/>
        </w:numPr>
      </w:pPr>
      <w:r>
        <w:t>One participant whose reinstatement decision was rejected describes this period of uncertainty as follows:</w:t>
      </w:r>
      <w:r w:rsidR="00A71F26">
        <w:t xml:space="preserve"> </w:t>
      </w:r>
    </w:p>
    <w:p w14:paraId="084910C6" w14:textId="2381DA40" w:rsidR="00C163BC" w:rsidRDefault="00DC5B9F">
      <w:pPr>
        <w:pBdr>
          <w:top w:val="single" w:sz="4" w:space="1" w:color="auto"/>
          <w:left w:val="single" w:sz="4" w:space="4" w:color="auto"/>
          <w:bottom w:val="single" w:sz="4" w:space="1" w:color="auto"/>
          <w:right w:val="single" w:sz="4" w:space="4" w:color="auto"/>
        </w:pBdr>
        <w:rPr>
          <w:i/>
          <w:sz w:val="20"/>
          <w:szCs w:val="20"/>
        </w:rPr>
      </w:pPr>
      <w:r w:rsidRPr="00DC5B9F">
        <w:rPr>
          <w:i/>
          <w:sz w:val="20"/>
          <w:szCs w:val="20"/>
        </w:rPr>
        <w:t xml:space="preserve">I wonder if I will be able to get a salary this month, I am preparing a syllabus, I wonder if I will be able to teach this course. In April, I constantly think about whether I can put </w:t>
      </w:r>
      <w:r w:rsidR="00B33E48">
        <w:rPr>
          <w:i/>
          <w:sz w:val="20"/>
          <w:szCs w:val="20"/>
        </w:rPr>
        <w:t xml:space="preserve">some money </w:t>
      </w:r>
      <w:r w:rsidR="00315A6D">
        <w:rPr>
          <w:i/>
          <w:sz w:val="20"/>
          <w:szCs w:val="20"/>
        </w:rPr>
        <w:t>aside</w:t>
      </w:r>
      <w:r w:rsidRPr="00DC5B9F">
        <w:rPr>
          <w:i/>
          <w:sz w:val="20"/>
          <w:szCs w:val="20"/>
        </w:rPr>
        <w:t xml:space="preserve"> if I am dismissed. It was a situation where a lot of uncertainties collided, such as whether I would be able to find a job again. </w:t>
      </w:r>
      <w:r w:rsidR="00A71F26" w:rsidRPr="00A71F26">
        <w:rPr>
          <w:i/>
          <w:sz w:val="20"/>
          <w:szCs w:val="20"/>
        </w:rPr>
        <w:t xml:space="preserve">I said I wouldn't wish this </w:t>
      </w:r>
      <w:r w:rsidR="007F74AF">
        <w:rPr>
          <w:i/>
          <w:sz w:val="20"/>
          <w:szCs w:val="20"/>
        </w:rPr>
        <w:t>happen even to</w:t>
      </w:r>
      <w:r w:rsidR="00A71F26" w:rsidRPr="00A71F26">
        <w:rPr>
          <w:i/>
          <w:sz w:val="20"/>
          <w:szCs w:val="20"/>
        </w:rPr>
        <w:t xml:space="preserve"> my enemies, this is a very strange uncertainty.</w:t>
      </w:r>
      <w:r w:rsidR="00444258">
        <w:rPr>
          <w:i/>
          <w:sz w:val="20"/>
          <w:szCs w:val="20"/>
        </w:rPr>
        <w:t xml:space="preserve">" </w:t>
      </w:r>
      <w:r w:rsidR="00444258" w:rsidRPr="00444258">
        <w:rPr>
          <w:i/>
          <w:sz w:val="20"/>
          <w:szCs w:val="20"/>
        </w:rPr>
        <w:t xml:space="preserve">(38, female, </w:t>
      </w:r>
      <w:r w:rsidR="00D139EC">
        <w:rPr>
          <w:i/>
          <w:sz w:val="20"/>
          <w:szCs w:val="20"/>
        </w:rPr>
        <w:t>PhD</w:t>
      </w:r>
      <w:r w:rsidR="00444258" w:rsidRPr="00444258">
        <w:rPr>
          <w:i/>
          <w:sz w:val="20"/>
          <w:szCs w:val="20"/>
        </w:rPr>
        <w:t>)</w:t>
      </w:r>
    </w:p>
    <w:p w14:paraId="76152A02" w14:textId="0E01D835" w:rsidR="00C163BC" w:rsidRDefault="00B33E48" w:rsidP="00464899">
      <w:pPr>
        <w:pStyle w:val="ListParagraph"/>
        <w:numPr>
          <w:ilvl w:val="0"/>
          <w:numId w:val="12"/>
        </w:numPr>
      </w:pPr>
      <w:r>
        <w:t xml:space="preserve">Our participant, whose reinstatement decision was upheld on appeal but the decision was </w:t>
      </w:r>
      <w:r w:rsidR="007F74AF">
        <w:t>brought before</w:t>
      </w:r>
      <w:r>
        <w:t xml:space="preserve"> the Council of State by the university administration, expressed the mobbing applied to him as follows </w:t>
      </w:r>
    </w:p>
    <w:p w14:paraId="24F983C4" w14:textId="35D6A2FF" w:rsidR="00C163BC" w:rsidRDefault="00B33E48">
      <w:pPr>
        <w:pBdr>
          <w:top w:val="single" w:sz="4" w:space="1" w:color="auto"/>
          <w:left w:val="single" w:sz="4" w:space="4" w:color="auto"/>
          <w:bottom w:val="single" w:sz="4" w:space="1" w:color="auto"/>
          <w:right w:val="single" w:sz="4" w:space="4" w:color="auto"/>
        </w:pBdr>
        <w:rPr>
          <w:i/>
          <w:sz w:val="20"/>
          <w:szCs w:val="20"/>
        </w:rPr>
      </w:pPr>
      <w:r>
        <w:t>"</w:t>
      </w:r>
      <w:r>
        <w:rPr>
          <w:i/>
          <w:sz w:val="20"/>
          <w:szCs w:val="20"/>
        </w:rPr>
        <w:t xml:space="preserve">When I started my duty, I was not given a room. </w:t>
      </w:r>
      <w:r w:rsidRPr="00444258">
        <w:rPr>
          <w:i/>
          <w:sz w:val="20"/>
          <w:szCs w:val="20"/>
        </w:rPr>
        <w:t>I especially went and sat in the garden of the faculty every day. I was sitting for 2 hours</w:t>
      </w:r>
      <w:r>
        <w:rPr>
          <w:i/>
          <w:sz w:val="20"/>
          <w:szCs w:val="20"/>
        </w:rPr>
        <w:t xml:space="preserve">. </w:t>
      </w:r>
      <w:r w:rsidRPr="00444258">
        <w:rPr>
          <w:i/>
          <w:sz w:val="20"/>
          <w:szCs w:val="20"/>
        </w:rPr>
        <w:t xml:space="preserve">The room was given to me 2 months later, and that was after the </w:t>
      </w:r>
      <w:r w:rsidR="007F74AF">
        <w:rPr>
          <w:i/>
          <w:sz w:val="20"/>
          <w:szCs w:val="20"/>
        </w:rPr>
        <w:t>appellate court</w:t>
      </w:r>
      <w:r w:rsidRPr="00444258">
        <w:rPr>
          <w:i/>
          <w:sz w:val="20"/>
          <w:szCs w:val="20"/>
        </w:rPr>
        <w:t xml:space="preserve"> approved my reinstatement</w:t>
      </w:r>
      <w:r w:rsidR="001E67ED">
        <w:rPr>
          <w:i/>
          <w:sz w:val="20"/>
          <w:szCs w:val="20"/>
        </w:rPr>
        <w:t xml:space="preserve">. </w:t>
      </w:r>
      <w:r w:rsidRPr="00444258">
        <w:rPr>
          <w:i/>
          <w:sz w:val="20"/>
          <w:szCs w:val="20"/>
        </w:rPr>
        <w:t xml:space="preserve">On the day it approved it, they even called from the dean's office, saying that </w:t>
      </w:r>
      <w:r w:rsidR="007F74AF">
        <w:rPr>
          <w:i/>
          <w:sz w:val="20"/>
          <w:szCs w:val="20"/>
        </w:rPr>
        <w:t>my</w:t>
      </w:r>
      <w:r w:rsidRPr="00444258">
        <w:rPr>
          <w:i/>
          <w:sz w:val="20"/>
          <w:szCs w:val="20"/>
        </w:rPr>
        <w:t xml:space="preserve"> room was ready. In other words, they didn't give me a room because the court of appeal would overturn the decision anyway</w:t>
      </w:r>
      <w:r>
        <w:rPr>
          <w:i/>
          <w:sz w:val="20"/>
          <w:szCs w:val="20"/>
        </w:rPr>
        <w:t xml:space="preserve">." </w:t>
      </w:r>
      <w:r w:rsidRPr="00444258">
        <w:rPr>
          <w:i/>
          <w:sz w:val="20"/>
          <w:szCs w:val="20"/>
        </w:rPr>
        <w:t>(53, male, associate professor)</w:t>
      </w:r>
    </w:p>
    <w:p w14:paraId="1340C58E" w14:textId="77777777" w:rsidR="00C163BC" w:rsidRDefault="00B33E48" w:rsidP="00464899">
      <w:pPr>
        <w:pStyle w:val="ListParagraph"/>
        <w:numPr>
          <w:ilvl w:val="0"/>
          <w:numId w:val="12"/>
        </w:numPr>
      </w:pPr>
      <w:r>
        <w:t xml:space="preserve">The passport application made by the </w:t>
      </w:r>
      <w:r w:rsidR="00544094">
        <w:t xml:space="preserve">above-mentioned </w:t>
      </w:r>
      <w:r>
        <w:t xml:space="preserve">participant after he took office was </w:t>
      </w:r>
      <w:r w:rsidR="004E1DBA">
        <w:t xml:space="preserve">also </w:t>
      </w:r>
      <w:r>
        <w:t xml:space="preserve">rejected on the grounds of "security". </w:t>
      </w:r>
      <w:r w:rsidR="004E1DBA">
        <w:t xml:space="preserve">In addition, he was not informed about the passport restriction. This practice, which has no legal basis, violates the freedom of movement of peace academics </w:t>
      </w:r>
      <w:r w:rsidR="004E1DBA">
        <w:rPr>
          <w:rStyle w:val="FootnoteReference"/>
        </w:rPr>
        <w:footnoteReference w:id="23"/>
      </w:r>
    </w:p>
    <w:p w14:paraId="02658948" w14:textId="77777777" w:rsidR="00156F93" w:rsidRDefault="00156F93" w:rsidP="00156F93">
      <w:pPr>
        <w:pStyle w:val="ListParagraph"/>
        <w:ind w:left="360"/>
      </w:pPr>
    </w:p>
    <w:p w14:paraId="177F36AF" w14:textId="77777777" w:rsidR="00156F93" w:rsidRDefault="00156F93" w:rsidP="00156F93">
      <w:pPr>
        <w:pStyle w:val="ListParagraph"/>
        <w:ind w:left="360"/>
      </w:pPr>
    </w:p>
    <w:p w14:paraId="6E031BD1" w14:textId="5DBF7A94" w:rsidR="00C163BC" w:rsidRDefault="007F74AF" w:rsidP="00464899">
      <w:pPr>
        <w:pStyle w:val="ListParagraph"/>
        <w:numPr>
          <w:ilvl w:val="0"/>
          <w:numId w:val="12"/>
        </w:numPr>
      </w:pPr>
      <w:r w:rsidRPr="007F74AF">
        <w:lastRenderedPageBreak/>
        <w:t>Participants have noted that the reinstatement rights are often viewed solely in terms of financial compensation, with no mechanisms available to address losses related to academic titles. They emphasized that reinstated academics have indicated the need for a transition period, pointing out that returning to their positions without a legal and professional framework can al</w:t>
      </w:r>
      <w:r>
        <w:t>so become a violation of rights</w:t>
      </w:r>
      <w:r w:rsidR="00550F95">
        <w:t>.</w:t>
      </w:r>
    </w:p>
    <w:p w14:paraId="084F076E" w14:textId="33A76F4D" w:rsidR="00C163BC" w:rsidRDefault="00B33E48">
      <w:pPr>
        <w:pBdr>
          <w:top w:val="single" w:sz="4" w:space="1" w:color="auto"/>
          <w:left w:val="single" w:sz="4" w:space="4" w:color="auto"/>
          <w:bottom w:val="single" w:sz="4" w:space="1" w:color="auto"/>
          <w:right w:val="single" w:sz="4" w:space="4" w:color="auto"/>
        </w:pBdr>
        <w:rPr>
          <w:i/>
          <w:sz w:val="20"/>
          <w:szCs w:val="20"/>
        </w:rPr>
      </w:pPr>
      <w:r>
        <w:rPr>
          <w:i/>
          <w:sz w:val="20"/>
          <w:szCs w:val="20"/>
        </w:rPr>
        <w:t>"</w:t>
      </w:r>
      <w:r w:rsidR="007F74AF" w:rsidRPr="007F74AF">
        <w:t xml:space="preserve"> </w:t>
      </w:r>
      <w:r w:rsidR="007F74AF" w:rsidRPr="007F74AF">
        <w:rPr>
          <w:i/>
          <w:sz w:val="20"/>
          <w:szCs w:val="20"/>
        </w:rPr>
        <w:t>The uncertainties and job insecurity awaiting us upon return aside, if we are to write theses</w:t>
      </w:r>
      <w:r w:rsidR="007F74AF">
        <w:rPr>
          <w:i/>
          <w:sz w:val="20"/>
          <w:szCs w:val="20"/>
        </w:rPr>
        <w:t xml:space="preserve"> for instance</w:t>
      </w:r>
      <w:r w:rsidR="007F74AF" w:rsidRPr="007F74AF">
        <w:rPr>
          <w:i/>
          <w:sz w:val="20"/>
          <w:szCs w:val="20"/>
        </w:rPr>
        <w:t xml:space="preserve">, </w:t>
      </w:r>
      <w:r w:rsidR="007F74AF">
        <w:rPr>
          <w:i/>
          <w:sz w:val="20"/>
          <w:szCs w:val="20"/>
        </w:rPr>
        <w:t>would</w:t>
      </w:r>
      <w:r w:rsidR="007F74AF" w:rsidRPr="007F74AF">
        <w:rPr>
          <w:i/>
          <w:sz w:val="20"/>
          <w:szCs w:val="20"/>
        </w:rPr>
        <w:t xml:space="preserve"> we be given sufficient time? Each of us has different needs; there should be a transition period, but reinstatements are being made without such a process. Reinstatement itself then becomes a violation of rights, as they expect us to teach, but we might be dismissed again in just two months. Legal provisions need to be established for our reinstatement processes. Many transition measures should be introduced, otherwise, these rights violations will continue, and we will constantly be dealing with lawsuits. The legal framework for reinstatements has not been established and has not been considered at all.</w:t>
      </w:r>
      <w:r w:rsidR="007F74AF">
        <w:rPr>
          <w:i/>
          <w:sz w:val="20"/>
          <w:szCs w:val="20"/>
        </w:rPr>
        <w:t>”</w:t>
      </w:r>
      <w:r w:rsidR="007F74AF" w:rsidRPr="007F74AF">
        <w:rPr>
          <w:i/>
          <w:sz w:val="20"/>
          <w:szCs w:val="20"/>
        </w:rPr>
        <w:t xml:space="preserve"> (37, female, research assistant)</w:t>
      </w:r>
    </w:p>
    <w:p w14:paraId="1AA66CD3" w14:textId="77777777" w:rsidR="00DE19B1" w:rsidRDefault="00DE19B1" w:rsidP="00905242">
      <w:pPr>
        <w:rPr>
          <w:i/>
          <w:sz w:val="20"/>
          <w:szCs w:val="20"/>
        </w:rPr>
      </w:pPr>
    </w:p>
    <w:p w14:paraId="5ADCCD05" w14:textId="26EF8952" w:rsidR="00C163BC" w:rsidRDefault="00B33E48">
      <w:pPr>
        <w:pBdr>
          <w:top w:val="single" w:sz="4" w:space="1" w:color="auto"/>
          <w:left w:val="single" w:sz="4" w:space="4" w:color="auto"/>
          <w:bottom w:val="single" w:sz="4" w:space="1" w:color="auto"/>
          <w:right w:val="single" w:sz="4" w:space="4" w:color="auto"/>
        </w:pBdr>
        <w:rPr>
          <w:i/>
          <w:sz w:val="20"/>
          <w:szCs w:val="20"/>
        </w:rPr>
      </w:pPr>
      <w:r w:rsidRPr="00550F95">
        <w:rPr>
          <w:i/>
          <w:sz w:val="20"/>
          <w:szCs w:val="20"/>
        </w:rPr>
        <w:t>"</w:t>
      </w:r>
      <w:r w:rsidR="007F74AF" w:rsidRPr="007F74AF">
        <w:rPr>
          <w:i/>
          <w:sz w:val="20"/>
          <w:szCs w:val="20"/>
        </w:rPr>
        <w:t>For instance, if there are titles that dismissed academics should have received from the date of their dismissal, these should be unconditionally reinstated to them. Due to appointment and promotion criteria, it is not possible for us to make up for this 7-year gap. Therefore, through legal regulation, all our losses, both material and moral, as well as the rights we should have received professionally, must be reinstated.</w:t>
      </w:r>
      <w:r w:rsidR="007F74AF">
        <w:rPr>
          <w:i/>
          <w:sz w:val="20"/>
          <w:szCs w:val="20"/>
        </w:rPr>
        <w:t>”</w:t>
      </w:r>
      <w:r w:rsidR="007F74AF" w:rsidRPr="007F74AF">
        <w:rPr>
          <w:i/>
          <w:sz w:val="20"/>
          <w:szCs w:val="20"/>
        </w:rPr>
        <w:t xml:space="preserve"> (66, male, associate professor)</w:t>
      </w:r>
    </w:p>
    <w:p w14:paraId="737BF541" w14:textId="6B8DC1BC" w:rsidR="00DA43E4" w:rsidRPr="00464899" w:rsidRDefault="007F74AF" w:rsidP="00464899">
      <w:pPr>
        <w:pStyle w:val="ListParagraph"/>
        <w:numPr>
          <w:ilvl w:val="0"/>
          <w:numId w:val="12"/>
        </w:numPr>
      </w:pPr>
      <w:r w:rsidRPr="007F74AF">
        <w:t>As mentioned by our participant above, the lack of a compensatory mechanism to address the material, moral, and academic advancements of the peace academics who have been unlawfully absent from academia for 8 years, and the failure to establish a legal framework for their return, constitutes a violation of the "right to work under fair and favorable conditions."</w:t>
      </w:r>
      <w:r w:rsidR="00897ED6">
        <w:rPr>
          <w:rStyle w:val="FootnoteReference"/>
        </w:rPr>
        <w:footnoteReference w:id="24"/>
      </w:r>
    </w:p>
    <w:p w14:paraId="2A621213" w14:textId="77777777" w:rsidR="00C163BC" w:rsidRPr="00464899" w:rsidRDefault="00C42E53" w:rsidP="00464899">
      <w:pPr>
        <w:pStyle w:val="Heading3"/>
        <w:jc w:val="both"/>
        <w:rPr>
          <w:b/>
          <w:color w:val="2E74B5" w:themeColor="accent1" w:themeShade="BF"/>
        </w:rPr>
      </w:pPr>
      <w:bookmarkStart w:id="7" w:name="_Toc177052028"/>
      <w:r w:rsidRPr="00464899">
        <w:rPr>
          <w:b/>
          <w:color w:val="2E74B5" w:themeColor="accent1" w:themeShade="BF"/>
        </w:rPr>
        <w:t>Recommendations</w:t>
      </w:r>
      <w:bookmarkEnd w:id="7"/>
      <w:r w:rsidRPr="00464899">
        <w:rPr>
          <w:b/>
          <w:color w:val="2E74B5" w:themeColor="accent1" w:themeShade="BF"/>
        </w:rPr>
        <w:t xml:space="preserve"> </w:t>
      </w:r>
    </w:p>
    <w:p w14:paraId="546591FB" w14:textId="50F7F34C" w:rsidR="007F74AF" w:rsidRPr="00464899" w:rsidRDefault="007F74AF" w:rsidP="00464899">
      <w:pPr>
        <w:pStyle w:val="ListParagraph"/>
        <w:numPr>
          <w:ilvl w:val="0"/>
          <w:numId w:val="12"/>
        </w:numPr>
        <w:spacing w:before="100" w:beforeAutospacing="1" w:after="0"/>
        <w:jc w:val="both"/>
        <w:rPr>
          <w:rFonts w:eastAsia="Times New Roman" w:cs="Calibri"/>
          <w:color w:val="0A0A0A"/>
          <w:lang w:eastAsia="tr-TR"/>
        </w:rPr>
      </w:pPr>
      <w:r w:rsidRPr="00464899">
        <w:rPr>
          <w:rFonts w:eastAsia="Times New Roman" w:cs="Calibri"/>
          <w:color w:val="0A0A0A"/>
          <w:lang w:eastAsia="tr-TR"/>
        </w:rPr>
        <w:t>Based on the fact that decisions of the Constitutional Court are binding on all judicial and administrative authorities, it is recommended that administrative courts adhere to the Constitutional Court's 2019 decision that the peace petition constitutes "freedom of expression."</w:t>
      </w:r>
    </w:p>
    <w:p w14:paraId="35C750F1" w14:textId="77777777" w:rsidR="007F74AF" w:rsidRDefault="007F74AF" w:rsidP="007F74AF">
      <w:pPr>
        <w:pStyle w:val="ListParagraph"/>
        <w:spacing w:before="100" w:beforeAutospacing="1" w:after="0"/>
        <w:ind w:left="426"/>
        <w:jc w:val="both"/>
        <w:rPr>
          <w:rFonts w:eastAsia="Times New Roman" w:cs="Calibri"/>
          <w:color w:val="0A0A0A"/>
          <w:lang w:eastAsia="tr-TR"/>
        </w:rPr>
      </w:pPr>
    </w:p>
    <w:p w14:paraId="2EFC22A3" w14:textId="77777777" w:rsidR="007F74AF" w:rsidRDefault="007F74AF" w:rsidP="00464899">
      <w:pPr>
        <w:pStyle w:val="ListParagraph"/>
        <w:numPr>
          <w:ilvl w:val="0"/>
          <w:numId w:val="12"/>
        </w:numPr>
        <w:spacing w:before="100" w:beforeAutospacing="1" w:after="0"/>
        <w:jc w:val="both"/>
      </w:pPr>
      <w:r>
        <w:t>The functioning and structures of the administrative courts that have made different decisions for peace academics should be reviewed and corrected.</w:t>
      </w:r>
      <w:r w:rsidRPr="00C033C2">
        <w:t xml:space="preserve"> The procedure for the appointment of judges in administrative courts is the same as in every court</w:t>
      </w:r>
      <w:r w:rsidRPr="007F74AF">
        <w:t>. The</w:t>
      </w:r>
      <w:r>
        <w:t xml:space="preserve"> essence of the</w:t>
      </w:r>
      <w:r w:rsidRPr="007F74AF">
        <w:t xml:space="preserve"> issue lies in</w:t>
      </w:r>
      <w:r>
        <w:t xml:space="preserve"> the attitude of</w:t>
      </w:r>
      <w:r w:rsidRPr="007F74AF">
        <w:t xml:space="preserve"> judges making decisions based on their political affiliations or personal expectations rather than adhering to the law. Therefore, ensuring that judges make decisions in accordance with the law is essential. Solutions could include in-service training and issuing general directives</w:t>
      </w:r>
      <w:r>
        <w:t>.</w:t>
      </w:r>
    </w:p>
    <w:p w14:paraId="27DBC954" w14:textId="77777777" w:rsidR="007F74AF" w:rsidRDefault="007F74AF" w:rsidP="007F74AF">
      <w:pPr>
        <w:pStyle w:val="ListParagraph"/>
        <w:spacing w:before="100" w:beforeAutospacing="1" w:after="0"/>
        <w:ind w:left="426"/>
        <w:jc w:val="both"/>
      </w:pPr>
    </w:p>
    <w:p w14:paraId="793ABCE0" w14:textId="77777777" w:rsidR="007F74AF" w:rsidRDefault="007F74AF" w:rsidP="00464899">
      <w:pPr>
        <w:pStyle w:val="ListParagraph"/>
        <w:numPr>
          <w:ilvl w:val="0"/>
          <w:numId w:val="12"/>
        </w:numPr>
        <w:spacing w:before="100" w:beforeAutospacing="1" w:after="0"/>
        <w:jc w:val="both"/>
      </w:pPr>
      <w:r w:rsidRPr="00C033C2">
        <w:t xml:space="preserve">Initiatives can be taken before the Council of Higher Education (YÖK) for the </w:t>
      </w:r>
      <w:r>
        <w:t>reinstated</w:t>
      </w:r>
      <w:r w:rsidRPr="00C033C2">
        <w:t xml:space="preserve"> academics to regain their academic, administrative and financial rights.</w:t>
      </w:r>
    </w:p>
    <w:p w14:paraId="3AA1A98F" w14:textId="77777777" w:rsidR="007F74AF" w:rsidRPr="007F74AF" w:rsidRDefault="007F74AF" w:rsidP="007F74AF">
      <w:pPr>
        <w:pStyle w:val="ListParagraph"/>
        <w:spacing w:before="100" w:beforeAutospacing="1" w:after="0"/>
        <w:ind w:left="426"/>
        <w:jc w:val="both"/>
        <w:rPr>
          <w:rFonts w:eastAsia="Times New Roman" w:cs="Calibri"/>
          <w:color w:val="0A0A0A"/>
          <w:lang w:eastAsia="tr-TR"/>
        </w:rPr>
      </w:pPr>
    </w:p>
    <w:sectPr w:rsidR="007F74AF" w:rsidRPr="007F74A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BC900" w14:textId="77777777" w:rsidR="005038AB" w:rsidRDefault="005038AB" w:rsidP="000C551E">
      <w:pPr>
        <w:spacing w:after="0" w:line="240" w:lineRule="auto"/>
      </w:pPr>
      <w:r>
        <w:separator/>
      </w:r>
    </w:p>
  </w:endnote>
  <w:endnote w:type="continuationSeparator" w:id="0">
    <w:p w14:paraId="10DC7080" w14:textId="77777777" w:rsidR="005038AB" w:rsidRDefault="005038AB" w:rsidP="000C5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554F4" w14:textId="77777777" w:rsidR="005038AB" w:rsidRDefault="005038AB" w:rsidP="000C551E">
      <w:pPr>
        <w:spacing w:after="0" w:line="240" w:lineRule="auto"/>
      </w:pPr>
      <w:r>
        <w:separator/>
      </w:r>
    </w:p>
  </w:footnote>
  <w:footnote w:type="continuationSeparator" w:id="0">
    <w:p w14:paraId="3DACC3DD" w14:textId="77777777" w:rsidR="005038AB" w:rsidRDefault="005038AB" w:rsidP="000C551E">
      <w:pPr>
        <w:spacing w:after="0" w:line="240" w:lineRule="auto"/>
      </w:pPr>
      <w:r>
        <w:continuationSeparator/>
      </w:r>
    </w:p>
  </w:footnote>
  <w:footnote w:id="1">
    <w:p w14:paraId="1E864190" w14:textId="61DCED57" w:rsidR="004D1D35" w:rsidRPr="00E766E1" w:rsidRDefault="004D1D35" w:rsidP="004D1D35">
      <w:pPr>
        <w:pStyle w:val="FootnoteText"/>
        <w:rPr>
          <w:sz w:val="16"/>
          <w:szCs w:val="16"/>
        </w:rPr>
      </w:pPr>
      <w:r w:rsidRPr="00E766E1">
        <w:rPr>
          <w:rStyle w:val="FootnoteReference"/>
          <w:sz w:val="16"/>
          <w:szCs w:val="16"/>
        </w:rPr>
        <w:footnoteRef/>
      </w:r>
      <w:hyperlink r:id="rId1" w:anchor=":~:text=Bar%C4%B1%C5%9F%20%C4%B0%C3%A7in%20Akademisyenler%20bildirisi%20veya,i%C3%A7in%20%C3%A7a%C4%9Fr%C4%B1%20yapan%20bir%20bildiridir" w:history="1">
        <w:r w:rsidRPr="00E766E1">
          <w:rPr>
            <w:rStyle w:val="Hyperlink"/>
            <w:sz w:val="16"/>
            <w:szCs w:val="16"/>
          </w:rPr>
          <w:t>https://tr.wikipedia.org/wiki/Bar%C4%B1%C5%9F_%C4%B0%C3%A7in_Akademisyenler_bildirisi#:~:text=Bar%C4%B1%C5%9F%20%C4%B0%C3%A7in%20Akademisyenler%20bildirisi%20veya,i%C3%A7in%20%C3%A7a%C4%9Fr%C4%B1%20yapan%20bir%20bildiridir</w:t>
        </w:r>
      </w:hyperlink>
      <w:r w:rsidRPr="00E766E1">
        <w:rPr>
          <w:sz w:val="16"/>
          <w:szCs w:val="16"/>
        </w:rPr>
        <w:t xml:space="preserve">. </w:t>
      </w:r>
    </w:p>
  </w:footnote>
  <w:footnote w:id="2">
    <w:p w14:paraId="6FE2B30C" w14:textId="77777777" w:rsidR="004D1D35" w:rsidRPr="00E766E1" w:rsidRDefault="004D1D35" w:rsidP="004D1D35">
      <w:pPr>
        <w:pStyle w:val="FootnoteText"/>
        <w:rPr>
          <w:sz w:val="16"/>
          <w:szCs w:val="16"/>
        </w:rPr>
      </w:pPr>
      <w:r w:rsidRPr="00E766E1">
        <w:rPr>
          <w:rStyle w:val="FootnoteReference"/>
          <w:sz w:val="16"/>
          <w:szCs w:val="16"/>
        </w:rPr>
        <w:footnoteRef/>
      </w:r>
      <w:r w:rsidRPr="00E766E1">
        <w:rPr>
          <w:sz w:val="16"/>
          <w:szCs w:val="16"/>
        </w:rPr>
        <w:t xml:space="preserve"> </w:t>
      </w:r>
      <w:hyperlink r:id="rId2" w:history="1">
        <w:r w:rsidRPr="00E766E1">
          <w:rPr>
            <w:rStyle w:val="Hyperlink"/>
            <w:sz w:val="16"/>
            <w:szCs w:val="16"/>
          </w:rPr>
          <w:t>https://www5.tbmm.gov.tr/yayinlar/2021/TC_Anayasasi_ve_TBMM_Ic_Tuzugu.pdf</w:t>
        </w:r>
      </w:hyperlink>
      <w:r w:rsidRPr="00E766E1">
        <w:rPr>
          <w:sz w:val="16"/>
          <w:szCs w:val="16"/>
        </w:rPr>
        <w:t xml:space="preserve"> </w:t>
      </w:r>
    </w:p>
  </w:footnote>
  <w:footnote w:id="3">
    <w:p w14:paraId="4DF69EB0" w14:textId="77777777" w:rsidR="004D1D35" w:rsidRPr="00E766E1" w:rsidRDefault="004D1D35" w:rsidP="004D1D35">
      <w:pPr>
        <w:pStyle w:val="FootnoteText"/>
        <w:rPr>
          <w:sz w:val="16"/>
          <w:szCs w:val="16"/>
        </w:rPr>
      </w:pPr>
      <w:r w:rsidRPr="00E766E1">
        <w:rPr>
          <w:rStyle w:val="FootnoteReference"/>
          <w:sz w:val="16"/>
          <w:szCs w:val="16"/>
        </w:rPr>
        <w:footnoteRef/>
      </w:r>
      <w:r w:rsidRPr="00E766E1">
        <w:rPr>
          <w:sz w:val="16"/>
          <w:szCs w:val="16"/>
        </w:rPr>
        <w:t xml:space="preserve"> </w:t>
      </w:r>
      <w:hyperlink r:id="rId3" w:history="1">
        <w:r w:rsidRPr="00E766E1">
          <w:rPr>
            <w:rStyle w:val="Hyperlink"/>
            <w:sz w:val="16"/>
            <w:szCs w:val="16"/>
          </w:rPr>
          <w:t>https://www.anayasa.gov.tr/tr/haberler/bireysel-basvuru-basin-duyurulari/bildiriye-imza-atan-akademisyenlerin-cezalandirilmalari-nedeniyle-ifade-ozgurluklerinin-ihlal-edilmesi/</w:t>
        </w:r>
      </w:hyperlink>
      <w:r w:rsidRPr="00E766E1">
        <w:rPr>
          <w:sz w:val="16"/>
          <w:szCs w:val="16"/>
        </w:rPr>
        <w:t xml:space="preserve"> </w:t>
      </w:r>
    </w:p>
  </w:footnote>
  <w:footnote w:id="4">
    <w:p w14:paraId="54C51CD0" w14:textId="77777777" w:rsidR="004D1D35" w:rsidRDefault="004D1D35" w:rsidP="004D1D35">
      <w:pPr>
        <w:pStyle w:val="FootnoteText"/>
      </w:pPr>
      <w:r w:rsidRPr="005A7211">
        <w:rPr>
          <w:rStyle w:val="FootnoteReference"/>
          <w:sz w:val="16"/>
          <w:szCs w:val="16"/>
        </w:rPr>
        <w:footnoteRef/>
      </w:r>
      <w:r w:rsidRPr="005A7211">
        <w:rPr>
          <w:sz w:val="16"/>
          <w:szCs w:val="16"/>
        </w:rPr>
        <w:t xml:space="preserve"> </w:t>
      </w:r>
      <w:hyperlink r:id="rId4" w:history="1">
        <w:r w:rsidRPr="00566BE6">
          <w:rPr>
            <w:rStyle w:val="Hyperlink"/>
            <w:sz w:val="16"/>
            <w:szCs w:val="16"/>
          </w:rPr>
          <w:t>https://www.ihd.org.tr/sasve-medenhaklar-uluslararasi-slees/</w:t>
        </w:r>
      </w:hyperlink>
    </w:p>
  </w:footnote>
  <w:footnote w:id="5">
    <w:p w14:paraId="09CC3AB7" w14:textId="77777777" w:rsidR="004D1D35" w:rsidRDefault="004D1D35" w:rsidP="004D1D35">
      <w:pPr>
        <w:pStyle w:val="FootnoteText"/>
      </w:pPr>
      <w:r w:rsidRPr="00E766E1">
        <w:rPr>
          <w:rStyle w:val="FootnoteReference"/>
          <w:sz w:val="16"/>
          <w:szCs w:val="16"/>
        </w:rPr>
        <w:footnoteRef/>
      </w:r>
      <w:r w:rsidRPr="00E766E1">
        <w:rPr>
          <w:sz w:val="16"/>
          <w:szCs w:val="16"/>
        </w:rPr>
        <w:t xml:space="preserve"> </w:t>
      </w:r>
      <w:hyperlink r:id="rId5" w:history="1">
        <w:r w:rsidRPr="00E766E1">
          <w:rPr>
            <w:rStyle w:val="Hyperlink"/>
            <w:sz w:val="16"/>
            <w:szCs w:val="16"/>
          </w:rPr>
          <w:t>https://www.ilo.org/tr/resource/111-nolu-ayirimcilik-ve-meslek-sozlesmesi</w:t>
        </w:r>
      </w:hyperlink>
      <w:r>
        <w:t xml:space="preserve"> </w:t>
      </w:r>
    </w:p>
  </w:footnote>
  <w:footnote w:id="6">
    <w:p w14:paraId="064100A3" w14:textId="77777777" w:rsidR="00F5522B" w:rsidRPr="00457C18" w:rsidRDefault="00F5522B" w:rsidP="00F5522B">
      <w:pPr>
        <w:pStyle w:val="FootnoteText"/>
        <w:rPr>
          <w:sz w:val="16"/>
          <w:szCs w:val="16"/>
        </w:rPr>
      </w:pPr>
      <w:r w:rsidRPr="00457C18">
        <w:rPr>
          <w:rStyle w:val="FootnoteReference"/>
          <w:sz w:val="16"/>
          <w:szCs w:val="16"/>
        </w:rPr>
        <w:footnoteRef/>
      </w:r>
      <w:r w:rsidRPr="00457C18">
        <w:rPr>
          <w:sz w:val="16"/>
          <w:szCs w:val="16"/>
        </w:rPr>
        <w:t xml:space="preserve"> </w:t>
      </w:r>
      <w:hyperlink r:id="rId6" w:history="1">
        <w:r w:rsidRPr="00457C18">
          <w:rPr>
            <w:rStyle w:val="Hyperlink"/>
            <w:sz w:val="16"/>
            <w:szCs w:val="16"/>
          </w:rPr>
          <w:t>https://barisicinakademisyenler.net/node/314</w:t>
        </w:r>
      </w:hyperlink>
      <w:r w:rsidRPr="00457C18">
        <w:rPr>
          <w:sz w:val="16"/>
          <w:szCs w:val="16"/>
        </w:rPr>
        <w:t xml:space="preserve"> </w:t>
      </w:r>
    </w:p>
  </w:footnote>
  <w:footnote w:id="7">
    <w:p w14:paraId="28030390" w14:textId="77777777" w:rsidR="0002183E" w:rsidRDefault="0002183E" w:rsidP="0002183E">
      <w:pPr>
        <w:pStyle w:val="FootnoteText"/>
        <w:rPr>
          <w:sz w:val="16"/>
          <w:szCs w:val="16"/>
        </w:rPr>
      </w:pPr>
      <w:r w:rsidRPr="00E766E1">
        <w:rPr>
          <w:rStyle w:val="FootnoteReference"/>
          <w:sz w:val="16"/>
          <w:szCs w:val="16"/>
        </w:rPr>
        <w:footnoteRef/>
      </w:r>
      <w:hyperlink r:id="rId7" w:history="1">
        <w:r w:rsidRPr="00E766E1">
          <w:rPr>
            <w:rStyle w:val="Hyperlink"/>
            <w:sz w:val="16"/>
            <w:szCs w:val="16"/>
          </w:rPr>
          <w:t xml:space="preserve"> https://www.anayasa.gov.tr/tr/haberler/bireysel-basvuru-basin-duyurulari/bildiriye-imza-atan-akademisyenlerin-cezalandirilmalari-nedeniyle-ifade-ozgurluklerinin-ihlal-edilmesi/</w:t>
        </w:r>
      </w:hyperlink>
    </w:p>
  </w:footnote>
  <w:footnote w:id="8">
    <w:p w14:paraId="1181E087" w14:textId="77777777" w:rsidR="006C5A7A" w:rsidRDefault="006C5A7A" w:rsidP="006C5A7A">
      <w:pPr>
        <w:pStyle w:val="FootnoteText"/>
        <w:rPr>
          <w:sz w:val="16"/>
          <w:szCs w:val="16"/>
        </w:rPr>
      </w:pPr>
      <w:r w:rsidRPr="00E766E1">
        <w:rPr>
          <w:rStyle w:val="FootnoteReference"/>
          <w:sz w:val="16"/>
          <w:szCs w:val="16"/>
        </w:rPr>
        <w:footnoteRef/>
      </w:r>
      <w:hyperlink r:id="rId8" w:history="1">
        <w:r w:rsidRPr="006A0B06">
          <w:rPr>
            <w:rStyle w:val="Hyperlink"/>
            <w:sz w:val="16"/>
            <w:szCs w:val="16"/>
          </w:rPr>
          <w:t xml:space="preserve"> https://barisicinakademisyenler.net/node/1576 </w:t>
        </w:r>
      </w:hyperlink>
    </w:p>
  </w:footnote>
  <w:footnote w:id="9">
    <w:p w14:paraId="6BCE3533" w14:textId="1B7D8455" w:rsidR="006C5A7A" w:rsidRDefault="006C5A7A" w:rsidP="006C5A7A">
      <w:pPr>
        <w:pStyle w:val="FootnoteText"/>
      </w:pPr>
      <w:r w:rsidRPr="00E766E1">
        <w:rPr>
          <w:rStyle w:val="FootnoteReference"/>
          <w:sz w:val="16"/>
          <w:szCs w:val="16"/>
        </w:rPr>
        <w:footnoteRef/>
      </w:r>
      <w:r>
        <w:rPr>
          <w:sz w:val="16"/>
          <w:szCs w:val="16"/>
        </w:rPr>
        <w:t xml:space="preserve"> https://www.resmigazete.gov.tr/eskiler/2021/04/20210417-1.htm see </w:t>
      </w:r>
      <w:r w:rsidR="00D139EC">
        <w:rPr>
          <w:sz w:val="16"/>
          <w:szCs w:val="16"/>
        </w:rPr>
        <w:t>Article</w:t>
      </w:r>
      <w:r>
        <w:rPr>
          <w:sz w:val="16"/>
          <w:szCs w:val="16"/>
        </w:rPr>
        <w:t xml:space="preserve"> 3</w:t>
      </w:r>
    </w:p>
  </w:footnote>
  <w:footnote w:id="10">
    <w:p w14:paraId="10969EC1" w14:textId="77777777" w:rsidR="00C163BC" w:rsidRDefault="00B33E48">
      <w:pPr>
        <w:pStyle w:val="FootnoteText"/>
        <w:rPr>
          <w:sz w:val="16"/>
          <w:szCs w:val="16"/>
        </w:rPr>
      </w:pPr>
      <w:r w:rsidRPr="00E766E1">
        <w:rPr>
          <w:rStyle w:val="FootnoteReference"/>
          <w:sz w:val="16"/>
          <w:szCs w:val="16"/>
        </w:rPr>
        <w:footnoteRef/>
      </w:r>
      <w:hyperlink r:id="rId9" w:history="1">
        <w:r w:rsidR="0073069C" w:rsidRPr="00E766E1">
          <w:rPr>
            <w:rStyle w:val="Hyperlink"/>
            <w:sz w:val="16"/>
            <w:szCs w:val="16"/>
          </w:rPr>
          <w:t xml:space="preserve"> https://www.echr.coe.int/documents/d/echr/convention_tur </w:t>
        </w:r>
        <w:r w:rsidR="0073069C" w:rsidRPr="00E766E1">
          <w:rPr>
            <w:rStyle w:val="Hyperlink"/>
            <w:color w:val="000000" w:themeColor="text1"/>
            <w:sz w:val="16"/>
            <w:szCs w:val="16"/>
            <w:u w:val="none"/>
          </w:rPr>
          <w:t>see Article 11</w:t>
        </w:r>
      </w:hyperlink>
      <w:r w:rsidR="0073069C" w:rsidRPr="00E766E1">
        <w:rPr>
          <w:sz w:val="16"/>
          <w:szCs w:val="16"/>
        </w:rPr>
        <w:t xml:space="preserve">, </w:t>
      </w:r>
      <w:hyperlink r:id="rId10" w:history="1">
        <w:r w:rsidR="0073069C" w:rsidRPr="00E766E1">
          <w:rPr>
            <w:rStyle w:val="Hyperlink"/>
            <w:sz w:val="16"/>
            <w:szCs w:val="16"/>
          </w:rPr>
          <w:t>https://www.mevzuat.gov.tr/MevzuatMetin/1.5.2709.pdf</w:t>
        </w:r>
      </w:hyperlink>
      <w:r w:rsidR="0073069C" w:rsidRPr="00E766E1">
        <w:rPr>
          <w:sz w:val="16"/>
          <w:szCs w:val="16"/>
        </w:rPr>
        <w:t xml:space="preserve"> see Article </w:t>
      </w:r>
      <w:r w:rsidR="00BB7FF8" w:rsidRPr="00E766E1">
        <w:rPr>
          <w:sz w:val="16"/>
          <w:szCs w:val="16"/>
        </w:rPr>
        <w:t>51</w:t>
      </w:r>
    </w:p>
  </w:footnote>
  <w:footnote w:id="11">
    <w:p w14:paraId="4D66CA79" w14:textId="77777777" w:rsidR="00D139EC" w:rsidRPr="00E766E1" w:rsidRDefault="00D139EC" w:rsidP="00D139EC">
      <w:pPr>
        <w:pStyle w:val="FootnoteText"/>
        <w:rPr>
          <w:sz w:val="16"/>
          <w:szCs w:val="16"/>
        </w:rPr>
      </w:pPr>
      <w:r w:rsidRPr="00E766E1">
        <w:rPr>
          <w:rStyle w:val="FootnoteReference"/>
          <w:sz w:val="16"/>
          <w:szCs w:val="16"/>
        </w:rPr>
        <w:footnoteRef/>
      </w:r>
      <w:r w:rsidRPr="00E766E1">
        <w:rPr>
          <w:sz w:val="16"/>
          <w:szCs w:val="16"/>
        </w:rPr>
        <w:t xml:space="preserve"> </w:t>
      </w:r>
      <w:hyperlink r:id="rId11" w:history="1">
        <w:r w:rsidRPr="00E766E1">
          <w:rPr>
            <w:rStyle w:val="Hyperlink"/>
            <w:sz w:val="16"/>
            <w:szCs w:val="16"/>
          </w:rPr>
          <w:t>https://artigercek.com/guncel/baris-akademisyenlerinin-mucadelesi-suruyor-2019da-hepimizin-iade-edilmesi-273879h</w:t>
        </w:r>
      </w:hyperlink>
      <w:r w:rsidRPr="00E766E1">
        <w:rPr>
          <w:sz w:val="16"/>
          <w:szCs w:val="16"/>
        </w:rPr>
        <w:t xml:space="preserve"> </w:t>
      </w:r>
    </w:p>
  </w:footnote>
  <w:footnote w:id="12">
    <w:p w14:paraId="3CDD4A61" w14:textId="626721D5" w:rsidR="00D139EC" w:rsidRDefault="00D139EC" w:rsidP="00D139EC">
      <w:pPr>
        <w:pStyle w:val="FootnoteText"/>
      </w:pPr>
      <w:r w:rsidRPr="00395505">
        <w:rPr>
          <w:rStyle w:val="FootnoteReference"/>
          <w:sz w:val="16"/>
          <w:szCs w:val="16"/>
        </w:rPr>
        <w:footnoteRef/>
      </w:r>
      <w:r>
        <w:rPr>
          <w:sz w:val="16"/>
          <w:szCs w:val="16"/>
        </w:rPr>
        <w:t xml:space="preserve"> </w:t>
      </w:r>
      <w:r w:rsidRPr="00D139EC">
        <w:rPr>
          <w:sz w:val="16"/>
          <w:szCs w:val="16"/>
        </w:rPr>
        <w:t>Statistics from the Eğitim-Sen Istanbul Branch have been used.</w:t>
      </w:r>
    </w:p>
  </w:footnote>
  <w:footnote w:id="13">
    <w:p w14:paraId="2B00FCEF" w14:textId="77777777" w:rsidR="00C163BC" w:rsidRDefault="00B33E48">
      <w:pPr>
        <w:pStyle w:val="FootnoteText"/>
        <w:rPr>
          <w:sz w:val="16"/>
          <w:szCs w:val="16"/>
        </w:rPr>
      </w:pPr>
      <w:r w:rsidRPr="00566BE6">
        <w:rPr>
          <w:rStyle w:val="FootnoteReference"/>
          <w:sz w:val="16"/>
          <w:szCs w:val="16"/>
        </w:rPr>
        <w:footnoteRef/>
      </w:r>
      <w:hyperlink r:id="rId12" w:history="1">
        <w:r w:rsidR="00BB7FF8" w:rsidRPr="00566BE6">
          <w:rPr>
            <w:rStyle w:val="Hyperlink"/>
            <w:sz w:val="16"/>
            <w:szCs w:val="16"/>
          </w:rPr>
          <w:t xml:space="preserve"> https://www.ihd.org.tr/insan-haklari-evrensel-beyannames/ </w:t>
        </w:r>
      </w:hyperlink>
    </w:p>
  </w:footnote>
  <w:footnote w:id="14">
    <w:p w14:paraId="5FF436BD" w14:textId="77777777" w:rsidR="00C163BC" w:rsidRDefault="00B33E48">
      <w:pPr>
        <w:pStyle w:val="FootnoteText"/>
        <w:rPr>
          <w:sz w:val="16"/>
          <w:szCs w:val="16"/>
        </w:rPr>
      </w:pPr>
      <w:r w:rsidRPr="00566BE6">
        <w:rPr>
          <w:rStyle w:val="FootnoteReference"/>
          <w:sz w:val="16"/>
          <w:szCs w:val="16"/>
        </w:rPr>
        <w:footnoteRef/>
      </w:r>
      <w:hyperlink r:id="rId13" w:history="1">
        <w:r w:rsidR="00BB7FF8" w:rsidRPr="00566BE6">
          <w:rPr>
            <w:rStyle w:val="Hyperlink"/>
            <w:sz w:val="16"/>
            <w:szCs w:val="16"/>
          </w:rPr>
          <w:t xml:space="preserve"> https://www.ihd.org.tr/sasve-medenhaklar-uluslararasi-slees/ </w:t>
        </w:r>
      </w:hyperlink>
    </w:p>
  </w:footnote>
  <w:footnote w:id="15">
    <w:p w14:paraId="36E4C94D" w14:textId="77777777" w:rsidR="00C163BC" w:rsidRDefault="00B33E48">
      <w:pPr>
        <w:pStyle w:val="FootnoteText"/>
        <w:rPr>
          <w:sz w:val="16"/>
          <w:szCs w:val="16"/>
        </w:rPr>
      </w:pPr>
      <w:r w:rsidRPr="00566BE6">
        <w:rPr>
          <w:rStyle w:val="FootnoteReference"/>
          <w:sz w:val="16"/>
          <w:szCs w:val="16"/>
        </w:rPr>
        <w:footnoteRef/>
      </w:r>
      <w:hyperlink r:id="rId14" w:history="1">
        <w:r w:rsidR="00BB7FF8" w:rsidRPr="00566BE6">
          <w:rPr>
            <w:rStyle w:val="Hyperlink"/>
            <w:sz w:val="16"/>
            <w:szCs w:val="16"/>
          </w:rPr>
          <w:t xml:space="preserve"> https://www.echr.coe.int/documents/d/echr/convention_tur </w:t>
        </w:r>
      </w:hyperlink>
    </w:p>
  </w:footnote>
  <w:footnote w:id="16">
    <w:p w14:paraId="020B643F" w14:textId="77777777" w:rsidR="00C163BC" w:rsidRDefault="00B33E48">
      <w:pPr>
        <w:pStyle w:val="FootnoteText"/>
        <w:rPr>
          <w:sz w:val="16"/>
          <w:szCs w:val="16"/>
        </w:rPr>
      </w:pPr>
      <w:r w:rsidRPr="00566BE6">
        <w:rPr>
          <w:rStyle w:val="FootnoteReference"/>
          <w:sz w:val="16"/>
          <w:szCs w:val="16"/>
        </w:rPr>
        <w:footnoteRef/>
      </w:r>
      <w:hyperlink r:id="rId15" w:history="1">
        <w:r w:rsidR="00BB7FF8" w:rsidRPr="00566BE6">
          <w:rPr>
            <w:rStyle w:val="Hyperlink"/>
            <w:sz w:val="16"/>
            <w:szCs w:val="16"/>
          </w:rPr>
          <w:t xml:space="preserve"> https://www.mevzuat.gov.tr/MevzuatMetin/1.5.2709.pdf</w:t>
        </w:r>
      </w:hyperlink>
    </w:p>
  </w:footnote>
  <w:footnote w:id="17">
    <w:p w14:paraId="7D0F6F45" w14:textId="77777777" w:rsidR="00B42B19" w:rsidRDefault="00B42B19" w:rsidP="00B42B19">
      <w:pPr>
        <w:pStyle w:val="FootnoteText"/>
        <w:rPr>
          <w:sz w:val="16"/>
          <w:szCs w:val="16"/>
        </w:rPr>
      </w:pPr>
      <w:r w:rsidRPr="00E766E1">
        <w:rPr>
          <w:rStyle w:val="FootnoteReference"/>
          <w:sz w:val="16"/>
          <w:szCs w:val="16"/>
        </w:rPr>
        <w:footnoteRef/>
      </w:r>
      <w:r w:rsidRPr="00E766E1">
        <w:rPr>
          <w:rStyle w:val="Hyperlink"/>
          <w:sz w:val="16"/>
          <w:szCs w:val="16"/>
          <w:u w:val="none"/>
        </w:rPr>
        <w:t xml:space="preserve"> https://www.ihd.org.tr/insan-haklari-evrensel-beyannames/ </w:t>
      </w:r>
      <w:r w:rsidRPr="00E766E1">
        <w:rPr>
          <w:rStyle w:val="Hyperlink"/>
          <w:color w:val="000000" w:themeColor="text1"/>
          <w:sz w:val="16"/>
          <w:szCs w:val="16"/>
          <w:u w:val="none"/>
        </w:rPr>
        <w:t>see Article 23 para 1-2</w:t>
      </w:r>
    </w:p>
  </w:footnote>
  <w:footnote w:id="18">
    <w:p w14:paraId="542C97C3" w14:textId="77777777" w:rsidR="00B42B19" w:rsidRDefault="00B42B19" w:rsidP="00B42B19">
      <w:pPr>
        <w:pStyle w:val="FootnoteText"/>
        <w:rPr>
          <w:sz w:val="16"/>
          <w:szCs w:val="16"/>
        </w:rPr>
      </w:pPr>
      <w:r w:rsidRPr="00E766E1">
        <w:rPr>
          <w:rStyle w:val="FootnoteReference"/>
          <w:sz w:val="16"/>
          <w:szCs w:val="16"/>
        </w:rPr>
        <w:footnoteRef/>
      </w:r>
      <w:r w:rsidRPr="00E766E1">
        <w:rPr>
          <w:rStyle w:val="Hyperlink"/>
          <w:color w:val="000000" w:themeColor="text1"/>
          <w:sz w:val="16"/>
          <w:szCs w:val="16"/>
          <w:u w:val="none"/>
        </w:rPr>
        <w:t xml:space="preserve"> https://www.mevzuat.gov.tr/MevzuatMetin/1.5.2709.pdf see Article 18</w:t>
      </w:r>
    </w:p>
  </w:footnote>
  <w:footnote w:id="19">
    <w:p w14:paraId="4DC6EAAE" w14:textId="3DE80194" w:rsidR="00B42B19" w:rsidRDefault="00B42B19" w:rsidP="00B42B19">
      <w:pPr>
        <w:pStyle w:val="FootnoteText"/>
      </w:pPr>
      <w:r w:rsidRPr="00E766E1">
        <w:rPr>
          <w:rStyle w:val="FootnoteReference"/>
          <w:sz w:val="16"/>
          <w:szCs w:val="16"/>
        </w:rPr>
        <w:footnoteRef/>
      </w:r>
      <w:r w:rsidRPr="00E766E1">
        <w:rPr>
          <w:rStyle w:val="Hyperlink"/>
          <w:sz w:val="16"/>
          <w:szCs w:val="16"/>
        </w:rPr>
        <w:t xml:space="preserve"> https://www.echr.coe.int/documents/d/echr/convention_tur </w:t>
      </w:r>
      <w:r w:rsidRPr="00E766E1">
        <w:rPr>
          <w:rStyle w:val="Hyperlink"/>
          <w:color w:val="000000" w:themeColor="text1"/>
          <w:sz w:val="16"/>
          <w:szCs w:val="16"/>
          <w:u w:val="none"/>
        </w:rPr>
        <w:t xml:space="preserve">see </w:t>
      </w:r>
      <w:r w:rsidR="00A57401">
        <w:rPr>
          <w:rStyle w:val="Hyperlink"/>
          <w:color w:val="000000" w:themeColor="text1"/>
          <w:sz w:val="16"/>
          <w:szCs w:val="16"/>
          <w:u w:val="none"/>
        </w:rPr>
        <w:t>Article</w:t>
      </w:r>
      <w:r w:rsidRPr="00E766E1">
        <w:rPr>
          <w:rStyle w:val="Hyperlink"/>
          <w:color w:val="000000" w:themeColor="text1"/>
          <w:sz w:val="16"/>
          <w:szCs w:val="16"/>
          <w:u w:val="none"/>
        </w:rPr>
        <w:t xml:space="preserve"> 4</w:t>
      </w:r>
    </w:p>
  </w:footnote>
  <w:footnote w:id="20">
    <w:p w14:paraId="7D00A68D" w14:textId="77777777" w:rsidR="00B42B19" w:rsidRDefault="00B42B19" w:rsidP="00B42B19">
      <w:pPr>
        <w:pStyle w:val="FootnoteText"/>
        <w:rPr>
          <w:sz w:val="16"/>
          <w:szCs w:val="16"/>
        </w:rPr>
      </w:pPr>
      <w:r w:rsidRPr="00E766E1">
        <w:rPr>
          <w:rStyle w:val="FootnoteReference"/>
          <w:sz w:val="16"/>
          <w:szCs w:val="16"/>
        </w:rPr>
        <w:footnoteRef/>
      </w:r>
      <w:hyperlink r:id="rId16" w:history="1">
        <w:r w:rsidRPr="00E766E1">
          <w:rPr>
            <w:rStyle w:val="Hyperlink"/>
            <w:sz w:val="16"/>
            <w:szCs w:val="16"/>
          </w:rPr>
          <w:t xml:space="preserve"> https://www.yok.gov.tr/DuyuruBelgeleri/Personel%20Daire%20Ba%C5%9Fkanl%C4%B1%C4%9F%C4%B1/2023/50d-den-33a-ya-gecis-ust-yazi.pdf </w:t>
        </w:r>
      </w:hyperlink>
    </w:p>
  </w:footnote>
  <w:footnote w:id="21">
    <w:p w14:paraId="208DE786" w14:textId="77777777" w:rsidR="00C163BC" w:rsidRDefault="00B33E48">
      <w:pPr>
        <w:pStyle w:val="FootnoteText"/>
        <w:rPr>
          <w:sz w:val="16"/>
          <w:szCs w:val="16"/>
        </w:rPr>
      </w:pPr>
      <w:r w:rsidRPr="00E766E1">
        <w:rPr>
          <w:rStyle w:val="FootnoteReference"/>
          <w:sz w:val="16"/>
          <w:szCs w:val="16"/>
        </w:rPr>
        <w:footnoteRef/>
      </w:r>
      <w:hyperlink r:id="rId17" w:history="1">
        <w:r w:rsidRPr="00E766E1">
          <w:rPr>
            <w:rStyle w:val="Hyperlink"/>
            <w:sz w:val="16"/>
            <w:szCs w:val="16"/>
          </w:rPr>
          <w:t xml:space="preserve"> https://www.echr.coe.int/documents/d/echr/convention_tur </w:t>
        </w:r>
        <w:r w:rsidRPr="00E766E1">
          <w:rPr>
            <w:rStyle w:val="Hyperlink"/>
            <w:color w:val="000000" w:themeColor="text1"/>
            <w:sz w:val="16"/>
            <w:szCs w:val="16"/>
            <w:u w:val="none"/>
          </w:rPr>
          <w:t>see Article 14</w:t>
        </w:r>
      </w:hyperlink>
    </w:p>
  </w:footnote>
  <w:footnote w:id="22">
    <w:p w14:paraId="7EF7B7A6" w14:textId="77777777" w:rsidR="00C163BC" w:rsidRDefault="00B33E48">
      <w:pPr>
        <w:pStyle w:val="FootnoteText"/>
        <w:rPr>
          <w:sz w:val="16"/>
          <w:szCs w:val="16"/>
        </w:rPr>
      </w:pPr>
      <w:r w:rsidRPr="00E766E1">
        <w:rPr>
          <w:rStyle w:val="FootnoteReference"/>
          <w:sz w:val="16"/>
          <w:szCs w:val="16"/>
        </w:rPr>
        <w:footnoteRef/>
      </w:r>
      <w:hyperlink r:id="rId18" w:history="1">
        <w:r w:rsidRPr="00E766E1">
          <w:rPr>
            <w:rStyle w:val="Hyperlink"/>
            <w:sz w:val="16"/>
            <w:szCs w:val="16"/>
          </w:rPr>
          <w:t xml:space="preserve"> https://www.ilo.org/tr/resource/111-nolu-ayirimcilik-ve-meslek-sozlesmesi</w:t>
        </w:r>
      </w:hyperlink>
    </w:p>
  </w:footnote>
  <w:footnote w:id="23">
    <w:p w14:paraId="004D4F73" w14:textId="77777777" w:rsidR="00C163BC" w:rsidRDefault="00B33E48">
      <w:pPr>
        <w:pStyle w:val="FootnoteText"/>
      </w:pPr>
      <w:r>
        <w:rPr>
          <w:rStyle w:val="FootnoteReference"/>
        </w:rPr>
        <w:footnoteRef/>
      </w:r>
      <w:hyperlink r:id="rId19" w:history="1">
        <w:r w:rsidRPr="00566BE6">
          <w:rPr>
            <w:rStyle w:val="Hyperlink"/>
            <w:sz w:val="16"/>
            <w:szCs w:val="16"/>
          </w:rPr>
          <w:t xml:space="preserve"> https://www.ihd.org.tr/sasve-medenhaklar-uluslararasi-slees/</w:t>
        </w:r>
      </w:hyperlink>
      <w:r>
        <w:rPr>
          <w:sz w:val="16"/>
          <w:szCs w:val="16"/>
        </w:rPr>
        <w:t xml:space="preserve"> see </w:t>
      </w:r>
      <w:r w:rsidRPr="004E1DBA">
        <w:rPr>
          <w:sz w:val="16"/>
          <w:szCs w:val="16"/>
        </w:rPr>
        <w:t xml:space="preserve">Article </w:t>
      </w:r>
      <w:r>
        <w:t>12</w:t>
      </w:r>
      <w:r w:rsidRPr="004E1DBA">
        <w:rPr>
          <w:sz w:val="16"/>
          <w:szCs w:val="16"/>
        </w:rPr>
        <w:t xml:space="preserve"> of the Covenant on Civil and Political Rights </w:t>
      </w:r>
    </w:p>
  </w:footnote>
  <w:footnote w:id="24">
    <w:p w14:paraId="30ED90DF" w14:textId="77777777" w:rsidR="00C163BC" w:rsidRDefault="00B33E48">
      <w:pPr>
        <w:pStyle w:val="FootnoteText"/>
        <w:rPr>
          <w:sz w:val="16"/>
          <w:szCs w:val="16"/>
        </w:rPr>
      </w:pPr>
      <w:r w:rsidRPr="00897ED6">
        <w:rPr>
          <w:rStyle w:val="FootnoteReference"/>
          <w:sz w:val="16"/>
          <w:szCs w:val="16"/>
        </w:rPr>
        <w:footnoteRef/>
      </w:r>
      <w:r w:rsidRPr="00897ED6">
        <w:rPr>
          <w:rStyle w:val="Hyperlink"/>
          <w:sz w:val="16"/>
          <w:szCs w:val="16"/>
          <w:u w:val="none"/>
        </w:rPr>
        <w:t xml:space="preserve"> https://www.ihd.org.tr/insan-haklari-evrensel-beyannames/ </w:t>
      </w:r>
      <w:r w:rsidRPr="00897ED6">
        <w:rPr>
          <w:rStyle w:val="Hyperlink"/>
          <w:color w:val="000000" w:themeColor="text1"/>
          <w:sz w:val="16"/>
          <w:szCs w:val="16"/>
          <w:u w:val="none"/>
        </w:rPr>
        <w:t>see Article 23 para 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A7382"/>
    <w:multiLevelType w:val="hybridMultilevel"/>
    <w:tmpl w:val="C76AE6F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1D340E"/>
    <w:multiLevelType w:val="hybridMultilevel"/>
    <w:tmpl w:val="838E4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405ED"/>
    <w:multiLevelType w:val="hybridMultilevel"/>
    <w:tmpl w:val="EFF8872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B472D1D"/>
    <w:multiLevelType w:val="hybridMultilevel"/>
    <w:tmpl w:val="FDBE0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2A1FA8"/>
    <w:multiLevelType w:val="hybridMultilevel"/>
    <w:tmpl w:val="BF3880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5D75F22"/>
    <w:multiLevelType w:val="multilevel"/>
    <w:tmpl w:val="C6369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1E601D"/>
    <w:multiLevelType w:val="hybridMultilevel"/>
    <w:tmpl w:val="F11EBD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4B554B0"/>
    <w:multiLevelType w:val="hybridMultilevel"/>
    <w:tmpl w:val="6B700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1D4915"/>
    <w:multiLevelType w:val="hybridMultilevel"/>
    <w:tmpl w:val="C2221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A344BB"/>
    <w:multiLevelType w:val="multilevel"/>
    <w:tmpl w:val="DAD47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BE0127"/>
    <w:multiLevelType w:val="hybridMultilevel"/>
    <w:tmpl w:val="711EF784"/>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6C3705B"/>
    <w:multiLevelType w:val="hybridMultilevel"/>
    <w:tmpl w:val="54E2F3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B860914"/>
    <w:multiLevelType w:val="hybridMultilevel"/>
    <w:tmpl w:val="0F488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B02F37"/>
    <w:multiLevelType w:val="hybridMultilevel"/>
    <w:tmpl w:val="1B420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A80F8A"/>
    <w:multiLevelType w:val="hybridMultilevel"/>
    <w:tmpl w:val="A7EEE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EA5625"/>
    <w:multiLevelType w:val="hybridMultilevel"/>
    <w:tmpl w:val="4784195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5F8C4C3A"/>
    <w:multiLevelType w:val="multilevel"/>
    <w:tmpl w:val="08561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B9393B"/>
    <w:multiLevelType w:val="hybridMultilevel"/>
    <w:tmpl w:val="89C27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591EF2"/>
    <w:multiLevelType w:val="hybridMultilevel"/>
    <w:tmpl w:val="B06472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59010EB"/>
    <w:multiLevelType w:val="hybridMultilevel"/>
    <w:tmpl w:val="56D6A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AB7762"/>
    <w:multiLevelType w:val="hybridMultilevel"/>
    <w:tmpl w:val="7F58C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90E5904"/>
    <w:multiLevelType w:val="multilevel"/>
    <w:tmpl w:val="62D84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7259FC"/>
    <w:multiLevelType w:val="multilevel"/>
    <w:tmpl w:val="C302A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
  </w:num>
  <w:num w:numId="3">
    <w:abstractNumId w:val="22"/>
  </w:num>
  <w:num w:numId="4">
    <w:abstractNumId w:val="16"/>
  </w:num>
  <w:num w:numId="5">
    <w:abstractNumId w:val="5"/>
  </w:num>
  <w:num w:numId="6">
    <w:abstractNumId w:val="21"/>
  </w:num>
  <w:num w:numId="7">
    <w:abstractNumId w:val="9"/>
  </w:num>
  <w:num w:numId="8">
    <w:abstractNumId w:val="20"/>
  </w:num>
  <w:num w:numId="9">
    <w:abstractNumId w:val="15"/>
  </w:num>
  <w:num w:numId="10">
    <w:abstractNumId w:val="10"/>
  </w:num>
  <w:num w:numId="11">
    <w:abstractNumId w:val="0"/>
  </w:num>
  <w:num w:numId="12">
    <w:abstractNumId w:val="4"/>
  </w:num>
  <w:num w:numId="13">
    <w:abstractNumId w:val="6"/>
  </w:num>
  <w:num w:numId="14">
    <w:abstractNumId w:val="18"/>
  </w:num>
  <w:num w:numId="15">
    <w:abstractNumId w:val="14"/>
  </w:num>
  <w:num w:numId="16">
    <w:abstractNumId w:val="12"/>
  </w:num>
  <w:num w:numId="17">
    <w:abstractNumId w:val="13"/>
  </w:num>
  <w:num w:numId="18">
    <w:abstractNumId w:val="1"/>
  </w:num>
  <w:num w:numId="19">
    <w:abstractNumId w:val="3"/>
  </w:num>
  <w:num w:numId="20">
    <w:abstractNumId w:val="19"/>
  </w:num>
  <w:num w:numId="21">
    <w:abstractNumId w:val="7"/>
  </w:num>
  <w:num w:numId="22">
    <w:abstractNumId w:val="8"/>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BCF"/>
    <w:rsid w:val="000028A9"/>
    <w:rsid w:val="00012022"/>
    <w:rsid w:val="00016DE3"/>
    <w:rsid w:val="0002099B"/>
    <w:rsid w:val="0002183E"/>
    <w:rsid w:val="00022A72"/>
    <w:rsid w:val="00062B36"/>
    <w:rsid w:val="00077580"/>
    <w:rsid w:val="00080C22"/>
    <w:rsid w:val="00081F35"/>
    <w:rsid w:val="0008264F"/>
    <w:rsid w:val="00085AEA"/>
    <w:rsid w:val="00095DFC"/>
    <w:rsid w:val="00097516"/>
    <w:rsid w:val="000B277D"/>
    <w:rsid w:val="000C3F72"/>
    <w:rsid w:val="000C4069"/>
    <w:rsid w:val="000C551E"/>
    <w:rsid w:val="000D3EAC"/>
    <w:rsid w:val="001115B5"/>
    <w:rsid w:val="001373A1"/>
    <w:rsid w:val="001433DE"/>
    <w:rsid w:val="0014753F"/>
    <w:rsid w:val="00156F93"/>
    <w:rsid w:val="00166E0C"/>
    <w:rsid w:val="00183055"/>
    <w:rsid w:val="0018336E"/>
    <w:rsid w:val="001A410F"/>
    <w:rsid w:val="001E0F12"/>
    <w:rsid w:val="001E5A40"/>
    <w:rsid w:val="001E67ED"/>
    <w:rsid w:val="001F33FD"/>
    <w:rsid w:val="001F5A76"/>
    <w:rsid w:val="001F6155"/>
    <w:rsid w:val="00204049"/>
    <w:rsid w:val="00211C60"/>
    <w:rsid w:val="00212667"/>
    <w:rsid w:val="00226DB2"/>
    <w:rsid w:val="002278BA"/>
    <w:rsid w:val="00230181"/>
    <w:rsid w:val="002372D8"/>
    <w:rsid w:val="00254D88"/>
    <w:rsid w:val="002639B1"/>
    <w:rsid w:val="00270645"/>
    <w:rsid w:val="00272C75"/>
    <w:rsid w:val="00273F6A"/>
    <w:rsid w:val="00275E52"/>
    <w:rsid w:val="00292C5A"/>
    <w:rsid w:val="00292DBC"/>
    <w:rsid w:val="002C2E70"/>
    <w:rsid w:val="002C5161"/>
    <w:rsid w:val="002D4A9A"/>
    <w:rsid w:val="002D64F6"/>
    <w:rsid w:val="002E1B14"/>
    <w:rsid w:val="002E530A"/>
    <w:rsid w:val="002F6153"/>
    <w:rsid w:val="002F72D1"/>
    <w:rsid w:val="002F73F8"/>
    <w:rsid w:val="002F77BA"/>
    <w:rsid w:val="003007E8"/>
    <w:rsid w:val="00315A6D"/>
    <w:rsid w:val="00316031"/>
    <w:rsid w:val="00324033"/>
    <w:rsid w:val="003310E6"/>
    <w:rsid w:val="003320FD"/>
    <w:rsid w:val="003538FF"/>
    <w:rsid w:val="003669D8"/>
    <w:rsid w:val="003675F1"/>
    <w:rsid w:val="00395505"/>
    <w:rsid w:val="0039639C"/>
    <w:rsid w:val="003A4B9E"/>
    <w:rsid w:val="003B3250"/>
    <w:rsid w:val="003C0569"/>
    <w:rsid w:val="003E3F01"/>
    <w:rsid w:val="003E5821"/>
    <w:rsid w:val="003F2AA0"/>
    <w:rsid w:val="004004D3"/>
    <w:rsid w:val="00412AC9"/>
    <w:rsid w:val="004328D9"/>
    <w:rsid w:val="004401A9"/>
    <w:rsid w:val="00444258"/>
    <w:rsid w:val="004543BF"/>
    <w:rsid w:val="00457C18"/>
    <w:rsid w:val="00463ACF"/>
    <w:rsid w:val="00464899"/>
    <w:rsid w:val="004C4787"/>
    <w:rsid w:val="004D1D35"/>
    <w:rsid w:val="004D4AAA"/>
    <w:rsid w:val="004D76CC"/>
    <w:rsid w:val="004D77C9"/>
    <w:rsid w:val="004E1DBA"/>
    <w:rsid w:val="004F12FF"/>
    <w:rsid w:val="004F20CD"/>
    <w:rsid w:val="004F2799"/>
    <w:rsid w:val="004F6C8F"/>
    <w:rsid w:val="0050267A"/>
    <w:rsid w:val="005038AB"/>
    <w:rsid w:val="00507380"/>
    <w:rsid w:val="00514B91"/>
    <w:rsid w:val="00515938"/>
    <w:rsid w:val="00544094"/>
    <w:rsid w:val="00550F95"/>
    <w:rsid w:val="0055169E"/>
    <w:rsid w:val="0056091B"/>
    <w:rsid w:val="00566BE6"/>
    <w:rsid w:val="00580001"/>
    <w:rsid w:val="00595DDA"/>
    <w:rsid w:val="005A5AA3"/>
    <w:rsid w:val="005A7211"/>
    <w:rsid w:val="005B66C3"/>
    <w:rsid w:val="005C6A8E"/>
    <w:rsid w:val="005D06F7"/>
    <w:rsid w:val="005D0FC4"/>
    <w:rsid w:val="005D1DB1"/>
    <w:rsid w:val="005E1BA4"/>
    <w:rsid w:val="005E5317"/>
    <w:rsid w:val="005F7C33"/>
    <w:rsid w:val="006149F7"/>
    <w:rsid w:val="006266D4"/>
    <w:rsid w:val="00631825"/>
    <w:rsid w:val="0066468F"/>
    <w:rsid w:val="006666FA"/>
    <w:rsid w:val="0069405C"/>
    <w:rsid w:val="00695B4E"/>
    <w:rsid w:val="00697490"/>
    <w:rsid w:val="006A1C4B"/>
    <w:rsid w:val="006A2619"/>
    <w:rsid w:val="006B2849"/>
    <w:rsid w:val="006C4E51"/>
    <w:rsid w:val="006C5A7A"/>
    <w:rsid w:val="006D687A"/>
    <w:rsid w:val="006D7045"/>
    <w:rsid w:val="006D7F36"/>
    <w:rsid w:val="006E463C"/>
    <w:rsid w:val="006F648B"/>
    <w:rsid w:val="006F77DD"/>
    <w:rsid w:val="00710794"/>
    <w:rsid w:val="00726933"/>
    <w:rsid w:val="0073069C"/>
    <w:rsid w:val="00744AAF"/>
    <w:rsid w:val="00752553"/>
    <w:rsid w:val="00754761"/>
    <w:rsid w:val="007630BC"/>
    <w:rsid w:val="007652E3"/>
    <w:rsid w:val="00765BF4"/>
    <w:rsid w:val="00776DA6"/>
    <w:rsid w:val="0079223A"/>
    <w:rsid w:val="007A4FE2"/>
    <w:rsid w:val="007B244B"/>
    <w:rsid w:val="007B7152"/>
    <w:rsid w:val="007D6393"/>
    <w:rsid w:val="007D7836"/>
    <w:rsid w:val="007E4316"/>
    <w:rsid w:val="007F74AF"/>
    <w:rsid w:val="00813BCF"/>
    <w:rsid w:val="0081590F"/>
    <w:rsid w:val="0081726D"/>
    <w:rsid w:val="008204DD"/>
    <w:rsid w:val="00851600"/>
    <w:rsid w:val="00853C95"/>
    <w:rsid w:val="008551FC"/>
    <w:rsid w:val="008646DE"/>
    <w:rsid w:val="008732B9"/>
    <w:rsid w:val="00873C2F"/>
    <w:rsid w:val="00893E28"/>
    <w:rsid w:val="0089564C"/>
    <w:rsid w:val="00897ED6"/>
    <w:rsid w:val="008A088E"/>
    <w:rsid w:val="008A274F"/>
    <w:rsid w:val="008A5D9E"/>
    <w:rsid w:val="008C3BE8"/>
    <w:rsid w:val="008E200F"/>
    <w:rsid w:val="008F3CEF"/>
    <w:rsid w:val="00902898"/>
    <w:rsid w:val="00905242"/>
    <w:rsid w:val="00911CE9"/>
    <w:rsid w:val="009168FC"/>
    <w:rsid w:val="00917EB4"/>
    <w:rsid w:val="00921507"/>
    <w:rsid w:val="00921FAA"/>
    <w:rsid w:val="00937722"/>
    <w:rsid w:val="00943AF1"/>
    <w:rsid w:val="009462F1"/>
    <w:rsid w:val="00946FCD"/>
    <w:rsid w:val="009660B5"/>
    <w:rsid w:val="00973764"/>
    <w:rsid w:val="00994656"/>
    <w:rsid w:val="00994D22"/>
    <w:rsid w:val="009952B0"/>
    <w:rsid w:val="00996184"/>
    <w:rsid w:val="009A60D9"/>
    <w:rsid w:val="009B02C6"/>
    <w:rsid w:val="009B041E"/>
    <w:rsid w:val="009B18C4"/>
    <w:rsid w:val="009B526A"/>
    <w:rsid w:val="009C0345"/>
    <w:rsid w:val="009C188D"/>
    <w:rsid w:val="009C3AC6"/>
    <w:rsid w:val="009C70EA"/>
    <w:rsid w:val="009D287C"/>
    <w:rsid w:val="009E0BF4"/>
    <w:rsid w:val="009E2313"/>
    <w:rsid w:val="009E5864"/>
    <w:rsid w:val="00A055AB"/>
    <w:rsid w:val="00A16008"/>
    <w:rsid w:val="00A2162C"/>
    <w:rsid w:val="00A43D9D"/>
    <w:rsid w:val="00A57401"/>
    <w:rsid w:val="00A71F26"/>
    <w:rsid w:val="00A808B6"/>
    <w:rsid w:val="00A82DD7"/>
    <w:rsid w:val="00A92F7B"/>
    <w:rsid w:val="00A967E6"/>
    <w:rsid w:val="00AA6E36"/>
    <w:rsid w:val="00AB3DF4"/>
    <w:rsid w:val="00AC3805"/>
    <w:rsid w:val="00AD40C8"/>
    <w:rsid w:val="00AE3DD0"/>
    <w:rsid w:val="00B12E95"/>
    <w:rsid w:val="00B134E9"/>
    <w:rsid w:val="00B33E48"/>
    <w:rsid w:val="00B357E0"/>
    <w:rsid w:val="00B4191A"/>
    <w:rsid w:val="00B42B19"/>
    <w:rsid w:val="00B453C6"/>
    <w:rsid w:val="00B55104"/>
    <w:rsid w:val="00B57B43"/>
    <w:rsid w:val="00B73B92"/>
    <w:rsid w:val="00B743C0"/>
    <w:rsid w:val="00B87143"/>
    <w:rsid w:val="00B93E39"/>
    <w:rsid w:val="00B955F1"/>
    <w:rsid w:val="00BA2F1D"/>
    <w:rsid w:val="00BA4C52"/>
    <w:rsid w:val="00BB7FF8"/>
    <w:rsid w:val="00BC1216"/>
    <w:rsid w:val="00C033C2"/>
    <w:rsid w:val="00C163BC"/>
    <w:rsid w:val="00C21395"/>
    <w:rsid w:val="00C26151"/>
    <w:rsid w:val="00C305A9"/>
    <w:rsid w:val="00C42E53"/>
    <w:rsid w:val="00C434AA"/>
    <w:rsid w:val="00C442AE"/>
    <w:rsid w:val="00C67AE3"/>
    <w:rsid w:val="00C71A83"/>
    <w:rsid w:val="00C752A9"/>
    <w:rsid w:val="00C76449"/>
    <w:rsid w:val="00C80092"/>
    <w:rsid w:val="00C8090B"/>
    <w:rsid w:val="00C86CE9"/>
    <w:rsid w:val="00C920B0"/>
    <w:rsid w:val="00C94B6E"/>
    <w:rsid w:val="00C96F2E"/>
    <w:rsid w:val="00CA3228"/>
    <w:rsid w:val="00CB006F"/>
    <w:rsid w:val="00CB3A4C"/>
    <w:rsid w:val="00CB50C3"/>
    <w:rsid w:val="00CC10E4"/>
    <w:rsid w:val="00CC5CA3"/>
    <w:rsid w:val="00CD450A"/>
    <w:rsid w:val="00CF160F"/>
    <w:rsid w:val="00CF3593"/>
    <w:rsid w:val="00D050B6"/>
    <w:rsid w:val="00D100C4"/>
    <w:rsid w:val="00D10DC8"/>
    <w:rsid w:val="00D11EE2"/>
    <w:rsid w:val="00D139EC"/>
    <w:rsid w:val="00D278F5"/>
    <w:rsid w:val="00D623EC"/>
    <w:rsid w:val="00D64302"/>
    <w:rsid w:val="00D66123"/>
    <w:rsid w:val="00D87185"/>
    <w:rsid w:val="00D93F98"/>
    <w:rsid w:val="00D95E7A"/>
    <w:rsid w:val="00DA1D44"/>
    <w:rsid w:val="00DA3275"/>
    <w:rsid w:val="00DA43E4"/>
    <w:rsid w:val="00DA7A1F"/>
    <w:rsid w:val="00DB14E1"/>
    <w:rsid w:val="00DC1996"/>
    <w:rsid w:val="00DC20CF"/>
    <w:rsid w:val="00DC5B9F"/>
    <w:rsid w:val="00DD6219"/>
    <w:rsid w:val="00DE19B1"/>
    <w:rsid w:val="00DF4F96"/>
    <w:rsid w:val="00E1068C"/>
    <w:rsid w:val="00E1112F"/>
    <w:rsid w:val="00E20D13"/>
    <w:rsid w:val="00E3173D"/>
    <w:rsid w:val="00E55FE6"/>
    <w:rsid w:val="00E6103A"/>
    <w:rsid w:val="00E613AA"/>
    <w:rsid w:val="00E7331B"/>
    <w:rsid w:val="00E766E1"/>
    <w:rsid w:val="00E91D2D"/>
    <w:rsid w:val="00E93EBC"/>
    <w:rsid w:val="00E97986"/>
    <w:rsid w:val="00EB5037"/>
    <w:rsid w:val="00EC006F"/>
    <w:rsid w:val="00ED1965"/>
    <w:rsid w:val="00EE421F"/>
    <w:rsid w:val="00F04806"/>
    <w:rsid w:val="00F153B6"/>
    <w:rsid w:val="00F15D32"/>
    <w:rsid w:val="00F33C69"/>
    <w:rsid w:val="00F4686F"/>
    <w:rsid w:val="00F532AB"/>
    <w:rsid w:val="00F5522B"/>
    <w:rsid w:val="00F635F6"/>
    <w:rsid w:val="00F66075"/>
    <w:rsid w:val="00F70A7A"/>
    <w:rsid w:val="00F71BEB"/>
    <w:rsid w:val="00F742A9"/>
    <w:rsid w:val="00F976DC"/>
    <w:rsid w:val="00FA50B7"/>
    <w:rsid w:val="00FB6285"/>
    <w:rsid w:val="00FB655F"/>
    <w:rsid w:val="00FD70F7"/>
    <w:rsid w:val="00FE047D"/>
    <w:rsid w:val="00FE2464"/>
    <w:rsid w:val="00FF1582"/>
    <w:rsid w:val="00FF68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EA9A7"/>
  <w15:docId w15:val="{C174B623-13A4-5147-85B4-E0162A346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20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C20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C20C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C20C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C20C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DC20C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55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551E"/>
    <w:rPr>
      <w:sz w:val="20"/>
      <w:szCs w:val="20"/>
    </w:rPr>
  </w:style>
  <w:style w:type="character" w:styleId="FootnoteReference">
    <w:name w:val="footnote reference"/>
    <w:basedOn w:val="DefaultParagraphFont"/>
    <w:uiPriority w:val="99"/>
    <w:semiHidden/>
    <w:unhideWhenUsed/>
    <w:rsid w:val="000C551E"/>
    <w:rPr>
      <w:vertAlign w:val="superscript"/>
    </w:rPr>
  </w:style>
  <w:style w:type="character" w:styleId="Hyperlink">
    <w:name w:val="Hyperlink"/>
    <w:basedOn w:val="DefaultParagraphFont"/>
    <w:uiPriority w:val="99"/>
    <w:unhideWhenUsed/>
    <w:rsid w:val="000C551E"/>
    <w:rPr>
      <w:color w:val="0563C1" w:themeColor="hyperlink"/>
      <w:u w:val="single"/>
    </w:rPr>
  </w:style>
  <w:style w:type="paragraph" w:styleId="ListParagraph">
    <w:name w:val="List Paragraph"/>
    <w:basedOn w:val="Normal"/>
    <w:uiPriority w:val="34"/>
    <w:qFormat/>
    <w:rsid w:val="0055169E"/>
    <w:pPr>
      <w:ind w:left="720"/>
      <w:contextualSpacing/>
    </w:pPr>
  </w:style>
  <w:style w:type="paragraph" w:styleId="Header">
    <w:name w:val="header"/>
    <w:basedOn w:val="Normal"/>
    <w:link w:val="HeaderChar"/>
    <w:uiPriority w:val="99"/>
    <w:unhideWhenUsed/>
    <w:rsid w:val="004543BF"/>
    <w:pPr>
      <w:tabs>
        <w:tab w:val="center" w:pos="4536"/>
        <w:tab w:val="right" w:pos="9072"/>
      </w:tabs>
      <w:spacing w:after="0" w:line="240" w:lineRule="auto"/>
    </w:pPr>
  </w:style>
  <w:style w:type="character" w:customStyle="1" w:styleId="HeaderChar">
    <w:name w:val="Header Char"/>
    <w:basedOn w:val="DefaultParagraphFont"/>
    <w:link w:val="Header"/>
    <w:uiPriority w:val="99"/>
    <w:rsid w:val="004543BF"/>
  </w:style>
  <w:style w:type="paragraph" w:styleId="Footer">
    <w:name w:val="footer"/>
    <w:basedOn w:val="Normal"/>
    <w:link w:val="FooterChar"/>
    <w:uiPriority w:val="99"/>
    <w:unhideWhenUsed/>
    <w:rsid w:val="004543BF"/>
    <w:pPr>
      <w:tabs>
        <w:tab w:val="center" w:pos="4536"/>
        <w:tab w:val="right" w:pos="9072"/>
      </w:tabs>
      <w:spacing w:after="0" w:line="240" w:lineRule="auto"/>
    </w:pPr>
  </w:style>
  <w:style w:type="character" w:customStyle="1" w:styleId="FooterChar">
    <w:name w:val="Footer Char"/>
    <w:basedOn w:val="DefaultParagraphFont"/>
    <w:link w:val="Footer"/>
    <w:uiPriority w:val="99"/>
    <w:rsid w:val="004543BF"/>
  </w:style>
  <w:style w:type="paragraph" w:styleId="NormalWeb">
    <w:name w:val="Normal (Web)"/>
    <w:basedOn w:val="Normal"/>
    <w:uiPriority w:val="99"/>
    <w:semiHidden/>
    <w:unhideWhenUsed/>
    <w:rsid w:val="0081726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Strong">
    <w:name w:val="Strong"/>
    <w:basedOn w:val="DefaultParagraphFont"/>
    <w:uiPriority w:val="22"/>
    <w:qFormat/>
    <w:rsid w:val="00A16008"/>
    <w:rPr>
      <w:b/>
      <w:bCs/>
    </w:rPr>
  </w:style>
  <w:style w:type="paragraph" w:customStyle="1" w:styleId="Body">
    <w:name w:val="Body"/>
    <w:rsid w:val="00D95E7A"/>
    <w:pPr>
      <w:pBdr>
        <w:top w:val="nil"/>
        <w:left w:val="nil"/>
        <w:bottom w:val="nil"/>
        <w:right w:val="nil"/>
        <w:between w:val="nil"/>
        <w:bar w:val="nil"/>
      </w:pBdr>
    </w:pPr>
    <w:rPr>
      <w:rFonts w:ascii="Calibri" w:eastAsia="Calibri" w:hAnsi="Calibri" w:cs="Calibri"/>
      <w:color w:val="000000"/>
      <w:u w:color="000000"/>
      <w:bdr w:val="nil"/>
      <w:lang w:eastAsia="tr-TR"/>
    </w:rPr>
  </w:style>
  <w:style w:type="character" w:customStyle="1" w:styleId="None">
    <w:name w:val="None"/>
    <w:rsid w:val="00D95E7A"/>
  </w:style>
  <w:style w:type="character" w:styleId="CommentReference">
    <w:name w:val="annotation reference"/>
    <w:basedOn w:val="DefaultParagraphFont"/>
    <w:uiPriority w:val="99"/>
    <w:semiHidden/>
    <w:unhideWhenUsed/>
    <w:rsid w:val="00212667"/>
    <w:rPr>
      <w:sz w:val="16"/>
      <w:szCs w:val="16"/>
    </w:rPr>
  </w:style>
  <w:style w:type="paragraph" w:styleId="CommentText">
    <w:name w:val="annotation text"/>
    <w:basedOn w:val="Normal"/>
    <w:link w:val="CommentTextChar"/>
    <w:uiPriority w:val="99"/>
    <w:semiHidden/>
    <w:unhideWhenUsed/>
    <w:rsid w:val="00212667"/>
    <w:pPr>
      <w:spacing w:line="240" w:lineRule="auto"/>
    </w:pPr>
    <w:rPr>
      <w:sz w:val="20"/>
      <w:szCs w:val="20"/>
    </w:rPr>
  </w:style>
  <w:style w:type="character" w:customStyle="1" w:styleId="CommentTextChar">
    <w:name w:val="Comment Text Char"/>
    <w:basedOn w:val="DefaultParagraphFont"/>
    <w:link w:val="CommentText"/>
    <w:uiPriority w:val="99"/>
    <w:semiHidden/>
    <w:rsid w:val="00212667"/>
    <w:rPr>
      <w:sz w:val="20"/>
      <w:szCs w:val="20"/>
    </w:rPr>
  </w:style>
  <w:style w:type="paragraph" w:styleId="CommentSubject">
    <w:name w:val="annotation subject"/>
    <w:basedOn w:val="CommentText"/>
    <w:next w:val="CommentText"/>
    <w:link w:val="CommentSubjectChar"/>
    <w:uiPriority w:val="99"/>
    <w:semiHidden/>
    <w:unhideWhenUsed/>
    <w:rsid w:val="00212667"/>
    <w:rPr>
      <w:b/>
      <w:bCs/>
    </w:rPr>
  </w:style>
  <w:style w:type="character" w:customStyle="1" w:styleId="CommentSubjectChar">
    <w:name w:val="Comment Subject Char"/>
    <w:basedOn w:val="CommentTextChar"/>
    <w:link w:val="CommentSubject"/>
    <w:uiPriority w:val="99"/>
    <w:semiHidden/>
    <w:rsid w:val="00212667"/>
    <w:rPr>
      <w:b/>
      <w:bCs/>
      <w:sz w:val="20"/>
      <w:szCs w:val="20"/>
    </w:rPr>
  </w:style>
  <w:style w:type="paragraph" w:styleId="BalloonText">
    <w:name w:val="Balloon Text"/>
    <w:basedOn w:val="Normal"/>
    <w:link w:val="BalloonTextChar"/>
    <w:uiPriority w:val="99"/>
    <w:semiHidden/>
    <w:unhideWhenUsed/>
    <w:rsid w:val="00212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667"/>
    <w:rPr>
      <w:rFonts w:ascii="Tahoma" w:hAnsi="Tahoma" w:cs="Tahoma"/>
      <w:sz w:val="16"/>
      <w:szCs w:val="16"/>
    </w:rPr>
  </w:style>
  <w:style w:type="paragraph" w:styleId="Revision">
    <w:name w:val="Revision"/>
    <w:hidden/>
    <w:uiPriority w:val="99"/>
    <w:semiHidden/>
    <w:rsid w:val="00853C95"/>
    <w:pPr>
      <w:spacing w:after="0" w:line="240" w:lineRule="auto"/>
    </w:pPr>
  </w:style>
  <w:style w:type="character" w:customStyle="1" w:styleId="Heading2Char">
    <w:name w:val="Heading 2 Char"/>
    <w:basedOn w:val="DefaultParagraphFont"/>
    <w:link w:val="Heading2"/>
    <w:uiPriority w:val="9"/>
    <w:rsid w:val="00DC20C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C20C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C20C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DC20C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DC20CF"/>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DC20CF"/>
    <w:rPr>
      <w:rFonts w:asciiTheme="majorHAnsi" w:eastAsiaTheme="majorEastAsia" w:hAnsiTheme="majorHAnsi" w:cstheme="majorBidi"/>
      <w:color w:val="2E74B5" w:themeColor="accent1" w:themeShade="BF"/>
      <w:sz w:val="32"/>
      <w:szCs w:val="32"/>
    </w:rPr>
  </w:style>
  <w:style w:type="paragraph" w:styleId="DocumentMap">
    <w:name w:val="Document Map"/>
    <w:basedOn w:val="Normal"/>
    <w:link w:val="DocumentMapChar"/>
    <w:uiPriority w:val="99"/>
    <w:semiHidden/>
    <w:unhideWhenUsed/>
    <w:rsid w:val="003669D8"/>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3669D8"/>
    <w:rPr>
      <w:rFonts w:ascii="Times New Roman" w:hAnsi="Times New Roman" w:cs="Times New Roman"/>
      <w:sz w:val="24"/>
      <w:szCs w:val="24"/>
    </w:rPr>
  </w:style>
  <w:style w:type="paragraph" w:styleId="TOC1">
    <w:name w:val="toc 1"/>
    <w:basedOn w:val="Normal"/>
    <w:next w:val="Normal"/>
    <w:autoRedefine/>
    <w:uiPriority w:val="39"/>
    <w:unhideWhenUsed/>
    <w:rsid w:val="006D7F36"/>
    <w:pPr>
      <w:spacing w:before="120" w:after="0"/>
    </w:pPr>
    <w:rPr>
      <w:b/>
      <w:sz w:val="24"/>
      <w:szCs w:val="24"/>
    </w:rPr>
  </w:style>
  <w:style w:type="paragraph" w:styleId="TOC2">
    <w:name w:val="toc 2"/>
    <w:basedOn w:val="Normal"/>
    <w:next w:val="Normal"/>
    <w:autoRedefine/>
    <w:uiPriority w:val="39"/>
    <w:unhideWhenUsed/>
    <w:rsid w:val="006D7F36"/>
    <w:pPr>
      <w:spacing w:after="0"/>
      <w:ind w:left="220"/>
    </w:pPr>
    <w:rPr>
      <w:b/>
    </w:rPr>
  </w:style>
  <w:style w:type="paragraph" w:styleId="TOC3">
    <w:name w:val="toc 3"/>
    <w:basedOn w:val="Normal"/>
    <w:next w:val="Normal"/>
    <w:autoRedefine/>
    <w:uiPriority w:val="39"/>
    <w:unhideWhenUsed/>
    <w:rsid w:val="006D7F36"/>
    <w:pPr>
      <w:spacing w:after="0"/>
      <w:ind w:left="440"/>
    </w:pPr>
  </w:style>
  <w:style w:type="paragraph" w:styleId="TOC4">
    <w:name w:val="toc 4"/>
    <w:basedOn w:val="Normal"/>
    <w:next w:val="Normal"/>
    <w:autoRedefine/>
    <w:uiPriority w:val="39"/>
    <w:unhideWhenUsed/>
    <w:rsid w:val="006D7F36"/>
    <w:pPr>
      <w:spacing w:after="0"/>
      <w:ind w:left="660"/>
    </w:pPr>
    <w:rPr>
      <w:sz w:val="20"/>
      <w:szCs w:val="20"/>
    </w:rPr>
  </w:style>
  <w:style w:type="paragraph" w:styleId="TOC5">
    <w:name w:val="toc 5"/>
    <w:basedOn w:val="Normal"/>
    <w:next w:val="Normal"/>
    <w:autoRedefine/>
    <w:uiPriority w:val="39"/>
    <w:unhideWhenUsed/>
    <w:rsid w:val="006D7F36"/>
    <w:pPr>
      <w:spacing w:after="0"/>
      <w:ind w:left="880"/>
    </w:pPr>
    <w:rPr>
      <w:sz w:val="20"/>
      <w:szCs w:val="20"/>
    </w:rPr>
  </w:style>
  <w:style w:type="paragraph" w:styleId="TOC6">
    <w:name w:val="toc 6"/>
    <w:basedOn w:val="Normal"/>
    <w:next w:val="Normal"/>
    <w:autoRedefine/>
    <w:uiPriority w:val="39"/>
    <w:unhideWhenUsed/>
    <w:rsid w:val="006D7F36"/>
    <w:pPr>
      <w:spacing w:after="0"/>
      <w:ind w:left="1100"/>
    </w:pPr>
    <w:rPr>
      <w:sz w:val="20"/>
      <w:szCs w:val="20"/>
    </w:rPr>
  </w:style>
  <w:style w:type="paragraph" w:styleId="TOC7">
    <w:name w:val="toc 7"/>
    <w:basedOn w:val="Normal"/>
    <w:next w:val="Normal"/>
    <w:autoRedefine/>
    <w:uiPriority w:val="39"/>
    <w:unhideWhenUsed/>
    <w:rsid w:val="006D7F36"/>
    <w:pPr>
      <w:spacing w:after="0"/>
      <w:ind w:left="1320"/>
    </w:pPr>
    <w:rPr>
      <w:sz w:val="20"/>
      <w:szCs w:val="20"/>
    </w:rPr>
  </w:style>
  <w:style w:type="paragraph" w:styleId="TOC8">
    <w:name w:val="toc 8"/>
    <w:basedOn w:val="Normal"/>
    <w:next w:val="Normal"/>
    <w:autoRedefine/>
    <w:uiPriority w:val="39"/>
    <w:unhideWhenUsed/>
    <w:rsid w:val="006D7F36"/>
    <w:pPr>
      <w:spacing w:after="0"/>
      <w:ind w:left="1540"/>
    </w:pPr>
    <w:rPr>
      <w:sz w:val="20"/>
      <w:szCs w:val="20"/>
    </w:rPr>
  </w:style>
  <w:style w:type="paragraph" w:styleId="TOC9">
    <w:name w:val="toc 9"/>
    <w:basedOn w:val="Normal"/>
    <w:next w:val="Normal"/>
    <w:autoRedefine/>
    <w:uiPriority w:val="39"/>
    <w:unhideWhenUsed/>
    <w:rsid w:val="006D7F36"/>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1938">
      <w:bodyDiv w:val="1"/>
      <w:marLeft w:val="0"/>
      <w:marRight w:val="0"/>
      <w:marTop w:val="0"/>
      <w:marBottom w:val="0"/>
      <w:divBdr>
        <w:top w:val="none" w:sz="0" w:space="0" w:color="auto"/>
        <w:left w:val="none" w:sz="0" w:space="0" w:color="auto"/>
        <w:bottom w:val="none" w:sz="0" w:space="0" w:color="auto"/>
        <w:right w:val="none" w:sz="0" w:space="0" w:color="auto"/>
      </w:divBdr>
    </w:div>
    <w:div w:id="97988258">
      <w:bodyDiv w:val="1"/>
      <w:marLeft w:val="0"/>
      <w:marRight w:val="0"/>
      <w:marTop w:val="0"/>
      <w:marBottom w:val="0"/>
      <w:divBdr>
        <w:top w:val="none" w:sz="0" w:space="0" w:color="auto"/>
        <w:left w:val="none" w:sz="0" w:space="0" w:color="auto"/>
        <w:bottom w:val="none" w:sz="0" w:space="0" w:color="auto"/>
        <w:right w:val="none" w:sz="0" w:space="0" w:color="auto"/>
      </w:divBdr>
    </w:div>
    <w:div w:id="1092775627">
      <w:bodyDiv w:val="1"/>
      <w:marLeft w:val="0"/>
      <w:marRight w:val="0"/>
      <w:marTop w:val="0"/>
      <w:marBottom w:val="0"/>
      <w:divBdr>
        <w:top w:val="none" w:sz="0" w:space="0" w:color="auto"/>
        <w:left w:val="none" w:sz="0" w:space="0" w:color="auto"/>
        <w:bottom w:val="none" w:sz="0" w:space="0" w:color="auto"/>
        <w:right w:val="none" w:sz="0" w:space="0" w:color="auto"/>
      </w:divBdr>
    </w:div>
    <w:div w:id="1099376981">
      <w:bodyDiv w:val="1"/>
      <w:marLeft w:val="0"/>
      <w:marRight w:val="0"/>
      <w:marTop w:val="0"/>
      <w:marBottom w:val="0"/>
      <w:divBdr>
        <w:top w:val="none" w:sz="0" w:space="0" w:color="auto"/>
        <w:left w:val="none" w:sz="0" w:space="0" w:color="auto"/>
        <w:bottom w:val="none" w:sz="0" w:space="0" w:color="auto"/>
        <w:right w:val="none" w:sz="0" w:space="0" w:color="auto"/>
      </w:divBdr>
    </w:div>
    <w:div w:id="1274365512">
      <w:bodyDiv w:val="1"/>
      <w:marLeft w:val="0"/>
      <w:marRight w:val="0"/>
      <w:marTop w:val="0"/>
      <w:marBottom w:val="0"/>
      <w:divBdr>
        <w:top w:val="none" w:sz="0" w:space="0" w:color="auto"/>
        <w:left w:val="none" w:sz="0" w:space="0" w:color="auto"/>
        <w:bottom w:val="none" w:sz="0" w:space="0" w:color="auto"/>
        <w:right w:val="none" w:sz="0" w:space="0" w:color="auto"/>
      </w:divBdr>
    </w:div>
    <w:div w:id="1478064433">
      <w:bodyDiv w:val="1"/>
      <w:marLeft w:val="0"/>
      <w:marRight w:val="0"/>
      <w:marTop w:val="0"/>
      <w:marBottom w:val="0"/>
      <w:divBdr>
        <w:top w:val="none" w:sz="0" w:space="0" w:color="auto"/>
        <w:left w:val="none" w:sz="0" w:space="0" w:color="auto"/>
        <w:bottom w:val="none" w:sz="0" w:space="0" w:color="auto"/>
        <w:right w:val="none" w:sz="0" w:space="0" w:color="auto"/>
      </w:divBdr>
    </w:div>
    <w:div w:id="1690183795">
      <w:bodyDiv w:val="1"/>
      <w:marLeft w:val="0"/>
      <w:marRight w:val="0"/>
      <w:marTop w:val="0"/>
      <w:marBottom w:val="0"/>
      <w:divBdr>
        <w:top w:val="none" w:sz="0" w:space="0" w:color="auto"/>
        <w:left w:val="none" w:sz="0" w:space="0" w:color="auto"/>
        <w:bottom w:val="none" w:sz="0" w:space="0" w:color="auto"/>
        <w:right w:val="none" w:sz="0" w:space="0" w:color="auto"/>
      </w:divBdr>
    </w:div>
    <w:div w:id="1703702343">
      <w:bodyDiv w:val="1"/>
      <w:marLeft w:val="0"/>
      <w:marRight w:val="0"/>
      <w:marTop w:val="0"/>
      <w:marBottom w:val="0"/>
      <w:divBdr>
        <w:top w:val="none" w:sz="0" w:space="0" w:color="auto"/>
        <w:left w:val="none" w:sz="0" w:space="0" w:color="auto"/>
        <w:bottom w:val="none" w:sz="0" w:space="0" w:color="auto"/>
        <w:right w:val="none" w:sz="0" w:space="0" w:color="auto"/>
      </w:divBdr>
    </w:div>
    <w:div w:id="1734497831">
      <w:bodyDiv w:val="1"/>
      <w:marLeft w:val="0"/>
      <w:marRight w:val="0"/>
      <w:marTop w:val="0"/>
      <w:marBottom w:val="0"/>
      <w:divBdr>
        <w:top w:val="none" w:sz="0" w:space="0" w:color="auto"/>
        <w:left w:val="none" w:sz="0" w:space="0" w:color="auto"/>
        <w:bottom w:val="none" w:sz="0" w:space="0" w:color="auto"/>
        <w:right w:val="none" w:sz="0" w:space="0" w:color="auto"/>
      </w:divBdr>
    </w:div>
    <w:div w:id="1786270091">
      <w:bodyDiv w:val="1"/>
      <w:marLeft w:val="0"/>
      <w:marRight w:val="0"/>
      <w:marTop w:val="0"/>
      <w:marBottom w:val="0"/>
      <w:divBdr>
        <w:top w:val="none" w:sz="0" w:space="0" w:color="auto"/>
        <w:left w:val="none" w:sz="0" w:space="0" w:color="auto"/>
        <w:bottom w:val="none" w:sz="0" w:space="0" w:color="auto"/>
        <w:right w:val="none" w:sz="0" w:space="0" w:color="auto"/>
      </w:divBdr>
    </w:div>
    <w:div w:id="1818448782">
      <w:bodyDiv w:val="1"/>
      <w:marLeft w:val="0"/>
      <w:marRight w:val="0"/>
      <w:marTop w:val="0"/>
      <w:marBottom w:val="0"/>
      <w:divBdr>
        <w:top w:val="none" w:sz="0" w:space="0" w:color="auto"/>
        <w:left w:val="none" w:sz="0" w:space="0" w:color="auto"/>
        <w:bottom w:val="none" w:sz="0" w:space="0" w:color="auto"/>
        <w:right w:val="none" w:sz="0" w:space="0" w:color="auto"/>
      </w:divBdr>
    </w:div>
    <w:div w:id="1991446669">
      <w:bodyDiv w:val="1"/>
      <w:marLeft w:val="0"/>
      <w:marRight w:val="0"/>
      <w:marTop w:val="0"/>
      <w:marBottom w:val="0"/>
      <w:divBdr>
        <w:top w:val="none" w:sz="0" w:space="0" w:color="auto"/>
        <w:left w:val="none" w:sz="0" w:space="0" w:color="auto"/>
        <w:bottom w:val="none" w:sz="0" w:space="0" w:color="auto"/>
        <w:right w:val="none" w:sz="0" w:space="0" w:color="auto"/>
      </w:divBdr>
    </w:div>
    <w:div w:id="2056201675">
      <w:bodyDiv w:val="1"/>
      <w:marLeft w:val="0"/>
      <w:marRight w:val="0"/>
      <w:marTop w:val="0"/>
      <w:marBottom w:val="0"/>
      <w:divBdr>
        <w:top w:val="none" w:sz="0" w:space="0" w:color="auto"/>
        <w:left w:val="none" w:sz="0" w:space="0" w:color="auto"/>
        <w:bottom w:val="none" w:sz="0" w:space="0" w:color="auto"/>
        <w:right w:val="none" w:sz="0" w:space="0" w:color="auto"/>
      </w:divBdr>
    </w:div>
    <w:div w:id="208406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naberk@yahader.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arisicinakademisyenler.net/node/1576" TargetMode="External"/><Relationship Id="rId13" Type="http://schemas.openxmlformats.org/officeDocument/2006/relationships/hyperlink" Target="https://www.ihd.org.tr/sasve-medenhaklar-uluslararasi-slees/" TargetMode="External"/><Relationship Id="rId18" Type="http://schemas.openxmlformats.org/officeDocument/2006/relationships/hyperlink" Target="https://www.ilo.org/tr/resource/111-nolu-ayirimcilik-ve-meslek-sozlesmesi" TargetMode="External"/><Relationship Id="rId3" Type="http://schemas.openxmlformats.org/officeDocument/2006/relationships/hyperlink" Target="https://www.anayasa.gov.tr/tr/haberler/bireysel-basvuru-basin-duyurulari/bildiriye-imza-atan-akademisyenlerin-cezalandirilmalari-nedeniyle-ifade-ozgurluklerinin-ihlal-edilmesi/" TargetMode="External"/><Relationship Id="rId7" Type="http://schemas.openxmlformats.org/officeDocument/2006/relationships/hyperlink" Target="https://www.anayasa.gov.tr/tr/haberler/bireysel-basvuru-basin-duyurulari/bildiriye-imza-atan-akademisyenlerin-cezalandirilmalari-nedeniyle-ifade-ozgurluklerinin-ihlal-edilmesi/" TargetMode="External"/><Relationship Id="rId12" Type="http://schemas.openxmlformats.org/officeDocument/2006/relationships/hyperlink" Target="https://www.ihd.org.tr/insan-haklari-evrensel-beyannames/" TargetMode="External"/><Relationship Id="rId17" Type="http://schemas.openxmlformats.org/officeDocument/2006/relationships/hyperlink" Target="https://www.echr.coe.int/documents/d/echr/convention_tur%20bkz%20madde%2014" TargetMode="External"/><Relationship Id="rId2" Type="http://schemas.openxmlformats.org/officeDocument/2006/relationships/hyperlink" Target="https://www5.tbmm.gov.tr/yayinlar/2021/TC_Anayasasi_ve_TBMM_Ic_Tuzugu.pdf" TargetMode="External"/><Relationship Id="rId16" Type="http://schemas.openxmlformats.org/officeDocument/2006/relationships/hyperlink" Target="https://www.yok.gov.tr/DuyuruBelgeleri/Personel%20Daire%20Ba%C5%9Fkanl%C4%B1%C4%9F%C4%B1/2023/50d-den-33a-ya-gecis-ust-yazi.pdf" TargetMode="External"/><Relationship Id="rId1" Type="http://schemas.openxmlformats.org/officeDocument/2006/relationships/hyperlink" Target="https://tr.wikipedia.org/wiki/Bar%C4%B1%C5%9F_%C4%B0%C3%A7in_Akademisyenler_bildirisi" TargetMode="External"/><Relationship Id="rId6" Type="http://schemas.openxmlformats.org/officeDocument/2006/relationships/hyperlink" Target="https://barisicinakademisyenler.net/node/314" TargetMode="External"/><Relationship Id="rId11" Type="http://schemas.openxmlformats.org/officeDocument/2006/relationships/hyperlink" Target="https://artigercek.com/guncel/baris-akademisyenlerinin-mucadelesi-suruyor-2019da-hepimizin-iade-edilmesi-273879h" TargetMode="External"/><Relationship Id="rId5" Type="http://schemas.openxmlformats.org/officeDocument/2006/relationships/hyperlink" Target="https://www.ilo.org/tr/resource/111-nolu-ayirimcilik-ve-meslek-sozlesmesi" TargetMode="External"/><Relationship Id="rId15" Type="http://schemas.openxmlformats.org/officeDocument/2006/relationships/hyperlink" Target="https://www.mevzuat.gov.tr/MevzuatMetin/1.5.2709.pdf" TargetMode="External"/><Relationship Id="rId10" Type="http://schemas.openxmlformats.org/officeDocument/2006/relationships/hyperlink" Target="https://www.mevzuat.gov.tr/MevzuatMetin/1.5.2709.pdf" TargetMode="External"/><Relationship Id="rId19" Type="http://schemas.openxmlformats.org/officeDocument/2006/relationships/hyperlink" Target="https://www.ihd.org.tr/sasve-medenhaklar-uluslararasi-slees/" TargetMode="External"/><Relationship Id="rId4" Type="http://schemas.openxmlformats.org/officeDocument/2006/relationships/hyperlink" Target="https://www.ihd.org.tr/sasve-medenhaklar-uluslararasi-slees/" TargetMode="External"/><Relationship Id="rId9" Type="http://schemas.openxmlformats.org/officeDocument/2006/relationships/hyperlink" Target="https://www.echr.coe.int/documents/d/echr/convention_tur%20bkz%20madde%2011" TargetMode="External"/><Relationship Id="rId14" Type="http://schemas.openxmlformats.org/officeDocument/2006/relationships/hyperlink" Target="https://www.echr.coe.int/documents/d/echr/convention_t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80FA73-0694-4771-8442-4E539BD7909A}">
  <ds:schemaRefs>
    <ds:schemaRef ds:uri="http://schemas.openxmlformats.org/officeDocument/2006/bibliography"/>
  </ds:schemaRefs>
</ds:datastoreItem>
</file>

<file path=customXml/itemProps2.xml><?xml version="1.0" encoding="utf-8"?>
<ds:datastoreItem xmlns:ds="http://schemas.openxmlformats.org/officeDocument/2006/customXml" ds:itemID="{9CB3B5AD-E838-4373-A676-4112F63C42B0}"/>
</file>

<file path=customXml/itemProps3.xml><?xml version="1.0" encoding="utf-8"?>
<ds:datastoreItem xmlns:ds="http://schemas.openxmlformats.org/officeDocument/2006/customXml" ds:itemID="{629F64C9-DFE7-44F9-B49C-CB769D0F7C60}"/>
</file>

<file path=docProps/app.xml><?xml version="1.0" encoding="utf-8"?>
<Properties xmlns="http://schemas.openxmlformats.org/officeDocument/2006/extended-properties" xmlns:vt="http://schemas.openxmlformats.org/officeDocument/2006/docPropsVTypes">
  <Template>Normal</Template>
  <TotalTime>214</TotalTime>
  <Pages>13</Pages>
  <Words>4806</Words>
  <Characters>27396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ranaberk</dc:creator>
  <cp:keywords>, docId:2B5677B55A3BE923E187EF685BB056B6</cp:keywords>
  <dc:description/>
  <cp:lastModifiedBy>ranaberk</cp:lastModifiedBy>
  <cp:revision>5</cp:revision>
  <dcterms:created xsi:type="dcterms:W3CDTF">2024-09-12T15:18:00Z</dcterms:created>
  <dcterms:modified xsi:type="dcterms:W3CDTF">2024-09-16T06:04:00Z</dcterms:modified>
</cp:coreProperties>
</file>