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7F812" w14:textId="77777777" w:rsidR="0046303F" w:rsidRDefault="0046303F" w:rsidP="0046303F">
      <w:pPr>
        <w:jc w:val="center"/>
        <w:rPr>
          <w:rFonts w:ascii="Arial" w:hAnsi="Arial" w:cs="Arial"/>
          <w:b/>
          <w:bCs/>
        </w:rPr>
      </w:pPr>
    </w:p>
    <w:p w14:paraId="13FDFFD8" w14:textId="5A66DEA3" w:rsidR="00A6654D" w:rsidRPr="005E2D59" w:rsidRDefault="00A6654D" w:rsidP="0046303F">
      <w:pPr>
        <w:jc w:val="center"/>
        <w:rPr>
          <w:rFonts w:ascii="Arial" w:hAnsi="Arial" w:cs="Arial"/>
          <w:b/>
          <w:bCs/>
        </w:rPr>
      </w:pPr>
      <w:r w:rsidRPr="005E2D59">
        <w:rPr>
          <w:rFonts w:ascii="Arial" w:hAnsi="Arial" w:cs="Arial"/>
          <w:b/>
          <w:bCs/>
        </w:rPr>
        <w:t>DECLARACIÓN DE REPUDIO SOBRE LA DECISIÓN DE LA CORTE NACIONAL DEL ECUADOR DE LEGITIMAR LA DETENCIÓN DE JORGE GLAS</w:t>
      </w:r>
    </w:p>
    <w:p w14:paraId="1A632303" w14:textId="3153B22A" w:rsidR="00A6654D" w:rsidRPr="005E2D59" w:rsidRDefault="00A6654D" w:rsidP="00A6654D">
      <w:pPr>
        <w:spacing w:after="0"/>
        <w:jc w:val="both"/>
        <w:rPr>
          <w:rFonts w:ascii="Arial" w:hAnsi="Arial" w:cs="Arial"/>
        </w:rPr>
      </w:pPr>
      <w:r w:rsidRPr="005E2D59">
        <w:rPr>
          <w:rFonts w:ascii="Arial" w:hAnsi="Arial" w:cs="Arial"/>
        </w:rPr>
        <w:t>CONSEJO LATINOAMERICANO DE JUSTICIA Y DEMOCRACIA (CLAJUD)</w:t>
      </w:r>
    </w:p>
    <w:p w14:paraId="0E9E6356" w14:textId="2AF3BD49" w:rsidR="00A6654D" w:rsidRDefault="00A6654D" w:rsidP="00A6654D">
      <w:pPr>
        <w:spacing w:after="0"/>
        <w:jc w:val="both"/>
        <w:rPr>
          <w:rFonts w:ascii="Arial" w:hAnsi="Arial" w:cs="Arial"/>
        </w:rPr>
      </w:pPr>
      <w:r w:rsidRPr="005E2D59">
        <w:rPr>
          <w:rFonts w:ascii="Arial" w:hAnsi="Arial" w:cs="Arial"/>
        </w:rPr>
        <w:t>OBSERVATORIO LAWFARE</w:t>
      </w:r>
    </w:p>
    <w:p w14:paraId="6BA0F18C" w14:textId="4A610C92" w:rsidR="001A4BAA" w:rsidRPr="001A4BAA" w:rsidRDefault="001A4BAA" w:rsidP="00A6654D">
      <w:pPr>
        <w:spacing w:after="0"/>
        <w:jc w:val="both"/>
        <w:rPr>
          <w:rFonts w:ascii="Arial" w:hAnsi="Arial" w:cs="Arial"/>
          <w:color w:val="FF0000"/>
        </w:rPr>
      </w:pPr>
      <w:r w:rsidRPr="001A4BAA">
        <w:rPr>
          <w:rFonts w:ascii="Arial" w:hAnsi="Arial" w:cs="Arial"/>
          <w:color w:val="FF0000"/>
        </w:rPr>
        <w:t>ASOCIACIÓN AMERICANA DE JURISTAS (AAJ)</w:t>
      </w:r>
    </w:p>
    <w:p w14:paraId="1CBBDB54" w14:textId="57521B8E" w:rsidR="001A4BAA" w:rsidRPr="001A4BAA" w:rsidRDefault="001A4BAA" w:rsidP="00A6654D">
      <w:pPr>
        <w:spacing w:after="0"/>
        <w:jc w:val="both"/>
        <w:rPr>
          <w:rFonts w:ascii="Arial" w:hAnsi="Arial" w:cs="Arial"/>
          <w:color w:val="FF0000"/>
        </w:rPr>
      </w:pPr>
      <w:r w:rsidRPr="001A4BAA">
        <w:rPr>
          <w:rFonts w:ascii="Arial" w:hAnsi="Arial" w:cs="Arial"/>
          <w:color w:val="FF0000"/>
        </w:rPr>
        <w:t xml:space="preserve">INTERNACIONAL PROGRESISTA </w:t>
      </w:r>
    </w:p>
    <w:p w14:paraId="1F1A50CF" w14:textId="77777777" w:rsidR="00A6654D" w:rsidRPr="005E2D59" w:rsidRDefault="00A6654D" w:rsidP="00A6654D">
      <w:pPr>
        <w:spacing w:after="0"/>
        <w:jc w:val="both"/>
        <w:rPr>
          <w:rFonts w:ascii="Arial" w:hAnsi="Arial" w:cs="Arial"/>
          <w:b/>
          <w:bCs/>
        </w:rPr>
      </w:pPr>
    </w:p>
    <w:p w14:paraId="06AE14AE" w14:textId="0D389EF1" w:rsidR="002B360A" w:rsidRPr="005E2D59" w:rsidRDefault="002B360A" w:rsidP="002B360A">
      <w:pPr>
        <w:jc w:val="both"/>
        <w:rPr>
          <w:rFonts w:ascii="Arial" w:hAnsi="Arial" w:cs="Arial"/>
        </w:rPr>
      </w:pPr>
      <w:r w:rsidRPr="005E2D59">
        <w:rPr>
          <w:rFonts w:ascii="Arial" w:hAnsi="Arial" w:cs="Arial"/>
        </w:rPr>
        <w:t xml:space="preserve">El 7 de junio de 2024 el Tribunal de apelación revirtió la decisión de juez de primera instancia con un fallo que califica la detención </w:t>
      </w:r>
      <w:r w:rsidR="007875A0" w:rsidRPr="005E2D59">
        <w:rPr>
          <w:rFonts w:ascii="Arial" w:hAnsi="Arial" w:cs="Arial"/>
        </w:rPr>
        <w:t>de</w:t>
      </w:r>
      <w:r w:rsidR="00A6654D" w:rsidRPr="005E2D59">
        <w:rPr>
          <w:rFonts w:ascii="Arial" w:hAnsi="Arial" w:cs="Arial"/>
        </w:rPr>
        <w:t xml:space="preserve">l ex vicepresidente de Ecuador </w:t>
      </w:r>
      <w:r w:rsidRPr="005E2D59">
        <w:rPr>
          <w:rFonts w:ascii="Arial" w:hAnsi="Arial" w:cs="Arial"/>
        </w:rPr>
        <w:t>Jorge Glas como legal, legítima y no arbitraria, cuando es público y notorio lo contrario.</w:t>
      </w:r>
      <w:r w:rsidRPr="005E2D59">
        <w:rPr>
          <w:rFonts w:ascii="Arial" w:hAnsi="Arial" w:cs="Arial"/>
          <w:sz w:val="20"/>
          <w:szCs w:val="20"/>
        </w:rPr>
        <w:t xml:space="preserve"> </w:t>
      </w:r>
      <w:r w:rsidRPr="005E2D59">
        <w:rPr>
          <w:rFonts w:ascii="Arial" w:hAnsi="Arial" w:cs="Arial"/>
        </w:rPr>
        <w:t>Nunca se notificó la composición del tribunal de apelación</w:t>
      </w:r>
      <w:r w:rsidR="009E7D23" w:rsidRPr="005E2D59">
        <w:rPr>
          <w:rFonts w:ascii="Arial" w:hAnsi="Arial" w:cs="Arial"/>
        </w:rPr>
        <w:t xml:space="preserve"> y no hubo audiencia. J</w:t>
      </w:r>
      <w:r w:rsidRPr="005E2D59">
        <w:rPr>
          <w:rFonts w:ascii="Arial" w:hAnsi="Arial" w:cs="Arial"/>
        </w:rPr>
        <w:t xml:space="preserve">amás abocaron conocimiento y no se mencionó a quienes presentaron los </w:t>
      </w:r>
      <w:proofErr w:type="spellStart"/>
      <w:r w:rsidR="00487743">
        <w:rPr>
          <w:rFonts w:ascii="Arial" w:hAnsi="Arial" w:cs="Arial"/>
        </w:rPr>
        <w:t>A</w:t>
      </w:r>
      <w:r w:rsidRPr="005E2D59">
        <w:rPr>
          <w:rFonts w:ascii="Arial" w:hAnsi="Arial" w:cs="Arial"/>
        </w:rPr>
        <w:t>micus</w:t>
      </w:r>
      <w:proofErr w:type="spellEnd"/>
      <w:r w:rsidRPr="005E2D59">
        <w:rPr>
          <w:rFonts w:ascii="Arial" w:hAnsi="Arial" w:cs="Arial"/>
        </w:rPr>
        <w:t xml:space="preserve"> </w:t>
      </w:r>
      <w:proofErr w:type="spellStart"/>
      <w:r w:rsidR="00487743">
        <w:rPr>
          <w:rFonts w:ascii="Arial" w:hAnsi="Arial" w:cs="Arial"/>
        </w:rPr>
        <w:t>C</w:t>
      </w:r>
      <w:r w:rsidRPr="005E2D59">
        <w:rPr>
          <w:rFonts w:ascii="Arial" w:hAnsi="Arial" w:cs="Arial"/>
        </w:rPr>
        <w:t>uriae</w:t>
      </w:r>
      <w:proofErr w:type="spellEnd"/>
      <w:r w:rsidR="00A6654D" w:rsidRPr="005E2D59">
        <w:rPr>
          <w:rFonts w:ascii="Arial" w:hAnsi="Arial" w:cs="Arial"/>
        </w:rPr>
        <w:t>.</w:t>
      </w:r>
    </w:p>
    <w:p w14:paraId="0E7BC5B9" w14:textId="6BE7A741" w:rsidR="007875A0" w:rsidRPr="005E2D59" w:rsidRDefault="007875A0" w:rsidP="007875A0">
      <w:pPr>
        <w:jc w:val="both"/>
        <w:rPr>
          <w:rFonts w:ascii="Arial" w:hAnsi="Arial" w:cs="Arial"/>
          <w:color w:val="000000"/>
        </w:rPr>
      </w:pPr>
      <w:r w:rsidRPr="005E2D59">
        <w:rPr>
          <w:rFonts w:ascii="Arial" w:hAnsi="Arial" w:cs="Arial"/>
        </w:rPr>
        <w:t xml:space="preserve">En la audiencia de </w:t>
      </w:r>
      <w:r w:rsidR="00487743">
        <w:rPr>
          <w:rFonts w:ascii="Arial" w:hAnsi="Arial" w:cs="Arial"/>
        </w:rPr>
        <w:t>H</w:t>
      </w:r>
      <w:r w:rsidRPr="005E2D59">
        <w:rPr>
          <w:rFonts w:ascii="Arial" w:hAnsi="Arial" w:cs="Arial"/>
        </w:rPr>
        <w:t xml:space="preserve">abeas </w:t>
      </w:r>
      <w:r w:rsidR="00487743">
        <w:rPr>
          <w:rFonts w:ascii="Arial" w:hAnsi="Arial" w:cs="Arial"/>
        </w:rPr>
        <w:t>C</w:t>
      </w:r>
      <w:r w:rsidRPr="005E2D59">
        <w:rPr>
          <w:rFonts w:ascii="Arial" w:hAnsi="Arial" w:cs="Arial"/>
        </w:rPr>
        <w:t>orpus llevada a cabo el 12 de abril la autoridad judicial ecuatoriana reconoció que la detención de Jorge Glas ha sido arbitraria, pero sin que esa confirmación de la ilegalidad y arbitrariedad haya implicado la imperativa restitución de su libertad. El 7 de mayo la defensa del ex vicepresidente presentó el recurso de apelación del habeas corpus solicitando que se</w:t>
      </w:r>
      <w:r w:rsidRPr="005E2D59">
        <w:rPr>
          <w:rFonts w:ascii="Arial" w:hAnsi="Arial" w:cs="Arial"/>
          <w:color w:val="000000"/>
        </w:rPr>
        <w:t xml:space="preserve"> ratifique la ilegalidad y arbitrariedad de la detención de Jorge Glas y se ordene al estado ecuatoriano emitir su inmediata libertad. </w:t>
      </w:r>
    </w:p>
    <w:p w14:paraId="676F267D" w14:textId="77D488E4" w:rsidR="002B360A" w:rsidRPr="005E2D59" w:rsidRDefault="002B360A" w:rsidP="002B360A">
      <w:pPr>
        <w:jc w:val="both"/>
        <w:rPr>
          <w:rFonts w:ascii="Arial" w:hAnsi="Arial" w:cs="Arial"/>
        </w:rPr>
      </w:pPr>
      <w:r w:rsidRPr="005E2D59">
        <w:rPr>
          <w:rFonts w:ascii="Arial" w:hAnsi="Arial" w:cs="Arial"/>
        </w:rPr>
        <w:t>El 31</w:t>
      </w:r>
      <w:r w:rsidR="009E7D23" w:rsidRPr="005E2D59">
        <w:rPr>
          <w:rFonts w:ascii="Arial" w:hAnsi="Arial" w:cs="Arial"/>
        </w:rPr>
        <w:t xml:space="preserve"> de mayo</w:t>
      </w:r>
      <w:r w:rsidRPr="005E2D59">
        <w:rPr>
          <w:rFonts w:ascii="Arial" w:hAnsi="Arial" w:cs="Arial"/>
        </w:rPr>
        <w:t xml:space="preserve"> fue el sorteo, el 7</w:t>
      </w:r>
      <w:r w:rsidR="009E7D23" w:rsidRPr="005E2D59">
        <w:rPr>
          <w:rFonts w:ascii="Arial" w:hAnsi="Arial" w:cs="Arial"/>
        </w:rPr>
        <w:t xml:space="preserve"> de junio</w:t>
      </w:r>
      <w:r w:rsidRPr="005E2D59">
        <w:rPr>
          <w:rFonts w:ascii="Arial" w:hAnsi="Arial" w:cs="Arial"/>
        </w:rPr>
        <w:t xml:space="preserve"> se sentenció. Con </w:t>
      </w:r>
      <w:r w:rsidR="009E7D23" w:rsidRPr="005E2D59">
        <w:rPr>
          <w:rFonts w:ascii="Arial" w:hAnsi="Arial" w:cs="Arial"/>
        </w:rPr>
        <w:t>el</w:t>
      </w:r>
      <w:r w:rsidRPr="005E2D59">
        <w:rPr>
          <w:rFonts w:ascii="Arial" w:hAnsi="Arial" w:cs="Arial"/>
        </w:rPr>
        <w:t xml:space="preserve"> argumento de que "…durante el Estado de Excepción, justamente el derecho a la inviolabilidad de domicilio está suspendido", el tribunal de apelación afirma que un decreto de excepción permite irrumpir en una embajada extranjera. Se abordó la detención únicamente basándose en la “orden de localización y captura” como fundamento fáctico de la misma, evitando así el análisis del hecho que produjo la detención (secuestro) de Jorge en los términos que efectivamente fue sacado de la Embajada.</w:t>
      </w:r>
    </w:p>
    <w:p w14:paraId="22C83CEE" w14:textId="64C05E01" w:rsidR="00574447" w:rsidRPr="005E2D59" w:rsidRDefault="001A2203" w:rsidP="002B360A">
      <w:pPr>
        <w:jc w:val="both"/>
        <w:rPr>
          <w:rFonts w:ascii="Arial" w:hAnsi="Arial" w:cs="Arial"/>
        </w:rPr>
      </w:pPr>
      <w:r w:rsidRPr="005E2D59">
        <w:rPr>
          <w:rFonts w:ascii="Arial" w:hAnsi="Arial" w:cs="Arial"/>
        </w:rPr>
        <w:t>En la noche del 5 de abril de 2024, Jorge Glas fue secuestrado (detenido arbitrariamente) por instrucción directa del presidente Daniel Noboa. Glas se encontraba en la Embajada de México en Quito, donde contaba con estatus de asilado. Este atropello a las normas básicas de las relaciones entre Estados soberanos es el corolario de años de persecución judicial contra una opción política en Ecuador (la Revolución Ciudadana), persecución que ha contribuido a la polarización política, la erosión de la democracia y la disolución de los pilares del Estado de Derecho.</w:t>
      </w:r>
      <w:r w:rsidR="003B0CB2" w:rsidRPr="005E2D59">
        <w:rPr>
          <w:rFonts w:ascii="Arial" w:hAnsi="Arial" w:cs="Arial"/>
        </w:rPr>
        <w:t xml:space="preserve"> </w:t>
      </w:r>
    </w:p>
    <w:p w14:paraId="3E471221" w14:textId="1654C0ED" w:rsidR="00A6654D" w:rsidRPr="005E2D59" w:rsidRDefault="00A6654D" w:rsidP="00A6654D">
      <w:pPr>
        <w:jc w:val="both"/>
        <w:rPr>
          <w:rFonts w:ascii="Arial" w:hAnsi="Arial" w:cs="Arial"/>
        </w:rPr>
      </w:pPr>
      <w:r w:rsidRPr="005E2D59">
        <w:rPr>
          <w:rFonts w:ascii="Arial" w:hAnsi="Arial" w:cs="Arial"/>
        </w:rPr>
        <w:t xml:space="preserve">Más de cincuenta referentes políticos, intelectuales y organizaciones de la sociedad civil de diversos países se presentaron como </w:t>
      </w:r>
      <w:proofErr w:type="spellStart"/>
      <w:r w:rsidRPr="00487743">
        <w:rPr>
          <w:rFonts w:ascii="Arial" w:hAnsi="Arial" w:cs="Arial"/>
        </w:rPr>
        <w:t>Amicus</w:t>
      </w:r>
      <w:proofErr w:type="spellEnd"/>
      <w:r w:rsidRPr="00487743">
        <w:rPr>
          <w:rFonts w:ascii="Arial" w:hAnsi="Arial" w:cs="Arial"/>
        </w:rPr>
        <w:t xml:space="preserve"> </w:t>
      </w:r>
      <w:proofErr w:type="spellStart"/>
      <w:r w:rsidRPr="00487743">
        <w:rPr>
          <w:rFonts w:ascii="Arial" w:hAnsi="Arial" w:cs="Arial"/>
        </w:rPr>
        <w:t>Curiae</w:t>
      </w:r>
      <w:proofErr w:type="spellEnd"/>
      <w:r w:rsidRPr="005E2D59">
        <w:rPr>
          <w:rFonts w:ascii="Arial" w:hAnsi="Arial" w:cs="Arial"/>
        </w:rPr>
        <w:t xml:space="preserve"> para respaldar la apelación del Habeas Corpus</w:t>
      </w:r>
      <w:r w:rsidR="00487743">
        <w:rPr>
          <w:rFonts w:ascii="Arial" w:hAnsi="Arial" w:cs="Arial"/>
        </w:rPr>
        <w:t xml:space="preserve"> y que no fueron mencionados en la sentencia del 7 de junio. </w:t>
      </w:r>
      <w:r w:rsidRPr="005E2D59">
        <w:rPr>
          <w:rFonts w:ascii="Arial" w:hAnsi="Arial" w:cs="Arial"/>
        </w:rPr>
        <w:t xml:space="preserve">Entre </w:t>
      </w:r>
      <w:r w:rsidR="00487743">
        <w:rPr>
          <w:rFonts w:ascii="Arial" w:hAnsi="Arial" w:cs="Arial"/>
        </w:rPr>
        <w:t>ellos</w:t>
      </w:r>
      <w:r w:rsidRPr="005E2D59">
        <w:rPr>
          <w:rFonts w:ascii="Arial" w:hAnsi="Arial" w:cs="Arial"/>
        </w:rPr>
        <w:t xml:space="preserve"> se encuentran los suscriptos por el expresidente de Colombia, Ernesto Samper; el expresidente de Bolivia, Evo Morales; el Premio Nobel de la Paz, Adolfo Pérez Esquivel; el jurista y ex juez de la Corte Interamericana de Derechos Humanos, Raúl Eugenio Zaffaroni; el coordinador del Grupo de Puebla, Marco Enríquez-Ominami; el ex presidente del Consejo de Seguridad de la ONU, Sacha </w:t>
      </w:r>
      <w:proofErr w:type="spellStart"/>
      <w:r w:rsidRPr="005E2D59">
        <w:rPr>
          <w:rFonts w:ascii="Arial" w:hAnsi="Arial" w:cs="Arial"/>
        </w:rPr>
        <w:t>Llorenti</w:t>
      </w:r>
      <w:proofErr w:type="spellEnd"/>
      <w:r w:rsidRPr="005E2D59">
        <w:rPr>
          <w:rFonts w:ascii="Arial" w:hAnsi="Arial" w:cs="Arial"/>
        </w:rPr>
        <w:t xml:space="preserve">; el ex embajador de Argentina ante la OEA, Carlos </w:t>
      </w:r>
      <w:proofErr w:type="spellStart"/>
      <w:r w:rsidRPr="005E2D59">
        <w:rPr>
          <w:rFonts w:ascii="Arial" w:hAnsi="Arial" w:cs="Arial"/>
        </w:rPr>
        <w:t>Raimundi</w:t>
      </w:r>
      <w:proofErr w:type="spellEnd"/>
      <w:r w:rsidRPr="005E2D59">
        <w:rPr>
          <w:rFonts w:ascii="Arial" w:hAnsi="Arial" w:cs="Arial"/>
        </w:rPr>
        <w:t xml:space="preserve">; el Secretario General de la Asociación internacional de Juristas Democráticos, Jan </w:t>
      </w:r>
      <w:proofErr w:type="spellStart"/>
      <w:r w:rsidRPr="005E2D59">
        <w:rPr>
          <w:rFonts w:ascii="Arial" w:hAnsi="Arial" w:cs="Arial"/>
        </w:rPr>
        <w:t>Fermon</w:t>
      </w:r>
      <w:proofErr w:type="spellEnd"/>
      <w:r w:rsidRPr="005E2D59">
        <w:rPr>
          <w:rFonts w:ascii="Arial" w:hAnsi="Arial" w:cs="Arial"/>
        </w:rPr>
        <w:t xml:space="preserve">; el Legislador en el Congreso </w:t>
      </w:r>
      <w:r w:rsidRPr="005E2D59">
        <w:rPr>
          <w:rFonts w:ascii="Arial" w:hAnsi="Arial" w:cs="Arial"/>
        </w:rPr>
        <w:lastRenderedPageBreak/>
        <w:t xml:space="preserve">de los Diputados de del Estado Español, Enrique Santiago; la ex ministra de las Mujeres, Géneros y Diversidad de Argentina, Elizabeth Gomes Alcorta; el Legislador en el Congreso de los Diputados del Estado Español, Gerardo </w:t>
      </w:r>
      <w:proofErr w:type="spellStart"/>
      <w:r w:rsidRPr="005E2D59">
        <w:rPr>
          <w:rFonts w:ascii="Arial" w:hAnsi="Arial" w:cs="Arial"/>
        </w:rPr>
        <w:t>Pisarello</w:t>
      </w:r>
      <w:proofErr w:type="spellEnd"/>
      <w:r w:rsidRPr="005E2D59">
        <w:rPr>
          <w:rFonts w:ascii="Arial" w:hAnsi="Arial" w:cs="Arial"/>
        </w:rPr>
        <w:t>; la Diputada de la Asamblea Nacional de Venezuela, Tania Diaz; la ex presidenta del Senado de Bolivia, Adriana Salvatierra; y el ex Ministro de la Presidencia de Bolivia, Juan Ramón Quintana.</w:t>
      </w:r>
    </w:p>
    <w:p w14:paraId="478F5FA5" w14:textId="3F9515FA" w:rsidR="00A6654D" w:rsidRPr="005E2D59" w:rsidRDefault="00A6654D" w:rsidP="00A6654D">
      <w:pPr>
        <w:jc w:val="both"/>
        <w:rPr>
          <w:rFonts w:ascii="Arial" w:hAnsi="Arial" w:cs="Arial"/>
        </w:rPr>
      </w:pPr>
      <w:r w:rsidRPr="005E2D59">
        <w:rPr>
          <w:rFonts w:ascii="Arial" w:hAnsi="Arial" w:cs="Arial"/>
        </w:rPr>
        <w:t xml:space="preserve">A la iniciativa también adhirieron representantes del Observatorio </w:t>
      </w:r>
      <w:proofErr w:type="spellStart"/>
      <w:r w:rsidRPr="005E2D59">
        <w:rPr>
          <w:rFonts w:ascii="Arial" w:hAnsi="Arial" w:cs="Arial"/>
        </w:rPr>
        <w:t>Lawfare</w:t>
      </w:r>
      <w:proofErr w:type="spellEnd"/>
      <w:r w:rsidRPr="005E2D59">
        <w:rPr>
          <w:rFonts w:ascii="Arial" w:hAnsi="Arial" w:cs="Arial"/>
        </w:rPr>
        <w:t>, Consejo Latinoamericano de Justicia y Democracia/Grupo de Puebla, Fundación Vivamos Humanos, Asociación internacional de juristas democráticos, Asociación Americana de Juristas, Asociación Argentina de Juristas, Orden de los Abogados de Brasil (OAB), Instituto de Abogados Brasileños, Comisión Chilena de Derechos Humanos, Internacional Progresista, Marcha Mundial de las Mujeres, Instituto Espacio para la Memoria, Servicio de Paz y Justicia, Red de Intelectuales y Artistas en Defensa de la Humanidad en sus capítulos de Argentina, Ecuador y Bélgica. Entre los y las firmantes también se encuentran académicos y académicas de la Universidad Nacional Autónoma de México, Benemérita Universidad Autónoma de Puebla, Universidad Federal de Río de Janeiro, Universidad de La Habana, Universidad de Puerto Rico, Universidad de Buenos Aires, Universidad Nacional de Rosario, Universidad Nacional de La Plata y del Consejo Nacional de Investigaciones Científicas y Técnicas de Argentina.</w:t>
      </w:r>
    </w:p>
    <w:p w14:paraId="66F75233" w14:textId="77777777" w:rsidR="00A6654D" w:rsidRPr="005E2D59" w:rsidRDefault="00A6654D" w:rsidP="00A6654D">
      <w:pPr>
        <w:jc w:val="both"/>
        <w:rPr>
          <w:rFonts w:ascii="Arial" w:hAnsi="Arial" w:cs="Arial"/>
        </w:rPr>
      </w:pPr>
      <w:r w:rsidRPr="005E2D59">
        <w:rPr>
          <w:rFonts w:ascii="Arial" w:hAnsi="Arial" w:cs="Arial"/>
        </w:rPr>
        <w:t>Existe un grave riesgo para su salud e integridad.</w:t>
      </w:r>
      <w:r w:rsidRPr="005E2D59">
        <w:rPr>
          <w:rFonts w:ascii="Arial" w:hAnsi="Arial" w:cs="Arial"/>
          <w:color w:val="000000"/>
          <w:shd w:val="clear" w:color="auto" w:fill="FFFFFF"/>
        </w:rPr>
        <w:t xml:space="preserve"> </w:t>
      </w:r>
      <w:r w:rsidRPr="005E2D59">
        <w:rPr>
          <w:rFonts w:ascii="Arial" w:hAnsi="Arial" w:cs="Arial"/>
        </w:rPr>
        <w:t xml:space="preserve">No existe antecedente en nuestra región de un ataque de esta naturaleza a una embajada para secuestrar a un asilado. Ni las dictaduras militares se atrevieron a perpetrar una agresión de este tipo. </w:t>
      </w:r>
    </w:p>
    <w:p w14:paraId="00000019" w14:textId="28FE01B8" w:rsidR="00F352F4" w:rsidRPr="005E2D59" w:rsidRDefault="00A6654D" w:rsidP="002B360A">
      <w:pPr>
        <w:pBdr>
          <w:top w:val="nil"/>
          <w:left w:val="nil"/>
          <w:bottom w:val="nil"/>
          <w:right w:val="nil"/>
          <w:between w:val="nil"/>
        </w:pBdr>
        <w:spacing w:after="0" w:line="240" w:lineRule="auto"/>
        <w:jc w:val="both"/>
        <w:rPr>
          <w:rFonts w:ascii="Arial" w:hAnsi="Arial" w:cs="Arial"/>
          <w:color w:val="000000"/>
        </w:rPr>
      </w:pPr>
      <w:r w:rsidRPr="005E2D59">
        <w:rPr>
          <w:rFonts w:ascii="Arial" w:hAnsi="Arial" w:cs="Arial"/>
        </w:rPr>
        <w:t>La decisión de la Corte Nacional del Ecuador plantea preocupaciones sobre derechos fundamentales, debido proceso y la inviolabilidad de embajadas, socavando la confianza en el sistema judicial y facilitando abusos de poder.</w:t>
      </w:r>
    </w:p>
    <w:sectPr w:rsidR="00F352F4" w:rsidRPr="005E2D59">
      <w:head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FFB7A" w14:textId="77777777" w:rsidR="002F18A6" w:rsidRDefault="002F18A6" w:rsidP="0046303F">
      <w:pPr>
        <w:spacing w:after="0" w:line="240" w:lineRule="auto"/>
      </w:pPr>
      <w:r>
        <w:separator/>
      </w:r>
    </w:p>
  </w:endnote>
  <w:endnote w:type="continuationSeparator" w:id="0">
    <w:p w14:paraId="722A68A0" w14:textId="77777777" w:rsidR="002F18A6" w:rsidRDefault="002F18A6" w:rsidP="00463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38410BE0-5523-4203-AF9C-D96CF6DDDB1B}"/>
    <w:embedBold r:id="rId2" w:fontKey="{41FA595F-CC3F-4DFB-9A22-4FA0CEAB552B}"/>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3" w:fontKey="{38681550-34F2-414F-9F34-3C9AC68E033F}"/>
  </w:font>
  <w:font w:name="Georgia">
    <w:panose1 w:val="02040502050405020303"/>
    <w:charset w:val="00"/>
    <w:family w:val="roman"/>
    <w:pitch w:val="variable"/>
    <w:sig w:usb0="00000287" w:usb1="00000000" w:usb2="00000000" w:usb3="00000000" w:csb0="0000009F" w:csb1="00000000"/>
    <w:embedRegular r:id="rId4" w:fontKey="{0A574363-1FF4-4C47-AAFB-D3187941F4DB}"/>
    <w:embedItalic r:id="rId5" w:fontKey="{1B97671F-1EDD-45EE-8EA6-7D25CB76097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98CBF0C5-6460-4C67-936C-5F6005846EF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B463F" w14:textId="77777777" w:rsidR="002F18A6" w:rsidRDefault="002F18A6" w:rsidP="0046303F">
      <w:pPr>
        <w:spacing w:after="0" w:line="240" w:lineRule="auto"/>
      </w:pPr>
      <w:r>
        <w:separator/>
      </w:r>
    </w:p>
  </w:footnote>
  <w:footnote w:type="continuationSeparator" w:id="0">
    <w:p w14:paraId="562ED0BE" w14:textId="77777777" w:rsidR="002F18A6" w:rsidRDefault="002F18A6" w:rsidP="00463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F54B" w14:textId="2EBD6C56" w:rsidR="0046303F" w:rsidRDefault="0046303F" w:rsidP="0046303F">
    <w:pPr>
      <w:pStyle w:val="Header"/>
      <w:tabs>
        <w:tab w:val="clear" w:pos="4680"/>
        <w:tab w:val="clear" w:pos="9360"/>
        <w:tab w:val="left" w:pos="1810"/>
      </w:tabs>
    </w:pPr>
    <w:r>
      <w:rPr>
        <w:noProof/>
        <w:lang w:val="es-ES" w:eastAsia="es-ES"/>
      </w:rPr>
      <w:drawing>
        <wp:anchor distT="0" distB="0" distL="114300" distR="114300" simplePos="0" relativeHeight="251658240" behindDoc="0" locked="0" layoutInCell="1" allowOverlap="1" wp14:anchorId="0B5661DC" wp14:editId="5D57757A">
          <wp:simplePos x="0" y="0"/>
          <wp:positionH relativeFrom="column">
            <wp:posOffset>4616450</wp:posOffset>
          </wp:positionH>
          <wp:positionV relativeFrom="paragraph">
            <wp:posOffset>-392430</wp:posOffset>
          </wp:positionV>
          <wp:extent cx="1587500" cy="1588135"/>
          <wp:effectExtent l="0" t="0" r="0" b="0"/>
          <wp:wrapThrough wrapText="bothSides">
            <wp:wrapPolygon edited="0">
              <wp:start x="9331" y="5182"/>
              <wp:lineTo x="4406" y="6996"/>
              <wp:lineTo x="2851" y="7773"/>
              <wp:lineTo x="3370" y="12696"/>
              <wp:lineTo x="4406" y="13991"/>
              <wp:lineTo x="6998" y="14250"/>
              <wp:lineTo x="8813" y="15546"/>
              <wp:lineTo x="9331" y="16064"/>
              <wp:lineTo x="12701" y="16064"/>
              <wp:lineTo x="13478" y="15546"/>
              <wp:lineTo x="14774" y="13991"/>
              <wp:lineTo x="17626" y="13991"/>
              <wp:lineTo x="18922" y="12437"/>
              <wp:lineTo x="19181" y="8550"/>
              <wp:lineTo x="12701" y="5182"/>
              <wp:lineTo x="9331" y="5182"/>
            </wp:wrapPolygon>
          </wp:wrapThrough>
          <wp:docPr id="708332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1588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inline distT="0" distB="0" distL="0" distR="0" wp14:anchorId="4EC0FF81" wp14:editId="5FC7133E">
          <wp:extent cx="1588242" cy="901700"/>
          <wp:effectExtent l="0" t="0" r="0" b="0"/>
          <wp:docPr id="13360051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21638" cy="92066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64754"/>
    <w:multiLevelType w:val="hybridMultilevel"/>
    <w:tmpl w:val="03F079B2"/>
    <w:lvl w:ilvl="0" w:tplc="AA562D8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D1F15FE"/>
    <w:multiLevelType w:val="multilevel"/>
    <w:tmpl w:val="E6EC7B68"/>
    <w:lvl w:ilvl="0">
      <w:start w:val="7"/>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4394DE7"/>
    <w:multiLevelType w:val="hybridMultilevel"/>
    <w:tmpl w:val="675E1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7D0D87"/>
    <w:multiLevelType w:val="hybridMultilevel"/>
    <w:tmpl w:val="4140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2446890">
    <w:abstractNumId w:val="1"/>
  </w:num>
  <w:num w:numId="2" w16cid:durableId="234320487">
    <w:abstractNumId w:val="3"/>
  </w:num>
  <w:num w:numId="3" w16cid:durableId="504051911">
    <w:abstractNumId w:val="0"/>
  </w:num>
  <w:num w:numId="4" w16cid:durableId="415134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2F4"/>
    <w:rsid w:val="00074F3D"/>
    <w:rsid w:val="000A0039"/>
    <w:rsid w:val="000A6BF7"/>
    <w:rsid w:val="000E28ED"/>
    <w:rsid w:val="00162220"/>
    <w:rsid w:val="0017601C"/>
    <w:rsid w:val="00186F02"/>
    <w:rsid w:val="001A0100"/>
    <w:rsid w:val="001A2203"/>
    <w:rsid w:val="001A4BAA"/>
    <w:rsid w:val="001B4C5D"/>
    <w:rsid w:val="001C1570"/>
    <w:rsid w:val="002849EC"/>
    <w:rsid w:val="002B360A"/>
    <w:rsid w:val="002F18A6"/>
    <w:rsid w:val="00365299"/>
    <w:rsid w:val="003B0CB2"/>
    <w:rsid w:val="00421782"/>
    <w:rsid w:val="0046303F"/>
    <w:rsid w:val="00487743"/>
    <w:rsid w:val="0052255F"/>
    <w:rsid w:val="00574447"/>
    <w:rsid w:val="00597C21"/>
    <w:rsid w:val="005E2D59"/>
    <w:rsid w:val="005F5DF7"/>
    <w:rsid w:val="006D1863"/>
    <w:rsid w:val="007127FE"/>
    <w:rsid w:val="007875A0"/>
    <w:rsid w:val="008B40B5"/>
    <w:rsid w:val="009E7D23"/>
    <w:rsid w:val="00A457F7"/>
    <w:rsid w:val="00A6654D"/>
    <w:rsid w:val="00A85544"/>
    <w:rsid w:val="00A85906"/>
    <w:rsid w:val="00B125F4"/>
    <w:rsid w:val="00CD1DBC"/>
    <w:rsid w:val="00D14F02"/>
    <w:rsid w:val="00D42100"/>
    <w:rsid w:val="00D714BB"/>
    <w:rsid w:val="00E1377A"/>
    <w:rsid w:val="00F352F4"/>
    <w:rsid w:val="00F76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4C3F1"/>
  <w15:docId w15:val="{1E5B81C9-3CDD-4BDF-AD81-DE7FDB11D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0A0039"/>
    <w:rPr>
      <w:sz w:val="16"/>
      <w:szCs w:val="16"/>
    </w:rPr>
  </w:style>
  <w:style w:type="paragraph" w:styleId="CommentText">
    <w:name w:val="annotation text"/>
    <w:basedOn w:val="Normal"/>
    <w:link w:val="CommentTextChar"/>
    <w:uiPriority w:val="99"/>
    <w:semiHidden/>
    <w:unhideWhenUsed/>
    <w:rsid w:val="000A0039"/>
    <w:pPr>
      <w:spacing w:line="240" w:lineRule="auto"/>
    </w:pPr>
    <w:rPr>
      <w:sz w:val="20"/>
      <w:szCs w:val="20"/>
    </w:rPr>
  </w:style>
  <w:style w:type="character" w:customStyle="1" w:styleId="CommentTextChar">
    <w:name w:val="Comment Text Char"/>
    <w:basedOn w:val="DefaultParagraphFont"/>
    <w:link w:val="CommentText"/>
    <w:uiPriority w:val="99"/>
    <w:semiHidden/>
    <w:rsid w:val="000A0039"/>
    <w:rPr>
      <w:sz w:val="20"/>
      <w:szCs w:val="20"/>
    </w:rPr>
  </w:style>
  <w:style w:type="paragraph" w:styleId="CommentSubject">
    <w:name w:val="annotation subject"/>
    <w:basedOn w:val="CommentText"/>
    <w:next w:val="CommentText"/>
    <w:link w:val="CommentSubjectChar"/>
    <w:uiPriority w:val="99"/>
    <w:semiHidden/>
    <w:unhideWhenUsed/>
    <w:rsid w:val="000A0039"/>
    <w:rPr>
      <w:b/>
      <w:bCs/>
    </w:rPr>
  </w:style>
  <w:style w:type="character" w:customStyle="1" w:styleId="CommentSubjectChar">
    <w:name w:val="Comment Subject Char"/>
    <w:basedOn w:val="CommentTextChar"/>
    <w:link w:val="CommentSubject"/>
    <w:uiPriority w:val="99"/>
    <w:semiHidden/>
    <w:rsid w:val="000A0039"/>
    <w:rPr>
      <w:b/>
      <w:bCs/>
      <w:sz w:val="20"/>
      <w:szCs w:val="20"/>
    </w:rPr>
  </w:style>
  <w:style w:type="paragraph" w:styleId="ListParagraph">
    <w:name w:val="List Paragraph"/>
    <w:basedOn w:val="Normal"/>
    <w:uiPriority w:val="34"/>
    <w:qFormat/>
    <w:rsid w:val="00365299"/>
    <w:pPr>
      <w:ind w:left="720"/>
      <w:contextualSpacing/>
    </w:pPr>
  </w:style>
  <w:style w:type="paragraph" w:styleId="Header">
    <w:name w:val="header"/>
    <w:basedOn w:val="Normal"/>
    <w:link w:val="HeaderChar"/>
    <w:uiPriority w:val="99"/>
    <w:unhideWhenUsed/>
    <w:rsid w:val="004630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303F"/>
  </w:style>
  <w:style w:type="paragraph" w:styleId="Footer">
    <w:name w:val="footer"/>
    <w:basedOn w:val="Normal"/>
    <w:link w:val="FooterChar"/>
    <w:uiPriority w:val="99"/>
    <w:unhideWhenUsed/>
    <w:rsid w:val="004630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3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2024-06-18T16:13:48+00:00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2024-06-18T16:13:48+00:00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2024-06-18T16:13:48+00:00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VpfEOoEqZaBlrLCYFe9mfsulPA==">CgMxLjA4AGo7CjVzdWdnZXN0SWRJbXBvcnQ0YjZlNzgwNC03Y2MxLTQ5MzQtYWQxNC0zYTMxMDY0NjZhZjNfMRICWW9qOwo1c3VnZ2VzdElkSW1wb3J0NGI2ZTc4MDQtN2NjMS00OTM0LWFkMTQtM2EzMTA2NDY2YWYzXzQSAllvajsKNXN1Z2dlc3RJZEltcG9ydDRiNmU3ODA0LTdjYzEtNDkzNC1hZDE0LTNhMzEwNjQ2NmFmM18yEgJZb2o8CjZzdWdnZXN0SWRJbXBvcnQ0YjZlNzgwNC03Y2MxLTQ5MzQtYWQxNC0zYTMxMDY0NjZhZjNfMTESAllvciExazNGNHlyb0NtbDlhWGw1VHBDclFDQXVHbnZLeTJMRmQ=</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C0950D-5AEC-49CB-B0C9-D25422F2D420}">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2.xml><?xml version="1.0" encoding="utf-8"?>
<ds:datastoreItem xmlns:ds="http://schemas.openxmlformats.org/officeDocument/2006/customXml" ds:itemID="{DDF5418A-918F-4606-90A6-E1ED55DC36EE}">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084A295-805D-4B48-BB79-2C421626A1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765</Words>
  <Characters>4364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Lajtman Bereicôa</dc:creator>
  <cp:lastModifiedBy>Kristina Velcikova</cp:lastModifiedBy>
  <cp:revision>5</cp:revision>
  <dcterms:created xsi:type="dcterms:W3CDTF">2024-06-08T15:40:00Z</dcterms:created>
  <dcterms:modified xsi:type="dcterms:W3CDTF">2024-06-21T08:22:00Z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