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F8CA2" w14:textId="77777777" w:rsidR="003C6197" w:rsidRDefault="003C6197" w:rsidP="003C6197">
      <w:pPr>
        <w:spacing w:after="0" w:line="240" w:lineRule="auto"/>
        <w:jc w:val="center"/>
        <w:rPr>
          <w:rFonts w:ascii="Arial" w:eastAsia="Arial" w:hAnsi="Arial" w:cs="Arial"/>
        </w:rPr>
      </w:pPr>
    </w:p>
    <w:p w14:paraId="66E2FB6A" w14:textId="77777777" w:rsidR="003C6197" w:rsidRDefault="003C6197" w:rsidP="003C6197">
      <w:pPr>
        <w:spacing w:after="0" w:line="240" w:lineRule="auto"/>
        <w:jc w:val="center"/>
        <w:rPr>
          <w:rFonts w:ascii="Arial" w:eastAsia="Arial" w:hAnsi="Arial" w:cs="Arial"/>
        </w:rPr>
      </w:pPr>
    </w:p>
    <w:p w14:paraId="4CC6FA0D" w14:textId="0953B190" w:rsidR="001F3D82" w:rsidRDefault="003C6197" w:rsidP="00C243DB">
      <w:pPr>
        <w:spacing w:after="0" w:line="240" w:lineRule="auto"/>
        <w:jc w:val="center"/>
        <w:rPr>
          <w:rFonts w:ascii="Arial" w:eastAsia="Arial" w:hAnsi="Arial" w:cs="Arial"/>
        </w:rPr>
      </w:pPr>
      <w:r>
        <w:rPr>
          <w:noProof/>
        </w:rPr>
        <w:drawing>
          <wp:inline distT="0" distB="0" distL="0" distR="0" wp14:anchorId="3D3BF129" wp14:editId="43CD1D37">
            <wp:extent cx="3133725" cy="2647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33725" cy="2647950"/>
                    </a:xfrm>
                    <a:prstGeom prst="rect">
                      <a:avLst/>
                    </a:prstGeom>
                    <a:noFill/>
                    <a:ln>
                      <a:noFill/>
                    </a:ln>
                  </pic:spPr>
                </pic:pic>
              </a:graphicData>
            </a:graphic>
          </wp:inline>
        </w:drawing>
      </w:r>
    </w:p>
    <w:p w14:paraId="5623D128" w14:textId="07FFFDAF" w:rsidR="001F3D82" w:rsidRDefault="001F3D82" w:rsidP="003C6197">
      <w:pPr>
        <w:spacing w:after="0" w:line="240" w:lineRule="auto"/>
        <w:jc w:val="center"/>
        <w:rPr>
          <w:rFonts w:ascii="Arial" w:eastAsia="Arial" w:hAnsi="Arial" w:cs="Arial"/>
        </w:rPr>
      </w:pPr>
    </w:p>
    <w:p w14:paraId="02B3D767" w14:textId="77777777" w:rsidR="00C243DB" w:rsidRDefault="00C243DB" w:rsidP="003C6197">
      <w:pPr>
        <w:spacing w:after="0" w:line="240" w:lineRule="auto"/>
        <w:jc w:val="center"/>
        <w:rPr>
          <w:rFonts w:ascii="Arial" w:eastAsia="Arial" w:hAnsi="Arial" w:cs="Arial"/>
        </w:rPr>
      </w:pPr>
    </w:p>
    <w:p w14:paraId="525EC52D" w14:textId="0E853BAA" w:rsidR="003C6197" w:rsidRPr="00C243DB" w:rsidRDefault="00445B87" w:rsidP="00C243DB">
      <w:pPr>
        <w:spacing w:after="0" w:line="240" w:lineRule="auto"/>
        <w:jc w:val="center"/>
        <w:rPr>
          <w:rFonts w:ascii="Times New Roman" w:eastAsia="Times New Roman" w:hAnsi="Times New Roman" w:cs="Times New Roman"/>
          <w:color w:val="auto"/>
          <w:sz w:val="48"/>
          <w:szCs w:val="48"/>
        </w:rPr>
      </w:pPr>
      <w:r w:rsidRPr="001F3D82">
        <w:rPr>
          <w:rFonts w:ascii="Times New Roman" w:eastAsia="Times New Roman" w:hAnsi="Times New Roman" w:cs="Times New Roman"/>
          <w:b/>
          <w:bCs/>
          <w:color w:val="auto"/>
          <w:sz w:val="48"/>
          <w:szCs w:val="48"/>
        </w:rPr>
        <w:t>Guyana</w:t>
      </w:r>
    </w:p>
    <w:p w14:paraId="159AC58B" w14:textId="56E79A4B" w:rsidR="003C6197" w:rsidRDefault="003C6197" w:rsidP="00214F3F">
      <w:pPr>
        <w:spacing w:after="0" w:line="240" w:lineRule="auto"/>
        <w:rPr>
          <w:rFonts w:ascii="Times New Roman" w:eastAsia="Times New Roman" w:hAnsi="Times New Roman" w:cs="Times New Roman"/>
          <w:color w:val="auto"/>
          <w:sz w:val="28"/>
          <w:szCs w:val="28"/>
        </w:rPr>
      </w:pPr>
    </w:p>
    <w:p w14:paraId="0E171514" w14:textId="26904DF9" w:rsidR="001F3D82" w:rsidRDefault="001F3D82" w:rsidP="003C6197">
      <w:pPr>
        <w:spacing w:after="0" w:line="240" w:lineRule="auto"/>
        <w:jc w:val="center"/>
        <w:rPr>
          <w:rFonts w:ascii="Times New Roman" w:eastAsia="Times New Roman" w:hAnsi="Times New Roman" w:cs="Times New Roman"/>
          <w:color w:val="auto"/>
          <w:sz w:val="28"/>
          <w:szCs w:val="28"/>
        </w:rPr>
      </w:pPr>
    </w:p>
    <w:p w14:paraId="090C1BA8" w14:textId="77777777" w:rsidR="001F3D82" w:rsidRPr="00214F3F" w:rsidRDefault="001F3D82" w:rsidP="003C6197">
      <w:pPr>
        <w:spacing w:after="0" w:line="240" w:lineRule="auto"/>
        <w:jc w:val="center"/>
        <w:rPr>
          <w:rFonts w:ascii="Times New Roman" w:eastAsia="Times New Roman" w:hAnsi="Times New Roman" w:cs="Times New Roman"/>
          <w:color w:val="auto"/>
          <w:sz w:val="28"/>
          <w:szCs w:val="28"/>
        </w:rPr>
      </w:pPr>
    </w:p>
    <w:p w14:paraId="536E78D3" w14:textId="77777777" w:rsidR="00EB050E" w:rsidRDefault="00EB050E" w:rsidP="00EB050E">
      <w:pPr>
        <w:jc w:val="center"/>
        <w:rPr>
          <w:rFonts w:ascii="Times New Roman" w:eastAsia="Times New Roman" w:hAnsi="Times New Roman" w:cs="Times New Roman"/>
          <w:color w:val="auto"/>
          <w:sz w:val="28"/>
          <w:szCs w:val="28"/>
        </w:rPr>
      </w:pPr>
      <w:r w:rsidRPr="00D0225B">
        <w:rPr>
          <w:rFonts w:ascii="Times New Roman" w:eastAsia="Times New Roman" w:hAnsi="Times New Roman" w:cs="Times New Roman"/>
          <w:color w:val="auto"/>
          <w:sz w:val="28"/>
          <w:szCs w:val="28"/>
        </w:rPr>
        <w:t xml:space="preserve">NGO Submission to the U.N Committee on the Elimination of </w:t>
      </w:r>
      <w:r>
        <w:rPr>
          <w:rFonts w:ascii="Times New Roman" w:eastAsia="Times New Roman" w:hAnsi="Times New Roman" w:cs="Times New Roman"/>
          <w:color w:val="auto"/>
          <w:sz w:val="28"/>
          <w:szCs w:val="28"/>
        </w:rPr>
        <w:t xml:space="preserve">All Forms of </w:t>
      </w:r>
      <w:r w:rsidRPr="00D0225B">
        <w:rPr>
          <w:rFonts w:ascii="Times New Roman" w:eastAsia="Times New Roman" w:hAnsi="Times New Roman" w:cs="Times New Roman"/>
          <w:color w:val="auto"/>
          <w:sz w:val="28"/>
          <w:szCs w:val="28"/>
        </w:rPr>
        <w:t>Discrimination Against Women Session 73</w:t>
      </w:r>
    </w:p>
    <w:p w14:paraId="2FB97482" w14:textId="026A53B1" w:rsidR="001F3D82" w:rsidRPr="00214F3F" w:rsidRDefault="001F3D82" w:rsidP="001F3D82">
      <w:pPr>
        <w:jc w:val="center"/>
        <w:rPr>
          <w:rFonts w:ascii="Times New Roman" w:eastAsia="Times New Roman" w:hAnsi="Times New Roman" w:cs="Times New Roman"/>
          <w:color w:val="auto"/>
          <w:sz w:val="28"/>
          <w:szCs w:val="28"/>
        </w:rPr>
      </w:pPr>
      <w:r w:rsidRPr="00214F3F">
        <w:rPr>
          <w:rFonts w:ascii="Times New Roman" w:eastAsia="Times New Roman" w:hAnsi="Times New Roman" w:cs="Times New Roman"/>
          <w:color w:val="auto"/>
          <w:sz w:val="28"/>
          <w:szCs w:val="28"/>
        </w:rPr>
        <w:t>Concluding Observations</w:t>
      </w:r>
    </w:p>
    <w:p w14:paraId="079738DD" w14:textId="243A7940" w:rsidR="00B8605E" w:rsidRPr="00214F3F" w:rsidRDefault="00214F3F" w:rsidP="00B8605E">
      <w:pPr>
        <w:jc w:val="center"/>
        <w:rPr>
          <w:rFonts w:ascii="Times New Roman" w:eastAsia="Times New Roman" w:hAnsi="Times New Roman" w:cs="Times New Roman"/>
          <w:color w:val="auto"/>
          <w:sz w:val="28"/>
          <w:szCs w:val="28"/>
        </w:rPr>
      </w:pPr>
      <w:r w:rsidRPr="00214F3F">
        <w:rPr>
          <w:rFonts w:ascii="Times New Roman" w:eastAsia="Times New Roman" w:hAnsi="Times New Roman" w:cs="Times New Roman"/>
          <w:color w:val="auto"/>
          <w:sz w:val="28"/>
          <w:szCs w:val="28"/>
        </w:rPr>
        <w:t>July 2019</w:t>
      </w:r>
    </w:p>
    <w:p w14:paraId="7E63005E" w14:textId="77777777" w:rsidR="00321F8A" w:rsidRPr="00214F3F" w:rsidRDefault="00321F8A" w:rsidP="00321F8A"/>
    <w:p w14:paraId="41155754" w14:textId="6A568586" w:rsidR="0095382E" w:rsidRPr="00214F3F" w:rsidRDefault="00214F3F" w:rsidP="00214F3F">
      <w:pPr>
        <w:jc w:val="center"/>
        <w:rPr>
          <w:rFonts w:asciiTheme="majorBidi" w:hAnsiTheme="majorBidi" w:cstheme="majorBidi"/>
          <w:color w:val="auto"/>
          <w:sz w:val="24"/>
          <w:szCs w:val="24"/>
        </w:rPr>
      </w:pPr>
      <w:r w:rsidRPr="00214F3F">
        <w:rPr>
          <w:rFonts w:asciiTheme="majorBidi" w:hAnsiTheme="majorBidi" w:cstheme="majorBidi"/>
          <w:color w:val="auto"/>
          <w:sz w:val="24"/>
          <w:szCs w:val="24"/>
        </w:rPr>
        <w:t>The Carter Center</w:t>
      </w:r>
    </w:p>
    <w:p w14:paraId="144D4D89" w14:textId="2292AD85" w:rsidR="00214F3F" w:rsidRPr="00214F3F" w:rsidRDefault="00214F3F" w:rsidP="00214F3F">
      <w:pPr>
        <w:jc w:val="center"/>
        <w:rPr>
          <w:rFonts w:asciiTheme="majorBidi" w:hAnsiTheme="majorBidi" w:cstheme="majorBidi"/>
          <w:color w:val="auto"/>
          <w:sz w:val="24"/>
          <w:szCs w:val="24"/>
        </w:rPr>
      </w:pPr>
      <w:r w:rsidRPr="00214F3F">
        <w:rPr>
          <w:rFonts w:asciiTheme="majorBidi" w:hAnsiTheme="majorBidi" w:cstheme="majorBidi"/>
          <w:color w:val="auto"/>
          <w:sz w:val="24"/>
          <w:szCs w:val="24"/>
        </w:rPr>
        <w:t>June 2019</w:t>
      </w:r>
    </w:p>
    <w:p w14:paraId="0A51CB5C" w14:textId="77777777" w:rsidR="00C243DB" w:rsidRDefault="00C243DB" w:rsidP="00C243DB">
      <w:pPr>
        <w:rPr>
          <w:rFonts w:asciiTheme="majorBidi" w:hAnsiTheme="majorBidi" w:cstheme="majorBidi"/>
          <w:color w:val="auto"/>
          <w:sz w:val="22"/>
          <w:szCs w:val="22"/>
        </w:rPr>
      </w:pPr>
    </w:p>
    <w:p w14:paraId="5222F130" w14:textId="77777777" w:rsidR="00C243DB" w:rsidRDefault="00C243DB" w:rsidP="00C243DB">
      <w:pPr>
        <w:rPr>
          <w:rFonts w:asciiTheme="majorBidi" w:hAnsiTheme="majorBidi" w:cstheme="majorBidi"/>
          <w:color w:val="auto"/>
          <w:sz w:val="22"/>
          <w:szCs w:val="22"/>
        </w:rPr>
      </w:pPr>
    </w:p>
    <w:p w14:paraId="01C57FD5" w14:textId="77777777" w:rsidR="00C243DB" w:rsidRDefault="00C243DB" w:rsidP="00C243DB">
      <w:pPr>
        <w:rPr>
          <w:rFonts w:asciiTheme="majorBidi" w:hAnsiTheme="majorBidi" w:cstheme="majorBidi"/>
          <w:color w:val="auto"/>
          <w:sz w:val="22"/>
          <w:szCs w:val="22"/>
        </w:rPr>
      </w:pPr>
    </w:p>
    <w:p w14:paraId="0F0F3033" w14:textId="77777777" w:rsidR="00C243DB" w:rsidRDefault="00C243DB" w:rsidP="00C243DB">
      <w:pPr>
        <w:rPr>
          <w:rFonts w:asciiTheme="majorBidi" w:hAnsiTheme="majorBidi" w:cstheme="majorBidi"/>
          <w:color w:val="auto"/>
          <w:sz w:val="22"/>
          <w:szCs w:val="22"/>
        </w:rPr>
      </w:pPr>
    </w:p>
    <w:p w14:paraId="51676E51" w14:textId="77777777" w:rsidR="00C243DB" w:rsidRDefault="00C243DB" w:rsidP="00C243DB">
      <w:pPr>
        <w:rPr>
          <w:rFonts w:asciiTheme="majorBidi" w:hAnsiTheme="majorBidi" w:cstheme="majorBidi"/>
          <w:color w:val="auto"/>
          <w:sz w:val="22"/>
          <w:szCs w:val="22"/>
        </w:rPr>
      </w:pPr>
    </w:p>
    <w:p w14:paraId="572B2E19" w14:textId="340C3BA7" w:rsidR="001F3D82" w:rsidRPr="00371DF6" w:rsidRDefault="00C243DB" w:rsidP="00371DF6">
      <w:pPr>
        <w:jc w:val="center"/>
        <w:rPr>
          <w:rFonts w:asciiTheme="majorBidi" w:hAnsiTheme="majorBidi" w:cstheme="majorBidi"/>
          <w:color w:val="auto"/>
          <w:sz w:val="22"/>
          <w:szCs w:val="22"/>
        </w:rPr>
      </w:pPr>
      <w:r w:rsidRPr="00C243DB">
        <w:rPr>
          <w:rFonts w:asciiTheme="majorBidi" w:hAnsiTheme="majorBidi" w:cstheme="majorBidi"/>
          <w:color w:val="auto"/>
          <w:sz w:val="22"/>
          <w:szCs w:val="22"/>
        </w:rPr>
        <w:t xml:space="preserve">This submission summarizes the findings of The Carter Center’s election observation mission to the </w:t>
      </w:r>
      <w:r>
        <w:rPr>
          <w:rFonts w:asciiTheme="majorBidi" w:hAnsiTheme="majorBidi" w:cstheme="majorBidi"/>
          <w:color w:val="auto"/>
          <w:sz w:val="22"/>
          <w:szCs w:val="22"/>
        </w:rPr>
        <w:t>2015</w:t>
      </w:r>
      <w:r w:rsidRPr="00C243DB">
        <w:rPr>
          <w:rFonts w:asciiTheme="majorBidi" w:hAnsiTheme="majorBidi" w:cstheme="majorBidi"/>
          <w:color w:val="auto"/>
          <w:sz w:val="22"/>
          <w:szCs w:val="22"/>
        </w:rPr>
        <w:t xml:space="preserve"> elections in </w:t>
      </w:r>
      <w:r>
        <w:rPr>
          <w:rFonts w:asciiTheme="majorBidi" w:hAnsiTheme="majorBidi" w:cstheme="majorBidi"/>
          <w:color w:val="auto"/>
          <w:sz w:val="22"/>
          <w:szCs w:val="22"/>
        </w:rPr>
        <w:t>Guyana.</w:t>
      </w:r>
      <w:r w:rsidRPr="00C243DB">
        <w:rPr>
          <w:rFonts w:asciiTheme="majorBidi" w:hAnsiTheme="majorBidi" w:cstheme="majorBidi"/>
          <w:color w:val="auto"/>
          <w:sz w:val="22"/>
          <w:szCs w:val="22"/>
        </w:rPr>
        <w:t xml:space="preserve"> It is submitted for inclusion in the review of </w:t>
      </w:r>
      <w:r>
        <w:rPr>
          <w:rFonts w:asciiTheme="majorBidi" w:hAnsiTheme="majorBidi" w:cstheme="majorBidi"/>
          <w:color w:val="auto"/>
          <w:sz w:val="22"/>
          <w:szCs w:val="22"/>
        </w:rPr>
        <w:t>Guyana’</w:t>
      </w:r>
      <w:bookmarkStart w:id="0" w:name="_GoBack"/>
      <w:bookmarkEnd w:id="0"/>
      <w:r>
        <w:rPr>
          <w:rFonts w:asciiTheme="majorBidi" w:hAnsiTheme="majorBidi" w:cstheme="majorBidi"/>
          <w:color w:val="auto"/>
          <w:sz w:val="22"/>
          <w:szCs w:val="22"/>
        </w:rPr>
        <w:t>s</w:t>
      </w:r>
      <w:r w:rsidRPr="00C243DB">
        <w:rPr>
          <w:rFonts w:asciiTheme="majorBidi" w:hAnsiTheme="majorBidi" w:cstheme="majorBidi"/>
          <w:color w:val="auto"/>
          <w:sz w:val="22"/>
          <w:szCs w:val="22"/>
        </w:rPr>
        <w:t xml:space="preserve"> state report by the UN </w:t>
      </w:r>
      <w:r>
        <w:rPr>
          <w:rFonts w:asciiTheme="majorBidi" w:hAnsiTheme="majorBidi" w:cstheme="majorBidi"/>
          <w:color w:val="auto"/>
          <w:sz w:val="22"/>
          <w:szCs w:val="22"/>
        </w:rPr>
        <w:t>CEDAW Committee.</w:t>
      </w:r>
    </w:p>
    <w:p w14:paraId="4D094FB8" w14:textId="77777777" w:rsidR="0095382E" w:rsidRPr="009A4336" w:rsidRDefault="0095382E" w:rsidP="00371DF6">
      <w:pPr>
        <w:spacing w:before="240" w:after="0" w:line="240" w:lineRule="auto"/>
        <w:rPr>
          <w:rFonts w:ascii="Times New Roman" w:hAnsi="Times New Roman" w:cs="Times New Roman"/>
          <w:color w:val="auto"/>
          <w:sz w:val="28"/>
          <w:szCs w:val="28"/>
          <w:u w:val="single"/>
        </w:rPr>
      </w:pPr>
      <w:r w:rsidRPr="009A4336">
        <w:rPr>
          <w:rFonts w:ascii="Times New Roman" w:hAnsi="Times New Roman" w:cs="Times New Roman"/>
          <w:color w:val="auto"/>
          <w:sz w:val="28"/>
          <w:szCs w:val="28"/>
          <w:u w:val="single"/>
        </w:rPr>
        <w:lastRenderedPageBreak/>
        <w:t xml:space="preserve">Reporting Organization  </w:t>
      </w:r>
    </w:p>
    <w:p w14:paraId="374AFEA5" w14:textId="36B80B0D" w:rsidR="0095382E" w:rsidRPr="009A4336" w:rsidRDefault="009B34BE" w:rsidP="00371DF6">
      <w:pPr>
        <w:spacing w:before="240"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 xml:space="preserve">1 - </w:t>
      </w:r>
      <w:r w:rsidR="0095382E" w:rsidRPr="009A4336">
        <w:rPr>
          <w:rFonts w:ascii="Times New Roman" w:hAnsi="Times New Roman" w:cs="Times New Roman"/>
          <w:color w:val="auto"/>
          <w:sz w:val="24"/>
          <w:szCs w:val="24"/>
        </w:rPr>
        <w:t xml:space="preserve">A not-for-profit, nongovernmental organization, The Carter Center has helped to improve life for people in more than 80 countries by resolving conflicts; advancing democracy, human rights, and economic opportunity; preventing diseases; and improving mental health care. The Carter Center was founded in 1982 by former U.S. President Jimmy Carter and former First Lady Rosalynn Carter, in partnership with Emory University, to advance peace and health worldwide.  </w:t>
      </w:r>
    </w:p>
    <w:p w14:paraId="6E348154" w14:textId="77777777" w:rsidR="00965B50" w:rsidRDefault="00965B50" w:rsidP="00371DF6">
      <w:pPr>
        <w:spacing w:after="0" w:line="240" w:lineRule="auto"/>
        <w:jc w:val="both"/>
        <w:rPr>
          <w:rFonts w:ascii="Times New Roman" w:hAnsi="Times New Roman" w:cs="Times New Roman"/>
          <w:color w:val="auto"/>
          <w:sz w:val="24"/>
          <w:szCs w:val="24"/>
        </w:rPr>
      </w:pPr>
    </w:p>
    <w:p w14:paraId="707D04AC" w14:textId="456FD468" w:rsidR="00177980" w:rsidRPr="009A4336" w:rsidRDefault="009B34BE" w:rsidP="00371DF6">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 xml:space="preserve">2 - </w:t>
      </w:r>
      <w:r w:rsidR="0095382E" w:rsidRPr="009A4336">
        <w:rPr>
          <w:rFonts w:ascii="Times New Roman" w:hAnsi="Times New Roman" w:cs="Times New Roman"/>
          <w:color w:val="auto"/>
          <w:sz w:val="24"/>
          <w:szCs w:val="24"/>
        </w:rPr>
        <w:t>The Carter Center’s Democracy Program works globally to promote democratic elections and governance consistent with human rights. The Center has monitored 107 elections in 39 countries since 1989, forging many of the techniques now common in the field. The Democracy Program’s Democratic Election Standards (DES) has developed practical tools, including the Election Obligations and Standards (EOS) database and Assessment Manual which make available common criteria for assessing elections based on public international law</w:t>
      </w:r>
      <w:r w:rsidR="00842781" w:rsidRPr="009A4336">
        <w:rPr>
          <w:rFonts w:ascii="Times New Roman" w:hAnsi="Times New Roman" w:cs="Times New Roman"/>
          <w:color w:val="auto"/>
          <w:sz w:val="24"/>
          <w:szCs w:val="24"/>
        </w:rPr>
        <w:t>.</w:t>
      </w:r>
    </w:p>
    <w:p w14:paraId="51BAA57A" w14:textId="77777777" w:rsidR="0095382E" w:rsidRPr="009A4336" w:rsidRDefault="0095382E" w:rsidP="00371DF6">
      <w:pPr>
        <w:spacing w:after="0" w:line="240" w:lineRule="auto"/>
        <w:jc w:val="both"/>
        <w:rPr>
          <w:rFonts w:ascii="Times New Roman" w:eastAsia="Times New Roman" w:hAnsi="Times New Roman" w:cs="Times New Roman"/>
          <w:b/>
          <w:bCs/>
          <w:i/>
          <w:iCs/>
          <w:color w:val="auto"/>
          <w:sz w:val="24"/>
          <w:szCs w:val="24"/>
        </w:rPr>
      </w:pPr>
    </w:p>
    <w:p w14:paraId="64298757" w14:textId="4243F4A8" w:rsidR="004A338C" w:rsidRPr="009A4336" w:rsidRDefault="009B34BE" w:rsidP="00371DF6">
      <w:pPr>
        <w:spacing w:after="0" w:line="240" w:lineRule="auto"/>
        <w:jc w:val="both"/>
        <w:rPr>
          <w:rFonts w:ascii="Times New Roman" w:eastAsia="Times New Roman" w:hAnsi="Times New Roman" w:cs="Times New Roman"/>
          <w:color w:val="auto"/>
          <w:sz w:val="24"/>
          <w:szCs w:val="24"/>
        </w:rPr>
      </w:pPr>
      <w:r w:rsidRPr="009A4336">
        <w:rPr>
          <w:rFonts w:ascii="Times New Roman" w:eastAsia="Times New Roman" w:hAnsi="Times New Roman" w:cs="Times New Roman"/>
          <w:color w:val="auto"/>
          <w:sz w:val="24"/>
          <w:szCs w:val="24"/>
        </w:rPr>
        <w:t xml:space="preserve">3 - </w:t>
      </w:r>
      <w:r w:rsidR="004A338C" w:rsidRPr="009A4336">
        <w:rPr>
          <w:rFonts w:ascii="Times New Roman" w:eastAsia="Times New Roman" w:hAnsi="Times New Roman" w:cs="Times New Roman"/>
          <w:b/>
          <w:bCs/>
          <w:i/>
          <w:iCs/>
          <w:color w:val="auto"/>
          <w:sz w:val="24"/>
          <w:szCs w:val="24"/>
        </w:rPr>
        <w:t xml:space="preserve">The Carter Center in </w:t>
      </w:r>
      <w:r w:rsidR="008479AD">
        <w:rPr>
          <w:rFonts w:ascii="Times New Roman" w:eastAsia="Times New Roman" w:hAnsi="Times New Roman" w:cs="Times New Roman"/>
          <w:b/>
          <w:bCs/>
          <w:i/>
          <w:iCs/>
          <w:color w:val="auto"/>
          <w:sz w:val="24"/>
          <w:szCs w:val="24"/>
        </w:rPr>
        <w:t>Guyana</w:t>
      </w:r>
      <w:r w:rsidR="004A338C" w:rsidRPr="009A4336">
        <w:rPr>
          <w:rFonts w:ascii="Times New Roman" w:eastAsia="Times New Roman" w:hAnsi="Times New Roman" w:cs="Times New Roman"/>
          <w:b/>
          <w:bCs/>
          <w:color w:val="auto"/>
          <w:sz w:val="24"/>
          <w:szCs w:val="24"/>
        </w:rPr>
        <w:t>:</w:t>
      </w:r>
      <w:r w:rsidR="004A338C" w:rsidRPr="009A4336">
        <w:rPr>
          <w:rFonts w:ascii="Times New Roman" w:eastAsia="Times New Roman" w:hAnsi="Times New Roman" w:cs="Times New Roman"/>
          <w:color w:val="auto"/>
          <w:sz w:val="24"/>
          <w:szCs w:val="24"/>
        </w:rPr>
        <w:t xml:space="preserve"> The Carter Center’s first involvement in Guyana came at the invitation of President Desmond Hoyte in 1990, who invited President Carter to Guyana to discuss whether the </w:t>
      </w:r>
      <w:r w:rsidR="00B40991" w:rsidRPr="009A4336">
        <w:rPr>
          <w:rFonts w:ascii="Times New Roman" w:eastAsia="Times New Roman" w:hAnsi="Times New Roman" w:cs="Times New Roman"/>
          <w:color w:val="auto"/>
          <w:sz w:val="24"/>
          <w:szCs w:val="24"/>
        </w:rPr>
        <w:t xml:space="preserve">Carter </w:t>
      </w:r>
      <w:r w:rsidR="004A338C" w:rsidRPr="009A4336">
        <w:rPr>
          <w:rFonts w:ascii="Times New Roman" w:eastAsia="Times New Roman" w:hAnsi="Times New Roman" w:cs="Times New Roman"/>
          <w:color w:val="auto"/>
          <w:sz w:val="24"/>
          <w:szCs w:val="24"/>
        </w:rPr>
        <w:t xml:space="preserve">Center would consider observing the upcoming elections. Since that visit, which led two years later to the victory of the PPP/C party at the first elections in 28 years accepted by all of Guyana’s political parties, the Center has maintained an abiding interest in Guyana’s democratic development. The report from the 1992 elections can be found </w:t>
      </w:r>
      <w:hyperlink r:id="rId7">
        <w:r w:rsidR="004A338C" w:rsidRPr="009A4336">
          <w:rPr>
            <w:rStyle w:val="Hyperlink"/>
            <w:rFonts w:ascii="Times New Roman" w:eastAsia="Times New Roman" w:hAnsi="Times New Roman" w:cs="Times New Roman"/>
            <w:color w:val="0070C0"/>
            <w:sz w:val="24"/>
            <w:szCs w:val="24"/>
          </w:rPr>
          <w:t>here</w:t>
        </w:r>
      </w:hyperlink>
      <w:r w:rsidR="004A338C" w:rsidRPr="009A4336">
        <w:rPr>
          <w:rFonts w:ascii="Times New Roman" w:eastAsia="Times New Roman" w:hAnsi="Times New Roman" w:cs="Times New Roman"/>
          <w:color w:val="auto"/>
          <w:sz w:val="24"/>
          <w:szCs w:val="24"/>
        </w:rPr>
        <w:t>.</w:t>
      </w:r>
    </w:p>
    <w:p w14:paraId="283A035B" w14:textId="77777777" w:rsidR="004A338C" w:rsidRPr="009A4336" w:rsidRDefault="004A338C" w:rsidP="00371DF6">
      <w:pPr>
        <w:spacing w:after="0" w:line="240" w:lineRule="auto"/>
        <w:jc w:val="both"/>
        <w:rPr>
          <w:rFonts w:ascii="Times New Roman" w:eastAsia="Times New Roman" w:hAnsi="Times New Roman" w:cs="Times New Roman"/>
          <w:color w:val="auto"/>
          <w:sz w:val="24"/>
          <w:szCs w:val="24"/>
        </w:rPr>
      </w:pPr>
    </w:p>
    <w:p w14:paraId="549F7002" w14:textId="581AF4CC" w:rsidR="004A338C" w:rsidRPr="009A4336" w:rsidRDefault="00EB21DF" w:rsidP="00371DF6">
      <w:pPr>
        <w:spacing w:after="0" w:line="240" w:lineRule="auto"/>
        <w:jc w:val="both"/>
        <w:rPr>
          <w:rFonts w:ascii="Times New Roman" w:eastAsia="Times New Roman" w:hAnsi="Times New Roman" w:cs="Times New Roman"/>
          <w:color w:val="auto"/>
          <w:sz w:val="24"/>
          <w:szCs w:val="24"/>
        </w:rPr>
      </w:pPr>
      <w:r w:rsidRPr="009A4336">
        <w:rPr>
          <w:rFonts w:ascii="Times New Roman" w:eastAsia="Times New Roman" w:hAnsi="Times New Roman" w:cs="Times New Roman"/>
          <w:color w:val="auto"/>
          <w:sz w:val="24"/>
          <w:szCs w:val="24"/>
        </w:rPr>
        <w:t xml:space="preserve">4 - </w:t>
      </w:r>
      <w:r w:rsidR="004A338C" w:rsidRPr="009A4336">
        <w:rPr>
          <w:rFonts w:ascii="Times New Roman" w:eastAsia="Times New Roman" w:hAnsi="Times New Roman" w:cs="Times New Roman"/>
          <w:color w:val="auto"/>
          <w:sz w:val="24"/>
          <w:szCs w:val="24"/>
        </w:rPr>
        <w:t xml:space="preserve">Following the 1992 elections, The Carter Center worked for a decade to help strengthen democracy and promote economic development. Between 1994 and 2004, the Center supported the development of a comprehensive, long-term National Development Strategy; supported reforms strengthening the judiciary; worked to enhance civil society’s capacity to influence public policy; and assisted civil society’s mediation and conciliation efforts during the “crime wave” of 2002–2004, among other initiatives. In addition, the Center observed elections in 2001 and in 2006. The reports from the elections can be found </w:t>
      </w:r>
      <w:hyperlink r:id="rId8">
        <w:r w:rsidR="004A338C" w:rsidRPr="009A4336">
          <w:rPr>
            <w:rStyle w:val="Hyperlink"/>
            <w:rFonts w:ascii="Times New Roman" w:eastAsia="Times New Roman" w:hAnsi="Times New Roman" w:cs="Times New Roman"/>
            <w:color w:val="0070C0"/>
            <w:sz w:val="24"/>
            <w:szCs w:val="24"/>
          </w:rPr>
          <w:t>here</w:t>
        </w:r>
      </w:hyperlink>
      <w:r w:rsidR="004A338C" w:rsidRPr="009A4336">
        <w:rPr>
          <w:rFonts w:ascii="Times New Roman" w:eastAsia="Times New Roman" w:hAnsi="Times New Roman" w:cs="Times New Roman"/>
          <w:color w:val="auto"/>
          <w:sz w:val="24"/>
          <w:szCs w:val="24"/>
        </w:rPr>
        <w:t xml:space="preserve"> and </w:t>
      </w:r>
      <w:hyperlink r:id="rId9">
        <w:r w:rsidR="004A338C" w:rsidRPr="009A4336">
          <w:rPr>
            <w:rStyle w:val="Hyperlink"/>
            <w:rFonts w:ascii="Times New Roman" w:eastAsia="Times New Roman" w:hAnsi="Times New Roman" w:cs="Times New Roman"/>
            <w:color w:val="0070C0"/>
            <w:sz w:val="24"/>
            <w:szCs w:val="24"/>
          </w:rPr>
          <w:t>here</w:t>
        </w:r>
      </w:hyperlink>
      <w:r w:rsidR="004A338C" w:rsidRPr="009A4336">
        <w:rPr>
          <w:rFonts w:ascii="Times New Roman" w:eastAsia="Times New Roman" w:hAnsi="Times New Roman" w:cs="Times New Roman"/>
          <w:color w:val="auto"/>
          <w:sz w:val="24"/>
          <w:szCs w:val="24"/>
        </w:rPr>
        <w:t xml:space="preserve"> respectively.</w:t>
      </w:r>
    </w:p>
    <w:p w14:paraId="0398CE2D" w14:textId="77777777" w:rsidR="004A338C" w:rsidRPr="009A4336" w:rsidRDefault="004A338C" w:rsidP="00371DF6">
      <w:pPr>
        <w:spacing w:after="0" w:line="240" w:lineRule="auto"/>
        <w:jc w:val="both"/>
        <w:rPr>
          <w:rFonts w:ascii="Times New Roman" w:eastAsia="Times New Roman" w:hAnsi="Times New Roman" w:cs="Times New Roman"/>
          <w:color w:val="auto"/>
          <w:sz w:val="24"/>
          <w:szCs w:val="24"/>
        </w:rPr>
      </w:pPr>
    </w:p>
    <w:p w14:paraId="034AB5B5" w14:textId="69862F1E" w:rsidR="004A338C" w:rsidRDefault="00EB21DF" w:rsidP="00371DF6">
      <w:pPr>
        <w:spacing w:after="0" w:line="240" w:lineRule="auto"/>
        <w:jc w:val="both"/>
        <w:rPr>
          <w:rFonts w:ascii="Times New Roman" w:eastAsia="Times New Roman" w:hAnsi="Times New Roman" w:cs="Times New Roman"/>
          <w:color w:val="auto"/>
          <w:sz w:val="24"/>
          <w:szCs w:val="24"/>
        </w:rPr>
      </w:pPr>
      <w:r w:rsidRPr="009A4336">
        <w:rPr>
          <w:rFonts w:ascii="Times New Roman" w:eastAsia="Times New Roman" w:hAnsi="Times New Roman" w:cs="Times New Roman"/>
          <w:color w:val="auto"/>
          <w:sz w:val="24"/>
          <w:szCs w:val="24"/>
        </w:rPr>
        <w:t xml:space="preserve">5 - </w:t>
      </w:r>
      <w:r w:rsidR="004A338C" w:rsidRPr="009A4336">
        <w:rPr>
          <w:rFonts w:ascii="Times New Roman" w:eastAsia="Times New Roman" w:hAnsi="Times New Roman" w:cs="Times New Roman"/>
          <w:color w:val="auto"/>
          <w:sz w:val="24"/>
          <w:szCs w:val="24"/>
        </w:rPr>
        <w:t xml:space="preserve">President Carter visited the country in 2004, and following extensive consultations with government officials, political parties, and a wide cross-section of civil society, called for fundamental changes in Guyana’s winner-take-all system of governance. The government of Guyana wrote to The Carter Center on Dec. 4, 2014, apprising it of recent political developments and encouraging the Center to consider an observation mission. The mission was conducted, and the final report can be found </w:t>
      </w:r>
      <w:hyperlink r:id="rId10">
        <w:r w:rsidR="004A338C" w:rsidRPr="009A4336">
          <w:rPr>
            <w:rStyle w:val="Hyperlink"/>
            <w:rFonts w:ascii="Times New Roman" w:eastAsia="Times New Roman" w:hAnsi="Times New Roman" w:cs="Times New Roman"/>
            <w:color w:val="0070C0"/>
            <w:sz w:val="24"/>
            <w:szCs w:val="24"/>
          </w:rPr>
          <w:t>here</w:t>
        </w:r>
      </w:hyperlink>
      <w:r w:rsidR="004A338C" w:rsidRPr="009A4336">
        <w:rPr>
          <w:rFonts w:ascii="Times New Roman" w:eastAsia="Times New Roman" w:hAnsi="Times New Roman" w:cs="Times New Roman"/>
          <w:color w:val="auto"/>
          <w:sz w:val="24"/>
          <w:szCs w:val="24"/>
        </w:rPr>
        <w:t>.</w:t>
      </w:r>
    </w:p>
    <w:p w14:paraId="18585586" w14:textId="77777777" w:rsidR="0064791F" w:rsidRPr="009A4336" w:rsidRDefault="0064791F" w:rsidP="009A4336">
      <w:pPr>
        <w:spacing w:after="0" w:line="240" w:lineRule="auto"/>
        <w:rPr>
          <w:rFonts w:ascii="Times New Roman" w:eastAsia="Times New Roman" w:hAnsi="Times New Roman" w:cs="Times New Roman"/>
          <w:color w:val="auto"/>
          <w:sz w:val="24"/>
          <w:szCs w:val="24"/>
        </w:rPr>
      </w:pPr>
    </w:p>
    <w:p w14:paraId="07A537F4" w14:textId="77777777" w:rsidR="002A10BA" w:rsidRPr="009A4336" w:rsidRDefault="002A10BA" w:rsidP="00371DF6">
      <w:pPr>
        <w:spacing w:before="240" w:after="0" w:line="240" w:lineRule="auto"/>
        <w:rPr>
          <w:rFonts w:ascii="Times New Roman" w:eastAsia="Times New Roman" w:hAnsi="Times New Roman" w:cs="Times New Roman"/>
          <w:b/>
          <w:bCs/>
          <w:sz w:val="28"/>
          <w:szCs w:val="28"/>
        </w:rPr>
      </w:pPr>
      <w:r w:rsidRPr="009A4336">
        <w:rPr>
          <w:rFonts w:ascii="Times New Roman" w:hAnsi="Times New Roman" w:cs="Times New Roman"/>
          <w:color w:val="auto"/>
          <w:sz w:val="28"/>
          <w:szCs w:val="28"/>
          <w:u w:val="single"/>
        </w:rPr>
        <w:t>Findings and Recommendations</w:t>
      </w:r>
    </w:p>
    <w:p w14:paraId="0B9315E5" w14:textId="00B65646" w:rsidR="3183C4E9" w:rsidRPr="009A4336" w:rsidRDefault="00EB21DF" w:rsidP="00371DF6">
      <w:pPr>
        <w:spacing w:before="240" w:after="0" w:line="240" w:lineRule="auto"/>
        <w:jc w:val="both"/>
        <w:rPr>
          <w:rFonts w:ascii="Times New Roman" w:eastAsia="Times New Roman" w:hAnsi="Times New Roman" w:cs="Times New Roman"/>
          <w:color w:val="auto"/>
          <w:sz w:val="24"/>
          <w:szCs w:val="24"/>
        </w:rPr>
      </w:pPr>
      <w:r w:rsidRPr="009A4336">
        <w:rPr>
          <w:rFonts w:ascii="Times New Roman" w:eastAsia="Times New Roman" w:hAnsi="Times New Roman" w:cs="Times New Roman"/>
          <w:color w:val="auto"/>
          <w:sz w:val="24"/>
          <w:szCs w:val="24"/>
        </w:rPr>
        <w:t>6</w:t>
      </w:r>
      <w:r w:rsidR="3183C4E9" w:rsidRPr="009A4336">
        <w:rPr>
          <w:rFonts w:ascii="Times New Roman" w:eastAsia="Times New Roman" w:hAnsi="Times New Roman" w:cs="Times New Roman"/>
          <w:color w:val="auto"/>
          <w:sz w:val="24"/>
          <w:szCs w:val="24"/>
        </w:rPr>
        <w:t xml:space="preserve"> - The equitable participation of women in politics and government is essential to building and sustaining democracy.  Democracy cannot truly deliver for all of its citizens if half of the population remains underrepresented in the political arena.</w:t>
      </w:r>
    </w:p>
    <w:p w14:paraId="2F4303CB" w14:textId="23EA644E" w:rsidR="3183C4E9" w:rsidRPr="009A4336" w:rsidRDefault="3183C4E9" w:rsidP="00371DF6">
      <w:pPr>
        <w:spacing w:after="0" w:line="240" w:lineRule="auto"/>
        <w:jc w:val="both"/>
        <w:rPr>
          <w:rFonts w:ascii="Times New Roman" w:eastAsia="Times New Roman" w:hAnsi="Times New Roman" w:cs="Times New Roman"/>
          <w:color w:val="auto"/>
          <w:sz w:val="24"/>
          <w:szCs w:val="24"/>
        </w:rPr>
      </w:pPr>
    </w:p>
    <w:p w14:paraId="42F5F243" w14:textId="32F4C934" w:rsidR="3183C4E9" w:rsidRPr="009A4336" w:rsidRDefault="00EB21DF" w:rsidP="00371DF6">
      <w:pPr>
        <w:spacing w:after="0" w:line="240" w:lineRule="auto"/>
        <w:jc w:val="both"/>
        <w:rPr>
          <w:rFonts w:ascii="Times New Roman" w:eastAsia="Times New Roman" w:hAnsi="Times New Roman" w:cs="Times New Roman"/>
          <w:color w:val="auto"/>
          <w:sz w:val="19"/>
          <w:szCs w:val="19"/>
        </w:rPr>
      </w:pPr>
      <w:r w:rsidRPr="009A4336">
        <w:rPr>
          <w:rFonts w:ascii="Times New Roman" w:eastAsia="Times New Roman" w:hAnsi="Times New Roman" w:cs="Times New Roman"/>
          <w:color w:val="auto"/>
          <w:sz w:val="24"/>
          <w:szCs w:val="24"/>
        </w:rPr>
        <w:t>7</w:t>
      </w:r>
      <w:r w:rsidR="3183C4E9" w:rsidRPr="009A4336">
        <w:rPr>
          <w:rFonts w:ascii="Times New Roman" w:eastAsia="Times New Roman" w:hAnsi="Times New Roman" w:cs="Times New Roman"/>
          <w:color w:val="auto"/>
          <w:sz w:val="24"/>
          <w:szCs w:val="24"/>
        </w:rPr>
        <w:t xml:space="preserve"> - International and regional obligations protect women’s rights and ensure their democratic right to participation.</w:t>
      </w:r>
      <w:r w:rsidR="3183C4E9" w:rsidRPr="009A4336">
        <w:rPr>
          <w:rFonts w:ascii="Times New Roman" w:eastAsia="Times New Roman" w:hAnsi="Times New Roman" w:cs="Times New Roman"/>
          <w:color w:val="auto"/>
          <w:sz w:val="24"/>
          <w:szCs w:val="24"/>
          <w:vertAlign w:val="superscript"/>
        </w:rPr>
        <w:t>1</w:t>
      </w:r>
      <w:r w:rsidR="3183C4E9" w:rsidRPr="009A4336">
        <w:rPr>
          <w:rFonts w:ascii="Times New Roman" w:eastAsia="Times New Roman" w:hAnsi="Times New Roman" w:cs="Times New Roman"/>
          <w:color w:val="auto"/>
          <w:sz w:val="24"/>
          <w:szCs w:val="24"/>
        </w:rPr>
        <w:t xml:space="preserve"> </w:t>
      </w:r>
      <w:r w:rsidR="00A247C6">
        <w:rPr>
          <w:rFonts w:ascii="Times New Roman" w:eastAsia="Times New Roman" w:hAnsi="Times New Roman" w:cs="Times New Roman"/>
          <w:color w:val="auto"/>
          <w:sz w:val="24"/>
          <w:szCs w:val="24"/>
        </w:rPr>
        <w:t>Guyana</w:t>
      </w:r>
      <w:r w:rsidR="00220F2C">
        <w:rPr>
          <w:rFonts w:ascii="Times New Roman" w:eastAsia="Times New Roman" w:hAnsi="Times New Roman" w:cs="Times New Roman"/>
          <w:color w:val="auto"/>
          <w:sz w:val="24"/>
          <w:szCs w:val="24"/>
        </w:rPr>
        <w:t xml:space="preserve"> has </w:t>
      </w:r>
      <w:r w:rsidR="3183C4E9" w:rsidRPr="009A4336">
        <w:rPr>
          <w:rFonts w:ascii="Times New Roman" w:eastAsia="Times New Roman" w:hAnsi="Times New Roman" w:cs="Times New Roman"/>
          <w:color w:val="auto"/>
          <w:sz w:val="24"/>
          <w:szCs w:val="24"/>
        </w:rPr>
        <w:t xml:space="preserve">signatory </w:t>
      </w:r>
      <w:r w:rsidR="00A247C6">
        <w:rPr>
          <w:rFonts w:ascii="Times New Roman" w:eastAsia="Times New Roman" w:hAnsi="Times New Roman" w:cs="Times New Roman"/>
          <w:color w:val="auto"/>
          <w:sz w:val="24"/>
          <w:szCs w:val="24"/>
        </w:rPr>
        <w:t>status on</w:t>
      </w:r>
      <w:r w:rsidR="000B0F32">
        <w:rPr>
          <w:rFonts w:ascii="Times New Roman" w:eastAsia="Times New Roman" w:hAnsi="Times New Roman" w:cs="Times New Roman"/>
          <w:color w:val="auto"/>
          <w:sz w:val="24"/>
          <w:szCs w:val="24"/>
        </w:rPr>
        <w:t xml:space="preserve"> the</w:t>
      </w:r>
      <w:r w:rsidR="3183C4E9" w:rsidRPr="009A4336">
        <w:rPr>
          <w:rFonts w:ascii="Times New Roman" w:eastAsia="Times New Roman" w:hAnsi="Times New Roman" w:cs="Times New Roman"/>
          <w:color w:val="auto"/>
          <w:sz w:val="24"/>
          <w:szCs w:val="24"/>
        </w:rPr>
        <w:t xml:space="preserve"> international convention</w:t>
      </w:r>
      <w:r w:rsidR="00220F2C">
        <w:rPr>
          <w:rFonts w:ascii="Times New Roman" w:eastAsia="Times New Roman" w:hAnsi="Times New Roman" w:cs="Times New Roman"/>
          <w:color w:val="auto"/>
          <w:sz w:val="24"/>
          <w:szCs w:val="24"/>
        </w:rPr>
        <w:t xml:space="preserve"> regarding</w:t>
      </w:r>
      <w:r w:rsidR="3183C4E9" w:rsidRPr="009A4336">
        <w:rPr>
          <w:rFonts w:ascii="Times New Roman" w:eastAsia="Times New Roman" w:hAnsi="Times New Roman" w:cs="Times New Roman"/>
          <w:color w:val="auto"/>
          <w:sz w:val="24"/>
          <w:szCs w:val="24"/>
        </w:rPr>
        <w:t xml:space="preserve"> gender equality</w:t>
      </w:r>
      <w:r w:rsidR="00926955">
        <w:rPr>
          <w:rFonts w:ascii="Times New Roman" w:eastAsia="Times New Roman" w:hAnsi="Times New Roman" w:cs="Times New Roman"/>
          <w:color w:val="auto"/>
          <w:sz w:val="24"/>
          <w:szCs w:val="24"/>
        </w:rPr>
        <w:t>,</w:t>
      </w:r>
      <w:r w:rsidR="000B0F32">
        <w:rPr>
          <w:rFonts w:ascii="Times New Roman" w:eastAsia="Times New Roman" w:hAnsi="Times New Roman" w:cs="Times New Roman"/>
          <w:color w:val="auto"/>
          <w:sz w:val="24"/>
          <w:szCs w:val="24"/>
        </w:rPr>
        <w:t xml:space="preserve"> </w:t>
      </w:r>
      <w:r w:rsidR="3183C4E9" w:rsidRPr="009A4336">
        <w:rPr>
          <w:rFonts w:ascii="Times New Roman" w:eastAsia="Times New Roman" w:hAnsi="Times New Roman" w:cs="Times New Roman"/>
          <w:color w:val="auto"/>
          <w:sz w:val="24"/>
          <w:szCs w:val="24"/>
        </w:rPr>
        <w:t xml:space="preserve">the Convention on the Elimination of all Forms of Discrimination against Women </w:t>
      </w:r>
      <w:r w:rsidR="3183C4E9" w:rsidRPr="009A4336">
        <w:rPr>
          <w:rFonts w:ascii="Times New Roman" w:eastAsia="Times New Roman" w:hAnsi="Times New Roman" w:cs="Times New Roman"/>
          <w:color w:val="auto"/>
          <w:sz w:val="24"/>
          <w:szCs w:val="24"/>
        </w:rPr>
        <w:lastRenderedPageBreak/>
        <w:t xml:space="preserve">(CEDAW, </w:t>
      </w:r>
      <w:r w:rsidR="000B0F32">
        <w:rPr>
          <w:rFonts w:ascii="Times New Roman" w:eastAsia="Times New Roman" w:hAnsi="Times New Roman" w:cs="Times New Roman"/>
          <w:color w:val="auto"/>
          <w:sz w:val="24"/>
          <w:szCs w:val="24"/>
        </w:rPr>
        <w:t>July</w:t>
      </w:r>
      <w:r w:rsidR="3183C4E9" w:rsidRPr="009A4336">
        <w:rPr>
          <w:rFonts w:ascii="Times New Roman" w:eastAsia="Times New Roman" w:hAnsi="Times New Roman" w:cs="Times New Roman"/>
          <w:color w:val="auto"/>
          <w:sz w:val="24"/>
          <w:szCs w:val="24"/>
        </w:rPr>
        <w:t xml:space="preserve"> 19</w:t>
      </w:r>
      <w:r w:rsidR="000B0F32">
        <w:rPr>
          <w:rFonts w:ascii="Times New Roman" w:eastAsia="Times New Roman" w:hAnsi="Times New Roman" w:cs="Times New Roman"/>
          <w:color w:val="auto"/>
          <w:sz w:val="24"/>
          <w:szCs w:val="24"/>
        </w:rPr>
        <w:t>80</w:t>
      </w:r>
      <w:r w:rsidR="3183C4E9" w:rsidRPr="009A4336">
        <w:rPr>
          <w:rFonts w:ascii="Times New Roman" w:eastAsia="Times New Roman" w:hAnsi="Times New Roman" w:cs="Times New Roman"/>
          <w:color w:val="auto"/>
          <w:sz w:val="24"/>
          <w:szCs w:val="24"/>
        </w:rPr>
        <w:t xml:space="preserve">). In addition to </w:t>
      </w:r>
      <w:r w:rsidR="000B0F32">
        <w:rPr>
          <w:rFonts w:ascii="Times New Roman" w:eastAsia="Times New Roman" w:hAnsi="Times New Roman" w:cs="Times New Roman"/>
          <w:color w:val="auto"/>
          <w:sz w:val="24"/>
          <w:szCs w:val="24"/>
        </w:rPr>
        <w:t>this</w:t>
      </w:r>
      <w:r w:rsidR="3183C4E9" w:rsidRPr="009A4336">
        <w:rPr>
          <w:rFonts w:ascii="Times New Roman" w:eastAsia="Times New Roman" w:hAnsi="Times New Roman" w:cs="Times New Roman"/>
          <w:color w:val="auto"/>
          <w:sz w:val="24"/>
          <w:szCs w:val="24"/>
        </w:rPr>
        <w:t xml:space="preserve"> international rights obligations, </w:t>
      </w:r>
      <w:r w:rsidR="00C37BC2">
        <w:rPr>
          <w:rFonts w:ascii="Times New Roman" w:eastAsia="Times New Roman" w:hAnsi="Times New Roman" w:cs="Times New Roman"/>
          <w:color w:val="auto"/>
          <w:sz w:val="24"/>
          <w:szCs w:val="24"/>
        </w:rPr>
        <w:t>Guyana’s</w:t>
      </w:r>
      <w:r w:rsidR="3183C4E9" w:rsidRPr="009A4336">
        <w:rPr>
          <w:rFonts w:ascii="Times New Roman" w:eastAsia="Times New Roman" w:hAnsi="Times New Roman" w:cs="Times New Roman"/>
          <w:color w:val="auto"/>
          <w:sz w:val="24"/>
          <w:szCs w:val="24"/>
        </w:rPr>
        <w:t xml:space="preserve"> constitution mandates that “</w:t>
      </w:r>
      <w:r w:rsidR="0093386A">
        <w:rPr>
          <w:rFonts w:ascii="Times New Roman" w:eastAsia="Times New Roman" w:hAnsi="Times New Roman" w:cs="Times New Roman"/>
          <w:color w:val="auto"/>
          <w:sz w:val="24"/>
          <w:szCs w:val="24"/>
        </w:rPr>
        <w:t xml:space="preserve">Women and men have equal rights and the same status in all </w:t>
      </w:r>
      <w:r w:rsidR="008C1359">
        <w:rPr>
          <w:rFonts w:ascii="Times New Roman" w:eastAsia="Times New Roman" w:hAnsi="Times New Roman" w:cs="Times New Roman"/>
          <w:color w:val="auto"/>
          <w:sz w:val="24"/>
          <w:szCs w:val="24"/>
        </w:rPr>
        <w:t>spheres</w:t>
      </w:r>
      <w:r w:rsidR="0093386A">
        <w:rPr>
          <w:rFonts w:ascii="Times New Roman" w:eastAsia="Times New Roman" w:hAnsi="Times New Roman" w:cs="Times New Roman"/>
          <w:color w:val="auto"/>
          <w:sz w:val="24"/>
          <w:szCs w:val="24"/>
        </w:rPr>
        <w:t xml:space="preserve"> of political, economic, and social life</w:t>
      </w:r>
      <w:r w:rsidR="008C1359">
        <w:rPr>
          <w:rFonts w:ascii="Times New Roman" w:eastAsia="Times New Roman" w:hAnsi="Times New Roman" w:cs="Times New Roman"/>
          <w:color w:val="auto"/>
          <w:sz w:val="24"/>
          <w:szCs w:val="24"/>
        </w:rPr>
        <w:t>,” including the right for equal political representation and participation.</w:t>
      </w:r>
      <w:r w:rsidR="3183C4E9" w:rsidRPr="009A4336">
        <w:rPr>
          <w:rFonts w:ascii="Times New Roman" w:eastAsia="Times New Roman" w:hAnsi="Times New Roman" w:cs="Times New Roman"/>
          <w:color w:val="auto"/>
          <w:sz w:val="24"/>
          <w:szCs w:val="24"/>
          <w:vertAlign w:val="superscript"/>
        </w:rPr>
        <w:t>2</w:t>
      </w:r>
    </w:p>
    <w:p w14:paraId="67BE26D7" w14:textId="0E0A5AD1" w:rsidR="3183C4E9" w:rsidRPr="009A4336" w:rsidRDefault="3183C4E9" w:rsidP="00371DF6">
      <w:pPr>
        <w:spacing w:after="0" w:line="240" w:lineRule="auto"/>
        <w:jc w:val="both"/>
        <w:rPr>
          <w:rFonts w:ascii="Times New Roman" w:eastAsia="Times New Roman" w:hAnsi="Times New Roman" w:cs="Times New Roman"/>
          <w:color w:val="auto"/>
          <w:sz w:val="24"/>
          <w:szCs w:val="24"/>
        </w:rPr>
      </w:pPr>
    </w:p>
    <w:p w14:paraId="1D5FBCB5" w14:textId="2F6E6D7B" w:rsidR="3183C4E9" w:rsidRPr="009A4336" w:rsidRDefault="00EB21DF" w:rsidP="00371DF6">
      <w:pPr>
        <w:spacing w:after="0" w:line="240" w:lineRule="auto"/>
        <w:jc w:val="both"/>
        <w:rPr>
          <w:rFonts w:ascii="Times New Roman" w:eastAsia="Times New Roman" w:hAnsi="Times New Roman" w:cs="Times New Roman"/>
          <w:color w:val="auto"/>
          <w:sz w:val="24"/>
          <w:szCs w:val="24"/>
        </w:rPr>
      </w:pPr>
      <w:r w:rsidRPr="009A4336">
        <w:rPr>
          <w:rFonts w:ascii="Times New Roman" w:eastAsia="Times New Roman" w:hAnsi="Times New Roman" w:cs="Times New Roman"/>
          <w:color w:val="auto"/>
          <w:sz w:val="24"/>
          <w:szCs w:val="24"/>
        </w:rPr>
        <w:t xml:space="preserve">8 - </w:t>
      </w:r>
      <w:r w:rsidR="3183C4E9" w:rsidRPr="009A4336">
        <w:rPr>
          <w:rFonts w:ascii="Times New Roman" w:eastAsia="Times New Roman" w:hAnsi="Times New Roman" w:cs="Times New Roman"/>
          <w:color w:val="auto"/>
          <w:sz w:val="24"/>
          <w:szCs w:val="24"/>
        </w:rPr>
        <w:t>Women can be particularly effective in promoting honest government. Countries where women are supported as leaders and at the ballot box have a correspondingly low level of corruption. Women are strongly committed to peace building, as they often disproportionately suffer the consequences of armed conflict. Studies show that reconstruction and reconciliation efforts take root more quickly and are more sustainable when women are involved. By helping women become participating members of a democracy, one can look to mitigate conflicts or stop conflicts before they begin. Women are also strongly linked to positive developments in education, infrastructure and health standards at the local level. Where rates of gender development and empowerment are higher, human rates of development and standards of living are also higher.</w:t>
      </w:r>
    </w:p>
    <w:p w14:paraId="712E92A8" w14:textId="08F31BBA" w:rsidR="3183C4E9" w:rsidRPr="009A4336" w:rsidRDefault="3183C4E9" w:rsidP="00371DF6">
      <w:pPr>
        <w:spacing w:after="0" w:line="240" w:lineRule="auto"/>
        <w:jc w:val="both"/>
        <w:rPr>
          <w:rFonts w:ascii="Times New Roman" w:hAnsi="Times New Roman" w:cs="Times New Roman"/>
          <w:color w:val="auto"/>
          <w:sz w:val="24"/>
          <w:szCs w:val="24"/>
        </w:rPr>
      </w:pPr>
    </w:p>
    <w:p w14:paraId="4F33F7EE" w14:textId="601B1A45" w:rsidR="00177980" w:rsidRPr="009A4336" w:rsidRDefault="00EB21DF" w:rsidP="00371DF6">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 xml:space="preserve">9 </w:t>
      </w:r>
      <w:r w:rsidR="00AE7E6B">
        <w:rPr>
          <w:rFonts w:ascii="Times New Roman" w:hAnsi="Times New Roman" w:cs="Times New Roman"/>
          <w:color w:val="auto"/>
          <w:sz w:val="24"/>
          <w:szCs w:val="24"/>
        </w:rPr>
        <w:t xml:space="preserve">– In order to </w:t>
      </w:r>
      <w:r w:rsidR="00D063F8">
        <w:rPr>
          <w:rFonts w:ascii="Times New Roman" w:hAnsi="Times New Roman" w:cs="Times New Roman"/>
          <w:color w:val="auto"/>
          <w:sz w:val="24"/>
          <w:szCs w:val="24"/>
        </w:rPr>
        <w:t>fulfill</w:t>
      </w:r>
      <w:r w:rsidR="00AE7E6B">
        <w:rPr>
          <w:rFonts w:ascii="Times New Roman" w:hAnsi="Times New Roman" w:cs="Times New Roman"/>
          <w:color w:val="auto"/>
          <w:sz w:val="24"/>
          <w:szCs w:val="24"/>
        </w:rPr>
        <w:t xml:space="preserve"> their international obligations </w:t>
      </w:r>
      <w:r w:rsidR="00D063F8">
        <w:rPr>
          <w:rFonts w:ascii="Times New Roman" w:hAnsi="Times New Roman" w:cs="Times New Roman"/>
          <w:color w:val="auto"/>
          <w:sz w:val="24"/>
          <w:szCs w:val="24"/>
        </w:rPr>
        <w:t>Guyana</w:t>
      </w:r>
      <w:r w:rsidR="00AE7E6B">
        <w:rPr>
          <w:rFonts w:ascii="Times New Roman" w:hAnsi="Times New Roman" w:cs="Times New Roman"/>
          <w:color w:val="auto"/>
          <w:sz w:val="24"/>
          <w:szCs w:val="24"/>
        </w:rPr>
        <w:t xml:space="preserve"> should consider the following recommendations. First,</w:t>
      </w:r>
      <w:r w:rsidR="00D063F8">
        <w:rPr>
          <w:rFonts w:ascii="Times New Roman" w:hAnsi="Times New Roman" w:cs="Times New Roman"/>
          <w:color w:val="auto"/>
          <w:sz w:val="24"/>
          <w:szCs w:val="24"/>
        </w:rPr>
        <w:t xml:space="preserve"> Guyana should r</w:t>
      </w:r>
      <w:r w:rsidR="00177980" w:rsidRPr="009A4336">
        <w:rPr>
          <w:rFonts w:ascii="Times New Roman" w:hAnsi="Times New Roman" w:cs="Times New Roman"/>
          <w:color w:val="auto"/>
          <w:sz w:val="24"/>
          <w:szCs w:val="24"/>
        </w:rPr>
        <w:t>e-evaluate the electoral system, considering systems that would promote support across ethnic lines and better reflect international standards. For example, the present list system allows political parties to allocate seats to members of their choice after the election, meaning that the voter casts his/her ballot for the party, not candidates. In addition, there is no requirement that political parties must</w:t>
      </w:r>
      <w:r w:rsidR="00E742EC" w:rsidRPr="009A4336">
        <w:rPr>
          <w:rFonts w:ascii="Times New Roman" w:hAnsi="Times New Roman" w:cs="Times New Roman"/>
          <w:color w:val="auto"/>
          <w:sz w:val="24"/>
          <w:szCs w:val="24"/>
        </w:rPr>
        <w:t xml:space="preserve"> allocate seats in the National Assembly to any of the female candidates from within their lists. Guyana should consider adjustments to its legal framework and electoral system to equalize representation of women in Parliament.</w:t>
      </w:r>
    </w:p>
    <w:p w14:paraId="20932244" w14:textId="47964765" w:rsidR="00017FCA" w:rsidRPr="009A4336" w:rsidRDefault="00017FCA" w:rsidP="00371DF6">
      <w:pPr>
        <w:spacing w:after="0" w:line="240" w:lineRule="auto"/>
        <w:jc w:val="both"/>
        <w:rPr>
          <w:rFonts w:ascii="Times New Roman" w:hAnsi="Times New Roman" w:cs="Times New Roman"/>
          <w:color w:val="auto"/>
          <w:sz w:val="24"/>
          <w:szCs w:val="24"/>
        </w:rPr>
      </w:pPr>
    </w:p>
    <w:p w14:paraId="6B3DCC79" w14:textId="760FD11B" w:rsidR="00017FCA" w:rsidRPr="009A4336" w:rsidRDefault="00172114" w:rsidP="00371DF6">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 xml:space="preserve">10 - </w:t>
      </w:r>
      <w:r w:rsidR="00017FCA" w:rsidRPr="009A4336">
        <w:rPr>
          <w:rFonts w:ascii="Times New Roman" w:hAnsi="Times New Roman" w:cs="Times New Roman"/>
          <w:color w:val="auto"/>
          <w:sz w:val="24"/>
          <w:szCs w:val="24"/>
        </w:rPr>
        <w:t xml:space="preserve">When evaluating the legal framework for elections and the electoral system, consideration should be given to the right of political representation, as set out in the International Covenant on Civil and Political Rights, </w:t>
      </w:r>
      <w:r w:rsidR="008237B8" w:rsidRPr="009A4336">
        <w:rPr>
          <w:rFonts w:ascii="Times New Roman" w:hAnsi="Times New Roman" w:cs="Times New Roman"/>
          <w:color w:val="auto"/>
          <w:sz w:val="24"/>
          <w:szCs w:val="24"/>
        </w:rPr>
        <w:t>article</w:t>
      </w:r>
      <w:r w:rsidR="00017FCA" w:rsidRPr="009A4336">
        <w:rPr>
          <w:rFonts w:ascii="Times New Roman" w:hAnsi="Times New Roman" w:cs="Times New Roman"/>
          <w:color w:val="auto"/>
          <w:sz w:val="24"/>
          <w:szCs w:val="24"/>
        </w:rPr>
        <w:t xml:space="preserve"> 25 (a), that provides that every citizen has the right “to take part in the conduct of public affairs…through freely chosen representatives.” When re-evaluating the electoral system, Guyanese should consider systems that would promote support across ethnic lines and better reflect international standards. For example, the present list system allows political parties to allocate seats to members of their choice after the election, meaning that voters cast their ballots for the party, not candidates. In addition, there is no requirement that political parties must allocate seats in the National Assembly to any of the female candidates from within their lists. Guyana should consider adjustments to its legal framework and electoral system to equalize representation of women in Parliament</w:t>
      </w:r>
    </w:p>
    <w:p w14:paraId="06C47ACB" w14:textId="77777777" w:rsidR="008237B8" w:rsidRPr="009A4336" w:rsidRDefault="008237B8" w:rsidP="00371DF6">
      <w:pPr>
        <w:spacing w:after="0" w:line="240" w:lineRule="auto"/>
        <w:jc w:val="both"/>
        <w:rPr>
          <w:rFonts w:ascii="Times New Roman" w:hAnsi="Times New Roman" w:cs="Times New Roman"/>
          <w:color w:val="auto"/>
          <w:sz w:val="24"/>
          <w:szCs w:val="24"/>
        </w:rPr>
      </w:pPr>
    </w:p>
    <w:p w14:paraId="3FB9FA8A" w14:textId="060D2866" w:rsidR="00F00FA2" w:rsidRPr="009A4336" w:rsidRDefault="00172114" w:rsidP="00371DF6">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 xml:space="preserve">11 - </w:t>
      </w:r>
      <w:r w:rsidR="005F1180" w:rsidRPr="009A4336">
        <w:rPr>
          <w:rFonts w:ascii="Times New Roman" w:hAnsi="Times New Roman" w:cs="Times New Roman"/>
          <w:color w:val="auto"/>
          <w:sz w:val="24"/>
          <w:szCs w:val="24"/>
        </w:rPr>
        <w:t>Another deficiency in the legal framework relates to the rights of women and men to participate equally in democratic governance and democratic processes. Although the constitution requires that electoral law must make provision for a minimum proportion of female candidates in party lists, it fails to specify what that proportion must be, making it difficult to enforce. The Representation of the People Act requires</w:t>
      </w:r>
      <w:r w:rsidR="00F826A5">
        <w:rPr>
          <w:rFonts w:ascii="Times New Roman" w:hAnsi="Times New Roman" w:cs="Times New Roman"/>
          <w:color w:val="auto"/>
          <w:sz w:val="24"/>
          <w:szCs w:val="24"/>
        </w:rPr>
        <w:t xml:space="preserve"> the following</w:t>
      </w:r>
      <w:r w:rsidR="005F1180" w:rsidRPr="009A4336">
        <w:rPr>
          <w:rFonts w:ascii="Times New Roman" w:hAnsi="Times New Roman" w:cs="Times New Roman"/>
          <w:color w:val="auto"/>
          <w:sz w:val="24"/>
          <w:szCs w:val="24"/>
        </w:rPr>
        <w:t xml:space="preserve"> two elements of female inclusion within party lists. </w:t>
      </w:r>
    </w:p>
    <w:p w14:paraId="25703CFD" w14:textId="77777777" w:rsidR="008237B8" w:rsidRPr="009A4336" w:rsidRDefault="008237B8" w:rsidP="00371DF6">
      <w:pPr>
        <w:spacing w:after="0" w:line="240" w:lineRule="auto"/>
        <w:jc w:val="both"/>
        <w:rPr>
          <w:rFonts w:ascii="Times New Roman" w:hAnsi="Times New Roman" w:cs="Times New Roman"/>
          <w:color w:val="auto"/>
          <w:sz w:val="24"/>
          <w:szCs w:val="24"/>
        </w:rPr>
      </w:pPr>
    </w:p>
    <w:p w14:paraId="033BA66D" w14:textId="7F0D92B9" w:rsidR="005F1180" w:rsidRPr="009A4336" w:rsidRDefault="00172114" w:rsidP="00371DF6">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 xml:space="preserve">12 - </w:t>
      </w:r>
      <w:r w:rsidR="005F1180" w:rsidRPr="009A4336">
        <w:rPr>
          <w:rFonts w:ascii="Times New Roman" w:hAnsi="Times New Roman" w:cs="Times New Roman"/>
          <w:color w:val="auto"/>
          <w:sz w:val="24"/>
          <w:szCs w:val="24"/>
        </w:rPr>
        <w:t xml:space="preserve">First, for the party’s national top-up lists, the total number of women on each party’s list must be at least one-third of the total number of candidates on that list. Secondly, in the geographical constituencies, the total number of women on any party’s lists, taken together, must be at least one-third of the total number of candidates on those lists. In addition, the party must include </w:t>
      </w:r>
      <w:r w:rsidR="005F1180" w:rsidRPr="009A4336">
        <w:rPr>
          <w:rFonts w:ascii="Times New Roman" w:hAnsi="Times New Roman" w:cs="Times New Roman"/>
          <w:color w:val="auto"/>
          <w:sz w:val="24"/>
          <w:szCs w:val="24"/>
        </w:rPr>
        <w:lastRenderedPageBreak/>
        <w:t>women in their lists for at least 80 percent of the geographical constituencies they are contesting.</w:t>
      </w:r>
      <w:r w:rsidR="003D35CC">
        <w:rPr>
          <w:rFonts w:ascii="Times New Roman" w:eastAsia="Times New Roman" w:hAnsi="Times New Roman" w:cs="Times New Roman"/>
          <w:color w:val="auto"/>
          <w:sz w:val="24"/>
          <w:szCs w:val="24"/>
          <w:vertAlign w:val="superscript"/>
        </w:rPr>
        <w:t>3</w:t>
      </w:r>
      <w:r w:rsidR="005F1180" w:rsidRPr="008A2734">
        <w:rPr>
          <w:rFonts w:ascii="Times New Roman" w:hAnsi="Times New Roman" w:cs="Times New Roman"/>
          <w:color w:val="FF0000"/>
          <w:sz w:val="24"/>
          <w:szCs w:val="24"/>
        </w:rPr>
        <w:t xml:space="preserve"> </w:t>
      </w:r>
      <w:r w:rsidR="005F1180" w:rsidRPr="009A4336">
        <w:rPr>
          <w:rFonts w:ascii="Times New Roman" w:hAnsi="Times New Roman" w:cs="Times New Roman"/>
          <w:color w:val="auto"/>
          <w:sz w:val="24"/>
          <w:szCs w:val="24"/>
        </w:rPr>
        <w:t>There is no requirement, however, that the parties must allocate seats in the National Assembly to any of the female candidates from within their lists. Instead, Section 98 of the Representation of the People Act provides that the representative of the list extract names from the list of candidates for the number of seats won, and they shall be declared to be elected by the chief election officer. Here there is a failure to reflect the spirit of the constitution, which says that the manner of selection of those elected to the National Assembly should take into account the proportion that women form of the electorate. This is a clear instance of dissonance between the spirit of the constitution and electoral law. Adoption of a closed-list system and a requirement that women candidates be “zippered” throughout the list would provide a better means to uphold the rights of women’s participation in politics.</w:t>
      </w:r>
    </w:p>
    <w:p w14:paraId="0F812957" w14:textId="77777777" w:rsidR="00992E80" w:rsidRPr="009A4336" w:rsidRDefault="00992E80" w:rsidP="00371DF6">
      <w:pPr>
        <w:spacing w:after="0" w:line="240" w:lineRule="auto"/>
        <w:jc w:val="both"/>
        <w:rPr>
          <w:rFonts w:ascii="Times New Roman" w:hAnsi="Times New Roman" w:cs="Times New Roman"/>
          <w:color w:val="auto"/>
          <w:sz w:val="24"/>
          <w:szCs w:val="24"/>
        </w:rPr>
      </w:pPr>
    </w:p>
    <w:p w14:paraId="4AB47C12" w14:textId="50AF5CB2" w:rsidR="0005748E" w:rsidRPr="009A4336" w:rsidRDefault="008E5683" w:rsidP="00371DF6">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1</w:t>
      </w:r>
      <w:r w:rsidR="004549ED">
        <w:rPr>
          <w:rFonts w:ascii="Times New Roman" w:hAnsi="Times New Roman" w:cs="Times New Roman"/>
          <w:color w:val="auto"/>
          <w:sz w:val="24"/>
          <w:szCs w:val="24"/>
        </w:rPr>
        <w:t>3</w:t>
      </w:r>
      <w:r w:rsidRPr="009A4336">
        <w:rPr>
          <w:rFonts w:ascii="Times New Roman" w:hAnsi="Times New Roman" w:cs="Times New Roman"/>
          <w:color w:val="auto"/>
          <w:sz w:val="24"/>
          <w:szCs w:val="24"/>
        </w:rPr>
        <w:t xml:space="preserve"> - </w:t>
      </w:r>
      <w:r w:rsidR="0005748E" w:rsidRPr="009A4336">
        <w:rPr>
          <w:rFonts w:ascii="Times New Roman" w:hAnsi="Times New Roman" w:cs="Times New Roman"/>
          <w:color w:val="auto"/>
          <w:sz w:val="24"/>
          <w:szCs w:val="24"/>
        </w:rPr>
        <w:t>When revising procedures to enable some citizens to vote in a location other than where they are registered, the use of proxy voting should be reconsidered. In general, state practice sources discourage proxy voting due to concerns about the secrecy of the vote and the potential of the practice to be particularly discriminatory to women and minority groups.</w:t>
      </w:r>
      <w:bookmarkStart w:id="1" w:name="_Hlk10811478"/>
      <w:r w:rsidR="00B23CB1">
        <w:rPr>
          <w:rFonts w:ascii="Times New Roman" w:eastAsia="Times New Roman" w:hAnsi="Times New Roman" w:cs="Times New Roman"/>
          <w:color w:val="auto"/>
          <w:sz w:val="24"/>
          <w:szCs w:val="24"/>
          <w:vertAlign w:val="superscript"/>
        </w:rPr>
        <w:t>4</w:t>
      </w:r>
      <w:r w:rsidR="00DA7504">
        <w:rPr>
          <w:rFonts w:ascii="Times New Roman" w:eastAsia="Times New Roman" w:hAnsi="Times New Roman" w:cs="Times New Roman"/>
          <w:color w:val="auto"/>
          <w:sz w:val="24"/>
          <w:szCs w:val="24"/>
          <w:vertAlign w:val="superscript"/>
        </w:rPr>
        <w:t xml:space="preserve"> </w:t>
      </w:r>
      <w:bookmarkEnd w:id="1"/>
      <w:r w:rsidR="0005748E" w:rsidRPr="009A4336">
        <w:rPr>
          <w:rFonts w:ascii="Times New Roman" w:hAnsi="Times New Roman" w:cs="Times New Roman"/>
          <w:color w:val="auto"/>
          <w:sz w:val="24"/>
          <w:szCs w:val="24"/>
        </w:rPr>
        <w:t>If Guyana considers reforms in this area, proxy voting should be strictly regulated to ensure adequate protection for the secrecy of the ballot.</w:t>
      </w:r>
    </w:p>
    <w:p w14:paraId="4034BD8D" w14:textId="4258A6FC" w:rsidR="00631027" w:rsidRPr="009A4336" w:rsidRDefault="00631027" w:rsidP="00371DF6">
      <w:pPr>
        <w:spacing w:after="0" w:line="240" w:lineRule="auto"/>
        <w:jc w:val="both"/>
        <w:rPr>
          <w:rFonts w:ascii="Times New Roman" w:hAnsi="Times New Roman" w:cs="Times New Roman"/>
          <w:color w:val="auto"/>
          <w:sz w:val="24"/>
          <w:szCs w:val="24"/>
        </w:rPr>
      </w:pPr>
    </w:p>
    <w:p w14:paraId="5E0AE670" w14:textId="4E8D2769" w:rsidR="00631027" w:rsidRPr="009A4336" w:rsidRDefault="008E5683" w:rsidP="00371DF6">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1</w:t>
      </w:r>
      <w:r w:rsidR="004549ED">
        <w:rPr>
          <w:rFonts w:ascii="Times New Roman" w:hAnsi="Times New Roman" w:cs="Times New Roman"/>
          <w:color w:val="auto"/>
          <w:sz w:val="24"/>
          <w:szCs w:val="24"/>
        </w:rPr>
        <w:t>4</w:t>
      </w:r>
      <w:r w:rsidRPr="009A4336">
        <w:rPr>
          <w:rFonts w:ascii="Times New Roman" w:hAnsi="Times New Roman" w:cs="Times New Roman"/>
          <w:color w:val="auto"/>
          <w:sz w:val="24"/>
          <w:szCs w:val="24"/>
        </w:rPr>
        <w:t xml:space="preserve"> - </w:t>
      </w:r>
      <w:r w:rsidR="00631027" w:rsidRPr="009A4336">
        <w:rPr>
          <w:rFonts w:ascii="Times New Roman" w:hAnsi="Times New Roman" w:cs="Times New Roman"/>
          <w:color w:val="auto"/>
          <w:sz w:val="24"/>
          <w:szCs w:val="24"/>
        </w:rPr>
        <w:t>The absence of a mandatory quota for women candidates is a cause for concern. The Representation of the People Act requires that political parties nominate at least one-third women in their lists of election candidates, but there is no legal requirement that any female be selected for membership of the National Assembly. This is despite the fact that women slightly outnumber men in Guyana.</w:t>
      </w:r>
      <w:r w:rsidR="001234B0">
        <w:rPr>
          <w:rFonts w:ascii="Times New Roman" w:eastAsia="Times New Roman" w:hAnsi="Times New Roman" w:cs="Times New Roman"/>
          <w:color w:val="auto"/>
          <w:sz w:val="24"/>
          <w:szCs w:val="24"/>
          <w:vertAlign w:val="superscript"/>
        </w:rPr>
        <w:t xml:space="preserve">5 </w:t>
      </w:r>
      <w:r w:rsidR="00631027" w:rsidRPr="009A4336">
        <w:rPr>
          <w:rFonts w:ascii="Times New Roman" w:hAnsi="Times New Roman" w:cs="Times New Roman"/>
          <w:color w:val="auto"/>
          <w:sz w:val="24"/>
          <w:szCs w:val="24"/>
        </w:rPr>
        <w:t>The U.N. Committee on the Elimination of Discrimination Against Women has called on Guyana</w:t>
      </w:r>
      <w:r w:rsidR="00C7080A">
        <w:rPr>
          <w:rFonts w:ascii="Times New Roman" w:hAnsi="Times New Roman" w:cs="Times New Roman"/>
          <w:color w:val="FF0000"/>
          <w:sz w:val="24"/>
          <w:szCs w:val="24"/>
        </w:rPr>
        <w:t xml:space="preserve"> </w:t>
      </w:r>
      <w:r w:rsidR="00631027" w:rsidRPr="009A4336">
        <w:rPr>
          <w:rFonts w:ascii="Times New Roman" w:hAnsi="Times New Roman" w:cs="Times New Roman"/>
          <w:color w:val="auto"/>
          <w:sz w:val="24"/>
          <w:szCs w:val="24"/>
        </w:rPr>
        <w:t>to use temporary special measures to achieve substantive equality for women, in particular in the areas of political and public life.</w:t>
      </w:r>
      <w:r w:rsidR="00C7080A">
        <w:rPr>
          <w:rFonts w:ascii="Times New Roman" w:eastAsia="Times New Roman" w:hAnsi="Times New Roman" w:cs="Times New Roman"/>
          <w:color w:val="auto"/>
          <w:sz w:val="24"/>
          <w:szCs w:val="24"/>
          <w:vertAlign w:val="superscript"/>
        </w:rPr>
        <w:t>6</w:t>
      </w:r>
      <w:r w:rsidR="00631027" w:rsidRPr="009A4336">
        <w:rPr>
          <w:rFonts w:ascii="Times New Roman" w:hAnsi="Times New Roman" w:cs="Times New Roman"/>
          <w:color w:val="auto"/>
          <w:sz w:val="24"/>
          <w:szCs w:val="24"/>
        </w:rPr>
        <w:t xml:space="preserve"> The introduction of binding quotas, determining specific outcomes for women, should be considered. One option within the current electoral structure would be the closing and “zippering” of lists, so that the pre-election list would determine the allocation of seats won, with a requirement that every second name within the lists be female.</w:t>
      </w:r>
    </w:p>
    <w:p w14:paraId="63C4260A" w14:textId="76F43AF3" w:rsidR="00563518" w:rsidRPr="009A4336" w:rsidRDefault="00563518" w:rsidP="00371DF6">
      <w:pPr>
        <w:spacing w:after="0" w:line="240" w:lineRule="auto"/>
        <w:jc w:val="both"/>
        <w:rPr>
          <w:rFonts w:ascii="Times New Roman" w:hAnsi="Times New Roman" w:cs="Times New Roman"/>
          <w:color w:val="auto"/>
          <w:sz w:val="24"/>
          <w:szCs w:val="24"/>
        </w:rPr>
      </w:pPr>
    </w:p>
    <w:p w14:paraId="12867D02" w14:textId="073F3354" w:rsidR="00563518" w:rsidRPr="009A4336" w:rsidRDefault="008E5683" w:rsidP="00371DF6">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1</w:t>
      </w:r>
      <w:r w:rsidR="004549ED">
        <w:rPr>
          <w:rFonts w:ascii="Times New Roman" w:hAnsi="Times New Roman" w:cs="Times New Roman"/>
          <w:color w:val="auto"/>
          <w:sz w:val="24"/>
          <w:szCs w:val="24"/>
        </w:rPr>
        <w:t>5</w:t>
      </w:r>
      <w:r w:rsidRPr="009A4336">
        <w:rPr>
          <w:rFonts w:ascii="Times New Roman" w:hAnsi="Times New Roman" w:cs="Times New Roman"/>
          <w:color w:val="auto"/>
          <w:sz w:val="24"/>
          <w:szCs w:val="24"/>
        </w:rPr>
        <w:t xml:space="preserve"> - </w:t>
      </w:r>
      <w:r w:rsidR="00563518" w:rsidRPr="009A4336">
        <w:rPr>
          <w:rFonts w:ascii="Times New Roman" w:hAnsi="Times New Roman" w:cs="Times New Roman"/>
          <w:color w:val="auto"/>
          <w:sz w:val="24"/>
          <w:szCs w:val="24"/>
        </w:rPr>
        <w:t xml:space="preserve">As polling day </w:t>
      </w:r>
      <w:r w:rsidR="00F826A5">
        <w:rPr>
          <w:rFonts w:ascii="Times New Roman" w:hAnsi="Times New Roman" w:cs="Times New Roman"/>
          <w:color w:val="auto"/>
          <w:sz w:val="24"/>
          <w:szCs w:val="24"/>
        </w:rPr>
        <w:t xml:space="preserve">in 2015 </w:t>
      </w:r>
      <w:r w:rsidR="00563518" w:rsidRPr="009A4336">
        <w:rPr>
          <w:rFonts w:ascii="Times New Roman" w:hAnsi="Times New Roman" w:cs="Times New Roman"/>
          <w:color w:val="auto"/>
          <w:sz w:val="24"/>
          <w:szCs w:val="24"/>
        </w:rPr>
        <w:t>approached, the Women and Gender Equality Commission, with the support of the International Republican Institute and the United States Agency for International Development, produced radio and television advertisements that encouraged women to cast their votes. The imagery was particularly notable, as representatives of all ethnic groups in Guyana were included. Televised voter education conducted by GECOM utilized sign language to reach the hearing impaired, a positive measure that should be continued in future elections.</w:t>
      </w:r>
    </w:p>
    <w:p w14:paraId="59B83DDD" w14:textId="0C2A2DDE" w:rsidR="00224078" w:rsidRPr="009A4336" w:rsidRDefault="00224078" w:rsidP="00371DF6">
      <w:pPr>
        <w:spacing w:after="0" w:line="240" w:lineRule="auto"/>
        <w:jc w:val="both"/>
        <w:rPr>
          <w:rFonts w:ascii="Times New Roman" w:hAnsi="Times New Roman" w:cs="Times New Roman"/>
          <w:color w:val="auto"/>
          <w:sz w:val="24"/>
          <w:szCs w:val="24"/>
        </w:rPr>
      </w:pPr>
    </w:p>
    <w:p w14:paraId="492E4450" w14:textId="618B71AB" w:rsidR="00224078" w:rsidRPr="009A4336" w:rsidRDefault="008E5683" w:rsidP="00371DF6">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1</w:t>
      </w:r>
      <w:r w:rsidR="004549ED">
        <w:rPr>
          <w:rFonts w:ascii="Times New Roman" w:hAnsi="Times New Roman" w:cs="Times New Roman"/>
          <w:color w:val="auto"/>
          <w:sz w:val="24"/>
          <w:szCs w:val="24"/>
        </w:rPr>
        <w:t>6</w:t>
      </w:r>
      <w:r w:rsidRPr="009A4336">
        <w:rPr>
          <w:rFonts w:ascii="Times New Roman" w:hAnsi="Times New Roman" w:cs="Times New Roman"/>
          <w:color w:val="auto"/>
          <w:sz w:val="24"/>
          <w:szCs w:val="24"/>
        </w:rPr>
        <w:t xml:space="preserve"> - </w:t>
      </w:r>
      <w:r w:rsidR="00224078" w:rsidRPr="009A4336">
        <w:rPr>
          <w:rFonts w:ascii="Times New Roman" w:hAnsi="Times New Roman" w:cs="Times New Roman"/>
          <w:color w:val="auto"/>
          <w:sz w:val="24"/>
          <w:szCs w:val="24"/>
        </w:rPr>
        <w:t>While the legal framework indicates that women must comprise at least 30 percent of candidates in all party lists, there is no guarantee that women must be allocated any particular percentage of seats within the National Assembly. Nonetheless, 32 percent of the seats, 21 out of 67, were held by women after the 2011 elections, marking a huge advance over the 18.5 percent of seats held by women in 1992. Guyana was ranked 30th in the world by the Inter</w:t>
      </w:r>
      <w:r w:rsidR="004A0EB4" w:rsidRPr="009A4336">
        <w:rPr>
          <w:rFonts w:ascii="Times New Roman" w:hAnsi="Times New Roman" w:cs="Times New Roman"/>
          <w:color w:val="auto"/>
          <w:sz w:val="24"/>
          <w:szCs w:val="24"/>
        </w:rPr>
        <w:t>-</w:t>
      </w:r>
      <w:r w:rsidR="00224078" w:rsidRPr="009A4336">
        <w:rPr>
          <w:rFonts w:ascii="Times New Roman" w:hAnsi="Times New Roman" w:cs="Times New Roman"/>
          <w:color w:val="auto"/>
          <w:sz w:val="24"/>
          <w:szCs w:val="24"/>
        </w:rPr>
        <w:t xml:space="preserve">Parliamentary Union after the 2011 elections. Women now occupy 19 seats in the National Assembly, comprised of 10 from the APNU–AFC list and nine from the PPP/C list. The PPP/C candidate for prime minister was a woman, while the presidential candidate of the United Force also was female. </w:t>
      </w:r>
      <w:r w:rsidR="00224078" w:rsidRPr="009A4336">
        <w:rPr>
          <w:rFonts w:ascii="Times New Roman" w:hAnsi="Times New Roman" w:cs="Times New Roman"/>
          <w:color w:val="auto"/>
          <w:sz w:val="24"/>
          <w:szCs w:val="24"/>
        </w:rPr>
        <w:lastRenderedPageBreak/>
        <w:t xml:space="preserve">During the last Parliament, political party identity was the strongest determinant for action for all parliamentarians. Efforts to create a women’s caucus in Parliament met with little interest, with the strength of party identity clearly outweighing gender identity. </w:t>
      </w:r>
    </w:p>
    <w:p w14:paraId="012C7706" w14:textId="21DEDDB9" w:rsidR="00785E7D" w:rsidRPr="009A4336" w:rsidRDefault="00785E7D" w:rsidP="00371DF6">
      <w:pPr>
        <w:spacing w:after="0" w:line="240" w:lineRule="auto"/>
        <w:jc w:val="both"/>
        <w:rPr>
          <w:rFonts w:ascii="Times New Roman" w:hAnsi="Times New Roman" w:cs="Times New Roman"/>
          <w:color w:val="auto"/>
          <w:sz w:val="24"/>
          <w:szCs w:val="24"/>
        </w:rPr>
      </w:pPr>
    </w:p>
    <w:p w14:paraId="2B1A022D" w14:textId="00D5CB97" w:rsidR="00C92777" w:rsidRPr="00C92777" w:rsidRDefault="009A4336" w:rsidP="00C92777">
      <w:pPr>
        <w:spacing w:after="0" w:line="240" w:lineRule="auto"/>
        <w:jc w:val="both"/>
        <w:rPr>
          <w:rFonts w:ascii="Times New Roman" w:hAnsi="Times New Roman" w:cs="Times New Roman"/>
          <w:color w:val="auto"/>
          <w:sz w:val="24"/>
          <w:szCs w:val="24"/>
        </w:rPr>
      </w:pPr>
      <w:r w:rsidRPr="009A4336">
        <w:rPr>
          <w:rFonts w:ascii="Times New Roman" w:hAnsi="Times New Roman" w:cs="Times New Roman"/>
          <w:color w:val="auto"/>
          <w:sz w:val="24"/>
          <w:szCs w:val="24"/>
        </w:rPr>
        <w:t>1</w:t>
      </w:r>
      <w:r w:rsidR="004549ED">
        <w:rPr>
          <w:rFonts w:ascii="Times New Roman" w:hAnsi="Times New Roman" w:cs="Times New Roman"/>
          <w:color w:val="auto"/>
          <w:sz w:val="24"/>
          <w:szCs w:val="24"/>
        </w:rPr>
        <w:t>7</w:t>
      </w:r>
      <w:r w:rsidRPr="009A4336">
        <w:rPr>
          <w:rFonts w:ascii="Times New Roman" w:hAnsi="Times New Roman" w:cs="Times New Roman"/>
          <w:color w:val="auto"/>
          <w:sz w:val="24"/>
          <w:szCs w:val="24"/>
        </w:rPr>
        <w:t xml:space="preserve"> - </w:t>
      </w:r>
      <w:r w:rsidR="00785E7D" w:rsidRPr="009A4336">
        <w:rPr>
          <w:rFonts w:ascii="Times New Roman" w:hAnsi="Times New Roman" w:cs="Times New Roman"/>
          <w:color w:val="auto"/>
          <w:sz w:val="24"/>
          <w:szCs w:val="24"/>
        </w:rPr>
        <w:t>Women were highly visible participants in all aspects of election day. They came out in huge numbers to vote across the country, while they also were very active among those engaged in electoral duties. Women composed 71 percent of polling staff in stations observed by The Carter Center, and 79 percent of presiding officers in stations observed were female. Where party agents from the two major political parties were present in stations observed, about 82 percent of them were women.</w:t>
      </w:r>
      <w:r w:rsidR="004549ED">
        <w:rPr>
          <w:rFonts w:ascii="Times New Roman" w:hAnsi="Times New Roman" w:cs="Times New Roman"/>
          <w:color w:val="auto"/>
          <w:sz w:val="24"/>
          <w:szCs w:val="24"/>
        </w:rPr>
        <w:t xml:space="preserve"> This effort should be reinforced and continued in the upcoming elections.</w:t>
      </w:r>
    </w:p>
    <w:p w14:paraId="51E10CFE" w14:textId="35AE314E" w:rsidR="00C92777" w:rsidRPr="00C92777" w:rsidRDefault="00C92777" w:rsidP="00C92777">
      <w:pPr>
        <w:spacing w:after="0" w:line="240" w:lineRule="auto"/>
        <w:rPr>
          <w:rFonts w:ascii="Times New Roman" w:eastAsia="Times New Roman" w:hAnsi="Times New Roman" w:cs="Times New Roman"/>
          <w:color w:val="auto"/>
          <w:sz w:val="24"/>
          <w:szCs w:val="24"/>
          <w:u w:val="single"/>
        </w:rPr>
      </w:pPr>
      <w:r>
        <w:rPr>
          <w:rFonts w:ascii="Times New Roman" w:eastAsia="Times New Roman" w:hAnsi="Times New Roman" w:cs="Times New Roman"/>
          <w:color w:val="auto"/>
          <w:sz w:val="22"/>
          <w:szCs w:val="22"/>
          <w:u w:val="single"/>
        </w:rPr>
        <w:br/>
      </w:r>
      <w:r w:rsidRPr="00C92777">
        <w:rPr>
          <w:rFonts w:ascii="Times New Roman" w:eastAsia="Times New Roman" w:hAnsi="Times New Roman" w:cs="Times New Roman"/>
          <w:color w:val="auto"/>
          <w:sz w:val="24"/>
          <w:szCs w:val="24"/>
          <w:u w:val="single"/>
        </w:rPr>
        <w:t>Notes</w:t>
      </w:r>
    </w:p>
    <w:p w14:paraId="7396A3DB" w14:textId="26457688" w:rsidR="00C92777" w:rsidRDefault="00E50DBD" w:rsidP="00C92777">
      <w:pPr>
        <w:spacing w:before="240" w:after="0" w:line="240" w:lineRule="auto"/>
        <w:rPr>
          <w:rFonts w:ascii="Times New Roman" w:eastAsia="Times New Roman" w:hAnsi="Times New Roman" w:cs="Times New Roman"/>
          <w:color w:val="auto"/>
          <w:sz w:val="19"/>
          <w:szCs w:val="19"/>
        </w:rPr>
      </w:pPr>
      <w:r w:rsidRPr="57C7E4CE">
        <w:rPr>
          <w:rFonts w:ascii="Times New Roman" w:eastAsia="Times New Roman" w:hAnsi="Times New Roman" w:cs="Times New Roman"/>
          <w:color w:val="auto"/>
          <w:sz w:val="19"/>
          <w:szCs w:val="19"/>
        </w:rPr>
        <w:t>1 United Nations International Covenant on Civil and Political Rights.</w:t>
      </w:r>
    </w:p>
    <w:p w14:paraId="0D1FFB6C" w14:textId="7CEEE365" w:rsidR="00E50DBD" w:rsidRPr="00C92777" w:rsidRDefault="00E50DBD" w:rsidP="00C92777">
      <w:pPr>
        <w:spacing w:after="0" w:line="240" w:lineRule="auto"/>
        <w:rPr>
          <w:rFonts w:ascii="Times New Roman" w:eastAsia="Times New Roman" w:hAnsi="Times New Roman" w:cs="Times New Roman"/>
          <w:color w:val="auto"/>
          <w:sz w:val="19"/>
          <w:szCs w:val="19"/>
        </w:rPr>
      </w:pPr>
      <w:r w:rsidRPr="57C7E4CE">
        <w:rPr>
          <w:rFonts w:ascii="Times New Roman" w:eastAsia="Times New Roman" w:hAnsi="Times New Roman" w:cs="Times New Roman"/>
          <w:color w:val="auto"/>
          <w:sz w:val="19"/>
          <w:szCs w:val="19"/>
        </w:rPr>
        <w:t xml:space="preserve">2 </w:t>
      </w:r>
      <w:r w:rsidRPr="57C7E4CE">
        <w:rPr>
          <w:rFonts w:ascii="Times New Roman" w:eastAsia="Times New Roman" w:hAnsi="Times New Roman" w:cs="Times New Roman"/>
          <w:color w:val="auto"/>
          <w:sz w:val="20"/>
          <w:szCs w:val="20"/>
        </w:rPr>
        <w:t>19</w:t>
      </w:r>
      <w:r w:rsidR="003F1D4A">
        <w:rPr>
          <w:rFonts w:ascii="Times New Roman" w:eastAsia="Times New Roman" w:hAnsi="Times New Roman" w:cs="Times New Roman"/>
          <w:color w:val="auto"/>
          <w:sz w:val="20"/>
          <w:szCs w:val="20"/>
        </w:rPr>
        <w:t>8</w:t>
      </w:r>
      <w:r w:rsidRPr="57C7E4CE">
        <w:rPr>
          <w:rFonts w:ascii="Times New Roman" w:eastAsia="Times New Roman" w:hAnsi="Times New Roman" w:cs="Times New Roman"/>
          <w:color w:val="auto"/>
          <w:sz w:val="20"/>
          <w:szCs w:val="20"/>
        </w:rPr>
        <w:t xml:space="preserve">0 Constitution, Article </w:t>
      </w:r>
      <w:r w:rsidR="003F1D4A">
        <w:rPr>
          <w:rFonts w:ascii="Times New Roman" w:eastAsia="Times New Roman" w:hAnsi="Times New Roman" w:cs="Times New Roman"/>
          <w:color w:val="auto"/>
          <w:sz w:val="20"/>
          <w:szCs w:val="20"/>
        </w:rPr>
        <w:t>29</w:t>
      </w:r>
      <w:r w:rsidRPr="57C7E4CE">
        <w:rPr>
          <w:rFonts w:ascii="Times New Roman" w:eastAsia="Times New Roman" w:hAnsi="Times New Roman" w:cs="Times New Roman"/>
          <w:color w:val="auto"/>
          <w:sz w:val="20"/>
          <w:szCs w:val="20"/>
        </w:rPr>
        <w:t xml:space="preserve"> </w:t>
      </w:r>
    </w:p>
    <w:p w14:paraId="17AB7D9F" w14:textId="01DBEB3D" w:rsidR="002A03AF" w:rsidRDefault="002A03AF" w:rsidP="002A03AF">
      <w:pPr>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w:t>
      </w:r>
      <w:r w:rsidR="00145877" w:rsidRPr="00145877">
        <w:rPr>
          <w:rFonts w:ascii="Times New Roman" w:eastAsia="Times New Roman" w:hAnsi="Times New Roman" w:cs="Times New Roman"/>
          <w:color w:val="auto"/>
          <w:sz w:val="20"/>
          <w:szCs w:val="20"/>
        </w:rPr>
        <w:t xml:space="preserve"> In Guyana’s party list proportional representation system, political parties submit at least two lists during the nomination process: a national top-up list and a geographical constituencies list based on the country’s 10 administrative regions.</w:t>
      </w:r>
    </w:p>
    <w:p w14:paraId="07D07805" w14:textId="7F616918" w:rsidR="002A03AF" w:rsidRDefault="002A03AF" w:rsidP="002A03AF">
      <w:pPr>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4</w:t>
      </w:r>
      <w:r w:rsidR="00BD1DCC">
        <w:rPr>
          <w:rFonts w:ascii="Times New Roman" w:eastAsia="Times New Roman" w:hAnsi="Times New Roman" w:cs="Times New Roman"/>
          <w:color w:val="auto"/>
          <w:sz w:val="20"/>
          <w:szCs w:val="20"/>
        </w:rPr>
        <w:t xml:space="preserve"> </w:t>
      </w:r>
      <w:r w:rsidR="00BD1DCC" w:rsidRPr="00BD1DCC">
        <w:rPr>
          <w:rFonts w:ascii="Times New Roman" w:eastAsia="Times New Roman" w:hAnsi="Times New Roman" w:cs="Times New Roman"/>
          <w:color w:val="auto"/>
          <w:sz w:val="20"/>
          <w:szCs w:val="20"/>
        </w:rPr>
        <w:t>Council of Europe (Venice Commission), Code of Good Practice, Section 1.3.2.</w:t>
      </w:r>
    </w:p>
    <w:p w14:paraId="4AE29FE2" w14:textId="18D0B820" w:rsidR="002A03AF" w:rsidRDefault="002A03AF" w:rsidP="002A03AF">
      <w:pPr>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5</w:t>
      </w:r>
      <w:r w:rsidR="000E61E3">
        <w:rPr>
          <w:rFonts w:ascii="Times New Roman" w:eastAsia="Times New Roman" w:hAnsi="Times New Roman" w:cs="Times New Roman"/>
          <w:color w:val="auto"/>
          <w:sz w:val="20"/>
          <w:szCs w:val="20"/>
        </w:rPr>
        <w:t xml:space="preserve"> </w:t>
      </w:r>
      <w:r w:rsidR="000E61E3" w:rsidRPr="000E61E3">
        <w:rPr>
          <w:rFonts w:ascii="Times New Roman" w:eastAsia="Times New Roman" w:hAnsi="Times New Roman" w:cs="Times New Roman"/>
          <w:color w:val="auto"/>
          <w:sz w:val="20"/>
          <w:szCs w:val="20"/>
        </w:rPr>
        <w:t>2012 Population and Housing Census Preliminary Report, Bureau of Statistics, Section 2.5</w:t>
      </w:r>
    </w:p>
    <w:p w14:paraId="6671216F" w14:textId="0634BD17" w:rsidR="000E61E3" w:rsidRPr="002A03AF" w:rsidRDefault="000E61E3" w:rsidP="002A03AF">
      <w:pPr>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6 </w:t>
      </w:r>
      <w:r w:rsidR="001234B0" w:rsidRPr="001234B0">
        <w:rPr>
          <w:rFonts w:ascii="Times New Roman" w:eastAsia="Times New Roman" w:hAnsi="Times New Roman" w:cs="Times New Roman"/>
          <w:color w:val="auto"/>
          <w:sz w:val="20"/>
          <w:szCs w:val="20"/>
        </w:rPr>
        <w:t>U.N. Committee on the Elimination of Discrimination Against Women, Concluding Observations of the Committee, Aug. 7, 2012, CEDAW/C/GUY/ CO/7–8</w:t>
      </w:r>
    </w:p>
    <w:sectPr w:rsidR="000E61E3" w:rsidRPr="002A03A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150AA" w14:textId="77777777" w:rsidR="001151EE" w:rsidRDefault="001151EE" w:rsidP="00F01C1F">
      <w:pPr>
        <w:spacing w:after="0" w:line="240" w:lineRule="auto"/>
      </w:pPr>
      <w:r>
        <w:separator/>
      </w:r>
    </w:p>
  </w:endnote>
  <w:endnote w:type="continuationSeparator" w:id="0">
    <w:p w14:paraId="02124B78" w14:textId="77777777" w:rsidR="001151EE" w:rsidRDefault="001151EE" w:rsidP="00F01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1484219"/>
      <w:docPartObj>
        <w:docPartGallery w:val="Page Numbers (Bottom of Page)"/>
        <w:docPartUnique/>
      </w:docPartObj>
    </w:sdtPr>
    <w:sdtEndPr>
      <w:rPr>
        <w:rFonts w:asciiTheme="majorBidi" w:hAnsiTheme="majorBidi" w:cstheme="majorBidi"/>
        <w:noProof/>
        <w:color w:val="auto"/>
        <w:sz w:val="24"/>
        <w:szCs w:val="24"/>
      </w:rPr>
    </w:sdtEndPr>
    <w:sdtContent>
      <w:p w14:paraId="070F037E" w14:textId="385C2704" w:rsidR="00445B87" w:rsidRPr="00445B87" w:rsidRDefault="00445B87">
        <w:pPr>
          <w:pStyle w:val="Footer"/>
          <w:jc w:val="center"/>
          <w:rPr>
            <w:rFonts w:asciiTheme="majorBidi" w:hAnsiTheme="majorBidi" w:cstheme="majorBidi"/>
            <w:color w:val="auto"/>
            <w:sz w:val="24"/>
            <w:szCs w:val="24"/>
          </w:rPr>
        </w:pPr>
        <w:r w:rsidRPr="00445B87">
          <w:rPr>
            <w:rFonts w:asciiTheme="majorBidi" w:hAnsiTheme="majorBidi" w:cstheme="majorBidi"/>
            <w:color w:val="auto"/>
            <w:sz w:val="24"/>
            <w:szCs w:val="24"/>
          </w:rPr>
          <w:fldChar w:fldCharType="begin"/>
        </w:r>
        <w:r w:rsidRPr="00445B87">
          <w:rPr>
            <w:rFonts w:asciiTheme="majorBidi" w:hAnsiTheme="majorBidi" w:cstheme="majorBidi"/>
            <w:color w:val="auto"/>
            <w:sz w:val="24"/>
            <w:szCs w:val="24"/>
          </w:rPr>
          <w:instrText xml:space="preserve"> PAGE   \* MERGEFORMAT </w:instrText>
        </w:r>
        <w:r w:rsidRPr="00445B87">
          <w:rPr>
            <w:rFonts w:asciiTheme="majorBidi" w:hAnsiTheme="majorBidi" w:cstheme="majorBidi"/>
            <w:color w:val="auto"/>
            <w:sz w:val="24"/>
            <w:szCs w:val="24"/>
          </w:rPr>
          <w:fldChar w:fldCharType="separate"/>
        </w:r>
        <w:r w:rsidR="008479AD">
          <w:rPr>
            <w:rFonts w:asciiTheme="majorBidi" w:hAnsiTheme="majorBidi" w:cstheme="majorBidi"/>
            <w:noProof/>
            <w:color w:val="auto"/>
            <w:sz w:val="24"/>
            <w:szCs w:val="24"/>
          </w:rPr>
          <w:t>5</w:t>
        </w:r>
        <w:r w:rsidRPr="00445B87">
          <w:rPr>
            <w:rFonts w:asciiTheme="majorBidi" w:hAnsiTheme="majorBidi" w:cstheme="majorBidi"/>
            <w:noProof/>
            <w:color w:val="auto"/>
            <w:sz w:val="24"/>
            <w:szCs w:val="24"/>
          </w:rPr>
          <w:fldChar w:fldCharType="end"/>
        </w:r>
      </w:p>
    </w:sdtContent>
  </w:sdt>
  <w:p w14:paraId="5E50F76A" w14:textId="77777777" w:rsidR="00445B87" w:rsidRDefault="00445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BA872" w14:textId="77777777" w:rsidR="001151EE" w:rsidRDefault="001151EE" w:rsidP="00F01C1F">
      <w:pPr>
        <w:spacing w:after="0" w:line="240" w:lineRule="auto"/>
      </w:pPr>
      <w:r>
        <w:separator/>
      </w:r>
    </w:p>
  </w:footnote>
  <w:footnote w:type="continuationSeparator" w:id="0">
    <w:p w14:paraId="3FB73BDC" w14:textId="77777777" w:rsidR="001151EE" w:rsidRDefault="001151EE" w:rsidP="00F01C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C1F"/>
    <w:rsid w:val="00017FCA"/>
    <w:rsid w:val="0005748E"/>
    <w:rsid w:val="000B0F32"/>
    <w:rsid w:val="000E61E3"/>
    <w:rsid w:val="001018C1"/>
    <w:rsid w:val="001019E0"/>
    <w:rsid w:val="001151EE"/>
    <w:rsid w:val="001234B0"/>
    <w:rsid w:val="00145877"/>
    <w:rsid w:val="00164214"/>
    <w:rsid w:val="00172114"/>
    <w:rsid w:val="00177980"/>
    <w:rsid w:val="001F3D82"/>
    <w:rsid w:val="00210C62"/>
    <w:rsid w:val="00214F3F"/>
    <w:rsid w:val="00220F2C"/>
    <w:rsid w:val="00224078"/>
    <w:rsid w:val="002A03AF"/>
    <w:rsid w:val="002A10BA"/>
    <w:rsid w:val="00321F8A"/>
    <w:rsid w:val="00371DF6"/>
    <w:rsid w:val="003C6197"/>
    <w:rsid w:val="003D35CC"/>
    <w:rsid w:val="003E7C03"/>
    <w:rsid w:val="003F1D4A"/>
    <w:rsid w:val="00445B87"/>
    <w:rsid w:val="004549ED"/>
    <w:rsid w:val="004A0EB4"/>
    <w:rsid w:val="004A338C"/>
    <w:rsid w:val="004B2426"/>
    <w:rsid w:val="004B3CBD"/>
    <w:rsid w:val="004F5D3E"/>
    <w:rsid w:val="00563518"/>
    <w:rsid w:val="005C2155"/>
    <w:rsid w:val="005C7CF5"/>
    <w:rsid w:val="005F1180"/>
    <w:rsid w:val="00631027"/>
    <w:rsid w:val="0064791F"/>
    <w:rsid w:val="00785E7D"/>
    <w:rsid w:val="007D50E2"/>
    <w:rsid w:val="008237B8"/>
    <w:rsid w:val="00842781"/>
    <w:rsid w:val="008479AD"/>
    <w:rsid w:val="008A2734"/>
    <w:rsid w:val="008C1359"/>
    <w:rsid w:val="008D51BD"/>
    <w:rsid w:val="008E5683"/>
    <w:rsid w:val="00926955"/>
    <w:rsid w:val="0093386A"/>
    <w:rsid w:val="0094350A"/>
    <w:rsid w:val="0095382E"/>
    <w:rsid w:val="00965B50"/>
    <w:rsid w:val="00992E80"/>
    <w:rsid w:val="009A4336"/>
    <w:rsid w:val="009B34BE"/>
    <w:rsid w:val="009D6BBC"/>
    <w:rsid w:val="009F579D"/>
    <w:rsid w:val="00A247C6"/>
    <w:rsid w:val="00AD21D3"/>
    <w:rsid w:val="00AE7E6B"/>
    <w:rsid w:val="00AF04A0"/>
    <w:rsid w:val="00B23CB1"/>
    <w:rsid w:val="00B40991"/>
    <w:rsid w:val="00B8605E"/>
    <w:rsid w:val="00BD1DCC"/>
    <w:rsid w:val="00C243DB"/>
    <w:rsid w:val="00C37BC2"/>
    <w:rsid w:val="00C7080A"/>
    <w:rsid w:val="00C92777"/>
    <w:rsid w:val="00D063F8"/>
    <w:rsid w:val="00D62C40"/>
    <w:rsid w:val="00DA7504"/>
    <w:rsid w:val="00DC59B5"/>
    <w:rsid w:val="00E50673"/>
    <w:rsid w:val="00E50DBD"/>
    <w:rsid w:val="00E742EC"/>
    <w:rsid w:val="00EB050E"/>
    <w:rsid w:val="00EB21DF"/>
    <w:rsid w:val="00F00FA2"/>
    <w:rsid w:val="00F01C1F"/>
    <w:rsid w:val="00F742DF"/>
    <w:rsid w:val="00F826A5"/>
    <w:rsid w:val="3183C4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7587B"/>
  <w15:chartTrackingRefBased/>
  <w15:docId w15:val="{B189337B-4FE8-43FE-ABBF-D1E4F7252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6197"/>
    <w:pPr>
      <w:spacing w:after="120" w:line="256" w:lineRule="auto"/>
    </w:pPr>
    <w:rPr>
      <w:color w:val="595959" w:themeColor="text1" w:themeTint="A6"/>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C6197"/>
    <w:rPr>
      <w:color w:val="525252" w:themeColor="accent3" w:themeShade="80"/>
      <w:u w:val="single"/>
    </w:rPr>
  </w:style>
  <w:style w:type="paragraph" w:styleId="Header">
    <w:name w:val="header"/>
    <w:basedOn w:val="Normal"/>
    <w:link w:val="HeaderChar"/>
    <w:uiPriority w:val="99"/>
    <w:unhideWhenUsed/>
    <w:rsid w:val="00445B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5B87"/>
    <w:rPr>
      <w:color w:val="595959" w:themeColor="text1" w:themeTint="A6"/>
      <w:sz w:val="30"/>
      <w:szCs w:val="30"/>
    </w:rPr>
  </w:style>
  <w:style w:type="paragraph" w:styleId="Footer">
    <w:name w:val="footer"/>
    <w:basedOn w:val="Normal"/>
    <w:link w:val="FooterChar"/>
    <w:uiPriority w:val="99"/>
    <w:unhideWhenUsed/>
    <w:rsid w:val="00445B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5B87"/>
    <w:rPr>
      <w:color w:val="595959" w:themeColor="text1" w:themeTint="A6"/>
      <w:sz w:val="30"/>
      <w:szCs w:val="30"/>
    </w:rPr>
  </w:style>
  <w:style w:type="paragraph" w:styleId="BalloonText">
    <w:name w:val="Balloon Text"/>
    <w:basedOn w:val="Normal"/>
    <w:link w:val="BalloonTextChar"/>
    <w:uiPriority w:val="99"/>
    <w:semiHidden/>
    <w:unhideWhenUsed/>
    <w:rsid w:val="00992E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E80"/>
    <w:rPr>
      <w:rFonts w:ascii="Segoe UI" w:hAnsi="Segoe UI" w:cs="Segoe UI"/>
      <w:color w:val="595959" w:themeColor="text1" w:themeTint="A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23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tercenter.org/documents/1036.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artercenter.org/documents/electionreports/democracy/FinalReportGuyana1990_1992.pdf" TargetMode="Externa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yperlink" Target="https://www.cartercenter.org/resources/pdfs/news/peace_publications/election_reports/guyana-2015-final-statement-051717.pdf" TargetMode="External"/><Relationship Id="rId4" Type="http://schemas.openxmlformats.org/officeDocument/2006/relationships/footnotes" Target="footnotes.xml"/><Relationship Id="rId9" Type="http://schemas.openxmlformats.org/officeDocument/2006/relationships/hyperlink" Target="https://www.cartercenter.org/documents/guyanaelect%20rpt07_final.pdf"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E57B39-105C-4EBF-9B4F-DD5BC1EE270D}"/>
</file>

<file path=customXml/itemProps2.xml><?xml version="1.0" encoding="utf-8"?>
<ds:datastoreItem xmlns:ds="http://schemas.openxmlformats.org/officeDocument/2006/customXml" ds:itemID="{1C03F10F-FB12-494B-A8BC-DC0E9A1BC395}"/>
</file>

<file path=customXml/itemProps3.xml><?xml version="1.0" encoding="utf-8"?>
<ds:datastoreItem xmlns:ds="http://schemas.openxmlformats.org/officeDocument/2006/customXml" ds:itemID="{CC05DAC3-40C8-40C2-831A-CE31CE2CD8C2}"/>
</file>

<file path=docProps/app.xml><?xml version="1.0" encoding="utf-8"?>
<Properties xmlns="http://schemas.openxmlformats.org/officeDocument/2006/extended-properties" xmlns:vt="http://schemas.openxmlformats.org/officeDocument/2006/docPropsVTypes">
  <Template>Normal</Template>
  <TotalTime>8</TotalTime>
  <Pages>5</Pages>
  <Words>1979</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Richardson</dc:creator>
  <cp:keywords/>
  <dc:description/>
  <cp:lastModifiedBy>Obehi Okojie</cp:lastModifiedBy>
  <cp:revision>4</cp:revision>
  <cp:lastPrinted>2019-06-05T19:29:00Z</cp:lastPrinted>
  <dcterms:created xsi:type="dcterms:W3CDTF">2019-06-10T20:14:00Z</dcterms:created>
  <dcterms:modified xsi:type="dcterms:W3CDTF">2019-06-10T20:21:00Z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