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B11" w:rsidRDefault="00242D5D">
      <w:pPr>
        <w:ind w:left="0" w:hanging="2"/>
        <w:jc w:val="center"/>
        <w:rPr>
          <w:rFonts w:ascii="Arial" w:eastAsia="Arial" w:hAnsi="Arial" w:cs="Arial"/>
        </w:rPr>
      </w:pPr>
      <w:bookmarkStart w:id="0" w:name="_GoBack"/>
      <w:bookmarkEnd w:id="0"/>
      <w:r>
        <w:rPr>
          <w:rFonts w:ascii="Arial" w:eastAsia="Arial" w:hAnsi="Arial" w:cs="Arial"/>
          <w:b/>
        </w:rPr>
        <w:t>Cyprus Peace and Dialogue Centre</w:t>
      </w:r>
    </w:p>
    <w:p w:rsidR="008E1B11" w:rsidRDefault="00242D5D">
      <w:pPr>
        <w:ind w:left="0" w:hanging="2"/>
        <w:jc w:val="center"/>
        <w:rPr>
          <w:rFonts w:ascii="Arial" w:eastAsia="Arial" w:hAnsi="Arial" w:cs="Arial"/>
        </w:rPr>
      </w:pPr>
      <w:r>
        <w:rPr>
          <w:rFonts w:ascii="Arial" w:eastAsia="Arial" w:hAnsi="Arial" w:cs="Arial"/>
          <w:b/>
        </w:rPr>
        <w:t xml:space="preserve">Submission to the </w:t>
      </w:r>
      <w:r>
        <w:rPr>
          <w:rFonts w:ascii="Arial" w:eastAsia="Arial" w:hAnsi="Arial" w:cs="Arial"/>
          <w:b/>
          <w:color w:val="222222"/>
          <w:highlight w:val="white"/>
        </w:rPr>
        <w:t>Committee on Economic, Social, and Cultural Rights (CESCR)</w:t>
      </w:r>
      <w:r>
        <w:rPr>
          <w:rFonts w:ascii="Arial" w:eastAsia="Arial" w:hAnsi="Arial" w:cs="Arial"/>
          <w:b/>
        </w:rPr>
        <w:t xml:space="preserve"> for the consideration of its preparation of</w:t>
      </w:r>
      <w:r>
        <w:rPr>
          <w:rFonts w:ascii="Arial" w:eastAsia="Arial" w:hAnsi="Arial" w:cs="Arial"/>
          <w:b/>
          <w:color w:val="222222"/>
          <w:highlight w:val="white"/>
        </w:rPr>
        <w:t xml:space="preserve"> a list of issues (LoI) at its upcoming 71st pre-sessional working group session (17 to 21 October)</w:t>
      </w:r>
    </w:p>
    <w:p w:rsidR="008E1B11" w:rsidRDefault="00242D5D">
      <w:pPr>
        <w:ind w:left="0" w:hanging="2"/>
        <w:jc w:val="right"/>
        <w:rPr>
          <w:rFonts w:ascii="Arial" w:eastAsia="Arial" w:hAnsi="Arial" w:cs="Arial"/>
        </w:rPr>
      </w:pPr>
      <w:r>
        <w:rPr>
          <w:rFonts w:ascii="Arial" w:eastAsia="Arial" w:hAnsi="Arial" w:cs="Arial"/>
          <w:b/>
        </w:rPr>
        <w:t>August 2022</w:t>
      </w:r>
    </w:p>
    <w:p w:rsidR="008E1B11" w:rsidRDefault="00242D5D">
      <w:pPr>
        <w:ind w:left="0" w:hanging="2"/>
        <w:rPr>
          <w:rFonts w:ascii="Arial" w:eastAsia="Arial" w:hAnsi="Arial" w:cs="Arial"/>
        </w:rPr>
      </w:pPr>
      <w:r>
        <w:rPr>
          <w:rFonts w:ascii="Arial" w:eastAsia="Arial" w:hAnsi="Arial" w:cs="Arial"/>
          <w:b/>
        </w:rPr>
        <w:t>Introduction</w:t>
      </w:r>
    </w:p>
    <w:p w:rsidR="008E1B11" w:rsidRDefault="00242D5D">
      <w:pPr>
        <w:ind w:left="0" w:hanging="2"/>
        <w:rPr>
          <w:rFonts w:ascii="Arial" w:eastAsia="Arial" w:hAnsi="Arial" w:cs="Arial"/>
        </w:rPr>
      </w:pPr>
      <w:r>
        <w:rPr>
          <w:rFonts w:ascii="Arial" w:eastAsia="Arial" w:hAnsi="Arial" w:cs="Arial"/>
        </w:rPr>
        <w:t>The Cyprus Peace and Dialogue Centre (CPDC) is a unique bi-communal initiative. CPDC brings together key stakeholders, leading personalities and organisations from the two main communities in Cyprus, to revisit and build on existin</w:t>
      </w:r>
      <w:r>
        <w:rPr>
          <w:rFonts w:ascii="Arial" w:eastAsia="Arial" w:hAnsi="Arial" w:cs="Arial"/>
        </w:rPr>
        <w:t>g mechanisms, and find new creative modalities for long-lasting peace. It is our belief that a comprehensive settlement must be achieved through a holistic approach, and will present a vision of peaceful coexistence to the region.</w:t>
      </w:r>
    </w:p>
    <w:p w:rsidR="008E1B11" w:rsidRDefault="00242D5D">
      <w:pPr>
        <w:ind w:left="0" w:hanging="2"/>
        <w:rPr>
          <w:rFonts w:ascii="Arial" w:eastAsia="Arial" w:hAnsi="Arial" w:cs="Arial"/>
        </w:rPr>
      </w:pPr>
      <w:r>
        <w:rPr>
          <w:rFonts w:ascii="Arial" w:eastAsia="Arial" w:hAnsi="Arial" w:cs="Arial"/>
        </w:rPr>
        <w:t>Part of this, alongside f</w:t>
      </w:r>
      <w:r>
        <w:rPr>
          <w:rFonts w:ascii="Arial" w:eastAsia="Arial" w:hAnsi="Arial" w:cs="Arial"/>
        </w:rPr>
        <w:t>ocuses on policy, grassroots dialogue and cultural reconciliation, cross-community civil society networking, and economy/ commerce, is about promoting inter-communal relations and a peaceful environment by ensuring that rights violations exacerbated by the</w:t>
      </w:r>
      <w:r>
        <w:rPr>
          <w:rFonts w:ascii="Arial" w:eastAsia="Arial" w:hAnsi="Arial" w:cs="Arial"/>
        </w:rPr>
        <w:t xml:space="preserve"> ongoing Cyprus conflict are monitored, addressed and decreased, both via local awareness-raising and education as well as use of international reporting mechanisms.</w:t>
      </w:r>
      <w:r>
        <w:rPr>
          <w:rFonts w:ascii="Arial" w:eastAsia="Arial" w:hAnsi="Arial" w:cs="Arial"/>
        </w:rPr>
        <w:t xml:space="preserve"> Our first experience with such mechanisms as CPDC was in March 2022, when we were invited </w:t>
      </w:r>
      <w:r>
        <w:rPr>
          <w:rFonts w:ascii="Arial" w:eastAsia="Arial" w:hAnsi="Arial" w:cs="Arial"/>
        </w:rPr>
        <w:t>by partner organisation International Communities Organisation (ICO), an ECOSOC accredited organisation, to attend the meeting containing the oral update on Cyprus during Human Rights Council’s 49th Regular Session.</w:t>
      </w:r>
    </w:p>
    <w:p w:rsidR="008E1B11" w:rsidRDefault="00242D5D">
      <w:pPr>
        <w:ind w:left="0" w:hanging="2"/>
        <w:rPr>
          <w:rFonts w:ascii="Arial" w:eastAsia="Arial" w:hAnsi="Arial" w:cs="Arial"/>
        </w:rPr>
      </w:pPr>
      <w:r>
        <w:rPr>
          <w:rFonts w:ascii="Arial" w:eastAsia="Arial" w:hAnsi="Arial" w:cs="Arial"/>
        </w:rPr>
        <w:t>CPDC understands this LoI to relate excl</w:t>
      </w:r>
      <w:r>
        <w:rPr>
          <w:rFonts w:ascii="Arial" w:eastAsia="Arial" w:hAnsi="Arial" w:cs="Arial"/>
        </w:rPr>
        <w:t>usively to those violations for which the Republic of Cyprus (RoC) can be held directly responsible. Hence, while there are many ongoing violations across the whole of the island of Cyprus as a result of the conflict, we have here focused on those being ex</w:t>
      </w:r>
      <w:r>
        <w:rPr>
          <w:rFonts w:ascii="Arial" w:eastAsia="Arial" w:hAnsi="Arial" w:cs="Arial"/>
        </w:rPr>
        <w:t>perienced within the areas under the effective control of the RoC; specifically, those faced by Turkish Cypriots, as the context of animosity and hostility serving as the root of these violations is central to the focus of CPDC’s areas of work.</w:t>
      </w:r>
    </w:p>
    <w:p w:rsidR="008E1B11" w:rsidRDefault="00242D5D">
      <w:pPr>
        <w:ind w:left="0" w:hanging="2"/>
        <w:rPr>
          <w:rFonts w:ascii="Arial" w:eastAsia="Arial" w:hAnsi="Arial" w:cs="Arial"/>
        </w:rPr>
      </w:pPr>
      <w:r>
        <w:rPr>
          <w:rFonts w:ascii="Arial" w:eastAsia="Arial" w:hAnsi="Arial" w:cs="Arial"/>
          <w:b/>
        </w:rPr>
        <w:t>Suggestions</w:t>
      </w:r>
      <w:r>
        <w:rPr>
          <w:rFonts w:ascii="Arial" w:eastAsia="Arial" w:hAnsi="Arial" w:cs="Arial"/>
          <w:b/>
        </w:rPr>
        <w:t xml:space="preserve"> for List of Issues and Questions to State </w:t>
      </w:r>
      <w:r>
        <w:rPr>
          <w:rFonts w:ascii="Arial" w:eastAsia="Arial" w:hAnsi="Arial" w:cs="Arial"/>
          <w:b/>
        </w:rPr>
        <w:t>p</w:t>
      </w:r>
      <w:r>
        <w:rPr>
          <w:rFonts w:ascii="Arial" w:eastAsia="Arial" w:hAnsi="Arial" w:cs="Arial"/>
          <w:b/>
        </w:rPr>
        <w:t>arty</w:t>
      </w:r>
    </w:p>
    <w:p w:rsidR="008E1B11" w:rsidRDefault="00242D5D">
      <w:pPr>
        <w:ind w:left="0" w:hanging="2"/>
        <w:rPr>
          <w:rFonts w:ascii="Arial" w:eastAsia="Arial" w:hAnsi="Arial" w:cs="Arial"/>
        </w:rPr>
      </w:pPr>
      <w:r>
        <w:rPr>
          <w:rFonts w:ascii="Arial" w:eastAsia="Arial" w:hAnsi="Arial" w:cs="Arial"/>
        </w:rPr>
        <w:t xml:space="preserve">This short paper highlights </w:t>
      </w:r>
      <w:r>
        <w:rPr>
          <w:rFonts w:ascii="Arial" w:eastAsia="Arial" w:hAnsi="Arial" w:cs="Arial"/>
        </w:rPr>
        <w:t>three</w:t>
      </w:r>
      <w:r>
        <w:rPr>
          <w:rFonts w:ascii="Arial" w:eastAsia="Arial" w:hAnsi="Arial" w:cs="Arial"/>
        </w:rPr>
        <w:t xml:space="preserve"> key categories of issues which have arisen in the field of CPDC’s activities and consultations:</w:t>
      </w:r>
    </w:p>
    <w:p w:rsidR="008E1B11" w:rsidRDefault="00242D5D">
      <w:pPr>
        <w:numPr>
          <w:ilvl w:val="0"/>
          <w:numId w:val="1"/>
        </w:numPr>
        <w:ind w:left="0" w:hanging="2"/>
        <w:rPr>
          <w:rFonts w:ascii="Arial" w:eastAsia="Arial" w:hAnsi="Arial" w:cs="Arial"/>
        </w:rPr>
      </w:pPr>
      <w:r>
        <w:rPr>
          <w:rFonts w:ascii="Arial" w:eastAsia="Arial" w:hAnsi="Arial" w:cs="Arial"/>
        </w:rPr>
        <w:t>Issues of access to citizenship for Turkish Cypriots</w:t>
      </w:r>
    </w:p>
    <w:p w:rsidR="008E1B11" w:rsidRDefault="00242D5D">
      <w:pPr>
        <w:numPr>
          <w:ilvl w:val="0"/>
          <w:numId w:val="1"/>
        </w:numPr>
        <w:ind w:left="0" w:hanging="2"/>
        <w:rPr>
          <w:rFonts w:ascii="Arial" w:eastAsia="Arial" w:hAnsi="Arial" w:cs="Arial"/>
        </w:rPr>
      </w:pPr>
      <w:r>
        <w:rPr>
          <w:rFonts w:ascii="Arial" w:eastAsia="Arial" w:hAnsi="Arial" w:cs="Arial"/>
        </w:rPr>
        <w:t>Discrimination against T</w:t>
      </w:r>
      <w:r>
        <w:rPr>
          <w:rFonts w:ascii="Arial" w:eastAsia="Arial" w:hAnsi="Arial" w:cs="Arial"/>
        </w:rPr>
        <w:t>urkish Cypriot RoC citizens living in the north</w:t>
      </w:r>
    </w:p>
    <w:p w:rsidR="008E1B11" w:rsidRDefault="00242D5D">
      <w:pPr>
        <w:numPr>
          <w:ilvl w:val="0"/>
          <w:numId w:val="1"/>
        </w:numPr>
        <w:ind w:left="0" w:hanging="2"/>
        <w:rPr>
          <w:rFonts w:ascii="Arial" w:eastAsia="Arial" w:hAnsi="Arial" w:cs="Arial"/>
        </w:rPr>
      </w:pPr>
      <w:r>
        <w:rPr>
          <w:rFonts w:ascii="Arial" w:eastAsia="Arial" w:hAnsi="Arial" w:cs="Arial"/>
        </w:rPr>
        <w:lastRenderedPageBreak/>
        <w:t>Discrimination against Turkish Cypriot RoC citizens living in the RoC</w:t>
      </w:r>
    </w:p>
    <w:p w:rsidR="008E1B11" w:rsidRDefault="00242D5D">
      <w:pPr>
        <w:numPr>
          <w:ilvl w:val="0"/>
          <w:numId w:val="2"/>
        </w:numPr>
        <w:ind w:left="0" w:hanging="2"/>
        <w:rPr>
          <w:rFonts w:ascii="Arial" w:eastAsia="Arial" w:hAnsi="Arial" w:cs="Arial"/>
          <w:color w:val="009999"/>
        </w:rPr>
      </w:pPr>
      <w:r>
        <w:rPr>
          <w:rFonts w:ascii="Arial" w:eastAsia="Arial" w:hAnsi="Arial" w:cs="Arial"/>
          <w:b/>
          <w:color w:val="009999"/>
        </w:rPr>
        <w:t>Issues of access to citizenship for Turkish Cypriots</w:t>
      </w:r>
    </w:p>
    <w:p w:rsidR="008E1B11" w:rsidRDefault="00242D5D">
      <w:pPr>
        <w:numPr>
          <w:ilvl w:val="1"/>
          <w:numId w:val="2"/>
        </w:numPr>
        <w:ind w:left="0" w:hanging="2"/>
        <w:rPr>
          <w:rFonts w:ascii="Arial" w:eastAsia="Arial" w:hAnsi="Arial" w:cs="Arial"/>
        </w:rPr>
      </w:pPr>
      <w:r>
        <w:rPr>
          <w:rFonts w:ascii="Arial" w:eastAsia="Arial" w:hAnsi="Arial" w:cs="Arial"/>
        </w:rPr>
        <w:t>Turkish Cypriots born of mixed marriages where one parent is of Turkish Cypriot origi</w:t>
      </w:r>
      <w:r>
        <w:rPr>
          <w:rFonts w:ascii="Arial" w:eastAsia="Arial" w:hAnsi="Arial" w:cs="Arial"/>
        </w:rPr>
        <w:t xml:space="preserve">n and the other is of Turkish origin are very often not granted RoC citizenship despite being Cypriot themselves, even if they are </w:t>
      </w:r>
      <w:r>
        <w:rPr>
          <w:rFonts w:ascii="Arial" w:eastAsia="Arial" w:hAnsi="Arial" w:cs="Arial"/>
        </w:rPr>
        <w:t>born within</w:t>
      </w:r>
      <w:r>
        <w:rPr>
          <w:rFonts w:ascii="Arial" w:eastAsia="Arial" w:hAnsi="Arial" w:cs="Arial"/>
        </w:rPr>
        <w:t xml:space="preserve"> the areas under effective control of the RoC.</w:t>
      </w:r>
    </w:p>
    <w:p w:rsidR="008E1B11" w:rsidRDefault="00242D5D">
      <w:pPr>
        <w:numPr>
          <w:ilvl w:val="1"/>
          <w:numId w:val="2"/>
        </w:numPr>
        <w:ind w:left="0" w:hanging="2"/>
        <w:rPr>
          <w:rFonts w:ascii="Arial" w:eastAsia="Arial" w:hAnsi="Arial" w:cs="Arial"/>
        </w:rPr>
      </w:pPr>
      <w:r>
        <w:rPr>
          <w:rFonts w:ascii="Arial" w:eastAsia="Arial" w:hAnsi="Arial" w:cs="Arial"/>
        </w:rPr>
        <w:t xml:space="preserve">Certain Turkish Cypriots are arbitrarily and unexpectedly stripped </w:t>
      </w:r>
      <w:r>
        <w:rPr>
          <w:rFonts w:ascii="Arial" w:eastAsia="Arial" w:hAnsi="Arial" w:cs="Arial"/>
        </w:rPr>
        <w:t>of their citizenship. CPDC has been made aware by direct contact with one case of a young man who was granted RoC citizenship before the opening of the checkpoints in 2003. His mother is of Turkish origin and his father of Turkish Cypriot origin. He had re</w:t>
      </w:r>
      <w:r>
        <w:rPr>
          <w:rFonts w:ascii="Arial" w:eastAsia="Arial" w:hAnsi="Arial" w:cs="Arial"/>
        </w:rPr>
        <w:t xml:space="preserve">newed his passport twice (due to reaching the natural expiration dates) with no </w:t>
      </w:r>
      <w:r>
        <w:rPr>
          <w:rFonts w:ascii="Arial" w:eastAsia="Arial" w:hAnsi="Arial" w:cs="Arial"/>
        </w:rPr>
        <w:t>challenges</w:t>
      </w:r>
      <w:r>
        <w:rPr>
          <w:rFonts w:ascii="Arial" w:eastAsia="Arial" w:hAnsi="Arial" w:cs="Arial"/>
        </w:rPr>
        <w:t xml:space="preserve"> but upon the third time, faced challenges and has still not been granted a new passport years later.</w:t>
      </w:r>
    </w:p>
    <w:p w:rsidR="008E1B11" w:rsidRDefault="00242D5D">
      <w:pPr>
        <w:ind w:left="0" w:hanging="2"/>
        <w:rPr>
          <w:rFonts w:ascii="Arial" w:eastAsia="Arial" w:hAnsi="Arial" w:cs="Arial"/>
        </w:rPr>
      </w:pPr>
      <w:r>
        <w:rPr>
          <w:rFonts w:ascii="Arial" w:eastAsia="Arial" w:hAnsi="Arial" w:cs="Arial"/>
        </w:rPr>
        <w:t>This young man is a graduate of the English School in the RoC, s</w:t>
      </w:r>
      <w:r>
        <w:rPr>
          <w:rFonts w:ascii="Arial" w:eastAsia="Arial" w:hAnsi="Arial" w:cs="Arial"/>
        </w:rPr>
        <w:t xml:space="preserve">peaks fluent Greek and graduated from a UK university. He was then offered a job at a large international accountancy firm in the RoC before having the offer revoked due to this issue of an expired passport. With our </w:t>
      </w:r>
      <w:r>
        <w:rPr>
          <w:rFonts w:ascii="Arial" w:eastAsia="Arial" w:hAnsi="Arial" w:cs="Arial"/>
        </w:rPr>
        <w:t>support,</w:t>
      </w:r>
      <w:r>
        <w:rPr>
          <w:rFonts w:ascii="Arial" w:eastAsia="Arial" w:hAnsi="Arial" w:cs="Arial"/>
        </w:rPr>
        <w:t xml:space="preserve"> he and his family have attempt</w:t>
      </w:r>
      <w:r>
        <w:rPr>
          <w:rFonts w:ascii="Arial" w:eastAsia="Arial" w:hAnsi="Arial" w:cs="Arial"/>
        </w:rPr>
        <w:t>ed via multiple routes to find a resolution to the issue but ha</w:t>
      </w:r>
      <w:r>
        <w:rPr>
          <w:rFonts w:ascii="Arial" w:eastAsia="Arial" w:hAnsi="Arial" w:cs="Arial"/>
        </w:rPr>
        <w:t>ve</w:t>
      </w:r>
      <w:r>
        <w:rPr>
          <w:rFonts w:ascii="Arial" w:eastAsia="Arial" w:hAnsi="Arial" w:cs="Arial"/>
        </w:rPr>
        <w:t xml:space="preserve"> been told at state service offices that he is no longer entitled to citizenship (despite his brother of the same parents still being a citizen). He therefore faces loss of opportunity due to</w:t>
      </w:r>
      <w:r>
        <w:rPr>
          <w:rFonts w:ascii="Arial" w:eastAsia="Arial" w:hAnsi="Arial" w:cs="Arial"/>
        </w:rPr>
        <w:t xml:space="preserve"> this discrimination, not only in terms of employment but also in terms of travel, access to EU opportunities, and many other areas of social and cultural life. </w:t>
      </w:r>
    </w:p>
    <w:p w:rsidR="008E1B11" w:rsidRDefault="00242D5D">
      <w:pPr>
        <w:ind w:left="0" w:hanging="2"/>
        <w:rPr>
          <w:rFonts w:ascii="Arial" w:eastAsia="Arial" w:hAnsi="Arial" w:cs="Arial"/>
        </w:rPr>
      </w:pPr>
      <w:r>
        <w:rPr>
          <w:rFonts w:ascii="Arial" w:eastAsia="Arial" w:hAnsi="Arial" w:cs="Arial"/>
          <w:b/>
        </w:rPr>
        <w:t xml:space="preserve">Question to State </w:t>
      </w:r>
      <w:r>
        <w:rPr>
          <w:rFonts w:ascii="Arial" w:eastAsia="Arial" w:hAnsi="Arial" w:cs="Arial"/>
          <w:b/>
        </w:rPr>
        <w:t>p</w:t>
      </w:r>
      <w:r>
        <w:rPr>
          <w:rFonts w:ascii="Arial" w:eastAsia="Arial" w:hAnsi="Arial" w:cs="Arial"/>
          <w:b/>
        </w:rPr>
        <w:t>arty:</w:t>
      </w:r>
      <w:r>
        <w:rPr>
          <w:rFonts w:ascii="Arial" w:eastAsia="Arial" w:hAnsi="Arial" w:cs="Arial"/>
        </w:rPr>
        <w:t xml:space="preserve"> When will Turkish Cypriots enjoy the same rights as Greek Cypriots in</w:t>
      </w:r>
      <w:r>
        <w:rPr>
          <w:rFonts w:ascii="Arial" w:eastAsia="Arial" w:hAnsi="Arial" w:cs="Arial"/>
        </w:rPr>
        <w:t xml:space="preserve"> access to RoC citizenship via one Cyprus-origin parent? When will Turkish Cypriots cease to face discrimination, arbitrary delays and barriers at the hands of RoC state services?</w:t>
      </w:r>
    </w:p>
    <w:p w:rsidR="008E1B11" w:rsidRDefault="008E1B11">
      <w:pPr>
        <w:ind w:left="0" w:hanging="2"/>
        <w:rPr>
          <w:rFonts w:ascii="Arial" w:eastAsia="Arial" w:hAnsi="Arial" w:cs="Arial"/>
        </w:rPr>
      </w:pPr>
    </w:p>
    <w:p w:rsidR="008E1B11" w:rsidRDefault="00242D5D">
      <w:pPr>
        <w:numPr>
          <w:ilvl w:val="0"/>
          <w:numId w:val="2"/>
        </w:numPr>
        <w:ind w:left="0" w:hanging="2"/>
        <w:rPr>
          <w:rFonts w:ascii="Arial" w:eastAsia="Arial" w:hAnsi="Arial" w:cs="Arial"/>
          <w:color w:val="009999"/>
        </w:rPr>
      </w:pPr>
      <w:r>
        <w:rPr>
          <w:rFonts w:ascii="Arial" w:eastAsia="Arial" w:hAnsi="Arial" w:cs="Arial"/>
          <w:b/>
          <w:color w:val="009999"/>
        </w:rPr>
        <w:t>Discrimination against Turkish Cypriot RoC citizens living in the north</w:t>
      </w:r>
    </w:p>
    <w:p w:rsidR="008E1B11" w:rsidRDefault="00242D5D">
      <w:pPr>
        <w:ind w:left="0" w:hanging="2"/>
        <w:rPr>
          <w:rFonts w:ascii="Arial" w:eastAsia="Arial" w:hAnsi="Arial" w:cs="Arial"/>
        </w:rPr>
      </w:pPr>
      <w:r>
        <w:rPr>
          <w:rFonts w:ascii="Arial" w:eastAsia="Arial" w:hAnsi="Arial" w:cs="Arial"/>
        </w:rPr>
        <w:t>Turkish Cypriots who have been granted RoC citizenship still face discrimination in access to their rights as citizens and as EU citizens:</w:t>
      </w:r>
    </w:p>
    <w:p w:rsidR="008E1B11" w:rsidRDefault="00242D5D">
      <w:pPr>
        <w:numPr>
          <w:ilvl w:val="1"/>
          <w:numId w:val="2"/>
        </w:numPr>
        <w:ind w:left="0" w:hanging="2"/>
        <w:rPr>
          <w:rFonts w:ascii="Arial" w:eastAsia="Arial" w:hAnsi="Arial" w:cs="Arial"/>
        </w:rPr>
      </w:pPr>
      <w:r>
        <w:rPr>
          <w:rFonts w:ascii="Arial" w:eastAsia="Arial" w:hAnsi="Arial" w:cs="Arial"/>
        </w:rPr>
        <w:t>Turkish Cypriots residing in the north suffered lack of access to healthcare during the Covid-19 pandemic when the ch</w:t>
      </w:r>
      <w:r>
        <w:rPr>
          <w:rFonts w:ascii="Arial" w:eastAsia="Arial" w:hAnsi="Arial" w:cs="Arial"/>
        </w:rPr>
        <w:t xml:space="preserve">eckpoints were closed. The initiative to close the checkpoints was taken by the RoC and it remains unclear to what extent this decision was entirely in the interests of public health. Turkish Cypriots unable to cross were unable to access RoC hospitals. </w:t>
      </w:r>
      <w:r>
        <w:rPr>
          <w:rFonts w:ascii="Arial" w:eastAsia="Arial" w:hAnsi="Arial" w:cs="Arial"/>
        </w:rPr>
        <w:t>Mo</w:t>
      </w:r>
      <w:r>
        <w:rPr>
          <w:rFonts w:ascii="Arial" w:eastAsia="Arial" w:hAnsi="Arial" w:cs="Arial"/>
        </w:rPr>
        <w:t>reover, where checkpoint closures outlived closure of the relevant institutions, they impacted right to education for those enrolled at institutions located in the RoC as well as the right to religion given access to sites of worship was effectively barred</w:t>
      </w:r>
      <w:r>
        <w:rPr>
          <w:rFonts w:ascii="Arial" w:eastAsia="Arial" w:hAnsi="Arial" w:cs="Arial"/>
        </w:rPr>
        <w:t xml:space="preserve">. </w:t>
      </w:r>
    </w:p>
    <w:p w:rsidR="008E1B11" w:rsidRDefault="00242D5D">
      <w:pPr>
        <w:numPr>
          <w:ilvl w:val="1"/>
          <w:numId w:val="2"/>
        </w:numPr>
        <w:ind w:left="0" w:hanging="2"/>
        <w:rPr>
          <w:rFonts w:ascii="Arial" w:eastAsia="Arial" w:hAnsi="Arial" w:cs="Arial"/>
        </w:rPr>
      </w:pPr>
      <w:r>
        <w:rPr>
          <w:rFonts w:ascii="Arial" w:eastAsia="Arial" w:hAnsi="Arial" w:cs="Arial"/>
        </w:rPr>
        <w:lastRenderedPageBreak/>
        <w:t>Moreover, it was called to the attention of the European Parliament that the RoC administered a disproportionately low number of vaccine doses to the Turkish Cypriot community, despite the fact that vaccine orders from the EU were intended for the whole</w:t>
      </w:r>
      <w:r>
        <w:rPr>
          <w:rFonts w:ascii="Arial" w:eastAsia="Arial" w:hAnsi="Arial" w:cs="Arial"/>
        </w:rPr>
        <w:t xml:space="preserve"> Cypriot population. Turkish Cypriots also faced barriers in access to EU Digital Covid Certificates, also impacting travel rights, access to healthcare and education.</w:t>
      </w:r>
    </w:p>
    <w:p w:rsidR="008E1B11" w:rsidRDefault="00242D5D">
      <w:pPr>
        <w:numPr>
          <w:ilvl w:val="1"/>
          <w:numId w:val="2"/>
        </w:numPr>
        <w:ind w:left="0" w:hanging="2"/>
        <w:rPr>
          <w:rFonts w:ascii="Arial" w:eastAsia="Arial" w:hAnsi="Arial" w:cs="Arial"/>
        </w:rPr>
      </w:pPr>
      <w:r>
        <w:rPr>
          <w:rFonts w:ascii="Arial" w:eastAsia="Arial" w:hAnsi="Arial" w:cs="Arial"/>
        </w:rPr>
        <w:t>Turkish Cypriots who cannot provide proof of residence at a registered address in the Ro</w:t>
      </w:r>
      <w:r>
        <w:rPr>
          <w:rFonts w:ascii="Arial" w:eastAsia="Arial" w:hAnsi="Arial" w:cs="Arial"/>
        </w:rPr>
        <w:t>C, whether or not they are RoC citizens, are barred from opening a bank account at the vast majority of banking institutions in the RoC. This severely impacts ability to engage in any financial transaction whether for education, culture, leisure or busines</w:t>
      </w:r>
      <w:r>
        <w:rPr>
          <w:rFonts w:ascii="Arial" w:eastAsia="Arial" w:hAnsi="Arial" w:cs="Arial"/>
        </w:rPr>
        <w:t xml:space="preserve">s. </w:t>
      </w:r>
    </w:p>
    <w:p w:rsidR="008E1B11" w:rsidRDefault="00242D5D">
      <w:pPr>
        <w:ind w:left="0" w:hanging="2"/>
        <w:rPr>
          <w:rFonts w:ascii="Arial" w:eastAsia="Arial" w:hAnsi="Arial" w:cs="Arial"/>
        </w:rPr>
      </w:pPr>
      <w:r>
        <w:rPr>
          <w:rFonts w:ascii="Arial" w:eastAsia="Arial" w:hAnsi="Arial" w:cs="Arial"/>
          <w:b/>
        </w:rPr>
        <w:t xml:space="preserve">Questions to State </w:t>
      </w:r>
      <w:r>
        <w:rPr>
          <w:rFonts w:ascii="Arial" w:eastAsia="Arial" w:hAnsi="Arial" w:cs="Arial"/>
          <w:b/>
        </w:rPr>
        <w:t>p</w:t>
      </w:r>
      <w:r>
        <w:rPr>
          <w:rFonts w:ascii="Arial" w:eastAsia="Arial" w:hAnsi="Arial" w:cs="Arial"/>
          <w:b/>
        </w:rPr>
        <w:t>arty:</w:t>
      </w:r>
      <w:r>
        <w:rPr>
          <w:rFonts w:ascii="Arial" w:eastAsia="Arial" w:hAnsi="Arial" w:cs="Arial"/>
        </w:rPr>
        <w:t xml:space="preserve"> </w:t>
      </w:r>
    </w:p>
    <w:p w:rsidR="008E1B11" w:rsidRDefault="00242D5D">
      <w:pPr>
        <w:ind w:left="0" w:hanging="2"/>
        <w:rPr>
          <w:rFonts w:ascii="Arial" w:eastAsia="Arial" w:hAnsi="Arial" w:cs="Arial"/>
        </w:rPr>
      </w:pPr>
      <w:r>
        <w:rPr>
          <w:rFonts w:ascii="Arial" w:eastAsia="Arial" w:hAnsi="Arial" w:cs="Arial"/>
        </w:rPr>
        <w:t>When will all state services offer information in the Turkish language, one of the two official languages of the RoC?</w:t>
      </w:r>
    </w:p>
    <w:p w:rsidR="008E1B11" w:rsidRDefault="00242D5D">
      <w:pPr>
        <w:ind w:left="0" w:hanging="2"/>
        <w:rPr>
          <w:rFonts w:ascii="Arial" w:eastAsia="Arial" w:hAnsi="Arial" w:cs="Arial"/>
        </w:rPr>
      </w:pPr>
      <w:r>
        <w:rPr>
          <w:rFonts w:ascii="Arial" w:eastAsia="Arial" w:hAnsi="Arial" w:cs="Arial"/>
        </w:rPr>
        <w:t>When will individual citizens cease to be burdened by the consequences of ongoing political decisions?</w:t>
      </w:r>
    </w:p>
    <w:p w:rsidR="008E1B11" w:rsidRDefault="00242D5D">
      <w:pPr>
        <w:ind w:left="0" w:hanging="2"/>
        <w:rPr>
          <w:rFonts w:ascii="Arial" w:eastAsia="Arial" w:hAnsi="Arial" w:cs="Arial"/>
        </w:rPr>
      </w:pPr>
      <w:r>
        <w:rPr>
          <w:rFonts w:ascii="Arial" w:eastAsia="Arial" w:hAnsi="Arial" w:cs="Arial"/>
        </w:rPr>
        <w:t>What role can the State play in ensuring citizens are not discriminated against by private financial institutions?</w:t>
      </w:r>
    </w:p>
    <w:p w:rsidR="008E1B11" w:rsidRDefault="008E1B11">
      <w:pPr>
        <w:ind w:left="0" w:hanging="2"/>
        <w:rPr>
          <w:rFonts w:ascii="Arial" w:eastAsia="Arial" w:hAnsi="Arial" w:cs="Arial"/>
        </w:rPr>
      </w:pPr>
    </w:p>
    <w:p w:rsidR="008E1B11" w:rsidRDefault="00242D5D">
      <w:pPr>
        <w:numPr>
          <w:ilvl w:val="0"/>
          <w:numId w:val="2"/>
        </w:numPr>
        <w:ind w:left="0" w:hanging="2"/>
        <w:rPr>
          <w:rFonts w:ascii="Arial" w:eastAsia="Arial" w:hAnsi="Arial" w:cs="Arial"/>
          <w:color w:val="009999"/>
        </w:rPr>
      </w:pPr>
      <w:r>
        <w:rPr>
          <w:rFonts w:ascii="Arial" w:eastAsia="Arial" w:hAnsi="Arial" w:cs="Arial"/>
          <w:b/>
          <w:color w:val="009999"/>
        </w:rPr>
        <w:t>Discrimination against Turkish Cypriot RoC citizens living in the RoC</w:t>
      </w:r>
    </w:p>
    <w:p w:rsidR="008E1B11" w:rsidRDefault="00242D5D">
      <w:pPr>
        <w:ind w:left="0" w:hanging="2"/>
        <w:rPr>
          <w:rFonts w:ascii="Arial" w:eastAsia="Arial" w:hAnsi="Arial" w:cs="Arial"/>
        </w:rPr>
      </w:pPr>
      <w:r>
        <w:rPr>
          <w:rFonts w:ascii="Arial" w:eastAsia="Arial" w:hAnsi="Arial" w:cs="Arial"/>
        </w:rPr>
        <w:t xml:space="preserve">The following violations may well be faced by citizens living outside </w:t>
      </w:r>
      <w:r>
        <w:rPr>
          <w:rFonts w:ascii="Arial" w:eastAsia="Arial" w:hAnsi="Arial" w:cs="Arial"/>
        </w:rPr>
        <w:t xml:space="preserve">of the areas under the </w:t>
      </w:r>
      <w:r>
        <w:rPr>
          <w:rFonts w:ascii="Arial" w:eastAsia="Arial" w:hAnsi="Arial" w:cs="Arial"/>
        </w:rPr>
        <w:t>effective</w:t>
      </w:r>
      <w:r>
        <w:rPr>
          <w:rFonts w:ascii="Arial" w:eastAsia="Arial" w:hAnsi="Arial" w:cs="Arial"/>
        </w:rPr>
        <w:t xml:space="preserve"> control of the RoC but by nature they are also faced by citizens living within those areas</w:t>
      </w:r>
      <w:r>
        <w:rPr>
          <w:rFonts w:ascii="Arial" w:eastAsia="Arial" w:hAnsi="Arial" w:cs="Arial"/>
        </w:rPr>
        <w:t>:</w:t>
      </w:r>
    </w:p>
    <w:p w:rsidR="008E1B11" w:rsidRDefault="00242D5D">
      <w:pPr>
        <w:numPr>
          <w:ilvl w:val="1"/>
          <w:numId w:val="2"/>
        </w:numPr>
        <w:ind w:left="0" w:hanging="2"/>
        <w:rPr>
          <w:rFonts w:ascii="Arial" w:eastAsia="Arial" w:hAnsi="Arial" w:cs="Arial"/>
        </w:rPr>
      </w:pPr>
      <w:r>
        <w:rPr>
          <w:rFonts w:ascii="Arial" w:eastAsia="Arial" w:hAnsi="Arial" w:cs="Arial"/>
        </w:rPr>
        <w:t>Despite being one of the two official languages of the RoC, alongside Greek, the Turkish language is often not employed by state se</w:t>
      </w:r>
      <w:r>
        <w:rPr>
          <w:rFonts w:ascii="Arial" w:eastAsia="Arial" w:hAnsi="Arial" w:cs="Arial"/>
        </w:rPr>
        <w:t>rvices and therefore Turkish Cypriots are often excluded from use of services, access to opportunities and news</w:t>
      </w:r>
      <w:r>
        <w:rPr>
          <w:rFonts w:ascii="Arial" w:eastAsia="Arial" w:hAnsi="Arial" w:cs="Arial"/>
        </w:rPr>
        <w:t>, this</w:t>
      </w:r>
      <w:r>
        <w:rPr>
          <w:rFonts w:ascii="Arial" w:eastAsia="Arial" w:hAnsi="Arial" w:cs="Arial"/>
        </w:rPr>
        <w:t xml:space="preserve"> impacting </w:t>
      </w:r>
      <w:r>
        <w:rPr>
          <w:rFonts w:ascii="Arial" w:eastAsia="Arial" w:hAnsi="Arial" w:cs="Arial"/>
        </w:rPr>
        <w:t xml:space="preserve">enjoyment of </w:t>
      </w:r>
      <w:r>
        <w:rPr>
          <w:rFonts w:ascii="Arial" w:eastAsia="Arial" w:hAnsi="Arial" w:cs="Arial"/>
        </w:rPr>
        <w:t xml:space="preserve">other economic, social and cultural rights. In one case, a Turkish Cypriot medical doctor was offered a job at the </w:t>
      </w:r>
      <w:r>
        <w:rPr>
          <w:rFonts w:ascii="Arial" w:eastAsia="Arial" w:hAnsi="Arial" w:cs="Arial"/>
        </w:rPr>
        <w:t xml:space="preserve">Institute of Neurology and Genetics. They were asked to register to the medical doctor’s register as a </w:t>
      </w:r>
      <w:r>
        <w:rPr>
          <w:rFonts w:ascii="Arial" w:eastAsia="Arial" w:hAnsi="Arial" w:cs="Arial"/>
        </w:rPr>
        <w:t>prerequisite</w:t>
      </w:r>
      <w:r>
        <w:rPr>
          <w:rFonts w:ascii="Arial" w:eastAsia="Arial" w:hAnsi="Arial" w:cs="Arial"/>
        </w:rPr>
        <w:t xml:space="preserve"> to accepting the job offer, but the register rejected them on the grounds that they don’t speak the Greek language. </w:t>
      </w:r>
    </w:p>
    <w:p w:rsidR="008E1B11" w:rsidRDefault="00242D5D">
      <w:pPr>
        <w:ind w:left="0" w:hanging="2"/>
        <w:rPr>
          <w:rFonts w:ascii="Arial" w:eastAsia="Arial" w:hAnsi="Arial" w:cs="Arial"/>
        </w:rPr>
      </w:pPr>
      <w:r>
        <w:rPr>
          <w:rFonts w:ascii="Arial" w:eastAsia="Arial" w:hAnsi="Arial" w:cs="Arial"/>
        </w:rPr>
        <w:t>The website of the Cypr</w:t>
      </w:r>
      <w:r>
        <w:rPr>
          <w:rFonts w:ascii="Arial" w:eastAsia="Arial" w:hAnsi="Arial" w:cs="Arial"/>
        </w:rPr>
        <w:t xml:space="preserve">us Ministry of Education, Sport and Youth, for example, is available in English and Greek, but not Turkish. The same applies for the Web Portal of the RoC containing vital information such as information about scholarships for tertiary education. </w:t>
      </w:r>
    </w:p>
    <w:p w:rsidR="008E1B11" w:rsidRDefault="00242D5D">
      <w:pPr>
        <w:ind w:left="0" w:hanging="2"/>
        <w:rPr>
          <w:rFonts w:ascii="Arial" w:eastAsia="Arial" w:hAnsi="Arial" w:cs="Arial"/>
        </w:rPr>
      </w:pPr>
      <w:r>
        <w:rPr>
          <w:rFonts w:ascii="Arial" w:eastAsia="Arial" w:hAnsi="Arial" w:cs="Arial"/>
        </w:rPr>
        <w:lastRenderedPageBreak/>
        <w:t xml:space="preserve">Much of </w:t>
      </w:r>
      <w:r>
        <w:rPr>
          <w:rFonts w:ascii="Arial" w:eastAsia="Arial" w:hAnsi="Arial" w:cs="Arial"/>
        </w:rPr>
        <w:t xml:space="preserve">the key information spread by the government during the Covid-19 pandemic was translated into the Turkish language either never, or much later than the information originally became available. </w:t>
      </w:r>
    </w:p>
    <w:p w:rsidR="008E1B11" w:rsidRDefault="00242D5D">
      <w:pPr>
        <w:numPr>
          <w:ilvl w:val="1"/>
          <w:numId w:val="2"/>
        </w:numPr>
        <w:ind w:left="0" w:hanging="2"/>
        <w:rPr>
          <w:rFonts w:ascii="Arial" w:eastAsia="Arial" w:hAnsi="Arial" w:cs="Arial"/>
        </w:rPr>
      </w:pPr>
      <w:r>
        <w:rPr>
          <w:rFonts w:ascii="Arial" w:eastAsia="Arial" w:hAnsi="Arial" w:cs="Arial"/>
        </w:rPr>
        <w:t>CPDC has received reports of other instances of discrimination</w:t>
      </w:r>
      <w:r>
        <w:rPr>
          <w:rFonts w:ascii="Arial" w:eastAsia="Arial" w:hAnsi="Arial" w:cs="Arial"/>
        </w:rPr>
        <w:t xml:space="preserve"> faced by Turkish Cypriots despite a lack of legal basis. Bicommunal CSOs have been advised by legal experts to handle registration processes in the RoC exclusively under the names of Greek Cypriot members given that the relevant authorities are known to s</w:t>
      </w:r>
      <w:r>
        <w:rPr>
          <w:rFonts w:ascii="Arial" w:eastAsia="Arial" w:hAnsi="Arial" w:cs="Arial"/>
        </w:rPr>
        <w:t>imply indefinitely delay finalisation of registration applications if the applicant name is Turkish Cypriot, irrespective of details such as address.</w:t>
      </w:r>
    </w:p>
    <w:p w:rsidR="008E1B11" w:rsidRDefault="00242D5D">
      <w:pPr>
        <w:numPr>
          <w:ilvl w:val="1"/>
          <w:numId w:val="2"/>
        </w:numPr>
        <w:ind w:left="0" w:hanging="2"/>
        <w:rPr>
          <w:rFonts w:ascii="Arial" w:eastAsia="Arial" w:hAnsi="Arial" w:cs="Arial"/>
        </w:rPr>
      </w:pPr>
      <w:r>
        <w:rPr>
          <w:rFonts w:ascii="Arial" w:eastAsia="Arial" w:hAnsi="Arial" w:cs="Arial"/>
        </w:rPr>
        <w:t>In terms of workers’ rights, CPDC received reports that for Turkish Cypriots who pass away having worked i</w:t>
      </w:r>
      <w:r>
        <w:rPr>
          <w:rFonts w:ascii="Arial" w:eastAsia="Arial" w:hAnsi="Arial" w:cs="Arial"/>
        </w:rPr>
        <w:t xml:space="preserve">n the RoC for any number of years, if married after 1974 their spouses are not entitled to their pensions as would normally be the case. </w:t>
      </w:r>
    </w:p>
    <w:p w:rsidR="008E1B11" w:rsidRDefault="00242D5D">
      <w:pPr>
        <w:numPr>
          <w:ilvl w:val="1"/>
          <w:numId w:val="2"/>
        </w:numPr>
        <w:ind w:left="0" w:hanging="2"/>
        <w:rPr>
          <w:rFonts w:ascii="Arial" w:eastAsia="Arial" w:hAnsi="Arial" w:cs="Arial"/>
        </w:rPr>
      </w:pPr>
      <w:r>
        <w:rPr>
          <w:rFonts w:ascii="Arial" w:eastAsia="Arial" w:hAnsi="Arial" w:cs="Arial"/>
        </w:rPr>
        <w:t>A young Turkish Cypriot footballer of the Omonia U17s was the only footballer from the team not invited to the tryouts</w:t>
      </w:r>
      <w:r>
        <w:rPr>
          <w:rFonts w:ascii="Arial" w:eastAsia="Arial" w:hAnsi="Arial" w:cs="Arial"/>
        </w:rPr>
        <w:t xml:space="preserve"> for the national team, despite being nominated by his club. An MEP took an interest in the case citing discrimination. He later vocalised being satisfied with the explanation of the Cyprus Football Association but emphasised the need for greater sensitivi</w:t>
      </w:r>
      <w:r>
        <w:rPr>
          <w:rFonts w:ascii="Arial" w:eastAsia="Arial" w:hAnsi="Arial" w:cs="Arial"/>
        </w:rPr>
        <w:t>ty around issues of exclusion, which CPDC supports.</w:t>
      </w:r>
    </w:p>
    <w:p w:rsidR="008E1B11" w:rsidRDefault="00242D5D">
      <w:pPr>
        <w:pBdr>
          <w:top w:val="nil"/>
          <w:left w:val="nil"/>
          <w:bottom w:val="nil"/>
          <w:right w:val="nil"/>
          <w:between w:val="nil"/>
        </w:pBdr>
        <w:spacing w:after="0"/>
        <w:ind w:left="0" w:hanging="2"/>
        <w:rPr>
          <w:rFonts w:ascii="Arial" w:eastAsia="Arial" w:hAnsi="Arial" w:cs="Arial"/>
          <w:color w:val="000000"/>
        </w:rPr>
      </w:pPr>
      <w:r>
        <w:rPr>
          <w:rFonts w:ascii="Arial" w:eastAsia="Arial" w:hAnsi="Arial" w:cs="Arial"/>
          <w:b/>
          <w:color w:val="000000"/>
        </w:rPr>
        <w:t xml:space="preserve">Question to </w:t>
      </w:r>
      <w:r>
        <w:rPr>
          <w:rFonts w:ascii="Arial" w:eastAsia="Arial" w:hAnsi="Arial" w:cs="Arial"/>
          <w:b/>
        </w:rPr>
        <w:t>S</w:t>
      </w:r>
      <w:r>
        <w:rPr>
          <w:rFonts w:ascii="Arial" w:eastAsia="Arial" w:hAnsi="Arial" w:cs="Arial"/>
          <w:b/>
          <w:color w:val="000000"/>
        </w:rPr>
        <w:t xml:space="preserve">tate party: </w:t>
      </w:r>
      <w:r>
        <w:rPr>
          <w:rFonts w:ascii="Arial" w:eastAsia="Arial" w:hAnsi="Arial" w:cs="Arial"/>
          <w:color w:val="000000"/>
        </w:rPr>
        <w:t>When will civil servants of the RoC have access to anti-racism training so as to ensure that arbitrary discrimination is no longer a widespread phenomenon faced by Turkish Cypriots within state services?</w:t>
      </w:r>
    </w:p>
    <w:p w:rsidR="008E1B11" w:rsidRDefault="008E1B11">
      <w:pPr>
        <w:pBdr>
          <w:top w:val="nil"/>
          <w:left w:val="nil"/>
          <w:bottom w:val="nil"/>
          <w:right w:val="nil"/>
          <w:between w:val="nil"/>
        </w:pBdr>
        <w:spacing w:after="0"/>
        <w:ind w:left="0" w:hanging="2"/>
        <w:rPr>
          <w:rFonts w:ascii="Arial" w:eastAsia="Arial" w:hAnsi="Arial" w:cs="Arial"/>
          <w:color w:val="000000"/>
        </w:rPr>
      </w:pPr>
    </w:p>
    <w:p w:rsidR="008E1B11" w:rsidRDefault="008E1B11">
      <w:pPr>
        <w:pBdr>
          <w:top w:val="nil"/>
          <w:left w:val="nil"/>
          <w:bottom w:val="nil"/>
          <w:right w:val="nil"/>
          <w:between w:val="nil"/>
        </w:pBdr>
        <w:spacing w:after="0"/>
        <w:ind w:left="0" w:hanging="2"/>
        <w:rPr>
          <w:rFonts w:ascii="Arial" w:eastAsia="Arial" w:hAnsi="Arial" w:cs="Arial"/>
          <w:color w:val="000000"/>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rPr>
      </w:pPr>
    </w:p>
    <w:p w:rsidR="008E1B11" w:rsidRDefault="008E1B11">
      <w:pPr>
        <w:pBdr>
          <w:top w:val="nil"/>
          <w:left w:val="nil"/>
          <w:bottom w:val="nil"/>
          <w:right w:val="nil"/>
          <w:between w:val="nil"/>
        </w:pBdr>
        <w:spacing w:after="0"/>
        <w:ind w:left="0" w:hanging="2"/>
        <w:rPr>
          <w:rFonts w:ascii="Arial" w:eastAsia="Arial" w:hAnsi="Arial" w:cs="Arial"/>
          <w:color w:val="000000"/>
        </w:rPr>
      </w:pPr>
    </w:p>
    <w:p w:rsidR="008E1B11" w:rsidRDefault="00242D5D">
      <w:pPr>
        <w:pBdr>
          <w:top w:val="nil"/>
          <w:left w:val="nil"/>
          <w:bottom w:val="nil"/>
          <w:right w:val="nil"/>
          <w:between w:val="nil"/>
        </w:pBdr>
        <w:spacing w:after="0"/>
        <w:ind w:left="0" w:hanging="2"/>
        <w:rPr>
          <w:rFonts w:ascii="Arial" w:eastAsia="Arial" w:hAnsi="Arial" w:cs="Arial"/>
          <w:color w:val="000000"/>
          <w:u w:val="single"/>
        </w:rPr>
      </w:pPr>
      <w:r>
        <w:rPr>
          <w:rFonts w:ascii="Arial" w:eastAsia="Arial" w:hAnsi="Arial" w:cs="Arial"/>
          <w:color w:val="000000"/>
          <w:u w:val="single"/>
        </w:rPr>
        <w:t>Contact:</w:t>
      </w:r>
    </w:p>
    <w:p w:rsidR="008E1B11" w:rsidRDefault="00242D5D">
      <w:pPr>
        <w:pBdr>
          <w:top w:val="nil"/>
          <w:left w:val="nil"/>
          <w:bottom w:val="nil"/>
          <w:right w:val="nil"/>
          <w:between w:val="nil"/>
        </w:pBdr>
        <w:spacing w:after="0"/>
        <w:ind w:left="0" w:hanging="2"/>
        <w:rPr>
          <w:rFonts w:ascii="Arial" w:eastAsia="Arial" w:hAnsi="Arial" w:cs="Arial"/>
          <w:color w:val="000000"/>
        </w:rPr>
      </w:pPr>
      <w:r>
        <w:rPr>
          <w:rFonts w:ascii="Arial" w:eastAsia="Arial" w:hAnsi="Arial" w:cs="Arial"/>
          <w:color w:val="000000"/>
        </w:rPr>
        <w:t>Cyprus Peace and Dialogue Centre</w:t>
      </w:r>
    </w:p>
    <w:p w:rsidR="008E1B11" w:rsidRDefault="00242D5D">
      <w:pPr>
        <w:pBdr>
          <w:top w:val="nil"/>
          <w:left w:val="nil"/>
          <w:bottom w:val="nil"/>
          <w:right w:val="nil"/>
          <w:between w:val="nil"/>
        </w:pBdr>
        <w:spacing w:after="0"/>
        <w:ind w:left="0" w:hanging="2"/>
        <w:rPr>
          <w:rFonts w:ascii="Arial" w:eastAsia="Arial" w:hAnsi="Arial" w:cs="Arial"/>
          <w:color w:val="000000"/>
        </w:rPr>
      </w:pPr>
      <w:hyperlink r:id="rId8">
        <w:r>
          <w:rPr>
            <w:rFonts w:ascii="Arial" w:eastAsia="Arial" w:hAnsi="Arial" w:cs="Arial"/>
            <w:color w:val="0000FF"/>
            <w:u w:val="single"/>
          </w:rPr>
          <w:t>contact@cypdc.org</w:t>
        </w:r>
      </w:hyperlink>
    </w:p>
    <w:p w:rsidR="008E1B11" w:rsidRDefault="00242D5D">
      <w:pPr>
        <w:pBdr>
          <w:top w:val="nil"/>
          <w:left w:val="nil"/>
          <w:bottom w:val="nil"/>
          <w:right w:val="nil"/>
          <w:between w:val="nil"/>
        </w:pBdr>
        <w:ind w:left="0" w:hanging="2"/>
        <w:rPr>
          <w:rFonts w:ascii="Arial" w:eastAsia="Arial" w:hAnsi="Arial" w:cs="Arial"/>
          <w:color w:val="000000"/>
        </w:rPr>
      </w:pPr>
      <w:hyperlink r:id="rId9">
        <w:r>
          <w:rPr>
            <w:rFonts w:ascii="Arial" w:eastAsia="Arial" w:hAnsi="Arial" w:cs="Arial"/>
            <w:color w:val="0000FF"/>
            <w:u w:val="single"/>
          </w:rPr>
          <w:t>www.cypdc.org</w:t>
        </w:r>
      </w:hyperlink>
    </w:p>
    <w:sectPr w:rsidR="008E1B11">
      <w:headerReference w:type="default" r:id="rId10"/>
      <w:footerReference w:type="even"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42D5D">
      <w:pPr>
        <w:spacing w:after="0" w:line="240" w:lineRule="auto"/>
        <w:ind w:left="0" w:hanging="2"/>
      </w:pPr>
      <w:r>
        <w:separator/>
      </w:r>
    </w:p>
  </w:endnote>
  <w:endnote w:type="continuationSeparator" w:id="0">
    <w:p w:rsidR="00000000" w:rsidRDefault="00242D5D">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11" w:rsidRDefault="00242D5D">
    <w:pPr>
      <w:pBdr>
        <w:top w:val="nil"/>
        <w:left w:val="nil"/>
        <w:bottom w:val="nil"/>
        <w:right w:val="nil"/>
        <w:between w:val="nil"/>
      </w:pBdr>
      <w:tabs>
        <w:tab w:val="center" w:pos="4320"/>
        <w:tab w:val="right" w:pos="8640"/>
      </w:tabs>
      <w:ind w:left="0" w:hanging="2"/>
      <w:jc w:val="right"/>
      <w:rPr>
        <w:color w:val="000000"/>
      </w:rPr>
    </w:pPr>
    <w:r>
      <w:rPr>
        <w:color w:val="000000"/>
      </w:rPr>
      <w:fldChar w:fldCharType="begin"/>
    </w:r>
    <w:r>
      <w:rPr>
        <w:color w:val="000000"/>
      </w:rPr>
      <w:instrText>PAGE</w:instrText>
    </w:r>
    <w:r>
      <w:rPr>
        <w:color w:val="000000"/>
      </w:rPr>
      <w:fldChar w:fldCharType="end"/>
    </w:r>
  </w:p>
  <w:p w:rsidR="008E1B11" w:rsidRDefault="008E1B11">
    <w:pPr>
      <w:pBdr>
        <w:top w:val="nil"/>
        <w:left w:val="nil"/>
        <w:bottom w:val="nil"/>
        <w:right w:val="nil"/>
        <w:between w:val="nil"/>
      </w:pBdr>
      <w:tabs>
        <w:tab w:val="center" w:pos="4320"/>
        <w:tab w:val="right" w:pos="8640"/>
      </w:tabs>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11" w:rsidRDefault="00242D5D">
    <w:pPr>
      <w:pBdr>
        <w:top w:val="nil"/>
        <w:left w:val="nil"/>
        <w:bottom w:val="nil"/>
        <w:right w:val="nil"/>
        <w:between w:val="nil"/>
      </w:pBdr>
      <w:tabs>
        <w:tab w:val="center" w:pos="4320"/>
        <w:tab w:val="right" w:pos="8640"/>
      </w:tabs>
      <w:ind w:left="0" w:hanging="2"/>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8E1B11" w:rsidRDefault="008E1B11">
    <w:pPr>
      <w:pBdr>
        <w:top w:val="nil"/>
        <w:left w:val="nil"/>
        <w:bottom w:val="nil"/>
        <w:right w:val="nil"/>
        <w:between w:val="nil"/>
      </w:pBdr>
      <w:tabs>
        <w:tab w:val="center" w:pos="4320"/>
        <w:tab w:val="right" w:pos="8640"/>
      </w:tabs>
      <w:ind w:left="0" w:right="36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42D5D">
      <w:pPr>
        <w:spacing w:after="0" w:line="240" w:lineRule="auto"/>
        <w:ind w:left="0" w:hanging="2"/>
      </w:pPr>
      <w:r>
        <w:separator/>
      </w:r>
    </w:p>
  </w:footnote>
  <w:footnote w:type="continuationSeparator" w:id="0">
    <w:p w:rsidR="00000000" w:rsidRDefault="00242D5D">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11" w:rsidRDefault="00242D5D">
    <w:pPr>
      <w:pBdr>
        <w:top w:val="nil"/>
        <w:left w:val="nil"/>
        <w:bottom w:val="nil"/>
        <w:right w:val="nil"/>
        <w:between w:val="nil"/>
      </w:pBdr>
      <w:tabs>
        <w:tab w:val="center" w:pos="4680"/>
        <w:tab w:val="right" w:pos="9360"/>
      </w:tabs>
      <w:ind w:left="0" w:hanging="2"/>
      <w:jc w:val="right"/>
      <w:rPr>
        <w:color w:val="000000"/>
      </w:rPr>
    </w:pPr>
    <w:r>
      <w:rPr>
        <w:b/>
        <w:noProof/>
        <w:color w:val="000000"/>
        <w:lang w:val="en-GB" w:eastAsia="en-GB"/>
      </w:rPr>
      <w:drawing>
        <wp:inline distT="0" distB="0" distL="114300" distR="114300">
          <wp:extent cx="1783715" cy="802640"/>
          <wp:effectExtent l="0" t="0" r="0" b="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3715" cy="8026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7751"/>
    <w:multiLevelType w:val="multilevel"/>
    <w:tmpl w:val="6142AD5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0195ADD"/>
    <w:multiLevelType w:val="multilevel"/>
    <w:tmpl w:val="1DFA61B6"/>
    <w:lvl w:ilvl="0">
      <w:start w:val="1"/>
      <w:numFmt w:val="decimal"/>
      <w:lvlText w:val="%1."/>
      <w:lvlJc w:val="left"/>
      <w:pPr>
        <w:ind w:left="720" w:hanging="360"/>
      </w:pPr>
      <w:rPr>
        <w:vertAlign w:val="baseline"/>
      </w:rPr>
    </w:lvl>
    <w:lvl w:ilvl="1">
      <w:start w:val="1"/>
      <w:numFmt w:val="decimal"/>
      <w:lvlText w:val="%1.%2"/>
      <w:lvlJc w:val="left"/>
      <w:pPr>
        <w:ind w:left="730" w:hanging="37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B11"/>
    <w:rsid w:val="00242D5D"/>
    <w:rsid w:val="008E1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E30BFE-CCDF-48C7-9022-C037413C9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hanging="1"/>
      <w:textDirection w:val="btLr"/>
      <w:textAlignment w:val="top"/>
      <w:outlineLvl w:val="0"/>
    </w:pPr>
    <w:rPr>
      <w:position w:val="-1"/>
      <w:lang w:val="en-US" w:eastAsia="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pPr>
      <w:spacing w:before="100" w:beforeAutospacing="1" w:after="100" w:afterAutospacing="1" w:line="240" w:lineRule="auto"/>
      <w:outlineLvl w:val="4"/>
    </w:pPr>
    <w:rPr>
      <w:rFonts w:ascii="Times New Roman" w:eastAsia="Times New Roman" w:hAnsi="Times New Roman"/>
      <w:b/>
      <w:bCs/>
      <w:sz w:val="20"/>
      <w:szCs w:val="20"/>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CharCharCharCharCharCharChar">
    <w:name w:val="Char Char Char Char Char Char Char"/>
    <w:basedOn w:val="Normal"/>
    <w:next w:val="Normal"/>
    <w:pPr>
      <w:spacing w:after="160" w:line="240" w:lineRule="atLeast"/>
    </w:pPr>
    <w:rPr>
      <w:rFonts w:ascii="Tahoma" w:eastAsia="Times New Roman" w:hAnsi="Tahoma" w:cs="Times New Roman"/>
      <w:sz w:val="24"/>
      <w:szCs w:val="20"/>
    </w:rPr>
  </w:style>
  <w:style w:type="paragraph" w:customStyle="1" w:styleId="ColorfulList-Accent11">
    <w:name w:val="Colorful List - Accent 11"/>
    <w:basedOn w:val="Normal"/>
    <w:pPr>
      <w:ind w:left="720"/>
      <w:contextualSpacing/>
    </w:p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DocumentMap">
    <w:name w:val="Document Map"/>
    <w:basedOn w:val="Normal"/>
    <w:pPr>
      <w:shd w:val="clear" w:color="auto" w:fill="000080"/>
    </w:pPr>
    <w:rPr>
      <w:rFonts w:ascii="Tahoma" w:hAnsi="Tahoma" w:cs="Tahoma"/>
      <w:sz w:val="20"/>
      <w:szCs w:val="20"/>
    </w:rPr>
  </w:style>
  <w:style w:type="paragraph" w:customStyle="1" w:styleId="7">
    <w:name w:val="Знак Знак7"/>
    <w:basedOn w:val="Normal"/>
    <w:pPr>
      <w:spacing w:after="160" w:line="240" w:lineRule="atLeast"/>
    </w:pPr>
    <w:rPr>
      <w:rFonts w:ascii="Verdana" w:eastAsia="Times New Roman" w:hAnsi="Verdana"/>
      <w:sz w:val="20"/>
      <w:szCs w:val="20"/>
    </w:rPr>
  </w:style>
  <w:style w:type="paragraph" w:customStyle="1" w:styleId="HChG">
    <w:name w:val="_ H _Ch_G"/>
    <w:basedOn w:val="Normal"/>
    <w:next w:val="Normal"/>
    <w:pPr>
      <w:keepNext/>
      <w:keepLines/>
      <w:tabs>
        <w:tab w:val="right" w:pos="851"/>
      </w:tabs>
      <w:suppressAutoHyphens w:val="0"/>
      <w:spacing w:before="360" w:after="240" w:line="300" w:lineRule="atLeast"/>
      <w:ind w:left="1134" w:right="1134" w:hanging="1134"/>
    </w:pPr>
    <w:rPr>
      <w:rFonts w:ascii="Times New Roman" w:eastAsia="Times New Roman" w:hAnsi="Times New Roman"/>
      <w:b/>
      <w:sz w:val="28"/>
      <w:szCs w:val="20"/>
      <w:lang w:val="en-GB"/>
    </w:r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styleId="Header">
    <w:name w:val="header"/>
    <w:basedOn w:val="Normal"/>
    <w:qFormat/>
    <w:pPr>
      <w:tabs>
        <w:tab w:val="center" w:pos="4680"/>
        <w:tab w:val="right" w:pos="9360"/>
      </w:tabs>
    </w:pPr>
  </w:style>
  <w:style w:type="character" w:customStyle="1" w:styleId="HeaderChar">
    <w:name w:val="Header Char"/>
    <w:rPr>
      <w:w w:val="100"/>
      <w:position w:val="-1"/>
      <w:sz w:val="22"/>
      <w:szCs w:val="22"/>
      <w:effect w:val="none"/>
      <w:vertAlign w:val="baseline"/>
      <w:cs w:val="0"/>
      <w:em w:val="none"/>
    </w:rPr>
  </w:style>
  <w:style w:type="paragraph" w:styleId="FootnoteText">
    <w:name w:val="footnote text"/>
    <w:basedOn w:val="Normal"/>
    <w:rPr>
      <w:sz w:val="20"/>
      <w:szCs w:val="20"/>
    </w:rPr>
  </w:style>
  <w:style w:type="character" w:styleId="FootnoteReference">
    <w:name w:val="footnote reference"/>
    <w:rPr>
      <w:w w:val="100"/>
      <w:position w:val="-1"/>
      <w:effect w:val="none"/>
      <w:vertAlign w:val="superscript"/>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val="fr-CH" w:eastAsia="fr-CH"/>
    </w:rPr>
  </w:style>
  <w:style w:type="character" w:styleId="Strong">
    <w:name w:val="Strong"/>
    <w:rPr>
      <w:b/>
      <w:bCs/>
      <w:w w:val="100"/>
      <w:position w:val="-1"/>
      <w:effect w:val="none"/>
      <w:vertAlign w:val="baseline"/>
      <w:cs w:val="0"/>
      <w:em w:val="none"/>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cypdc.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ypdc.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RRkVln4rnN09iyD4MGL/ZIaifQ==">AMUW2mXQL+/lknIMAMBQVKACPR1R2Wf5fZrumEmZQyekRqWDmwzmxTwJ7+W2hawPfZT5Er7JmmHn+srW+mG9VKK4k/QxMqOLsgLF7PTANIGIhYjwJZ2y+V8=</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8432081-4936-48E4-81B1-D937EA34A59F}"/>
</file>

<file path=customXml/itemProps3.xml><?xml version="1.0" encoding="utf-8"?>
<ds:datastoreItem xmlns:ds="http://schemas.openxmlformats.org/officeDocument/2006/customXml" ds:itemID="{B67E4E18-6485-4B31-9286-470DDF3EF246}"/>
</file>

<file path=customXml/itemProps4.xml><?xml version="1.0" encoding="utf-8"?>
<ds:datastoreItem xmlns:ds="http://schemas.openxmlformats.org/officeDocument/2006/customXml" ds:itemID="{BF980123-11DD-4F44-9A93-BB7BDA6B11B7}"/>
</file>

<file path=docProps/app.xml><?xml version="1.0" encoding="utf-8"?>
<Properties xmlns="http://schemas.openxmlformats.org/officeDocument/2006/extended-properties" xmlns:vt="http://schemas.openxmlformats.org/officeDocument/2006/docPropsVTypes">
  <Template>Normal.dotm</Template>
  <TotalTime>0</TotalTime>
  <Pages>4</Pages>
  <Words>1365</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REYNAUD Céline</cp:lastModifiedBy>
  <cp:revision>2</cp:revision>
  <dcterms:created xsi:type="dcterms:W3CDTF">2022-08-09T08:37:00Z</dcterms:created>
  <dcterms:modified xsi:type="dcterms:W3CDTF">2022-08-09T08:37:00Z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