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21084" w14:textId="77777777" w:rsidR="006B2DF5" w:rsidRDefault="007B3793">
      <w:p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anchor distT="114300" distB="114300" distL="114300" distR="114300" simplePos="0" relativeHeight="251658240" behindDoc="0" locked="0" layoutInCell="1" hidden="0" allowOverlap="1" wp14:anchorId="7D0EB938" wp14:editId="38E48E28">
            <wp:simplePos x="0" y="0"/>
            <wp:positionH relativeFrom="page">
              <wp:posOffset>914400</wp:posOffset>
            </wp:positionH>
            <wp:positionV relativeFrom="page">
              <wp:posOffset>914400</wp:posOffset>
            </wp:positionV>
            <wp:extent cx="2440609" cy="8096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40609" cy="809625"/>
                    </a:xfrm>
                    <a:prstGeom prst="rect">
                      <a:avLst/>
                    </a:prstGeom>
                    <a:ln/>
                  </pic:spPr>
                </pic:pic>
              </a:graphicData>
            </a:graphic>
          </wp:anchor>
        </w:drawing>
      </w:r>
    </w:p>
    <w:p w14:paraId="4FF067E7" w14:textId="77777777" w:rsidR="006B2DF5" w:rsidRDefault="007B3793">
      <w:p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anchorId="332E7544" wp14:editId="1855784A">
            <wp:extent cx="2490788" cy="821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490788" cy="821063"/>
                    </a:xfrm>
                    <a:prstGeom prst="rect">
                      <a:avLst/>
                    </a:prstGeom>
                    <a:ln/>
                  </pic:spPr>
                </pic:pic>
              </a:graphicData>
            </a:graphic>
          </wp:inline>
        </w:drawing>
      </w:r>
    </w:p>
    <w:p w14:paraId="54CEDB7D" w14:textId="77777777" w:rsidR="006B2DF5" w:rsidRDefault="006B2DF5">
      <w:pPr>
        <w:spacing w:after="200" w:line="240" w:lineRule="auto"/>
        <w:jc w:val="both"/>
        <w:rPr>
          <w:rFonts w:ascii="Times New Roman" w:eastAsia="Times New Roman" w:hAnsi="Times New Roman" w:cs="Times New Roman"/>
          <w:b/>
          <w:sz w:val="24"/>
          <w:szCs w:val="24"/>
        </w:rPr>
      </w:pPr>
    </w:p>
    <w:p w14:paraId="1EC72AB2" w14:textId="77777777" w:rsidR="006B2DF5" w:rsidRDefault="007B3793" w:rsidP="00076B5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Committee on the Rights of the Child Secretariat</w:t>
      </w:r>
    </w:p>
    <w:p w14:paraId="59BDB1CC" w14:textId="77777777" w:rsidR="006B2DF5" w:rsidRDefault="007B3793" w:rsidP="00076B5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Office of the United Nations High Commissioner for Human Rights (OHCHR)</w:t>
      </w:r>
    </w:p>
    <w:p w14:paraId="5D5AD5B8" w14:textId="77777777" w:rsidR="006B2DF5" w:rsidRDefault="007B3793" w:rsidP="00076B5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Palais Wilson - 52 rue des Pâquis</w:t>
      </w:r>
    </w:p>
    <w:p w14:paraId="00C5E24B" w14:textId="77777777" w:rsidR="006B2DF5" w:rsidRDefault="007B3793" w:rsidP="00076B5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CH-1201 Geneva</w:t>
      </w:r>
    </w:p>
    <w:p w14:paraId="428700AE" w14:textId="77777777" w:rsidR="006B2DF5" w:rsidRDefault="007B3793" w:rsidP="00076B5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Switzerland</w:t>
      </w:r>
    </w:p>
    <w:p w14:paraId="5031FE36" w14:textId="77777777" w:rsidR="006B2DF5" w:rsidRDefault="007B3793" w:rsidP="00076B5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Submitted through Child Rights Connect</w:t>
      </w:r>
    </w:p>
    <w:p w14:paraId="28F22B3F" w14:textId="77777777" w:rsidR="006B2DF5" w:rsidRDefault="006B2DF5">
      <w:pPr>
        <w:spacing w:after="200" w:line="240" w:lineRule="auto"/>
        <w:jc w:val="both"/>
        <w:rPr>
          <w:rFonts w:ascii="Times New Roman" w:eastAsia="Times New Roman" w:hAnsi="Times New Roman" w:cs="Times New Roman"/>
          <w:b/>
          <w:sz w:val="24"/>
          <w:szCs w:val="24"/>
        </w:rPr>
      </w:pPr>
    </w:p>
    <w:p w14:paraId="6D71CA41" w14:textId="77777777" w:rsidR="006B2DF5" w:rsidRDefault="007B3793">
      <w:pPr>
        <w:spacing w:after="200" w:line="240" w:lineRule="auto"/>
        <w:jc w:val="right"/>
        <w:rPr>
          <w:rFonts w:ascii="Times New Roman" w:eastAsia="Times New Roman" w:hAnsi="Times New Roman" w:cs="Times New Roman"/>
          <w:b/>
          <w:sz w:val="32"/>
          <w:szCs w:val="32"/>
        </w:rPr>
      </w:pPr>
      <w:r>
        <w:rPr>
          <w:rFonts w:ascii="Times New Roman" w:eastAsia="Times New Roman" w:hAnsi="Times New Roman" w:cs="Times New Roman"/>
          <w:b/>
          <w:sz w:val="24"/>
          <w:szCs w:val="24"/>
        </w:rPr>
        <w:t>15 April 2025</w:t>
      </w:r>
    </w:p>
    <w:p w14:paraId="41690C8F" w14:textId="77777777" w:rsidR="006B2DF5" w:rsidRDefault="007B3793" w:rsidP="00076B50">
      <w:p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32"/>
          <w:szCs w:val="32"/>
        </w:rPr>
        <w:t>Information on Ethiopia for Consideration by the Committee on the Rights of the Child at its 99th Session (5 - 25th May 2025)</w:t>
      </w:r>
    </w:p>
    <w:p w14:paraId="7613A7FB" w14:textId="77777777" w:rsidR="00076B50" w:rsidRDefault="00076B50" w:rsidP="00076B50">
      <w:pPr>
        <w:spacing w:after="200" w:line="240" w:lineRule="auto"/>
        <w:jc w:val="both"/>
        <w:rPr>
          <w:rFonts w:ascii="Times New Roman" w:eastAsia="Times New Roman" w:hAnsi="Times New Roman" w:cs="Times New Roman"/>
          <w:b/>
          <w:sz w:val="24"/>
          <w:szCs w:val="24"/>
        </w:rPr>
      </w:pPr>
    </w:p>
    <w:p w14:paraId="6B2046CF" w14:textId="77777777" w:rsidR="006B2DF5" w:rsidRDefault="007B3793">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50497280"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We respectfully submit this information for consideration by the Committee on the Rights of the Child at its 99th Session (5-25 May 2025). This report is submitted jointly by Addis Powerhouse and Equality Now to highlight the human rights violations against girls, particularly focusing on gender-based violence, child marriage, and female genital mutilation (FGM).</w:t>
      </w:r>
    </w:p>
    <w:p w14:paraId="2CBA89B8" w14:textId="77777777" w:rsidR="006B2DF5" w:rsidRDefault="007B3793">
      <w:pPr>
        <w:numPr>
          <w:ilvl w:val="0"/>
          <w:numId w:val="4"/>
        </w:numPr>
        <w:spacing w:before="160" w:after="200" w:line="360" w:lineRule="auto"/>
        <w:jc w:val="both"/>
        <w:rPr>
          <w:rFonts w:ascii="Book Antiqua" w:eastAsia="Book Antiqua" w:hAnsi="Book Antiqua" w:cs="Book Antiqua"/>
          <w:sz w:val="24"/>
          <w:szCs w:val="24"/>
        </w:rPr>
      </w:pPr>
      <w:r>
        <w:rPr>
          <w:rFonts w:ascii="Times New Roman" w:eastAsia="Times New Roman" w:hAnsi="Times New Roman" w:cs="Times New Roman"/>
          <w:b/>
          <w:sz w:val="24"/>
          <w:szCs w:val="24"/>
        </w:rPr>
        <w:t xml:space="preserve">Equality Now </w:t>
      </w:r>
      <w:r>
        <w:rPr>
          <w:rFonts w:ascii="Times New Roman" w:eastAsia="Times New Roman" w:hAnsi="Times New Roman" w:cs="Times New Roman"/>
          <w:sz w:val="24"/>
          <w:szCs w:val="24"/>
        </w:rPr>
        <w:t>is an international human rights organization that has been working to protect and promote the rights of all women and girls worldwide since 1992, including through our network of individuals and organizations in every region. Ending sexual violence, ending sexual exploitation, ending harmful practices, and achieving legal equality are the main areas of Equality Now’s work.</w:t>
      </w:r>
    </w:p>
    <w:p w14:paraId="0B421CEE" w14:textId="77777777" w:rsidR="006B2DF5" w:rsidRDefault="007B3793">
      <w:pPr>
        <w:numPr>
          <w:ilvl w:val="0"/>
          <w:numId w:val="4"/>
        </w:numPr>
        <w:spacing w:before="160" w:after="200" w:line="360" w:lineRule="auto"/>
        <w:jc w:val="both"/>
        <w:rPr>
          <w:rFonts w:ascii="Palatino Linotype" w:eastAsia="Palatino Linotype" w:hAnsi="Palatino Linotype" w:cs="Palatino Linotype"/>
          <w:sz w:val="24"/>
          <w:szCs w:val="24"/>
        </w:rPr>
      </w:pPr>
      <w:r>
        <w:rPr>
          <w:rFonts w:ascii="Times New Roman" w:eastAsia="Times New Roman" w:hAnsi="Times New Roman" w:cs="Times New Roman"/>
          <w:b/>
          <w:sz w:val="24"/>
          <w:szCs w:val="24"/>
        </w:rPr>
        <w:t xml:space="preserve">Addis Powerhouse </w:t>
      </w:r>
      <w:r>
        <w:rPr>
          <w:rFonts w:ascii="Times New Roman" w:eastAsia="Times New Roman" w:hAnsi="Times New Roman" w:cs="Times New Roman"/>
          <w:sz w:val="24"/>
          <w:szCs w:val="24"/>
        </w:rPr>
        <w:t xml:space="preserve">is a young women-led feminist knowledge production and advocacy hub based in Ethiopia. The feminist collective conducts gender research, employs evidence-based advocacy and community outreach with the aim of improving women’s </w:t>
      </w:r>
      <w:r>
        <w:rPr>
          <w:rFonts w:ascii="Times New Roman" w:eastAsia="Times New Roman" w:hAnsi="Times New Roman" w:cs="Times New Roman"/>
          <w:sz w:val="24"/>
          <w:szCs w:val="24"/>
        </w:rPr>
        <w:lastRenderedPageBreak/>
        <w:t xml:space="preserve">access to decision-making, ensuring their protection from gender-based violence, and promoting self-advocacy among youth. </w:t>
      </w:r>
    </w:p>
    <w:p w14:paraId="025C9C13"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our submission, Equality Now and Addis Powerhouse detail concerns with regard to laws related to sexual violence and procedures and practices that effectively deny access to justice for girl survivors of sexual violence. In addition, the submission focuses on the harmful practices of FGM and child marriage and the legal and policy loopholes that lead to a failure to protect girls from these human rights violations. This submission covers issues particularly relevant to Article 19 (protection from all forms of violence and sexual abuse); Article 24 (right to health and protection from harmful practices); and Article 34 (protection from sexual exploitation and sexual abuse) of the Convention on the Rights of the Child and the Committee’s General Comments No. 13 (2011) ‘The right of the child to freedom from all forms of violence’; and Joint General Recommendation No. 31 of the Committee on the Elimination of Discrimination against Women/General Comment No. 18 of the Committee on the Rights of the Child (2019) on harmful practices.</w:t>
      </w:r>
    </w:p>
    <w:p w14:paraId="35DC2E90"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its Concluding Observations, dated 10 July 2015, the Committee recognized Ethiopia’s efforts to eliminate harmful traditional practices through legal reforms and public awareness initiatives. However, it raised concerns over the inadequate enforcement of laws that prohibit and criminalize such practices. The Committee recommended enhancing programmes aimed at addressing female genital mutilation and cutting, particularly in areas where these practices are widespread, and urged stronger efforts to reduce societal pressures and norms that sustain them—especially through community-level sensitization. It also called for action against negative perceptions and the stigmatization of children who are not married at an early age and encouraged support for civil society and community organizations working to raise awareness about the harmful effects of early and forced marriage, as well as assistance to affected victims. Moreover, the Committee highlighted the high incidence of girls subjected to forced sexual initiation—often linked to early marriage and harassment—and noted concerns over the low levels of reporting, the absence of monitoring mechanisms, limited legal action, and the lack of comprehensive support for victims. To address this, the Committee urged Ethiopia to roll out awareness campaigns in </w:t>
      </w:r>
      <w:r>
        <w:rPr>
          <w:rFonts w:ascii="Times New Roman" w:eastAsia="Times New Roman" w:hAnsi="Times New Roman" w:cs="Times New Roman"/>
          <w:sz w:val="24"/>
          <w:szCs w:val="24"/>
          <w:highlight w:val="white"/>
        </w:rPr>
        <w:lastRenderedPageBreak/>
        <w:t>collaboration with donors, civil society, and NGOs, with a focus on preventing and responding to gender-based violence, particularly forced sexual initiation.</w:t>
      </w:r>
      <w:r>
        <w:rPr>
          <w:rFonts w:ascii="Times New Roman" w:eastAsia="Times New Roman" w:hAnsi="Times New Roman" w:cs="Times New Roman"/>
          <w:sz w:val="24"/>
          <w:szCs w:val="24"/>
          <w:vertAlign w:val="superscript"/>
        </w:rPr>
        <w:footnoteReference w:id="1"/>
      </w:r>
    </w:p>
    <w:p w14:paraId="5AF323DA" w14:textId="77777777" w:rsidR="006B2DF5" w:rsidRDefault="007B3793">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Gender-based violence</w:t>
      </w:r>
    </w:p>
    <w:p w14:paraId="3CB3555C"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According to the 2016 Ethiopia Demographic and Health Survey (EDHS),</w:t>
      </w:r>
      <w:r>
        <w:rPr>
          <w:rFonts w:ascii="Times New Roman" w:eastAsia="Times New Roman" w:hAnsi="Times New Roman" w:cs="Times New Roman"/>
          <w:sz w:val="24"/>
          <w:szCs w:val="24"/>
        </w:rPr>
        <w:t xml:space="preserve"> 25% of girls and women aged 15-49 have been exposed to physical violence since age 15. Additionally, the Penal Code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criminalizes most forms of violence against girls, including physical violence within marriage or cohabitation (Article 564), female genital mutilation (Articles 565-6), trafficking in women (Article 597), and rape (Articles 620-28), prostitution (Article 634), and early marriage (Article 648). Despite the existence of these legal provisions, gender-based violence continues to prevail due to a lack of effective implementation of those laws. </w:t>
      </w:r>
    </w:p>
    <w:p w14:paraId="46DE8B3B" w14:textId="77777777" w:rsidR="006B2DF5" w:rsidRDefault="007B3793">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Gender-based violence in the context of conflict</w:t>
      </w:r>
    </w:p>
    <w:p w14:paraId="629023FC"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Gender-based violence against children in Ethiopia is widespread. Human rights reports indicate that between 40% and 50% of Ethiopian women and girls in the Tigray, Amhara, Afar, and Oromia regions - areas of conflict and armed conflict - are exposed to gender-based violence, with 90% of the victims being minor girls under the age of 18.</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Even after the peace agreement signed in November 2022 regarding the Tigray region, at least 128 women and girls were subjected to sexual violence in the Tigray region, according to statistics from November 2023.</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forms of gender-based violence are multiple and diverse, not limited to a single form. Notably, there was an escalation in conflict-related gender-based violence which included physical violence and assault; attempted rape; rape, including gang rape, as well as oral and anal rape; insertion of foreign objects into the vagina; intentional transmission of HIV; verbal abuse, including ethnic slurs; abduction; </w:t>
      </w:r>
      <w:r>
        <w:rPr>
          <w:rFonts w:ascii="Times New Roman" w:eastAsia="Times New Roman" w:hAnsi="Times New Roman" w:cs="Times New Roman"/>
          <w:sz w:val="24"/>
          <w:szCs w:val="24"/>
        </w:rPr>
        <w:lastRenderedPageBreak/>
        <w:t>and other forms of violations. Several reported cases of rape involved extreme brutality. These acts were often carried out with the intent to degrade and dehumanize entire ethnic communities.</w:t>
      </w:r>
      <w:r>
        <w:rPr>
          <w:rFonts w:ascii="Times New Roman" w:eastAsia="Times New Roman" w:hAnsi="Times New Roman" w:cs="Times New Roman"/>
          <w:sz w:val="24"/>
          <w:szCs w:val="24"/>
          <w:vertAlign w:val="superscript"/>
        </w:rPr>
        <w:footnoteReference w:id="5"/>
      </w:r>
    </w:p>
    <w:p w14:paraId="4EC1544F"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Femicide is a grave and escalating concern in Ethiopia, rooted in deeply entrenched gender inequality and societal norms that often normalize violence against women. Although there is a gap in comprehensive data available regarding the number of femicides, since September 2024, there have been over 25 femicide cases that have been highlighted by women’s rights groups in the country as part of advocacy and awareness campaigns. In Ethiopia, femicide is not addressed as a standalone crime under any specific law, but it is covered under the Penal Code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through the homicide provisions under Articles 540-561 and gender based violence provisions. Despite legal frameworks, enforcement remains weak, and femicide continues to be exacerbated by the ongoing conflict and harmful traditional practices.</w:t>
      </w:r>
    </w:p>
    <w:p w14:paraId="69CC4BC4" w14:textId="77777777" w:rsidR="006B2DF5" w:rsidRDefault="007B3793">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Child marriage</w:t>
      </w:r>
    </w:p>
    <w:p w14:paraId="5D837BB6" w14:textId="77777777" w:rsidR="006B2DF5" w:rsidRDefault="007B3793">
      <w:pPr>
        <w:numPr>
          <w:ilvl w:val="0"/>
          <w:numId w:val="4"/>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Sustainable Development Goal (SDG)</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setting a target that the prevalence of child marriage will decline to 20% by 2030, child marriage violations remain visible and persistent in Ethiopia. There are more than 17.5 million child brides in the country,</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6 million of whom are under the age of 15. 40% of young women marry before they reach the age of 18, and 14% marry before the age of 15, compared to 5% of boys marrying before the age of 18. As a result, child marriage robs Ethiopia of US$1.5 billion in </w:t>
      </w:r>
      <w:r>
        <w:rPr>
          <w:rFonts w:ascii="Times New Roman" w:eastAsia="Times New Roman" w:hAnsi="Times New Roman" w:cs="Times New Roman"/>
          <w:sz w:val="24"/>
          <w:szCs w:val="24"/>
        </w:rPr>
        <w:lastRenderedPageBreak/>
        <w:t>additional earnings and productivity that could be generated if it were eliminated.</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prevalence of child marriage in Ethiopia varies significantly by state - </w:t>
      </w:r>
      <w:r>
        <w:rPr>
          <w:rFonts w:ascii="Times New Roman" w:eastAsia="Times New Roman" w:hAnsi="Times New Roman" w:cs="Times New Roman"/>
          <w:sz w:val="24"/>
          <w:szCs w:val="24"/>
          <w:highlight w:val="white"/>
        </w:rPr>
        <w:t>Afar, Beneshangul-Gumuz, Somali, and Oromia are regions where the prevalence of child marriage continues to be above 50%.</w:t>
      </w:r>
      <w:r>
        <w:rPr>
          <w:rFonts w:ascii="Times New Roman" w:eastAsia="Times New Roman" w:hAnsi="Times New Roman" w:cs="Times New Roman"/>
          <w:sz w:val="24"/>
          <w:szCs w:val="24"/>
        </w:rPr>
        <w:t xml:space="preserve"> This issue is particularly prevalent in the Afar region, where girls as young as 10-11 are often married off.</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Concerningly, while some progress has been made to reduce the prevalence of child marriage (with overall prevalence declining from 49% in 2005 to 40% in 2016), the progress has been uneven.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While some locations like Addis Ababa and other urban centers have seen significant reductions in child marriage prevalence, rates of child marriage have increased in this time in Oromia and Somali regions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indicating the need for more targeted and effective programming to end child marriage in the hotspot regions. Article 35 of the Constitution provides that the State shall enforce women's rights to eliminate harmful customs influences, and Article 36 also requires that all actions be in the child's best interest. In light of these provisions, the persistence of harmful practices highlights a gap between legal commitments and enforcement.</w:t>
      </w:r>
    </w:p>
    <w:p w14:paraId="182DE955" w14:textId="77777777" w:rsidR="006B2DF5" w:rsidRDefault="007B3793">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and policy loopholes</w:t>
      </w:r>
    </w:p>
    <w:p w14:paraId="345D3127"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key provisions of Ethiopian law relating to child marriage are contained in Article 648 of the Penal Code, which criminalizes child and forced marriage, and the Revised Family Code, which sets the minimum marriage age at 18 years. However, the Family Code provides an exception  where, upon the application of the future spouses or the parents or guardian or one of them, the Minister of Justice may grant a dispensation of up to two years for serious reasons, lowering the minimum age to 16.</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Additionally, the law does not include explicit provisions that prohibit the formation of informal unions by </w:t>
      </w:r>
      <w:r>
        <w:rPr>
          <w:rFonts w:ascii="Times New Roman" w:eastAsia="Times New Roman" w:hAnsi="Times New Roman" w:cs="Times New Roman"/>
          <w:sz w:val="24"/>
          <w:szCs w:val="24"/>
        </w:rPr>
        <w:lastRenderedPageBreak/>
        <w:t>individuals under the age of 18. The Criminal Code, under Article 648, acknowledges an exception to the prohibition of child marriage, stating that child marriage may be permitted in specific circumstances as outlined in the Family Code.</w:t>
      </w:r>
    </w:p>
    <w:p w14:paraId="763385BF"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Ethiopian government launched the National Costed Roadmap to End Child Marriage and FGM/C 2020–2024 to prevent and address FGM and child marriage for each region and for the federal level. The five outcomes outlined in the Roadmap are: (i). Empowering adolescent girls and their families; (ii) Community engagement (including faith and traditional leaders); (iii) Enhancing systems, accountability, and services across sectors; (iv) Creating and strengthening an enabling environment; and (v) Increasing data and evidence generation and use.</w:t>
      </w:r>
    </w:p>
    <w:p w14:paraId="319EF5C3" w14:textId="77777777" w:rsidR="006B2DF5" w:rsidRDefault="007B3793">
      <w:pPr>
        <w:spacing w:before="200" w:after="20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 comprehensive evaluation assessing the implementation and gaps of the Roadmap is currently not done/ available. However, significant challenges and potential gaps remain, including the need for increased resource allocation and accelerated progress to meet targets specified in the Roadmap and limitations in national and sub-regional data that will allow for a more targeted/ informed intervention. Recent reports also highlight the ongoing efforts and the persistent need to address these deeply rooted practices, especially in the face of new challenges such as conflict, humanitarian crisis, and the influence of socio-economic drivers. With support from UN agencies like UNICEF and UNFPA and various national and international NGOs, the government of Ethiopia continues to implement programs aligned with the Roadmap's five outcomes. This includes empowering adolescent girls through education and engaging communities, including religious and traditional leaders, to challenge harmful norms. Additionally, efforts are aimed at strengthening cross-sectoral systems for prevention and response by working to create a more enabling legal and policy environment and striving to improve data collection and evidence generation to inform targeted interventions. There are also continued initiatives focused on community conversations and women's empowerment programs, even amidst the challenges posed by conflict and humanitarian crises in certain regions.</w:t>
      </w:r>
    </w:p>
    <w:p w14:paraId="3A46F99B" w14:textId="77777777" w:rsidR="006B2DF5" w:rsidRDefault="007B3793">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impact of the Humanitarian crises on child marriage</w:t>
      </w:r>
    </w:p>
    <w:p w14:paraId="4FE278E3"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humanitarian crisis has worsened existing inequalities, including harmful traditional practices, poverty, and limited access to services, which disproportionately put women and girls at greater risk of human rights violations. For instance, in the Tigray region, education has been disrupted for over three years due to armed conflict, leading to a rise in child marriage.</w:t>
      </w:r>
      <w:r>
        <w:rPr>
          <w:rFonts w:ascii="Times New Roman" w:eastAsia="Times New Roman" w:hAnsi="Times New Roman" w:cs="Times New Roman"/>
          <w:sz w:val="24"/>
          <w:szCs w:val="24"/>
          <w:vertAlign w:val="superscript"/>
        </w:rPr>
        <w:footnoteReference w:id="14"/>
      </w:r>
    </w:p>
    <w:p w14:paraId="3E44848A" w14:textId="77777777" w:rsidR="006B2DF5" w:rsidRDefault="007B3793">
      <w:pPr>
        <w:numPr>
          <w:ilvl w:val="0"/>
          <w:numId w:val="4"/>
        </w:numPr>
        <w:spacing w:after="200" w:line="360" w:lineRule="auto"/>
        <w:jc w:val="both"/>
        <w:rPr>
          <w:rFonts w:ascii="Palatino Linotype" w:eastAsia="Palatino Linotype" w:hAnsi="Palatino Linotype" w:cs="Palatino Linotype"/>
          <w:sz w:val="24"/>
          <w:szCs w:val="24"/>
        </w:rPr>
      </w:pPr>
      <w:r>
        <w:rPr>
          <w:rFonts w:ascii="Times New Roman" w:eastAsia="Times New Roman" w:hAnsi="Times New Roman" w:cs="Times New Roman"/>
          <w:b/>
          <w:sz w:val="24"/>
          <w:szCs w:val="24"/>
        </w:rPr>
        <w:t>S</w:t>
      </w:r>
      <w:r>
        <w:rPr>
          <w:rFonts w:ascii="Times New Roman" w:eastAsia="Times New Roman" w:hAnsi="Times New Roman" w:cs="Times New Roman"/>
          <w:sz w:val="24"/>
          <w:szCs w:val="24"/>
        </w:rPr>
        <w:t>evere drought waves have contributed to fathers in Ethiopia marrying off their daughters to secure bride price, intended to help feed the rest of the family. Child marriage increased by an average of 131% across some areas from January to June 2021 compared to the same period in 2022. Child marriage increased by 14% in drought-affected regions in 2022 compared to the same periods in 2021.</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regions most affected by drought are Oromia, Somalia, the region of nations and nationalities, and the southern peoples.</w:t>
      </w:r>
      <w:r>
        <w:rPr>
          <w:rFonts w:ascii="Times New Roman" w:eastAsia="Times New Roman" w:hAnsi="Times New Roman" w:cs="Times New Roman"/>
          <w:sz w:val="24"/>
          <w:szCs w:val="24"/>
          <w:vertAlign w:val="superscript"/>
        </w:rPr>
        <w:footnoteReference w:id="16"/>
      </w:r>
    </w:p>
    <w:p w14:paraId="659D876F" w14:textId="77777777" w:rsidR="006B2DF5" w:rsidRDefault="007B3793">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Rooted and persistent drivers of child marriage</w:t>
      </w:r>
    </w:p>
    <w:p w14:paraId="67619D57"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 marriage in Ethiopia is sustained by intertwined socio-economic, cultural, and gender norms. Key drivers include poverty, low prioritisation of girls’ education, and harmful traditional practices such as abusuma (forced unions between cousins) and telefa (marriage by abduction) to avoid paying bride price. Deep-rooted beliefs that girls should marry young, combined with fears around their safety, social stigma, and the widespread practice of FGM (often seen as a prerequisite for marriage), further reinforce the practice.</w:t>
      </w:r>
    </w:p>
    <w:p w14:paraId="26DE01A7"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marriage by abduction, it is concerning that the government of Ethiopia has failed to fully implement the decision</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of the African Commission on Human and Peoples’ Rights in </w:t>
      </w:r>
      <w:r>
        <w:rPr>
          <w:rFonts w:ascii="Times New Roman" w:eastAsia="Times New Roman" w:hAnsi="Times New Roman" w:cs="Times New Roman"/>
          <w:b/>
          <w:i/>
          <w:sz w:val="24"/>
          <w:szCs w:val="24"/>
        </w:rPr>
        <w:t xml:space="preserve">Communication No. 341/2007 Equality Now and Ethiopia Women Lawyers </w:t>
      </w:r>
      <w:r>
        <w:rPr>
          <w:rFonts w:ascii="Times New Roman" w:eastAsia="Times New Roman" w:hAnsi="Times New Roman" w:cs="Times New Roman"/>
          <w:b/>
          <w:i/>
          <w:sz w:val="24"/>
          <w:szCs w:val="24"/>
        </w:rPr>
        <w:lastRenderedPageBreak/>
        <w:t xml:space="preserve">Association v Federal Democratic Republic of Ethiopia </w:t>
      </w:r>
      <w:r>
        <w:rPr>
          <w:rFonts w:ascii="Times New Roman" w:eastAsia="Times New Roman" w:hAnsi="Times New Roman" w:cs="Times New Roman"/>
          <w:sz w:val="24"/>
          <w:szCs w:val="24"/>
        </w:rPr>
        <w:t xml:space="preserve">which focused on the abbduction, rape, and force ‘marriage’ of an adolescent girl. The decision has been partially implemented through some reforms to the Family Law Code and Criminal Code. The following aspects of the decision need to be fully implemented: </w:t>
      </w:r>
    </w:p>
    <w:p w14:paraId="2DF21E7D" w14:textId="77777777" w:rsidR="006B2DF5" w:rsidRDefault="007B379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Payment of Ms Woineshet Zebene Negash the sum of US$150,000.00 as compensation for the non-material damage she suffered as a result of the affirmed violations. </w:t>
      </w:r>
    </w:p>
    <w:p w14:paraId="3C886B71" w14:textId="77777777" w:rsidR="006B2DF5" w:rsidRDefault="007B379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 and implement escalated measures to specifically deal with marriage by abduction and rape; monitor instances of marriage by abduction and rape; and diligently prosecite and sanction offenders. </w:t>
      </w:r>
    </w:p>
    <w:p w14:paraId="588E9335" w14:textId="77777777" w:rsidR="006B2DF5" w:rsidRDefault="007B379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 judicial officers on specific human rights themes, including handling cases of violence against women. </w:t>
      </w:r>
    </w:p>
    <w:p w14:paraId="70B24B31" w14:textId="77777777" w:rsidR="006B2DF5" w:rsidRDefault="007B3793">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Report to the Commission within 180 days on the measures adopted to implement the above recommendations and include in its periodic reports yearly statistics on the prevalence of marriages by abduction and rape, cases of successful prosecutions, and challenges faced if any. </w:t>
      </w:r>
    </w:p>
    <w:p w14:paraId="02FB8912" w14:textId="77777777" w:rsidR="006B2DF5" w:rsidRDefault="007B3793">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Female Genital Mutilation</w:t>
      </w:r>
    </w:p>
    <w:p w14:paraId="06C62B2B" w14:textId="77777777" w:rsidR="006B2DF5" w:rsidRDefault="007B3793">
      <w:pPr>
        <w:numPr>
          <w:ilvl w:val="0"/>
          <w:numId w:val="4"/>
        </w:num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Ethiopia, 25 million girls and women have undergone FGM, the largest absolute number in Eastern and Southern Africa. Overall, 65 % of girls and women aged 15 to 49 years have been subjected to FGM. Among adolescent girls aged 15 to 19 years, 47 %have undergone the practice. The risk of FGM depends on certain background characteristics. Girls and women from rural areas and those with less education are at greater risk.</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There is also significant regional variance in terms of FGM prevalence. The Somali and Afar regions have the greatest prevalence rates at 99% and 91%, respectively, </w:t>
      </w:r>
      <w:r>
        <w:rPr>
          <w:rFonts w:ascii="Times New Roman" w:eastAsia="Times New Roman" w:hAnsi="Times New Roman" w:cs="Times New Roman"/>
          <w:sz w:val="24"/>
          <w:szCs w:val="24"/>
          <w:highlight w:val="white"/>
        </w:rPr>
        <w:t>and the lowest in the Tigray and Gambella regions (24% and 33%, respectively).</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high prevalence of FGM </w:t>
      </w:r>
      <w:r>
        <w:rPr>
          <w:rFonts w:ascii="Times New Roman" w:eastAsia="Times New Roman" w:hAnsi="Times New Roman" w:cs="Times New Roman"/>
          <w:sz w:val="24"/>
          <w:szCs w:val="24"/>
        </w:rPr>
        <w:lastRenderedPageBreak/>
        <w:t>in these regions can be linked to strongly ingrained cultural and societal standards that have long regarded the practice as a vital part of their traditions.</w:t>
      </w:r>
    </w:p>
    <w:p w14:paraId="7B72C9DE"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efforts to eliminate FGM in Ethiopia, the practice continues due to ineffective coordination and collaboration among key parties. The failure to develop strong ties between local government, NGOs, community institutions, families, and individuals has slowed growth. Misallocation of resources and poorly designed programs that fail to include entire communities also contribute to the delayed decline of FGM. The persistent presence of patriarchal cultural traditions and their exploitation by some community leaders further complicate the issue. Uncut girls face significant social stigma, reinforcing the pressure to undergo FGM. The persistence of these harmful narratives and the lack of understanding surrounding the practice's detrimental effects highlight the urgent need for change. While progress has been made, these factors represent a substantial setback in the fight against FGM in Ethiopia.</w:t>
      </w:r>
    </w:p>
    <w:p w14:paraId="7DB731C9"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practising FGM still has negative consequences for girls and women in certain Ethiopian communities, especially where FGM is linked to marriageability and chastity, which contributes to the continued prevalence of FGM.</w:t>
      </w:r>
      <w:r>
        <w:rPr>
          <w:rFonts w:ascii="Times New Roman" w:eastAsia="Times New Roman" w:hAnsi="Times New Roman" w:cs="Times New Roman"/>
          <w:sz w:val="24"/>
          <w:szCs w:val="24"/>
          <w:vertAlign w:val="superscript"/>
        </w:rPr>
        <w:footnoteReference w:id="20"/>
      </w:r>
    </w:p>
    <w:p w14:paraId="77FDEF84"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Ethnicity is strongly associated with religious affiliation and, therefore, the mistaken belief that FGM is required by the major religions. Nationally, 23.6% of women and 16.8% of men aged 15–49 believe that FGM is a requirement of their religion. This belief is most common among Muslim men and women. The strongest levels of support for FGM are among Afar, Somali and Sidama women and Afar, Somali, and Amhara men.</w:t>
      </w:r>
      <w:r>
        <w:rPr>
          <w:rFonts w:ascii="Times New Roman" w:eastAsia="Times New Roman" w:hAnsi="Times New Roman" w:cs="Times New Roman"/>
          <w:sz w:val="24"/>
          <w:szCs w:val="24"/>
          <w:vertAlign w:val="superscript"/>
        </w:rPr>
        <w:footnoteReference w:id="21"/>
      </w:r>
    </w:p>
    <w:p w14:paraId="63DA92C3" w14:textId="77777777" w:rsidR="006B2DF5" w:rsidRDefault="007B3793">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 legal framework for addressing FGM</w:t>
      </w:r>
    </w:p>
    <w:p w14:paraId="533D2DC3"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55 of the Criminal Code prescribes a penalty of up to three months’ imprisonment or a fine of 500 ETB for committing female genital mutilation. However, this punishment </w:t>
      </w:r>
      <w:r>
        <w:rPr>
          <w:rFonts w:ascii="Times New Roman" w:eastAsia="Times New Roman" w:hAnsi="Times New Roman" w:cs="Times New Roman"/>
          <w:sz w:val="24"/>
          <w:szCs w:val="24"/>
        </w:rPr>
        <w:lastRenderedPageBreak/>
        <w:t>falls short of reflecting the seriousness of the crime, given the profound and lifelong physical and psychological harm it causes to women and children. The leniency of the penalty also undermines prevention efforts, as it lacks a strong deterrent effect. Additionally, the Criminal Code has several notable gaps: it does not criminalise the failure to report planned acts of FGM, lacks provisions for the protection of victims and witnesses, and fails to address cases where FGM is carried out across regional borders or by healthcare practitioners.</w:t>
      </w:r>
    </w:p>
    <w:p w14:paraId="6D117365" w14:textId="77777777" w:rsidR="006B2DF5" w:rsidRDefault="007B3793">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Sustained religious endorsement of FGM</w:t>
      </w:r>
    </w:p>
    <w:p w14:paraId="5184D690" w14:textId="77777777" w:rsidR="006B2DF5" w:rsidRDefault="007B3793">
      <w:pPr>
        <w:numPr>
          <w:ilvl w:val="0"/>
          <w:numId w:val="4"/>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January 23, 2024, the Ethiopian Islamic Affairs Supreme Council, the highest Islamic authority in the country, issued a press release following its 2nd Ordinary General Assembly, addressing the issue of FGM within the Muslim community.</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The statement denounced Type 3 FGM, typically considered the most severe form, often referred to as ‘pharaonic, ’ labelling it a violent act that contradicts Sharia principles. It also highlighted differences among Islamic scholars regarding whether FGM is considered a religious obligation (wajib) or a recommended practice (sunnah). Nevertheless, the Council stated that FGM will continue to be practiced but must be carried out by trained medical professionals, pending a final religious determination on its obligatory or non-obligatory nature.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The council’s stance contradicts Ethiopia’s constitutional protections that safeguard women from violence and harmful traditional practices such as FGM and their obligations under the Convention of the Rights of the Child, as the convention obligates states to take all effective and appropriate measures with a view to abolishing traditional practices prejudicial to the health of children. It also contradicts the Ministry of Health circular from 2017, which banned the medicalization of FGM in all public and private medical facilities in the country.</w:t>
      </w:r>
      <w:r>
        <w:rPr>
          <w:rFonts w:ascii="Times New Roman" w:eastAsia="Times New Roman" w:hAnsi="Times New Roman" w:cs="Times New Roman"/>
          <w:sz w:val="24"/>
          <w:szCs w:val="24"/>
          <w:vertAlign w:val="superscript"/>
        </w:rPr>
        <w:footnoteReference w:id="24"/>
      </w:r>
    </w:p>
    <w:p w14:paraId="7028294D" w14:textId="77777777" w:rsidR="006B2DF5" w:rsidRDefault="007B3793">
      <w:pPr>
        <w:shd w:val="clear" w:color="auto" w:fill="FFFFFF"/>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Recommendations</w:t>
      </w:r>
    </w:p>
    <w:p w14:paraId="4FC56AC1" w14:textId="77777777" w:rsidR="006B2DF5" w:rsidRDefault="007B3793">
      <w:pPr>
        <w:numPr>
          <w:ilvl w:val="0"/>
          <w:numId w:val="4"/>
        </w:num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effectively combat gender-based violence, child marriage, and FGM, the Ethiopian government should take the following actions:</w:t>
      </w:r>
    </w:p>
    <w:p w14:paraId="639D4AA6" w14:textId="77777777" w:rsidR="006B2DF5" w:rsidRDefault="007B3793">
      <w:pPr>
        <w:numPr>
          <w:ilvl w:val="0"/>
          <w:numId w:val="2"/>
        </w:num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Strengthen Legal Protection</w:t>
      </w:r>
    </w:p>
    <w:p w14:paraId="2445A8A9" w14:textId="77777777" w:rsidR="006B2DF5" w:rsidRDefault="007B3793">
      <w:pPr>
        <w:numPr>
          <w:ilvl w:val="0"/>
          <w:numId w:val="8"/>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the Criminal Code to increase penalties for FGM and criminalize the failure to report FGM.</w:t>
      </w:r>
    </w:p>
    <w:p w14:paraId="1F641385" w14:textId="77777777" w:rsidR="006B2DF5" w:rsidRDefault="007B3793">
      <w:pPr>
        <w:numPr>
          <w:ilvl w:val="0"/>
          <w:numId w:val="8"/>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Repeal legal provisions allowing exceptions to the minimum marriage age, and set the minimum age of marriage at 18 without any exceptions.</w:t>
      </w:r>
    </w:p>
    <w:p w14:paraId="5D4D8AAA" w14:textId="77777777" w:rsidR="006B2DF5" w:rsidRDefault="006B2DF5">
      <w:pPr>
        <w:shd w:val="clear" w:color="auto" w:fill="FFFFFF"/>
        <w:spacing w:line="360" w:lineRule="auto"/>
        <w:ind w:left="720"/>
        <w:jc w:val="both"/>
        <w:rPr>
          <w:rFonts w:ascii="Times New Roman" w:eastAsia="Times New Roman" w:hAnsi="Times New Roman" w:cs="Times New Roman"/>
          <w:sz w:val="24"/>
          <w:szCs w:val="24"/>
        </w:rPr>
      </w:pPr>
    </w:p>
    <w:p w14:paraId="02CD8230" w14:textId="77777777" w:rsidR="006B2DF5" w:rsidRDefault="007B3793">
      <w:pPr>
        <w:numPr>
          <w:ilvl w:val="0"/>
          <w:numId w:val="2"/>
        </w:num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Improve Law Enforcement and Accountability</w:t>
      </w:r>
    </w:p>
    <w:p w14:paraId="21082A88" w14:textId="77777777" w:rsidR="006B2DF5" w:rsidRDefault="007B3793">
      <w:pPr>
        <w:numPr>
          <w:ilvl w:val="0"/>
          <w:numId w:val="7"/>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full enforcement of the 2005 Criminal Code provisions on FGM, sexual violence and child marriage.</w:t>
      </w:r>
    </w:p>
    <w:p w14:paraId="515454A3" w14:textId="77777777" w:rsidR="006B2DF5" w:rsidRDefault="007B3793">
      <w:pPr>
        <w:numPr>
          <w:ilvl w:val="0"/>
          <w:numId w:val="7"/>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specialized training for law enforcement and judicial officers on handling gender-based violence cases.</w:t>
      </w:r>
    </w:p>
    <w:p w14:paraId="2B3FC8A8" w14:textId="77777777" w:rsidR="006B2DF5" w:rsidRDefault="007B3793">
      <w:pPr>
        <w:numPr>
          <w:ilvl w:val="0"/>
          <w:numId w:val="7"/>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monitoring mechanisms to track enforcement of laws against child marriage and FGM.</w:t>
      </w:r>
    </w:p>
    <w:p w14:paraId="4901ADE5" w14:textId="77777777" w:rsidR="006B2DF5" w:rsidRDefault="007B3793">
      <w:pPr>
        <w:numPr>
          <w:ilvl w:val="0"/>
          <w:numId w:val="7"/>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Fully implement the decision of the African Commission on Human and Peoples Rights in Communication No. 341/2007 Equality Now and Ethiopia Women Lawyers Association v Federal Democratic Republic of Ethiopia to comprehensively address the issue of marriage by abduction. </w:t>
      </w:r>
    </w:p>
    <w:p w14:paraId="6079145D" w14:textId="77777777" w:rsidR="006B2DF5" w:rsidRDefault="006B2DF5">
      <w:pPr>
        <w:shd w:val="clear" w:color="auto" w:fill="FFFFFF"/>
        <w:spacing w:line="360" w:lineRule="auto"/>
        <w:ind w:left="720"/>
        <w:jc w:val="both"/>
        <w:rPr>
          <w:rFonts w:ascii="Times New Roman" w:eastAsia="Times New Roman" w:hAnsi="Times New Roman" w:cs="Times New Roman"/>
          <w:sz w:val="24"/>
          <w:szCs w:val="24"/>
        </w:rPr>
      </w:pPr>
    </w:p>
    <w:p w14:paraId="200F1C63" w14:textId="77777777" w:rsidR="006B2DF5" w:rsidRDefault="007B3793">
      <w:pPr>
        <w:numPr>
          <w:ilvl w:val="0"/>
          <w:numId w:val="2"/>
        </w:num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Address Gender-Based Violence in Conflict Areas</w:t>
      </w:r>
    </w:p>
    <w:p w14:paraId="7EC0CB51" w14:textId="77777777" w:rsidR="006B2DF5" w:rsidRDefault="007B3793">
      <w:pPr>
        <w:numPr>
          <w:ilvl w:val="0"/>
          <w:numId w:val="3"/>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safe reporting mechanisms for survivors of conflict-related sexual violence.</w:t>
      </w:r>
    </w:p>
    <w:p w14:paraId="4544DBF6" w14:textId="77777777" w:rsidR="006B2DF5" w:rsidRDefault="007B3793">
      <w:pPr>
        <w:numPr>
          <w:ilvl w:val="0"/>
          <w:numId w:val="3"/>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medical, psychosocial, and legal support for survivors.</w:t>
      </w:r>
    </w:p>
    <w:p w14:paraId="7DB737D1" w14:textId="77777777" w:rsidR="006B2DF5" w:rsidRDefault="007B3793">
      <w:pPr>
        <w:numPr>
          <w:ilvl w:val="0"/>
          <w:numId w:val="3"/>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Hold perpetrators accountable, including members of armed groups and security forces.</w:t>
      </w:r>
    </w:p>
    <w:p w14:paraId="78E549C1" w14:textId="77777777" w:rsidR="006B2DF5" w:rsidRDefault="006B2DF5">
      <w:pPr>
        <w:shd w:val="clear" w:color="auto" w:fill="FFFFFF"/>
        <w:spacing w:line="360" w:lineRule="auto"/>
        <w:ind w:left="720"/>
        <w:jc w:val="both"/>
        <w:rPr>
          <w:rFonts w:ascii="Times New Roman" w:eastAsia="Times New Roman" w:hAnsi="Times New Roman" w:cs="Times New Roman"/>
          <w:sz w:val="24"/>
          <w:szCs w:val="24"/>
        </w:rPr>
      </w:pPr>
    </w:p>
    <w:p w14:paraId="0F4B62A2" w14:textId="77777777" w:rsidR="006B2DF5" w:rsidRDefault="007B3793">
      <w:pPr>
        <w:numPr>
          <w:ilvl w:val="0"/>
          <w:numId w:val="2"/>
        </w:num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Implement Comprehensive Prevention Strategies</w:t>
      </w:r>
    </w:p>
    <w:p w14:paraId="5A139B85" w14:textId="77777777" w:rsidR="006B2DF5" w:rsidRDefault="007B3793">
      <w:pPr>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Expand awareness campaigns challenging social norms that sustain child marriage and FGM.</w:t>
      </w:r>
    </w:p>
    <w:p w14:paraId="3D421FC6" w14:textId="77777777" w:rsidR="006B2DF5" w:rsidRDefault="007B3793">
      <w:pPr>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education for girls to reduce vulnerability to early marriage.</w:t>
      </w:r>
    </w:p>
    <w:p w14:paraId="2CC9BC55" w14:textId="77777777" w:rsidR="006B2DF5" w:rsidRDefault="007B3793">
      <w:pPr>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economic support programs for families at risk of marrying off daughters due to poverty.</w:t>
      </w:r>
    </w:p>
    <w:p w14:paraId="524AD4B5" w14:textId="77777777" w:rsidR="006B2DF5" w:rsidRDefault="006B2DF5">
      <w:pPr>
        <w:shd w:val="clear" w:color="auto" w:fill="FFFFFF"/>
        <w:spacing w:line="360" w:lineRule="auto"/>
        <w:ind w:left="720"/>
        <w:jc w:val="both"/>
        <w:rPr>
          <w:rFonts w:ascii="Times New Roman" w:eastAsia="Times New Roman" w:hAnsi="Times New Roman" w:cs="Times New Roman"/>
          <w:sz w:val="24"/>
          <w:szCs w:val="24"/>
        </w:rPr>
      </w:pPr>
    </w:p>
    <w:p w14:paraId="1BCEF6B4" w14:textId="77777777" w:rsidR="006B2DF5" w:rsidRDefault="007B3793">
      <w:pPr>
        <w:numPr>
          <w:ilvl w:val="0"/>
          <w:numId w:val="2"/>
        </w:numPr>
        <w:shd w:val="clear" w:color="auto" w:fill="FFFFFF"/>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Strengthen Multisectoral Collaboration</w:t>
      </w:r>
    </w:p>
    <w:p w14:paraId="6DDB0DC9" w14:textId="77777777" w:rsidR="006B2DF5" w:rsidRDefault="007B3793">
      <w:pPr>
        <w:numPr>
          <w:ilvl w:val="0"/>
          <w:numId w:val="6"/>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coordination among government agencies, civil society, and international partners.</w:t>
      </w:r>
    </w:p>
    <w:p w14:paraId="07ACD348" w14:textId="77777777" w:rsidR="006B2DF5" w:rsidRDefault="007B3793">
      <w:pPr>
        <w:numPr>
          <w:ilvl w:val="0"/>
          <w:numId w:val="6"/>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funding and resources for the National Roadmap on Harmful Practices and speedily adopt a new roadmap to carry forward the work done under the Roadmap of 2020-2024.</w:t>
      </w:r>
    </w:p>
    <w:p w14:paraId="0C321CFE" w14:textId="77777777" w:rsidR="006B2DF5" w:rsidRDefault="007B3793">
      <w:pPr>
        <w:numPr>
          <w:ilvl w:val="0"/>
          <w:numId w:val="6"/>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regular monitoring and evaluation of national action plans.</w:t>
      </w:r>
    </w:p>
    <w:p w14:paraId="798EF9B6" w14:textId="77777777" w:rsidR="006B2DF5" w:rsidRDefault="006B2DF5">
      <w:pPr>
        <w:spacing w:after="200" w:line="360" w:lineRule="auto"/>
        <w:jc w:val="both"/>
        <w:rPr>
          <w:rFonts w:ascii="Times New Roman" w:eastAsia="Times New Roman" w:hAnsi="Times New Roman" w:cs="Times New Roman"/>
          <w:sz w:val="24"/>
          <w:szCs w:val="24"/>
        </w:rPr>
      </w:pPr>
    </w:p>
    <w:sectPr w:rsidR="006B2DF5">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2DF50" w14:textId="77777777" w:rsidR="0021126B" w:rsidRDefault="0021126B">
      <w:pPr>
        <w:spacing w:line="240" w:lineRule="auto"/>
      </w:pPr>
      <w:r>
        <w:separator/>
      </w:r>
    </w:p>
  </w:endnote>
  <w:endnote w:type="continuationSeparator" w:id="0">
    <w:p w14:paraId="78136A01" w14:textId="77777777" w:rsidR="0021126B" w:rsidRDefault="002112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75C56" w14:textId="77777777" w:rsidR="0021126B" w:rsidRDefault="0021126B">
      <w:pPr>
        <w:spacing w:line="240" w:lineRule="auto"/>
      </w:pPr>
      <w:r>
        <w:separator/>
      </w:r>
    </w:p>
  </w:footnote>
  <w:footnote w:type="continuationSeparator" w:id="0">
    <w:p w14:paraId="70AA3ED0" w14:textId="77777777" w:rsidR="0021126B" w:rsidRDefault="0021126B">
      <w:pPr>
        <w:spacing w:line="240" w:lineRule="auto"/>
      </w:pPr>
      <w:r>
        <w:continuationSeparator/>
      </w:r>
    </w:p>
  </w:footnote>
  <w:footnote w:id="1">
    <w:p w14:paraId="4F1E5F8E"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Rights of the Child.(2015).Concluding observations on the combined fourth and fifth periodic reports of Ethiopia(CRC/C/ETH/CO/4-5).United Nations. See: </w:t>
      </w:r>
      <w:hyperlink r:id="rId1">
        <w:r>
          <w:rPr>
            <w:rFonts w:ascii="Times New Roman" w:eastAsia="Times New Roman" w:hAnsi="Times New Roman" w:cs="Times New Roman"/>
            <w:color w:val="1155CC"/>
            <w:sz w:val="20"/>
            <w:szCs w:val="20"/>
            <w:u w:val="single"/>
          </w:rPr>
          <w:t>https://digitalibrary.un.org/record/814391</w:t>
        </w:r>
      </w:hyperlink>
      <w:r>
        <w:rPr>
          <w:rFonts w:ascii="Times New Roman" w:eastAsia="Times New Roman" w:hAnsi="Times New Roman" w:cs="Times New Roman"/>
          <w:sz w:val="20"/>
          <w:szCs w:val="20"/>
        </w:rPr>
        <w:t xml:space="preserve"> </w:t>
      </w:r>
    </w:p>
  </w:footnote>
  <w:footnote w:id="2">
    <w:p w14:paraId="5B44BAD4"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Ethiopian Penal Code Proclamation No. 414/2004</w:t>
      </w:r>
    </w:p>
  </w:footnote>
  <w:footnote w:id="3">
    <w:p w14:paraId="76C03499"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Palatino Linotype" w:eastAsia="Palatino Linotype" w:hAnsi="Palatino Linotype" w:cs="Palatino Linotype"/>
          <w:sz w:val="20"/>
          <w:szCs w:val="20"/>
        </w:rPr>
        <w:t xml:space="preserve"> </w:t>
      </w:r>
      <w:hyperlink r:id="rId2">
        <w:r>
          <w:rPr>
            <w:rFonts w:ascii="Times New Roman" w:eastAsia="Times New Roman" w:hAnsi="Times New Roman" w:cs="Times New Roman"/>
            <w:sz w:val="20"/>
            <w:szCs w:val="20"/>
          </w:rPr>
          <w:t>Gender-Based Violence and the Tigray Conflict in Ethiopia: A Path to Accountability and Resolution | Wilson Center</w:t>
        </w:r>
      </w:hyperlink>
      <w:r>
        <w:rPr>
          <w:rFonts w:ascii="Times New Roman" w:eastAsia="Times New Roman" w:hAnsi="Times New Roman" w:cs="Times New Roman"/>
          <w:sz w:val="20"/>
          <w:szCs w:val="20"/>
        </w:rPr>
        <w:t xml:space="preserve">. Available at: </w:t>
      </w:r>
      <w:hyperlink r:id="rId3">
        <w:r>
          <w:rPr>
            <w:rFonts w:ascii="Times New Roman" w:eastAsia="Times New Roman" w:hAnsi="Times New Roman" w:cs="Times New Roman"/>
            <w:color w:val="1155CC"/>
            <w:sz w:val="20"/>
            <w:szCs w:val="20"/>
            <w:u w:val="single"/>
          </w:rPr>
          <w:t>https://www.wilsoncenter.org/blog-post/gender-based-violence-and-tigray-conflict-ethiopia-path-accountability-and-resolution</w:t>
        </w:r>
      </w:hyperlink>
      <w:r>
        <w:rPr>
          <w:rFonts w:ascii="Times New Roman" w:eastAsia="Times New Roman" w:hAnsi="Times New Roman" w:cs="Times New Roman"/>
          <w:sz w:val="20"/>
          <w:szCs w:val="20"/>
        </w:rPr>
        <w:t xml:space="preserve"> </w:t>
      </w:r>
    </w:p>
  </w:footnote>
  <w:footnote w:id="4">
    <w:p w14:paraId="46AECCC4" w14:textId="77777777" w:rsidR="006B2DF5" w:rsidRDefault="007B3793">
      <w:pPr>
        <w:spacing w:line="240" w:lineRule="auto"/>
        <w:rPr>
          <w:rFonts w:ascii="Times New Roman" w:eastAsia="Times New Roman" w:hAnsi="Times New Roman" w:cs="Times New Roman"/>
          <w:sz w:val="20"/>
          <w:szCs w:val="20"/>
          <w:u w:val="single"/>
        </w:rPr>
      </w:pPr>
      <w:r>
        <w:rPr>
          <w:vertAlign w:val="superscript"/>
        </w:rPr>
        <w:footnoteRef/>
      </w:r>
      <w:r>
        <w:rPr>
          <w:sz w:val="20"/>
          <w:szCs w:val="20"/>
        </w:rPr>
        <w:t xml:space="preserve"> </w:t>
      </w:r>
      <w:r>
        <w:rPr>
          <w:rFonts w:ascii="Palatino Linotype" w:eastAsia="Palatino Linotype" w:hAnsi="Palatino Linotype" w:cs="Palatino Linotype"/>
        </w:rPr>
        <w:t xml:space="preserve"> </w:t>
      </w:r>
      <w:r>
        <w:rPr>
          <w:rFonts w:ascii="Times New Roman" w:eastAsia="Times New Roman" w:hAnsi="Times New Roman" w:cs="Times New Roman"/>
          <w:sz w:val="20"/>
          <w:szCs w:val="20"/>
        </w:rPr>
        <w:t xml:space="preserve">AP, Scores of women and girls were sexually assaulted after peace deal in Ethiopia’s Tigray, study shows, </w:t>
      </w:r>
      <w:hyperlink r:id="rId4">
        <w:r>
          <w:rPr>
            <w:rFonts w:ascii="Times New Roman" w:eastAsia="Times New Roman" w:hAnsi="Times New Roman" w:cs="Times New Roman"/>
            <w:sz w:val="20"/>
            <w:szCs w:val="20"/>
          </w:rPr>
          <w:t xml:space="preserve"> </w:t>
        </w:r>
      </w:hyperlink>
      <w:hyperlink r:id="rId5">
        <w:r>
          <w:rPr>
            <w:rFonts w:ascii="Times New Roman" w:eastAsia="Times New Roman" w:hAnsi="Times New Roman" w:cs="Times New Roman"/>
            <w:sz w:val="20"/>
            <w:szCs w:val="20"/>
            <w:u w:val="single"/>
          </w:rPr>
          <w:t>https://shorter.me/1lg95</w:t>
        </w:r>
      </w:hyperlink>
    </w:p>
    <w:p w14:paraId="3AF2465B" w14:textId="77777777" w:rsidR="006B2DF5" w:rsidRDefault="006B2DF5">
      <w:pPr>
        <w:spacing w:line="240" w:lineRule="auto"/>
        <w:rPr>
          <w:sz w:val="20"/>
          <w:szCs w:val="20"/>
        </w:rPr>
      </w:pPr>
    </w:p>
  </w:footnote>
  <w:footnote w:id="5">
    <w:p w14:paraId="7B81F203" w14:textId="77777777" w:rsidR="006B2DF5" w:rsidRDefault="007B3793">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See EHRC-OHCHR Joint Investigation Report on Tigray Conflict at </w:t>
      </w:r>
      <w:hyperlink r:id="rId6">
        <w:r>
          <w:rPr>
            <w:rFonts w:ascii="Times New Roman" w:eastAsia="Times New Roman" w:hAnsi="Times New Roman" w:cs="Times New Roman"/>
            <w:color w:val="0563C1"/>
            <w:sz w:val="20"/>
            <w:szCs w:val="20"/>
            <w:u w:val="single"/>
          </w:rPr>
          <w:t>https://ehrc.org/download/ehrc-ohchr-joint-investigation-report-on-tigray-conflict/#</w:t>
        </w:r>
      </w:hyperlink>
      <w:r>
        <w:rPr>
          <w:rFonts w:ascii="Times New Roman" w:eastAsia="Times New Roman" w:hAnsi="Times New Roman" w:cs="Times New Roman"/>
          <w:sz w:val="20"/>
          <w:szCs w:val="20"/>
        </w:rPr>
        <w:t xml:space="preserve"> and See the report on the violations of human rights and international humanitarian law in Afar and Amhara regions  </w:t>
      </w:r>
      <w:hyperlink r:id="rId7">
        <w:r>
          <w:rPr>
            <w:rFonts w:ascii="Times New Roman" w:eastAsia="Times New Roman" w:hAnsi="Times New Roman" w:cs="Times New Roman"/>
            <w:color w:val="0563C1"/>
            <w:sz w:val="20"/>
            <w:szCs w:val="20"/>
            <w:u w:val="single"/>
          </w:rPr>
          <w:t>https://ehrc.org/download/%e1%89%a0%e1%8a%a2%e1%89%b5%e1%8b%ae%e1%8c%b5%e1%8b%ab-%e1%8b%a8%e1%8a%a0%e1%8d%8b%e1%88%ad-%e1%8a%a5%e1%8a%93-%e1%8b%a8%e1%8a%a0%e1%88%9b%e1%88%ab-%e1%8a%ad%e1%88%8d%e1%88%8e%e1%89%bd-%e1%8b%a8/#</w:t>
        </w:r>
      </w:hyperlink>
      <w:r>
        <w:rPr>
          <w:rFonts w:ascii="Times New Roman" w:eastAsia="Times New Roman" w:hAnsi="Times New Roman" w:cs="Times New Roman"/>
          <w:sz w:val="20"/>
          <w:szCs w:val="20"/>
        </w:rPr>
        <w:t xml:space="preserve"> </w:t>
      </w:r>
    </w:p>
  </w:footnote>
  <w:footnote w:id="6">
    <w:p w14:paraId="432E5EF1"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Ethiopian Penal Code Proclamation No. 414/2004</w:t>
      </w:r>
    </w:p>
  </w:footnote>
  <w:footnote w:id="7">
    <w:p w14:paraId="64FD1525"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SDG 5.3</w:t>
      </w:r>
    </w:p>
  </w:footnote>
  <w:footnote w:id="8">
    <w:p w14:paraId="5C212539"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Palatino Linotype" w:eastAsia="Palatino Linotype" w:hAnsi="Palatino Linotype" w:cs="Palatino Linotype"/>
          <w:sz w:val="20"/>
          <w:szCs w:val="20"/>
        </w:rPr>
        <w:t xml:space="preserve"> </w:t>
      </w:r>
      <w:r>
        <w:rPr>
          <w:rFonts w:ascii="Times New Roman" w:eastAsia="Times New Roman" w:hAnsi="Times New Roman" w:cs="Times New Roman"/>
          <w:sz w:val="20"/>
          <w:szCs w:val="20"/>
        </w:rPr>
        <w:t>Child marriage in Eastern and Southern Africa: A statistical overview and reflections on ending the practice. Available at:</w:t>
      </w:r>
    </w:p>
    <w:p w14:paraId="7E9DF46A" w14:textId="77777777" w:rsidR="006B2DF5" w:rsidRDefault="007B3793">
      <w:pPr>
        <w:spacing w:line="240" w:lineRule="auto"/>
        <w:rPr>
          <w:rFonts w:ascii="Palatino Linotype" w:eastAsia="Palatino Linotype" w:hAnsi="Palatino Linotype" w:cs="Palatino Linotype"/>
          <w:sz w:val="20"/>
          <w:szCs w:val="20"/>
        </w:rPr>
      </w:pPr>
      <w:hyperlink r:id="rId8">
        <w:r>
          <w:rPr>
            <w:rFonts w:ascii="Times New Roman" w:eastAsia="Times New Roman" w:hAnsi="Times New Roman" w:cs="Times New Roman"/>
            <w:color w:val="1155CC"/>
            <w:sz w:val="20"/>
            <w:szCs w:val="20"/>
            <w:u w:val="single"/>
          </w:rPr>
          <w:t>h</w:t>
        </w:r>
      </w:hyperlink>
      <w:hyperlink r:id="rId9">
        <w:r>
          <w:rPr>
            <w:rFonts w:ascii="Palatino Linotype" w:eastAsia="Palatino Linotype" w:hAnsi="Palatino Linotype" w:cs="Palatino Linotype"/>
            <w:color w:val="1155CC"/>
            <w:sz w:val="20"/>
            <w:szCs w:val="20"/>
            <w:u w:val="single"/>
          </w:rPr>
          <w:t>ttps://www.google.com/url?q=https://data.unicef.org/resources/child-marriage-in-eastern-and-southern-africa-a-statistical-overview-and-reflections-on-ending-the-practice/&amp;sa=D&amp;source=docs&amp;ust=1744288365898232&amp;usg=AOvVaw2huR0KCtUovqLhn-9MZL8h</w:t>
        </w:r>
      </w:hyperlink>
      <w:r>
        <w:rPr>
          <w:rFonts w:ascii="Palatino Linotype" w:eastAsia="Palatino Linotype" w:hAnsi="Palatino Linotype" w:cs="Palatino Linotype"/>
          <w:sz w:val="20"/>
          <w:szCs w:val="20"/>
        </w:rPr>
        <w:t xml:space="preserve"> </w:t>
      </w:r>
    </w:p>
  </w:footnote>
  <w:footnote w:id="9">
    <w:p w14:paraId="0CB67841"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UNICEF,Ending Child Marriage:A Profile of Ethiopia. Available at: </w:t>
      </w:r>
      <w:hyperlink r:id="rId10">
        <w:r>
          <w:rPr>
            <w:rFonts w:ascii="Times New Roman" w:eastAsia="Times New Roman" w:hAnsi="Times New Roman" w:cs="Times New Roman"/>
            <w:color w:val="1155CC"/>
            <w:sz w:val="20"/>
            <w:szCs w:val="20"/>
            <w:u w:val="single"/>
          </w:rPr>
          <w:t>https://www.unicef.org/ethiopia/sites/unicef.org.ethiopia/files/2018-10/Child%20Marriage%20Ethiopia-%20online%20version_0.pdf</w:t>
        </w:r>
      </w:hyperlink>
      <w:r>
        <w:rPr>
          <w:rFonts w:ascii="Times New Roman" w:eastAsia="Times New Roman" w:hAnsi="Times New Roman" w:cs="Times New Roman"/>
          <w:sz w:val="20"/>
          <w:szCs w:val="20"/>
        </w:rPr>
        <w:t xml:space="preserve"> </w:t>
      </w:r>
    </w:p>
  </w:footnote>
  <w:footnote w:id="10">
    <w:p w14:paraId="4F2FFEE6"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 Children in Ethiopia The situation of children in Ethiopia, </w:t>
      </w:r>
      <w:hyperlink r:id="rId11">
        <w:r>
          <w:rPr>
            <w:rFonts w:ascii="Times New Roman" w:eastAsia="Times New Roman" w:hAnsi="Times New Roman" w:cs="Times New Roman"/>
            <w:sz w:val="20"/>
            <w:szCs w:val="20"/>
          </w:rPr>
          <w:t xml:space="preserve"> </w:t>
        </w:r>
      </w:hyperlink>
      <w:hyperlink r:id="rId12">
        <w:r>
          <w:rPr>
            <w:rFonts w:ascii="Times New Roman" w:eastAsia="Times New Roman" w:hAnsi="Times New Roman" w:cs="Times New Roman"/>
            <w:color w:val="1155CC"/>
            <w:sz w:val="20"/>
            <w:szCs w:val="20"/>
            <w:u w:val="single"/>
          </w:rPr>
          <w:t>https://www.unicef.org/ethiopia/children-ethiopia</w:t>
        </w:r>
      </w:hyperlink>
    </w:p>
  </w:footnote>
  <w:footnote w:id="11">
    <w:p w14:paraId="7F529A9D"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Annabel Erulkar, </w:t>
      </w:r>
      <w:r>
        <w:rPr>
          <w:rFonts w:ascii="Times New Roman" w:eastAsia="Times New Roman" w:hAnsi="Times New Roman" w:cs="Times New Roman"/>
          <w:i/>
          <w:sz w:val="20"/>
          <w:szCs w:val="20"/>
        </w:rPr>
        <w:t>Changes in the Prevalence of Child Marriage in Ethiopia 2005-2016</w:t>
      </w:r>
      <w:r>
        <w:rPr>
          <w:rFonts w:ascii="Times New Roman" w:eastAsia="Times New Roman" w:hAnsi="Times New Roman" w:cs="Times New Roman"/>
          <w:sz w:val="20"/>
          <w:szCs w:val="20"/>
        </w:rPr>
        <w:t xml:space="preserve">, 19(1) Journal of Reproductive Health 195 (2022), </w:t>
      </w:r>
      <w:hyperlink r:id="rId13">
        <w:r>
          <w:rPr>
            <w:rFonts w:ascii="Times New Roman" w:eastAsia="Times New Roman" w:hAnsi="Times New Roman" w:cs="Times New Roman"/>
            <w:color w:val="1155CC"/>
            <w:sz w:val="20"/>
            <w:szCs w:val="20"/>
            <w:u w:val="single"/>
          </w:rPr>
          <w:t>https://reproductive-health-journal.biomedcentral.com/articles/10.1186/s12978-021-01234-4</w:t>
        </w:r>
      </w:hyperlink>
      <w:r>
        <w:rPr>
          <w:rFonts w:ascii="Times New Roman" w:eastAsia="Times New Roman" w:hAnsi="Times New Roman" w:cs="Times New Roman"/>
          <w:sz w:val="20"/>
          <w:szCs w:val="20"/>
        </w:rPr>
        <w:t xml:space="preserve"> </w:t>
      </w:r>
    </w:p>
  </w:footnote>
  <w:footnote w:id="12">
    <w:p w14:paraId="1F0269CE"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w:t>
      </w:r>
    </w:p>
  </w:footnote>
  <w:footnote w:id="13">
    <w:p w14:paraId="3AA1C58C"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Article 7(2) Revised Family Code,(2000)</w:t>
      </w:r>
    </w:p>
  </w:footnote>
  <w:footnote w:id="14">
    <w:p w14:paraId="6B247129" w14:textId="77777777" w:rsidR="006B2DF5" w:rsidRDefault="007B3793">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See EHRC-OHCHR Joint Investigation Report on Tigray Conflict at </w:t>
      </w:r>
      <w:hyperlink r:id="rId14">
        <w:r>
          <w:rPr>
            <w:rFonts w:ascii="Times New Roman" w:eastAsia="Times New Roman" w:hAnsi="Times New Roman" w:cs="Times New Roman"/>
            <w:color w:val="0563C1"/>
            <w:sz w:val="20"/>
            <w:szCs w:val="20"/>
            <w:u w:val="single"/>
          </w:rPr>
          <w:t>https://ehrc.org/download/ehrc-ohchr-joint-investigation-report-on-tigray-conflict/#</w:t>
        </w:r>
      </w:hyperlink>
      <w:r>
        <w:rPr>
          <w:rFonts w:ascii="Times New Roman" w:eastAsia="Times New Roman" w:hAnsi="Times New Roman" w:cs="Times New Roman"/>
          <w:sz w:val="20"/>
          <w:szCs w:val="20"/>
        </w:rPr>
        <w:t xml:space="preserve"> and See the report on the violations of human rights and international humanitarian law in Afar and Amhara regions  </w:t>
      </w:r>
      <w:hyperlink r:id="rId15">
        <w:r>
          <w:rPr>
            <w:rFonts w:ascii="Times New Roman" w:eastAsia="Times New Roman" w:hAnsi="Times New Roman" w:cs="Times New Roman"/>
            <w:color w:val="0563C1"/>
            <w:sz w:val="20"/>
            <w:szCs w:val="20"/>
            <w:u w:val="single"/>
          </w:rPr>
          <w:t>https://ehrc.org/download/%e1%89%a0%e1%8a%a2%e1%89%b5%e1%8b%ae%e1%8c%b5%e1%8b%ab-%e1%8b%a8%e1%8a%a0%e1%8d%8b%e1%88%ad-%e1%8a%a5%e1%8a%93-%e1%8b%a8%e1%8a%a0%e1%88%9b%e1%88%ab-%e1%8a%ad%e1%88%8d%e1%88%8e%e1%89%bd-%e1%8b%a8/#</w:t>
        </w:r>
      </w:hyperlink>
      <w:r>
        <w:rPr>
          <w:rFonts w:ascii="Times New Roman" w:eastAsia="Times New Roman" w:hAnsi="Times New Roman" w:cs="Times New Roman"/>
          <w:sz w:val="20"/>
          <w:szCs w:val="20"/>
        </w:rPr>
        <w:t xml:space="preserve"> </w:t>
      </w:r>
    </w:p>
  </w:footnote>
  <w:footnote w:id="15">
    <w:p w14:paraId="701621E9"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Palatino Linotype" w:eastAsia="Palatino Linotype" w:hAnsi="Palatino Linotype" w:cs="Palatino Linotype"/>
          <w:sz w:val="20"/>
          <w:szCs w:val="20"/>
        </w:rPr>
        <w:t xml:space="preserve"> </w:t>
      </w:r>
      <w:r>
        <w:rPr>
          <w:rFonts w:ascii="Times New Roman" w:eastAsia="Times New Roman" w:hAnsi="Times New Roman" w:cs="Times New Roman"/>
          <w:sz w:val="20"/>
          <w:szCs w:val="20"/>
        </w:rPr>
        <w:t xml:space="preserve">UNFPA-UNICEF.(2023).Ethiopia Country Profile:The UNFPA-UNICEF Global Programme to End Child Marriage. Available at: </w:t>
      </w:r>
      <w:hyperlink r:id="rId16">
        <w:r>
          <w:rPr>
            <w:rFonts w:ascii="Times New Roman" w:eastAsia="Times New Roman" w:hAnsi="Times New Roman" w:cs="Times New Roman"/>
            <w:color w:val="1155CC"/>
            <w:sz w:val="20"/>
            <w:szCs w:val="20"/>
            <w:u w:val="single"/>
          </w:rPr>
          <w:t>https://www.unicef.org/media/160501/file/Ethiopia.pdf</w:t>
        </w:r>
      </w:hyperlink>
      <w:r>
        <w:rPr>
          <w:rFonts w:ascii="Times New Roman" w:eastAsia="Times New Roman" w:hAnsi="Times New Roman" w:cs="Times New Roman"/>
          <w:sz w:val="20"/>
          <w:szCs w:val="20"/>
        </w:rPr>
        <w:t xml:space="preserve"> </w:t>
      </w:r>
    </w:p>
  </w:footnote>
  <w:footnote w:id="16">
    <w:p w14:paraId="1C1FD6C4" w14:textId="77777777" w:rsidR="006B2DF5" w:rsidRDefault="007B379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Borgen project, What to know about Child Marriage in Ethiopia, </w:t>
      </w:r>
      <w:hyperlink r:id="rId17">
        <w:r>
          <w:rPr>
            <w:rFonts w:ascii="Times New Roman" w:eastAsia="Times New Roman" w:hAnsi="Times New Roman" w:cs="Times New Roman"/>
            <w:sz w:val="20"/>
            <w:szCs w:val="20"/>
          </w:rPr>
          <w:t xml:space="preserve"> </w:t>
        </w:r>
      </w:hyperlink>
      <w:hyperlink r:id="rId18">
        <w:r>
          <w:rPr>
            <w:rFonts w:ascii="Times New Roman" w:eastAsia="Times New Roman" w:hAnsi="Times New Roman" w:cs="Times New Roman"/>
            <w:color w:val="1155CC"/>
            <w:sz w:val="20"/>
            <w:szCs w:val="20"/>
            <w:u w:val="single"/>
          </w:rPr>
          <w:t>https://borgenproject.org/child-marriage-in-ethiopia/</w:t>
        </w:r>
      </w:hyperlink>
    </w:p>
  </w:footnote>
  <w:footnote w:id="17">
    <w:p w14:paraId="0C7EDF12"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Communication 341/2007 - Equality Now &amp; Ethiopian Women Lawyers Association c. Éthiopie. Available at: </w:t>
      </w:r>
      <w:hyperlink r:id="rId19">
        <w:r>
          <w:rPr>
            <w:rFonts w:ascii="Times New Roman" w:eastAsia="Times New Roman" w:hAnsi="Times New Roman" w:cs="Times New Roman"/>
            <w:color w:val="1155CC"/>
            <w:sz w:val="20"/>
            <w:szCs w:val="20"/>
            <w:u w:val="single"/>
          </w:rPr>
          <w:t>https://caselaw.ihrda.org/fr/entity/x07q6k7as?page=10</w:t>
        </w:r>
      </w:hyperlink>
      <w:r>
        <w:rPr>
          <w:rFonts w:ascii="Times New Roman" w:eastAsia="Times New Roman" w:hAnsi="Times New Roman" w:cs="Times New Roman"/>
          <w:sz w:val="20"/>
          <w:szCs w:val="20"/>
        </w:rPr>
        <w:t xml:space="preserve"> </w:t>
      </w:r>
    </w:p>
  </w:footnote>
  <w:footnote w:id="18">
    <w:p w14:paraId="7A405C0D"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UNICEF,A Profile of Female Genital Mutilation in Ethiopia, Available at: </w:t>
      </w:r>
      <w:hyperlink r:id="rId20">
        <w:r>
          <w:rPr>
            <w:rFonts w:ascii="Times New Roman" w:eastAsia="Times New Roman" w:hAnsi="Times New Roman" w:cs="Times New Roman"/>
            <w:color w:val="1155CC"/>
            <w:sz w:val="20"/>
            <w:szCs w:val="20"/>
            <w:u w:val="single"/>
          </w:rPr>
          <w:t>https://www.unicef.org/ethiopia/reports/profile-female-genital-mutilation</w:t>
        </w:r>
      </w:hyperlink>
      <w:r>
        <w:rPr>
          <w:rFonts w:ascii="Times New Roman" w:eastAsia="Times New Roman" w:hAnsi="Times New Roman" w:cs="Times New Roman"/>
          <w:sz w:val="20"/>
          <w:szCs w:val="20"/>
        </w:rPr>
        <w:t xml:space="preserve"> </w:t>
      </w:r>
    </w:p>
  </w:footnote>
  <w:footnote w:id="19">
    <w:p w14:paraId="12184680"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Fighting female genital mutilation in Ethiopia: a passion born of personal pain | WHO | Regional Office for Africa. Available at: </w:t>
      </w:r>
      <w:hyperlink r:id="rId21">
        <w:r>
          <w:rPr>
            <w:rFonts w:ascii="Times New Roman" w:eastAsia="Times New Roman" w:hAnsi="Times New Roman" w:cs="Times New Roman"/>
            <w:color w:val="1155CC"/>
            <w:sz w:val="20"/>
            <w:szCs w:val="20"/>
            <w:u w:val="single"/>
          </w:rPr>
          <w:t>https://www.afro.who.int/countries/ethiopia/news/fighting-female-genital-mutilation-ethiopia-passion-born-personal-pain</w:t>
        </w:r>
      </w:hyperlink>
      <w:r>
        <w:rPr>
          <w:rFonts w:ascii="Times New Roman" w:eastAsia="Times New Roman" w:hAnsi="Times New Roman" w:cs="Times New Roman"/>
          <w:sz w:val="20"/>
          <w:szCs w:val="20"/>
        </w:rPr>
        <w:t xml:space="preserve"> </w:t>
      </w:r>
    </w:p>
  </w:footnote>
  <w:footnote w:id="20">
    <w:p w14:paraId="48556601"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Elizabeth Presler-Marshall, Nicola Jones, Erin Oakley, Rebecca Dutton, Sarah Baird, Workneh Yadete and Yitagesu Gebeyehu (2022) Exploring the diversity of FGM/C practices in Ethiopia: Drivers, experiences and opportunities for social norm change. London: Gender and Adolescence: Global Evidence. Available at: </w:t>
      </w:r>
      <w:hyperlink r:id="rId22">
        <w:r>
          <w:rPr>
            <w:rFonts w:ascii="Times New Roman" w:eastAsia="Times New Roman" w:hAnsi="Times New Roman" w:cs="Times New Roman"/>
            <w:color w:val="1155CC"/>
            <w:sz w:val="20"/>
            <w:szCs w:val="20"/>
            <w:u w:val="single"/>
          </w:rPr>
          <w:t>https://www.gage.odi.org/publication/exploring-the-diversity-of%20fgm-c-practices-in-ethiopia-drivers-experiences-and-opportunities-for-social-norm-change/</w:t>
        </w:r>
      </w:hyperlink>
      <w:r>
        <w:rPr>
          <w:rFonts w:ascii="Times New Roman" w:eastAsia="Times New Roman" w:hAnsi="Times New Roman" w:cs="Times New Roman"/>
          <w:sz w:val="20"/>
          <w:szCs w:val="20"/>
        </w:rPr>
        <w:t xml:space="preserve"> </w:t>
      </w:r>
    </w:p>
  </w:footnote>
  <w:footnote w:id="21">
    <w:p w14:paraId="0F371579" w14:textId="77777777" w:rsidR="006B2DF5" w:rsidRDefault="007B3793">
      <w:pPr>
        <w:spacing w:line="240" w:lineRule="auto"/>
        <w:rPr>
          <w:rFonts w:ascii="Palatino Linotype" w:eastAsia="Palatino Linotype" w:hAnsi="Palatino Linotype" w:cs="Palatino Linotype"/>
          <w:sz w:val="20"/>
          <w:szCs w:val="20"/>
        </w:rPr>
      </w:pPr>
      <w:r>
        <w:rPr>
          <w:vertAlign w:val="superscript"/>
        </w:rPr>
        <w:footnoteRef/>
      </w:r>
      <w:r>
        <w:rPr>
          <w:rFonts w:ascii="Palatino Linotype" w:eastAsia="Palatino Linotype" w:hAnsi="Palatino Linotype" w:cs="Palatino Linotype"/>
          <w:sz w:val="20"/>
          <w:szCs w:val="20"/>
        </w:rPr>
        <w:t xml:space="preserve"> Demographic and Health Survey 2016. Available at: </w:t>
      </w:r>
      <w:hyperlink r:id="rId23">
        <w:r>
          <w:rPr>
            <w:rFonts w:ascii="Palatino Linotype" w:eastAsia="Palatino Linotype" w:hAnsi="Palatino Linotype" w:cs="Palatino Linotype"/>
            <w:color w:val="1155CC"/>
            <w:sz w:val="20"/>
            <w:szCs w:val="20"/>
            <w:u w:val="single"/>
          </w:rPr>
          <w:t>https://dhsprogram.com/pubs/pdf/fr328/fr328.pdf</w:t>
        </w:r>
      </w:hyperlink>
      <w:r>
        <w:rPr>
          <w:rFonts w:ascii="Palatino Linotype" w:eastAsia="Palatino Linotype" w:hAnsi="Palatino Linotype" w:cs="Palatino Linotype"/>
          <w:sz w:val="20"/>
          <w:szCs w:val="20"/>
        </w:rPr>
        <w:t xml:space="preserve"> </w:t>
      </w:r>
    </w:p>
  </w:footnote>
  <w:footnote w:id="22">
    <w:p w14:paraId="4F3F8604"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Facebook post from the Ethipian Islamic Affairs Supreme Council. Available at: </w:t>
      </w:r>
      <w:hyperlink r:id="rId24">
        <w:r>
          <w:rPr>
            <w:rFonts w:ascii="Times New Roman" w:eastAsia="Times New Roman" w:hAnsi="Times New Roman" w:cs="Times New Roman"/>
            <w:color w:val="1155CC"/>
            <w:sz w:val="20"/>
            <w:szCs w:val="20"/>
            <w:u w:val="single"/>
          </w:rPr>
          <w:t>https://www.facebook.com/story.php?story_fbid=784229090418079&amp;id=100064929844484&amp;mibextid=oFDknk&amp;rdid=RZ0EVcmrWAQcr9N6#</w:t>
        </w:r>
      </w:hyperlink>
      <w:r>
        <w:rPr>
          <w:rFonts w:ascii="Times New Roman" w:eastAsia="Times New Roman" w:hAnsi="Times New Roman" w:cs="Times New Roman"/>
          <w:sz w:val="20"/>
          <w:szCs w:val="20"/>
        </w:rPr>
        <w:t xml:space="preserve"> </w:t>
      </w:r>
    </w:p>
  </w:footnote>
  <w:footnote w:id="23">
    <w:p w14:paraId="53053718"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 Ethiopian Islamic Affairs Supreme Council. See their website at: </w:t>
      </w:r>
      <w:hyperlink r:id="rId25">
        <w:r>
          <w:rPr>
            <w:rFonts w:ascii="Times New Roman" w:eastAsia="Times New Roman" w:hAnsi="Times New Roman" w:cs="Times New Roman"/>
            <w:color w:val="1155CC"/>
            <w:sz w:val="20"/>
            <w:szCs w:val="20"/>
            <w:u w:val="single"/>
          </w:rPr>
          <w:t>https://ethiopianmajlis.org.et/</w:t>
        </w:r>
      </w:hyperlink>
      <w:r>
        <w:rPr>
          <w:rFonts w:ascii="Times New Roman" w:eastAsia="Times New Roman" w:hAnsi="Times New Roman" w:cs="Times New Roman"/>
          <w:sz w:val="20"/>
          <w:szCs w:val="20"/>
        </w:rPr>
        <w:t xml:space="preserve"> </w:t>
      </w:r>
    </w:p>
  </w:footnote>
  <w:footnote w:id="24">
    <w:p w14:paraId="0A1F864A" w14:textId="77777777" w:rsidR="006B2DF5" w:rsidRDefault="007B3793">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Ethiopia bans medicalization of female genital mutilation (FGM). Available at: </w:t>
      </w:r>
    </w:p>
    <w:p w14:paraId="766F6DF1" w14:textId="77777777" w:rsidR="006B2DF5" w:rsidRDefault="007B3793">
      <w:pPr>
        <w:spacing w:line="240" w:lineRule="auto"/>
        <w:rPr>
          <w:rFonts w:ascii="Calibri" w:eastAsia="Calibri" w:hAnsi="Calibri" w:cs="Calibri"/>
          <w:sz w:val="20"/>
          <w:szCs w:val="20"/>
        </w:rPr>
      </w:pPr>
      <w:hyperlink r:id="rId26" w:anchor=":~:text=In%20line%20with%20this%2C%20the,be%20subjected%20to%20legal%20action">
        <w:r>
          <w:rPr>
            <w:rFonts w:ascii="Calibri" w:eastAsia="Calibri" w:hAnsi="Calibri" w:cs="Calibri"/>
            <w:color w:val="1155CC"/>
            <w:sz w:val="20"/>
            <w:szCs w:val="20"/>
            <w:u w:val="single"/>
          </w:rPr>
          <w:t>https://www.afro.who.int/news/ethiopia-bans-medicalization-female-genital-mutilation-fgm#:~:text=In%20line%20with%20this%2C%20the,be%20subjected%20to%20legal%20action</w:t>
        </w:r>
      </w:hyperlink>
      <w:r>
        <w:rPr>
          <w:rFonts w:ascii="Calibri" w:eastAsia="Calibri" w:hAnsi="Calibri" w:cs="Calibri"/>
          <w:sz w:val="20"/>
          <w:szCs w:val="20"/>
        </w:rPr>
        <w:t xml:space="preserve">. </w:t>
      </w:r>
    </w:p>
    <w:p w14:paraId="2BD9A512" w14:textId="77777777" w:rsidR="006B2DF5" w:rsidRDefault="006B2DF5">
      <w:pPr>
        <w:spacing w:line="240" w:lineRule="auto"/>
        <w:rPr>
          <w:rFonts w:ascii="Calibri" w:eastAsia="Calibri" w:hAnsi="Calibri" w:cs="Calibri"/>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52914" w14:textId="77777777" w:rsidR="006B2DF5" w:rsidRDefault="007B3793">
    <w:pPr>
      <w:jc w:val="right"/>
    </w:pPr>
    <w:r>
      <w:fldChar w:fldCharType="begin"/>
    </w:r>
    <w:r>
      <w:instrText>PAGE</w:instrText>
    </w:r>
    <w:r>
      <w:fldChar w:fldCharType="separate"/>
    </w:r>
    <w:r w:rsidR="00076B50">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4A1"/>
    <w:multiLevelType w:val="multilevel"/>
    <w:tmpl w:val="4B349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EC1355E"/>
    <w:multiLevelType w:val="multilevel"/>
    <w:tmpl w:val="4C18C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B905A7"/>
    <w:multiLevelType w:val="multilevel"/>
    <w:tmpl w:val="2FFC1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8C381E"/>
    <w:multiLevelType w:val="multilevel"/>
    <w:tmpl w:val="419AF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FB7883"/>
    <w:multiLevelType w:val="multilevel"/>
    <w:tmpl w:val="FE0A4F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8413BE5"/>
    <w:multiLevelType w:val="multilevel"/>
    <w:tmpl w:val="0FAC8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8E7DBC"/>
    <w:multiLevelType w:val="multilevel"/>
    <w:tmpl w:val="F1B67312"/>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DE1746B"/>
    <w:multiLevelType w:val="multilevel"/>
    <w:tmpl w:val="20129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2242689">
    <w:abstractNumId w:val="2"/>
  </w:num>
  <w:num w:numId="2" w16cid:durableId="930966495">
    <w:abstractNumId w:val="6"/>
  </w:num>
  <w:num w:numId="3" w16cid:durableId="2116628260">
    <w:abstractNumId w:val="1"/>
  </w:num>
  <w:num w:numId="4" w16cid:durableId="492335153">
    <w:abstractNumId w:val="0"/>
  </w:num>
  <w:num w:numId="5" w16cid:durableId="1690451762">
    <w:abstractNumId w:val="4"/>
  </w:num>
  <w:num w:numId="6" w16cid:durableId="1720667864">
    <w:abstractNumId w:val="7"/>
  </w:num>
  <w:num w:numId="7" w16cid:durableId="1874922936">
    <w:abstractNumId w:val="3"/>
  </w:num>
  <w:num w:numId="8" w16cid:durableId="7689347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DF5"/>
    <w:rsid w:val="00076B50"/>
    <w:rsid w:val="0021126B"/>
    <w:rsid w:val="006B2DF5"/>
    <w:rsid w:val="007B3793"/>
    <w:rsid w:val="008F3678"/>
    <w:rsid w:val="00B80569"/>
  </w:rsids>
  <m:mathPr>
    <m:mathFont m:val="Cambria Math"/>
    <m:brkBin m:val="before"/>
    <m:brkBinSub m:val="--"/>
    <m:smallFrac m:val="0"/>
    <m:dispDef/>
    <m:lMargin m:val="0"/>
    <m:rMargin m:val="0"/>
    <m:defJc m:val="centerGroup"/>
    <m:wrapIndent m:val="1440"/>
    <m:intLim m:val="subSup"/>
    <m:naryLim m:val="undOvr"/>
  </m:mathPr>
  <w:themeFontLang w:val="en-MY"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40F68"/>
  <w15:docId w15:val="{2EE371DD-1EC4-4F5C-B28A-195E1BED7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m/url?q=https://data.unicef.org/resources/child-marriage-in-eastern-and-southern-africa-a-statistical-overview-and-reflections-on-ending-the-practice/&amp;sa=D&amp;source=docs&amp;ust=1744288365898232&amp;usg=AOvVaw2huR0KCtUovqLhn-9MZL8h" TargetMode="External"/><Relationship Id="rId13" Type="http://schemas.openxmlformats.org/officeDocument/2006/relationships/hyperlink" Target="https://reproductive-health-journal.biomedcentral.com/articles/10.1186/s12978-021-01234-4" TargetMode="External"/><Relationship Id="rId18" Type="http://schemas.openxmlformats.org/officeDocument/2006/relationships/hyperlink" Target="https://borgenproject.org/child-marriage-in-ethiopia/" TargetMode="External"/><Relationship Id="rId26" Type="http://schemas.openxmlformats.org/officeDocument/2006/relationships/hyperlink" Target="https://www.afro.who.int/news/ethiopia-bans-medicalization-female-genital-mutilation-fgm" TargetMode="External"/><Relationship Id="rId3" Type="http://schemas.openxmlformats.org/officeDocument/2006/relationships/hyperlink" Target="https://www.wilsoncenter.org/blog-post/gender-based-violence-and-tigray-conflict-ethiopia-path-accountability-and-resolution" TargetMode="External"/><Relationship Id="rId21" Type="http://schemas.openxmlformats.org/officeDocument/2006/relationships/hyperlink" Target="https://www.afro.who.int/countries/ethiopia/news/fighting-female-genital-mutilation-ethiopia-passion-born-personal-pain" TargetMode="External"/><Relationship Id="rId7" Type="http://schemas.openxmlformats.org/officeDocument/2006/relationships/hyperlink" Target="https://ehrc.org/download/%e1%89%a0%e1%8a%a2%e1%89%b5%e1%8b%ae%e1%8c%b5%e1%8b%ab-%e1%8b%a8%e1%8a%a0%e1%8d%8b%e1%88%ad-%e1%8a%a5%e1%8a%93-%e1%8b%a8%e1%8a%a0%e1%88%9b%e1%88%ab-%e1%8a%ad%e1%88%8d%e1%88%8e%e1%89%bd-%e1%8b%a8/" TargetMode="External"/><Relationship Id="rId12" Type="http://schemas.openxmlformats.org/officeDocument/2006/relationships/hyperlink" Target="https://www.unicef.org/ethiopia/children-ethiopia" TargetMode="External"/><Relationship Id="rId17" Type="http://schemas.openxmlformats.org/officeDocument/2006/relationships/hyperlink" Target="https://borgenproject.org/child-marriage-in-ethiopia/" TargetMode="External"/><Relationship Id="rId25" Type="http://schemas.openxmlformats.org/officeDocument/2006/relationships/hyperlink" Target="https://ethiopianmajlis.org.et/" TargetMode="External"/><Relationship Id="rId2" Type="http://schemas.openxmlformats.org/officeDocument/2006/relationships/hyperlink" Target="https://www.wilsoncenter.org/blog-post/gender-based-violence-and-tigray-conflict-ethiopia-path-accountability-and-resolution" TargetMode="External"/><Relationship Id="rId16" Type="http://schemas.openxmlformats.org/officeDocument/2006/relationships/hyperlink" Target="https://www.unicef.org/media/160501/file/Ethiopia.pdf" TargetMode="External"/><Relationship Id="rId20" Type="http://schemas.openxmlformats.org/officeDocument/2006/relationships/hyperlink" Target="https://www.unicef.org/ethiopia/reports/profile-female-genital-mutilation" TargetMode="External"/><Relationship Id="rId1" Type="http://schemas.openxmlformats.org/officeDocument/2006/relationships/hyperlink" Target="https://digitalibrary.un.org/record/814391" TargetMode="External"/><Relationship Id="rId6" Type="http://schemas.openxmlformats.org/officeDocument/2006/relationships/hyperlink" Target="https://ehrc.org/download/ehrc-ohchr-joint-investigation-report-on-tigray-conflict/" TargetMode="External"/><Relationship Id="rId11" Type="http://schemas.openxmlformats.org/officeDocument/2006/relationships/hyperlink" Target="https://www.unicef.org/ethiopia/children-ethiopia" TargetMode="External"/><Relationship Id="rId24" Type="http://schemas.openxmlformats.org/officeDocument/2006/relationships/hyperlink" Target="https://www.facebook.com/story.php?story_fbid=784229090418079&amp;id=100064929844484&amp;mibextid=oFDknk&amp;rdid=RZ0EVcmrWAQcr9N6" TargetMode="External"/><Relationship Id="rId5" Type="http://schemas.openxmlformats.org/officeDocument/2006/relationships/hyperlink" Target="https://shorter.me/1lg95" TargetMode="External"/><Relationship Id="rId15" Type="http://schemas.openxmlformats.org/officeDocument/2006/relationships/hyperlink" Target="https://ehrc.org/download/%e1%89%a0%e1%8a%a2%e1%89%b5%e1%8b%ae%e1%8c%b5%e1%8b%ab-%e1%8b%a8%e1%8a%a0%e1%8d%8b%e1%88%ad-%e1%8a%a5%e1%8a%93-%e1%8b%a8%e1%8a%a0%e1%88%9b%e1%88%ab-%e1%8a%ad%e1%88%8d%e1%88%8e%e1%89%bd-%e1%8b%a8/" TargetMode="External"/><Relationship Id="rId23" Type="http://schemas.openxmlformats.org/officeDocument/2006/relationships/hyperlink" Target="https://dhsprogram.com/pubs/pdf/fr328/fr328.pdf" TargetMode="External"/><Relationship Id="rId10" Type="http://schemas.openxmlformats.org/officeDocument/2006/relationships/hyperlink" Target="https://www.unicef.org/ethiopia/sites/unicef.org.ethiopia/files/2018-10/Child%20Marriage%20Ethiopia-%20online%20version_0.pdf" TargetMode="External"/><Relationship Id="rId19" Type="http://schemas.openxmlformats.org/officeDocument/2006/relationships/hyperlink" Target="https://caselaw.ihrda.org/fr/entity/x07q6k7as?page=10" TargetMode="External"/><Relationship Id="rId4" Type="http://schemas.openxmlformats.org/officeDocument/2006/relationships/hyperlink" Target="https://shorter.me/1lg95" TargetMode="External"/><Relationship Id="rId9" Type="http://schemas.openxmlformats.org/officeDocument/2006/relationships/hyperlink" Target="https://www.google.com/url?q=https://data.unicef.org/resources/child-marriage-in-eastern-and-southern-africa-a-statistical-overview-and-reflections-on-ending-the-practice/&amp;sa=D&amp;source=docs&amp;ust=1744288365898232&amp;usg=AOvVaw2huR0KCtUovqLhn-9MZL8h" TargetMode="External"/><Relationship Id="rId14" Type="http://schemas.openxmlformats.org/officeDocument/2006/relationships/hyperlink" Target="https://ehrc.org/download/ehrc-ohchr-joint-investigation-report-on-tigray-conflict/" TargetMode="External"/><Relationship Id="rId22" Type="http://schemas.openxmlformats.org/officeDocument/2006/relationships/hyperlink" Target="https://www.gage.odi.org/publication/exploring-the-diversity-of%20fgm-c-practices-in-ethiopia-drivers-experiences-and-opportunities-for-social-norm-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3105</Words>
  <Characters>17704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Equality Now</Company>
  <LinksUpToDate>false</LinksUpToDate>
  <CharactersWithSpaces>20768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James Boit</cp:lastModifiedBy>
  <cp:revision>2</cp:revision>
  <dcterms:created xsi:type="dcterms:W3CDTF">2025-11-06T16:16:00Z</dcterms:created>
  <dcterms:modified xsi:type="dcterms:W3CDTF">2025-11-06T16:16:00Z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fb8fab6aa9087c39eccb778a222332e7990000a40eb28422538a4f46b06b17f8</vt:lpwstr>
  </property>
</Properties>
</file>