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811050" cy="823155"/>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811050" cy="82315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Opinions and Suggestions</w:t>
      </w:r>
    </w:p>
    <w:p w:rsidR="00000000" w:rsidDel="00000000" w:rsidP="00000000" w:rsidRDefault="00000000" w:rsidRPr="00000000" w14:paraId="00000008">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Evaluation of Türkiye’s Second Periodic Report</w:t>
      </w:r>
    </w:p>
    <w:p w:rsidR="00000000" w:rsidDel="00000000" w:rsidP="00000000" w:rsidRDefault="00000000" w:rsidRPr="00000000" w14:paraId="00000009">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the UN Human Rights Committee</w:t>
      </w:r>
    </w:p>
    <w:p w:rsidR="00000000" w:rsidDel="00000000" w:rsidP="00000000" w:rsidRDefault="00000000" w:rsidRPr="00000000" w14:paraId="0000000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Prepared by: LAWYERS ASSOCIATION FOR FREEDOM (ÖHD)</w:t>
      </w:r>
    </w:p>
    <w:p w:rsidR="00000000" w:rsidDel="00000000" w:rsidP="00000000" w:rsidRDefault="00000000" w:rsidRPr="00000000" w14:paraId="0000000D">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Diyarbakır</w:t>
      </w:r>
    </w:p>
    <w:p w:rsidR="00000000" w:rsidDel="00000000" w:rsidP="00000000" w:rsidRDefault="00000000" w:rsidRPr="00000000" w14:paraId="0000000E">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About ÖHD Diyarbakır: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About ÖHD Diyarbakır:</w:t>
      </w:r>
      <w:r w:rsidDel="00000000" w:rsidR="00000000" w:rsidRPr="00000000">
        <w:rPr>
          <w:rFonts w:ascii="Times New Roman" w:cs="Times New Roman" w:eastAsia="Times New Roman" w:hAnsi="Times New Roman"/>
          <w:sz w:val="24"/>
          <w:szCs w:val="24"/>
          <w:rtl w:val="0"/>
        </w:rPr>
        <w:t xml:space="preserve"> The Association of Lawyers for Freedom (ÖHD), which completed its establishment in Diyarbakır on November 27, 2019, has accepted all the democratic legal struggle experiences as its legacy and organized very quickly on this legacy. It was established to advocate libertarian democratic communal law values ​​and the struggle for alternative law. It aims to fight for fundamental rights and freedoms in the struggle for the rights of oppressed classes, identities and genders, as defined in its charter</w:t>
      </w:r>
      <w:r w:rsidDel="00000000" w:rsidR="00000000" w:rsidRPr="00000000">
        <w:rPr>
          <w:rFonts w:ascii="Times New Roman" w:cs="Times New Roman" w:eastAsia="Times New Roman" w:hAnsi="Times New Roman"/>
          <w:sz w:val="40"/>
          <w:szCs w:val="40"/>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Defining itself as the association of women's freedom identity, the status struggle of the Kurdish people, the class struggle of the oppressed classes and the ecological struggle against capitalist modernity that plunders our nature, ÖHD is organized as branches in İstanbul, Diyarbakır, Ankara, Van, Mersin, İzmir, Şanlıurfa, Bursa, Gaziantep, Batman, Hakkari, Mardin, and as representative offices in Antalya, Adana, Muş and Şırnak.</w:t>
      </w:r>
      <w:r w:rsidDel="00000000" w:rsidR="00000000" w:rsidRPr="00000000">
        <w:rPr>
          <w:rtl w:val="0"/>
        </w:rPr>
      </w:r>
    </w:p>
    <w:p w:rsidR="00000000" w:rsidDel="00000000" w:rsidP="00000000" w:rsidRDefault="00000000" w:rsidRPr="00000000" w14:paraId="0000002A">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Overview</w:t>
      </w:r>
    </w:p>
    <w:p w:rsidR="00000000" w:rsidDel="00000000" w:rsidP="00000000" w:rsidRDefault="00000000" w:rsidRPr="00000000" w14:paraId="0000002C">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Our report includes our statements and solution proposals regarding the rights violations originating from the Anti-Terror Law, the aggravated life sentence regime implemented in Türkiye, examples of torture and other ill-treatment, rights violations in places of detention, rights violations resulting from strip searches in places of detention, the prosecution of lawyers, and freedom of expression, peaceful assembly and association.</w:t>
      </w:r>
      <w:r w:rsidDel="00000000" w:rsidR="00000000" w:rsidRPr="00000000">
        <w:rPr>
          <w:rtl w:val="0"/>
        </w:rPr>
      </w:r>
    </w:p>
    <w:p w:rsidR="00000000" w:rsidDel="00000000" w:rsidP="00000000" w:rsidRDefault="00000000" w:rsidRPr="00000000" w14:paraId="0000002D">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VIOLATIONS ARISING FROM LAW NO. 3713</w:t>
      </w:r>
    </w:p>
    <w:p w:rsidR="00000000" w:rsidDel="00000000" w:rsidP="00000000" w:rsidRDefault="00000000" w:rsidRPr="00000000" w14:paraId="0000002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The Anti-Terror Law No. 3713 (TMK) </w:t>
      </w:r>
      <w:r w:rsidDel="00000000" w:rsidR="00000000" w:rsidRPr="00000000">
        <w:rPr>
          <w:rFonts w:ascii="Times New Roman" w:cs="Times New Roman" w:eastAsia="Times New Roman" w:hAnsi="Times New Roman"/>
          <w:sz w:val="24"/>
          <w:szCs w:val="24"/>
          <w:rtl w:val="0"/>
        </w:rPr>
        <w:t xml:space="preserve">prioritizes the security of the state over the freedom and security of individuals, severely restricts fundamental rights and freedoms, greatly limits the judicial remedy against human rights violations, and provides immunity to public personnel responsible for ensuring security. In fact, considering that there are equivalent provisions in other laws, especially in the TCK, we argue that TMK should be abdished completely. Because the penalties stipulated in the TCK are so severe and deterrent that they are incompatible with the principle of proportionality between crime and punishment. Therefore, the TMK should be abolished in its entirety. While we do not accept in principle any amendment proposals to the current law based on the necessity of abolishing this law, considering that a political will to abolish the TMK is not likely to arise in the short term, we propose some amendments that should be made urgently in the most problematic articles of the law;</w:t>
      </w:r>
    </w:p>
    <w:p w:rsidR="00000000" w:rsidDel="00000000" w:rsidP="00000000" w:rsidRDefault="00000000" w:rsidRPr="00000000" w14:paraId="0000003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2/2: </w:t>
      </w:r>
      <w:r w:rsidDel="00000000" w:rsidR="00000000" w:rsidRPr="00000000">
        <w:rPr>
          <w:rFonts w:ascii="Times New Roman" w:cs="Times New Roman" w:eastAsia="Times New Roman" w:hAnsi="Times New Roman"/>
          <w:i w:val="1"/>
          <w:sz w:val="24"/>
          <w:szCs w:val="24"/>
          <w:rtl w:val="0"/>
        </w:rPr>
        <w:t xml:space="preserve">Even if they are not members of a terrorist organization, those who commit crimes on behalf of the organization are also considered guilty of terrorism (...)</w:t>
      </w:r>
      <w:r w:rsidDel="00000000" w:rsidR="00000000" w:rsidRPr="00000000">
        <w:rPr>
          <w:rFonts w:ascii="Times New Roman" w:cs="Times New Roman" w:eastAsia="Times New Roman" w:hAnsi="Times New Roman"/>
          <w:sz w:val="24"/>
          <w:szCs w:val="24"/>
          <w:rtl w:val="0"/>
        </w:rPr>
        <w:t xml:space="preserve"> It is against the most basic principles of criminal law that the courts treat people who are not members of the organization, but who are found to have committed crimes “on behalf of the organization”, in the same way as members of the organization. Due to this provision, the courts have concluded that thousands of Kurdish citizens, especially “child victims of the TMK”, have committed crimes on behalf of the organization simply because they have participated in protests, distributed leaflets, held press conferences, made statements, etc., using their individual rights under constitutional guarantee, and have punished these people as if they were members of the organization.</w:t>
      </w:r>
    </w:p>
    <w:p w:rsidR="00000000" w:rsidDel="00000000" w:rsidP="00000000" w:rsidRDefault="00000000" w:rsidRPr="00000000" w14:paraId="0000003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Articles 3, 4 and 5:</w:t>
      </w:r>
      <w:r w:rsidDel="00000000" w:rsidR="00000000" w:rsidRPr="00000000">
        <w:rPr>
          <w:rFonts w:ascii="Times New Roman" w:cs="Times New Roman" w:eastAsia="Times New Roman" w:hAnsi="Times New Roman"/>
          <w:sz w:val="24"/>
          <w:szCs w:val="24"/>
          <w:rtl w:val="0"/>
        </w:rPr>
        <w:t xml:space="preserve"> Many crimes regulated under the TCK are also regulated as crimes under the TMK and are punished additionally. Article 3 of the TMK additionally regulates the crimes regulated in 10 separate articles of the TCK as “crimes of terrorism”. Article 4 also states that the crimes regulated in the other 50 articles of the TCK will also be considered crimes of terrorism “if committed within the framework of the activities of a terrorist organization”. Therefore, the crimes regulated in article 60 of the TCK consisting of 345 articles are also considered “crimes of terrorism” in the TMK and are additionally punished. According to Article 5 of Law No. 3713; for example, a person accused of “aiding and abetting a terrorist organization” is tried separately under Article 314 of the TCK and Article 3 of the TMK for the same crime, and if found guilty, is sentenced to a second sentence consisting of the sentence he would receive under Article 314 of the TCK, in addition to the sentence he would receive under Article 314, increased by half. Article 5, which regulates the increase of the sentences given by half as a mandatory provision and does not grant judges any discretionary power, is the most problematic article of the TMK.</w:t>
      </w:r>
    </w:p>
    <w:p w:rsidR="00000000" w:rsidDel="00000000" w:rsidP="00000000" w:rsidRDefault="00000000" w:rsidRPr="00000000" w14:paraId="0000003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7:</w:t>
      </w:r>
      <w:r w:rsidDel="00000000" w:rsidR="00000000" w:rsidRPr="00000000">
        <w:rPr>
          <w:rFonts w:ascii="Times New Roman" w:cs="Times New Roman" w:eastAsia="Times New Roman" w:hAnsi="Times New Roman"/>
          <w:sz w:val="24"/>
          <w:szCs w:val="24"/>
          <w:rtl w:val="0"/>
        </w:rPr>
        <w:t xml:space="preserve"> Article 7 of Law No. 3713 is incompatible with freedom of expression and association. Even if it does not take place during meetings and demonstrations, clause b of the article includes hanging or carrying emblems, pictures or signs of the organization, chanting slogans, broadcasting with sound devices, wearing uniforms with emblems, pictures or signs of the organization within the scope of the crime and broadens the scope of the crime as much as possible. In addition, it has not been specified on what principles the courts will determine that the people participating in the demonstrations are making propaganda for the organization, and the judiciary has been granted an extremely wide discretion in practice. The fact that it has not been specified on what principles the propaganda of the terrorist organization will be determined leads the courts to impose arbitrary restrictions on freedom of expression. For example, many people participating in the demonstrations are standing trial and punished for making propaganda for the terrorist organization because they wear clothes or carry banners that include the colours yellow, green and red (only colours!), which are also found on the PKK flag.</w:t>
      </w:r>
    </w:p>
    <w:p w:rsidR="00000000" w:rsidDel="00000000" w:rsidP="00000000" w:rsidRDefault="00000000" w:rsidRPr="00000000" w14:paraId="0000003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17: </w:t>
      </w:r>
      <w:r w:rsidDel="00000000" w:rsidR="00000000" w:rsidRPr="00000000">
        <w:rPr>
          <w:rFonts w:ascii="Times New Roman" w:cs="Times New Roman" w:eastAsia="Times New Roman" w:hAnsi="Times New Roman"/>
          <w:sz w:val="24"/>
          <w:szCs w:val="24"/>
          <w:rtl w:val="0"/>
        </w:rPr>
        <w:t xml:space="preserve">Article 17 of Law No. 3713 has a content that ties the execution regime of the sentences of those with the status of criminals of terrorism to much more severe rules than those of ordinary criminals. According to the provisions of the article, those convicted of crimes of terrorism must serve three-quarters of their sentences in order to benefit from the right to conditional release. In addition, those who have been sentenced to solitary confinement three times as a disciplinary punishment lose their right to conditional release. However, in ordinary crimes, serving two-thirds of the sentence is sufficient to benefit from the right to conditional release. In ordinary crimes, disciplinary punishments do not prevent conditional release. Conditional release cannot be made without only serving and lifting disciplinary punishments. However, even here, the period for serving disciplinary punishments cannot exceed the legal release time. In relation to crimes of terrorism, in addition to the regulation in Article 5 regarding the increase of normal sentences from half to two-thirds, the existence of a very severe execution regime violates the principle of proportionality in crime and punishment equilibrium. Therefore, Article 5 should be abolished and a new regulation should be made within the scope of Article 17. While this regulation is being made, Articles 107 and 108 of the Execution Law should also be reviewed.</w:t>
      </w:r>
    </w:p>
    <w:p w:rsidR="00000000" w:rsidDel="00000000" w:rsidP="00000000" w:rsidRDefault="00000000" w:rsidRPr="00000000" w14:paraId="00000035">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Some Crime Definitions Listed in Law No. 3713</w:t>
      </w:r>
    </w:p>
    <w:p w:rsidR="00000000" w:rsidDel="00000000" w:rsidP="00000000" w:rsidRDefault="00000000" w:rsidRPr="00000000" w14:paraId="00000037">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Crime of Making Organizational Propaganda TMK 6/2 AND 7/2</w:t>
      </w:r>
    </w:p>
    <w:p w:rsidR="00000000" w:rsidDel="00000000" w:rsidP="00000000" w:rsidRDefault="00000000" w:rsidRPr="00000000" w14:paraId="00000038">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crime of propaganda</w:t>
      </w:r>
      <w:r w:rsidDel="00000000" w:rsidR="00000000" w:rsidRPr="00000000">
        <w:rPr>
          <w:rFonts w:ascii="Times New Roman" w:cs="Times New Roman" w:eastAsia="Times New Roman" w:hAnsi="Times New Roman"/>
          <w:sz w:val="24"/>
          <w:szCs w:val="24"/>
          <w:rtl w:val="0"/>
        </w:rPr>
        <w:t xml:space="preserve"> is regulated in two separate mammers in Articles 6/2, 7/2 of the Anti-Terror Law No. 3713 (TMK) and Article 220/8 of the TCK No. 5237. Legal regulations and judicial decisions accept Article 7/2 of the TMK as the </w:t>
      </w:r>
      <w:r w:rsidDel="00000000" w:rsidR="00000000" w:rsidRPr="00000000">
        <w:rPr>
          <w:rFonts w:ascii="Times New Roman" w:cs="Times New Roman" w:eastAsia="Times New Roman" w:hAnsi="Times New Roman"/>
          <w:i w:val="1"/>
          <w:sz w:val="24"/>
          <w:szCs w:val="24"/>
          <w:rtl w:val="0"/>
        </w:rPr>
        <w:t xml:space="preserve">“crime of propaganda of a terrorist organization”</w:t>
      </w:r>
      <w:r w:rsidDel="00000000" w:rsidR="00000000" w:rsidRPr="00000000">
        <w:rPr>
          <w:rFonts w:ascii="Times New Roman" w:cs="Times New Roman" w:eastAsia="Times New Roman" w:hAnsi="Times New Roman"/>
          <w:sz w:val="24"/>
          <w:szCs w:val="24"/>
          <w:rtl w:val="0"/>
        </w:rPr>
        <w:t xml:space="preserve">, whether unarmed or armed, and Article 220/8 of the TCK as the </w:t>
      </w:r>
      <w:r w:rsidDel="00000000" w:rsidR="00000000" w:rsidRPr="00000000">
        <w:rPr>
          <w:rFonts w:ascii="Times New Roman" w:cs="Times New Roman" w:eastAsia="Times New Roman" w:hAnsi="Times New Roman"/>
          <w:i w:val="1"/>
          <w:sz w:val="24"/>
          <w:szCs w:val="24"/>
          <w:rtl w:val="0"/>
        </w:rPr>
        <w:t xml:space="preserve">“crime of propaganda of an ordinary criminal organization”.</w:t>
      </w:r>
      <w:r w:rsidDel="00000000" w:rsidR="00000000" w:rsidRPr="00000000">
        <w:rPr>
          <w:rtl w:val="0"/>
        </w:rPr>
      </w:r>
    </w:p>
    <w:p w:rsidR="00000000" w:rsidDel="00000000" w:rsidP="00000000" w:rsidRDefault="00000000" w:rsidRPr="00000000" w14:paraId="0000003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practice, Article 220/8 of the TCK is not used frequently. Generally and often, Articles 6/2 and 7/2 of the TMK are applied.</w:t>
      </w:r>
    </w:p>
    <w:p w:rsidR="00000000" w:rsidDel="00000000" w:rsidP="00000000" w:rsidRDefault="00000000" w:rsidRPr="00000000" w14:paraId="0000003C">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paragraph of Article 6 of Law No. 3713 and the second paragraph of Article 7 of the Law directly contain content that completely limits, prohibits and imposes an unjust penal sanction on the right to freedom of expression, which is guaranteed by the Constitution and the European Convention on Human Rights. In the ECtHR decisions dated July 6, 2010 and numbered 43453/04, 31098/05, Gözel and Özel/Türkiye, it was requested that the second paragraph of Article 6 of Law No. 3713 be repealed or that this paragraph be rearranged in accordance with the ECHR and the ECtHR case law. The second paragraph of Article 7 of the same Law, which has almost similar content to the second paragraph of Article 6 of Law No. 3713 stated in the ECtHR case law, is unconstitutional. The additional sentences introduced to the second paragraph of Article 7 of Law No. 3713 by Article 13 of Law No. 7188 are also far from solving the problem.</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3E">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ECtHR case of Öner and Türk/Türkiye, dated 31.03.2015 and numbered 51962/12, Article 10 of the ECtHR was also explained in detail and an important decision was made regarding freedom of expression. While explaining the scope of freedom of expression, it is stated that even if there might be disturbing views, they should be evaluated within the scope of freedom of expression as long as they are not a direct call for violence. The changes made to Law No. 3713 in 2013 were not sufficient. After the precedent high court decisions mentioned above, Türkiye also made changes to the legislation. Articles 6/2 and 7/2 of the TMK were amended and the phrase </w:t>
      </w:r>
      <w:r w:rsidDel="00000000" w:rsidR="00000000" w:rsidRPr="00000000">
        <w:rPr>
          <w:rFonts w:ascii="Times New Roman" w:cs="Times New Roman" w:eastAsia="Times New Roman" w:hAnsi="Times New Roman"/>
          <w:i w:val="1"/>
          <w:sz w:val="24"/>
          <w:szCs w:val="24"/>
          <w:rtl w:val="0"/>
        </w:rPr>
        <w:t xml:space="preserve">“Legitimizing or praising the methods of terrorist organizations that include force, violence or threat or encouraging the use of such methods</w:t>
      </w:r>
      <w:r w:rsidDel="00000000" w:rsidR="00000000" w:rsidRPr="00000000">
        <w:rPr>
          <w:rFonts w:ascii="Times New Roman" w:cs="Times New Roman" w:eastAsia="Times New Roman" w:hAnsi="Times New Roman"/>
          <w:sz w:val="24"/>
          <w:szCs w:val="24"/>
          <w:rtl w:val="0"/>
        </w:rPr>
        <w:t xml:space="preserve">” was added. </w:t>
      </w:r>
    </w:p>
    <w:p w:rsidR="00000000" w:rsidDel="00000000" w:rsidP="00000000" w:rsidRDefault="00000000" w:rsidRPr="00000000" w14:paraId="00000040">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can be seen, there are serious problems regarding legality and unpredictability in the application of Articles 6 and 7 of Law No. 3713. And although changes have been made, there are many examples of judicial practices being exactly the opposite.  </w:t>
      </w:r>
    </w:p>
    <w:p w:rsidR="00000000" w:rsidDel="00000000" w:rsidP="00000000" w:rsidRDefault="00000000" w:rsidRPr="00000000" w14:paraId="00000041">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Imprisonment until Death (ARTICLE 17 OF THE ANTI-TERRORISM LAW)</w:t>
      </w:r>
    </w:p>
    <w:p w:rsidR="00000000" w:rsidDel="00000000" w:rsidP="00000000" w:rsidRDefault="00000000" w:rsidRPr="00000000" w14:paraId="00000043">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Legal abolition of the death penalty and imprisonment until death in Türkiye</w:t>
      </w:r>
    </w:p>
    <w:p w:rsidR="00000000" w:rsidDel="00000000" w:rsidP="00000000" w:rsidRDefault="00000000" w:rsidRPr="00000000" w14:paraId="0000004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founding of the Republic of Türkiye until 2002, there were no criminal sanctions in law or practice that did not provide for conditional release, including death sentences that were not executed in the country. With the </w:t>
      </w:r>
      <w:r w:rsidDel="00000000" w:rsidR="00000000" w:rsidRPr="00000000">
        <w:rPr>
          <w:rFonts w:ascii="Times New Roman" w:cs="Times New Roman" w:eastAsia="Times New Roman" w:hAnsi="Times New Roman"/>
          <w:i w:val="1"/>
          <w:sz w:val="24"/>
          <w:szCs w:val="24"/>
          <w:rtl w:val="0"/>
        </w:rPr>
        <w:t xml:space="preserve">Law No. 4771 on Amendments to Various Laws</w:t>
      </w:r>
      <w:r w:rsidDel="00000000" w:rsidR="00000000" w:rsidRPr="00000000">
        <w:rPr>
          <w:rFonts w:ascii="Times New Roman" w:cs="Times New Roman" w:eastAsia="Times New Roman" w:hAnsi="Times New Roman"/>
          <w:sz w:val="24"/>
          <w:szCs w:val="24"/>
          <w:rtl w:val="0"/>
        </w:rPr>
        <w:t xml:space="preserve">, which came into force in 2002, the sentences of people who had been sentenced to death until that date were commuted to aggravated life imprisonment, and for the first time, the prison sentence with no hope of release was defined in terms of "terrorism" criminals. Within the scope of the law, an amendment was made, stating that</w:t>
      </w:r>
      <w:r w:rsidDel="00000000" w:rsidR="00000000" w:rsidRPr="00000000">
        <w:rPr>
          <w:rFonts w:ascii="Times New Roman" w:cs="Times New Roman" w:eastAsia="Times New Roman" w:hAnsi="Times New Roman"/>
          <w:i w:val="1"/>
          <w:sz w:val="24"/>
          <w:szCs w:val="24"/>
          <w:rtl w:val="0"/>
        </w:rPr>
        <w:t xml:space="preserve"> "provisions regarding conditional release do not apply to terrorist criminals whose death sentences have been commuted to life imprisonment (...). The sentence of life imprisonment for them continues until they die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2004, the death penalty was completely abolished in Türkiye, and the heaviest penalty in the country became life imprisonment. This punishment meant that people sentenced to aggravated life imprisonment for political crimes classified as "terrorism" by the legislature would remain in prison until their death.</w:t>
      </w:r>
    </w:p>
    <w:p w:rsidR="00000000" w:rsidDel="00000000" w:rsidP="00000000" w:rsidRDefault="00000000" w:rsidRPr="00000000" w14:paraId="0000004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imprisonment should be evaluated in the context of Article 3 of the ECHR. This allows local authorities to assess whether any changes in the convict sentenced to life imprisonment are significant. However, the European Court of Human Rights has ruled that, given the discretion that should be granted to Contracting States in matters of criminal justice and sentencing, the executive or judiciary of the states must carry out this review. For the same reason, the Court does not decide when this review will be carried out. However, the comparative and international law materials before the Court show clear support for the institution of a special mechanism that guarantees a review no later than twenty-five years after the imposition of a life sentence, with further periodic reviews thereafter. It follows from this that where domestic law does not provide for such review, a life sentence will not meet the standards of Article 3 of the Convention. In addition, the detained person has the right to know at the beginning of his life sentence what he must do to be released and under what conditions when his sentence may be reviewed or requested. Consequently, where domestic law does not provide for any mechanism or possibility of review for the entire life sentence, non-compliance with Article 3 on this ground arises when the entire life sentence is imposed and not at a later stage of the sentence.”</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4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2013, the ECtHR evaluated Vinter's application in </w:t>
      </w:r>
      <w:r w:rsidDel="00000000" w:rsidR="00000000" w:rsidRPr="00000000">
        <w:rPr>
          <w:rFonts w:ascii="Times New Roman" w:cs="Times New Roman" w:eastAsia="Times New Roman" w:hAnsi="Times New Roman"/>
          <w:b w:val="1"/>
          <w:sz w:val="24"/>
          <w:szCs w:val="24"/>
          <w:rtl w:val="0"/>
        </w:rPr>
        <w:t xml:space="preserve">Vinter v. the United Kingdom</w:t>
      </w:r>
      <w:r w:rsidDel="00000000" w:rsidR="00000000" w:rsidRPr="00000000">
        <w:rPr>
          <w:rFonts w:ascii="Times New Roman" w:cs="Times New Roman" w:eastAsia="Times New Roman" w:hAnsi="Times New Roman"/>
          <w:sz w:val="24"/>
          <w:szCs w:val="24"/>
          <w:rtl w:val="0"/>
        </w:rPr>
        <w:t xml:space="preserve">, claiming that a prison sentence without hope of release was contrary to the Convention and constituted a violation of rights. The application was examined by the Chamber before the Grand Chamber. The Chamber stated that </w:t>
      </w:r>
      <w:r w:rsidDel="00000000" w:rsidR="00000000" w:rsidRPr="00000000">
        <w:rPr>
          <w:rFonts w:ascii="Times New Roman" w:cs="Times New Roman" w:eastAsia="Times New Roman" w:hAnsi="Times New Roman"/>
          <w:i w:val="1"/>
          <w:sz w:val="24"/>
          <w:szCs w:val="24"/>
          <w:rtl w:val="0"/>
        </w:rPr>
        <w:t xml:space="preserve">“grossly disproportionate”</w:t>
      </w:r>
      <w:r w:rsidDel="00000000" w:rsidR="00000000" w:rsidRPr="00000000">
        <w:rPr>
          <w:rFonts w:ascii="Times New Roman" w:cs="Times New Roman" w:eastAsia="Times New Roman" w:hAnsi="Times New Roman"/>
          <w:sz w:val="24"/>
          <w:szCs w:val="24"/>
          <w:rtl w:val="0"/>
        </w:rPr>
        <w:t xml:space="preserve"> penalties would violate Article 3, but that this would be possible in rare and unique cases. The Chamber emphasized the de jure and de facto deductibility criteria that the Court had stated in its previous decisions. ECHR art. 3 aims to protect the fundamental principles of a democratic society, and torture, inhuman punishment and degrading treatment are absolutely prohibited. However, the physical/mental effects of the punishment and, in some cases, issues such as the prisoner's age, gender, and health condition may be taken into consideration in determining the duration. In terms of life imprisonment, it is sufficient if the person's hope of being released within a certain period of time is included in the national legislation de jure or de facto. The availability of conditional release is decisive in determining whether there is a violation in terms of the ECHR. On the other hand, all punishments, including life imprisonment, should aim to re-socialize the prisoner. The Court</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referred again to the criteria in </w:t>
      </w:r>
      <w:r w:rsidDel="00000000" w:rsidR="00000000" w:rsidRPr="00000000">
        <w:rPr>
          <w:rFonts w:ascii="Times New Roman" w:cs="Times New Roman" w:eastAsia="Times New Roman" w:hAnsi="Times New Roman"/>
          <w:b w:val="1"/>
          <w:sz w:val="24"/>
          <w:szCs w:val="24"/>
          <w:rtl w:val="0"/>
        </w:rPr>
        <w:t xml:space="preserve">Öcalan 2 v. Türkiye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Vinter v. the United Kingdom </w:t>
      </w:r>
      <w:hyperlink r:id="rId9">
        <w:r w:rsidDel="00000000" w:rsidR="00000000" w:rsidRPr="00000000">
          <w:rPr>
            <w:rFonts w:ascii="Times New Roman" w:cs="Times New Roman" w:eastAsia="Times New Roman" w:hAnsi="Times New Roman"/>
            <w:color w:val="0000ff"/>
            <w:sz w:val="24"/>
            <w:szCs w:val="24"/>
            <w:u w:val="single"/>
            <w:rtl w:val="0"/>
          </w:rPr>
          <w:t xml:space="preserve">[1]</w:t>
        </w:r>
      </w:hyperlink>
      <w:r w:rsidDel="00000000" w:rsidR="00000000" w:rsidRPr="00000000">
        <w:rPr>
          <w:rFonts w:ascii="Times New Roman" w:cs="Times New Roman" w:eastAsia="Times New Roman" w:hAnsi="Times New Roman"/>
          <w:sz w:val="24"/>
          <w:szCs w:val="24"/>
          <w:rtl w:val="0"/>
        </w:rPr>
        <w:t xml:space="preserve"> decision and decided on a similar violation. In decisions concerning </w:t>
      </w:r>
      <w:r w:rsidDel="00000000" w:rsidR="00000000" w:rsidRPr="00000000">
        <w:rPr>
          <w:rFonts w:ascii="Times New Roman" w:cs="Times New Roman" w:eastAsia="Times New Roman" w:hAnsi="Times New Roman"/>
          <w:b w:val="1"/>
          <w:sz w:val="24"/>
          <w:szCs w:val="24"/>
          <w:rtl w:val="0"/>
        </w:rPr>
        <w:t xml:space="preserve">Kaytan v. Türkiye, Gurban v.Türkiye,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b w:val="1"/>
          <w:sz w:val="24"/>
          <w:szCs w:val="24"/>
          <w:rtl w:val="0"/>
        </w:rPr>
        <w:t xml:space="preserve">Boltan v. Türkiye</w:t>
      </w:r>
      <w:r w:rsidDel="00000000" w:rsidR="00000000" w:rsidRPr="00000000">
        <w:rPr>
          <w:rFonts w:ascii="Times New Roman" w:cs="Times New Roman" w:eastAsia="Times New Roman" w:hAnsi="Times New Roman"/>
          <w:sz w:val="24"/>
          <w:szCs w:val="24"/>
          <w:rtl w:val="0"/>
        </w:rPr>
        <w:t xml:space="preserve">, which were later brought to court, the court repeated the criteria and evaluations on </w:t>
      </w:r>
      <w:r w:rsidDel="00000000" w:rsidR="00000000" w:rsidRPr="00000000">
        <w:rPr>
          <w:rFonts w:ascii="Times New Roman" w:cs="Times New Roman" w:eastAsia="Times New Roman" w:hAnsi="Times New Roman"/>
          <w:b w:val="1"/>
          <w:sz w:val="24"/>
          <w:szCs w:val="24"/>
          <w:rtl w:val="0"/>
        </w:rPr>
        <w:t xml:space="preserve">Öcalan 2 v. Türkiye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t>
      </w:r>
      <w:hyperlink r:id="rId10">
        <w:r w:rsidDel="00000000" w:rsidR="00000000" w:rsidRPr="00000000">
          <w:rPr>
            <w:rFonts w:ascii="Times New Roman" w:cs="Times New Roman" w:eastAsia="Times New Roman" w:hAnsi="Times New Roman"/>
            <w:color w:val="0000ff"/>
            <w:sz w:val="24"/>
            <w:szCs w:val="24"/>
            <w:u w:val="single"/>
            <w:rtl w:val="0"/>
          </w:rPr>
          <w:t xml:space="preserve">[2]</w:t>
        </w:r>
      </w:hyperlink>
      <w:r w:rsidDel="00000000" w:rsidR="00000000" w:rsidRPr="00000000">
        <w:rPr>
          <w:rFonts w:ascii="Times New Roman" w:cs="Times New Roman" w:eastAsia="Times New Roman" w:hAnsi="Times New Roman"/>
          <w:color w:val="0000ff"/>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in its decision and decided on a violation.</w:t>
      </w:r>
    </w:p>
    <w:p w:rsidR="00000000" w:rsidDel="00000000" w:rsidP="00000000" w:rsidRDefault="00000000" w:rsidRPr="00000000" w14:paraId="0000004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Abdullah Öcalan, Hayati Kaytan, Emin Gurban and Civan Boltan, the Lawyers Association for Freedom (ÖHD), Human Rights Association (İHD), Turkish Human Rights Foundation (TİHV) and Society and Legal Research Foundation (TOHAV) applied on 26.07.2021  to the Committee of Ministers of the Council of Europe (EC CM), which is responsible for monitoring and ensuring the implementation of the decisions of the Court of Human Rights (ECtHR). In the application made to the Committee of Ministers, it was requested that the violation decisions of the ECtHR regarding Öcalan, Kaytan, Gurban and Boltan, stating that their sentences of aggravated life imprisonment without the possibility of conditional release were contrary to Article 3 of the European Convention on Human Rights (ECHR), be included in the agenda of all weekly and periodic meetings by the Committee. </w:t>
      </w:r>
    </w:p>
    <w:p w:rsidR="00000000" w:rsidDel="00000000" w:rsidP="00000000" w:rsidRDefault="00000000" w:rsidRPr="00000000" w14:paraId="0000004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of Türkiye responded to the application on September 7, 2021. In the response, it was misleadingly stated that conditional release was possible for life and aggravated life imprisonment sentences in the Turkish legal system, and it was claimed that the conditions of İmralı Prison did not constitute a violation of Article 3.</w:t>
      </w:r>
    </w:p>
    <w:p w:rsidR="00000000" w:rsidDel="00000000" w:rsidP="00000000" w:rsidRDefault="00000000" w:rsidRPr="00000000" w14:paraId="0000004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of the Rule 9.2 notifications made by ÖHD and other institutions, at the end of its 1411</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meeting held on 14-16 September 2021, the Committee of Ministers of the Council of Europe included the Öcalan, Kaytan, Gurban and Boltan case group into November-December 2021 meeting agenda, in the context of the Right to Hope.  </w:t>
      </w:r>
    </w:p>
    <w:p w:rsidR="00000000" w:rsidDel="00000000" w:rsidP="00000000" w:rsidRDefault="00000000" w:rsidRPr="00000000" w14:paraId="0000005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October 7, 2021, the Government of Türkiye presented an Action Plan. The action plan, far from finding a solution to the problem, did not include a plan to eliminate any conditional release ban in the current situation, legal changes or significant measures to put an end to violations and stop ongoing violations.</w:t>
      </w:r>
    </w:p>
    <w:p w:rsidR="00000000" w:rsidDel="00000000" w:rsidP="00000000" w:rsidRDefault="00000000" w:rsidRPr="00000000" w14:paraId="0000005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October 12, 2021, the Association of Lawyers for Freedom (ÖHD), the Human Rights Association (İHD), the Human Rights Foundation of Türkiye (TİHV) and the Society and Legal Research Foundation (TOHAV) prepared a new 9.2 notification statement regarding the government's action plan and structural changes at the point of conditional release in Türkiye, stating that the problems continue.</w:t>
      </w:r>
    </w:p>
    <w:p w:rsidR="00000000" w:rsidDel="00000000" w:rsidP="00000000" w:rsidRDefault="00000000" w:rsidRPr="00000000" w14:paraId="0000005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December 2021 meeting of the Committee of Ministers, the Committee invited Türkiye to change the legal provisions that include categorical conditional release bans and to share the statistics of detainees and convicts receiving aggravated life sentences.</w:t>
      </w:r>
    </w:p>
    <w:p w:rsidR="00000000" w:rsidDel="00000000" w:rsidP="00000000" w:rsidRDefault="00000000" w:rsidRPr="00000000" w14:paraId="0000005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 Turkish Penal Code and Legal Provisions Concerning the Execution of Penal and Security Measures Relevant to the Subject</w:t>
      </w:r>
    </w:p>
    <w:p w:rsidR="00000000" w:rsidDel="00000000" w:rsidP="00000000" w:rsidRDefault="00000000" w:rsidRPr="00000000" w14:paraId="0000005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framework of the principles stated by the ECtHR in its Vinter Decision </w:t>
      </w:r>
      <w:hyperlink r:id="rId11">
        <w:r w:rsidDel="00000000" w:rsidR="00000000" w:rsidRPr="00000000">
          <w:rPr>
            <w:rFonts w:ascii="Times New Roman" w:cs="Times New Roman" w:eastAsia="Times New Roman" w:hAnsi="Times New Roman"/>
            <w:color w:val="0000ff"/>
            <w:sz w:val="24"/>
            <w:szCs w:val="24"/>
            <w:u w:val="single"/>
            <w:rtl w:val="0"/>
          </w:rPr>
          <w:t xml:space="preserve">[3][4]</w:t>
        </w:r>
      </w:hyperlink>
      <w:r w:rsidDel="00000000" w:rsidR="00000000" w:rsidRPr="00000000">
        <w:rPr>
          <w:rFonts w:ascii="Times New Roman" w:cs="Times New Roman" w:eastAsia="Times New Roman" w:hAnsi="Times New Roman"/>
          <w:sz w:val="24"/>
          <w:szCs w:val="24"/>
          <w:rtl w:val="0"/>
        </w:rPr>
        <w:t xml:space="preserve">,  we have stated that in order life imprisonment penalty to be compatible with ECtHR Art. 3 provision must be reviewable and the penalty must be deductible legally and actually, but the contracting states have the discretion regarding the relevant review procedure, the authority that will decide on it, and the minimum time required for the review to be brought to the agenda.  In this respect, the institution of execution law that should be evaluated specifically in Turkish legislation is the conditional release regulated in the Execution Law Article 107. Conditional release is the release of the convict who has spent the minimum period determined by the Law with good behaviour in the execution institution before the end of the sentence. In this respect, conditional release is a penal institution tool that achieves individualization during the execution of the sentence and is a tool for the re-socialization of the reformed prisoner. The conditions for a conditional release decision are to serve the minimum period determined by the law in the execution institution and do this time with good behaviour. However, in some exceptional cases, it is not possible to decide on conditional release. The situation that needs to be examined within the framework of our subject is the convicts who are sentenced to aggravated life imprisonment and cannot benefit from conditional release.</w:t>
      </w:r>
    </w:p>
    <w:p w:rsidR="00000000" w:rsidDel="00000000" w:rsidP="00000000" w:rsidRDefault="00000000" w:rsidRPr="00000000" w14:paraId="0000005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860"/>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of the death penalty process that we have mentioned at the beginning, the death penalty has been abolished in Türkiye, but in line with these regulations, it has been decided that the person sentenced to life imprisonment as a result of the trials carried out within the scope of the Anti-Terrorism Law will remain in prison for the rest of his life.</w:t>
      </w:r>
    </w:p>
    <w:p w:rsidR="00000000" w:rsidDel="00000000" w:rsidP="00000000" w:rsidRDefault="00000000" w:rsidRPr="00000000" w14:paraId="0000005C">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crimes listed in the Second Book, Fourth Part of the Turkish Penal Code No. 5237, the Fourth Chapter titled "Crimes Against the Security of the State", the Fifth Chapter titled "Crimes Against the Constitutional Order and the Functioning of This Order", and the Sixth Chapter titled "Crimes Against National Defense" say that “In case of a sentence of aggravated life imprisonment due to the crime committed within the framework of the activities of the organization, the provisions of conditional release shall not apply” (CGTİHK art. 107/16 “Amendments to Various Laws dated 3.8.2002 and numbered 4771, as amended by Article 1 of the Law No. 5218 dated 14.7.2004.” “According to the relevant law, terrorist criminals whose death sentences have been commuted to life imprisonment, whose death sentences have been converted to aggravated life imprisonment, or who have been sentenced to aggravated life imprisonment, cannot benefit from the conditional release provisions. "(CGTİHK provisional article 2/1)). CGTİHK provisional article 2/1 and the same Law Art. In cases where the scope of Article 107/16, more clearly "prohibition on conditional release", is in question, the convict sentenced to life imprisonment cannot be released other than amnesty. In these cases, the legislator has made conditional release impossible for the convict.</w:t>
      </w:r>
    </w:p>
    <w:p w:rsidR="00000000" w:rsidDel="00000000" w:rsidP="00000000" w:rsidRDefault="00000000" w:rsidRPr="00000000" w14:paraId="0000005E">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widowControl w:val="0"/>
        <w:spacing w:line="240" w:lineRule="auto"/>
        <w:ind w:right="118"/>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We know that there were 1453 people sentenced to life imprisonment in the Republic of Türkiye as of 2014.</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However, under current conditions, in our applications for information to the General Directorate of Prisons and Detention Houses of the Ministry of Justice within the framework of the law on access to information, we asked the Ministry repeatedly, how many aggravated life imprisonment convicts there were in Türkiye, how many of them did not benefit from conditional release, and how many of them had been serving their sentences as convicts for more than 25 years, but no detailed or positive answer was given to these questions. Our questions were left unanswered by the General Directorate of Prisons and Detention Houses affiliated to the Ministry on the grounds that "it is not within the scope of the right to information and contains information about regulations regarding in-house practices." The Civil Society Association in the Penal System (CİSST), which has asked similar questions to the Ministry and its General Directorate of Prisons and Detention Houses, has not received a response since 2014.</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According to the official data</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of the General Directorate of Criminal Records and Statistics affiliated with the Ministry of Justice of the Republic of Türkiye, in 2022 alone, an investigation was opened against 1462 people by the Public Prosecutor's Offices with a request for aggravated life imprisonment, and for 2926 people aggravated life sentences were decided by the Turkish courts.  </w:t>
      </w:r>
    </w:p>
    <w:p w:rsidR="00000000" w:rsidDel="00000000" w:rsidP="00000000" w:rsidRDefault="00000000" w:rsidRPr="00000000" w14:paraId="00000060">
      <w:pPr>
        <w:widowControl w:val="0"/>
        <w:spacing w:line="240" w:lineRule="auto"/>
        <w:ind w:right="118"/>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1">
      <w:pPr>
        <w:widowControl w:val="0"/>
        <w:spacing w:line="240" w:lineRule="auto"/>
        <w:ind w:right="118"/>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2">
      <w:pPr>
        <w:widowControl w:val="0"/>
        <w:spacing w:line="240" w:lineRule="auto"/>
        <w:ind w:right="118"/>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 Evaluation of the Amendments Made by Law No. 7242 in the Context of the Right to Hope</w:t>
      </w:r>
    </w:p>
    <w:p w:rsidR="00000000" w:rsidDel="00000000" w:rsidP="00000000" w:rsidRDefault="00000000" w:rsidRPr="00000000" w14:paraId="00000063">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Contrary to the government's statements submitted to the Committee of Ministers of the Council of Europe, in Law No. 7242, entering into force on April 15, 2020 and consisting of 69 articles, including the enforcement articles, and containing many regulations on substantive criminal law, criminal procedure law and execution law, no changes were made in regulations that were incompatible with the right to hope in the above-mentioned Turkish laws. Therefore, Law No. 7242 does not bring any changes in Turkish law regarding life imprisonment sentences due to conditional release bans. Likewise, extremely long minimum periods for conditional release have also been maintained. Again, no legislative action has been taken regarding the execution conditions of aggravated life imprisonment sentences. However, it is necessary to examine some regulations in Law No. 7242 in the context of the right to hope. Namely, in the Turkish legal system, the main institution for reducing the sentence is conditional release. For this reason, every change regarding conditional release indirectly affects the discussions on the right to hope. Conditional release in Turkish law is far from the requirements of the right to hope, not only in terms of duration but also in terms of the perspective and practice of this institution. If we consider the changes made by Law No. 7242 in this context, we encounter the following picture: First of all, the common perspective in terms of conditional release, which is based on the crime rather than the criminal, negatively affects the right to hope. When the issue is approached from this perspective, it is only considered important that the convicts who committed crimes within the scope of the Anti-Terrorism Law (TMK) stay in the execution institution, and the situation of the convicts in the execution institution is ignored, while it is considered natural that the convicts who committed crimes within the scope of the TMK will never be able to return to society again in their lifetime. </w:t>
      </w:r>
    </w:p>
    <w:p w:rsidR="00000000" w:rsidDel="00000000" w:rsidP="00000000" w:rsidRDefault="00000000" w:rsidRPr="00000000" w14:paraId="00000065">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in the decision </w:t>
      </w:r>
      <w:r w:rsidDel="00000000" w:rsidR="00000000" w:rsidRPr="00000000">
        <w:rPr>
          <w:rFonts w:ascii="Times New Roman" w:cs="Times New Roman" w:eastAsia="Times New Roman" w:hAnsi="Times New Roman"/>
          <w:b w:val="1"/>
          <w:sz w:val="24"/>
          <w:szCs w:val="24"/>
          <w:rtl w:val="0"/>
        </w:rPr>
        <w:t xml:space="preserve">"Allegations of systemic torture and inhuman or degrading treatment or punishment in places of detention in Europe"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voted at the meeting of the Parliamentary Assembly of the Council of Europe (PACE) on  December 11, 2023, it was noted that within the scope of the execution of the </w:t>
      </w:r>
      <w:r w:rsidDel="00000000" w:rsidR="00000000" w:rsidRPr="00000000">
        <w:rPr>
          <w:rFonts w:ascii="Times New Roman" w:cs="Times New Roman" w:eastAsia="Times New Roman" w:hAnsi="Times New Roman"/>
          <w:b w:val="1"/>
          <w:sz w:val="24"/>
          <w:szCs w:val="24"/>
          <w:rtl w:val="0"/>
        </w:rPr>
        <w:t xml:space="preserve">Öcalan, Türkiye (2)</w:t>
      </w:r>
      <w:r w:rsidDel="00000000" w:rsidR="00000000" w:rsidRPr="00000000">
        <w:rPr>
          <w:rFonts w:ascii="Times New Roman" w:cs="Times New Roman" w:eastAsia="Times New Roman" w:hAnsi="Times New Roman"/>
          <w:sz w:val="24"/>
          <w:szCs w:val="24"/>
          <w:rtl w:val="0"/>
        </w:rPr>
        <w:t xml:space="preserve"> case, applications were made by NGOs to the Committee of Ministers regarding Öcalan's detention and isolation conditions, but the Committee of Ministers' monitoring/execution process continues and the person continues to be held under the same punishment and conditions. Again, on this occasion, it was determined that the Government did not remove the articles prohibiting conditional release—which violated the right to hope—from the legislation. </w:t>
      </w:r>
    </w:p>
    <w:p w:rsidR="00000000" w:rsidDel="00000000" w:rsidP="00000000" w:rsidRDefault="00000000" w:rsidRPr="00000000" w14:paraId="00000067">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government has not provided any concrete answers to the CAT and the Committee of Ministers of the Council of Europe regarding the essential issues of the aggravated life sentence regime. Misleadingly, it was stated that conditional release was possible for life and aggravated life imprisonment sentences in the Turkish legal system, and it was claimed that aggravated life imprisonment conditions did not constitute a violation of Article 3. </w:t>
      </w:r>
    </w:p>
    <w:p w:rsidR="00000000" w:rsidDel="00000000" w:rsidP="00000000" w:rsidRDefault="00000000" w:rsidRPr="00000000" w14:paraId="00000069">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widowControl w:val="0"/>
        <w:spacing w:line="240" w:lineRule="auto"/>
        <w:ind w:right="1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to bring to the attention of the Committee the following statements in reply to the responses of the Government of Türkiye:</w:t>
      </w:r>
    </w:p>
    <w:p w:rsidR="00000000" w:rsidDel="00000000" w:rsidP="00000000" w:rsidRDefault="00000000" w:rsidRPr="00000000" w14:paraId="0000006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received aggravated life imprisonment sentence, which was a violation according to the ECtHR decisions, </w:t>
      </w:r>
      <w:r w:rsidDel="00000000" w:rsidR="00000000" w:rsidRPr="00000000">
        <w:rPr>
          <w:rFonts w:ascii="Times New Roman" w:cs="Times New Roman" w:eastAsia="Times New Roman" w:hAnsi="Times New Roman"/>
          <w:b w:val="1"/>
          <w:sz w:val="24"/>
          <w:szCs w:val="24"/>
          <w:rtl w:val="0"/>
        </w:rPr>
        <w:t xml:space="preserve">Öcalan, Kaytan, Gurban and Boltan and hundreds of people in a similar situation are subject to an execution regime, in which they will be kept in prison until their death, without the possibility of de jure or de facto conditional release.</w:t>
      </w:r>
      <w:r w:rsidDel="00000000" w:rsidR="00000000" w:rsidRPr="00000000">
        <w:rPr>
          <w:rtl w:val="0"/>
        </w:rPr>
      </w:r>
    </w:p>
    <w:p w:rsidR="00000000" w:rsidDel="00000000" w:rsidP="00000000" w:rsidRDefault="00000000" w:rsidRPr="00000000" w14:paraId="0000006D">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ECtHR has unequivocally established in its violation decisions, the aggravated life imprisonment sentences given to Öcalan, Kaytan, Gurban and Boltan are subject to an execution regime that requires them to be kept in prison until their death within the current system due to the type of crime they were convicted of. In terms of these types of crimes, the Turkish legal system does not grant the right to conditional release to both the applicants and the hundreds of people who were sentenced to similar penalties within the scope of similar charges, although the exact number is not known.</w:t>
      </w:r>
    </w:p>
    <w:p w:rsidR="00000000" w:rsidDel="00000000" w:rsidP="00000000" w:rsidRDefault="00000000" w:rsidRPr="00000000" w14:paraId="0000006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Turkish Government avoids addressing this issue in its responses to the Committee and misleadingly states that in the Turkish legal system, the execution of life imprisonment and aggravated life imprisonment sentences do not continue throughout the life of the convict. However, in the legal system, there are important exceptions to this. </w:t>
      </w:r>
    </w:p>
    <w:p w:rsidR="00000000" w:rsidDel="00000000" w:rsidP="00000000" w:rsidRDefault="00000000" w:rsidRPr="00000000" w14:paraId="0000007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Article 1/B-2 of Law No. 4771 (Article 1 of this Law was abolished by Law No. 5218), Art. Provisional article 11 added to Law No. 647 with 1/E-5, Anti-Terror Law (TMK) art. 17/4, Execution Law art. 107/16 and again the Execution Law provisional art. 2  regulate situations in which the execution of aggravated life imprisonment will continue until the convict dies. Again, TMK art. 17/2 and 17/3, Execution Law art. 106/9, 107/13, 108/3, 110/4 are provisions regarding other conditional release prohibitions.</w:t>
      </w:r>
    </w:p>
    <w:p w:rsidR="00000000" w:rsidDel="00000000" w:rsidP="00000000" w:rsidRDefault="00000000" w:rsidRPr="00000000" w14:paraId="0000007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accordance with these regulations, Turkish law requires —indisputably—that the execution of the sentence of aggravated life imprisonment will continue until deathin the articles of the Law mentioned above. Therefore, Turkish law is not compatible with the </w:t>
      </w:r>
      <w:r w:rsidDel="00000000" w:rsidR="00000000" w:rsidRPr="00000000">
        <w:rPr>
          <w:rFonts w:ascii="Times New Roman" w:cs="Times New Roman" w:eastAsia="Times New Roman" w:hAnsi="Times New Roman"/>
          <w:b w:val="1"/>
          <w:sz w:val="24"/>
          <w:szCs w:val="24"/>
          <w:rtl w:val="0"/>
        </w:rPr>
        <w:t xml:space="preserve">"legally deductible"</w:t>
      </w:r>
      <w:r w:rsidDel="00000000" w:rsidR="00000000" w:rsidRPr="00000000">
        <w:rPr>
          <w:rFonts w:ascii="Times New Roman" w:cs="Times New Roman" w:eastAsia="Times New Roman" w:hAnsi="Times New Roman"/>
          <w:sz w:val="24"/>
          <w:szCs w:val="24"/>
          <w:rtl w:val="0"/>
        </w:rPr>
        <w:t xml:space="preserve"> condition of the right to hope due to these categorical conditional release prohibitions and exceptions. Also by the ECtHR in </w:t>
      </w:r>
      <w:r w:rsidDel="00000000" w:rsidR="00000000" w:rsidRPr="00000000">
        <w:rPr>
          <w:rFonts w:ascii="Times New Roman" w:cs="Times New Roman" w:eastAsia="Times New Roman" w:hAnsi="Times New Roman"/>
          <w:i w:val="1"/>
          <w:sz w:val="24"/>
          <w:szCs w:val="24"/>
          <w:rtl w:val="0"/>
        </w:rPr>
        <w:t xml:space="preserve">Öcalan v. Türkiye, </w:t>
      </w:r>
      <w:r w:rsidDel="00000000" w:rsidR="00000000" w:rsidRPr="00000000">
        <w:rPr>
          <w:rFonts w:ascii="Times New Roman" w:cs="Times New Roman" w:eastAsia="Times New Roman" w:hAnsi="Times New Roman"/>
          <w:sz w:val="24"/>
          <w:szCs w:val="24"/>
          <w:rtl w:val="0"/>
        </w:rPr>
        <w:t xml:space="preserve">in its decision (2) and other decisions subject to notification, has considered the fact that aggravated life imprisonment is not legally deductible in cases under Turkish law as a violation of the Convention for precisely this reason.</w:t>
      </w:r>
    </w:p>
    <w:p w:rsidR="00000000" w:rsidDel="00000000" w:rsidP="00000000" w:rsidRDefault="00000000" w:rsidRPr="00000000" w14:paraId="0000007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Government mentioned the President's authority to revoke or commute the sentence in the relevant decisions and in its answers to the Committee of Ministers of the Council of Europe, in its </w:t>
      </w:r>
      <w:r w:rsidDel="00000000" w:rsidR="00000000" w:rsidRPr="00000000">
        <w:rPr>
          <w:rFonts w:ascii="Times New Roman" w:cs="Times New Roman" w:eastAsia="Times New Roman" w:hAnsi="Times New Roman"/>
          <w:i w:val="1"/>
          <w:sz w:val="24"/>
          <w:szCs w:val="24"/>
          <w:rtl w:val="0"/>
        </w:rPr>
        <w:t xml:space="preserve">Öcalan v. Türkiye (2)</w:t>
      </w:r>
      <w:r w:rsidDel="00000000" w:rsidR="00000000" w:rsidRPr="00000000">
        <w:rPr>
          <w:rFonts w:ascii="Times New Roman" w:cs="Times New Roman" w:eastAsia="Times New Roman" w:hAnsi="Times New Roman"/>
          <w:sz w:val="24"/>
          <w:szCs w:val="24"/>
          <w:rtl w:val="0"/>
        </w:rPr>
        <w:t xml:space="preserve"> decision, the ECtHR determined that this power of the President or the granting of amnesty did not meet the condition of the penalty being legally deductible. Following this decision, in its decisions concerning</w:t>
      </w:r>
      <w:r w:rsidDel="00000000" w:rsidR="00000000" w:rsidRPr="00000000">
        <w:rPr>
          <w:rFonts w:ascii="Times New Roman" w:cs="Times New Roman" w:eastAsia="Times New Roman" w:hAnsi="Times New Roman"/>
          <w:i w:val="1"/>
          <w:sz w:val="24"/>
          <w:szCs w:val="24"/>
          <w:rtl w:val="0"/>
        </w:rPr>
        <w:t xml:space="preserve"> Kaytan v. Türkiye, Gurban v. Türkiye and Boltan v. Türkiye</w:t>
      </w:r>
      <w:r w:rsidDel="00000000" w:rsidR="00000000" w:rsidRPr="00000000">
        <w:rPr>
          <w:rFonts w:ascii="Times New Roman" w:cs="Times New Roman" w:eastAsia="Times New Roman" w:hAnsi="Times New Roman"/>
          <w:sz w:val="24"/>
          <w:szCs w:val="24"/>
          <w:rtl w:val="0"/>
        </w:rPr>
        <w:t xml:space="preserve">, respectively, the ECtHR repeated its findings in the Öcalan decision. In this context, the aggravated life imprisonment sentences given to Abdullah Öcalan, Hayati Kaytan, Emin Gurban and Civan Boltan are within the scope of categorical conditional release prohibitions due to the relevant law articles listed above. The aggravated life imprisonment given to Abdullah Öcalan, Hayati Kaytan, Emin Gurban and Civan Boltan will continue until they die, like hundreds of convicts in a similar situation. In order to eliminate this situation, which the ECtHR found to be contrary to the Convention, that is, to implement the ECtHR decision, the necessary legal and practical changes must be made urgently by the Turkish Government.</w:t>
      </w:r>
    </w:p>
    <w:p w:rsidR="00000000" w:rsidDel="00000000" w:rsidP="00000000" w:rsidRDefault="00000000" w:rsidRPr="00000000" w14:paraId="00000076">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İmralı Prison Conditions and Incommunicado</w:t>
      </w:r>
    </w:p>
    <w:p w:rsidR="00000000" w:rsidDel="00000000" w:rsidP="00000000" w:rsidRDefault="00000000" w:rsidRPr="00000000" w14:paraId="0000007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unique and discriminatory form of isolation has been implemented in İmralı Prison, where Abdullah Öcalan has been held, since 15.02.1999. The ban on the applicant’s being visited by a lawyer continued uninterruptedly for 8 years, from 27 July 2011 to 2 May 2019. 5 lawyer meetings were held in 2019, and the uninterrupted ban practice was restarted after the last lawyer's visit on August 7, 2019. This severe isolation imposed in İmralı Prison is also reflected in the report</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published on 5 August 2020 regarding the visit of the CPT dated 6-7 May 2019, which the Turkish Government also references to. While the report includes many violations regarding the lawyer and family meeting, it also says that </w:t>
      </w:r>
      <w:r w:rsidDel="00000000" w:rsidR="00000000" w:rsidRPr="00000000">
        <w:rPr>
          <w:rFonts w:ascii="Times New Roman" w:cs="Times New Roman" w:eastAsia="Times New Roman" w:hAnsi="Times New Roman"/>
          <w:i w:val="1"/>
          <w:sz w:val="24"/>
          <w:szCs w:val="24"/>
          <w:rtl w:val="0"/>
        </w:rPr>
        <w:t xml:space="preserve">“CPT calls on the Turkish authorities to take the necessary steps to ensure that all prisoners in İmralı Prison can effectively receive visits from their relatives and lawyers, if they wish. To this end, the practice of banning family visits for 'disciplinary' reasons should be stopped. In addition, the Committee requests the Turkish authorities to make monthly statements about the visits of family members and lawyers of all prisoners detained in İmralı Prison.</w:t>
      </w:r>
      <w:r w:rsidDel="00000000" w:rsidR="00000000" w:rsidRPr="00000000">
        <w:rPr>
          <w:rFonts w:ascii="Times New Roman" w:cs="Times New Roman" w:eastAsia="Times New Roman" w:hAnsi="Times New Roman"/>
          <w:sz w:val="24"/>
          <w:szCs w:val="24"/>
          <w:rtl w:val="0"/>
        </w:rPr>
        <w:t xml:space="preserve">" In the same CPT report</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CPT once again calls on the Turkish authorities to completely revise the detention regime applied to prisoners sentenced to aggravated life imprisonment in Turkish prisons, in the light of the principles set out in paragraphs 82 to 84 of the report on the 2013 visit. For this purpose, the relevant legislation should be amended accordingly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CPT visited İmralı Prison again in 2022 but has not yet published its report on this visit.</w:t>
      </w:r>
    </w:p>
    <w:p w:rsidR="00000000" w:rsidDel="00000000" w:rsidP="00000000" w:rsidRDefault="00000000" w:rsidRPr="00000000" w14:paraId="0000007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decision dated 18.03.2014, the ECtHR established that the strict isolation and social isolation imposed on the applicant was contrary to Article 3 of the Convention (see paragraphs 110-147 of the decision). In the light of this observation, in order to be able to say that the Turkish Government has implemented this aspect of the decision, the conditions of isolation and social isolation that the Court pointed out in the decision must be eliminated and changed.</w:t>
      </w:r>
    </w:p>
    <w:p w:rsidR="00000000" w:rsidDel="00000000" w:rsidP="00000000" w:rsidRDefault="00000000" w:rsidRPr="00000000" w14:paraId="0000007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on March 25, 2021, aggravated life sentence prisoner Abdullah Öcalan spoke to his family by phone with an unusual method that is not included in the Execution Law, and the phone call was interrupted. Since this date, no communication has been established with any prisoner in İmralı Prison.</w:t>
      </w:r>
    </w:p>
    <w:p w:rsidR="00000000" w:rsidDel="00000000" w:rsidP="00000000" w:rsidRDefault="00000000" w:rsidRPr="00000000" w14:paraId="0000007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Crime of Financing Terrorism</w:t>
      </w:r>
    </w:p>
    <w:p w:rsidR="00000000" w:rsidDel="00000000" w:rsidP="00000000" w:rsidRDefault="00000000" w:rsidRPr="00000000" w14:paraId="0000008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scope of </w:t>
      </w:r>
      <w:r w:rsidDel="00000000" w:rsidR="00000000" w:rsidRPr="00000000">
        <w:rPr>
          <w:rFonts w:ascii="Times New Roman" w:cs="Times New Roman" w:eastAsia="Times New Roman" w:hAnsi="Times New Roman"/>
          <w:b w:val="1"/>
          <w:sz w:val="24"/>
          <w:szCs w:val="24"/>
          <w:rtl w:val="0"/>
        </w:rPr>
        <w:t xml:space="preserve">the crime of financing terrorism</w:t>
      </w:r>
      <w:r w:rsidDel="00000000" w:rsidR="00000000" w:rsidRPr="00000000">
        <w:rPr>
          <w:rFonts w:ascii="Times New Roman" w:cs="Times New Roman" w:eastAsia="Times New Roman" w:hAnsi="Times New Roman"/>
          <w:sz w:val="24"/>
          <w:szCs w:val="24"/>
          <w:rtl w:val="0"/>
        </w:rPr>
        <w:t xml:space="preserve"> regulated in Articles 3 and 4 of Law No. 6415 on the Prevention of Financing Terrorism, investigations have been launched against families, guardians, lawyers and relatives who have deposited money into political prisoners in prisons for a long time, arrest warrants are issued, trials are conducted and penalties are given. It should be accepted that the ties with the organization are legally and practically interrupted when individuals are arrested or detained in penal institutions under the supervision and control of the state. In this case, it is not legal to consider depositing money into a prisoner whose connection with the organization has been legally cut off as providing funds to the organization. In addition, depositing money into prisoners is carried out within the framework of the “Regulation on the Use of Personal Money Held in Custody by Convicts and Detainees”. While the method and procedure for depositing money into prisoners in prison are determined by the regulation, it is also a violation of the principle of legality to later investigate individuals who deposit money according to this method on charges of financing terrorism. However, in the last 2-3 years, such investigations and trials have become increasingly common in Türkiye. Prison inmates need financial resources to meet their vital needs, to provide sick prisoners with the additional nutrients they need from the canteen, to cover the costs of sending telephone calls and letters to communicate with their families, to buy the magazines and newspapers they read to get news about life outside of prison, and to obtain the materials they use for their education. These files opened against those who deposit money for prisoners in prison are intimidating those who deposit money for prison inmates, thus putting the prisoners in a difficult financial position and making their conditions of detention unbearable.</w:t>
      </w:r>
    </w:p>
    <w:p w:rsidR="00000000" w:rsidDel="00000000" w:rsidP="00000000" w:rsidRDefault="00000000" w:rsidRPr="00000000" w14:paraId="00000082">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Crime of Committing a Crime on Behalf of an Organization without Being a Member of the Organization</w:t>
      </w:r>
    </w:p>
    <w:p w:rsidR="00000000" w:rsidDel="00000000" w:rsidP="00000000" w:rsidRDefault="00000000" w:rsidRPr="00000000" w14:paraId="00000084">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5">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Article 220, Paragraph 6 of the Turkish Penal Code (TCK) and the Latest Change in the Legislation</w:t>
      </w:r>
    </w:p>
    <w:p w:rsidR="00000000" w:rsidDel="00000000" w:rsidP="00000000" w:rsidRDefault="00000000" w:rsidRPr="00000000" w14:paraId="0000008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Article 220, Paragraph 6 of the Turkish Penal Code (TCK) stipulates that individuals who commit crimes on behalf of the organization shall be punished as if they were members of the organization. However, this regulation has caused some problems in practice. For example, situations such as punishing individuals who commit crimes on behalf of the organization although they are not members of the organization as if they were members of the organization, and the lack of concrete evidence as to which actions of these individuals were committed on behalf of the organization have led to uncertainties and arbitrary practices in judicial decisions. For this reason, individuals are punished for both membership in the organization and, in addition to this, for another crime depending on the nature of the action taken, and a more severe punishment regime is envisaged compared to membership in the organization. It is not possible to understand from the text of the law which action of the individual is on behalf of the organization and which action is individual. In addition, the concept of organization here has been interpreted by the judicial authorities according to ethnicity, and the actions of individuals have been evaluated in the name of the organization due to their Kurdish identity. According to the applications made to our association, although many individuals are not members of the organization, their actions have been characterized as members of the PKK organization due to their Kurdish identity and have been punished accordingly. Due to the article of the law, there is no difference between a civilian demonstrator and an armed militant, and individuals have been punished as if they were members of the organization for an action in which they exercised their fundamental rights. Even a child who has thrown stones has been punished under this article. After many individuals have been punished under the article of the law, they have received decisions in individual applications to national and international courts stating that their fundamental rights and freedoms have been violated.</w:t>
      </w:r>
    </w:p>
    <w:p w:rsidR="00000000" w:rsidDel="00000000" w:rsidP="00000000" w:rsidRDefault="00000000" w:rsidRPr="00000000" w14:paraId="00000088">
      <w:pPr>
        <w:spacing w:line="240" w:lineRule="auto"/>
        <w:jc w:val="both"/>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89">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Venice Commission Report dated 15/3/2016 and numbered 831/2015, states that the sentence in Article 220, clause (6) of Law No. 5237 that reads "he/she shall also be punished for the crime of being a member of the organization" even if he/she is not a member of the organization sentence should be repealed </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 The European Court of Human Rights (ECtHR) stated in its decision Işıkırık/Türkiye (No. 41226/09, 14/11/2017) that TCK Article 220/6 only ties the status of membership of an illegal organization to the person acting “on behalf of” the organization without the need to present concrete evidence proving the actual membership, but that there is no explanation regarding the expression “on behalf of the illegal organization”; when TCK Article 314 is applied alone, the “continuity, diversity and intensity” of the actions are taken into account, while when TCK Article 220/6 is applied, these are not evaluated. The ECtHR considered that individuals who are not included in the hierarchical structure of the organization and whose actions do not display “continuity, diversity and intensity” are considered members of the organization and sentenced to heavy penalties, and that the wording of the provision and the way it is interpreted by the courts do not provide sufficient protection against arbitrary interventions by public authorities.</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8C">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 The Constitutional Court, in its pilot decision Hamit Yakut [GK], (No: 2014/6548, 10/6/2021) referred to the case law in the ECtHR Işıkırık/Türkiye decision and determined that the principle of legality was violated in the case of the application of Article 220/6 of the TCK and that this situation caused negative effects on fundamental rights and freedoms. </w:t>
      </w:r>
    </w:p>
    <w:p w:rsidR="00000000" w:rsidDel="00000000" w:rsidP="00000000" w:rsidRDefault="00000000" w:rsidRPr="00000000" w14:paraId="0000008E">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F">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 In its decision dated 26.10.2023 and numbered E.2023/132, K.2023/183, the Constitutional Court annulled the first sentence of paragraph 6 of Article 220 of the TCK, finding it contrary to the principle of “legality in crime and punishment” (Article 38 of the Constitution). The second and third sentences of the same paragraph, which were no longer applicable due to the cancellation of this sentence, were also cancelled by the Constitutional Court in accordance with Article 43/4 of Law No. 6216, and ignoring the 1-year period it had previously given to the legislative body, it granted another 4-month period for the annulment decision to enter into force.</w:t>
      </w:r>
    </w:p>
    <w:p w:rsidR="00000000" w:rsidDel="00000000" w:rsidP="00000000" w:rsidRDefault="00000000" w:rsidRPr="00000000" w14:paraId="0000009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 Following the annulment decision of the 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Constitutional Court, many people who were previously punished under Article 220/6 of the Turkish Penal Code requested a stay of execution to eliminate the violation of their fundamental rights and freedoms and to prevent irreparable damages. The requests of many people who requested a stay of execution were rejected, preventing the violation from being resolved by the judicial authorities, and the reason for the annulment decision caused the continuation of the rights violations.</w:t>
      </w:r>
    </w:p>
    <w:p w:rsidR="00000000" w:rsidDel="00000000" w:rsidP="00000000" w:rsidRDefault="00000000" w:rsidRPr="00000000" w14:paraId="00000092">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3">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 During this period, the amendment made by the legislative body to Article 314/3 of Law No. 5237, amended by Article 11 of Law No. 7499 dated 2/3/2024, has created a regulation of the same nature as the previous version regarding the crime of committing a crime on behalf of an organization without being a member. Therefore, the violation has not been remedied. It is evaluated that the provisions in Article 314/3 of the TCK, which was created after the Constitutional Court annulled Article 220/6 of the TCK, provide a very wide margin of discretion especially in cases where membership to an illegal organization is not proven and an action or statement may be considered to intersect with the purposes or instructions of an organization. The fact that the wording of the article of the law is written and interpreted so broadly and that the courts apply it so broadly does not provide sufficient protection against the protection of individuals against arbitrary interventions by public authorities. The judicial authorities in Türkiye interpret the concept of ‘membership’ in Articles 314/2 and 314/3 of the TCK very broadly, and consider it sufficient to interpret and punish merely participating in an action, chanting slogans, or carrying banners as being a member of an organization or acting ‘on its behalf’ or knowingly and willingly aiding it. The legal amendments do not meet the requirement of full compliance with the case law of the ECtHR and the Constitutional Court in terms of foreseeability and standards of necessity in a democratic society. The latest amendment violates the right to hold meetings and demonstrations, freedom of expression, and the principle of legality in crime and punishment, and will continue the judicial practice of violating fundamental rights, as it is the same as the legal regulation in Article 220/6 of the previously repealed TCK. In addition, the newly created legal text not only causes non-members to be punished for being members of an organization, but also increases criminal responsibility by stipulating that the penalty can be increased by half within the scope of the Anti-Terror Law.</w:t>
      </w:r>
    </w:p>
    <w:p w:rsidR="00000000" w:rsidDel="00000000" w:rsidP="00000000" w:rsidRDefault="00000000" w:rsidRPr="00000000" w14:paraId="00000094">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spacing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Suggestions</w:t>
      </w:r>
      <w:r w:rsidDel="00000000" w:rsidR="00000000" w:rsidRPr="00000000">
        <w:rPr>
          <w:rtl w:val="0"/>
        </w:rPr>
      </w:r>
    </w:p>
    <w:p w:rsidR="00000000" w:rsidDel="00000000" w:rsidP="00000000" w:rsidRDefault="00000000" w:rsidRPr="00000000" w14:paraId="00000096">
      <w:pPr>
        <w:spacing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97">
      <w:pPr>
        <w:spacing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1- The TMK must definitely be abolished. However,</w:t>
      </w:r>
      <w:r w:rsidDel="00000000" w:rsidR="00000000" w:rsidRPr="00000000">
        <w:rPr>
          <w:rFonts w:ascii="Times New Roman" w:cs="Times New Roman" w:eastAsia="Times New Roman" w:hAnsi="Times New Roman"/>
          <w:sz w:val="24"/>
          <w:szCs w:val="24"/>
          <w:u w:val="single"/>
          <w:rtl w:val="0"/>
        </w:rPr>
        <w:t xml:space="preserve"> considering that a political will to abolish the TMK is not likely to arise in the short term, we suggest some changes that should be made urgently in the most problematic articles of the law; Articles 2/2, 3, 4, 5, 7/2-b and 7/3 and 7/4 should be abolished.</w:t>
      </w:r>
    </w:p>
    <w:p w:rsidR="00000000" w:rsidDel="00000000" w:rsidP="00000000" w:rsidRDefault="00000000" w:rsidRPr="00000000" w14:paraId="00000098">
      <w:pPr>
        <w:spacing w:line="24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99">
      <w:pPr>
        <w:spacing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2-</w:t>
      </w:r>
      <w:r w:rsidDel="00000000" w:rsidR="00000000" w:rsidRPr="00000000">
        <w:rPr>
          <w:rFonts w:ascii="Times New Roman" w:cs="Times New Roman" w:eastAsia="Times New Roman" w:hAnsi="Times New Roman"/>
          <w:sz w:val="24"/>
          <w:szCs w:val="24"/>
          <w:u w:val="single"/>
          <w:rtl w:val="0"/>
        </w:rPr>
        <w:t xml:space="preserve"> An execution regime equal to judicial crimes should be regulated in Articles 107 and 108 of the Execution Law, which is linked to Article 17. Even if this does not happen, regulations that ease the conditions of the severe execution regime and especially eliminate execution practices that result in isolation should be made.</w:t>
      </w:r>
    </w:p>
    <w:p w:rsidR="00000000" w:rsidDel="00000000" w:rsidP="00000000" w:rsidRDefault="00000000" w:rsidRPr="00000000" w14:paraId="0000009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 Torture and Ill-Treatment in Places of Detention: Conditions of Penitentiary Institutions and practices constituting torture and ill-treatment within the framework of the penal enforcement regime</w:t>
      </w:r>
    </w:p>
    <w:p w:rsidR="00000000" w:rsidDel="00000000" w:rsidP="00000000" w:rsidRDefault="00000000" w:rsidRPr="00000000" w14:paraId="0000009C">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D">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Torture and Ill-Treatment Emerging During Detention and Interrogation Processes</w:t>
      </w:r>
    </w:p>
    <w:p w:rsidR="00000000" w:rsidDel="00000000" w:rsidP="00000000" w:rsidRDefault="00000000" w:rsidRPr="00000000" w14:paraId="0000009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has referred to the issues that UNHCR referred to in paragraph 10 of the List of Topics to be Answered regarding the systematic use of torture and ill-treatment in police detention facilities and unofficial detention centres and requested information on in paragraphs 149 to 155 of its Report. When we look at the issues that the Government answered, we would like to state that there are many examples where the truth is the opposite, and we would like to share a few examples here.</w:t>
      </w:r>
    </w:p>
    <w:p w:rsidR="00000000" w:rsidDel="00000000" w:rsidP="00000000" w:rsidRDefault="00000000" w:rsidRPr="00000000" w14:paraId="000000A0">
      <w:pPr>
        <w:spacing w:line="24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A1">
      <w:pPr>
        <w:spacing w:line="240" w:lineRule="auto"/>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b w:val="1"/>
          <w:sz w:val="24"/>
          <w:szCs w:val="24"/>
          <w:rtl w:val="0"/>
        </w:rPr>
        <w:t xml:space="preserve">Example 1</w:t>
      </w:r>
      <w:r w:rsidDel="00000000" w:rsidR="00000000" w:rsidRPr="00000000">
        <w:rPr>
          <w:rFonts w:ascii="Times New Roman" w:cs="Times New Roman" w:eastAsia="Times New Roman" w:hAnsi="Times New Roman"/>
          <w:sz w:val="24"/>
          <w:szCs w:val="24"/>
          <w:rtl w:val="0"/>
        </w:rPr>
        <w:t xml:space="preserve"> - On Newroz on March 21, 2023, except for those detained without registration, citizens were detained (approximately 350 people, 57 of whom were children) for coming to the celebration area wearing yellow, red and green scarves and the Kurdish national costumes called Şal û Şepik and Kiras-Fistan. All citizens were kept waiting in sports halls outside of routine detention centers in Diyarbakır and their food and other essential needs were not met in any way.</w:t>
      </w:r>
      <w:r w:rsidDel="00000000" w:rsidR="00000000" w:rsidRPr="00000000">
        <w:rPr>
          <w:rFonts w:ascii="Times New Roman" w:cs="Times New Roman" w:eastAsia="Times New Roman" w:hAnsi="Times New Roman"/>
          <w:sz w:val="24"/>
          <w:szCs w:val="24"/>
          <w:highlight w:val="white"/>
          <w:vertAlign w:val="superscript"/>
          <w:rtl w:val="0"/>
        </w:rPr>
        <w:t xml:space="preserve"> </w:t>
      </w:r>
      <w:r w:rsidDel="00000000" w:rsidR="00000000" w:rsidRPr="00000000">
        <w:rPr>
          <w:rFonts w:ascii="Times New Roman" w:cs="Times New Roman" w:eastAsia="Times New Roman" w:hAnsi="Times New Roman"/>
          <w:sz w:val="24"/>
          <w:szCs w:val="24"/>
          <w:highlight w:val="white"/>
          <w:vertAlign w:val="superscript"/>
        </w:rPr>
        <w:footnoteReference w:customMarkFollows="0" w:id="13"/>
      </w:r>
      <w:r w:rsidDel="00000000" w:rsidR="00000000" w:rsidRPr="00000000">
        <w:rPr>
          <w:rtl w:val="0"/>
        </w:rPr>
      </w:r>
    </w:p>
    <w:p w:rsidR="00000000" w:rsidDel="00000000" w:rsidP="00000000" w:rsidRDefault="00000000" w:rsidRPr="00000000" w14:paraId="000000A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Example 2-</w:t>
      </w:r>
      <w:r w:rsidDel="00000000" w:rsidR="00000000" w:rsidRPr="00000000">
        <w:rPr>
          <w:rFonts w:ascii="Times New Roman" w:cs="Times New Roman" w:eastAsia="Times New Roman" w:hAnsi="Times New Roman"/>
          <w:sz w:val="24"/>
          <w:szCs w:val="24"/>
          <w:rtl w:val="0"/>
        </w:rPr>
        <w:t xml:space="preserve"> In many protests, citizens are usually kept under blockade for 2-3 hours, which violates the right to peaceful assembly and the prohibition of ill-treatment. For example, on October 9, 2023, a press release was planned to be held in Koşuyolu Park in Diyarbakır with the theme of “Freedom for Abdullah Öcalan, a solution to the Kurdish problem”. However, the Diyarbakır Governorship banned all actions and events in the city that day and blocked entrances and exits. The delegation consisting of lawyers from the Diyarbakır Branch of ÖHD made observations in the area and followed the legal process, and we filed a criminal complaint</w:t>
      </w:r>
      <w:r w:rsidDel="00000000" w:rsidR="00000000" w:rsidRPr="00000000">
        <w:rPr>
          <w:rFonts w:ascii="Times New Roman" w:cs="Times New Roman" w:eastAsia="Times New Roman" w:hAnsi="Times New Roman"/>
          <w:shd w:fill="fff2cc" w:val="clear"/>
          <w:vertAlign w:val="superscript"/>
        </w:rPr>
        <w:footnoteReference w:customMarkFollows="0" w:id="14"/>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against the responsible public officials. According to our report the crowd was divided into pieces and blockaded, and citizens were made to wait in the midday sun for a long time. Elderly citizens were not allowed to leave the circle despite their illness. After the hospital procedures, the detainees were made to wait in the TEM Branch garden for hours under inhumane conditions, and were not given water or food for over 10 hours. While the lawyers obtained water with their own means, many people were subjected to ill-treatment and torture.</w:t>
      </w:r>
      <w:r w:rsidDel="00000000" w:rsidR="00000000" w:rsidRPr="00000000">
        <w:rPr>
          <w:rFonts w:ascii="Times New Roman" w:cs="Times New Roman" w:eastAsia="Times New Roman" w:hAnsi="Times New Roman"/>
          <w:sz w:val="24"/>
          <w:szCs w:val="24"/>
          <w:highlight w:val="white"/>
          <w:vertAlign w:val="superscript"/>
          <w:rtl w:val="0"/>
        </w:rPr>
        <w:t xml:space="preserve"> </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
      </w:r>
      <w:r w:rsidDel="00000000" w:rsidR="00000000" w:rsidRPr="00000000">
        <w:rPr>
          <w:rtl w:val="0"/>
        </w:rPr>
      </w:r>
    </w:p>
    <w:p w:rsidR="00000000" w:rsidDel="00000000" w:rsidP="00000000" w:rsidRDefault="00000000" w:rsidRPr="00000000" w14:paraId="000000A4">
      <w:pPr>
        <w:spacing w:line="240" w:lineRule="auto"/>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b w:val="1"/>
          <w:sz w:val="24"/>
          <w:szCs w:val="24"/>
          <w:rtl w:val="0"/>
        </w:rPr>
        <w:t xml:space="preserve">Example 3-</w:t>
      </w:r>
      <w:r w:rsidDel="00000000" w:rsidR="00000000" w:rsidRPr="00000000">
        <w:rPr>
          <w:rFonts w:ascii="Times New Roman" w:cs="Times New Roman" w:eastAsia="Times New Roman" w:hAnsi="Times New Roman"/>
          <w:sz w:val="24"/>
          <w:szCs w:val="24"/>
          <w:rtl w:val="0"/>
        </w:rPr>
        <w:t xml:space="preserve"> On December 24, 2023, the citizens who gathered for the 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Ordinary Congress of the DEM Party Youth Assembly were subjected to disproportionate interventions by law enforcement officers and were subjected to torture and ill-treatment after the congress. A delegation consisting of lawyers, who were members of the ÖHD Diyarbakır Branch, made observations during the congress process and also followed up the legal process regarding illegally detained citizens and reported them. A criminal complaint was filed, but the Prosecutor's Office decided that there was no need for an investigation. After the congress, a total of 52 people, including 5 children and 15 women, were unlawfully detained. During these detentions, Mihriban Şorli was handcuffed backwards, held by her hair, and she was beaten. Citizens who were detained in the vehicle for hours. The detained citizens were kept in the custody of the Anti-Terrorism (TEM) Branch for days in inhumane conditions after hospital procedures and were subjected to verbal insults and threats. In addition the detained citizens were not taken to the toilet for a long time, even though they requested it in their meeting with their lawyers. and one of the detained citizens had to use a plastic bottle he had with him to meet his need.</w:t>
      </w:r>
      <w:r w:rsidDel="00000000" w:rsidR="00000000" w:rsidRPr="00000000">
        <w:rPr>
          <w:rFonts w:ascii="Times New Roman" w:cs="Times New Roman" w:eastAsia="Times New Roman" w:hAnsi="Times New Roman"/>
          <w:sz w:val="24"/>
          <w:szCs w:val="24"/>
          <w:highlight w:val="white"/>
          <w:vertAlign w:val="superscript"/>
          <w:rtl w:val="0"/>
        </w:rPr>
        <w:t xml:space="preserve"> </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
      </w:r>
      <w:r w:rsidDel="00000000" w:rsidR="00000000" w:rsidRPr="00000000">
        <w:rPr>
          <w:rtl w:val="0"/>
        </w:rPr>
      </w:r>
    </w:p>
    <w:p w:rsidR="00000000" w:rsidDel="00000000" w:rsidP="00000000" w:rsidRDefault="00000000" w:rsidRPr="00000000" w14:paraId="000000A5">
      <w:pPr>
        <w:spacing w:line="240" w:lineRule="auto"/>
        <w:jc w:val="both"/>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14:paraId="000000A6">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Interference with Torture: Failure to investigate cases of torture and ill-treatment and impunity </w:t>
      </w:r>
    </w:p>
    <w:p w:rsidR="00000000" w:rsidDel="00000000" w:rsidP="00000000" w:rsidRDefault="00000000" w:rsidRPr="00000000" w14:paraId="000000A7">
      <w:pPr>
        <w:spacing w:line="240" w:lineRule="auto"/>
        <w:jc w:val="both"/>
        <w:rPr>
          <w:rFonts w:ascii="Times New Roman" w:cs="Times New Roman" w:eastAsia="Times New Roman" w:hAnsi="Times New Roman"/>
          <w:sz w:val="24"/>
          <w:szCs w:val="24"/>
        </w:rPr>
      </w:pPr>
      <w:bookmarkStart w:colFirst="0" w:colLast="0" w:name="_heading=h.30j0zll" w:id="1"/>
      <w:bookmarkEnd w:id="1"/>
      <w:r w:rsidDel="00000000" w:rsidR="00000000" w:rsidRPr="00000000">
        <w:rPr>
          <w:rtl w:val="0"/>
        </w:rPr>
      </w:r>
    </w:p>
    <w:p w:rsidR="00000000" w:rsidDel="00000000" w:rsidP="00000000" w:rsidRDefault="00000000" w:rsidRPr="00000000" w14:paraId="000000A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part of the report, we will provide examples for the questions asked in the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paragraph, with reference the problems given in groups a and b,  in the List of Topics submitted by the Committee Against Torture and to be addressed before the presentation of its second periodic report on Türkiye.  </w:t>
      </w:r>
    </w:p>
    <w:p w:rsidR="00000000" w:rsidDel="00000000" w:rsidP="00000000" w:rsidRDefault="00000000" w:rsidRPr="00000000" w14:paraId="000000A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an additional provision has been brought to the CMK (law of criminal procedure) with Article 10 of Law No. 6713 on the Establishment of the Law Enforcement Oversight Commission in order to effectively investigate allegations of abuse of law enforcement officers and to complete the investigation, prosecution and legal remedy phases quickly, the said article is not a functioning one. In many torture allegations, prosecutors wait for criminal complaints and do not take action ex officio. Again, if a complaint is filed due to the actions committed by law enforcement, files are opened against the complainants for the crime of resisting the police, and attempts are made to deter them with judicial threats.  In the examples we will give in this section of the report, we observe that the use of excessive force by law enforcement officers motivated by hate is a widespread problem throughout the country and that the law is not applied, especially when it comes to the Kurds and the regions where the Kurds live in large numbers.</w:t>
      </w:r>
    </w:p>
    <w:p w:rsidR="00000000" w:rsidDel="00000000" w:rsidP="00000000" w:rsidRDefault="00000000" w:rsidRPr="00000000" w14:paraId="000000AB">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Sample Case 1:</w:t>
      </w:r>
      <w:r w:rsidDel="00000000" w:rsidR="00000000" w:rsidRPr="00000000">
        <w:rPr>
          <w:rFonts w:ascii="Times New Roman" w:cs="Times New Roman" w:eastAsia="Times New Roman" w:hAnsi="Times New Roman"/>
          <w:sz w:val="24"/>
          <w:szCs w:val="24"/>
          <w:rtl w:val="0"/>
        </w:rPr>
        <w:t xml:space="preserve"> As a result of the operation carried out by the security forces in the Yalımerez District of Van's İpekyolu District, an operation was carried out by law enforcement officers on 14/7/2018 to search the house where 7 members of the same family (Ayfer ŞAHİN (46), Abdulbaki ŞAHİN (56), Ayhan ŞAHİN (22), Fetullah ŞAHİN (16), Şehirban MAMUK (25), Abdullah ŞAHİN (18) and Dilan GÖRÜR (16)) lived together, upon the information that members of the organization (PKK) were sheltering there.  During the operation, which involved an armed conflict, two members of the organization and a police officer lost their lives. The ŞAHİN family, who were detained after the incident, filed a criminal complaint through their lawyers regarding the crimes of torture and ill-treatment that occurred during the incident. Torture was detected in the medical reports submitted to the file. On 31/10/2018, the prosecutor's office first requested camera records from the relevant police units regarding the moment of detention and the moments when they were held in the police unit, but it was reported that no records were kept at the time of the incident by the relevant authorities and the records in the police unit were deleted. On 19/11/2018, the Chief Public Prosecutor's Office requested the Van Governorship (Governorship) to carry out the investigation permit process by conducting a preliminary investigation in accordance with the Law No. 4483 on the Trial of Civil Servants and Other Public Officials, dated 2/12/1999, regarding the allegation of ill-treatment. The Governorship did not give permission for an investigation. The Chief Public Prosecutor's Office decided on 23/10/2019 that there was no need to conduct an investigation since no permission for investigation was given, and the applicant's objection to the said decision was rejected by the Van 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Criminal Judgeship of Peace on 13/11/2019. An application was made to the Constitutional Court against this decision. With the application by Aras Şahin (Application Number: 2020/365, dated 15.01.2025), the Constitutional Court decided that the ban on ill-treatment was violated and decided to launch a re-investigation. The investigation is still ongoing.</w:t>
      </w:r>
    </w:p>
    <w:p w:rsidR="00000000" w:rsidDel="00000000" w:rsidP="00000000" w:rsidRDefault="00000000" w:rsidRPr="00000000" w14:paraId="000000A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Sample Case 2:</w:t>
      </w:r>
      <w:r w:rsidDel="00000000" w:rsidR="00000000" w:rsidRPr="00000000">
        <w:rPr>
          <w:rFonts w:ascii="Times New Roman" w:cs="Times New Roman" w:eastAsia="Times New Roman" w:hAnsi="Times New Roman"/>
          <w:sz w:val="24"/>
          <w:szCs w:val="24"/>
          <w:rtl w:val="0"/>
        </w:rPr>
        <w:t xml:space="preserve"> On May 18, 2019, a conflict broke out in a house in the Dergili Neighborhood of Halfeti district, and 1 deputy commissioner of special operations police and 2 people allegedly from PKK lost their lives, 2 police officers were injured. A total of 51 people, including children, were detained on charges of ‘membership of a terrorist organization' and 'knowingly and willingly aiding the organization'. The existence of torture, including sexual violence, electrocution, etc., has been recorded by ATK reports, images reflected in the press and the report of the human rights centre of Şanlıurfa Bar Association. Although an investigation was launched as a result of the criminal complaint made by the Şanlıurfa bar association and its lawyers, some of the testimonies have not even been taken, and the suspects have not been identified yet.</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Sample Case 3:</w:t>
      </w:r>
      <w:r w:rsidDel="00000000" w:rsidR="00000000" w:rsidRPr="00000000">
        <w:rPr>
          <w:rFonts w:ascii="Times New Roman" w:cs="Times New Roman" w:eastAsia="Times New Roman" w:hAnsi="Times New Roman"/>
          <w:sz w:val="24"/>
          <w:szCs w:val="24"/>
          <w:rtl w:val="0"/>
        </w:rPr>
        <w:t xml:space="preserve"> On February 24, 2023, a conflict broke out in the rural area of ​​the Suruç district of Şanlıurfa province, and as a result of this conflict, a person allegedly from PKK was caught seriously injured, and 7 people were detained due to this incident. These people, who were taken from their homes under torture, were threatened with death. Mehmet Samur was laid in a pit near his house with his hands cuffed and was threatened with being buried alive. In the file, a 24-hour ban on seeing a lawyer was immediately issued. They were subjected to torture and ill-treatment while the ban on seeing lawyers continued. Despite the criminal complaint, the incident scene investigation has not been made yet and the collection of evidence has been extended over a period of time.</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B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government has included changes in the legislation regarding torture and ill-treatment in its response; every citizen who is considered to have a relationship with an “organization” under suspicion of a crime is treated as a potential enemy. Since torture and ill-treatment are involved, institutions that should initiate an investigation ex officio look for the existence of a complaint. Investigations initiated upon a complaint are not carried out meticulously and quickly, and are not effective as a whole. Evidence of many files disappear because images and camera recordings are not collected quickly, and decisions of “No Prosecution” are often made without the collection of evidence.</w:t>
      </w:r>
    </w:p>
    <w:p w:rsidR="00000000" w:rsidDel="00000000" w:rsidP="00000000" w:rsidRDefault="00000000" w:rsidRPr="00000000" w14:paraId="000000B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Suggestions</w:t>
      </w:r>
    </w:p>
    <w:p w:rsidR="00000000" w:rsidDel="00000000" w:rsidP="00000000" w:rsidRDefault="00000000" w:rsidRPr="00000000" w14:paraId="000000B6">
      <w:pPr>
        <w:spacing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B7">
      <w:pPr>
        <w:spacing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1-The government should regularly share with the public on its official pages the data on how many people have been dismissed from their profession for torture and ill-treatment and how many people have been subjected to criminal sanctions.</w:t>
      </w:r>
    </w:p>
    <w:p w:rsidR="00000000" w:rsidDel="00000000" w:rsidP="00000000" w:rsidRDefault="00000000" w:rsidRPr="00000000" w14:paraId="000000B8">
      <w:pPr>
        <w:spacing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B9">
      <w:pPr>
        <w:spacing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2-The investigation must be carried out urgently, and the necessary legal changes must be made to collect evidence before it is lost.</w:t>
      </w:r>
    </w:p>
    <w:p w:rsidR="00000000" w:rsidDel="00000000" w:rsidP="00000000" w:rsidRDefault="00000000" w:rsidRPr="00000000" w14:paraId="000000BA">
      <w:pPr>
        <w:spacing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3-An investigation should be initiated against public officials and judicial authorities who have not taken action ex officio and witnessed the incident.</w:t>
      </w:r>
    </w:p>
    <w:p w:rsidR="00000000" w:rsidDel="00000000" w:rsidP="00000000" w:rsidRDefault="00000000" w:rsidRPr="00000000" w14:paraId="000000BB">
      <w:pPr>
        <w:spacing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BC">
      <w:pPr>
        <w:spacing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4-An administrative process should be initiated against those who cannot show the necessary care and speed against the crime of torture and ill-treatment.</w:t>
      </w:r>
    </w:p>
    <w:p w:rsidR="00000000" w:rsidDel="00000000" w:rsidP="00000000" w:rsidRDefault="00000000" w:rsidRPr="00000000" w14:paraId="000000BD">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F">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 OTHER PRACTICES</w:t>
      </w:r>
    </w:p>
    <w:p w:rsidR="00000000" w:rsidDel="00000000" w:rsidP="00000000" w:rsidRDefault="00000000" w:rsidRPr="00000000" w14:paraId="000000C0">
      <w:pPr>
        <w:spacing w:line="240" w:lineRule="auto"/>
        <w:jc w:val="both"/>
        <w:rPr>
          <w:rFonts w:ascii="Times New Roman" w:cs="Times New Roman" w:eastAsia="Times New Roman" w:hAnsi="Times New Roman"/>
          <w:sz w:val="24"/>
          <w:szCs w:val="24"/>
          <w:shd w:fill="e6b8af" w:val="clear"/>
        </w:rPr>
      </w:pPr>
      <w:r w:rsidDel="00000000" w:rsidR="00000000" w:rsidRPr="00000000">
        <w:rPr>
          <w:rtl w:val="0"/>
        </w:rPr>
      </w:r>
    </w:p>
    <w:p w:rsidR="00000000" w:rsidDel="00000000" w:rsidP="00000000" w:rsidRDefault="00000000" w:rsidRPr="00000000" w14:paraId="000000C1">
      <w:pPr>
        <w:spacing w:lin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this section of the report, other practices that constitute violations in prisons will be discussed.</w:t>
      </w:r>
    </w:p>
    <w:p w:rsidR="00000000" w:rsidDel="00000000" w:rsidP="00000000" w:rsidRDefault="00000000" w:rsidRPr="00000000" w14:paraId="000000C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12.11.2021, some articles of the "Regulation on the Management of Penal Institutions and the Execution of Penalty and Security Measures" were amended</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These changes are not changes regarding the strip search’s content, and it is just a name change, replacing “strip search” with the phrase 'detailed search'. </w:t>
      </w:r>
    </w:p>
    <w:p w:rsidR="00000000" w:rsidDel="00000000" w:rsidP="00000000" w:rsidRDefault="00000000" w:rsidRPr="00000000" w14:paraId="000000C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line="240" w:lineRule="auto"/>
        <w:jc w:val="both"/>
        <w:rPr>
          <w:rFonts w:ascii="Times New Roman" w:cs="Times New Roman" w:eastAsia="Times New Roman" w:hAnsi="Times New Roman"/>
          <w:sz w:val="24"/>
          <w:szCs w:val="24"/>
        </w:rPr>
      </w:pPr>
      <w:bookmarkStart w:colFirst="0" w:colLast="0" w:name="_heading=h.4d34og8" w:id="2"/>
      <w:bookmarkEnd w:id="2"/>
      <w:r w:rsidDel="00000000" w:rsidR="00000000" w:rsidRPr="00000000">
        <w:rPr>
          <w:rFonts w:ascii="Times New Roman" w:cs="Times New Roman" w:eastAsia="Times New Roman" w:hAnsi="Times New Roman"/>
          <w:sz w:val="24"/>
          <w:szCs w:val="24"/>
          <w:rtl w:val="0"/>
        </w:rPr>
        <w:t xml:space="preserve">A total of 51 parliamentary questions were submitted between 15.03.2017 and 28.08.2023. 3 of the submitted questions were answered after their deadline, and 1 was left unanswered because the legislative period expired. The remaining 47 questions - approximately 92% of the questions - were left unanswered without any justification.</w:t>
      </w:r>
    </w:p>
    <w:p w:rsidR="00000000" w:rsidDel="00000000" w:rsidP="00000000" w:rsidRDefault="00000000" w:rsidRPr="00000000" w14:paraId="000000C6">
      <w:pPr>
        <w:spacing w:line="240" w:lineRule="auto"/>
        <w:jc w:val="both"/>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C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Constitutional Court has issued and published 23 decisions on applications regarding strip search allegations since 2015</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Only 5 of these decisions found a violation, and 11 of the remaining 17 applications were found to be inadmissible due to being manifestly ill-founded, 2 due to being time-barred, and 3 due to failure to exhaust domestic remedies. The Court ruled that there was no violation on the remaining 2 applications. Of the 5 applications where the Court ruled that there was a violation, it ruled that one application violated the right to a reasoned decision, one application violated the right to protect material and spiritual existence, and three applications violated the procedural dimension of the prohibition of ill-treatment.</w:t>
      </w:r>
    </w:p>
    <w:p w:rsidR="00000000" w:rsidDel="00000000" w:rsidP="00000000" w:rsidRDefault="00000000" w:rsidRPr="00000000" w14:paraId="000000C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response to our criminal complaint applications regarding unjustified detailed searches in Türkiye, decisions of not prosecuting or acquittal decisions after prosecution are issued.</w:t>
      </w:r>
    </w:p>
    <w:p w:rsidR="00000000" w:rsidDel="00000000" w:rsidP="00000000" w:rsidRDefault="00000000" w:rsidRPr="00000000" w14:paraId="000000C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Although the government claims in paragraph 172 that it has improved the sentences of seriously ill prisoners,</w:t>
      </w:r>
      <w:r w:rsidDel="00000000" w:rsidR="00000000" w:rsidRPr="00000000">
        <w:rPr>
          <w:rFonts w:ascii="Times New Roman" w:cs="Times New Roman" w:eastAsia="Times New Roman" w:hAnsi="Times New Roman"/>
          <w:sz w:val="24"/>
          <w:szCs w:val="24"/>
          <w:rtl w:val="0"/>
        </w:rPr>
        <w:t xml:space="preserve"> there are frequent examples to the contrary.</w:t>
      </w:r>
    </w:p>
    <w:p w:rsidR="00000000" w:rsidDel="00000000" w:rsidP="00000000" w:rsidRDefault="00000000" w:rsidRPr="00000000" w14:paraId="000000CC">
      <w:pPr>
        <w:spacing w:line="240" w:lineRule="auto"/>
        <w:jc w:val="both"/>
        <w:rPr>
          <w:rFonts w:ascii="Times New Roman" w:cs="Times New Roman" w:eastAsia="Times New Roman" w:hAnsi="Times New Roman"/>
          <w:sz w:val="24"/>
          <w:szCs w:val="24"/>
          <w:shd w:fill="f4cccc" w:val="clear"/>
        </w:rPr>
      </w:pPr>
      <w:r w:rsidDel="00000000" w:rsidR="00000000" w:rsidRPr="00000000">
        <w:rPr>
          <w:rtl w:val="0"/>
        </w:rPr>
      </w:r>
    </w:p>
    <w:p w:rsidR="00000000" w:rsidDel="00000000" w:rsidP="00000000" w:rsidRDefault="00000000" w:rsidRPr="00000000" w14:paraId="000000C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Although an application for the postponement of execution was made to the Bakırköy Chief Public Prosecutor's Office for the convict Abdülkadir Kuday, who is currently in Metris R Type Prison, considering his serious health condition, his application was rejected despite the Forensic Medicine Institute's report dated 23.10.2023 about the prisoner, stating that he could not stay in prison. Although the prisoner had a heart attack during his time in prison, and there was a risk of death as his weight dropped to 44 kilos, the application to the Constitutional Court dated 06.11.2023 requesting an injunction was also rejected. The substantive Constitutional Court investigation regarding the applicant continues. In addition, the prisoner was kept alone for a long time, and although the applications for his staying with other prisoners were rejected without justification by the Bakırköy Chief Public Prosecutor's Office (Prosecutor's Office Communication File No. 2022/1217). </w:t>
      </w:r>
    </w:p>
    <w:p w:rsidR="00000000" w:rsidDel="00000000" w:rsidP="00000000" w:rsidRDefault="00000000" w:rsidRPr="00000000" w14:paraId="000000C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Political prisoners (prisoners tried under the TMK) were excluded from the scope and could not benefit from the conditions of probation and other specified conditions. Sick prisoners are not released based on ATK reports. For example, seriously ill prisoner Bişar Yazıcı, who was given a "can stay in prison" report by ATK on 08.07.2023 and whose release was prevented, died in Dicle University Hospital, where he was treated.</w:t>
      </w:r>
    </w:p>
    <w:p w:rsidR="00000000" w:rsidDel="00000000" w:rsidP="00000000" w:rsidRDefault="00000000" w:rsidRPr="00000000" w14:paraId="000000D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‘İsmet Çardak’, who was finally released on 15.02.2024 after objecting to the report given many times and stating that he could stay in prison, lost his life two weeks later.</w:t>
      </w:r>
    </w:p>
    <w:p w:rsidR="00000000" w:rsidDel="00000000" w:rsidP="00000000" w:rsidRDefault="00000000" w:rsidRPr="00000000" w14:paraId="000000D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the execution regime, although the government claims that it organizes the state of illness, the state of being a woman and the state of being old under a separate execution regime, in the prisons of the country, the states of old age and illness are handled depending on the type of crime, and the release of prisoners in line with the reports of the Forensic Medicine Institution is prevented.</w:t>
      </w:r>
    </w:p>
    <w:p w:rsidR="00000000" w:rsidDel="00000000" w:rsidP="00000000" w:rsidRDefault="00000000" w:rsidRPr="00000000" w14:paraId="000000D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240" w:lineRule="auto"/>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u w:val="single"/>
          <w:rtl w:val="0"/>
        </w:rPr>
        <w:t xml:space="preserve">Although the paragraph 175 in the government's report mentions the statistics of prison construction to eliminate overcrowding, it is seen that these prisons are not a solution to increase capacity but rather provide severe isolation conditions.</w:t>
      </w:r>
      <w:r w:rsidDel="00000000" w:rsidR="00000000" w:rsidRPr="00000000">
        <w:rPr>
          <w:rFonts w:ascii="Times New Roman" w:cs="Times New Roman" w:eastAsia="Times New Roman" w:hAnsi="Times New Roman"/>
          <w:sz w:val="24"/>
          <w:szCs w:val="24"/>
          <w:rtl w:val="0"/>
        </w:rPr>
        <w:t xml:space="preserve"> It does not explain for which types of crimes the conditions in the designed execution institutions were created and for what needs they were built. S and Y Type Prisons, which were also mentioned in the statements made by our association and which we know to have added a new dimension to the execution regimes in Türkiye, are prisons that violate the prisoners' rights to freedom and security, contrary to the execution regulations. While the harsh conditions created by the new type type of high security prisons where prisoners are held are known by our association and other legal institutions, there is no evaluation by the government regarding the capacities, conditions and purposes of establishment of these prisons. The General Directorate of Prisons and Detention Houses, affiliated with the Ministry of Justice in Türkiye, is an institution known for its arbitrary practices; it is far from making transparent statements, and is not subject to supervision. Although the Monitoring Boards of Penitentiary Institutions and Detention Houses in Türkiye are responsible for conducting inspections and preparing reports in accordance with the law and the applicable legislation, the government has not provided clear information that this has been fulfilled.</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tl w:val="0"/>
        </w:rPr>
      </w:r>
    </w:p>
    <w:p w:rsidR="00000000" w:rsidDel="00000000" w:rsidP="00000000" w:rsidRDefault="00000000" w:rsidRPr="00000000" w14:paraId="000000D6">
      <w:pPr>
        <w:spacing w:line="240" w:lineRule="auto"/>
        <w:jc w:val="both"/>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14:paraId="000000D7">
      <w:pPr>
        <w:spacing w:line="276" w:lineRule="auto"/>
        <w:jc w:val="both"/>
        <w:rPr/>
      </w:pPr>
      <w:r w:rsidDel="00000000" w:rsidR="00000000" w:rsidRPr="00000000">
        <w:rPr>
          <w:rtl w:val="0"/>
        </w:rPr>
        <w:t xml:space="preserve">The amendment to Article 89 of the Law No. 5275, which entered into force with its publication in the Official Gazette No. 31349 on 29/12/2020, includes regulations to the detriment of convicts. Prisoners were brought before the 'Administration and Observation Board' and the prisoner, whose execution period has ended, was subjected to a retrial and his release was prevented. In front of the board, prisoners were forced to express remorse, were asked whether they would join the organization after their release, were asked what they thought about 'Abdullah Öcalan' and 'PKK', and were not released even though they had no disciplinary penalties. For periods of 3 months, 6 months, 9 months, they were repeatedly taken before the observation board. The right to conditional release and the right to benefit from probation, which is regulated in the execution regime, has been completely abolished. Even the special conditions of sick prisoners whose execution period has expired were not taken into consideration and they were not released.  As of 29/12/2020, hundreds of prisoners have been deprived of their freedom with observation boards.</w:t>
      </w:r>
    </w:p>
    <w:p w:rsidR="00000000" w:rsidDel="00000000" w:rsidP="00000000" w:rsidRDefault="00000000" w:rsidRPr="00000000" w14:paraId="000000D8">
      <w:pPr>
        <w:spacing w:line="276" w:lineRule="auto"/>
        <w:jc w:val="both"/>
        <w:rPr/>
      </w:pPr>
      <w:r w:rsidDel="00000000" w:rsidR="00000000" w:rsidRPr="00000000">
        <w:rPr>
          <w:rtl w:val="0"/>
        </w:rPr>
      </w:r>
    </w:p>
    <w:p w:rsidR="00000000" w:rsidDel="00000000" w:rsidP="00000000" w:rsidRDefault="00000000" w:rsidRPr="00000000" w14:paraId="000000D9">
      <w:pPr>
        <w:spacing w:line="276" w:lineRule="auto"/>
        <w:jc w:val="both"/>
        <w:rPr>
          <w:b w:val="1"/>
          <w:u w:val="single"/>
        </w:rPr>
      </w:pPr>
      <w:r w:rsidDel="00000000" w:rsidR="00000000" w:rsidRPr="00000000">
        <w:rPr>
          <w:b w:val="1"/>
          <w:u w:val="single"/>
          <w:rtl w:val="0"/>
        </w:rPr>
        <w:t xml:space="preserve">Recommendation</w:t>
      </w:r>
    </w:p>
    <w:p w:rsidR="00000000" w:rsidDel="00000000" w:rsidP="00000000" w:rsidRDefault="00000000" w:rsidRPr="00000000" w14:paraId="000000DA">
      <w:pPr>
        <w:numPr>
          <w:ilvl w:val="0"/>
          <w:numId w:val="1"/>
        </w:numPr>
        <w:spacing w:line="276" w:lineRule="auto"/>
        <w:ind w:left="720" w:hanging="360"/>
        <w:jc w:val="both"/>
        <w:rPr/>
      </w:pPr>
      <w:r w:rsidDel="00000000" w:rsidR="00000000" w:rsidRPr="00000000">
        <w:rPr>
          <w:u w:val="single"/>
          <w:rtl w:val="0"/>
        </w:rPr>
        <w:t xml:space="preserve">The practice of administrative and observation committees regulated by the Regulation must be completely abolished and all prisoners deprived of their liberty and whose execution period has been completed must be released.</w:t>
      </w:r>
    </w:p>
    <w:p w:rsidR="00000000" w:rsidDel="00000000" w:rsidP="00000000" w:rsidRDefault="00000000" w:rsidRPr="00000000" w14:paraId="000000DB">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LAWYER TRIALS</w:t>
      </w:r>
    </w:p>
    <w:p w:rsidR="00000000" w:rsidDel="00000000" w:rsidP="00000000" w:rsidRDefault="00000000" w:rsidRPr="00000000" w14:paraId="000000D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profession of lawyers in Türkiye is defined in Article 1 of the Lawyers’ Law No. 1136 as “</w:t>
      </w:r>
      <w:r w:rsidDel="00000000" w:rsidR="00000000" w:rsidRPr="00000000">
        <w:rPr>
          <w:rFonts w:ascii="Times New Roman" w:cs="Times New Roman" w:eastAsia="Times New Roman" w:hAnsi="Times New Roman"/>
          <w:i w:val="1"/>
          <w:sz w:val="24"/>
          <w:szCs w:val="24"/>
          <w:rtl w:val="0"/>
        </w:rPr>
        <w:t xml:space="preserve">a lawyer freely represents independent defense, which is one of the founding elements of the judiciary</w:t>
      </w:r>
      <w:r w:rsidDel="00000000" w:rsidR="00000000" w:rsidRPr="00000000">
        <w:rPr>
          <w:rFonts w:ascii="Times New Roman" w:cs="Times New Roman" w:eastAsia="Times New Roman" w:hAnsi="Times New Roman"/>
          <w:sz w:val="24"/>
          <w:szCs w:val="24"/>
          <w:rtl w:val="0"/>
        </w:rPr>
        <w:t xml:space="preserve">”, the number of lawyers who are tried based on their professional activities and the identity and actions of their clients is increasing significantly. The professional activity of acting as the advocate of the social opposition and the people, following the trial processes of their clients who are alleged to be members of an organization and acting as their defense is considered a crime, and even these activities are alleged to be carried out upon the instructions of the organization, and arbitrary and unlawful trials are carried out within the scope of membership to an illegal organization regulated in Article 314/2 of the TCK.</w:t>
      </w:r>
    </w:p>
    <w:p w:rsidR="00000000" w:rsidDel="00000000" w:rsidP="00000000" w:rsidRDefault="00000000" w:rsidRPr="00000000" w14:paraId="000000D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reports and archives kept by our association, the data on lawyers tried throughout Türkiye and their files are as follows;</w:t>
      </w:r>
    </w:p>
    <w:p w:rsidR="00000000" w:rsidDel="00000000" w:rsidP="00000000" w:rsidRDefault="00000000" w:rsidRPr="00000000" w14:paraId="000000E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 The ongoing trial at the İstanbul 19</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High Criminal Court with the number 2014/235 E is known as the file in which the most lawyers were tried in the history of the country. During the trial process, over forty lawyers were detained on November 22, 2011, and 36 of them were arrested. The main allegation against all lawyers was being a member of an armed organization (being a member of the PKK-KCK organization), regulated in Article 314/2 of the Turkish Penal Code. The main allegation in the file is that the lawyers conveyed the messages of their client Abdullah Öcalan, who is being held in the İmralı High Security F Type Closed Penal Institution, to the organization. Many lawyers in the file were detained for nearly 3 years. In the file numbered 2021/174 E. of the İstanbul 33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High Criminal Court, 10 years later, a lawsuit was filed against 8 more lawyers with the same allegations and is still ongoing.</w:t>
      </w:r>
    </w:p>
    <w:p w:rsidR="00000000" w:rsidDel="00000000" w:rsidP="00000000" w:rsidRDefault="00000000" w:rsidRPr="00000000" w14:paraId="000000E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As a result of the investigation launched against the managers and employees of the Association for Solidarity of Prisoners' Families (TUAD) during the years 2011 and 2014, and 12 lawyers, an investigation was launched on the grounds that they were external coordinators of the organization's prison structure. In the investigation, the lawyers' visits to prisons, their meetings with their clients, their meetings with the relatives of the detainees and convicts, and their work with TUAD to eliminate the rights violations were generally made the subject of accusations. The trial in the file is nearing its end, and the prosecutor's opinion on the merits is awaited.</w:t>
      </w:r>
    </w:p>
    <w:p w:rsidR="00000000" w:rsidDel="00000000" w:rsidP="00000000" w:rsidRDefault="00000000" w:rsidRPr="00000000" w14:paraId="000000E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 Four lawyers, whose trial was held in the case file numbered 2018/89 of the 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Heavy Penal Court of İstanbul, were tried for attending the funerals of their clients and their relatives. Lawyers Özlem Gümüştaş and Sezin Uçar were detained for over a year on the grounds that they were members of an organization. There is no other concrete evidence in the file other than attending the funerals. The prosecutor's opinion on the merits of the case is awaited.</w:t>
      </w:r>
    </w:p>
    <w:p w:rsidR="00000000" w:rsidDel="00000000" w:rsidP="00000000" w:rsidRDefault="00000000" w:rsidRPr="00000000" w14:paraId="000000E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 An investigation was launched into 18 lawyers on charges of making propaganda for an organization due to the press release they made to protest the killing of people killed by security forces in basements in the Cizre district of Şırnak, and the 36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Heavy Penal Court of İstanbul requested permission from the Ministry of Justice to begin the trial for this act on the grounds that it could be an act of “insulting the Turkish Nation, the Republic of Türkiye, the institutions and organs of the State” which is regulated in Article 301 of the TCK, and that permission is required from the Ministry of Justice. The permission of the Ministry of Justice is awaited for the trial to continue. A lawsuit has been filed against 7 lawyers under Article 301 of the Turkish Penal Code, on the grounds that civil society organizations, including TOHAV, reported the crimes against humanity that took place in the Cizre district of Şırnak in 2015 and published them on their website. </w:t>
      </w:r>
    </w:p>
    <w:p w:rsidR="00000000" w:rsidDel="00000000" w:rsidP="00000000" w:rsidRDefault="00000000" w:rsidRPr="00000000" w14:paraId="000000E8">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 The case filed against 19 lawyers, who made a press statement at the İstanbul Courthouse to protest the massacre carried out by ISIS at the Ankara Train Station on October 10, 2015, on charges of committing the crime of organizational propaganda is still ongoing at the İstanbul 13</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High Criminal Court.</w:t>
      </w:r>
    </w:p>
    <w:p w:rsidR="00000000" w:rsidDel="00000000" w:rsidP="00000000" w:rsidRDefault="00000000" w:rsidRPr="00000000" w14:paraId="000000EA">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 In 2019, a public lawsuit on charges of violating Law No. 2911 on Meetings and Demonstrations was filed against the lawyers, who were first subjected to intervention by security forces while trying to make a press statement in front of the İstanbul Courthouse to protest the appointment of trustees to municipalities in the Kurdistan provinces, and the lawsuit for 9 lawyers are still ongoing.  </w:t>
      </w:r>
    </w:p>
    <w:p w:rsidR="00000000" w:rsidDel="00000000" w:rsidP="00000000" w:rsidRDefault="00000000" w:rsidRPr="00000000" w14:paraId="000000EC">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 In the case where lawyers who were at the courthouse for their clients detained during the protests during the Gezi resistance in 2013 were also detained, and the prosecutor's office filed a public lawsuit against 44 lawyers in the indictment it prepared, claiming that all lawyers violated Law No. 2911.</w:t>
      </w:r>
    </w:p>
    <w:p w:rsidR="00000000" w:rsidDel="00000000" w:rsidP="00000000" w:rsidRDefault="00000000" w:rsidRPr="00000000" w14:paraId="000000EE">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 In 2016, 2 lawyers were detained on the grounds that they had conveyed to the press the interview that Selahattin Demirtaş, one of the former co-chairs of the HDP, was going to give to the press organization, and that they had portrayed the country in a bad light to the public with this behavior. A public lawsuit was filed against the colleagues who were subsequently released on condition of judicial control in the Bursa 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High Criminal Court in file number 2017/160 E. in order to punish them under Article 314/2 of the TCK. As a result of the trial, both lawyers were acquitted. The prosecutor's office objected to the file and the file is currently under review at the court of appeal.</w:t>
      </w:r>
    </w:p>
    <w:p w:rsidR="00000000" w:rsidDel="00000000" w:rsidP="00000000" w:rsidRDefault="00000000" w:rsidRPr="00000000" w14:paraId="000000F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9-</w:t>
      </w:r>
      <w:r w:rsidDel="00000000" w:rsidR="00000000" w:rsidRPr="00000000">
        <w:rPr>
          <w:rFonts w:ascii="Times New Roman" w:cs="Times New Roman" w:eastAsia="Times New Roman" w:hAnsi="Times New Roman"/>
          <w:sz w:val="24"/>
          <w:szCs w:val="24"/>
          <w:rtl w:val="0"/>
        </w:rPr>
        <w:t xml:space="preserve"> In the investigation opened due to the hunger strikes in Bursa Prisons in 2020, 3 of our colleagues were detained and released on the condition of signature obligation. A criminal case was filed on charges of being a member of an organization based on Article 314/2 of the TCK on the grounds that information was transferred to the prison for organizational purposes. The lawyers were acquitted in the first hearing of the case. Since the prosecutor objected to the file, the file is at the appeal stage in the higher court. Similarly, in 2019, an investigation was launched against 4 lawyers due to the meetings the lawyers had with their clients in Tekirdağ Prisons, citing the statement of a secret witness, but the investigation ended with a non-prosecution.</w:t>
      </w:r>
    </w:p>
    <w:p w:rsidR="00000000" w:rsidDel="00000000" w:rsidP="00000000" w:rsidRDefault="00000000" w:rsidRPr="00000000" w14:paraId="000000F2">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 In the investigation file launched against 9 lawyers upon an anonymous tip-off e-mail sent to the Police Department during the hunger strikes held in prisons in 2018-2019, a decision of no prosecution was given for some of them, and the investigation of some of the lawyers is ongoing.</w:t>
      </w:r>
    </w:p>
    <w:p w:rsidR="00000000" w:rsidDel="00000000" w:rsidP="00000000" w:rsidRDefault="00000000" w:rsidRPr="00000000" w14:paraId="000000F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 With the Statutory Decree No. 677 issued on 22/11/2016, a decision was made to close down 375 associations, including the Contemporary Lawyers Association and the Libertarian Lawyers Association. In response to this unlawfulness, the press statement that lawyers who were members of ÖHD and ÇHD wanted to make at the courthouse gate, which was their workplace, was prevented, the lawyers were beaten and tortured and detained, and an investigation was launched against 17 lawyers by the İzmir Chief Public Prosecutor's Office  (CPPO) with the file number 2016/112868, and a prosecution was initiated for the crime of violating the Law on Meetings and Demonstrations No. 2911 at the İzmir 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Criminal Court of First Instance in the file number 2017/70. At the end of the trial, the lawyers were acquitted.</w:t>
      </w:r>
    </w:p>
    <w:p w:rsidR="00000000" w:rsidDel="00000000" w:rsidP="00000000" w:rsidRDefault="00000000" w:rsidRPr="00000000" w14:paraId="000000F6">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 The press statement to be made by the İzmir Contemporary Lawyers Association and the İzmir Lawyers for Freedom Association in front of the İzmir Courthouse on August 22, 2019 against the appointment of trustees to the Diyarbakır, Van and Mardin municipalities was prevented by the security forces, and 24 lawyers who wanted to participate in the statement were beaten and tortured and detained, and an investigation was launched against them by the İzmir CPPO with the investigation number 2019/97399 for the offense of Participating in Unarmed Meetings and Marches Against the Law and Not Dispersing Spontaneously Despite a Warning. The prosecution is ongoing at the İzmir 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Criminal Court of First Instance.</w:t>
      </w:r>
    </w:p>
    <w:p w:rsidR="00000000" w:rsidDel="00000000" w:rsidP="00000000" w:rsidRDefault="00000000" w:rsidRPr="00000000" w14:paraId="000000F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 On the morning of April 25, 2023, within the scope of the investigation conducted by the Diyarbakır Chief Public Prosecutor's Office, based on the statements of confessors, a search and detention order was issued by the Diyarbakır 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Criminal Court of Peace, and a total of 25 lawyers, journalists, artists and rights defenders were searched at their homes and offices and the Head Office of the Association of Lawyers for Freedom, and they were subsequently detained. Within the scope of the investigation in question, the lawyers were detained for 4 days, 4 of them were arrested and the rest were released on probation. An investigation was launched against 5 more lawyers registered with the Diyarbakır Bar Association based on the same witness statements. As a result of the investigation, a decision of non-prosecution was given for some lawyers, while lawsuits were filed against some on charges of being members of an organization. As a result of the trials, 4 lawyers were acquitted. The trials of some lawyers are ongoing.</w:t>
      </w:r>
    </w:p>
    <w:p w:rsidR="00000000" w:rsidDel="00000000" w:rsidP="00000000" w:rsidRDefault="00000000" w:rsidRPr="00000000" w14:paraId="000000F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 On 20.11.2020, an operation was launched to capture and detain 32 lawyers based on the decision given by the Diyarbakır Criminal Court of Peace. The investigation regarding our colleagues is still pending and the items seized during the search have not yet been returned. Since there is a restriction order regarding this investigation conducted regarding the 32 lawyers, it was not possible to access the investigation file. According to the statements taken later, it was determined that a search, capture and detention order was issued for the lawyers because their names, surnames and phone numbers were on a list allegedly found in the Democratic Society Congress (DTK). The list allegedly found in the DTK is the list containing the names and contact information of the lawyers who work for election and ballot box security during election periods. In addition, some lawyers were accused of being members of the Mesopotamia Lawyers Association, which was closed by a Statutory Decree, and one lawyer was accused of being a member of the Rosa Women's Association, which operates to prevent violence against women.</w:t>
      </w:r>
    </w:p>
    <w:p w:rsidR="00000000" w:rsidDel="00000000" w:rsidP="00000000" w:rsidRDefault="00000000" w:rsidRPr="00000000" w14:paraId="000000FC">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w:t>
      </w:r>
      <w:r w:rsidDel="00000000" w:rsidR="00000000" w:rsidRPr="00000000">
        <w:rPr>
          <w:rFonts w:ascii="Times New Roman" w:cs="Times New Roman" w:eastAsia="Times New Roman" w:hAnsi="Times New Roman"/>
          <w:sz w:val="24"/>
          <w:szCs w:val="24"/>
          <w:rtl w:val="0"/>
        </w:rPr>
        <w:t xml:space="preserve"> In addition to those explained above, investigations were launched on different dates and places against 18 lawyers, who are members and executives of the Association of Lawyers for Freedom, due to their press releases, social media posts, women’s work, actions and events they attended, visits to clients in prison and depositing money to clients in prison. Some of them were dismissed or acquitted, while others were sentenced.</w:t>
      </w:r>
    </w:p>
    <w:p w:rsidR="00000000" w:rsidDel="00000000" w:rsidP="00000000" w:rsidRDefault="00000000" w:rsidRPr="00000000" w14:paraId="000000F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16-</w:t>
      </w:r>
      <w:r w:rsidDel="00000000" w:rsidR="00000000" w:rsidRPr="00000000">
        <w:rPr>
          <w:rFonts w:ascii="Times New Roman" w:cs="Times New Roman" w:eastAsia="Times New Roman" w:hAnsi="Times New Roman"/>
          <w:sz w:val="24"/>
          <w:szCs w:val="24"/>
          <w:rtl w:val="0"/>
        </w:rPr>
        <w:t xml:space="preserve"> The fact that the statements made by the Diyarbakır Bar Association and other institutional activities are ‘systematically’ investigated and prosecuted poses a serious threat to freedom of expression for the elected Bar Association President and Board of Directors. The specific and unpredictable expressions in Article 301 of the TCK create results that are contrary to the criteria of “being predictable” with a wide range of application for prosecutors and courts. Investigations have been launched against the current Bar Association President, Lawyer Nahit EREN, four times since 2016 regarding the Armenian Genocide and twice regarding the Bar’s statements regarding the protection and defense of fundamental rights. While two trials resulted in acquittals, the trials of four files are ongoing. Similarly, the Board members of 2018-2021 and 2021-2022 and after 2022 continue to be tried under the same accusation.</w:t>
      </w:r>
    </w:p>
    <w:p w:rsidR="00000000" w:rsidDel="00000000" w:rsidP="00000000" w:rsidRDefault="00000000" w:rsidRPr="00000000" w14:paraId="0000010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Suggestions</w:t>
      </w:r>
    </w:p>
    <w:p w:rsidR="00000000" w:rsidDel="00000000" w:rsidP="00000000" w:rsidRDefault="00000000" w:rsidRPr="00000000" w14:paraId="00000102">
      <w:pPr>
        <w:spacing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03">
      <w:pPr>
        <w:spacing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judicial practice of subjecting lawyers to investigation or prosecution, in whole or in part, on the basis of their activities as advocates or attorneys for clients or in the scope of their duties as lawyers should be abandoned, and the practice of arbitrarily and unlawfully making vague, ambiguous and unpredictable criminal charges against lawyers, especially in mass trials, such as membership of an illegal organization, should be discontinued.</w:t>
      </w:r>
    </w:p>
    <w:p w:rsidR="00000000" w:rsidDel="00000000" w:rsidP="00000000" w:rsidRDefault="00000000" w:rsidRPr="00000000" w14:paraId="0000010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 FREEDOM OF EXPRESSION, PEACEFUL ASSEMBLY AND ASSOCIATION</w:t>
      </w:r>
    </w:p>
    <w:p w:rsidR="00000000" w:rsidDel="00000000" w:rsidP="00000000" w:rsidRDefault="00000000" w:rsidRPr="00000000" w14:paraId="00000106">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7">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Insulting the President</w:t>
      </w:r>
    </w:p>
    <w:p w:rsidR="00000000" w:rsidDel="00000000" w:rsidP="00000000" w:rsidRDefault="00000000" w:rsidRPr="00000000" w14:paraId="0000010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 asked in paragraph 24 (a) of the list of topics should be clarified as follows; Even after the date of the report prepared by the Human Rights Committee on 25.08.2021, thousands of people have been investigated for the crimes of "Insulting the President" regulated in article 299 and "Insulting the Government" regulated in article 301 under the title of "Crimes Against the Signs of State Sovereignty and the Dignity of Its Organs" of the Turkish Penal Code No. 5237, which are among the greatest obstacles to freedom of expression, and these investigations have been turned into public lawsuits and thousands of people have been convicted in these cases.</w:t>
      </w:r>
    </w:p>
    <w:p w:rsidR="00000000" w:rsidDel="00000000" w:rsidP="00000000" w:rsidRDefault="00000000" w:rsidRPr="00000000" w14:paraId="0000010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have issued convictions despite the fact that there is no hate speech, praise of violence, call for violence or unprovoked personal attack in the files in question. The fact that the freedom of satire of dissenting citizens is considered a crime in domestic law is not related to the fact that these expressions are actually crimes, but rather stems from the president's inability to tolerate political criticism and his aim to punish dissenting people. When the data shown in the table below is examined; it is understood that thousands of cases have been filed and thousands of convictions have been given even in the type of crime that includes insulting the president and concerns freedom of expression.</w:t>
      </w:r>
    </w:p>
    <w:p w:rsidR="00000000" w:rsidDel="00000000" w:rsidP="00000000" w:rsidRDefault="00000000" w:rsidRPr="00000000" w14:paraId="0000010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spacing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9029.0" w:type="dxa"/>
        <w:jc w:val="left"/>
        <w:tblInd w:w="-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
        <w:gridCol w:w="1806"/>
        <w:gridCol w:w="1806"/>
        <w:gridCol w:w="1806"/>
        <w:gridCol w:w="1806"/>
        <w:tblGridChange w:id="0">
          <w:tblGrid>
            <w:gridCol w:w="1805"/>
            <w:gridCol w:w="1806"/>
            <w:gridCol w:w="1806"/>
            <w:gridCol w:w="1806"/>
            <w:gridCol w:w="1806"/>
          </w:tblGrid>
        </w:tblGridChange>
      </w:tblGrid>
      <w:tr>
        <w:trPr>
          <w:cantSplit w:val="1"/>
          <w:trHeight w:val="255" w:hRule="atLeast"/>
          <w:tblHeader w:val="0"/>
        </w:trPr>
        <w:tc>
          <w:tcPr>
            <w:shd w:fill="auto" w:val="clear"/>
            <w:tcMar>
              <w:top w:w="-637.0" w:type="dxa"/>
              <w:left w:w="-637.0" w:type="dxa"/>
              <w:bottom w:w="-637.0" w:type="dxa"/>
              <w:right w:w="-637.0" w:type="dxa"/>
            </w:tcMar>
          </w:tcPr>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w:t>
            </w:r>
          </w:p>
        </w:tc>
        <w:tc>
          <w:tcPr>
            <w:shd w:fill="auto" w:val="clear"/>
            <w:tcMar>
              <w:top w:w="-637.0" w:type="dxa"/>
              <w:left w:w="-637.0" w:type="dxa"/>
              <w:bottom w:w="-637.0" w:type="dxa"/>
              <w:right w:w="-637.0" w:type="dxa"/>
            </w:tcMar>
          </w:tcPr>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of Lawsuits Filed</w:t>
            </w:r>
          </w:p>
        </w:tc>
        <w:tc>
          <w:tcPr>
            <w:shd w:fill="auto" w:val="clear"/>
            <w:tcMar>
              <w:top w:w="-637.0" w:type="dxa"/>
              <w:left w:w="-637.0" w:type="dxa"/>
              <w:bottom w:w="-637.0" w:type="dxa"/>
              <w:right w:w="-637.0" w:type="dxa"/>
            </w:tcMar>
          </w:tcPr>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Acquittal</w:t>
            </w:r>
          </w:p>
        </w:tc>
        <w:tc>
          <w:tcPr>
            <w:shd w:fill="auto" w:val="clear"/>
            <w:tcMar>
              <w:top w:w="-637.0" w:type="dxa"/>
              <w:left w:w="-637.0" w:type="dxa"/>
              <w:bottom w:w="-637.0" w:type="dxa"/>
              <w:right w:w="-637.0" w:type="dxa"/>
            </w:tcMar>
          </w:tcPr>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HAGB (Deferment of the announcement of the verdict)</w:t>
            </w:r>
          </w:p>
        </w:tc>
        <w:tc>
          <w:tcPr>
            <w:shd w:fill="auto" w:val="clear"/>
            <w:tcMar>
              <w:top w:w="-637.0" w:type="dxa"/>
              <w:left w:w="-637.0" w:type="dxa"/>
              <w:bottom w:w="-637.0" w:type="dxa"/>
              <w:right w:w="-637.0" w:type="dxa"/>
            </w:tcMar>
          </w:tcPr>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Conviction</w:t>
            </w:r>
          </w:p>
        </w:tc>
      </w:tr>
      <w:tr>
        <w:trPr>
          <w:cantSplit w:val="1"/>
          <w:tblHeader w:val="0"/>
        </w:trPr>
        <w:tc>
          <w:tcPr>
            <w:shd w:fill="auto" w:val="clear"/>
            <w:tcMar>
              <w:top w:w="-637.0" w:type="dxa"/>
              <w:left w:w="-637.0" w:type="dxa"/>
              <w:bottom w:w="-637.0" w:type="dxa"/>
              <w:right w:w="-637.0" w:type="dxa"/>
            </w:tcMar>
          </w:tcPr>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w:t>
            </w:r>
          </w:p>
        </w:tc>
        <w:tc>
          <w:tcPr>
            <w:shd w:fill="auto" w:val="clear"/>
            <w:tcMar>
              <w:top w:w="-637.0" w:type="dxa"/>
              <w:left w:w="-637.0" w:type="dxa"/>
              <w:bottom w:w="-637.0" w:type="dxa"/>
              <w:right w:w="-637.0" w:type="dxa"/>
            </w:tcMar>
          </w:tcPr>
          <w:p w:rsidR="00000000" w:rsidDel="00000000" w:rsidP="00000000" w:rsidRDefault="00000000" w:rsidRPr="00000000" w14:paraId="0000011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4.936</w:t>
            </w:r>
          </w:p>
        </w:tc>
        <w:tc>
          <w:tcPr>
            <w:shd w:fill="auto" w:val="clear"/>
            <w:tcMar>
              <w:top w:w="-637.0" w:type="dxa"/>
              <w:left w:w="-637.0" w:type="dxa"/>
              <w:bottom w:w="-637.0" w:type="dxa"/>
              <w:right w:w="-637.0" w:type="dxa"/>
            </w:tcMar>
          </w:tcPr>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679 (%21.5)</w:t>
            </w:r>
          </w:p>
        </w:tc>
        <w:tc>
          <w:tcPr>
            <w:shd w:fill="auto" w:val="clear"/>
            <w:tcMar>
              <w:top w:w="-637.0" w:type="dxa"/>
              <w:left w:w="-637.0" w:type="dxa"/>
              <w:bottom w:w="-637.0" w:type="dxa"/>
              <w:right w:w="-637.0" w:type="dxa"/>
            </w:tcMar>
          </w:tcPr>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867 (%27.4)</w:t>
            </w:r>
          </w:p>
        </w:tc>
        <w:tc>
          <w:tcPr>
            <w:shd w:fill="auto" w:val="clear"/>
            <w:tcMar>
              <w:top w:w="-637.0" w:type="dxa"/>
              <w:left w:w="-637.0" w:type="dxa"/>
              <w:bottom w:w="-637.0" w:type="dxa"/>
              <w:right w:w="-637.0" w:type="dxa"/>
            </w:tcMar>
          </w:tcPr>
          <w:p w:rsidR="00000000" w:rsidDel="00000000" w:rsidP="00000000" w:rsidRDefault="00000000" w:rsidRPr="00000000" w14:paraId="0000011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1.080 (%34.1)</w:t>
            </w:r>
          </w:p>
        </w:tc>
      </w:tr>
      <w:tr>
        <w:trPr>
          <w:cantSplit w:val="1"/>
          <w:tblHeader w:val="0"/>
        </w:trPr>
        <w:tc>
          <w:tcPr>
            <w:shd w:fill="auto" w:val="clear"/>
            <w:tcMar>
              <w:top w:w="-637.0" w:type="dxa"/>
              <w:left w:w="-637.0" w:type="dxa"/>
              <w:bottom w:w="-637.0" w:type="dxa"/>
              <w:right w:w="-637.0" w:type="dxa"/>
            </w:tcMar>
          </w:tcPr>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2017</w:t>
            </w:r>
          </w:p>
        </w:tc>
        <w:tc>
          <w:tcPr>
            <w:shd w:fill="auto" w:val="clear"/>
            <w:tcMar>
              <w:top w:w="-637.0" w:type="dxa"/>
              <w:left w:w="-637.0" w:type="dxa"/>
              <w:bottom w:w="-637.0" w:type="dxa"/>
              <w:right w:w="-637.0" w:type="dxa"/>
            </w:tcMar>
          </w:tcPr>
          <w:p w:rsidR="00000000" w:rsidDel="00000000" w:rsidP="00000000" w:rsidRDefault="00000000" w:rsidRPr="00000000" w14:paraId="000001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6.381</w:t>
            </w:r>
          </w:p>
        </w:tc>
        <w:tc>
          <w:tcPr>
            <w:shd w:fill="auto" w:val="clear"/>
            <w:tcMar>
              <w:top w:w="-637.0" w:type="dxa"/>
              <w:left w:w="-637.0" w:type="dxa"/>
              <w:bottom w:w="-637.0" w:type="dxa"/>
              <w:right w:w="-637.0" w:type="dxa"/>
            </w:tcMar>
          </w:tcPr>
          <w:p w:rsidR="00000000" w:rsidDel="00000000" w:rsidP="00000000" w:rsidRDefault="00000000" w:rsidRPr="00000000" w14:paraId="0000011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1.061 (%17.7)</w:t>
            </w:r>
          </w:p>
        </w:tc>
        <w:tc>
          <w:tcPr>
            <w:shd w:fill="auto" w:val="clear"/>
            <w:tcMar>
              <w:top w:w="-637.0" w:type="dxa"/>
              <w:left w:w="-637.0" w:type="dxa"/>
              <w:bottom w:w="-637.0" w:type="dxa"/>
              <w:right w:w="-637.0" w:type="dxa"/>
            </w:tcMar>
          </w:tcPr>
          <w:p w:rsidR="00000000" w:rsidDel="00000000" w:rsidP="00000000" w:rsidRDefault="00000000" w:rsidRPr="00000000" w14:paraId="000001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1.859  (%31)</w:t>
            </w:r>
          </w:p>
        </w:tc>
        <w:tc>
          <w:tcPr>
            <w:shd w:fill="auto" w:val="clear"/>
            <w:tcMar>
              <w:top w:w="-637.0" w:type="dxa"/>
              <w:left w:w="-637.0" w:type="dxa"/>
              <w:bottom w:w="-637.0" w:type="dxa"/>
              <w:right w:w="-637.0" w:type="dxa"/>
            </w:tcMar>
          </w:tcPr>
          <w:p w:rsidR="00000000" w:rsidDel="00000000" w:rsidP="00000000" w:rsidRDefault="00000000" w:rsidRPr="00000000" w14:paraId="0000011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2.343 (%39.1)</w:t>
            </w:r>
          </w:p>
        </w:tc>
      </w:tr>
      <w:tr>
        <w:trPr>
          <w:cantSplit w:val="1"/>
          <w:tblHeader w:val="0"/>
        </w:trPr>
        <w:tc>
          <w:tcPr>
            <w:shd w:fill="auto" w:val="clear"/>
            <w:tcMar>
              <w:top w:w="-637.0" w:type="dxa"/>
              <w:left w:w="-637.0" w:type="dxa"/>
              <w:bottom w:w="-637.0" w:type="dxa"/>
              <w:right w:w="-637.0" w:type="dxa"/>
            </w:tcMar>
          </w:tcPr>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2018</w:t>
            </w:r>
          </w:p>
        </w:tc>
        <w:tc>
          <w:tcPr>
            <w:shd w:fill="auto" w:val="clear"/>
            <w:tcMar>
              <w:top w:w="-637.0" w:type="dxa"/>
              <w:left w:w="-637.0" w:type="dxa"/>
              <w:bottom w:w="-637.0" w:type="dxa"/>
              <w:right w:w="-637.0" w:type="dxa"/>
            </w:tcMar>
          </w:tcPr>
          <w:p w:rsidR="00000000" w:rsidDel="00000000" w:rsidP="00000000" w:rsidRDefault="00000000" w:rsidRPr="00000000" w14:paraId="0000011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6.131</w:t>
            </w:r>
          </w:p>
        </w:tc>
        <w:tc>
          <w:tcPr>
            <w:shd w:fill="auto" w:val="clear"/>
            <w:tcMar>
              <w:top w:w="-637.0" w:type="dxa"/>
              <w:left w:w="-637.0" w:type="dxa"/>
              <w:bottom w:w="-637.0" w:type="dxa"/>
              <w:right w:w="-637.0" w:type="dxa"/>
            </w:tcMar>
          </w:tcPr>
          <w:p w:rsidR="00000000" w:rsidDel="00000000" w:rsidP="00000000" w:rsidRDefault="00000000" w:rsidRPr="00000000" w14:paraId="0000011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1.416 ( %19)</w:t>
            </w:r>
          </w:p>
        </w:tc>
        <w:tc>
          <w:tcPr>
            <w:shd w:fill="auto" w:val="clear"/>
            <w:tcMar>
              <w:top w:w="-637.0" w:type="dxa"/>
              <w:left w:w="-637.0" w:type="dxa"/>
              <w:bottom w:w="-637.0" w:type="dxa"/>
              <w:right w:w="-637.0" w:type="dxa"/>
            </w:tcMar>
          </w:tcPr>
          <w:p w:rsidR="00000000" w:rsidDel="00000000" w:rsidP="00000000" w:rsidRDefault="00000000" w:rsidRPr="00000000" w14:paraId="0000011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2.362 (%31.6)</w:t>
            </w:r>
          </w:p>
        </w:tc>
        <w:tc>
          <w:tcPr>
            <w:shd w:fill="auto" w:val="clear"/>
            <w:tcMar>
              <w:top w:w="-637.0" w:type="dxa"/>
              <w:left w:w="-637.0" w:type="dxa"/>
              <w:bottom w:w="-637.0" w:type="dxa"/>
              <w:right w:w="-637.0" w:type="dxa"/>
            </w:tcMar>
          </w:tcPr>
          <w:p w:rsidR="00000000" w:rsidDel="00000000" w:rsidP="00000000" w:rsidRDefault="00000000" w:rsidRPr="00000000" w14:paraId="0000012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2.775 (%37.1)</w:t>
            </w:r>
          </w:p>
        </w:tc>
      </w:tr>
      <w:tr>
        <w:trPr>
          <w:cantSplit w:val="1"/>
          <w:tblHeader w:val="0"/>
        </w:trPr>
        <w:tc>
          <w:tcPr>
            <w:shd w:fill="auto" w:val="clear"/>
            <w:tcMar>
              <w:top w:w="-637.0" w:type="dxa"/>
              <w:left w:w="-637.0" w:type="dxa"/>
              <w:bottom w:w="-637.0" w:type="dxa"/>
              <w:right w:w="-637.0" w:type="dxa"/>
            </w:tcMar>
          </w:tcPr>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2019</w:t>
            </w:r>
          </w:p>
        </w:tc>
        <w:tc>
          <w:tcPr>
            <w:shd w:fill="auto" w:val="clear"/>
            <w:tcMar>
              <w:top w:w="-637.0" w:type="dxa"/>
              <w:left w:w="-637.0" w:type="dxa"/>
              <w:bottom w:w="-637.0" w:type="dxa"/>
              <w:right w:w="-637.0" w:type="dxa"/>
            </w:tcMar>
          </w:tcPr>
          <w:p w:rsidR="00000000" w:rsidDel="00000000" w:rsidP="00000000" w:rsidRDefault="00000000" w:rsidRPr="00000000" w14:paraId="0000012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13.252</w:t>
            </w:r>
          </w:p>
        </w:tc>
        <w:tc>
          <w:tcPr>
            <w:shd w:fill="auto" w:val="clear"/>
            <w:tcMar>
              <w:top w:w="-637.0" w:type="dxa"/>
              <w:left w:w="-637.0" w:type="dxa"/>
              <w:bottom w:w="-637.0" w:type="dxa"/>
              <w:right w:w="-637.0" w:type="dxa"/>
            </w:tcMar>
          </w:tcPr>
          <w:p w:rsidR="00000000" w:rsidDel="00000000" w:rsidP="00000000" w:rsidRDefault="00000000" w:rsidRPr="00000000" w14:paraId="0000012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1.970 (%15.8)</w:t>
            </w:r>
          </w:p>
        </w:tc>
        <w:tc>
          <w:tcPr>
            <w:shd w:fill="auto" w:val="clear"/>
            <w:tcMar>
              <w:top w:w="-637.0" w:type="dxa"/>
              <w:left w:w="-637.0" w:type="dxa"/>
              <w:bottom w:w="-637.0" w:type="dxa"/>
              <w:right w:w="-637.0" w:type="dxa"/>
            </w:tcMar>
          </w:tcPr>
          <w:p w:rsidR="00000000" w:rsidDel="00000000" w:rsidP="00000000" w:rsidRDefault="00000000" w:rsidRPr="00000000" w14:paraId="0000012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4.394 (%35.2)</w:t>
            </w:r>
          </w:p>
        </w:tc>
        <w:tc>
          <w:tcPr>
            <w:shd w:fill="auto" w:val="clear"/>
            <w:tcMar>
              <w:top w:w="-637.0" w:type="dxa"/>
              <w:left w:w="-637.0" w:type="dxa"/>
              <w:bottom w:w="-637.0" w:type="dxa"/>
              <w:right w:w="-637.0" w:type="dxa"/>
            </w:tcMar>
          </w:tcPr>
          <w:p w:rsidR="00000000" w:rsidDel="00000000" w:rsidP="00000000" w:rsidRDefault="00000000" w:rsidRPr="00000000" w14:paraId="0000012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4.291 (%34.4)</w:t>
            </w:r>
          </w:p>
        </w:tc>
      </w:tr>
      <w:tr>
        <w:trPr>
          <w:cantSplit w:val="1"/>
          <w:trHeight w:val="270" w:hRule="atLeast"/>
          <w:tblHeader w:val="0"/>
        </w:trPr>
        <w:tc>
          <w:tcPr>
            <w:shd w:fill="auto" w:val="clear"/>
            <w:tcMar>
              <w:top w:w="-637.0" w:type="dxa"/>
              <w:left w:w="-637.0" w:type="dxa"/>
              <w:bottom w:w="-637.0" w:type="dxa"/>
              <w:right w:w="-637.0" w:type="dxa"/>
            </w:tcMar>
          </w:tcPr>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2020</w:t>
            </w:r>
          </w:p>
        </w:tc>
        <w:tc>
          <w:tcPr>
            <w:shd w:fill="auto" w:val="clear"/>
            <w:tcMar>
              <w:top w:w="-637.0" w:type="dxa"/>
              <w:left w:w="-637.0" w:type="dxa"/>
              <w:bottom w:w="-637.0" w:type="dxa"/>
              <w:right w:w="-637.0" w:type="dxa"/>
            </w:tcMar>
          </w:tcPr>
          <w:p w:rsidR="00000000" w:rsidDel="00000000" w:rsidP="00000000" w:rsidRDefault="00000000" w:rsidRPr="00000000" w14:paraId="0000012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8.924</w:t>
            </w:r>
          </w:p>
        </w:tc>
        <w:tc>
          <w:tcPr>
            <w:shd w:fill="auto" w:val="clear"/>
            <w:tcMar>
              <w:top w:w="-637.0" w:type="dxa"/>
              <w:left w:w="-637.0" w:type="dxa"/>
              <w:bottom w:w="-637.0" w:type="dxa"/>
              <w:right w:w="-637.0" w:type="dxa"/>
            </w:tcMar>
          </w:tcPr>
          <w:p w:rsidR="00000000" w:rsidDel="00000000" w:rsidP="00000000" w:rsidRDefault="00000000" w:rsidRPr="00000000" w14:paraId="000001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1.519 (%14.3)</w:t>
            </w:r>
          </w:p>
        </w:tc>
        <w:tc>
          <w:tcPr>
            <w:shd w:fill="auto" w:val="clear"/>
            <w:tcMar>
              <w:top w:w="-637.0" w:type="dxa"/>
              <w:left w:w="-637.0" w:type="dxa"/>
              <w:bottom w:w="-637.0" w:type="dxa"/>
              <w:right w:w="-637.0" w:type="dxa"/>
            </w:tcMar>
          </w:tcPr>
          <w:p w:rsidR="00000000" w:rsidDel="00000000" w:rsidP="00000000" w:rsidRDefault="00000000" w:rsidRPr="00000000" w14:paraId="0000012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3.736 (%35.1)</w:t>
            </w:r>
          </w:p>
        </w:tc>
        <w:tc>
          <w:tcPr>
            <w:shd w:fill="auto" w:val="clear"/>
            <w:tcMar>
              <w:top w:w="-637.0" w:type="dxa"/>
              <w:left w:w="-637.0" w:type="dxa"/>
              <w:bottom w:w="-637.0" w:type="dxa"/>
              <w:right w:w="-637.0" w:type="dxa"/>
            </w:tcMar>
          </w:tcPr>
          <w:p w:rsidR="00000000" w:rsidDel="00000000" w:rsidP="00000000" w:rsidRDefault="00000000" w:rsidRPr="00000000" w14:paraId="0000012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3.655 (%34.4)</w:t>
            </w:r>
          </w:p>
        </w:tc>
      </w:tr>
      <w:tr>
        <w:trPr>
          <w:cantSplit w:val="1"/>
          <w:tblHeader w:val="0"/>
        </w:trPr>
        <w:tc>
          <w:tcPr>
            <w:shd w:fill="auto" w:val="clear"/>
            <w:tcMar>
              <w:top w:w="-637.0" w:type="dxa"/>
              <w:left w:w="-637.0" w:type="dxa"/>
              <w:bottom w:w="-637.0" w:type="dxa"/>
              <w:right w:w="-637.0" w:type="dxa"/>
            </w:tcMar>
          </w:tcPr>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2021</w:t>
            </w:r>
          </w:p>
        </w:tc>
        <w:tc>
          <w:tcPr>
            <w:shd w:fill="auto" w:val="clear"/>
            <w:tcMar>
              <w:top w:w="-637.0" w:type="dxa"/>
              <w:left w:w="-637.0" w:type="dxa"/>
              <w:bottom w:w="-637.0" w:type="dxa"/>
              <w:right w:w="-637.0" w:type="dxa"/>
            </w:tcMar>
          </w:tcPr>
          <w:p w:rsidR="00000000" w:rsidDel="00000000" w:rsidP="00000000" w:rsidRDefault="00000000" w:rsidRPr="00000000" w14:paraId="0000012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10.622</w:t>
            </w:r>
          </w:p>
        </w:tc>
        <w:tc>
          <w:tcPr>
            <w:shd w:fill="auto" w:val="clear"/>
            <w:tcMar>
              <w:top w:w="-637.0" w:type="dxa"/>
              <w:left w:w="-637.0" w:type="dxa"/>
              <w:bottom w:w="-637.0" w:type="dxa"/>
              <w:right w:w="-637.0" w:type="dxa"/>
            </w:tcMar>
          </w:tcPr>
          <w:p w:rsidR="00000000" w:rsidDel="00000000" w:rsidP="00000000" w:rsidRDefault="00000000" w:rsidRPr="00000000" w14:paraId="0000012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2.369 (%17)</w:t>
            </w:r>
          </w:p>
        </w:tc>
        <w:tc>
          <w:tcPr>
            <w:shd w:fill="auto" w:val="clear"/>
            <w:tcMar>
              <w:top w:w="-637.0" w:type="dxa"/>
              <w:left w:w="-637.0" w:type="dxa"/>
              <w:bottom w:w="-637.0" w:type="dxa"/>
              <w:right w:w="-637.0" w:type="dxa"/>
            </w:tcMar>
          </w:tcPr>
          <w:p w:rsidR="00000000" w:rsidDel="00000000" w:rsidP="00000000" w:rsidRDefault="00000000" w:rsidRPr="00000000" w14:paraId="0000012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4.465 (%32)</w:t>
            </w:r>
          </w:p>
        </w:tc>
        <w:tc>
          <w:tcPr>
            <w:shd w:fill="auto" w:val="clear"/>
            <w:tcMar>
              <w:top w:w="-637.0" w:type="dxa"/>
              <w:left w:w="-637.0" w:type="dxa"/>
              <w:bottom w:w="-637.0" w:type="dxa"/>
              <w:right w:w="-637.0" w:type="dxa"/>
            </w:tcMar>
          </w:tcPr>
          <w:p w:rsidR="00000000" w:rsidDel="00000000" w:rsidP="00000000" w:rsidRDefault="00000000" w:rsidRPr="00000000" w14:paraId="0000012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4.582 (%32.9)</w:t>
            </w:r>
          </w:p>
        </w:tc>
      </w:tr>
      <w:tr>
        <w:trPr>
          <w:cantSplit w:val="1"/>
          <w:trHeight w:val="285" w:hRule="atLeast"/>
          <w:tblHeader w:val="0"/>
        </w:trPr>
        <w:tc>
          <w:tcPr>
            <w:shd w:fill="auto" w:val="clear"/>
            <w:tcMar>
              <w:top w:w="-637.0" w:type="dxa"/>
              <w:left w:w="-637.0" w:type="dxa"/>
              <w:bottom w:w="-637.0" w:type="dxa"/>
              <w:right w:w="-637.0" w:type="dxa"/>
            </w:tcMar>
          </w:tcPr>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2022</w:t>
            </w:r>
          </w:p>
        </w:tc>
        <w:tc>
          <w:tcPr>
            <w:shd w:fill="auto" w:val="clear"/>
            <w:tcMar>
              <w:top w:w="-637.0" w:type="dxa"/>
              <w:left w:w="-637.0" w:type="dxa"/>
              <w:bottom w:w="-637.0" w:type="dxa"/>
              <w:right w:w="-637.0" w:type="dxa"/>
            </w:tcMar>
          </w:tcPr>
          <w:p w:rsidR="00000000" w:rsidDel="00000000" w:rsidP="00000000" w:rsidRDefault="00000000" w:rsidRPr="00000000" w14:paraId="0000013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7.627</w:t>
            </w:r>
          </w:p>
        </w:tc>
        <w:tc>
          <w:tcPr>
            <w:shd w:fill="auto" w:val="clear"/>
            <w:tcMar>
              <w:top w:w="-637.0" w:type="dxa"/>
              <w:left w:w="-637.0" w:type="dxa"/>
              <w:bottom w:w="-637.0" w:type="dxa"/>
              <w:right w:w="-637.0" w:type="dxa"/>
            </w:tcMar>
          </w:tcPr>
          <w:p w:rsidR="00000000" w:rsidDel="00000000" w:rsidP="00000000" w:rsidRDefault="00000000" w:rsidRPr="00000000" w14:paraId="0000013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w:t>
            </w:r>
          </w:p>
        </w:tc>
        <w:tc>
          <w:tcPr>
            <w:shd w:fill="auto" w:val="clear"/>
            <w:tcMar>
              <w:top w:w="-637.0" w:type="dxa"/>
              <w:left w:w="-637.0" w:type="dxa"/>
              <w:bottom w:w="-637.0" w:type="dxa"/>
              <w:right w:w="-637.0" w:type="dxa"/>
            </w:tcMar>
          </w:tcPr>
          <w:p w:rsidR="00000000" w:rsidDel="00000000" w:rsidP="00000000" w:rsidRDefault="00000000" w:rsidRPr="00000000" w14:paraId="0000013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3.177 </w:t>
            </w:r>
          </w:p>
        </w:tc>
        <w:tc>
          <w:tcPr>
            <w:shd w:fill="auto" w:val="clear"/>
            <w:tcMar>
              <w:top w:w="-637.0" w:type="dxa"/>
              <w:left w:w="-637.0" w:type="dxa"/>
              <w:bottom w:w="-637.0" w:type="dxa"/>
              <w:right w:w="-637.0" w:type="dxa"/>
            </w:tcMar>
          </w:tcPr>
          <w:p w:rsidR="00000000" w:rsidDel="00000000" w:rsidP="00000000" w:rsidRDefault="00000000" w:rsidRPr="00000000" w14:paraId="0000013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1.920</w:t>
            </w:r>
          </w:p>
        </w:tc>
      </w:tr>
      <w:tr>
        <w:trPr>
          <w:cantSplit w:val="1"/>
          <w:tblHeader w:val="0"/>
        </w:trPr>
        <w:tc>
          <w:tcPr>
            <w:shd w:fill="auto" w:val="clear"/>
            <w:tcMar>
              <w:top w:w="-637.0" w:type="dxa"/>
              <w:left w:w="-637.0" w:type="dxa"/>
              <w:bottom w:w="-637.0" w:type="dxa"/>
              <w:right w:w="-637.0" w:type="dxa"/>
            </w:tcMar>
          </w:tcPr>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2023</w:t>
            </w:r>
          </w:p>
        </w:tc>
        <w:tc>
          <w:tcPr>
            <w:shd w:fill="auto" w:val="clear"/>
            <w:tcMar>
              <w:top w:w="-637.0" w:type="dxa"/>
              <w:left w:w="-637.0" w:type="dxa"/>
              <w:bottom w:w="-637.0" w:type="dxa"/>
              <w:right w:w="-637.0" w:type="dxa"/>
            </w:tcMar>
          </w:tcPr>
          <w:p w:rsidR="00000000" w:rsidDel="00000000" w:rsidP="00000000" w:rsidRDefault="00000000" w:rsidRPr="00000000" w14:paraId="0000013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6.646 </w:t>
            </w:r>
          </w:p>
        </w:tc>
        <w:tc>
          <w:tcPr>
            <w:shd w:fill="auto" w:val="clear"/>
            <w:tcMar>
              <w:top w:w="-637.0" w:type="dxa"/>
              <w:left w:w="-637.0" w:type="dxa"/>
              <w:bottom w:w="-637.0" w:type="dxa"/>
              <w:right w:w="-637.0" w:type="dxa"/>
            </w:tcMar>
          </w:tcPr>
          <w:p w:rsidR="00000000" w:rsidDel="00000000" w:rsidP="00000000" w:rsidRDefault="00000000" w:rsidRPr="00000000" w14:paraId="0000013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1.613 </w:t>
            </w:r>
          </w:p>
        </w:tc>
        <w:tc>
          <w:tcPr>
            <w:shd w:fill="auto" w:val="clear"/>
            <w:tcMar>
              <w:top w:w="-637.0" w:type="dxa"/>
              <w:left w:w="-637.0" w:type="dxa"/>
              <w:bottom w:w="-637.0" w:type="dxa"/>
              <w:right w:w="-637.0" w:type="dxa"/>
            </w:tcMar>
          </w:tcPr>
          <w:p w:rsidR="00000000" w:rsidDel="00000000" w:rsidP="00000000" w:rsidRDefault="00000000" w:rsidRPr="00000000" w14:paraId="0000013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1.950</w:t>
            </w:r>
          </w:p>
        </w:tc>
        <w:tc>
          <w:tcPr>
            <w:shd w:fill="auto" w:val="clear"/>
            <w:tcMar>
              <w:top w:w="-637.0" w:type="dxa"/>
              <w:left w:w="-637.0" w:type="dxa"/>
              <w:bottom w:w="-637.0" w:type="dxa"/>
              <w:right w:w="-637.0" w:type="dxa"/>
            </w:tcMar>
          </w:tcPr>
          <w:p w:rsidR="00000000" w:rsidDel="00000000" w:rsidP="00000000" w:rsidRDefault="00000000" w:rsidRPr="00000000" w14:paraId="0000013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1.631</w:t>
            </w:r>
          </w:p>
        </w:tc>
      </w:tr>
    </w:tbl>
    <w:p w:rsidR="00000000" w:rsidDel="00000000" w:rsidP="00000000" w:rsidRDefault="00000000" w:rsidRPr="00000000" w14:paraId="0000013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give examples of some actions, statements or expressions punished by the courts as follows:</w:t>
      </w:r>
    </w:p>
    <w:p w:rsidR="00000000" w:rsidDel="00000000" w:rsidP="00000000" w:rsidRDefault="00000000" w:rsidRPr="00000000" w14:paraId="0000013C">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expressions "...I stole..." and "...I will take my bribe and live..." referring to the President (Batman 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Criminal Court of First Instance, decision numbered 2019/1227 and 2020/292)</w:t>
      </w:r>
    </w:p>
    <w:p w:rsidR="00000000" w:rsidDel="00000000" w:rsidP="00000000" w:rsidRDefault="00000000" w:rsidRPr="00000000" w14:paraId="000001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defendant's response to written messages in WhatsApp group conversations that read "He called the people to the streets, he is calling his own supporters to the streets, he will start a civil war", as "If I committed that many crimes, I would do everything to avoid being tried" (Court of Cassation 16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Criminal Chamber 2020/6589 E. and 2020/5736 K.)</w:t>
      </w:r>
    </w:p>
    <w:p w:rsidR="00000000" w:rsidDel="00000000" w:rsidP="00000000" w:rsidRDefault="00000000" w:rsidRPr="00000000" w14:paraId="0000013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slogan "thief-murderer..., ... come out with you loser, let's play outside" (Court of Cassation 16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Criminal Chamber 2018/1460 E. and 2018/2321K.), banner that reads “We call a dictator a dictator ... he is not alone” (Court of Cassation 16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Criminal Chamber 2018/2102 E. and 2018/2115 K.)</w:t>
      </w:r>
    </w:p>
    <w:p w:rsidR="00000000" w:rsidDel="00000000" w:rsidP="00000000" w:rsidRDefault="00000000" w:rsidRPr="00000000" w14:paraId="0000014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President is seen spinning in a whirling dervish costume with the word "Türkiye" and the flag of the Republic of Türkiye between two groups depicted as armed and holding an "ISIS" flag and also a warplane identified as "USAF", and the cartoon that reads ''the world is talking about this cartoon that tells the crooked politics of AKP and ...'';… long story short, the cartoon published with the commentary of the President talking to a person and containing the words ''another child was killed sir'', "Despicable Israel", "The child was killed in Cizre sir", "Dirty terrorist'';… "7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June in the Palace, the last tutelage " consisting of small videos that make the President look like ... visual and... The photo next to the President's photo with the words ''İSTİKBİLAL MARŞI [a word play that mixes the name of the national anthem and the name of the prseident], I have stolen for 12 years, I will steal again. I wonder which crazy person will judge me. I am like a roaring flood, I break the law and overcome it. I follow the tenders, I take my bribes and live. If I have a few billion dollars hoarded at home, they will zero it out... I have a son like that. I have voters who say, 'Don't be afraid of the nation, even if the monster in Pennsylvania steals, he knows something'', (Court of Cassation 16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Criminal Chamber 2019/6019 E. and 2019/8465K.)</w:t>
      </w:r>
    </w:p>
    <w:p w:rsidR="00000000" w:rsidDel="00000000" w:rsidP="00000000" w:rsidRDefault="00000000" w:rsidRPr="00000000" w14:paraId="0000014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post where President Recep Tayyip ERDOĞAN was caricatured and the President allegedly opened his mouth in Germany-Türkiye relations and money was brought in, 7 Massacres, 537 Deaths, zero resignations, always a publication ban; the post with the words Who is the Murderer?, the post where the President was likened to Adolf Hitler, the leader of the German National Socialist Party known for the Holocaust, the montage post where the President took a photo with children escaping from the explosion, and the post where the statement 'calm down, we will hold a rally to curse terrorism, they will forget everything' was presented as if it was said by the President" (Gercüş Criminal Court of First Instance, Decision numbered 2019/15 Main and 2019/22 Decision)</w:t>
      </w:r>
    </w:p>
    <w:p w:rsidR="00000000" w:rsidDel="00000000" w:rsidP="00000000" w:rsidRDefault="00000000" w:rsidRPr="00000000" w14:paraId="0000014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 Regarding Meetings and Demonstrations </w:t>
      </w:r>
      <w:r w:rsidDel="00000000" w:rsidR="00000000" w:rsidRPr="00000000">
        <w:rPr>
          <w:rtl w:val="0"/>
        </w:rPr>
      </w:r>
    </w:p>
    <w:p w:rsidR="00000000" w:rsidDel="00000000" w:rsidP="00000000" w:rsidRDefault="00000000" w:rsidRPr="00000000" w14:paraId="00000146">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Detentions and Arrests Made Only Due to Halay (folk dance) and Kurdish Songs </w:t>
      </w:r>
    </w:p>
    <w:p w:rsidR="00000000" w:rsidDel="00000000" w:rsidP="00000000" w:rsidRDefault="00000000" w:rsidRPr="00000000" w14:paraId="0000014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series of detention and arrest warrants were issued in 2024 on the grounds that people were dancing halay accompanied by Kurdish music, making the victory sign and chanting certain slogans.</w:t>
      </w:r>
    </w:p>
    <w:p w:rsidR="00000000" w:rsidDel="00000000" w:rsidP="00000000" w:rsidRDefault="00000000" w:rsidRPr="00000000" w14:paraId="0000014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 After a halay video circulated on social media on 22.07.2024, 10 Kurdish youths, who were allegedly making organization propaganda, were detained under psychological torture upon the order of the Mersin Republic Chief Public Prosecutor's Office and the images were served to the press. All of them were arrested by the court they were brought to. The video of the Kurdish youths made by force to listen to song “I’ll die for you my Türkiye” while in the detention vehicle was deliberately put into circulation. The detainees were tortured and ill-treated by being made to stand up against the wall and handcuffed behind their backs during their statements to the prosecutor in the courthouse. During this time, it was seen that law enforcement officers were trying to take footage again, and after the objections and interventions of lawyers who are members of our association, this mistreatment was stopped.</w:t>
      </w:r>
    </w:p>
    <w:p w:rsidR="00000000" w:rsidDel="00000000" w:rsidP="00000000" w:rsidRDefault="00000000" w:rsidRPr="00000000" w14:paraId="0000014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On 26/07/2024, as part of an investigation conducted by the Siirt Public Prosecutor's Office, a mother and her three daughters, one of whom was under the age of 18, were detained in a house raid in Batman province on the grounds that they were dancing the halay and singing along at a wedding. A child was detained in Siirt as part of the same investigation. On 27/07/2024, the mother who was detained was placed under judicial control for not leaving the house, and four people, two of whom were children, were arrested.</w:t>
      </w:r>
    </w:p>
    <w:p w:rsidR="00000000" w:rsidDel="00000000" w:rsidP="00000000" w:rsidRDefault="00000000" w:rsidRPr="00000000" w14:paraId="0000014D">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 On 27/07/2024, 18 people were detained and arrested in İstanbul for dancing the halay to Kurdish music.</w:t>
      </w:r>
    </w:p>
    <w:p w:rsidR="00000000" w:rsidDel="00000000" w:rsidP="00000000" w:rsidRDefault="00000000" w:rsidRPr="00000000" w14:paraId="0000014F">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 On 28 and 29 July 2024, police raided three separate weddings in Hakkari, and the wedding musicians were detained and subsequently arrested for the songs they sang. Some wedding hosts were also detained and arrested for singing along and dancing the halay.</w:t>
      </w:r>
    </w:p>
    <w:p w:rsidR="00000000" w:rsidDel="00000000" w:rsidP="00000000" w:rsidRDefault="00000000" w:rsidRPr="00000000" w14:paraId="0000015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 Young people who made the victory sign by dancing the halay to Kurdish songs at a wedding in Ağrı were unlawfully detained, and the images of torture with handcuffs behind their backs were served to the press by the Ağrı Police Department itself.</w:t>
      </w:r>
    </w:p>
    <w:p w:rsidR="00000000" w:rsidDel="00000000" w:rsidP="00000000" w:rsidRDefault="00000000" w:rsidRPr="00000000" w14:paraId="0000015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 An indictment was prepared against 15 people who were dancing the halay at the Dem Party Candidate Introduction Meeting/Festival on 10/02/2024 in Tunceli province, on the grounds that they were making ‘organization propaganda’, and a prosecution was initiated with the file number 2024/77 at the Tunceli 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High Criminal Court.</w:t>
      </w:r>
    </w:p>
    <w:p w:rsidR="00000000" w:rsidDel="00000000" w:rsidP="00000000" w:rsidRDefault="00000000" w:rsidRPr="00000000" w14:paraId="00000155">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6">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Meetings and Demonstrations Blocked by Provincial Governorships’ Temporary Bans</w:t>
      </w:r>
    </w:p>
    <w:p w:rsidR="00000000" w:rsidDel="00000000" w:rsidP="00000000" w:rsidRDefault="00000000" w:rsidRPr="00000000" w14:paraId="0000015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Upon the call of political parties and civil society organizations, a press release was planned to be held on October 9, 2023 in Diyarbakır Koşuyolu Park with the slogan “Freedom for Abdullah Öcalan, Solution to the Kurdish Problem”. The Diyarbakır Governorship decided to ban the actions and events to be held in the city on the same day and prevented entry and exit to the city. At least two detention vehicles were kept at every point around the park where the Press Release was to be held, and many riot police were on standby. A delegation consisting of lawyers from the ÖHD Diyarbakır Branch made observations in the area and followed the legal process regarding the citizens who were detained illegally. As ÖHD, we reported the rights violations and subsequently filed a criminal complaint against the responsible public officials. The Prosecutor’s Office made a decision that there was no need for investigation. The objection made by the institution was also rejected. In addition to those detained off the record in this press release, 105 people, mostly elderly citizens, were detained on the orders of the Diyarbakır Public Prosecutor's Office on the grounds of committing the crime of Opposition to Law No. 2911.</w:t>
      </w:r>
    </w:p>
    <w:p w:rsidR="00000000" w:rsidDel="00000000" w:rsidP="00000000" w:rsidRDefault="00000000" w:rsidRPr="00000000" w14:paraId="0000015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On 04.10.2022, in the city of Sulaymaniyah in the Iraqi Kurdistan Federal Administration, Kurdish journalist Nagihan AKARSEL, a member of the Jineology Research Center and Jineology Magazine Editorial Board, was murdered in front of her house as a result of an armed attack. A press release was made in Hazal Park in the Ofis district of Diyarbakır against this attack. From the moment the statement began, the crowd, including our members, was surrounded by security forces and arbitrarily intervened. Security forces also intervened with lawyers with shields, tear gas was sprayed at close range, and many of our colleagues and citizens were injured. In conclusion, the crowd, including our colleagues who wanted to exercise their right to organize meetings and demonstrations, was subjected to ill-treatment.</w:t>
      </w:r>
    </w:p>
    <w:p w:rsidR="00000000" w:rsidDel="00000000" w:rsidP="00000000" w:rsidRDefault="00000000" w:rsidRPr="00000000" w14:paraId="0000015B">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 The march that was planned to be held in Diyarbakır after the press statement within the scope of November 25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International Day for the Elimination of Violence against Women was prevented by the security forces and three women, one of whom was elderly, were detained under torture. The women were released after being detained for one night.</w:t>
      </w:r>
    </w:p>
    <w:p w:rsidR="00000000" w:rsidDel="00000000" w:rsidP="00000000" w:rsidRDefault="00000000" w:rsidRPr="00000000" w14:paraId="0000015D">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 For example, On December 24, 2023, after the 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Ordinary Congress of the DEM Party Youth Assembly, the security forces made disproportionate interventions and carried out arbitrary detentions (52 people in total, 5 of whom were children and 15 women). The delegation consisting of lawyers from the Diyarbakır Branch of ÖHD made observations during the congress process and followed the legal process regarding the citizens who were detained illegally and prepared a report. A criminal complaint was filed against the responsible public officials. The Prosecutor's Office made a decision that there was no need for investigation, and we objected to the decision. An objection is pending. During these detentions, it was observed that Mihriban Şorli, who was caught by three law enforcement officers in an unlawful manner, was handcuffed from behind, held by her hair until she was taken to the detention vehicle, pressed on her neck, dragged her face onto the detention bus and beaten. The citizens who were beaten and detained were kept handcuffed in the vehicle for hours and subjected to humiliating treatment. An investigation was launched against the detainees for the crime of propaganda because they chanted slogans and sang songs at the congress, and then a decision was made not to prosecute many of them.</w:t>
      </w:r>
    </w:p>
    <w:p w:rsidR="00000000" w:rsidDel="00000000" w:rsidP="00000000" w:rsidRDefault="00000000" w:rsidRPr="00000000" w14:paraId="0000015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Suggestions</w:t>
      </w:r>
    </w:p>
    <w:p w:rsidR="00000000" w:rsidDel="00000000" w:rsidP="00000000" w:rsidRDefault="00000000" w:rsidRPr="00000000" w14:paraId="00000161">
      <w:pPr>
        <w:spacing w:line="24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 all investigations and lawsuits filed within the scope of freedom of expression and freedom of thought in Turkey, citizens are tried to be kept under a pincer and their right to freedom of expression is tried to be taken away from them through the judiciary. We once again state that work should be carried out within the scope of the Anti-Terror Law, which is still in force in Turkey, and we recommend that all articles of the law that violate and restrict rights and freedoms be abolished.</w:t>
      </w:r>
    </w:p>
    <w:p w:rsidR="00000000" w:rsidDel="00000000" w:rsidP="00000000" w:rsidRDefault="00000000" w:rsidRPr="00000000" w14:paraId="00000162">
      <w:pPr>
        <w:spacing w:line="240" w:lineRule="auto"/>
        <w:jc w:val="both"/>
        <w:rPr>
          <w:rFonts w:ascii="Times New Roman" w:cs="Times New Roman" w:eastAsia="Times New Roman" w:hAnsi="Times New Roman"/>
          <w:sz w:val="24"/>
          <w:szCs w:val="24"/>
        </w:rPr>
      </w:pPr>
      <w:r w:rsidDel="00000000" w:rsidR="00000000" w:rsidRPr="00000000">
        <w:rPr>
          <w:rtl w:val="0"/>
        </w:rPr>
      </w:r>
    </w:p>
    <w:sectPr>
      <w:foot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16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https://hudoc.echr.coe.int/tur#{%22appno%22:[%2231098/05%22],%22documentcollectionid2%22:[%22GRANDCHAMBER%22,%22CHAMBER%22],%22itemid%22:[%22001-99781%22]}</w:t>
      </w:r>
    </w:p>
  </w:footnote>
  <w:footnote w:id="2">
    <w:p w:rsidR="00000000" w:rsidDel="00000000" w:rsidP="00000000" w:rsidRDefault="00000000" w:rsidRPr="00000000" w14:paraId="0000016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Law No. 4771 on Amendments to Various Laws, Date of Adoption: 03.08.2012, Article 1, </w:t>
      </w:r>
      <w:hyperlink r:id="rId1">
        <w:r w:rsidDel="00000000" w:rsidR="00000000" w:rsidRPr="00000000">
          <w:rPr>
            <w:rFonts w:ascii="Times New Roman" w:cs="Times New Roman" w:eastAsia="Times New Roman" w:hAnsi="Times New Roman"/>
            <w:color w:val="0563c1"/>
            <w:sz w:val="20"/>
            <w:szCs w:val="20"/>
            <w:u w:val="single"/>
            <w:rtl w:val="0"/>
          </w:rPr>
          <w:t xml:space="preserve">http://www.resmigazete.gov.tr/eskiler/2002/08/20020809.htm</w:t>
        </w:r>
      </w:hyperlink>
      <w:r w:rsidDel="00000000" w:rsidR="00000000" w:rsidRPr="00000000">
        <w:rPr>
          <w:rFonts w:ascii="Times New Roman" w:cs="Times New Roman" w:eastAsia="Times New Roman" w:hAnsi="Times New Roman"/>
          <w:sz w:val="20"/>
          <w:szCs w:val="20"/>
          <w:rtl w:val="0"/>
        </w:rPr>
        <w:t xml:space="preserve"> </w:t>
      </w:r>
    </w:p>
  </w:footnote>
  <w:footnote w:id="3">
    <w:p w:rsidR="00000000" w:rsidDel="00000000" w:rsidP="00000000" w:rsidRDefault="00000000" w:rsidRPr="00000000" w14:paraId="0000016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ECtHR Grand Chamber, Vinter and others v. United Kingdom Decision, Application No: 66069/09, 130/10, 3896/10, Date :09.07.2013, </w:t>
      </w:r>
      <w:hyperlink r:id="rId2">
        <w:r w:rsidDel="00000000" w:rsidR="00000000" w:rsidRPr="00000000">
          <w:rPr>
            <w:rFonts w:ascii="Times New Roman" w:cs="Times New Roman" w:eastAsia="Times New Roman" w:hAnsi="Times New Roman"/>
            <w:color w:val="0563c1"/>
            <w:sz w:val="20"/>
            <w:szCs w:val="20"/>
            <w:u w:val="single"/>
            <w:rtl w:val="0"/>
          </w:rPr>
          <w:t xml:space="preserve">https://hudoc.echr.coe.int/eng#{%22itemid%22:[%22001-122664%22]}</w:t>
        </w:r>
      </w:hyperlink>
      <w:r w:rsidDel="00000000" w:rsidR="00000000" w:rsidRPr="00000000">
        <w:rPr>
          <w:rFonts w:ascii="Times New Roman" w:cs="Times New Roman" w:eastAsia="Times New Roman" w:hAnsi="Times New Roman"/>
          <w:sz w:val="20"/>
          <w:szCs w:val="20"/>
          <w:rtl w:val="0"/>
        </w:rPr>
        <w:t xml:space="preserve"> , §§ 119-122.</w:t>
      </w:r>
    </w:p>
  </w:footnote>
  <w:footnote w:id="4">
    <w:p w:rsidR="00000000" w:rsidDel="00000000" w:rsidP="00000000" w:rsidRDefault="00000000" w:rsidRPr="00000000" w14:paraId="0000016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ÖCALAN (2), KAYTAN, GURBAN ve BOLTAN vs. Türkiye  (Başvuru No. 24069/03 , 27422/05 ,4947/04, 33056/16) </w:t>
      </w:r>
    </w:p>
  </w:footnote>
  <w:footnote w:id="5">
    <w:p w:rsidR="00000000" w:rsidDel="00000000" w:rsidP="00000000" w:rsidRDefault="00000000" w:rsidRPr="00000000" w14:paraId="00000167">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hyperlink r:id="rId3">
        <w:r w:rsidDel="00000000" w:rsidR="00000000" w:rsidRPr="00000000">
          <w:rPr>
            <w:rFonts w:ascii="Times New Roman" w:cs="Times New Roman" w:eastAsia="Times New Roman" w:hAnsi="Times New Roman"/>
            <w:color w:val="0000ff"/>
            <w:sz w:val="20"/>
            <w:szCs w:val="20"/>
            <w:u w:val="single"/>
            <w:rtl w:val="0"/>
          </w:rPr>
          <w:t xml:space="preserve">http://cisst.org.tr/en/thematic_areas/aggravated-life-sentence/</w:t>
        </w:r>
      </w:hyperlink>
      <w:r w:rsidDel="00000000" w:rsidR="00000000" w:rsidRPr="00000000">
        <w:rPr>
          <w:rFonts w:ascii="Times New Roman" w:cs="Times New Roman" w:eastAsia="Times New Roman" w:hAnsi="Times New Roman"/>
          <w:sz w:val="20"/>
          <w:szCs w:val="20"/>
          <w:rtl w:val="0"/>
        </w:rPr>
        <w:t xml:space="preserve"> </w:t>
      </w:r>
    </w:p>
  </w:footnote>
  <w:footnote w:id="6">
    <w:p w:rsidR="00000000" w:rsidDel="00000000" w:rsidP="00000000" w:rsidRDefault="00000000" w:rsidRPr="00000000" w14:paraId="00000168">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
        <w:r w:rsidDel="00000000" w:rsidR="00000000" w:rsidRPr="00000000">
          <w:rPr>
            <w:rFonts w:ascii="Times New Roman" w:cs="Times New Roman" w:eastAsia="Times New Roman" w:hAnsi="Times New Roman"/>
            <w:color w:val="0000ff"/>
            <w:sz w:val="20"/>
            <w:szCs w:val="20"/>
            <w:u w:val="single"/>
            <w:rtl w:val="0"/>
          </w:rPr>
          <w:t xml:space="preserve">http://cisst.org.tr/en/wp-content/uploads/2020/11/cisst_2019_annual_report_rev08-1.pdf</w:t>
        </w:r>
      </w:hyperlink>
      <w:r w:rsidDel="00000000" w:rsidR="00000000" w:rsidRPr="00000000">
        <w:rPr>
          <w:rFonts w:ascii="Times New Roman" w:cs="Times New Roman" w:eastAsia="Times New Roman" w:hAnsi="Times New Roman"/>
          <w:sz w:val="20"/>
          <w:szCs w:val="20"/>
          <w:rtl w:val="0"/>
        </w:rPr>
        <w:t xml:space="preserve"> </w:t>
      </w:r>
    </w:p>
  </w:footnote>
  <w:footnote w:id="7">
    <w:p w:rsidR="00000000" w:rsidDel="00000000" w:rsidP="00000000" w:rsidRDefault="00000000" w:rsidRPr="00000000" w14:paraId="00000169">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hyperlink r:id="rId5">
        <w:r w:rsidDel="00000000" w:rsidR="00000000" w:rsidRPr="00000000">
          <w:rPr>
            <w:rFonts w:ascii="Times New Roman" w:cs="Times New Roman" w:eastAsia="Times New Roman" w:hAnsi="Times New Roman"/>
            <w:color w:val="0000ff"/>
            <w:sz w:val="20"/>
            <w:szCs w:val="20"/>
            <w:u w:val="single"/>
            <w:rtl w:val="0"/>
          </w:rPr>
          <w:t xml:space="preserve">https://adlisicil.adalet.gov.tr/Resimler/SayfaDokuman/1062020170359HizmeteOzel-2019-bask%C4%B1-%C4%B0SA.pdf</w:t>
        </w:r>
      </w:hyperlink>
      <w:r w:rsidDel="00000000" w:rsidR="00000000" w:rsidRPr="00000000">
        <w:rPr>
          <w:rtl w:val="0"/>
        </w:rPr>
      </w:r>
    </w:p>
  </w:footnote>
  <w:footnote w:id="8">
    <w:p w:rsidR="00000000" w:rsidDel="00000000" w:rsidP="00000000" w:rsidRDefault="00000000" w:rsidRPr="00000000" w14:paraId="0000016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
        <w:r w:rsidDel="00000000" w:rsidR="00000000" w:rsidRPr="00000000">
          <w:rPr>
            <w:rFonts w:ascii="Times New Roman" w:cs="Times New Roman" w:eastAsia="Times New Roman" w:hAnsi="Times New Roman"/>
            <w:color w:val="0563c1"/>
            <w:sz w:val="20"/>
            <w:szCs w:val="20"/>
            <w:u w:val="single"/>
            <w:rtl w:val="0"/>
          </w:rPr>
          <w:t xml:space="preserve">https://rm.coe.int/allegations-of-systemic-torture-and-inhuman-or-degrading-treatment-or-/1680abb0ea</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6B">
      <w:pPr>
        <w:widowControl w:val="0"/>
        <w:rPr>
          <w:rFonts w:ascii="Times New Roman" w:cs="Times New Roman" w:eastAsia="Times New Roman" w:hAnsi="Times New Roman"/>
          <w:sz w:val="20"/>
          <w:szCs w:val="20"/>
        </w:rPr>
      </w:pPr>
      <w:r w:rsidDel="00000000" w:rsidR="00000000" w:rsidRPr="00000000">
        <w:rPr>
          <w:rtl w:val="0"/>
        </w:rPr>
      </w:r>
    </w:p>
  </w:footnote>
  <w:footnote w:id="9">
    <w:p w:rsidR="00000000" w:rsidDel="00000000" w:rsidP="00000000" w:rsidRDefault="00000000" w:rsidRPr="00000000" w14:paraId="0000016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70c0"/>
          <w:sz w:val="20"/>
          <w:szCs w:val="20"/>
          <w:u w:val="single"/>
          <w:rtl w:val="0"/>
        </w:rPr>
        <w:t xml:space="preserve">https://www.coe.int/en/web/cpt/-/council-of-europe-anti-torture-committee-publishes-two-reports-on-Türkiye </w:t>
      </w:r>
      <w:r w:rsidDel="00000000" w:rsidR="00000000" w:rsidRPr="00000000">
        <w:rPr>
          <w:rFonts w:ascii="Times New Roman" w:cs="Times New Roman" w:eastAsia="Times New Roman" w:hAnsi="Times New Roman"/>
          <w:sz w:val="20"/>
          <w:szCs w:val="20"/>
          <w:rtl w:val="0"/>
        </w:rPr>
        <w:t xml:space="preserve">(Paragraph 51) </w:t>
      </w:r>
    </w:p>
  </w:footnote>
  <w:footnote w:id="10">
    <w:p w:rsidR="00000000" w:rsidDel="00000000" w:rsidP="00000000" w:rsidRDefault="00000000" w:rsidRPr="00000000" w14:paraId="0000016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7">
        <w:r w:rsidDel="00000000" w:rsidR="00000000" w:rsidRPr="00000000">
          <w:rPr>
            <w:rFonts w:ascii="Times New Roman" w:cs="Times New Roman" w:eastAsia="Times New Roman" w:hAnsi="Times New Roman"/>
            <w:color w:val="0563c1"/>
            <w:sz w:val="20"/>
            <w:szCs w:val="20"/>
            <w:u w:val="single"/>
            <w:rtl w:val="0"/>
          </w:rPr>
          <w:t xml:space="preserve">https://www.coe.int/en/web/cpt/-/council-of-europe-anti-torture-committee-publishes-two-reports-on-Türkiye</w:t>
        </w:r>
      </w:hyperlink>
      <w:r w:rsidDel="00000000" w:rsidR="00000000" w:rsidRPr="00000000">
        <w:rPr>
          <w:rFonts w:ascii="Times New Roman" w:cs="Times New Roman" w:eastAsia="Times New Roman" w:hAnsi="Times New Roman"/>
          <w:sz w:val="20"/>
          <w:szCs w:val="20"/>
          <w:rtl w:val="0"/>
        </w:rPr>
        <w:t xml:space="preserve">  (Paragraph 47)</w:t>
      </w:r>
    </w:p>
  </w:footnote>
  <w:footnote w:id="11">
    <w:p w:rsidR="00000000" w:rsidDel="00000000" w:rsidP="00000000" w:rsidRDefault="00000000" w:rsidRPr="00000000" w14:paraId="0000016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European Commission for Democracy through Law, Opinion on Articles 216, 299, 301 and 314 of the Turkish Penal Code, 15 March 2016, CDL-AD(2016)002. </w:t>
      </w:r>
    </w:p>
  </w:footnote>
  <w:footnote w:id="12">
    <w:p w:rsidR="00000000" w:rsidDel="00000000" w:rsidP="00000000" w:rsidRDefault="00000000" w:rsidRPr="00000000" w14:paraId="0000016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Similarly, the ECtHR Zülküf Murat Kahraman/Türkiye decision </w:t>
      </w:r>
    </w:p>
  </w:footnote>
  <w:footnote w:id="13">
    <w:p w:rsidR="00000000" w:rsidDel="00000000" w:rsidP="00000000" w:rsidRDefault="00000000" w:rsidRPr="00000000" w14:paraId="0000017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https://www.diyarbakirbarosu.org.tr/public/uploads/document/newroz-kutlamalari-izleme-raporu-1680876370.pdf</w:t>
      </w:r>
    </w:p>
  </w:footnote>
  <w:footnote w:id="14">
    <w:p w:rsidR="00000000" w:rsidDel="00000000" w:rsidP="00000000" w:rsidRDefault="00000000" w:rsidRPr="00000000" w14:paraId="000001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Prosecutor's Office decided that there was no need for investigation regarding all of these applications and the objections made to these decisions were also rejected.</w:t>
      </w:r>
      <w:r w:rsidDel="00000000" w:rsidR="00000000" w:rsidRPr="00000000">
        <w:rPr>
          <w:rtl w:val="0"/>
        </w:rPr>
      </w:r>
    </w:p>
  </w:footnote>
  <w:footnote w:id="15">
    <w:p w:rsidR="00000000" w:rsidDel="00000000" w:rsidP="00000000" w:rsidRDefault="00000000" w:rsidRPr="00000000" w14:paraId="0000017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8">
        <w:r w:rsidDel="00000000" w:rsidR="00000000" w:rsidRPr="00000000">
          <w:rPr>
            <w:rFonts w:ascii="Times New Roman" w:cs="Times New Roman" w:eastAsia="Times New Roman" w:hAnsi="Times New Roman"/>
            <w:color w:val="1155cc"/>
            <w:sz w:val="20"/>
            <w:szCs w:val="20"/>
            <w:u w:val="single"/>
            <w:rtl w:val="0"/>
          </w:rPr>
          <w:t xml:space="preserve">https://ozgurlukicinhukukcular.org/tr/detay/9-ekim-basin-aciklamasi-diyarbakir-hak-ihlalleri-raporu</w:t>
        </w:r>
      </w:hyperlink>
      <w:r w:rsidDel="00000000" w:rsidR="00000000" w:rsidRPr="00000000">
        <w:rPr>
          <w:rtl w:val="0"/>
        </w:rPr>
      </w:r>
    </w:p>
    <w:p w:rsidR="00000000" w:rsidDel="00000000" w:rsidP="00000000" w:rsidRDefault="00000000" w:rsidRPr="00000000" w14:paraId="00000173">
      <w:pPr>
        <w:spacing w:line="240" w:lineRule="auto"/>
        <w:rPr>
          <w:rFonts w:ascii="Times New Roman" w:cs="Times New Roman" w:eastAsia="Times New Roman" w:hAnsi="Times New Roman"/>
          <w:sz w:val="20"/>
          <w:szCs w:val="20"/>
        </w:rPr>
      </w:pPr>
      <w:r w:rsidDel="00000000" w:rsidR="00000000" w:rsidRPr="00000000">
        <w:rPr>
          <w:rtl w:val="0"/>
        </w:rPr>
      </w:r>
    </w:p>
  </w:footnote>
  <w:footnote w:id="16">
    <w:p w:rsidR="00000000" w:rsidDel="00000000" w:rsidP="00000000" w:rsidRDefault="00000000" w:rsidRPr="00000000" w14:paraId="0000017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https://ozgurlukicinhukukcular.org/tr/detay/dem-parti-1-olagan-genclik-kongresi-sonrasi-yapilan-gozalti-izlem-ve-hak-ihlalleri-raporu</w:t>
      </w:r>
    </w:p>
  </w:footnote>
  <w:footnote w:id="17">
    <w:p w:rsidR="00000000" w:rsidDel="00000000" w:rsidP="00000000" w:rsidRDefault="00000000" w:rsidRPr="00000000" w14:paraId="0000017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7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https://www.sanliurfabarosu.org.tr/Detay.aspx?ID=119155</w:t>
      </w:r>
    </w:p>
  </w:footnote>
  <w:footnote w:id="18">
    <w:p w:rsidR="00000000" w:rsidDel="00000000" w:rsidP="00000000" w:rsidRDefault="00000000" w:rsidRPr="00000000" w14:paraId="0000017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https://drive.google.com/file/d/1PDQXC0bd9-ErvHBV9BgPXkHmSXJiQHlO/view?usp=drivesdk </w:t>
      </w:r>
    </w:p>
  </w:footnote>
  <w:footnote w:id="19">
    <w:p w:rsidR="00000000" w:rsidDel="00000000" w:rsidP="00000000" w:rsidRDefault="00000000" w:rsidRPr="00000000" w14:paraId="0000017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Article 14 of the Presidential Decree No. 4773, published in the Official Gazette dated 12.11.2021 and numbered 31657.</w:t>
      </w:r>
    </w:p>
  </w:footnote>
  <w:footnote w:id="20">
    <w:p w:rsidR="00000000" w:rsidDel="00000000" w:rsidP="00000000" w:rsidRDefault="00000000" w:rsidRPr="00000000" w14:paraId="0000017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kararlarbilgibankasi.anayasa.gov.tr</w:t>
      </w:r>
    </w:p>
  </w:footnote>
  <w:footnote w:id="21">
    <w:p w:rsidR="00000000" w:rsidDel="00000000" w:rsidP="00000000" w:rsidRDefault="00000000" w:rsidRPr="00000000" w14:paraId="0000017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https://www.demparti.org.tr/tr/hukuk-ve-insan-haklari-komisyonumuz-s-ve-y-tipi-hapishaneler-kapatilmalidir/20202/</w:t>
      </w:r>
    </w:p>
  </w:footnote>
  <w:footnote w:id="0">
    <w:p w:rsidR="00000000" w:rsidDel="00000000" w:rsidP="00000000" w:rsidRDefault="00000000" w:rsidRPr="00000000" w14:paraId="0000017C">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 https://ozgurlukicinhukukcular.org/tr/menu/tuzuk</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rPr>
      <w:lang w:val="en-GB"/>
    </w:rPr>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1"/>
    <w:tblPr>
      <w:tblStyleRowBandSize w:val="1"/>
      <w:tblStyleColBandSize w:val="1"/>
      <w:tblCellMar>
        <w:top w:w="100.0" w:type="dxa"/>
        <w:left w:w="100.0" w:type="dxa"/>
        <w:bottom w:w="100.0" w:type="dxa"/>
        <w:right w:w="100.0" w:type="dxa"/>
      </w:tblCellMar>
    </w:tblPr>
  </w:style>
  <w:style w:type="character" w:styleId="Hyperlink">
    <w:name w:val="Hyperlink"/>
    <w:basedOn w:val="DefaultParagraphFont"/>
    <w:uiPriority w:val="99"/>
    <w:unhideWhenUsed w:val="1"/>
    <w:rsid w:val="00252519"/>
    <w:rPr>
      <w:color w:val="0000ff" w:themeColor="hyperlink"/>
      <w:u w:val="single"/>
    </w:rPr>
  </w:style>
  <w:style w:type="character" w:styleId="FootnoteReference">
    <w:name w:val="footnote reference"/>
    <w:basedOn w:val="DefaultParagraphFont"/>
    <w:uiPriority w:val="99"/>
    <w:semiHidden w:val="1"/>
    <w:unhideWhenUsed w:val="1"/>
    <w:rsid w:val="00B450E3"/>
    <w:rPr>
      <w:vertAlign w:val="superscript"/>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hyperlink" Target="about:blank" TargetMode="Externa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resmigazete.gov.tr/eskiler/2002/08/20020809.htm" TargetMode="External"/><Relationship Id="rId2" Type="http://schemas.openxmlformats.org/officeDocument/2006/relationships/hyperlink" Target="https://hudoc.echr.coe.int/eng%2523%25257B%252522itemid%252522:%25255B%252522001-122664%252522%25255D%25257D" TargetMode="External"/><Relationship Id="rId3" Type="http://schemas.openxmlformats.org/officeDocument/2006/relationships/hyperlink" Target="http://cisst.org.tr/en/thematic_areas/aggravated-life-sentence/" TargetMode="External"/><Relationship Id="rId4" Type="http://schemas.openxmlformats.org/officeDocument/2006/relationships/hyperlink" Target="http://cisst.org.tr/en/wp-content/uploads/2020/11/cisst_2019_annual_report_rev08-1.pdf" TargetMode="External"/><Relationship Id="rId5" Type="http://schemas.openxmlformats.org/officeDocument/2006/relationships/hyperlink" Target="https://adlisicil.adalet.gov.tr/Resimler/SayfaDokuman/1062020170359HizmeteOzel-2019-bask%2525C4%2525B1-%2525C4%2525B0SA.pdf" TargetMode="External"/><Relationship Id="rId6" Type="http://schemas.openxmlformats.org/officeDocument/2006/relationships/hyperlink" Target="https://rm.coe.int/allegations-of-systemic-torture-and-inhuman-or-degrading-treatment-or-/1680abb0ea" TargetMode="External"/><Relationship Id="rId7" Type="http://schemas.openxmlformats.org/officeDocument/2006/relationships/hyperlink" Target="https://www.coe.int/en/web/cpt/-/council-of-europe-anti-torture-committee-publishes-two-reports-on-turkey" TargetMode="External"/><Relationship Id="rId8" Type="http://schemas.openxmlformats.org/officeDocument/2006/relationships/hyperlink" Target="https://ozgurlukicinhukukcular.org/tr/detay/9-ekim-basin-aciklamasi-diyarbakir-hak-ihlalleri-rap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bIJkoNaARBBtSMvSlpatXRrIgQ==">CgMxLjAyCGguZ2pkZ3hzMgloLjMwajB6bGwyCWguNGQzNG9nODgAciExckszNW9tTmh6di1LSEtyQTdYNzdjRTd0MFpSNlpiU2Q=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1A53C47-EFFF-4E59-ACB6-AAEA5C9A5F87}"/>
</file>

<file path=customXML/itemProps3.xml><?xml version="1.0" encoding="utf-8"?>
<ds:datastoreItem xmlns:ds="http://schemas.openxmlformats.org/officeDocument/2006/customXml" ds:itemID="{19116731-2C34-4450-9C72-0D4A7D847D7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2024-09-15T19:07:00Z</dcterms:created>
  <dc:creator>User</dc:creator>
</cp:coreProperties>
</file>