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75CB" w:rsidRPr="00D62AA4" w:rsidRDefault="006975CB" w:rsidP="006975CB">
      <w:pPr>
        <w:rPr>
          <w:rStyle w:val="d2edcug0"/>
          <w:rFonts w:ascii="Verdana" w:hAnsi="Verdana"/>
        </w:rPr>
      </w:pPr>
      <w:bookmarkStart w:id="0" w:name="_GoBack"/>
      <w:bookmarkEnd w:id="0"/>
    </w:p>
    <w:p w:rsidR="006975CB" w:rsidRPr="00D62AA4" w:rsidRDefault="006975CB" w:rsidP="006975CB">
      <w:pPr>
        <w:rPr>
          <w:rStyle w:val="d2edcug0"/>
          <w:rFonts w:ascii="Verdana" w:hAnsi="Verdana"/>
        </w:rPr>
      </w:pPr>
    </w:p>
    <w:p w:rsidR="00180EB8" w:rsidRPr="00D62AA4" w:rsidRDefault="005419E4" w:rsidP="004A4555">
      <w:pPr>
        <w:pStyle w:val="Heading1"/>
        <w:numPr>
          <w:ilvl w:val="0"/>
          <w:numId w:val="9"/>
        </w:numPr>
      </w:pPr>
      <w:r w:rsidRPr="00D62AA4">
        <w:t xml:space="preserve">NHRI institution: </w:t>
      </w:r>
      <w:r w:rsidR="00180EB8" w:rsidRPr="00D62AA4">
        <w:t xml:space="preserve">Report of the Global Alliance of National Human Rights Institutions (GANHRI) </w:t>
      </w:r>
    </w:p>
    <w:p w:rsidR="005419E4" w:rsidRPr="00D62AA4" w:rsidRDefault="005419E4" w:rsidP="00180EB8">
      <w:pPr>
        <w:rPr>
          <w:rFonts w:ascii="Verdana" w:hAnsi="Verdana" w:cs="Calibri"/>
        </w:rPr>
      </w:pPr>
    </w:p>
    <w:p w:rsidR="00180EB8" w:rsidRPr="00D62AA4" w:rsidRDefault="00180EB8" w:rsidP="00180EB8">
      <w:pPr>
        <w:rPr>
          <w:rFonts w:ascii="Verdana" w:hAnsi="Verdana" w:cs="Calibri"/>
        </w:rPr>
      </w:pPr>
      <w:r w:rsidRPr="00D62AA4">
        <w:rPr>
          <w:rFonts w:ascii="Verdana" w:hAnsi="Verdana" w:cs="Calibri"/>
        </w:rPr>
        <w:t xml:space="preserve">In its 2021 session, the GANHRI </w:t>
      </w:r>
      <w:r w:rsidR="00907BE5" w:rsidRPr="00D62AA4">
        <w:rPr>
          <w:rFonts w:ascii="Verdana" w:hAnsi="Verdana" w:cs="Calibri"/>
        </w:rPr>
        <w:t>S</w:t>
      </w:r>
      <w:r w:rsidRPr="00D62AA4">
        <w:rPr>
          <w:rFonts w:ascii="Verdana" w:hAnsi="Verdana" w:cs="Calibri"/>
        </w:rPr>
        <w:t>ub-Committee on Accreditation (SCA) has decided to defer the review of the Cyprus Ombudsperson as NHRI for 18 months.</w:t>
      </w:r>
      <w:r w:rsidRPr="00D62AA4">
        <w:rPr>
          <w:rStyle w:val="FootnoteReference"/>
          <w:rFonts w:ascii="Verdana" w:hAnsi="Verdana" w:cs="Calibri"/>
        </w:rPr>
        <w:footnoteReference w:id="1"/>
      </w:r>
      <w:r w:rsidRPr="00D62AA4">
        <w:rPr>
          <w:rFonts w:ascii="Verdana" w:hAnsi="Verdana" w:cs="Calibri"/>
        </w:rPr>
        <w:t xml:space="preserve"> The deferral of accreditation relied on the following issues of concern:</w:t>
      </w:r>
    </w:p>
    <w:p w:rsidR="00180EB8" w:rsidRPr="00D62AA4" w:rsidRDefault="00180EB8" w:rsidP="00180EB8">
      <w:pPr>
        <w:pStyle w:val="FRABodyText"/>
        <w:numPr>
          <w:ilvl w:val="0"/>
          <w:numId w:val="4"/>
        </w:numPr>
        <w:rPr>
          <w:lang w:eastAsia="en-US"/>
        </w:rPr>
      </w:pPr>
      <w:r w:rsidRPr="00D62AA4">
        <w:rPr>
          <w:lang w:eastAsia="en-US"/>
        </w:rPr>
        <w:t>The current framework for the appointment of the Ombudsperson is not sufficiently broad and transparent in that it does not require the advertisement of vacancies, it does not establish clear and inform criteria to assess the merit of eligible candidates, it does not promote broad consultation or participation in the application, screening, selection or appointment process, stressing that a process ensuring merit-based selection is necessary to safeguard the independence of and public confidence in the leadership of the NHRI. The Committee encouraged the Ombudsperson to advocate for a process that publicises vacancies broadly, maximises the number of potential candidates from a wide range of societal groups and educational qualifications, promotes broad consultation and participation in the application and appointment process, assesses applicants on the basis of objective and transparent criteria and selects members to serve in their individual capacity rather than in the capacity of the organisation they represent.</w:t>
      </w:r>
    </w:p>
    <w:p w:rsidR="00180EB8" w:rsidRPr="00D62AA4" w:rsidRDefault="00180EB8" w:rsidP="00180EB8">
      <w:pPr>
        <w:pStyle w:val="FRABodyText"/>
        <w:numPr>
          <w:ilvl w:val="0"/>
          <w:numId w:val="4"/>
        </w:numPr>
        <w:rPr>
          <w:lang w:eastAsia="en-US"/>
        </w:rPr>
      </w:pPr>
      <w:r w:rsidRPr="00D62AA4">
        <w:rPr>
          <w:lang w:eastAsia="en-US"/>
        </w:rPr>
        <w:t>The Ombudsperson lacks the power to investigate complaints against a number of public officials, including the President, the Attorney General, the Auditor General, the Central Bank Governor, the Public Service Commission and ministers in relation to actions of government policy.</w:t>
      </w:r>
    </w:p>
    <w:p w:rsidR="00180EB8" w:rsidRPr="00D62AA4" w:rsidRDefault="00180EB8" w:rsidP="00180EB8">
      <w:pPr>
        <w:pStyle w:val="FRABodyText"/>
        <w:numPr>
          <w:ilvl w:val="0"/>
          <w:numId w:val="4"/>
        </w:numPr>
        <w:rPr>
          <w:lang w:eastAsia="en-US"/>
        </w:rPr>
      </w:pPr>
      <w:r w:rsidRPr="00D62AA4">
        <w:rPr>
          <w:lang w:eastAsia="en-US"/>
        </w:rPr>
        <w:t xml:space="preserve">The budgetary arrangements of the Ombudsperson’s office must be approved by the Minister of Finance. The Committee recommends that the Ombudsperson must have the power to allocate funding according to its priorities and must have adequate funding to fulfill its mandate; where the NHRI is designated with additional responsibilities, then additional financial resources must be provided to enable it to discharge these functions. </w:t>
      </w:r>
    </w:p>
    <w:p w:rsidR="00180EB8" w:rsidRPr="00D62AA4" w:rsidRDefault="00180EB8" w:rsidP="00180EB8">
      <w:pPr>
        <w:pStyle w:val="FRABodyText"/>
        <w:numPr>
          <w:ilvl w:val="0"/>
          <w:numId w:val="4"/>
        </w:numPr>
        <w:rPr>
          <w:lang w:eastAsia="en-US"/>
        </w:rPr>
      </w:pPr>
      <w:r w:rsidRPr="00D62AA4">
        <w:rPr>
          <w:lang w:eastAsia="en-US"/>
        </w:rPr>
        <w:t>There is no legal requirement that Ombuds staff members should be representative of the diverse segments of society, to enable it to effectively engage with such segments. The Committee encouraged the Ombudsperson to advocate for a requirement that staff members should reflect the principle of pluralism, particularly as regards gender, ethnicity and minority status.</w:t>
      </w:r>
    </w:p>
    <w:p w:rsidR="00180EB8" w:rsidRPr="00D62AA4" w:rsidRDefault="00180EB8" w:rsidP="00180EB8">
      <w:pPr>
        <w:pStyle w:val="FRABodyText"/>
        <w:numPr>
          <w:ilvl w:val="0"/>
          <w:numId w:val="4"/>
        </w:numPr>
        <w:rPr>
          <w:lang w:eastAsia="en-US"/>
        </w:rPr>
      </w:pPr>
      <w:r w:rsidRPr="00D62AA4">
        <w:rPr>
          <w:lang w:eastAsia="en-US"/>
        </w:rPr>
        <w:t xml:space="preserve">The law provides that the Ombudsperson’s term is six years but is silent on the number of times that the same person can be re-appointed, thus opening the possibility of unlimited tenure. The Committee suggested that the Ombudsperson advocates for a limit of maximum one re-appointment. </w:t>
      </w:r>
    </w:p>
    <w:p w:rsidR="00180EB8" w:rsidRPr="00D62AA4" w:rsidRDefault="00180EB8" w:rsidP="006975CB">
      <w:pPr>
        <w:rPr>
          <w:rStyle w:val="d2edcug0"/>
          <w:rFonts w:ascii="Verdana" w:hAnsi="Verdana"/>
        </w:rPr>
      </w:pPr>
    </w:p>
    <w:p w:rsidR="00907BE5" w:rsidRPr="00D62AA4" w:rsidRDefault="00907BE5" w:rsidP="00907BE5">
      <w:pPr>
        <w:rPr>
          <w:rStyle w:val="d2edcug0"/>
          <w:rFonts w:ascii="Verdana" w:hAnsi="Verdana"/>
        </w:rPr>
      </w:pPr>
      <w:r w:rsidRPr="00D62AA4">
        <w:rPr>
          <w:rStyle w:val="d2edcug0"/>
          <w:rFonts w:ascii="Verdana" w:hAnsi="Verdana"/>
        </w:rPr>
        <w:lastRenderedPageBreak/>
        <w:t xml:space="preserve">On 9 May 2022, the Attorney General brought a bill to parliament seeking to implement only the last of the recommendations of SCA, claiming that such an amendment to the law would bring the law in line with the </w:t>
      </w:r>
      <w:hyperlink r:id="rId8" w:history="1">
        <w:r w:rsidRPr="00D62AA4">
          <w:rPr>
            <w:rStyle w:val="Hyperlink"/>
            <w:rFonts w:ascii="Verdana" w:hAnsi="Verdana"/>
          </w:rPr>
          <w:t>Venice Principles</w:t>
        </w:r>
      </w:hyperlink>
      <w:r w:rsidRPr="00D62AA4">
        <w:rPr>
          <w:rStyle w:val="d2edcug0"/>
          <w:rFonts w:ascii="Verdana" w:hAnsi="Verdana"/>
        </w:rPr>
        <w:t>. The bill ignored a number of Venice Principles which are not complied with by the law on the Ombudsman including the following:</w:t>
      </w:r>
    </w:p>
    <w:p w:rsidR="00907BE5" w:rsidRPr="00D62AA4" w:rsidRDefault="00907BE5" w:rsidP="00907BE5">
      <w:pPr>
        <w:rPr>
          <w:rStyle w:val="d2edcug0"/>
          <w:rFonts w:ascii="Verdana" w:hAnsi="Verdana"/>
        </w:rPr>
      </w:pPr>
    </w:p>
    <w:p w:rsidR="00907BE5" w:rsidRPr="00D62AA4" w:rsidRDefault="00907BE5" w:rsidP="00D62AA4">
      <w:pPr>
        <w:ind w:left="720"/>
        <w:rPr>
          <w:rFonts w:ascii="Verdana" w:hAnsi="Verdana"/>
          <w:i/>
        </w:rPr>
      </w:pPr>
      <w:r w:rsidRPr="00D62AA4">
        <w:rPr>
          <w:rFonts w:ascii="Verdana" w:hAnsi="Verdana"/>
          <w:i/>
        </w:rPr>
        <w:t>“ 6. The Ombudsman shall be elected or appointed according to procedures strengthening to the highest possible extent the authority, impartiality, independence and legitimacy of the Institution. The Ombudsman shall preferably be elected by Parliament by an appropriate qualified majority.</w:t>
      </w:r>
    </w:p>
    <w:p w:rsidR="00907BE5" w:rsidRPr="00D62AA4" w:rsidRDefault="00907BE5" w:rsidP="00D62AA4">
      <w:pPr>
        <w:ind w:left="720"/>
        <w:rPr>
          <w:rFonts w:ascii="Verdana" w:hAnsi="Verdana"/>
          <w:i/>
        </w:rPr>
      </w:pPr>
      <w:r w:rsidRPr="00D62AA4">
        <w:rPr>
          <w:rFonts w:ascii="Verdana" w:hAnsi="Verdana"/>
          <w:i/>
        </w:rPr>
        <w:t xml:space="preserve">7. The procedure for selection of candidates shall include a public call and be public, transparent, merit based, objective, and provided for by the law. </w:t>
      </w:r>
    </w:p>
    <w:p w:rsidR="00907BE5" w:rsidRPr="00D62AA4" w:rsidRDefault="00907BE5" w:rsidP="00D62AA4">
      <w:pPr>
        <w:ind w:left="720"/>
        <w:rPr>
          <w:rFonts w:ascii="Verdana" w:hAnsi="Verdana"/>
          <w:i/>
        </w:rPr>
      </w:pPr>
      <w:r w:rsidRPr="00D62AA4">
        <w:rPr>
          <w:rFonts w:ascii="Verdana" w:hAnsi="Verdana"/>
          <w:i/>
        </w:rPr>
        <w:t>8. The criteria for being appointed Ombudsman shall be sufficiently broad as to encourage a wide range of suitable candidates. The essential criteria are high moral character, integrity and appropriate professional expertise and experience, including in the field of human rights and fundamental freedoms.”</w:t>
      </w:r>
    </w:p>
    <w:p w:rsidR="00180EB8" w:rsidRPr="00D62AA4" w:rsidRDefault="00180EB8" w:rsidP="00D62AA4">
      <w:pPr>
        <w:ind w:left="720"/>
        <w:rPr>
          <w:rStyle w:val="d2edcug0"/>
          <w:rFonts w:ascii="Verdana" w:hAnsi="Verdana"/>
          <w:i/>
        </w:rPr>
      </w:pPr>
    </w:p>
    <w:p w:rsidR="00D62AA4" w:rsidRPr="00D62AA4" w:rsidRDefault="00D62AA4" w:rsidP="00D62AA4">
      <w:pPr>
        <w:rPr>
          <w:rFonts w:ascii="Verdana" w:eastAsia="Times New Roman" w:hAnsi="Verdana" w:cs="Calibri"/>
        </w:rPr>
      </w:pPr>
      <w:r w:rsidRPr="00D62AA4">
        <w:rPr>
          <w:rFonts w:ascii="Verdana" w:eastAsia="Times New Roman" w:hAnsi="Verdana" w:cs="Arial"/>
          <w:iCs/>
          <w:lang w:eastAsia="en-GB"/>
        </w:rPr>
        <w:t>According to the Ombudsman law, the only requirements needed for a person to be appointed as Ombudsman are to be aged 35+, to be of ‘recognised education and experience’ and of ‘highest moral standard’;</w:t>
      </w:r>
      <w:r w:rsidRPr="00D62AA4">
        <w:rPr>
          <w:rFonts w:ascii="Verdana" w:eastAsia="Times New Roman" w:hAnsi="Verdana" w:cs="Calibri"/>
        </w:rPr>
        <w:t xml:space="preserve"> contrary to the Venice Principles, no human rights expertise is required</w:t>
      </w:r>
      <w:r w:rsidRPr="00D62AA4">
        <w:rPr>
          <w:rFonts w:ascii="Verdana" w:eastAsia="Times New Roman" w:hAnsi="Verdana" w:cs="Arial"/>
          <w:iCs/>
          <w:lang w:eastAsia="en-GB"/>
        </w:rPr>
        <w:t>.</w:t>
      </w:r>
      <w:r w:rsidRPr="00D62AA4">
        <w:rPr>
          <w:rFonts w:ascii="Verdana" w:eastAsia="Times New Roman" w:hAnsi="Verdana" w:cs="Arial"/>
          <w:iCs/>
          <w:vertAlign w:val="superscript"/>
          <w:lang w:eastAsia="en-GB"/>
        </w:rPr>
        <w:footnoteReference w:id="2"/>
      </w:r>
      <w:r w:rsidRPr="00D62AA4">
        <w:rPr>
          <w:rFonts w:ascii="Verdana" w:eastAsia="Times New Roman" w:hAnsi="Verdana" w:cs="Arial"/>
          <w:iCs/>
          <w:lang w:eastAsia="en-GB"/>
        </w:rPr>
        <w:t xml:space="preserve"> Furthermore, the appointment procedure foreseen in the </w:t>
      </w:r>
      <w:r w:rsidRPr="00D62AA4">
        <w:rPr>
          <w:rFonts w:ascii="Verdana" w:eastAsia="Times New Roman" w:hAnsi="Verdana" w:cs="Calibri"/>
        </w:rPr>
        <w:t xml:space="preserve">Ombudsman law provides for selection of a candidate by the President of the Republic without a public call and as such the law does not comply with the Venice Principles, which require </w:t>
      </w:r>
      <w:r w:rsidRPr="00D62AA4">
        <w:rPr>
          <w:rFonts w:ascii="Verdana" w:eastAsia="Times New Roman" w:hAnsi="Verdana" w:cs="Times New Roman"/>
        </w:rPr>
        <w:t>a public call and criteria to encourage a wide range of suitable candidates with human rights expertise.</w:t>
      </w:r>
      <w:r w:rsidRPr="00D62AA4">
        <w:rPr>
          <w:rFonts w:ascii="Verdana" w:eastAsia="Times New Roman" w:hAnsi="Verdana" w:cs="Times New Roman"/>
          <w:vertAlign w:val="superscript"/>
        </w:rPr>
        <w:footnoteReference w:id="3"/>
      </w:r>
      <w:r w:rsidRPr="00D62AA4">
        <w:rPr>
          <w:rFonts w:ascii="Verdana" w:eastAsia="Times New Roman" w:hAnsi="Verdana" w:cs="Times New Roman"/>
        </w:rPr>
        <w:t xml:space="preserve"> </w:t>
      </w:r>
      <w:r w:rsidRPr="00D62AA4">
        <w:rPr>
          <w:rFonts w:ascii="Verdana" w:eastAsia="Times New Roman" w:hAnsi="Verdana" w:cs="Arial"/>
          <w:iCs/>
          <w:lang w:eastAsia="en-GB"/>
        </w:rPr>
        <w:t>The law setting up the Equality Body did not set any additional eligibility conditions as regards the expertise or independence of the person who would serve as head of the Equality Body. According to the legal framework, there is no need for the head of the Equality Body to have any equality-related expertise or experience.</w:t>
      </w:r>
      <w:r w:rsidRPr="00D62AA4">
        <w:rPr>
          <w:rFonts w:ascii="Verdana" w:eastAsia="Times New Roman" w:hAnsi="Verdana" w:cs="Calibri"/>
        </w:rPr>
        <w:t xml:space="preserve"> </w:t>
      </w:r>
    </w:p>
    <w:p w:rsidR="00180EB8" w:rsidRPr="00D62AA4" w:rsidRDefault="00907BE5" w:rsidP="006975CB">
      <w:pPr>
        <w:rPr>
          <w:rStyle w:val="d2edcug0"/>
          <w:rFonts w:ascii="Verdana" w:hAnsi="Verdana"/>
        </w:rPr>
      </w:pPr>
      <w:r w:rsidRPr="00D62AA4">
        <w:rPr>
          <w:rStyle w:val="d2edcug0"/>
          <w:rFonts w:ascii="Verdana" w:hAnsi="Verdana"/>
          <w:lang w:val="el-GR"/>
        </w:rPr>
        <w:t>Τ</w:t>
      </w:r>
      <w:r w:rsidRPr="00D62AA4">
        <w:rPr>
          <w:rStyle w:val="d2edcug0"/>
          <w:rFonts w:ascii="Verdana" w:hAnsi="Verdana"/>
        </w:rPr>
        <w:t xml:space="preserve">he appointment of the current ombudsman in 2017 was seen by media and civil society as controversial, because her lack of human rights expertise as well as her ties to a large </w:t>
      </w:r>
      <w:r w:rsidR="00D62AA4" w:rsidRPr="00D62AA4">
        <w:rPr>
          <w:rStyle w:val="d2edcug0"/>
          <w:rFonts w:ascii="Verdana" w:hAnsi="Verdana"/>
        </w:rPr>
        <w:t xml:space="preserve">pro-government </w:t>
      </w:r>
      <w:r w:rsidRPr="00D62AA4">
        <w:rPr>
          <w:rStyle w:val="d2edcug0"/>
          <w:rFonts w:ascii="Verdana" w:hAnsi="Verdana"/>
        </w:rPr>
        <w:t>media outlet that was instrumental in the election of the Pre</w:t>
      </w:r>
      <w:r w:rsidR="00D62AA4" w:rsidRPr="00D62AA4">
        <w:rPr>
          <w:rStyle w:val="d2edcug0"/>
          <w:rFonts w:ascii="Verdana" w:hAnsi="Verdana"/>
        </w:rPr>
        <w:t>sident of the Republic in 2018.</w:t>
      </w:r>
      <w:r w:rsidR="00D62AA4" w:rsidRPr="00D62AA4">
        <w:rPr>
          <w:rStyle w:val="FootnoteReference"/>
          <w:rFonts w:ascii="Verdana" w:hAnsi="Verdana"/>
        </w:rPr>
        <w:footnoteReference w:id="4"/>
      </w:r>
    </w:p>
    <w:p w:rsidR="00180EB8" w:rsidRPr="00D62AA4" w:rsidRDefault="00180EB8" w:rsidP="006975CB">
      <w:pPr>
        <w:rPr>
          <w:rStyle w:val="d2edcug0"/>
          <w:rFonts w:ascii="Verdana" w:hAnsi="Verdana"/>
        </w:rPr>
      </w:pPr>
    </w:p>
    <w:p w:rsidR="00D62AA4" w:rsidRPr="00D62AA4" w:rsidRDefault="00D62AA4" w:rsidP="006975CB">
      <w:pPr>
        <w:rPr>
          <w:rStyle w:val="d2edcug0"/>
          <w:rFonts w:ascii="Verdana" w:hAnsi="Verdana"/>
        </w:rPr>
      </w:pPr>
      <w:r w:rsidRPr="00D62AA4">
        <w:rPr>
          <w:rFonts w:ascii="Verdana" w:eastAsia="Times New Roman" w:hAnsi="Verdana" w:cs="Arial"/>
        </w:rPr>
        <w:t xml:space="preserve">Since 2017, when the current Ombudsman took over the Equality Body, the institution no longer examines complaints submitted by persons other than the </w:t>
      </w:r>
      <w:r w:rsidRPr="00D62AA4">
        <w:rPr>
          <w:rFonts w:ascii="Verdana" w:eastAsia="Times New Roman" w:hAnsi="Verdana" w:cs="Arial"/>
        </w:rPr>
        <w:lastRenderedPageBreak/>
        <w:t>victims themselves,</w:t>
      </w:r>
      <w:r w:rsidRPr="00D62AA4">
        <w:rPr>
          <w:rFonts w:ascii="Verdana" w:eastAsia="Times New Roman" w:hAnsi="Verdana" w:cs="Times New Roman"/>
          <w:vertAlign w:val="superscript"/>
        </w:rPr>
        <w:footnoteReference w:id="5"/>
      </w:r>
      <w:r w:rsidRPr="00D62AA4">
        <w:rPr>
          <w:rFonts w:ascii="Verdana" w:eastAsia="Times New Roman" w:hAnsi="Verdana" w:cs="Arial"/>
        </w:rPr>
        <w:t xml:space="preserve"> the anti-discrimination acquis is not utilised and the statistical record is fragmented and poor.</w:t>
      </w:r>
    </w:p>
    <w:p w:rsidR="00D62AA4" w:rsidRPr="00D62AA4" w:rsidRDefault="00D62AA4" w:rsidP="006975CB">
      <w:pPr>
        <w:rPr>
          <w:rStyle w:val="d2edcug0"/>
          <w:rFonts w:ascii="Verdana" w:hAnsi="Verdana"/>
        </w:rPr>
      </w:pPr>
    </w:p>
    <w:p w:rsidR="00D62AA4" w:rsidRPr="00D62AA4" w:rsidRDefault="00D62AA4" w:rsidP="006975CB">
      <w:pPr>
        <w:rPr>
          <w:rStyle w:val="d2edcug0"/>
          <w:rFonts w:ascii="Verdana" w:hAnsi="Verdana"/>
        </w:rPr>
      </w:pPr>
    </w:p>
    <w:p w:rsidR="006975CB" w:rsidRPr="00D62AA4" w:rsidRDefault="006975CB" w:rsidP="004A4555">
      <w:pPr>
        <w:pStyle w:val="Heading1"/>
        <w:numPr>
          <w:ilvl w:val="0"/>
          <w:numId w:val="9"/>
        </w:numPr>
      </w:pPr>
      <w:r w:rsidRPr="00D62AA4">
        <w:t>National strategy on human rights</w:t>
      </w:r>
      <w:r w:rsidR="004A4555">
        <w:t>/ National action plan on human rights / national migrant integration plan</w:t>
      </w:r>
      <w:r w:rsidRPr="00D62AA4">
        <w:t xml:space="preserve">: </w:t>
      </w:r>
    </w:p>
    <w:p w:rsidR="004A4555" w:rsidRDefault="004A4555" w:rsidP="006975CB">
      <w:pPr>
        <w:rPr>
          <w:rFonts w:ascii="Verdana" w:hAnsi="Verdana"/>
        </w:rPr>
      </w:pPr>
    </w:p>
    <w:p w:rsidR="006975CB" w:rsidRDefault="006975CB" w:rsidP="006975CB">
      <w:pPr>
        <w:rPr>
          <w:rFonts w:ascii="Verdana" w:hAnsi="Verdana"/>
        </w:rPr>
      </w:pPr>
      <w:r w:rsidRPr="00D62AA4">
        <w:rPr>
          <w:rFonts w:ascii="Verdana" w:hAnsi="Verdana"/>
        </w:rPr>
        <w:t xml:space="preserve">In June 2021, the </w:t>
      </w:r>
      <w:hyperlink r:id="rId9" w:history="1">
        <w:r w:rsidRPr="00D62AA4">
          <w:rPr>
            <w:rStyle w:val="Hyperlink"/>
            <w:rFonts w:ascii="Verdana" w:hAnsi="Verdana"/>
          </w:rPr>
          <w:t>Council of Ministers approved</w:t>
        </w:r>
      </w:hyperlink>
      <w:r w:rsidRPr="00D62AA4">
        <w:rPr>
          <w:rFonts w:ascii="Verdana" w:hAnsi="Verdana"/>
        </w:rPr>
        <w:t xml:space="preserve"> the National Strategy for Protection and Promotion of Human Rights and authorised the Justice Minister to compile, in collaboration with the Law Department of the University of Cyprus, the first National Action Plan pursuant to the strategy. At the time of writing, no progress was made in compiling the action plan, sparking complaints from parliamentarians.</w:t>
      </w:r>
      <w:r w:rsidRPr="00D62AA4">
        <w:rPr>
          <w:rStyle w:val="FootnoteReference"/>
          <w:rFonts w:ascii="Verdana" w:hAnsi="Verdana"/>
        </w:rPr>
        <w:footnoteReference w:id="6"/>
      </w:r>
    </w:p>
    <w:p w:rsidR="004A4555" w:rsidRDefault="004A4555" w:rsidP="006975CB">
      <w:pPr>
        <w:rPr>
          <w:rFonts w:ascii="Verdana" w:hAnsi="Verdana"/>
        </w:rPr>
      </w:pPr>
    </w:p>
    <w:p w:rsidR="004A4555" w:rsidRPr="00D62AA4" w:rsidRDefault="004A4555" w:rsidP="006975CB">
      <w:pPr>
        <w:rPr>
          <w:rFonts w:ascii="Verdana" w:hAnsi="Verdana"/>
        </w:rPr>
      </w:pPr>
      <w:r>
        <w:rPr>
          <w:rFonts w:ascii="Verdana" w:hAnsi="Verdana"/>
        </w:rPr>
        <w:t xml:space="preserve">A </w:t>
      </w:r>
      <w:hyperlink r:id="rId10" w:history="1">
        <w:r w:rsidRPr="004A4555">
          <w:rPr>
            <w:rStyle w:val="Hyperlink"/>
            <w:rFonts w:ascii="Verdana" w:hAnsi="Verdana"/>
          </w:rPr>
          <w:t>migrant integration plan</w:t>
        </w:r>
      </w:hyperlink>
      <w:r>
        <w:rPr>
          <w:rFonts w:ascii="Verdana" w:hAnsi="Verdana"/>
        </w:rPr>
        <w:t xml:space="preserve"> compiled using EU funds is also awaiting approval from the Council of Ministers since its final draft was presented in 2020.</w:t>
      </w:r>
    </w:p>
    <w:p w:rsidR="006975CB" w:rsidRPr="00D62AA4" w:rsidRDefault="006975CB" w:rsidP="006975CB">
      <w:pPr>
        <w:rPr>
          <w:rFonts w:ascii="Verdana" w:hAnsi="Verdana"/>
        </w:rPr>
      </w:pPr>
    </w:p>
    <w:p w:rsidR="006975CB" w:rsidRPr="004A4555" w:rsidRDefault="006975CB" w:rsidP="004A4555">
      <w:pPr>
        <w:pStyle w:val="Heading1"/>
        <w:numPr>
          <w:ilvl w:val="0"/>
          <w:numId w:val="9"/>
        </w:numPr>
      </w:pPr>
      <w:r w:rsidRPr="004A4555">
        <w:t>Right to health: Covid-19 vaccine roll-out leads to indirect discrimination against Union nationals</w:t>
      </w:r>
    </w:p>
    <w:p w:rsidR="004A4555" w:rsidRDefault="004A4555" w:rsidP="006975CB">
      <w:pPr>
        <w:shd w:val="clear" w:color="auto" w:fill="FFFFFF"/>
        <w:spacing w:after="255"/>
        <w:textAlignment w:val="baseline"/>
        <w:rPr>
          <w:rFonts w:ascii="Verdana" w:eastAsia="Times New Roman" w:hAnsi="Verdana" w:cs="Times New Roman"/>
          <w:color w:val="111111"/>
          <w:lang w:eastAsia="en-GB"/>
        </w:rPr>
      </w:pPr>
    </w:p>
    <w:p w:rsidR="006975CB" w:rsidRPr="00D62AA4" w:rsidRDefault="006975CB" w:rsidP="006975CB">
      <w:pPr>
        <w:shd w:val="clear" w:color="auto" w:fill="FFFFFF"/>
        <w:spacing w:after="255"/>
        <w:textAlignment w:val="baseline"/>
        <w:rPr>
          <w:rFonts w:ascii="Verdana" w:hAnsi="Verdana"/>
        </w:rPr>
      </w:pPr>
      <w:r w:rsidRPr="00D62AA4">
        <w:rPr>
          <w:rFonts w:ascii="Verdana" w:eastAsia="Times New Roman" w:hAnsi="Verdana" w:cs="Times New Roman"/>
          <w:color w:val="111111"/>
          <w:lang w:eastAsia="en-GB"/>
        </w:rPr>
        <w:t>When the Covid-19 vaccination program started to be implemented, at the beginning of 2021 and up until July</w:t>
      </w:r>
      <w:r w:rsidR="004A4555">
        <w:rPr>
          <w:rFonts w:ascii="Verdana" w:eastAsia="Times New Roman" w:hAnsi="Verdana" w:cs="Times New Roman"/>
          <w:color w:val="111111"/>
          <w:lang w:eastAsia="en-GB"/>
        </w:rPr>
        <w:t xml:space="preserve"> 2021</w:t>
      </w:r>
      <w:r w:rsidRPr="00D62AA4">
        <w:rPr>
          <w:rFonts w:ascii="Verdana" w:eastAsia="Times New Roman" w:hAnsi="Verdana" w:cs="Times New Roman"/>
          <w:color w:val="111111"/>
          <w:lang w:eastAsia="en-GB"/>
        </w:rPr>
        <w:t xml:space="preserve"> attention centred on the AstraZeneca vaccine’s reported connection with side effects. When the European Medicines Agency (</w:t>
      </w:r>
      <w:r w:rsidRPr="00D62AA4">
        <w:rPr>
          <w:rFonts w:ascii="Verdana" w:eastAsia="Times New Roman" w:hAnsi="Verdana" w:cs="Times New Roman"/>
          <w:color w:val="111111"/>
          <w:lang w:val="el-GR" w:eastAsia="en-GB"/>
        </w:rPr>
        <w:t>ΕΜΑ</w:t>
      </w:r>
      <w:r w:rsidRPr="00D62AA4">
        <w:rPr>
          <w:rFonts w:ascii="Verdana" w:eastAsia="Times New Roman" w:hAnsi="Verdana" w:cs="Times New Roman"/>
          <w:color w:val="111111"/>
          <w:lang w:eastAsia="en-GB"/>
        </w:rPr>
        <w:t>) admitted possible links of the AstraZeneka vaccine with blood clots but that the benefits of the vaccine outweighed the risks, the Health Ministry announced it would be proceeding with all available vaccines including the AstraZeneka. The procedure for booking vaccination appointments differed for those registered on the national health system GESY compared to those who were not eligible for GESY. To be eligible for GESY, Union nationals must have their ordinary residence in Cyprus and must be working.</w:t>
      </w:r>
      <w:r w:rsidRPr="00D62AA4">
        <w:rPr>
          <w:rStyle w:val="FootnoteReference"/>
          <w:rFonts w:ascii="Verdana" w:eastAsia="Times New Roman" w:hAnsi="Verdana" w:cs="Times New Roman"/>
          <w:color w:val="111111"/>
          <w:lang w:eastAsia="en-GB"/>
        </w:rPr>
        <w:footnoteReference w:id="7"/>
      </w:r>
      <w:r w:rsidRPr="00D62AA4">
        <w:rPr>
          <w:rFonts w:ascii="Verdana" w:eastAsia="Times New Roman" w:hAnsi="Verdana" w:cs="Times New Roman"/>
          <w:color w:val="111111"/>
          <w:lang w:eastAsia="en-GB"/>
        </w:rPr>
        <w:t xml:space="preserve"> GESY beneficiaries could access the vaccination portal online on the days corresponding to their age group, where they would be given the choice between available vaccines, with AstraZeneca remaining the most unpopular choice. Those not eligible for GESY, which included Union nationals not registered or not working, had to fill out a form and wait for a call from the Ministry of Health to arrange their appointment over the phone, where they are only given the AstraZeneca option,</w:t>
      </w:r>
      <w:r w:rsidRPr="00D62AA4">
        <w:rPr>
          <w:rFonts w:ascii="Verdana" w:eastAsia="Times New Roman" w:hAnsi="Verdana"/>
          <w:lang w:eastAsia="en-GB" w:bidi="en-US"/>
        </w:rPr>
        <w:t xml:space="preserve"> even if they had a special condition putting them at risk of blood clot</w:t>
      </w:r>
      <w:r w:rsidRPr="00D62AA4">
        <w:rPr>
          <w:rFonts w:ascii="Verdana" w:eastAsia="Times New Roman" w:hAnsi="Verdana" w:cs="Times New Roman"/>
          <w:color w:val="111111"/>
          <w:lang w:eastAsia="en-GB"/>
        </w:rPr>
        <w:t xml:space="preserve">. The response from the Ministry of Health took several weeks and sometimes months, with some Union nationals reporting delays as long as four months, leaving them exposed to the virus for longer; others stated that they had no choice but to remain unvaccinated, since AstraZeneka was not recommended for them due to health reasons rendering </w:t>
      </w:r>
      <w:r w:rsidRPr="00D62AA4">
        <w:rPr>
          <w:rFonts w:ascii="Verdana" w:eastAsia="Times New Roman" w:hAnsi="Verdana" w:cs="Times New Roman"/>
          <w:color w:val="111111"/>
          <w:lang w:eastAsia="en-GB"/>
        </w:rPr>
        <w:lastRenderedPageBreak/>
        <w:t xml:space="preserve">them prone to blood clots. </w:t>
      </w:r>
      <w:r w:rsidRPr="00D62AA4">
        <w:rPr>
          <w:rFonts w:ascii="Verdana" w:eastAsia="Times New Roman" w:hAnsi="Verdana"/>
          <w:lang w:eastAsia="en-GB" w:bidi="en-US"/>
        </w:rPr>
        <w:t>EU and British nationals residing in Cyprus called the practice “a blatant discrimination and injustice”, stating that it is “creating a two-class system in order to force more AstraZeneca vaccinations onto the population”.</w:t>
      </w:r>
      <w:r w:rsidRPr="00D62AA4">
        <w:rPr>
          <w:rFonts w:ascii="Verdana" w:eastAsia="Times New Roman" w:hAnsi="Verdana" w:cs="Times New Roman"/>
          <w:vertAlign w:val="superscript"/>
          <w:lang w:eastAsia="en-GB" w:bidi="en-US"/>
        </w:rPr>
        <w:footnoteReference w:id="8"/>
      </w:r>
      <w:r w:rsidRPr="00D62AA4">
        <w:rPr>
          <w:rFonts w:ascii="Verdana" w:eastAsia="Times New Roman" w:hAnsi="Verdana"/>
          <w:lang w:eastAsia="en-GB" w:bidi="en-US"/>
        </w:rPr>
        <w:t xml:space="preserve"> In May 2021 a 39-old British woman died after having the AstraZeneka vaccine.</w:t>
      </w:r>
      <w:r w:rsidRPr="00D62AA4">
        <w:rPr>
          <w:rStyle w:val="FootnoteReference"/>
          <w:rFonts w:ascii="Verdana" w:eastAsia="Times New Roman" w:hAnsi="Verdana"/>
          <w:lang w:eastAsia="en-GB" w:bidi="en-US"/>
        </w:rPr>
        <w:footnoteReference w:id="9"/>
      </w:r>
      <w:r w:rsidRPr="00D62AA4">
        <w:rPr>
          <w:rFonts w:ascii="Verdana" w:eastAsia="Times New Roman" w:hAnsi="Verdana"/>
          <w:lang w:eastAsia="en-GB" w:bidi="en-US"/>
        </w:rPr>
        <w:t xml:space="preserve"> As of August 2021 the authorities introduced the system of walk-in </w:t>
      </w:r>
      <w:r w:rsidRPr="00D62AA4">
        <w:rPr>
          <w:rFonts w:ascii="Verdana" w:hAnsi="Verdana"/>
        </w:rPr>
        <w:t>centres operating around the island, offering a choice of vaccines once a week on a first-come first-served basis.</w:t>
      </w:r>
      <w:r w:rsidRPr="00D62AA4">
        <w:rPr>
          <w:rStyle w:val="FootnoteReference"/>
          <w:rFonts w:ascii="Verdana" w:hAnsi="Verdana"/>
        </w:rPr>
        <w:footnoteReference w:id="10"/>
      </w:r>
    </w:p>
    <w:p w:rsidR="00135BAF" w:rsidRPr="004A4555" w:rsidRDefault="004A4555" w:rsidP="004A4555">
      <w:pPr>
        <w:pStyle w:val="Heading1"/>
        <w:numPr>
          <w:ilvl w:val="0"/>
          <w:numId w:val="9"/>
        </w:numPr>
      </w:pPr>
      <w:r w:rsidRPr="004A4555">
        <w:t xml:space="preserve">Right to health: </w:t>
      </w:r>
      <w:r w:rsidR="00135BAF" w:rsidRPr="004A4555">
        <w:t>Access to hormone replacement therapy</w:t>
      </w:r>
      <w:r w:rsidRPr="004A4555">
        <w:t xml:space="preserve"> </w:t>
      </w:r>
      <w:r>
        <w:t>for trans persons</w:t>
      </w:r>
    </w:p>
    <w:p w:rsidR="00135BAF" w:rsidRDefault="00135BAF" w:rsidP="006975CB">
      <w:pPr>
        <w:shd w:val="clear" w:color="auto" w:fill="FFFFFF"/>
        <w:spacing w:after="255"/>
        <w:textAlignment w:val="baseline"/>
        <w:rPr>
          <w:rFonts w:ascii="Verdana" w:hAnsi="Verdana"/>
        </w:rPr>
      </w:pPr>
      <w:r w:rsidRPr="00D62AA4">
        <w:rPr>
          <w:rFonts w:ascii="Verdana" w:hAnsi="Verdana"/>
        </w:rPr>
        <w:t>The NGO Accept LGBTQI reported that transgender persons undergoing hormone replacement therapy suffered discrimination in accessing health care, following the introduction of the new national health system GESY, and that they faced difficulties in accessing hormone therapies due to the COVID-19 lockdown. According to the report, discrimination in employment occurred on a number of grounds including sexual orientation and that the government did not take steps to enforce anti-discrimination laws, compared to other civil rights laws.</w:t>
      </w:r>
      <w:r w:rsidRPr="00D62AA4">
        <w:rPr>
          <w:rStyle w:val="FootnoteReference"/>
          <w:rFonts w:ascii="Verdana" w:hAnsi="Verdana"/>
        </w:rPr>
        <w:footnoteReference w:id="11"/>
      </w:r>
    </w:p>
    <w:p w:rsidR="00E747BA" w:rsidRDefault="00E747BA" w:rsidP="00E747BA">
      <w:pPr>
        <w:pStyle w:val="Heading1"/>
        <w:numPr>
          <w:ilvl w:val="0"/>
          <w:numId w:val="9"/>
        </w:numPr>
      </w:pPr>
      <w:r w:rsidRPr="00E747BA">
        <w:rPr>
          <w:rFonts w:ascii="Verdana" w:hAnsi="Verdana"/>
        </w:rPr>
        <w:t>Right to health for</w:t>
      </w:r>
      <w:r>
        <w:t xml:space="preserve"> victims of hate crimes </w:t>
      </w:r>
    </w:p>
    <w:p w:rsidR="00E747BA" w:rsidRDefault="00E747BA" w:rsidP="00E747BA">
      <w:pPr>
        <w:pStyle w:val="FRAListNumbered"/>
        <w:ind w:left="720"/>
        <w:rPr>
          <w:lang w:eastAsia="en-US"/>
        </w:rPr>
      </w:pPr>
    </w:p>
    <w:p w:rsidR="00E747BA" w:rsidRPr="00E747BA" w:rsidRDefault="00E747BA" w:rsidP="00E747BA">
      <w:pPr>
        <w:pStyle w:val="FRAListNumbered"/>
        <w:ind w:left="0"/>
        <w:rPr>
          <w:lang w:eastAsia="en-US"/>
        </w:rPr>
      </w:pPr>
      <w:r w:rsidRPr="00E747BA">
        <w:rPr>
          <w:lang w:eastAsia="en-US"/>
        </w:rPr>
        <w:t>SHELTER is an EU funded transnational project on providing support and advice through the health system for hate crime victims, involving research, training, awareness raising and training.</w:t>
      </w:r>
      <w:r w:rsidRPr="00D62AA4">
        <w:rPr>
          <w:rStyle w:val="FootnoteReference"/>
          <w:lang w:eastAsia="en-US"/>
        </w:rPr>
        <w:footnoteReference w:id="12"/>
      </w:r>
      <w:r w:rsidRPr="00E747BA">
        <w:rPr>
          <w:lang w:eastAsia="en-US"/>
        </w:rPr>
        <w:t xml:space="preserve"> Below are the findings of the national report on Cyprus, compiled by the Cypriot partners to the project, namely the University of Cyprus and the NGO Aequitas, relying on desk top study and 42 interviews with health staff.</w:t>
      </w:r>
    </w:p>
    <w:p w:rsidR="00E747BA" w:rsidRPr="00D62AA4" w:rsidRDefault="00E747BA" w:rsidP="00E747BA">
      <w:pPr>
        <w:pStyle w:val="ListParagraph"/>
        <w:numPr>
          <w:ilvl w:val="0"/>
          <w:numId w:val="4"/>
        </w:numPr>
        <w:spacing w:after="200"/>
        <w:contextualSpacing w:val="0"/>
        <w:rPr>
          <w:rFonts w:ascii="Verdana" w:hAnsi="Verdana"/>
          <w:lang w:bidi="en-US"/>
        </w:rPr>
      </w:pPr>
      <w:r w:rsidRPr="00D62AA4">
        <w:rPr>
          <w:rFonts w:ascii="Verdana" w:hAnsi="Verdana"/>
          <w:lang w:bidi="en-US"/>
        </w:rPr>
        <w:t>Victims must visit a police station to report a hate crime, where the must fill out a form indicating the type of bias on which the crime was based. The police then decides whether to record the crime or not.</w:t>
      </w:r>
    </w:p>
    <w:p w:rsidR="00E747BA" w:rsidRPr="00D62AA4" w:rsidRDefault="00E747BA" w:rsidP="00E747BA">
      <w:pPr>
        <w:pStyle w:val="ListParagraph"/>
        <w:numPr>
          <w:ilvl w:val="0"/>
          <w:numId w:val="4"/>
        </w:numPr>
        <w:spacing w:after="200"/>
        <w:contextualSpacing w:val="0"/>
        <w:rPr>
          <w:rFonts w:ascii="Verdana" w:hAnsi="Verdana"/>
          <w:lang w:bidi="en-US"/>
        </w:rPr>
      </w:pPr>
      <w:r w:rsidRPr="00D62AA4">
        <w:rPr>
          <w:rFonts w:ascii="Verdana" w:hAnsi="Verdana"/>
          <w:lang w:bidi="en-US"/>
        </w:rPr>
        <w:t xml:space="preserve">Gender identity tops the grounds of discrimination cited by interviewees, with all 42 participants mentioning it as ‘very widespread’. This is followed by ethnic origin and sexual orientation, mentioned as ‘very widespread’ by 40 out of 42 interviewees. Although gender identity appears as the most frequent ground for discrimination, it ranks third in terms of grounds for hate crime, with only six of the participants citing it. For hate crime, the most common ground is ethnicity (35 out of 42 participants), followed by gender (23 out of 42). Victims are generally described as not reporting hate crimes for fear of retaliation (27 out of 42), due to a perception that not enough is done to combat hate crime </w:t>
      </w:r>
      <w:r w:rsidRPr="00D62AA4">
        <w:rPr>
          <w:rFonts w:ascii="Verdana" w:hAnsi="Verdana"/>
          <w:lang w:bidi="en-US"/>
        </w:rPr>
        <w:lastRenderedPageBreak/>
        <w:t>(12 out of 42), fear of revealing sexual orientation (7) and feelings of shame or denial (7). Only one of the 42 interviewees perceived the current legislation as effective to combat hate crime; 32 reported that it is totally ineffective. Interviewees were unaware of the definition of hate crime</w:t>
      </w:r>
    </w:p>
    <w:p w:rsidR="00E747BA" w:rsidRPr="00D62AA4" w:rsidRDefault="00E747BA" w:rsidP="00E747BA">
      <w:pPr>
        <w:pStyle w:val="ListParagraph"/>
        <w:numPr>
          <w:ilvl w:val="0"/>
          <w:numId w:val="4"/>
        </w:numPr>
        <w:spacing w:after="200"/>
        <w:contextualSpacing w:val="0"/>
        <w:rPr>
          <w:rFonts w:ascii="Verdana" w:hAnsi="Verdana"/>
          <w:lang w:bidi="en-US"/>
        </w:rPr>
      </w:pPr>
      <w:r w:rsidRPr="00D62AA4">
        <w:rPr>
          <w:rFonts w:ascii="Verdana" w:hAnsi="Verdana"/>
          <w:lang w:bidi="en-US"/>
        </w:rPr>
        <w:t>Interviewees acknowledged having little or no knowledge about hate crime, having received little or no training on it and having no protocol in place on how to handle victims of hate crime. Half of the interviewees mentioned that they do not come into contact with victims of hate crime, which is attributed to their lack of training on how to recognise them.</w:t>
      </w:r>
      <w:r w:rsidRPr="00D62AA4">
        <w:rPr>
          <w:rStyle w:val="FootnoteReference"/>
          <w:rFonts w:ascii="Verdana" w:hAnsi="Verdana"/>
          <w:lang w:bidi="en-US"/>
        </w:rPr>
        <w:footnoteReference w:id="13"/>
      </w:r>
    </w:p>
    <w:p w:rsidR="00E747BA" w:rsidRPr="00D62AA4" w:rsidRDefault="00E747BA" w:rsidP="00E747BA">
      <w:pPr>
        <w:rPr>
          <w:rFonts w:ascii="Verdana" w:hAnsi="Verdana"/>
          <w:lang w:bidi="en-US"/>
        </w:rPr>
      </w:pPr>
      <w:r w:rsidRPr="00D62AA4">
        <w:rPr>
          <w:rFonts w:ascii="Verdana" w:hAnsi="Verdana"/>
          <w:lang w:bidi="en-US"/>
        </w:rPr>
        <w:t>The</w:t>
      </w:r>
      <w:r>
        <w:rPr>
          <w:rFonts w:ascii="Verdana" w:hAnsi="Verdana"/>
          <w:lang w:bidi="en-US"/>
        </w:rPr>
        <w:t xml:space="preserve"> book</w:t>
      </w:r>
      <w:r w:rsidRPr="00D62AA4">
        <w:rPr>
          <w:rFonts w:ascii="Verdana" w:hAnsi="Verdana"/>
          <w:lang w:bidi="en-US"/>
        </w:rPr>
        <w:t xml:space="preserve"> chapter on Cyprus focused on how health professionals are handling victims of hate crime and the parameters that frame the relationship between hate crime victims and health practitioners, relying on qualitative data collected in the context of the EU project SHELTER between 2018-2020 through interviews and feedback during training and network meetings, using critical discourse analysis. In presenting the legal framework, the chapter highlighted the pivotal role of the police in investigating complaints and deciding whether they amount to a hate crime in order for prosecution to be launched. Such key role ought to be enhanced with regular, compulsory and comprehensive training on hate crime, which is not happening; although new police recruits and cadets are required to attend a program on racism and xenophobia, the program, is not compulsory for all officers. It states that hate crime is not properly and adequately reported by the police but also 94% of health professionals admitted not reporting hate crimes to the police because they are unaware of what constitutes hate crime. The authors recommend training of health professionals to identify and report crime and the development of a guide offering information, advice and framework to health professionals. The survey conducted in the framework of the SHELTER project with 55% nurses participants and 40% doctors, one driver and one receptionist revealed that gender, sexual orientation and gender identity were the most likely grounds of hate crime, closely followed by ethnic origin. During the 42 qualitative interviews with health professionals, 90% of participants declared having no knowledge of hate crime although willing to engage with education. Interviewees also considered themselves unable to provide the care and support needed in such circumstances and that the presence of a psychologist is necessary. The relationship of health professionals with social workers and the police was identified as crucial. Opinions on the helpfulness of the police differed, with some health professionals reporting that the police were crucial in launching the chain of aid events and others reporting that they were not helpful, whilst things would get complicated where the perpetrator of the hate crime is the police themselves, in which case the health professionals do not know whom to turn to. NGOs were reportedly very efficient on recommending steps at the level of administration but lacked the means to provide support and care themselves. Victims were reported to be unaware of their rights and often unwilling to proceed with a compliant for fear of victimisation by the perpetrator and lack of police protection. A victim </w:t>
      </w:r>
      <w:r w:rsidRPr="00D62AA4">
        <w:rPr>
          <w:rFonts w:ascii="Verdana" w:hAnsi="Verdana"/>
          <w:lang w:bidi="en-US"/>
        </w:rPr>
        <w:lastRenderedPageBreak/>
        <w:t>stressed the need for a central authority to operate like a focal point, coordinating all services and actors in the chain.</w:t>
      </w:r>
      <w:r w:rsidRPr="00D62AA4">
        <w:rPr>
          <w:rStyle w:val="FootnoteReference"/>
          <w:rFonts w:ascii="Verdana" w:hAnsi="Verdana"/>
          <w:lang w:bidi="en-US"/>
        </w:rPr>
        <w:footnoteReference w:id="14"/>
      </w:r>
      <w:r w:rsidRPr="00D62AA4">
        <w:rPr>
          <w:rFonts w:ascii="Verdana" w:hAnsi="Verdana"/>
          <w:lang w:bidi="en-US"/>
        </w:rPr>
        <w:t xml:space="preserve">  </w:t>
      </w:r>
    </w:p>
    <w:p w:rsidR="00E747BA" w:rsidRPr="00E747BA" w:rsidRDefault="00E747BA" w:rsidP="00E747BA">
      <w:pPr>
        <w:pStyle w:val="ListParagraph"/>
        <w:shd w:val="clear" w:color="auto" w:fill="FFFFFF"/>
        <w:spacing w:after="255"/>
        <w:textAlignment w:val="baseline"/>
        <w:rPr>
          <w:rFonts w:ascii="Verdana" w:hAnsi="Verdana"/>
        </w:rPr>
      </w:pPr>
    </w:p>
    <w:p w:rsidR="00135BAF" w:rsidRPr="00D62AA4" w:rsidRDefault="00135BAF" w:rsidP="004A4555">
      <w:pPr>
        <w:pStyle w:val="Heading1"/>
        <w:numPr>
          <w:ilvl w:val="0"/>
          <w:numId w:val="9"/>
        </w:numPr>
      </w:pPr>
      <w:r w:rsidRPr="00D62AA4">
        <w:t>Survey on experiences of transgender persons</w:t>
      </w:r>
    </w:p>
    <w:p w:rsidR="00135BAF" w:rsidRPr="00D62AA4" w:rsidRDefault="00135BAF" w:rsidP="00135BAF">
      <w:pPr>
        <w:rPr>
          <w:rFonts w:ascii="Verdana" w:hAnsi="Verdana"/>
        </w:rPr>
      </w:pPr>
    </w:p>
    <w:p w:rsidR="00135BAF" w:rsidRPr="00D62AA4" w:rsidRDefault="00135BAF" w:rsidP="00135BAF">
      <w:pPr>
        <w:rPr>
          <w:rFonts w:ascii="Verdana" w:hAnsi="Verdana"/>
        </w:rPr>
      </w:pPr>
      <w:r w:rsidRPr="00D62AA4">
        <w:rPr>
          <w:rFonts w:ascii="Verdana" w:hAnsi="Verdana"/>
        </w:rPr>
        <w:t>In a study commissioned by the Council of Europe, the University of Nicosia conducted a series of qualitative interviews in order to investigate the social and psychological needs of trans persons in Cyprus highlighting the challenges for service providers in the field of support and information, healthcare and social care. The interviews were conducted in November 2017- February 2018 in collaboration with the national NGO ACCEPT and the University of Cyprus and was presented at a parliamentary session in October 2021, which examined the draft law on the recognition of gender identity. The respondents reported negative school experiences, with eight of ten experiencing stress and anxiety, seven out ten experiencing harassment and hate speech during school life, which restricted their contact and interaction with their peers and their teachers. The fear of social exclusion and stigmatisation led to negative reactions from the respondents’ family and friends when they revealed their gender identity, as families were susceptible to societal reactions. All respondents reported discomfort over how other people faced them, at various levels and various ages, especially as regards the photograph on their identity cards and the changes of appearance during the gender reassignment process; this caused a lasting feeling of stress, insecurity, fear and low self-esteem in all respondents for large periods of their lives. Negative experiences were reported when trying to access government services and finding work. Four out ten respondents reported having to leave their jobs when they were asked to present identification papers which had their previous gender registered on them. The compatibility of the data on their identification papers with their appearance emerged as crucial in their access to the labour market and eventually in their ability to sustain themselves. Their interaction with public and private services, where they have to present identification papers, is time-consuming, stressful and exposes trans persons to discrimination, often causing them to avoid seeking medical help, opening bank accounts, or accessing recreation spaces. To avoid facing transphobia, often trans persons seek recommendations from other trans persons as to which doctors or other service providers they should look for, as many health practitioners are not sufficiently aware or trained on LGBTI issues. People who had gender reassignment surgery outside Cyprus had to wait three years before their identification papers were changed by the Cypriot authorities.</w:t>
      </w:r>
      <w:r w:rsidRPr="00D62AA4">
        <w:rPr>
          <w:rStyle w:val="FootnoteReference"/>
          <w:rFonts w:ascii="Verdana" w:hAnsi="Verdana"/>
        </w:rPr>
        <w:footnoteReference w:id="15"/>
      </w:r>
    </w:p>
    <w:p w:rsidR="004A4555" w:rsidRDefault="004A4555" w:rsidP="00135BAF">
      <w:pPr>
        <w:pStyle w:val="FRABodyText"/>
      </w:pPr>
    </w:p>
    <w:p w:rsidR="004A4555" w:rsidRDefault="004A4555" w:rsidP="00614908">
      <w:pPr>
        <w:pStyle w:val="Heading1"/>
        <w:numPr>
          <w:ilvl w:val="0"/>
          <w:numId w:val="9"/>
        </w:numPr>
      </w:pPr>
      <w:r>
        <w:lastRenderedPageBreak/>
        <w:t>Asylum seeker</w:t>
      </w:r>
      <w:r w:rsidR="00614908">
        <w:t>s</w:t>
      </w:r>
      <w:r>
        <w:t>’ access to welfare</w:t>
      </w:r>
      <w:r w:rsidR="000C6F21">
        <w:t>,</w:t>
      </w:r>
      <w:r>
        <w:t xml:space="preserve"> labour</w:t>
      </w:r>
      <w:r w:rsidR="000C6F21">
        <w:t xml:space="preserve"> and housing</w:t>
      </w:r>
      <w:r>
        <w:t xml:space="preserve"> </w:t>
      </w:r>
    </w:p>
    <w:p w:rsidR="004A4555" w:rsidRDefault="004A4555" w:rsidP="00135BAF">
      <w:pPr>
        <w:pStyle w:val="FRABodyText"/>
      </w:pPr>
    </w:p>
    <w:p w:rsidR="00135BAF" w:rsidRPr="000C6F21" w:rsidRDefault="004A4555" w:rsidP="00135BAF">
      <w:pPr>
        <w:pStyle w:val="FRABodyText"/>
      </w:pPr>
      <w:r>
        <w:t xml:space="preserve">The US State Department report on human rights practices in Cyprus </w:t>
      </w:r>
      <w:r w:rsidR="00135BAF" w:rsidRPr="00D62AA4">
        <w:t xml:space="preserve">reported incidents of racism by Labour Department officers who met with valid residency applicants seeking a contract of employment. In some cases, Social Welfare Service officers and judges subjected asylum seekers to racist verbal abuse and in one incident the security personnel at the Social Welfare Services office </w:t>
      </w:r>
      <w:r w:rsidR="00135BAF" w:rsidRPr="000C6F21">
        <w:t>physically attacked two asylum seekers and an infant child who had visited the office to inquire about the delay in receiving their food coupons and rent subsidy. The Ministry of Labo</w:t>
      </w:r>
      <w:r w:rsidRPr="000C6F21">
        <w:t>u</w:t>
      </w:r>
      <w:r w:rsidR="00135BAF" w:rsidRPr="000C6F21">
        <w:t>r reported the incident to the police and the security guard was removed from the premises and was charged.</w:t>
      </w:r>
      <w:r w:rsidRPr="000C6F21">
        <w:rPr>
          <w:rStyle w:val="FootnoteReference"/>
        </w:rPr>
        <w:t xml:space="preserve"> </w:t>
      </w:r>
      <w:r w:rsidRPr="000C6F21">
        <w:rPr>
          <w:rStyle w:val="FootnoteReference"/>
        </w:rPr>
        <w:footnoteReference w:id="16"/>
      </w:r>
    </w:p>
    <w:p w:rsidR="004A4555" w:rsidRPr="000C6F21" w:rsidRDefault="004A4555" w:rsidP="00135BAF">
      <w:pPr>
        <w:pStyle w:val="FRABodyText"/>
      </w:pPr>
    </w:p>
    <w:p w:rsidR="00010D8E" w:rsidRPr="00596912" w:rsidRDefault="004A4555" w:rsidP="00010D8E">
      <w:pPr>
        <w:contextualSpacing/>
        <w:rPr>
          <w:rFonts w:ascii="Verdana" w:hAnsi="Verdana"/>
        </w:rPr>
      </w:pPr>
      <w:r w:rsidRPr="000C6F21">
        <w:rPr>
          <w:rFonts w:ascii="Verdana" w:hAnsi="Verdana"/>
        </w:rPr>
        <w:t>UNHCR reported delays of up to 5 months for asylum seekers to receive their benefits from the Welfare Services, leading to homelessness and desperation.</w:t>
      </w:r>
      <w:r w:rsidR="00010D8E" w:rsidRPr="000C6F21">
        <w:rPr>
          <w:rFonts w:ascii="Verdana" w:hAnsi="Verdana"/>
        </w:rPr>
        <w:t xml:space="preserve"> Caritas further </w:t>
      </w:r>
      <w:hyperlink r:id="rId11" w:history="1">
        <w:r w:rsidR="00010D8E" w:rsidRPr="000C6F21">
          <w:rPr>
            <w:rStyle w:val="Hyperlink"/>
            <w:rFonts w:ascii="Verdana" w:hAnsi="Verdana"/>
          </w:rPr>
          <w:t>reported</w:t>
        </w:r>
      </w:hyperlink>
      <w:r w:rsidR="00010D8E" w:rsidRPr="000C6F21">
        <w:rPr>
          <w:rFonts w:ascii="Verdana" w:hAnsi="Verdana"/>
        </w:rPr>
        <w:t xml:space="preserve"> an increase in homelessness amongst asylum seekers, pointing out that it is the first time in their experience that 85 persons had to share a single room without a kitchen or sanitary facilities. Caritas said it is almost impossible for asylum seekers to find accommodation outside the camps, even if they have the money, because landlords will not rent their houses to them partly because of racial prejudice and</w:t>
      </w:r>
      <w:r w:rsidR="00010D8E">
        <w:rPr>
          <w:rFonts w:ascii="Verdana" w:hAnsi="Verdana"/>
        </w:rPr>
        <w:t xml:space="preserve"> partly because they do not want to receive the rental from the Social Welfare Services as they do not trust that the payment of the rental will be made regularly. Caritas said that the money which the Social Welfare Services is using to pay the rental is already there </w:t>
      </w:r>
      <w:r w:rsidR="00010D8E" w:rsidRPr="002B7F74">
        <w:rPr>
          <w:rFonts w:ascii="Verdana" w:hAnsi="Verdana"/>
        </w:rPr>
        <w:t>and there is no justification why the authorities did not so far set up an effective payment system to address the problem of homelessness of asylum seekers.</w:t>
      </w:r>
      <w:r w:rsidR="00010D8E">
        <w:rPr>
          <w:rFonts w:ascii="Verdana" w:eastAsia="Times New Roman" w:hAnsi="Verdana" w:cs="Arial"/>
          <w:color w:val="000000"/>
        </w:rPr>
        <w:t xml:space="preserve"> According to the </w:t>
      </w:r>
      <w:r w:rsidR="00010D8E" w:rsidRPr="002B7F74">
        <w:rPr>
          <w:rFonts w:ascii="Verdana" w:eastAsia="Times New Roman" w:hAnsi="Verdana" w:cs="Arial"/>
          <w:color w:val="000000"/>
        </w:rPr>
        <w:t>Cyprus Refugee Council</w:t>
      </w:r>
      <w:r w:rsidR="00010D8E">
        <w:rPr>
          <w:rFonts w:ascii="Verdana" w:eastAsia="Times New Roman" w:hAnsi="Verdana" w:cs="Arial"/>
          <w:color w:val="000000"/>
        </w:rPr>
        <w:t>,</w:t>
      </w:r>
      <w:r w:rsidR="00010D8E" w:rsidRPr="002B7F74">
        <w:rPr>
          <w:rFonts w:ascii="Verdana" w:eastAsia="Times New Roman" w:hAnsi="Verdana" w:cs="Arial"/>
          <w:color w:val="000000"/>
        </w:rPr>
        <w:t xml:space="preserve"> </w:t>
      </w:r>
      <w:r w:rsidR="00010D8E">
        <w:rPr>
          <w:rFonts w:ascii="Verdana" w:eastAsia="Times New Roman" w:hAnsi="Verdana" w:cs="Arial"/>
          <w:color w:val="000000"/>
        </w:rPr>
        <w:t>the increased reliance on state benefits has made the system of payments even slower and an increasing amount of asylum applicants fall through the cracks of the system.</w:t>
      </w:r>
    </w:p>
    <w:p w:rsidR="004A4555" w:rsidRDefault="004A4555" w:rsidP="00135BAF">
      <w:pPr>
        <w:pStyle w:val="FRABodyText"/>
      </w:pPr>
    </w:p>
    <w:p w:rsidR="00010D8E" w:rsidRPr="00F037E6" w:rsidRDefault="00010D8E" w:rsidP="00010D8E">
      <w:pPr>
        <w:tabs>
          <w:tab w:val="left" w:pos="709"/>
          <w:tab w:val="left" w:pos="993"/>
        </w:tabs>
        <w:ind w:left="57"/>
        <w:contextualSpacing/>
        <w:rPr>
          <w:rFonts w:ascii="Verdana" w:hAnsi="Verdana"/>
        </w:rPr>
      </w:pPr>
      <w:bookmarkStart w:id="1" w:name="_Hlk61262990"/>
      <w:r>
        <w:rPr>
          <w:rFonts w:ascii="Verdana" w:eastAsia="Times New Roman" w:hAnsi="Verdana" w:cs="Arial"/>
          <w:color w:val="000000"/>
        </w:rPr>
        <w:t>In 2021 t</w:t>
      </w:r>
      <w:r w:rsidRPr="00770B31">
        <w:rPr>
          <w:rFonts w:ascii="Verdana" w:eastAsia="Times New Roman" w:hAnsi="Verdana" w:cs="Arial"/>
          <w:color w:val="000000"/>
        </w:rPr>
        <w:t xml:space="preserve">he </w:t>
      </w:r>
      <w:bookmarkStart w:id="2" w:name="_Hlk61262604"/>
      <w:r w:rsidRPr="00770B31">
        <w:rPr>
          <w:rFonts w:ascii="Verdana" w:eastAsia="Times New Roman" w:hAnsi="Verdana" w:cs="Arial"/>
          <w:color w:val="000000"/>
        </w:rPr>
        <w:t xml:space="preserve">Cyprus Refugee </w:t>
      </w:r>
      <w:r>
        <w:rPr>
          <w:rFonts w:ascii="Verdana" w:eastAsia="Times New Roman" w:hAnsi="Verdana" w:cs="Arial"/>
          <w:color w:val="000000"/>
        </w:rPr>
        <w:t xml:space="preserve">Council </w:t>
      </w:r>
      <w:bookmarkEnd w:id="1"/>
      <w:bookmarkEnd w:id="2"/>
      <w:r w:rsidRPr="00770B31">
        <w:rPr>
          <w:rFonts w:ascii="Verdana" w:eastAsia="Times New Roman" w:hAnsi="Verdana" w:cs="Arial"/>
          <w:color w:val="000000"/>
        </w:rPr>
        <w:t xml:space="preserve">compiled a report on the housing problems facing asylum seekers and refugees, which identified a number of systemic gaps negatively affecting the prospects of asylum seekers in finding accommodation. These include their low incomes and state benefits, the bureaucracy involved in applying for the rental allowance, often making it impossible for asylum seekers to secure this benefit without NGO assistance, the practice of landlords to ask for advance payment of a guarantee deposit for which there is no state benefit. The report identified the delays in the payments made by the Social Welfare Services to the landlords as a major source of </w:t>
      </w:r>
      <w:r w:rsidR="00544E24" w:rsidRPr="00770B31">
        <w:rPr>
          <w:rFonts w:ascii="Verdana" w:eastAsia="Times New Roman" w:hAnsi="Verdana" w:cs="Arial"/>
          <w:color w:val="000000"/>
        </w:rPr>
        <w:t>reluctance</w:t>
      </w:r>
      <w:r w:rsidRPr="00770B31">
        <w:rPr>
          <w:rFonts w:ascii="Verdana" w:eastAsia="Times New Roman" w:hAnsi="Verdana" w:cs="Arial"/>
          <w:color w:val="000000"/>
        </w:rPr>
        <w:t xml:space="preserve"> of landlords in renting out accommodation to asylum seekers, pointing out that even in those cases where asylum seekers were able to secure rental contracts, landlords would become frustrated after the first couple of months when the rent benefits did not arrive or when they did not cover the entire amount of the rental. The policy of the Social Welfare Services to reduce the rental allowance when asylum seekers shared accommodation exacerbated the situation, as the rental allowance of a single person is not sufficient to cover rents and asylum seekers are left with no option other than to share, leading to a vicious circle of evictions. The Cyprus </w:t>
      </w:r>
      <w:r w:rsidRPr="00770B31">
        <w:rPr>
          <w:rFonts w:ascii="Verdana" w:eastAsia="Times New Roman" w:hAnsi="Verdana" w:cs="Arial"/>
          <w:color w:val="000000"/>
        </w:rPr>
        <w:lastRenderedPageBreak/>
        <w:t>Refugee Council also located practices of landlords and real- estate agents, who know how to navigate themselves in the flawed system, taking advantage of the housing situation of asylum seekers, by subletting rooms of substandard quality to large groups of people, giving out individual rent contracts for each room, which are usually shared between two or more tenants. To avoid evictions, asylum seekers are often forced to utilise the benefits they receive for food and other expenses in order to cover the rest of their rent, often leading in the disconnection of electricity and water when the utility bills remain unpaid. The Cyprus Refugee Council called for a development of strategies to address homelessness at the national level, by setting up mechanisms of reporting and monitoring, better informed and more effective interventions and synergies between actors, investment in long term solutions and developing public housing schemes, encouraging local governance</w:t>
      </w:r>
      <w:r>
        <w:rPr>
          <w:rFonts w:ascii="Arial" w:eastAsia="Times New Roman" w:hAnsi="Arial" w:cs="Arial"/>
          <w:color w:val="000000"/>
        </w:rPr>
        <w:t xml:space="preserve"> involvement. The </w:t>
      </w:r>
      <w:r w:rsidRPr="00770B31">
        <w:rPr>
          <w:rFonts w:ascii="Verdana" w:eastAsia="Times New Roman" w:hAnsi="Verdana" w:cs="Arial"/>
          <w:color w:val="000000"/>
        </w:rPr>
        <w:t xml:space="preserve">Cyprus Refugee </w:t>
      </w:r>
      <w:r>
        <w:rPr>
          <w:rFonts w:ascii="Verdana" w:eastAsia="Times New Roman" w:hAnsi="Verdana" w:cs="Arial"/>
          <w:color w:val="000000"/>
        </w:rPr>
        <w:t xml:space="preserve">Council referred to an </w:t>
      </w:r>
      <w:r w:rsidRPr="00F037E6">
        <w:rPr>
          <w:rFonts w:ascii="Verdana" w:hAnsi="Verdana"/>
        </w:rPr>
        <w:t xml:space="preserve">uncharted population of asylum seekers and refugees living in the community </w:t>
      </w:r>
      <w:r>
        <w:rPr>
          <w:rFonts w:ascii="Verdana" w:hAnsi="Verdana"/>
        </w:rPr>
        <w:t xml:space="preserve">at unknown locations because </w:t>
      </w:r>
      <w:r w:rsidRPr="00F037E6">
        <w:rPr>
          <w:rFonts w:ascii="Verdana" w:hAnsi="Verdana"/>
        </w:rPr>
        <w:t>the</w:t>
      </w:r>
      <w:r>
        <w:rPr>
          <w:rFonts w:ascii="Verdana" w:hAnsi="Verdana"/>
        </w:rPr>
        <w:t xml:space="preserve"> various government authorities</w:t>
      </w:r>
      <w:r w:rsidRPr="00F037E6">
        <w:rPr>
          <w:rFonts w:ascii="Verdana" w:hAnsi="Verdana"/>
        </w:rPr>
        <w:t xml:space="preserve"> do not communicate between them and change</w:t>
      </w:r>
      <w:r>
        <w:rPr>
          <w:rFonts w:ascii="Verdana" w:hAnsi="Verdana"/>
        </w:rPr>
        <w:t>s</w:t>
      </w:r>
      <w:r w:rsidRPr="00F037E6">
        <w:rPr>
          <w:rFonts w:ascii="Verdana" w:hAnsi="Verdana"/>
        </w:rPr>
        <w:t xml:space="preserve"> of address</w:t>
      </w:r>
      <w:r>
        <w:rPr>
          <w:rFonts w:ascii="Verdana" w:hAnsi="Verdana"/>
        </w:rPr>
        <w:t>es</w:t>
      </w:r>
      <w:r w:rsidRPr="00F037E6">
        <w:rPr>
          <w:rFonts w:ascii="Verdana" w:hAnsi="Verdana"/>
        </w:rPr>
        <w:t xml:space="preserve"> </w:t>
      </w:r>
      <w:r>
        <w:rPr>
          <w:rFonts w:ascii="Verdana" w:hAnsi="Verdana"/>
        </w:rPr>
        <w:t>are</w:t>
      </w:r>
      <w:r w:rsidRPr="00F037E6">
        <w:rPr>
          <w:rFonts w:ascii="Verdana" w:hAnsi="Verdana"/>
        </w:rPr>
        <w:t xml:space="preserve"> not recorded </w:t>
      </w:r>
      <w:r>
        <w:rPr>
          <w:rFonts w:ascii="Verdana" w:hAnsi="Verdana"/>
        </w:rPr>
        <w:t>in a central system to enable support NGOs and other service providers to locate them; the i</w:t>
      </w:r>
      <w:r w:rsidRPr="00F037E6">
        <w:rPr>
          <w:rFonts w:ascii="Verdana" w:hAnsi="Verdana"/>
        </w:rPr>
        <w:t>mmigration</w:t>
      </w:r>
      <w:r>
        <w:rPr>
          <w:rFonts w:ascii="Verdana" w:hAnsi="Verdana"/>
        </w:rPr>
        <w:t xml:space="preserve"> authorities who are tasked with recording locations </w:t>
      </w:r>
      <w:r w:rsidRPr="00F037E6">
        <w:rPr>
          <w:rFonts w:ascii="Verdana" w:hAnsi="Verdana"/>
        </w:rPr>
        <w:t xml:space="preserve">may take </w:t>
      </w:r>
      <w:r>
        <w:rPr>
          <w:rFonts w:ascii="Verdana" w:hAnsi="Verdana"/>
        </w:rPr>
        <w:t>six</w:t>
      </w:r>
      <w:r w:rsidRPr="00F037E6">
        <w:rPr>
          <w:rFonts w:ascii="Verdana" w:hAnsi="Verdana"/>
        </w:rPr>
        <w:t xml:space="preserve"> months to communicate th</w:t>
      </w:r>
      <w:r>
        <w:rPr>
          <w:rFonts w:ascii="Verdana" w:hAnsi="Verdana"/>
        </w:rPr>
        <w:t>ese locations to the</w:t>
      </w:r>
      <w:r w:rsidRPr="00F037E6">
        <w:rPr>
          <w:rFonts w:ascii="Verdana" w:hAnsi="Verdana"/>
        </w:rPr>
        <w:t xml:space="preserve"> asylum service.</w:t>
      </w:r>
    </w:p>
    <w:p w:rsidR="00010D8E" w:rsidRPr="00773254" w:rsidRDefault="00010D8E" w:rsidP="00010D8E">
      <w:pPr>
        <w:ind w:left="284"/>
        <w:contextualSpacing/>
        <w:rPr>
          <w:rFonts w:ascii="Verdana" w:hAnsi="Verdana"/>
        </w:rPr>
      </w:pPr>
    </w:p>
    <w:p w:rsidR="00010D8E" w:rsidRPr="00593DC8" w:rsidRDefault="00010D8E" w:rsidP="00010D8E">
      <w:pPr>
        <w:contextualSpacing/>
        <w:rPr>
          <w:rFonts w:ascii="Verdana" w:hAnsi="Verdana"/>
        </w:rPr>
      </w:pPr>
      <w:r>
        <w:rPr>
          <w:rFonts w:ascii="Verdana" w:hAnsi="Verdana"/>
          <w:lang w:val="el-GR"/>
        </w:rPr>
        <w:t>Ι</w:t>
      </w:r>
      <w:r>
        <w:rPr>
          <w:rFonts w:ascii="Verdana" w:hAnsi="Verdana"/>
        </w:rPr>
        <w:t xml:space="preserve">n December 2020 the Interior Minister </w:t>
      </w:r>
      <w:hyperlink r:id="rId12" w:history="1">
        <w:r w:rsidRPr="00593DC8">
          <w:rPr>
            <w:rStyle w:val="Hyperlink"/>
            <w:rFonts w:ascii="Verdana" w:hAnsi="Verdana"/>
          </w:rPr>
          <w:t>issued an order</w:t>
        </w:r>
      </w:hyperlink>
      <w:r>
        <w:rPr>
          <w:rFonts w:ascii="Verdana" w:hAnsi="Verdana"/>
        </w:rPr>
        <w:t xml:space="preserve"> prohibiting new asylum applicants from settling in the village of Chloraka, in Paphos. The ministerial order justified this restriction on reasons of public order and public interest, in line previous </w:t>
      </w:r>
      <w:hyperlink r:id="rId13" w:history="1">
        <w:r w:rsidRPr="00593DC8">
          <w:rPr>
            <w:rStyle w:val="Hyperlink"/>
            <w:rFonts w:ascii="Verdana" w:hAnsi="Verdana"/>
          </w:rPr>
          <w:t>media reports</w:t>
        </w:r>
      </w:hyperlink>
      <w:r>
        <w:rPr>
          <w:rFonts w:ascii="Verdana" w:hAnsi="Verdana"/>
        </w:rPr>
        <w:t xml:space="preserve"> which raised issues with the allegedly high concentration of migrants in the area, with </w:t>
      </w:r>
      <w:hyperlink r:id="rId14" w:history="1">
        <w:r w:rsidRPr="00593DC8">
          <w:rPr>
            <w:rStyle w:val="Hyperlink"/>
            <w:rFonts w:ascii="Verdana" w:hAnsi="Verdana"/>
          </w:rPr>
          <w:t>some media outlets</w:t>
        </w:r>
      </w:hyperlink>
      <w:r>
        <w:rPr>
          <w:rFonts w:ascii="Verdana" w:hAnsi="Verdana"/>
        </w:rPr>
        <w:t xml:space="preserve"> connecting the migrants with increased crime.</w:t>
      </w:r>
      <w:r w:rsidRPr="00593DC8">
        <w:rPr>
          <w:rFonts w:ascii="Verdana" w:hAnsi="Verdana"/>
        </w:rPr>
        <w:t xml:space="preserve"> </w:t>
      </w:r>
      <w:r>
        <w:rPr>
          <w:rFonts w:ascii="Verdana" w:hAnsi="Verdana"/>
          <w:lang w:val="el-GR"/>
        </w:rPr>
        <w:t>Τ</w:t>
      </w:r>
      <w:r>
        <w:rPr>
          <w:rFonts w:ascii="Verdana" w:hAnsi="Verdana"/>
        </w:rPr>
        <w:t xml:space="preserve">he president of the ruling party who visited the area in 2020 subsequently </w:t>
      </w:r>
      <w:hyperlink r:id="rId15" w:history="1">
        <w:r w:rsidRPr="00593DC8">
          <w:rPr>
            <w:rStyle w:val="Hyperlink"/>
            <w:rFonts w:ascii="Verdana" w:hAnsi="Verdana"/>
          </w:rPr>
          <w:t>made statements</w:t>
        </w:r>
      </w:hyperlink>
      <w:r>
        <w:rPr>
          <w:rFonts w:ascii="Verdana" w:hAnsi="Verdana"/>
        </w:rPr>
        <w:t xml:space="preserve"> resembling migrants in Choraka as ‘the second fall of Constintinople’. A </w:t>
      </w:r>
      <w:hyperlink r:id="rId16" w:history="1">
        <w:r w:rsidRPr="00593DC8">
          <w:rPr>
            <w:rStyle w:val="Hyperlink"/>
            <w:rFonts w:ascii="Verdana" w:hAnsi="Verdana"/>
          </w:rPr>
          <w:t>legal article</w:t>
        </w:r>
      </w:hyperlink>
      <w:r>
        <w:rPr>
          <w:rFonts w:ascii="Verdana" w:hAnsi="Verdana"/>
        </w:rPr>
        <w:t xml:space="preserve"> referred to the ministerial order as unlawful discrimination, as a racial extension of the scope of restriction measures and a dangerous precedent in the implementation of rights derived from the ECHR and the EU Charter. The ministerial order led to a deterioration of the general anti-migrant atmosphere in the region, generating tensions often leading to </w:t>
      </w:r>
      <w:r w:rsidR="000C6F21">
        <w:rPr>
          <w:rFonts w:ascii="Verdana" w:hAnsi="Verdana"/>
        </w:rPr>
        <w:t xml:space="preserve">hate speech and </w:t>
      </w:r>
      <w:r>
        <w:rPr>
          <w:rFonts w:ascii="Verdana" w:hAnsi="Verdana"/>
        </w:rPr>
        <w:t xml:space="preserve">violence. </w:t>
      </w:r>
    </w:p>
    <w:p w:rsidR="00A263AB" w:rsidRPr="00A263AB" w:rsidRDefault="00A263AB" w:rsidP="00A263AB">
      <w:pPr>
        <w:pStyle w:val="Heading1"/>
        <w:numPr>
          <w:ilvl w:val="0"/>
          <w:numId w:val="9"/>
        </w:numPr>
      </w:pPr>
      <w:r w:rsidRPr="00A263AB">
        <w:t>Migrant female domestic workers</w:t>
      </w:r>
    </w:p>
    <w:p w:rsidR="00A263AB" w:rsidRDefault="00A263AB" w:rsidP="00A263AB">
      <w:pPr>
        <w:pStyle w:val="FRAListNumbered"/>
      </w:pPr>
    </w:p>
    <w:p w:rsidR="00A263AB" w:rsidRDefault="00A263AB" w:rsidP="00A263AB">
      <w:pPr>
        <w:pStyle w:val="FRABodyText"/>
      </w:pPr>
      <w:r w:rsidRPr="00D62AA4">
        <w:t>The minimum wage set by the Ministry of Interior for foreign domestic workers continues to fall well below the poverty line; this renders it impossible for these workers to claim a long-term residence visa, as they are deemed not to fulfill the requirement of having sufficient means to sustain themselves without recourse to the national social insurance system. NGOs report that many foreign domestic workers are reluctant to report contract violations by their employers for fear of losing their jobs and, consequently, their work and residence permits. The Ministry of Labor employs an insufficient number of labour inspectors to effectively enforce labour laws in the agricultural sector and in the informal economy, where the majority of employees were migrant workers. Inspectors are not allowed to inspect the working conditions of domestic workers in private households.</w:t>
      </w:r>
      <w:r w:rsidRPr="00D62AA4">
        <w:rPr>
          <w:rStyle w:val="FootnoteReference"/>
        </w:rPr>
        <w:footnoteReference w:id="17"/>
      </w:r>
    </w:p>
    <w:p w:rsidR="00A263AB" w:rsidRDefault="00A263AB" w:rsidP="00A263AB">
      <w:pPr>
        <w:pStyle w:val="FRAListNumbered"/>
      </w:pPr>
    </w:p>
    <w:p w:rsidR="00180EB8" w:rsidRPr="00D62AA4" w:rsidRDefault="00180EB8" w:rsidP="00A263AB">
      <w:pPr>
        <w:pStyle w:val="FRAListNumbered"/>
        <w:ind w:left="0"/>
        <w:rPr>
          <w:lang w:eastAsia="en-US"/>
        </w:rPr>
      </w:pPr>
      <w:r w:rsidRPr="00D62AA4">
        <w:t>A</w:t>
      </w:r>
      <w:r w:rsidR="00A263AB">
        <w:t>n a</w:t>
      </w:r>
      <w:r w:rsidRPr="00D62AA4">
        <w:t>cademic article on the situation of migrant domestic women in Cyprus</w:t>
      </w:r>
      <w:r w:rsidRPr="00D62AA4">
        <w:rPr>
          <w:lang w:eastAsia="en-US"/>
        </w:rPr>
        <w:t>, which appeared in the blog of the London School of Economics, UK, discusses how the invisibility of migrant domestic women changed in Cyprus after the murders of seven migrant women and girls were discovered in 2019 and particularly due to the fact that, until their bodies were discovered, the police had in fact not investigated their disappearance. Acknowledging that foreign domestic women are discriminated around the world, the article identifies particular aspects of the legal and policy framework rendering their situation in Cyprus particularly acute. A 2020 survey established that they work 40% hours than what their contract provides, with one in five working close to or more than twice the number of hours foreseen in their contract; a third are not paid the full amount they are owed and a third are not paid on time; 67 per cent clean two or more houses; and one in three does not take any day of the week off for years. The article attributes the dire conditions of the domestic workers to the frozen political conflict in Cyprus which has deprioritised the feminist agenda, normalised nationalist policies and created a skewed perception of human rights amongst the Cypriots. Complaints against employers do not come with protection against victimisation; for as long as the investigative process is pending, which can take months, the domestic worker is not permitted to work and is not eligible for state support; it is hardly surprising that 75% stated that they would not report to the authorities if they had been physically or sexually abused by their employers. Nationalist feelings nurtured by the unresolved Cyprus problem are often racism in camouflage and racism against Turks is often lumped with racism against ‘all others’. Their denomination as ‘temporary workers’ led the government to provide a sub-standard protection to them, denying them rights under the legal migration directives, such as the right to long term residence and family reunification.</w:t>
      </w:r>
      <w:r w:rsidRPr="00D62AA4">
        <w:rPr>
          <w:rStyle w:val="FootnoteReference"/>
          <w:lang w:eastAsia="en-US"/>
        </w:rPr>
        <w:footnoteReference w:id="18"/>
      </w:r>
    </w:p>
    <w:p w:rsidR="00E747BA" w:rsidRDefault="00E747BA" w:rsidP="00E747BA">
      <w:pPr>
        <w:pStyle w:val="FRAListNumbered"/>
        <w:ind w:left="0"/>
      </w:pPr>
    </w:p>
    <w:p w:rsidR="00180EB8" w:rsidRPr="00D62AA4" w:rsidRDefault="00E747BA" w:rsidP="00E747BA">
      <w:pPr>
        <w:pStyle w:val="FRAListNumbered"/>
        <w:ind w:left="0"/>
        <w:rPr>
          <w:lang w:eastAsia="en-US"/>
        </w:rPr>
      </w:pPr>
      <w:r>
        <w:t>A new book published in 2021 o</w:t>
      </w:r>
      <w:r w:rsidR="00180EB8" w:rsidRPr="00D62AA4">
        <w:t>n the regulation of domestic work in UK, Cyprus, Sweden and Spain</w:t>
      </w:r>
      <w:r>
        <w:t xml:space="preserve"> </w:t>
      </w:r>
      <w:r w:rsidR="00180EB8" w:rsidRPr="00D62AA4">
        <w:rPr>
          <w:lang w:eastAsia="en-US"/>
        </w:rPr>
        <w:t xml:space="preserve">analyses the working regimes and the vulnerability of migrant domestic workers in the four countries examined, highlighting the special vulnerability experienced by migrant domestic workers in Cyprus. In Cyprus, although in theory labour law includes domestic workers, the state has designed an employment regime with a very exclusive personal scope which applies only to non-EU nationals on a domestic worker visa, the employment contract for which diverges significantly from the generally applicable statutory regulation and collective agreements. The contract of employment was drafted by the Migration Department of the Ministry of Interior and has never received input from the Ministry of Labour; in fact, the Migration Department has repeatedly rejected requests from the Labour Department to review this contract and ensure compliance with labour law. The Migration Department’s exclusive competence over the working conditions of migrant workers has resulted in a highly restrictive regime restricting change of employers, threatening the migrant with deportation in case of a breach of the employment contract, no possibility to negotiate a salary increase and prohibiting freedom of association. The standard contract was revised in 2019 under the pressure of the outrage following the discovery of the </w:t>
      </w:r>
      <w:r w:rsidR="00180EB8" w:rsidRPr="00D62AA4">
        <w:rPr>
          <w:lang w:eastAsia="en-US"/>
        </w:rPr>
        <w:lastRenderedPageBreak/>
        <w:t xml:space="preserve">murders of the seven migrant women and girls; the new contract no longer prohibits political activity and the references to migration restrictions were toned down but nothing of substance has changed. The contracts signed before the 2019 change continue to remain in force, with no effort made to revoke them. </w:t>
      </w:r>
    </w:p>
    <w:p w:rsidR="00180EB8" w:rsidRPr="00D62AA4" w:rsidRDefault="00180EB8" w:rsidP="00180EB8">
      <w:pPr>
        <w:rPr>
          <w:rFonts w:ascii="Verdana" w:hAnsi="Verdana"/>
          <w:lang w:bidi="en-US"/>
        </w:rPr>
      </w:pPr>
      <w:r w:rsidRPr="00D62AA4">
        <w:rPr>
          <w:rFonts w:ascii="Verdana" w:hAnsi="Verdana"/>
          <w:lang w:bidi="en-US"/>
        </w:rPr>
        <w:t xml:space="preserve">Labour disputes of domestic workers with their employers must first be examined at the administrative level, where the Migration Department is also involved; this has the effect of deterring migrant workers from filing complaints against their employers and renders the procedure inaccessible to atypical workers who would be facing criminal charges and deportation. </w:t>
      </w:r>
    </w:p>
    <w:p w:rsidR="00180EB8" w:rsidRDefault="00180EB8" w:rsidP="00180EB8">
      <w:pPr>
        <w:rPr>
          <w:rFonts w:ascii="Verdana" w:hAnsi="Verdana"/>
          <w:lang w:bidi="en-US"/>
        </w:rPr>
      </w:pPr>
      <w:r w:rsidRPr="00D62AA4">
        <w:rPr>
          <w:rFonts w:ascii="Verdana" w:hAnsi="Verdana"/>
          <w:lang w:bidi="en-US"/>
        </w:rPr>
        <w:t>The salary fixed for domestic workers is set at €309 per month, corresponding to €1,40 per hour, whilst the monthly salary for caretakers in nursing homes is fixed at €870, rising to 920 after six months, corresponding to €4,55-€4,86 per hour. Given that domestic workers are racialised migrants, the wage disparity amounts to racial discrimination.</w:t>
      </w:r>
      <w:r w:rsidRPr="00D62AA4">
        <w:rPr>
          <w:rStyle w:val="FootnoteReference"/>
          <w:rFonts w:ascii="Verdana" w:hAnsi="Verdana"/>
          <w:lang w:bidi="en-US"/>
        </w:rPr>
        <w:footnoteReference w:id="19"/>
      </w:r>
    </w:p>
    <w:p w:rsidR="00E747BA" w:rsidRPr="00D62AA4" w:rsidRDefault="00E747BA" w:rsidP="00180EB8">
      <w:pPr>
        <w:rPr>
          <w:rFonts w:ascii="Verdana" w:hAnsi="Verdana"/>
          <w:lang w:bidi="en-US"/>
        </w:rPr>
      </w:pPr>
    </w:p>
    <w:p w:rsidR="006D7B6A" w:rsidRPr="00E747BA" w:rsidRDefault="00E747BA" w:rsidP="00E747BA">
      <w:pPr>
        <w:pStyle w:val="Heading1"/>
        <w:numPr>
          <w:ilvl w:val="0"/>
          <w:numId w:val="9"/>
        </w:numPr>
      </w:pPr>
      <w:r>
        <w:t xml:space="preserve">Gender based violence: The case of the Ayia Napa rape complaint. </w:t>
      </w:r>
    </w:p>
    <w:p w:rsidR="005419E4" w:rsidRPr="00D62AA4" w:rsidRDefault="005419E4" w:rsidP="005419E4">
      <w:pPr>
        <w:pStyle w:val="FRAListNumbered"/>
        <w:ind w:left="0"/>
      </w:pPr>
    </w:p>
    <w:p w:rsidR="005419E4" w:rsidRPr="00D62AA4" w:rsidRDefault="005419E4" w:rsidP="00605125">
      <w:pPr>
        <w:rPr>
          <w:rFonts w:ascii="Verdana" w:hAnsi="Verdana"/>
        </w:rPr>
      </w:pPr>
      <w:r w:rsidRPr="00605125">
        <w:rPr>
          <w:rFonts w:ascii="Verdana" w:hAnsi="Verdana"/>
        </w:rPr>
        <w:t xml:space="preserve">On 31 </w:t>
      </w:r>
      <w:r w:rsidR="00605125" w:rsidRPr="00605125">
        <w:rPr>
          <w:rFonts w:ascii="Verdana" w:hAnsi="Verdana"/>
        </w:rPr>
        <w:t>January</w:t>
      </w:r>
      <w:r w:rsidRPr="00605125">
        <w:rPr>
          <w:rFonts w:ascii="Verdana" w:hAnsi="Verdana"/>
        </w:rPr>
        <w:t xml:space="preserve"> 2022, the Supreme Court </w:t>
      </w:r>
      <w:hyperlink r:id="rId17" w:history="1">
        <w:r w:rsidRPr="00605125">
          <w:rPr>
            <w:rStyle w:val="Hyperlink"/>
            <w:rFonts w:ascii="Verdana" w:hAnsi="Verdana"/>
          </w:rPr>
          <w:t>reversed</w:t>
        </w:r>
      </w:hyperlink>
      <w:r w:rsidRPr="00605125">
        <w:rPr>
          <w:rFonts w:ascii="Verdana" w:hAnsi="Verdana"/>
        </w:rPr>
        <w:t xml:space="preserve"> the trial court conviction for public harm of a young female Briton who had filed a gang rape complaint at the police against a group of Israeli youths.</w:t>
      </w:r>
      <w:r w:rsidRPr="00605125">
        <w:rPr>
          <w:rStyle w:val="FootnoteReference"/>
          <w:rFonts w:ascii="Verdana" w:hAnsi="Verdana"/>
        </w:rPr>
        <w:footnoteReference w:id="20"/>
      </w:r>
      <w:r w:rsidRPr="00605125">
        <w:rPr>
          <w:rFonts w:ascii="Verdana" w:hAnsi="Verdana"/>
        </w:rPr>
        <w:t xml:space="preserve"> </w:t>
      </w:r>
      <w:r w:rsidR="00605125" w:rsidRPr="00605125">
        <w:rPr>
          <w:rFonts w:ascii="Verdana" w:hAnsi="Verdana"/>
        </w:rPr>
        <w:t xml:space="preserve">The woman had lodged a complaint with the police in </w:t>
      </w:r>
      <w:r w:rsidR="00605125">
        <w:rPr>
          <w:rFonts w:ascii="Verdana" w:hAnsi="Verdana"/>
        </w:rPr>
        <w:t>the</w:t>
      </w:r>
      <w:r w:rsidR="00605125" w:rsidRPr="00605125">
        <w:rPr>
          <w:rFonts w:ascii="Verdana" w:hAnsi="Verdana"/>
        </w:rPr>
        <w:t xml:space="preserve"> tourist resort</w:t>
      </w:r>
      <w:r w:rsidR="00605125">
        <w:rPr>
          <w:rFonts w:ascii="Verdana" w:hAnsi="Verdana"/>
        </w:rPr>
        <w:t xml:space="preserve"> of Ayia Napa</w:t>
      </w:r>
      <w:r w:rsidR="00605125" w:rsidRPr="00605125">
        <w:rPr>
          <w:rFonts w:ascii="Verdana" w:hAnsi="Verdana"/>
        </w:rPr>
        <w:t xml:space="preserve"> about having been gang-raped by 12 Israelis</w:t>
      </w:r>
      <w:r w:rsidR="00605125">
        <w:rPr>
          <w:rFonts w:ascii="Verdana" w:hAnsi="Verdana"/>
        </w:rPr>
        <w:t xml:space="preserve">; instead of her complaint being investigated and rather than being offered protection and support, she had been </w:t>
      </w:r>
      <w:r w:rsidR="00605125" w:rsidRPr="00605125">
        <w:rPr>
          <w:rFonts w:ascii="Verdana" w:hAnsi="Verdana"/>
        </w:rPr>
        <w:t>prosecuted</w:t>
      </w:r>
      <w:r w:rsidR="00605125">
        <w:rPr>
          <w:rFonts w:ascii="Verdana" w:hAnsi="Verdana"/>
        </w:rPr>
        <w:t xml:space="preserve"> for and convicted of </w:t>
      </w:r>
      <w:r w:rsidR="00605125" w:rsidRPr="00605125">
        <w:rPr>
          <w:rFonts w:ascii="Verdana" w:hAnsi="Verdana"/>
        </w:rPr>
        <w:t xml:space="preserve">having filed a false </w:t>
      </w:r>
      <w:r w:rsidR="00605125">
        <w:rPr>
          <w:rFonts w:ascii="Verdana" w:hAnsi="Verdana"/>
        </w:rPr>
        <w:t xml:space="preserve">rape </w:t>
      </w:r>
      <w:r w:rsidR="00605125" w:rsidRPr="00605125">
        <w:rPr>
          <w:rFonts w:ascii="Verdana" w:hAnsi="Verdana"/>
        </w:rPr>
        <w:t>claim</w:t>
      </w:r>
      <w:r w:rsidR="00605125">
        <w:rPr>
          <w:rFonts w:ascii="Verdana" w:hAnsi="Verdana"/>
        </w:rPr>
        <w:t xml:space="preserve"> and thus causing ‘public harm’</w:t>
      </w:r>
      <w:r w:rsidR="00605125" w:rsidRPr="00605125">
        <w:rPr>
          <w:rFonts w:ascii="Verdana" w:hAnsi="Verdana"/>
        </w:rPr>
        <w:t xml:space="preserve">. </w:t>
      </w:r>
      <w:r w:rsidR="00605125">
        <w:rPr>
          <w:rFonts w:ascii="Verdana" w:hAnsi="Verdana"/>
        </w:rPr>
        <w:t xml:space="preserve">When she filed the rape complaint, the police had </w:t>
      </w:r>
      <w:r w:rsidR="00605125" w:rsidRPr="00605125">
        <w:rPr>
          <w:rFonts w:ascii="Verdana" w:hAnsi="Verdana"/>
        </w:rPr>
        <w:t>subjected</w:t>
      </w:r>
      <w:r w:rsidR="00605125">
        <w:rPr>
          <w:rFonts w:ascii="Verdana" w:hAnsi="Verdana"/>
        </w:rPr>
        <w:t xml:space="preserve"> her</w:t>
      </w:r>
      <w:r w:rsidR="00605125" w:rsidRPr="00605125">
        <w:rPr>
          <w:rFonts w:ascii="Verdana" w:hAnsi="Verdana"/>
        </w:rPr>
        <w:t xml:space="preserve"> to seven hours of questioning without a lawyer present and was allegedly threatened and forced to retract her rape complaint; there was no NGO nor any other service to advise, support or protect her from secondary victimisation.</w:t>
      </w:r>
      <w:r w:rsidR="00605125" w:rsidRPr="00605125">
        <w:rPr>
          <w:rStyle w:val="FootnoteReference"/>
          <w:rFonts w:ascii="Verdana" w:hAnsi="Verdana"/>
        </w:rPr>
        <w:footnoteReference w:id="21"/>
      </w:r>
      <w:r w:rsidR="00605125">
        <w:rPr>
          <w:rFonts w:ascii="Verdana" w:hAnsi="Verdana"/>
        </w:rPr>
        <w:t xml:space="preserve"> </w:t>
      </w:r>
      <w:r w:rsidRPr="00605125">
        <w:rPr>
          <w:rFonts w:ascii="Verdana" w:hAnsi="Verdana"/>
        </w:rPr>
        <w:t>In spite of the fact that the Supreme Court ruling located several problems in the</w:t>
      </w:r>
      <w:r w:rsidRPr="00D62AA4">
        <w:rPr>
          <w:rFonts w:ascii="Verdana" w:hAnsi="Verdana"/>
        </w:rPr>
        <w:t xml:space="preserve"> police investigation procedure, no action was taken to investigate and prosecute the police officers involved. </w:t>
      </w:r>
    </w:p>
    <w:p w:rsidR="00605125" w:rsidRDefault="00605125" w:rsidP="005419E4">
      <w:pPr>
        <w:pStyle w:val="FRAListNumbered"/>
        <w:ind w:left="284"/>
      </w:pPr>
    </w:p>
    <w:p w:rsidR="00605125" w:rsidRPr="00D62AA4" w:rsidRDefault="00605125" w:rsidP="00605125">
      <w:pPr>
        <w:pStyle w:val="Heading1"/>
      </w:pPr>
      <w:r>
        <w:t>10. Gender based violence:</w:t>
      </w:r>
      <w:r w:rsidRPr="00605125">
        <w:t xml:space="preserve"> </w:t>
      </w:r>
      <w:r w:rsidRPr="00D62AA4">
        <w:t>Police officers who failed to investigate the disappearance of migrant women later found dead will not be prosecuted</w:t>
      </w:r>
    </w:p>
    <w:p w:rsidR="006D7B6A" w:rsidRPr="00D62AA4" w:rsidRDefault="006D7B6A" w:rsidP="006D7B6A">
      <w:pPr>
        <w:contextualSpacing/>
        <w:rPr>
          <w:rFonts w:ascii="Verdana" w:hAnsi="Verdana"/>
          <w:i/>
        </w:rPr>
      </w:pPr>
    </w:p>
    <w:p w:rsidR="006D7B6A" w:rsidRPr="00D62AA4" w:rsidRDefault="006D7B6A" w:rsidP="006D7B6A">
      <w:pPr>
        <w:contextualSpacing/>
        <w:rPr>
          <w:rFonts w:ascii="Verdana" w:hAnsi="Verdana"/>
        </w:rPr>
      </w:pPr>
      <w:r w:rsidRPr="00D62AA4">
        <w:rPr>
          <w:rFonts w:ascii="Verdana" w:hAnsi="Verdana"/>
          <w:iCs/>
        </w:rPr>
        <w:t xml:space="preserve">In June 2021 the new Attorney General decided not to prosecute 15 police officers for whom the former Attorney General had ordered a prosecution for neglect of duty, when they failed to promptly investigate complaints for the disappearance of seven migrant women and their children, who were eventually found murdered. </w:t>
      </w:r>
      <w:r w:rsidRPr="00D62AA4">
        <w:rPr>
          <w:rFonts w:ascii="Verdana" w:hAnsi="Verdana"/>
          <w:iCs/>
        </w:rPr>
        <w:lastRenderedPageBreak/>
        <w:t xml:space="preserve">The investigation against the police officers had been launched in 2019, after the dead bodies of seven migrant women and girls were discovered in suitcases at the bottom of a lake. All the women </w:t>
      </w:r>
      <w:r w:rsidRPr="00D62AA4">
        <w:rPr>
          <w:rFonts w:ascii="Verdana" w:hAnsi="Verdana"/>
        </w:rPr>
        <w:t>had been reported missing some years earlier by friends and relatives but their disappearances were not investigated by the police at the time. The Attorney General justified this decision not to prosecute the police officers involved on his conclusion that there was no wilful intent on their part. According to the Attorney general, the investigation revealed a series of systemic problems in the police relating to its organisational, training, ability and operational capacity, including a potential element of racist perceptions on the part of individual police members which must be addressed by the police leadership, however this does not lead to the conclusion of individual criminal liability for its members, although disciplinary measures will be considered.</w:t>
      </w:r>
      <w:r w:rsidRPr="00D62AA4">
        <w:rPr>
          <w:rStyle w:val="FootnoteReference"/>
          <w:rFonts w:ascii="Verdana" w:hAnsi="Verdana"/>
        </w:rPr>
        <w:t xml:space="preserve"> </w:t>
      </w:r>
      <w:r w:rsidRPr="00D62AA4">
        <w:rPr>
          <w:rStyle w:val="FootnoteReference"/>
          <w:rFonts w:ascii="Verdana" w:hAnsi="Verdana"/>
        </w:rPr>
        <w:footnoteReference w:id="22"/>
      </w:r>
      <w:r w:rsidRPr="00D62AA4">
        <w:rPr>
          <w:rFonts w:ascii="Verdana" w:hAnsi="Verdana"/>
        </w:rPr>
        <w:t xml:space="preserve"> The decision of the Attorney General led to negative reactions from civil society</w:t>
      </w:r>
      <w:r w:rsidRPr="00D62AA4">
        <w:rPr>
          <w:rStyle w:val="FootnoteReference"/>
          <w:rFonts w:ascii="Verdana" w:hAnsi="Verdana"/>
        </w:rPr>
        <w:footnoteReference w:id="23"/>
      </w:r>
      <w:r w:rsidRPr="00D62AA4">
        <w:rPr>
          <w:rFonts w:ascii="Verdana" w:hAnsi="Verdana"/>
        </w:rPr>
        <w:t xml:space="preserve"> and repeated street </w:t>
      </w:r>
      <w:bookmarkStart w:id="3" w:name="_Hlk77259186"/>
      <w:r w:rsidRPr="00D62AA4">
        <w:rPr>
          <w:rFonts w:ascii="Verdana" w:hAnsi="Verdana"/>
        </w:rPr>
        <w:t>mobilisations.</w:t>
      </w:r>
      <w:r w:rsidRPr="00D62AA4">
        <w:rPr>
          <w:rStyle w:val="FootnoteReference"/>
          <w:rFonts w:ascii="Verdana" w:hAnsi="Verdana"/>
        </w:rPr>
        <w:footnoteReference w:id="24"/>
      </w:r>
    </w:p>
    <w:bookmarkEnd w:id="3"/>
    <w:p w:rsidR="006D7B6A" w:rsidRPr="00D62AA4" w:rsidRDefault="006D7B6A" w:rsidP="006D7B6A">
      <w:pPr>
        <w:tabs>
          <w:tab w:val="left" w:pos="709"/>
          <w:tab w:val="left" w:pos="993"/>
        </w:tabs>
        <w:contextualSpacing/>
        <w:rPr>
          <w:rFonts w:ascii="Verdana" w:hAnsi="Verdana"/>
          <w:spacing w:val="-4"/>
          <w:shd w:val="clear" w:color="auto" w:fill="FFFFFF"/>
        </w:rPr>
      </w:pPr>
    </w:p>
    <w:p w:rsidR="006D7B6A" w:rsidRPr="00D62AA4" w:rsidRDefault="006D7B6A" w:rsidP="006D7B6A">
      <w:pPr>
        <w:tabs>
          <w:tab w:val="left" w:pos="709"/>
          <w:tab w:val="left" w:pos="993"/>
        </w:tabs>
        <w:contextualSpacing/>
        <w:rPr>
          <w:rFonts w:ascii="Verdana" w:hAnsi="Verdana"/>
          <w:spacing w:val="-4"/>
          <w:shd w:val="clear" w:color="auto" w:fill="FFFFFF"/>
        </w:rPr>
      </w:pPr>
    </w:p>
    <w:p w:rsidR="006D7B6A" w:rsidRPr="00D62AA4" w:rsidRDefault="00605125" w:rsidP="00605125">
      <w:pPr>
        <w:pStyle w:val="Heading1"/>
        <w:numPr>
          <w:ilvl w:val="0"/>
          <w:numId w:val="10"/>
        </w:numPr>
      </w:pPr>
      <w:r>
        <w:t xml:space="preserve">Right to education for children with disabilities: </w:t>
      </w:r>
      <w:r w:rsidR="006D7B6A" w:rsidRPr="00D62AA4">
        <w:t>Bill for inclusive education- reactions from the Commissioner for the rights of the child and the organised parents of children with disabilities</w:t>
      </w:r>
    </w:p>
    <w:p w:rsidR="006D7B6A" w:rsidRPr="00D62AA4" w:rsidRDefault="006D7B6A" w:rsidP="006D7B6A">
      <w:pPr>
        <w:pStyle w:val="FRAListNumbered"/>
        <w:ind w:left="284"/>
      </w:pPr>
    </w:p>
    <w:p w:rsidR="006D7B6A" w:rsidRPr="00D62AA4" w:rsidRDefault="006D7B6A" w:rsidP="006D7B6A">
      <w:pPr>
        <w:rPr>
          <w:rFonts w:ascii="Verdana" w:hAnsi="Verdana" w:cs="Times New Roman"/>
        </w:rPr>
      </w:pPr>
      <w:r w:rsidRPr="00D62AA4">
        <w:rPr>
          <w:rFonts w:ascii="Verdana" w:hAnsi="Verdana" w:cs="Times New Roman"/>
        </w:rPr>
        <w:t>In February 2019 the government proposed a bill purporting to amend the schooling system for children with disabilities which is until now based on the segregated model of special education.</w:t>
      </w:r>
      <w:r w:rsidRPr="00D62AA4">
        <w:rPr>
          <w:rFonts w:ascii="Verdana" w:hAnsi="Verdana" w:cs="Times New Roman"/>
          <w:vertAlign w:val="superscript"/>
        </w:rPr>
        <w:footnoteReference w:id="25"/>
      </w:r>
      <w:r w:rsidRPr="00D62AA4">
        <w:rPr>
          <w:rFonts w:ascii="Verdana" w:hAnsi="Verdana" w:cs="Times New Roman"/>
        </w:rPr>
        <w:t xml:space="preserve"> The bill was open to consultation with stakeholders and its final draft was published in May 2021 for final stakeholders’ consultation. In June 2021, the Commissioner for the rights of the child published her comments as regards the compatibility of this bill with the CRPD, flagging a number of problems.</w:t>
      </w:r>
      <w:r w:rsidRPr="00D62AA4">
        <w:rPr>
          <w:rFonts w:ascii="Verdana" w:hAnsi="Verdana" w:cs="Times New Roman"/>
          <w:vertAlign w:val="superscript"/>
        </w:rPr>
        <w:footnoteReference w:id="26"/>
      </w:r>
    </w:p>
    <w:p w:rsidR="00605125" w:rsidRDefault="00605125" w:rsidP="006D7B6A">
      <w:pPr>
        <w:rPr>
          <w:rFonts w:ascii="Verdana" w:hAnsi="Verdana" w:cs="Times New Roman"/>
        </w:rPr>
      </w:pPr>
    </w:p>
    <w:p w:rsidR="006D7B6A" w:rsidRPr="00D62AA4" w:rsidRDefault="006D7B6A" w:rsidP="006D7B6A">
      <w:pPr>
        <w:rPr>
          <w:rFonts w:ascii="Verdana" w:hAnsi="Verdana" w:cs="Times New Roman"/>
        </w:rPr>
      </w:pPr>
      <w:r w:rsidRPr="00D62AA4">
        <w:rPr>
          <w:rFonts w:ascii="Verdana" w:hAnsi="Verdana" w:cs="Times New Roman"/>
        </w:rPr>
        <w:t xml:space="preserve">The Commissioner cited the principle of bests interests of the child and the right to non-discrimination enshrined in the Un Convention for the rights of the child as well as duty under the CRPD not to exclude children from the general schooling system due to their disability, providing reasonable accommodation of the child’s needs and the necessary support within the general education system, to facilitate education under conditions of inclusion. It stressed that inclusive education is not achieved by changing the system only for children with specific characteristics but through the creation of a system for all children at all levels of education. Instead, </w:t>
      </w:r>
      <w:r w:rsidRPr="00D62AA4">
        <w:rPr>
          <w:rFonts w:ascii="Verdana" w:hAnsi="Verdana" w:cs="Times New Roman"/>
        </w:rPr>
        <w:lastRenderedPageBreak/>
        <w:t>the proposed law focuses on ‘support’ rather than education and does not define support nor does it establish how this is connected to education. It does not reflect inclusive education as foreseen in the General Comments of the UN Committees and the CRPD, but instead promotes an improvement of the current system of integrating children on the basis of their classification rather than creating a new system of inclusive education for all. In fact, the problematic aspects of the existing law and the segregated structures in schools are enforced, the only change proposed is to replace the term ‘integrated education’ with the term ‘inclusion’ without the necessary institutional and holistic changes. The proposed law maintains the nucleus of segregated education, proposing a better integration rather than inclusive education and cannot be seen as an educational reform, as it does not introduce substantial changes but merely a change in the terminology, indicating the absence of political will on the part of the competent authority to abolish segregation. The vague reference to innovative ideas without measurable criteria for implementation and without compliance duties does not provide added value to the usefulness and effectiveness of a legal tool. The Commissioner proposed specific changes to remove provisions which:</w:t>
      </w:r>
    </w:p>
    <w:p w:rsidR="006D7B6A" w:rsidRPr="00D62AA4" w:rsidRDefault="006D7B6A" w:rsidP="006D7B6A">
      <w:pPr>
        <w:rPr>
          <w:rFonts w:ascii="Verdana" w:hAnsi="Verdana" w:cs="Times New Roman"/>
        </w:rPr>
      </w:pPr>
      <w:r w:rsidRPr="00D62AA4">
        <w:rPr>
          <w:rFonts w:ascii="Verdana" w:hAnsi="Verdana" w:cs="Times New Roman"/>
        </w:rPr>
        <w:t xml:space="preserve">- medicalise disability, </w:t>
      </w:r>
    </w:p>
    <w:p w:rsidR="006D7B6A" w:rsidRPr="00D62AA4" w:rsidRDefault="006D7B6A" w:rsidP="006D7B6A">
      <w:pPr>
        <w:rPr>
          <w:rFonts w:ascii="Verdana" w:hAnsi="Verdana" w:cs="Times New Roman"/>
        </w:rPr>
      </w:pPr>
      <w:r w:rsidRPr="00D62AA4">
        <w:rPr>
          <w:rFonts w:ascii="Verdana" w:hAnsi="Verdana" w:cs="Times New Roman"/>
        </w:rPr>
        <w:t>- place a disproportionate burden on teachers</w:t>
      </w:r>
    </w:p>
    <w:p w:rsidR="006D7B6A" w:rsidRPr="00D62AA4" w:rsidRDefault="006D7B6A" w:rsidP="006D7B6A">
      <w:pPr>
        <w:rPr>
          <w:rFonts w:ascii="Verdana" w:hAnsi="Verdana" w:cs="Times New Roman"/>
        </w:rPr>
      </w:pPr>
      <w:r w:rsidRPr="00D62AA4">
        <w:rPr>
          <w:rFonts w:ascii="Verdana" w:hAnsi="Verdana" w:cs="Times New Roman"/>
        </w:rPr>
        <w:t>- create uncertainties and complicated models and structures</w:t>
      </w:r>
    </w:p>
    <w:p w:rsidR="006D7B6A" w:rsidRPr="00D62AA4" w:rsidRDefault="006D7B6A" w:rsidP="006D7B6A">
      <w:pPr>
        <w:rPr>
          <w:rFonts w:ascii="Verdana" w:hAnsi="Verdana" w:cs="Times New Roman"/>
        </w:rPr>
      </w:pPr>
      <w:r w:rsidRPr="00D62AA4">
        <w:rPr>
          <w:rFonts w:ascii="Verdana" w:hAnsi="Verdana" w:cs="Times New Roman"/>
        </w:rPr>
        <w:t>and called on the government to present a fresh proposal within the parameters of the CRPD and the specifications set by the competent UN Committees and sent a copy of her position to the Ministry of Education, to Parliament and to the organisations that had requested her views.</w:t>
      </w:r>
    </w:p>
    <w:p w:rsidR="006D7B6A" w:rsidRPr="00D62AA4" w:rsidRDefault="006D7B6A" w:rsidP="006D7B6A">
      <w:pPr>
        <w:rPr>
          <w:rFonts w:ascii="Verdana" w:hAnsi="Verdana" w:cs="Times New Roman"/>
        </w:rPr>
      </w:pPr>
      <w:r w:rsidRPr="00D62AA4">
        <w:rPr>
          <w:rFonts w:ascii="Verdana" w:hAnsi="Verdana" w:cs="Times New Roman"/>
        </w:rPr>
        <w:t>The organisations of parents of children with various disabilities issued a common statement calling on the government to redraft the proposed law on the basis of the rights and philosophy of the CRPD and open dialogue with experts, academics, lawyers and civil society organisations. The press statement noted that as of 2017 the UN Committee on the CRPD had requested the Cypriot government to prepare a targeted legal framework for inclusive education; the preamble to the proposed law is in the right direction but the content and the regulations do exactly the opposite, they propose an upgrade of the existing segregated system, essentially legitimising the practices of the past.</w:t>
      </w:r>
      <w:r w:rsidRPr="00D62AA4">
        <w:rPr>
          <w:rStyle w:val="FootnoteReference"/>
          <w:rFonts w:ascii="Verdana" w:hAnsi="Verdana" w:cs="Times New Roman"/>
        </w:rPr>
        <w:footnoteReference w:id="27"/>
      </w:r>
    </w:p>
    <w:p w:rsidR="006D7B6A" w:rsidRDefault="006D7B6A" w:rsidP="006975CB">
      <w:pPr>
        <w:rPr>
          <w:rStyle w:val="d2edcug0"/>
          <w:rFonts w:ascii="Verdana" w:hAnsi="Verdana"/>
        </w:rPr>
      </w:pPr>
    </w:p>
    <w:p w:rsidR="008F1892" w:rsidRDefault="008F1892" w:rsidP="008F1892">
      <w:pPr>
        <w:pStyle w:val="Heading1"/>
        <w:numPr>
          <w:ilvl w:val="0"/>
          <w:numId w:val="10"/>
        </w:numPr>
        <w:rPr>
          <w:rStyle w:val="d2edcug0"/>
          <w:rFonts w:ascii="Verdana" w:hAnsi="Verdana"/>
        </w:rPr>
      </w:pPr>
      <w:r>
        <w:rPr>
          <w:rStyle w:val="d2edcug0"/>
          <w:rFonts w:ascii="Verdana" w:hAnsi="Verdana"/>
        </w:rPr>
        <w:t>The situation of asylum seekers in the closed camps</w:t>
      </w:r>
    </w:p>
    <w:p w:rsidR="008F1892" w:rsidRDefault="008F1892" w:rsidP="006975CB">
      <w:pPr>
        <w:rPr>
          <w:rStyle w:val="d2edcug0"/>
          <w:rFonts w:ascii="Verdana" w:hAnsi="Verdana"/>
        </w:rPr>
      </w:pPr>
    </w:p>
    <w:p w:rsidR="008F1892" w:rsidRDefault="008F1892" w:rsidP="008F1892">
      <w:pPr>
        <w:contextualSpacing/>
        <w:rPr>
          <w:rFonts w:ascii="Verdana" w:eastAsia="Calibri" w:hAnsi="Verdana" w:cs="Times New Roman"/>
        </w:rPr>
      </w:pPr>
      <w:r w:rsidRPr="008F1892">
        <w:rPr>
          <w:rFonts w:ascii="Verdana" w:eastAsia="Calibri" w:hAnsi="Verdana" w:cs="Times New Roman"/>
        </w:rPr>
        <w:t xml:space="preserve">UNHCR reported that in November 2021 the Pournara First Reception Camp reached an all-time low, accommodating asylum seekers at more than 200% capacity. The camp has a housing capacity for 400 people, sleeping capacity in tents for another 200 people and capacity in quarantine sections for another 400, totalling 1,000 maximum. In November </w:t>
      </w:r>
      <w:r>
        <w:rPr>
          <w:rFonts w:ascii="Verdana" w:eastAsia="Calibri" w:hAnsi="Verdana" w:cs="Times New Roman"/>
        </w:rPr>
        <w:t xml:space="preserve">2021 </w:t>
      </w:r>
      <w:r w:rsidRPr="008F1892">
        <w:rPr>
          <w:rFonts w:ascii="Verdana" w:eastAsia="Calibri" w:hAnsi="Verdana" w:cs="Times New Roman"/>
        </w:rPr>
        <w:t xml:space="preserve">however, the camp occupancy rose to 2,800, owing mainly to the fact that the outflow that could lead to decongestion </w:t>
      </w:r>
      <w:r>
        <w:rPr>
          <w:rFonts w:ascii="Verdana" w:eastAsia="Calibri" w:hAnsi="Verdana" w:cs="Times New Roman"/>
        </w:rPr>
        <w:t>was</w:t>
      </w:r>
      <w:r w:rsidRPr="008F1892">
        <w:rPr>
          <w:rFonts w:ascii="Verdana" w:eastAsia="Calibri" w:hAnsi="Verdana" w:cs="Times New Roman"/>
        </w:rPr>
        <w:t xml:space="preserve"> not as regular as it ought to be. This was attributed primarily to the lack of affordable housing in the community, which discourage</w:t>
      </w:r>
      <w:r>
        <w:rPr>
          <w:rFonts w:ascii="Verdana" w:eastAsia="Calibri" w:hAnsi="Verdana" w:cs="Times New Roman"/>
        </w:rPr>
        <w:t>d</w:t>
      </w:r>
      <w:r w:rsidRPr="008F1892">
        <w:rPr>
          <w:rFonts w:ascii="Verdana" w:eastAsia="Calibri" w:hAnsi="Verdana" w:cs="Times New Roman"/>
        </w:rPr>
        <w:t xml:space="preserve"> Pournara residents from leaving the camp. </w:t>
      </w:r>
      <w:r>
        <w:rPr>
          <w:rFonts w:ascii="Verdana" w:eastAsia="Calibri" w:hAnsi="Verdana" w:cs="Times New Roman"/>
        </w:rPr>
        <w:t xml:space="preserve">The NGO </w:t>
      </w:r>
      <w:r w:rsidRPr="008F1892">
        <w:rPr>
          <w:rFonts w:ascii="Verdana" w:eastAsia="Calibri" w:hAnsi="Verdana" w:cs="Times New Roman"/>
        </w:rPr>
        <w:t xml:space="preserve">Generation for Change Cy reported that homelessness and destitution in the community often results in former Pournara residents </w:t>
      </w:r>
      <w:r w:rsidRPr="008F1892">
        <w:rPr>
          <w:rFonts w:ascii="Verdana" w:eastAsia="Calibri" w:hAnsi="Verdana" w:cs="Times New Roman"/>
        </w:rPr>
        <w:lastRenderedPageBreak/>
        <w:t xml:space="preserve">returning to Pournara for a plate of food and a corner to sleep, particularly as winter approaches and temperatures drop. UNHCR reported that doctors assigned to the camp are few and irregular, with many doctors leaving the camp, resulting in gap periods of having no doctor on site until a new one is appointed. Only one doctor remains in the camp on a long-term basis, but cannot cope with nearly a population of 2,800 persons. </w:t>
      </w:r>
    </w:p>
    <w:p w:rsidR="008F1892" w:rsidRDefault="008F1892" w:rsidP="008F1892">
      <w:pPr>
        <w:contextualSpacing/>
        <w:rPr>
          <w:rFonts w:ascii="Verdana" w:eastAsia="Calibri" w:hAnsi="Verdana" w:cs="Times New Roman"/>
        </w:rPr>
      </w:pPr>
    </w:p>
    <w:p w:rsidR="008F1892" w:rsidRPr="008F1892" w:rsidRDefault="008F1892" w:rsidP="008F1892">
      <w:pPr>
        <w:contextualSpacing/>
        <w:rPr>
          <w:rFonts w:ascii="Verdana" w:eastAsia="Calibri" w:hAnsi="Verdana" w:cs="Times New Roman"/>
          <w:lang w:bidi="en-US"/>
        </w:rPr>
      </w:pPr>
      <w:r w:rsidRPr="008F1892">
        <w:rPr>
          <w:rFonts w:ascii="Verdana" w:eastAsia="Calibri" w:hAnsi="Verdana" w:cs="Times New Roman"/>
        </w:rPr>
        <w:t xml:space="preserve">A </w:t>
      </w:r>
      <w:hyperlink r:id="rId18" w:history="1">
        <w:r w:rsidRPr="008F1892">
          <w:rPr>
            <w:rFonts w:ascii="Verdana" w:eastAsia="Calibri" w:hAnsi="Verdana" w:cs="Times New Roman"/>
            <w:color w:val="0000FF"/>
            <w:u w:val="single"/>
          </w:rPr>
          <w:t>visit from the Human Rights Parliamentary Committee</w:t>
        </w:r>
      </w:hyperlink>
      <w:r w:rsidRPr="008F1892">
        <w:rPr>
          <w:rFonts w:ascii="Verdana" w:eastAsia="Calibri" w:hAnsi="Verdana" w:cs="Times New Roman"/>
        </w:rPr>
        <w:t xml:space="preserve"> to the Pournara Reception Camp in December 2021 confirmed the camp’s overcrowded and inhumane conditions. The MPs described the living conditions at Pournara as shocking, warning also that the situation in the surrounding communities is ‘a ticking time bomb’. The camp’s capacity of 600 people was heavily surpassed, with around 2,500 residents, including </w:t>
      </w:r>
      <w:r w:rsidRPr="008F1892">
        <w:rPr>
          <w:rFonts w:ascii="Verdana" w:eastAsia="Calibri" w:hAnsi="Verdana" w:cs="Times New Roman"/>
          <w:lang w:bidi="en-US"/>
        </w:rPr>
        <w:t xml:space="preserve">287 unaccompanied minors aged 15 1/2 and under and 1,000 persons without beds to sleep on, inadequate infrastructure and overflowing sewers. The </w:t>
      </w:r>
      <w:hyperlink r:id="rId19" w:history="1">
        <w:r w:rsidRPr="008F1892">
          <w:rPr>
            <w:rFonts w:ascii="Verdana" w:eastAsia="Calibri" w:hAnsi="Verdana" w:cs="Times New Roman"/>
            <w:color w:val="0000FF"/>
            <w:u w:val="single"/>
            <w:lang w:bidi="en-US"/>
          </w:rPr>
          <w:t>Interior Ministry stated</w:t>
        </w:r>
      </w:hyperlink>
      <w:r w:rsidRPr="008F1892">
        <w:rPr>
          <w:rFonts w:ascii="Verdana" w:eastAsia="Calibri" w:hAnsi="Verdana" w:cs="Times New Roman"/>
          <w:lang w:bidi="en-US"/>
        </w:rPr>
        <w:t xml:space="preserve"> that the deterioration of reception conditions is due to the increase in migration flows which put a pressure on the system and the infrastructures and that efforts are concentrated in examining manifestly unfounded applications through speedy procedures, adding that in 2021 14,762 decisions were issued compared to 6,468 in 202 and 5,164 in 2019. The Cyprus Refugee Council stated that in spite of the accelerated procedures, decisions on asylum claims take, on average, three years and despite the introduction of the acceleration system for the manifestly unfounded applications, it was not clear who was given priority and the system of ‘safe third country’ did not seem to be working. </w:t>
      </w:r>
    </w:p>
    <w:p w:rsidR="008F1892" w:rsidRPr="008F1892" w:rsidRDefault="008F1892" w:rsidP="008F1892">
      <w:pPr>
        <w:ind w:left="284"/>
        <w:contextualSpacing/>
        <w:rPr>
          <w:rFonts w:ascii="Verdana" w:eastAsia="Calibri" w:hAnsi="Verdana" w:cs="Times New Roman"/>
        </w:rPr>
      </w:pPr>
    </w:p>
    <w:p w:rsidR="008F1892" w:rsidRPr="008F1892" w:rsidRDefault="008F1892" w:rsidP="008F1892">
      <w:pPr>
        <w:ind w:left="284"/>
        <w:contextualSpacing/>
        <w:rPr>
          <w:rFonts w:ascii="Verdana" w:eastAsia="Calibri" w:hAnsi="Verdana" w:cs="Times New Roman"/>
          <w:i/>
          <w:iCs/>
        </w:rPr>
      </w:pPr>
      <w:r w:rsidRPr="008F1892">
        <w:rPr>
          <w:rFonts w:ascii="Verdana" w:eastAsia="Calibri" w:hAnsi="Verdana" w:cs="Times New Roman"/>
          <w:i/>
          <w:iCs/>
        </w:rPr>
        <w:t>Amsterdam Court decision</w:t>
      </w:r>
    </w:p>
    <w:p w:rsidR="008F1892" w:rsidRPr="008F1892" w:rsidRDefault="008F1892" w:rsidP="008F1892">
      <w:pPr>
        <w:ind w:left="284"/>
        <w:contextualSpacing/>
        <w:rPr>
          <w:rFonts w:ascii="Verdana" w:eastAsia="Calibri" w:hAnsi="Verdana" w:cs="Times New Roman"/>
        </w:rPr>
      </w:pPr>
    </w:p>
    <w:p w:rsidR="008F1892" w:rsidRPr="008F1892" w:rsidRDefault="008F1892" w:rsidP="008F1892">
      <w:pPr>
        <w:contextualSpacing/>
        <w:rPr>
          <w:rFonts w:ascii="Verdana" w:eastAsia="Times New Roman" w:hAnsi="Verdana" w:cs="Times New Roman"/>
          <w:color w:val="000000"/>
          <w:lang w:bidi="en-US"/>
        </w:rPr>
      </w:pPr>
      <w:r w:rsidRPr="008F1892">
        <w:rPr>
          <w:rFonts w:ascii="Verdana" w:eastAsia="Calibri" w:hAnsi="Verdana" w:cs="Times New Roman"/>
        </w:rPr>
        <w:t xml:space="preserve">On 15 December 2021 a Dutch Court (Rb Amsterdam, NL21.17448 en NL.1745) permitted asylum applicants whose first asylum country was Cyprus to be included in the </w:t>
      </w:r>
      <w:r w:rsidRPr="008F1892">
        <w:rPr>
          <w:rFonts w:ascii="Verdana" w:eastAsia="Times New Roman" w:hAnsi="Verdana" w:cs="Times New Roman"/>
          <w:color w:val="000000"/>
          <w:lang w:bidi="en-US"/>
        </w:rPr>
        <w:t>Dutch asylum procedure</w:t>
      </w:r>
      <w:r w:rsidRPr="008F1892">
        <w:rPr>
          <w:rFonts w:ascii="Verdana" w:eastAsia="Calibri" w:hAnsi="Verdana" w:cs="Times New Roman"/>
        </w:rPr>
        <w:t xml:space="preserve"> because the alternative of returning to Cyprus entailed the risk of being</w:t>
      </w:r>
      <w:r w:rsidRPr="008F1892">
        <w:rPr>
          <w:rFonts w:ascii="Verdana" w:eastAsia="Times New Roman" w:hAnsi="Verdana" w:cs="Times New Roman"/>
          <w:color w:val="000000"/>
          <w:lang w:bidi="en-US"/>
        </w:rPr>
        <w:t xml:space="preserve"> subjected to degrading or inhumane treatment due to bad reception conditions. With regard to the emergency reception centre Pournara, the Court of Haarlem had already ruled in March 2021 that it had been sufficiently substantiated that it did not offer adequate reception. Additional information presented to the Court showed that reception facilities in Cyprus further deteriorated in September and October 2021and their chances of being assigned to private accommodation with a financial contribution from the government were very limited. The Court noted that the restrictive policy in respect of the government's financial contribution and sharp increases in rent have led asylum seekers to homelessness, whilst the filing of complaints against Cypriot authorities for lack of adequate shelter was not a viable option. </w:t>
      </w:r>
    </w:p>
    <w:p w:rsidR="008F1892" w:rsidRPr="008F1892" w:rsidRDefault="008F1892" w:rsidP="008F1892">
      <w:pPr>
        <w:ind w:left="284"/>
        <w:contextualSpacing/>
        <w:rPr>
          <w:rFonts w:ascii="Verdana" w:eastAsia="Times New Roman" w:hAnsi="Verdana" w:cs="Times New Roman"/>
          <w:color w:val="000000"/>
          <w:lang w:bidi="en-US"/>
        </w:rPr>
      </w:pPr>
    </w:p>
    <w:p w:rsidR="008F1892" w:rsidRPr="008F1892" w:rsidRDefault="008F1892" w:rsidP="008F1892">
      <w:pPr>
        <w:ind w:left="284"/>
        <w:contextualSpacing/>
        <w:rPr>
          <w:rFonts w:ascii="Verdana" w:eastAsia="Times New Roman" w:hAnsi="Verdana" w:cs="Times New Roman"/>
          <w:i/>
          <w:iCs/>
          <w:color w:val="000000"/>
          <w:lang w:bidi="en-US"/>
        </w:rPr>
      </w:pPr>
      <w:r w:rsidRPr="008F1892">
        <w:rPr>
          <w:rFonts w:ascii="Verdana" w:eastAsia="Times New Roman" w:hAnsi="Verdana" w:cs="Times New Roman"/>
          <w:i/>
          <w:iCs/>
          <w:color w:val="000000"/>
          <w:lang w:bidi="en-US"/>
        </w:rPr>
        <w:t>New Camp at Limnes</w:t>
      </w:r>
    </w:p>
    <w:p w:rsidR="008F1892" w:rsidRPr="008F1892" w:rsidRDefault="008F1892" w:rsidP="008F1892">
      <w:pPr>
        <w:ind w:left="284"/>
        <w:contextualSpacing/>
        <w:rPr>
          <w:rFonts w:ascii="Verdana" w:eastAsia="Times New Roman" w:hAnsi="Verdana" w:cs="Times New Roman"/>
          <w:color w:val="000000"/>
          <w:lang w:bidi="en-US"/>
        </w:rPr>
      </w:pPr>
    </w:p>
    <w:p w:rsidR="008F1892" w:rsidRPr="008F1892" w:rsidRDefault="008F1892" w:rsidP="008F1892">
      <w:pPr>
        <w:contextualSpacing/>
        <w:rPr>
          <w:rFonts w:ascii="Verdana" w:eastAsia="Calibri" w:hAnsi="Verdana" w:cs="Times New Roman"/>
          <w:lang w:bidi="en-US"/>
        </w:rPr>
      </w:pPr>
      <w:r w:rsidRPr="008F1892">
        <w:rPr>
          <w:rFonts w:ascii="Verdana" w:eastAsia="Calibri" w:hAnsi="Verdana" w:cs="Times New Roman"/>
        </w:rPr>
        <w:t xml:space="preserve">UNHCR reported that in November, the camp for accommodating asylum seekers which had been set up in the remote and deserted area of Limnes was put into operation for the first time, following a series of COVID-19 incidents in the Pournara camp. The COVID-19 outbreak in Pournara led the Interior Ministry to order the transfer to the Limnes camp of about 600 Pournara residents who had been close contacts of the residents infected with COVID-19. For their transport, </w:t>
      </w:r>
      <w:r w:rsidRPr="008F1892">
        <w:rPr>
          <w:rFonts w:ascii="Verdana" w:eastAsia="Calibri" w:hAnsi="Verdana" w:cs="Times New Roman"/>
          <w:lang w:bidi="en-US"/>
        </w:rPr>
        <w:t xml:space="preserve">the Interior Ministry </w:t>
      </w:r>
      <w:hyperlink r:id="rId20" w:anchor=".YcOC4-an7dc.facebook" w:history="1">
        <w:r w:rsidRPr="008F1892">
          <w:rPr>
            <w:rFonts w:ascii="Verdana" w:eastAsia="Calibri" w:hAnsi="Verdana" w:cs="Times New Roman"/>
            <w:color w:val="0000FF"/>
            <w:u w:val="single"/>
            <w:lang w:bidi="en-US"/>
          </w:rPr>
          <w:t>mandated the army</w:t>
        </w:r>
      </w:hyperlink>
      <w:r w:rsidRPr="008F1892">
        <w:rPr>
          <w:rFonts w:ascii="Verdana" w:eastAsia="Calibri" w:hAnsi="Verdana" w:cs="Times New Roman"/>
          <w:lang w:bidi="en-US"/>
        </w:rPr>
        <w:t xml:space="preserve"> giving rise to criticisms from the NGO </w:t>
      </w:r>
      <w:hyperlink r:id="rId21" w:history="1">
        <w:r w:rsidRPr="008F1892">
          <w:rPr>
            <w:rFonts w:ascii="Verdana" w:eastAsia="Calibri" w:hAnsi="Verdana" w:cs="Times New Roman"/>
            <w:color w:val="0000FF"/>
            <w:u w:val="single"/>
            <w:lang w:bidi="en-US"/>
          </w:rPr>
          <w:t xml:space="preserve">KISA </w:t>
        </w:r>
      </w:hyperlink>
      <w:r w:rsidRPr="008F1892">
        <w:rPr>
          <w:rFonts w:ascii="Verdana" w:eastAsia="Calibri" w:hAnsi="Verdana" w:cs="Times New Roman"/>
          <w:lang w:bidi="en-US"/>
        </w:rPr>
        <w:t xml:space="preserve">who argued that the secrecy under which the operation was organised and </w:t>
      </w:r>
      <w:r w:rsidRPr="008F1892">
        <w:rPr>
          <w:rFonts w:ascii="Verdana" w:eastAsia="Calibri" w:hAnsi="Verdana" w:cs="Times New Roman"/>
          <w:lang w:bidi="en-US"/>
        </w:rPr>
        <w:lastRenderedPageBreak/>
        <w:t xml:space="preserve">executed, spread panic amongst asylum seekers who related that experience with the military persecution they sustained in their countries of origin and sparked fears of deportation through expedited procedures. Generation for Change CY received reports from the asylum seekers transferred to Limnes that they received no information as to where they were taken, that the camp had no facilities, the prefabricated houses were too cold for them to sleep and no mattresses were provided. The Cyprus Refugee Council stated that, after the initial shock, some of the persons transported to Limnes started leaving the camp on foot since the gates were open. </w:t>
      </w:r>
    </w:p>
    <w:p w:rsidR="008F1892" w:rsidRPr="008F1892" w:rsidRDefault="008F1892" w:rsidP="008F1892">
      <w:pPr>
        <w:ind w:left="284"/>
        <w:contextualSpacing/>
        <w:rPr>
          <w:rFonts w:ascii="Verdana" w:eastAsia="Calibri" w:hAnsi="Verdana" w:cs="Times New Roman"/>
        </w:rPr>
      </w:pPr>
    </w:p>
    <w:p w:rsidR="008F1892" w:rsidRPr="008F1892" w:rsidRDefault="008F1892" w:rsidP="008F1892">
      <w:pPr>
        <w:contextualSpacing/>
        <w:rPr>
          <w:rFonts w:ascii="Verdana" w:eastAsia="Calibri" w:hAnsi="Verdana" w:cs="Times New Roman"/>
          <w:lang w:bidi="en-US"/>
        </w:rPr>
      </w:pPr>
      <w:r w:rsidRPr="008F1892">
        <w:rPr>
          <w:rFonts w:ascii="Verdana" w:eastAsia="Calibri" w:hAnsi="Verdana" w:cs="Times New Roman"/>
        </w:rPr>
        <w:t xml:space="preserve">UNHCR reported that the infrastructure at Limnes is inadequate: persons had to sleep on the floor without mattresses, there is no electricity and no heating, the small houses with a capacity of six were used to accommodate nine to ten persons, many sleeping on the ground with just one blanket. Some of these people started developing serious COVID-19 symptoms, without being given access to medical care or medication. A doctor was assigned to the camp, but she did not examine any of the sick residents because the infrastructure was inadequate and unsafe and she was not given clear instructions what to do. In one case of a seriously ill COVID-19 patient in Limnes, the UNHCR officer inside the camp called an ambulance to transport him to the hospital, however the camp doctor said that this violated the protocol, according to which a person must have symptoms for three consecutive days before an ambulance is called. According to the medical protocol in place, the residents must take their own temperature and measure their own oxygen levels with thermometers and oxygen metres supplied to them and at the same time take selfies of themselves doing so and report to the camp management whether symptoms persist for three days, in order to determine if an ambulance will be called. The residents are not given warm clothes, the food served is inappropriate for sick people and there are no facilities for making hot tea to alleviate symptoms. Only one blanket is handed to people when they check into the camp and this is used on the floor in order to sleep on it, as there are no mattresses. The prefabricated houses all leak during rain, three houses flew away when strong wind was blowing and there is no place for the residents to sit outside. The camp does not have separate sections for men and women and the women’s bathrooms are in the same building as the men’s bathroom. UNHCR described the Limnes camp as worse than the Pournara camp which attracted considerable criticism since the outbreak of the pandemic. </w:t>
      </w:r>
      <w:hyperlink r:id="rId22" w:history="1">
        <w:r w:rsidRPr="008F1892">
          <w:rPr>
            <w:rFonts w:ascii="Verdana" w:eastAsia="Calibri" w:hAnsi="Verdana" w:cs="Times New Roman"/>
            <w:color w:val="0000FF"/>
            <w:u w:val="single"/>
            <w:lang w:bidi="en-US"/>
          </w:rPr>
          <w:t>Media reports</w:t>
        </w:r>
      </w:hyperlink>
      <w:r w:rsidRPr="008F1892">
        <w:rPr>
          <w:rFonts w:ascii="Verdana" w:eastAsia="Calibri" w:hAnsi="Verdana" w:cs="Times New Roman"/>
          <w:lang w:bidi="en-US"/>
        </w:rPr>
        <w:t xml:space="preserve"> published in December 2021 stated that the Limnes camp remained unutilised because it failed to receive EU funding, after the EU representation identified serious infrastructure problems, such as inadequate number of toilets and failure to separate men from women. The </w:t>
      </w:r>
      <w:hyperlink r:id="rId23" w:history="1">
        <w:r w:rsidRPr="008F1892">
          <w:rPr>
            <w:rFonts w:ascii="Verdana" w:eastAsia="Calibri" w:hAnsi="Verdana" w:cs="Times New Roman"/>
            <w:color w:val="0000FF"/>
            <w:u w:val="single"/>
            <w:lang w:bidi="en-US"/>
          </w:rPr>
          <w:t>Interior Ministry stated</w:t>
        </w:r>
      </w:hyperlink>
      <w:r w:rsidRPr="008F1892">
        <w:rPr>
          <w:rFonts w:ascii="Verdana" w:eastAsia="Calibri" w:hAnsi="Verdana" w:cs="Times New Roman"/>
          <w:lang w:bidi="en-US"/>
        </w:rPr>
        <w:t xml:space="preserve"> that the new camp was set up using national funds without requesting EU funding because there was no time to wait for such a time-consuming procedure. The Ministry statement did not explain why the camp remained unutilised more than six months after it was built.  The Ministry rejected media allegations that the camp failed to attract EU funding because it did not meet minimum specifications. The Ministry added that a second pre-departure centre built next to the Limnes camp already secured EASO consent in order to be submitted for funding. UNHCR reported that Limnes failed to get either EU or UN funding because of its substandard infrastructure. </w:t>
      </w:r>
    </w:p>
    <w:p w:rsidR="008F1892" w:rsidRPr="008F1892" w:rsidRDefault="008F1892" w:rsidP="008F1892">
      <w:pPr>
        <w:tabs>
          <w:tab w:val="left" w:pos="709"/>
          <w:tab w:val="left" w:pos="993"/>
        </w:tabs>
        <w:ind w:left="709"/>
        <w:contextualSpacing/>
        <w:rPr>
          <w:rFonts w:ascii="Verdana" w:eastAsia="Calibri" w:hAnsi="Verdana" w:cs="Times New Roman"/>
        </w:rPr>
      </w:pPr>
    </w:p>
    <w:p w:rsidR="008F1892" w:rsidRPr="008F1892" w:rsidRDefault="008F1892" w:rsidP="008F1892">
      <w:pPr>
        <w:contextualSpacing/>
        <w:rPr>
          <w:rFonts w:ascii="Verdana" w:eastAsia="Calibri" w:hAnsi="Verdana" w:cs="Times New Roman"/>
          <w:i/>
        </w:rPr>
      </w:pPr>
      <w:r w:rsidRPr="008F1892">
        <w:rPr>
          <w:rFonts w:ascii="Verdana" w:eastAsia="Calibri" w:hAnsi="Verdana" w:cs="Times New Roman"/>
          <w:i/>
        </w:rPr>
        <w:t>Unaccompanied minors in Pournara</w:t>
      </w:r>
    </w:p>
    <w:p w:rsidR="008F1892" w:rsidRDefault="008F1892" w:rsidP="008F1892">
      <w:pPr>
        <w:contextualSpacing/>
        <w:rPr>
          <w:rFonts w:ascii="Verdana" w:eastAsia="Calibri" w:hAnsi="Verdana" w:cs="Times New Roman"/>
        </w:rPr>
      </w:pPr>
    </w:p>
    <w:p w:rsidR="008F1892" w:rsidRPr="008F1892" w:rsidRDefault="008F1892" w:rsidP="008F1892">
      <w:pPr>
        <w:contextualSpacing/>
        <w:rPr>
          <w:rFonts w:ascii="Verdana" w:eastAsia="Calibri" w:hAnsi="Verdana" w:cs="Times New Roman"/>
          <w:lang w:bidi="en-US"/>
        </w:rPr>
      </w:pPr>
      <w:r w:rsidRPr="008F1892">
        <w:rPr>
          <w:rFonts w:ascii="Verdana" w:eastAsia="Calibri" w:hAnsi="Verdana" w:cs="Times New Roman"/>
        </w:rPr>
        <w:lastRenderedPageBreak/>
        <w:t xml:space="preserve">Following the </w:t>
      </w:r>
      <w:hyperlink r:id="rId24" w:history="1">
        <w:r w:rsidRPr="008F1892">
          <w:rPr>
            <w:rFonts w:ascii="Verdana" w:eastAsia="Calibri" w:hAnsi="Verdana" w:cs="Times New Roman"/>
            <w:color w:val="0000FF"/>
            <w:u w:val="single"/>
          </w:rPr>
          <w:t>visit οf the Human Rights Parliamentary Committee</w:t>
        </w:r>
      </w:hyperlink>
      <w:r w:rsidRPr="008F1892">
        <w:rPr>
          <w:rFonts w:ascii="Verdana" w:eastAsia="Calibri" w:hAnsi="Verdana" w:cs="Times New Roman"/>
        </w:rPr>
        <w:t xml:space="preserve"> to the Pournara Reception Camp in December 2021, which led to media reports about </w:t>
      </w:r>
      <w:r w:rsidRPr="008F1892">
        <w:rPr>
          <w:rFonts w:ascii="Verdana" w:eastAsia="Calibri" w:hAnsi="Verdana" w:cs="Times New Roman"/>
          <w:lang w:bidi="en-US"/>
        </w:rPr>
        <w:t>287 unaccompanied minors cramped in containers, some without beds, pregnant women and families with small children, the authorities considered the transfer of the  unaccompanied minors to the Limnes camp, as a measure to decongest the Pournara camp. UNHCR strongly opposed this measure because of the inadequate infrastructure of the Limnes camp. The plan for the transfer of the minors was abandoned with the outbreak of chain COVID-19 infections at the Pournara camp, following which the infected persons were placed in a special hotel designated for infected persons and their close contacts were transferred to the Limnes camp. Initially, families with small children were also transferred from Pournara to Limnes but following UNHCR intervention, the families were placed in the hotel designated for COVID-19 infected persons.</w:t>
      </w:r>
    </w:p>
    <w:p w:rsidR="008F1892" w:rsidRPr="008F1892" w:rsidRDefault="008F1892" w:rsidP="008F1892">
      <w:pPr>
        <w:ind w:left="284"/>
        <w:contextualSpacing/>
        <w:rPr>
          <w:rFonts w:ascii="Verdana" w:eastAsia="Calibri" w:hAnsi="Verdana" w:cs="Times New Roman"/>
          <w:lang w:bidi="en-US"/>
        </w:rPr>
      </w:pPr>
    </w:p>
    <w:p w:rsidR="008F1892" w:rsidRDefault="008F1892" w:rsidP="008F1892">
      <w:pPr>
        <w:rPr>
          <w:rFonts w:ascii="Verdana" w:eastAsia="Calibri" w:hAnsi="Verdana" w:cs="Times New Roman"/>
          <w:lang w:bidi="en-US"/>
        </w:rPr>
      </w:pPr>
      <w:r w:rsidRPr="008F1892">
        <w:rPr>
          <w:rFonts w:ascii="Verdana" w:eastAsia="Calibri" w:hAnsi="Verdana" w:cs="Times New Roman"/>
          <w:lang w:bidi="en-US"/>
        </w:rPr>
        <w:t>UNHCR reported that around 300 unaccompanied minors were accommodated in Pournara in 2021-2022, staying for longer than adult residents of the camp. Whilst on average an adult will remain in the camp for a month, unaccompanied minors stay on average for five months without freedom of movement and without access to education or recreation. The Welfare Office assigned only two guardians in the camp for the 300 children. Given that the guardian must accompany each unaccompanied minor in all five interviews, namely the interview with the police on travel routes, the interview on security, the vulnerability assessment interview, the registration interview and the age assessment interview, there is considerable delay in the completion of this procedure, extending the stay of unaccompanied minors in the camp. UNHCR reported that the shortage of welfare officers in the camp is a major obstacle to children exercising rights and referred to the case of a pair of unaccompanied siblings from Congo, one of whom had suffered major skin burns in Congo in a fire where her mother died. The siblings had asked to be reunited with their father in France but the social workers in Pournara delayed the tracing of the father for three months, until finally UNHCR called the father, triggering the Dublin procedure that was almost lost due to the three months’ delay of the welfare officers.</w:t>
      </w:r>
    </w:p>
    <w:p w:rsidR="008F1892" w:rsidRDefault="008F1892" w:rsidP="008F1892">
      <w:pPr>
        <w:rPr>
          <w:rFonts w:ascii="Verdana" w:eastAsia="Calibri" w:hAnsi="Verdana" w:cs="Times New Roman"/>
          <w:lang w:bidi="en-US"/>
        </w:rPr>
      </w:pPr>
    </w:p>
    <w:p w:rsidR="008F1892" w:rsidRPr="008F1892" w:rsidRDefault="008F1892" w:rsidP="008F1892">
      <w:pPr>
        <w:rPr>
          <w:rStyle w:val="d2edcug0"/>
          <w:rFonts w:ascii="Verdana" w:hAnsi="Verdana"/>
        </w:rPr>
      </w:pPr>
      <w:r>
        <w:rPr>
          <w:rFonts w:ascii="Verdana" w:eastAsia="Calibri" w:hAnsi="Verdana" w:cs="Times New Roman"/>
          <w:lang w:bidi="en-US"/>
        </w:rPr>
        <w:t xml:space="preserve">In early 2022, the unaccompanied minors of Pournara started leaving the camp as a gesture of protest against the living conditions there, preferring to sleep on the pavement in the city centre, rather than go back to the camp. </w:t>
      </w:r>
    </w:p>
    <w:sectPr w:rsidR="008F1892" w:rsidRPr="008F1892">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5A2" w:rsidRDefault="00A915A2" w:rsidP="006975CB">
      <w:r>
        <w:separator/>
      </w:r>
    </w:p>
  </w:endnote>
  <w:endnote w:type="continuationSeparator" w:id="0">
    <w:p w:rsidR="00A915A2" w:rsidRDefault="00A915A2" w:rsidP="006975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1307099"/>
      <w:docPartObj>
        <w:docPartGallery w:val="Page Numbers (Bottom of Page)"/>
        <w:docPartUnique/>
      </w:docPartObj>
    </w:sdtPr>
    <w:sdtEndPr>
      <w:rPr>
        <w:noProof/>
      </w:rPr>
    </w:sdtEndPr>
    <w:sdtContent>
      <w:p w:rsidR="00265779" w:rsidRDefault="00265779">
        <w:pPr>
          <w:pStyle w:val="Footer"/>
          <w:jc w:val="center"/>
        </w:pPr>
        <w:r>
          <w:fldChar w:fldCharType="begin"/>
        </w:r>
        <w:r>
          <w:instrText xml:space="preserve"> PAGE   \* MERGEFORMAT </w:instrText>
        </w:r>
        <w:r>
          <w:fldChar w:fldCharType="separate"/>
        </w:r>
        <w:r w:rsidR="00692B59">
          <w:rPr>
            <w:noProof/>
          </w:rPr>
          <w:t>1</w:t>
        </w:r>
        <w:r>
          <w:rPr>
            <w:noProof/>
          </w:rPr>
          <w:fldChar w:fldCharType="end"/>
        </w:r>
      </w:p>
    </w:sdtContent>
  </w:sdt>
  <w:p w:rsidR="00265779" w:rsidRDefault="002657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5A2" w:rsidRDefault="00A915A2" w:rsidP="006975CB">
      <w:r>
        <w:separator/>
      </w:r>
    </w:p>
  </w:footnote>
  <w:footnote w:type="continuationSeparator" w:id="0">
    <w:p w:rsidR="00A915A2" w:rsidRDefault="00A915A2" w:rsidP="006975CB">
      <w:r>
        <w:continuationSeparator/>
      </w:r>
    </w:p>
  </w:footnote>
  <w:footnote w:id="1">
    <w:p w:rsidR="00180EB8" w:rsidRPr="00D62AA4" w:rsidRDefault="00180EB8" w:rsidP="00180EB8">
      <w:pPr>
        <w:pStyle w:val="FRAFootnoteText"/>
        <w:rPr>
          <w:szCs w:val="18"/>
          <w:lang w:val="en-IE"/>
        </w:rPr>
      </w:pPr>
      <w:r w:rsidRPr="00D62AA4">
        <w:rPr>
          <w:rStyle w:val="FootnoteReference"/>
          <w:szCs w:val="18"/>
        </w:rPr>
        <w:footnoteRef/>
      </w:r>
      <w:r w:rsidRPr="00D62AA4">
        <w:rPr>
          <w:szCs w:val="18"/>
        </w:rPr>
        <w:t xml:space="preserve"> Global Alliance on National Human Rights Institutions (2021), ‘</w:t>
      </w:r>
      <w:hyperlink r:id="rId1" w:history="1">
        <w:r w:rsidRPr="00D62AA4">
          <w:rPr>
            <w:rStyle w:val="Hyperlink"/>
            <w:szCs w:val="18"/>
          </w:rPr>
          <w:t>Report and Recommendations of the Virtual Session of the Sub-Committee on Accreditation (SCA)</w:t>
        </w:r>
      </w:hyperlink>
      <w:r w:rsidRPr="00D62AA4">
        <w:rPr>
          <w:szCs w:val="18"/>
        </w:rPr>
        <w:t>’, 14-2402021</w:t>
      </w:r>
    </w:p>
  </w:footnote>
  <w:footnote w:id="2">
    <w:p w:rsidR="00D62AA4" w:rsidRPr="00D62AA4" w:rsidRDefault="00D62AA4" w:rsidP="00D62AA4">
      <w:pPr>
        <w:pStyle w:val="FootnoteR"/>
        <w:ind w:left="57" w:firstLine="0"/>
        <w:rPr>
          <w:sz w:val="18"/>
          <w:szCs w:val="18"/>
        </w:rPr>
      </w:pPr>
      <w:r w:rsidRPr="00D62AA4">
        <w:rPr>
          <w:rStyle w:val="FootnoteReference"/>
          <w:sz w:val="18"/>
          <w:szCs w:val="18"/>
        </w:rPr>
        <w:footnoteRef/>
      </w:r>
      <w:r w:rsidRPr="00D62AA4">
        <w:rPr>
          <w:sz w:val="18"/>
          <w:szCs w:val="18"/>
        </w:rPr>
        <w:t xml:space="preserve"> Laws on the Commissioner for Administration (</w:t>
      </w:r>
      <w:r w:rsidRPr="00D62AA4">
        <w:rPr>
          <w:i/>
          <w:sz w:val="18"/>
          <w:szCs w:val="18"/>
        </w:rPr>
        <w:t>Οι περί Επιτρόπου Διοικήσεως Νόμοι</w:t>
      </w:r>
      <w:r w:rsidRPr="00D62AA4">
        <w:rPr>
          <w:sz w:val="18"/>
          <w:szCs w:val="18"/>
        </w:rPr>
        <w:t xml:space="preserve">) N. 3/1991, Article 3(1). Available at </w:t>
      </w:r>
      <w:hyperlink r:id="rId2" w:history="1">
        <w:r w:rsidRPr="00D62AA4">
          <w:rPr>
            <w:rStyle w:val="Hyperlink"/>
            <w:sz w:val="18"/>
            <w:szCs w:val="18"/>
          </w:rPr>
          <w:t>www.cylaw.org/nomoi/enop/non-ind/1991_1_3/full.html</w:t>
        </w:r>
      </w:hyperlink>
      <w:r w:rsidRPr="00D62AA4">
        <w:rPr>
          <w:rStyle w:val="Hyperlink"/>
          <w:sz w:val="18"/>
          <w:szCs w:val="18"/>
        </w:rPr>
        <w:t>.</w:t>
      </w:r>
      <w:r w:rsidRPr="00D62AA4">
        <w:rPr>
          <w:sz w:val="18"/>
          <w:szCs w:val="18"/>
        </w:rPr>
        <w:t xml:space="preserve"> Section 3(1).</w:t>
      </w:r>
    </w:p>
  </w:footnote>
  <w:footnote w:id="3">
    <w:p w:rsidR="00D62AA4" w:rsidRPr="00D62AA4" w:rsidRDefault="00D62AA4" w:rsidP="00D62AA4">
      <w:pPr>
        <w:pStyle w:val="FootnoteText"/>
        <w:rPr>
          <w:rFonts w:ascii="Verdana" w:hAnsi="Verdana"/>
          <w:sz w:val="18"/>
          <w:szCs w:val="18"/>
          <w:lang w:val="en-US"/>
        </w:rPr>
      </w:pPr>
      <w:r w:rsidRPr="00D62AA4">
        <w:rPr>
          <w:rStyle w:val="FootnoteReference"/>
          <w:rFonts w:ascii="Verdana" w:hAnsi="Verdana"/>
          <w:sz w:val="18"/>
          <w:szCs w:val="18"/>
        </w:rPr>
        <w:footnoteRef/>
      </w:r>
      <w:r w:rsidRPr="00D62AA4">
        <w:rPr>
          <w:rFonts w:ascii="Verdana" w:hAnsi="Verdana"/>
          <w:sz w:val="18"/>
          <w:szCs w:val="18"/>
        </w:rPr>
        <w:t xml:space="preserve"> Council of Europe (2019), </w:t>
      </w:r>
      <w:hyperlink r:id="rId3" w:history="1">
        <w:r w:rsidRPr="00D62AA4">
          <w:rPr>
            <w:rStyle w:val="Hyperlink"/>
            <w:rFonts w:ascii="Verdana" w:hAnsi="Verdana"/>
            <w:sz w:val="18"/>
            <w:szCs w:val="18"/>
          </w:rPr>
          <w:t>Principles on the protection and promotion of the Ombdusman institution (“The Venice Principles”)</w:t>
        </w:r>
      </w:hyperlink>
      <w:r w:rsidRPr="00D62AA4">
        <w:rPr>
          <w:rFonts w:ascii="Verdana" w:hAnsi="Verdana"/>
          <w:sz w:val="18"/>
          <w:szCs w:val="18"/>
        </w:rPr>
        <w:t>,</w:t>
      </w:r>
      <w:r w:rsidRPr="00D62AA4">
        <w:rPr>
          <w:rStyle w:val="Heading1Char"/>
          <w:rFonts w:ascii="Verdana" w:hAnsi="Verdana"/>
          <w:sz w:val="18"/>
          <w:szCs w:val="18"/>
        </w:rPr>
        <w:t xml:space="preserve"> a</w:t>
      </w:r>
      <w:r w:rsidRPr="00D62AA4">
        <w:rPr>
          <w:rStyle w:val="markedcontent"/>
          <w:rFonts w:ascii="Verdana" w:hAnsi="Verdana"/>
          <w:sz w:val="18"/>
          <w:szCs w:val="18"/>
        </w:rPr>
        <w:t>dopted by the Venice Commission</w:t>
      </w:r>
      <w:r w:rsidRPr="00D62AA4">
        <w:rPr>
          <w:rFonts w:ascii="Verdana" w:hAnsi="Verdana"/>
          <w:sz w:val="18"/>
          <w:szCs w:val="18"/>
        </w:rPr>
        <w:br/>
      </w:r>
      <w:r w:rsidRPr="00D62AA4">
        <w:rPr>
          <w:rStyle w:val="markedcontent"/>
          <w:rFonts w:ascii="Verdana" w:hAnsi="Verdana"/>
          <w:sz w:val="18"/>
          <w:szCs w:val="18"/>
        </w:rPr>
        <w:t>at its 118th Plenary Session, Venice, 15-16 March 2019, paras. 7 and 8.</w:t>
      </w:r>
    </w:p>
  </w:footnote>
  <w:footnote w:id="4">
    <w:p w:rsidR="00D62AA4" w:rsidRPr="00D62AA4" w:rsidRDefault="00D62AA4" w:rsidP="00D62AA4">
      <w:pPr>
        <w:pStyle w:val="FootnoteR"/>
        <w:ind w:left="0" w:firstLine="0"/>
        <w:rPr>
          <w:kern w:val="36"/>
          <w:sz w:val="18"/>
          <w:szCs w:val="18"/>
        </w:rPr>
      </w:pPr>
      <w:r w:rsidRPr="00D62AA4">
        <w:rPr>
          <w:rStyle w:val="FootnoteReference"/>
          <w:sz w:val="18"/>
          <w:szCs w:val="18"/>
        </w:rPr>
        <w:footnoteRef/>
      </w:r>
      <w:r w:rsidRPr="00D62AA4">
        <w:rPr>
          <w:sz w:val="18"/>
          <w:szCs w:val="18"/>
        </w:rPr>
        <w:t xml:space="preserve"> Cyprus Mail (2017) ‘</w:t>
      </w:r>
      <w:r w:rsidRPr="00D62AA4">
        <w:rPr>
          <w:kern w:val="36"/>
          <w:sz w:val="18"/>
          <w:szCs w:val="18"/>
        </w:rPr>
        <w:t xml:space="preserve">Our View: Irony of ombudsperson’s appointment for no other reason than close family ties to president’, in </w:t>
      </w:r>
      <w:r w:rsidRPr="00D62AA4">
        <w:rPr>
          <w:i/>
          <w:sz w:val="18"/>
          <w:szCs w:val="18"/>
        </w:rPr>
        <w:t>Cyprus Mail,</w:t>
      </w:r>
      <w:r w:rsidRPr="00D62AA4">
        <w:rPr>
          <w:kern w:val="36"/>
          <w:sz w:val="18"/>
          <w:szCs w:val="18"/>
        </w:rPr>
        <w:t xml:space="preserve"> 22 March 2017. Av</w:t>
      </w:r>
      <w:r w:rsidRPr="00D62AA4">
        <w:rPr>
          <w:sz w:val="18"/>
          <w:szCs w:val="18"/>
        </w:rPr>
        <w:t xml:space="preserve">ailable at </w:t>
      </w:r>
      <w:hyperlink r:id="rId4" w:history="1">
        <w:r w:rsidRPr="00D62AA4">
          <w:rPr>
            <w:rFonts w:eastAsia="Calibri"/>
            <w:color w:val="0000FF"/>
            <w:sz w:val="18"/>
            <w:szCs w:val="18"/>
            <w:u w:val="single"/>
          </w:rPr>
          <w:t>http://cyprus-mail.com/2017/03/22/view-irony-ombudspersons-appointment-no-reason-close-family-ties-president/</w:t>
        </w:r>
      </w:hyperlink>
      <w:r w:rsidRPr="00D62AA4">
        <w:rPr>
          <w:rFonts w:eastAsia="Calibri"/>
          <w:sz w:val="18"/>
          <w:szCs w:val="18"/>
        </w:rPr>
        <w:t>;</w:t>
      </w:r>
      <w:r w:rsidRPr="00D62AA4">
        <w:rPr>
          <w:sz w:val="18"/>
          <w:szCs w:val="18"/>
        </w:rPr>
        <w:t xml:space="preserve"> ‘</w:t>
      </w:r>
      <w:r w:rsidRPr="00D62AA4">
        <w:rPr>
          <w:kern w:val="36"/>
          <w:sz w:val="18"/>
          <w:szCs w:val="18"/>
        </w:rPr>
        <w:t xml:space="preserve">Opposition parties remain tight lipped over approval for new Ombudsman’, in </w:t>
      </w:r>
      <w:r w:rsidRPr="00D62AA4">
        <w:rPr>
          <w:i/>
          <w:sz w:val="18"/>
          <w:szCs w:val="18"/>
        </w:rPr>
        <w:t>Cyprus Mail</w:t>
      </w:r>
      <w:r w:rsidRPr="00D62AA4">
        <w:rPr>
          <w:sz w:val="18"/>
          <w:szCs w:val="18"/>
        </w:rPr>
        <w:t xml:space="preserve">, </w:t>
      </w:r>
      <w:r w:rsidRPr="00D62AA4">
        <w:rPr>
          <w:kern w:val="36"/>
          <w:sz w:val="18"/>
          <w:szCs w:val="18"/>
        </w:rPr>
        <w:t xml:space="preserve">21 March 2017. Available at </w:t>
      </w:r>
      <w:hyperlink r:id="rId5" w:history="1">
        <w:r w:rsidRPr="00D62AA4">
          <w:rPr>
            <w:color w:val="0000FF"/>
            <w:kern w:val="36"/>
            <w:sz w:val="18"/>
            <w:szCs w:val="18"/>
            <w:u w:val="single"/>
          </w:rPr>
          <w:t>http://cyprus-mail.com/2017/03/21/opposition-parties-remain-tight-lipped-approval-new-ombudsman/</w:t>
        </w:r>
      </w:hyperlink>
      <w:r w:rsidRPr="00D62AA4">
        <w:rPr>
          <w:kern w:val="36"/>
          <w:sz w:val="18"/>
          <w:szCs w:val="18"/>
        </w:rPr>
        <w:t>.</w:t>
      </w:r>
    </w:p>
    <w:p w:rsidR="00D62AA4" w:rsidRPr="00D62AA4" w:rsidRDefault="00D62AA4">
      <w:pPr>
        <w:pStyle w:val="FootnoteText"/>
        <w:rPr>
          <w:rFonts w:ascii="Verdana" w:hAnsi="Verdana"/>
          <w:sz w:val="18"/>
          <w:szCs w:val="18"/>
        </w:rPr>
      </w:pPr>
    </w:p>
  </w:footnote>
  <w:footnote w:id="5">
    <w:p w:rsidR="00D62AA4" w:rsidRPr="00D62AA4" w:rsidRDefault="00D62AA4" w:rsidP="00D62AA4">
      <w:pPr>
        <w:pStyle w:val="FootnoteR"/>
        <w:rPr>
          <w:sz w:val="18"/>
          <w:szCs w:val="18"/>
        </w:rPr>
      </w:pPr>
      <w:r w:rsidRPr="00D62AA4">
        <w:rPr>
          <w:rStyle w:val="FootnoteReference"/>
          <w:sz w:val="18"/>
          <w:szCs w:val="18"/>
        </w:rPr>
        <w:footnoteRef/>
      </w:r>
      <w:r w:rsidRPr="00D62AA4">
        <w:rPr>
          <w:sz w:val="18"/>
          <w:szCs w:val="18"/>
        </w:rPr>
        <w:t xml:space="preserve"> </w:t>
      </w:r>
      <w:r w:rsidRPr="00D62AA4">
        <w:rPr>
          <w:sz w:val="18"/>
          <w:szCs w:val="18"/>
        </w:rPr>
        <w:tab/>
        <w:t xml:space="preserve">See notably a news article containing an exchange of letters between the Commissioner and a (then) Member of the Parliament, dated 26 April 2018, available at: </w:t>
      </w:r>
      <w:hyperlink r:id="rId6" w:history="1">
        <w:r w:rsidRPr="00D62AA4">
          <w:rPr>
            <w:rStyle w:val="Hyperlink"/>
            <w:sz w:val="18"/>
            <w:szCs w:val="18"/>
          </w:rPr>
          <w:t>https://www.philenews.com/eidiseis/politiki/article/517554</w:t>
        </w:r>
      </w:hyperlink>
      <w:r w:rsidRPr="00D62AA4">
        <w:rPr>
          <w:sz w:val="18"/>
          <w:szCs w:val="18"/>
        </w:rPr>
        <w:t>.</w:t>
      </w:r>
    </w:p>
  </w:footnote>
  <w:footnote w:id="6">
    <w:p w:rsidR="006975CB" w:rsidRPr="00D62AA4" w:rsidRDefault="006975CB" w:rsidP="006975CB">
      <w:pPr>
        <w:pStyle w:val="FRAFootnoteText"/>
        <w:rPr>
          <w:szCs w:val="18"/>
          <w:lang w:val="el-GR"/>
        </w:rPr>
      </w:pPr>
      <w:r w:rsidRPr="00D62AA4">
        <w:rPr>
          <w:rStyle w:val="FootnoteReference"/>
          <w:szCs w:val="18"/>
        </w:rPr>
        <w:footnoteRef/>
      </w:r>
      <w:r w:rsidRPr="00D62AA4">
        <w:rPr>
          <w:szCs w:val="18"/>
          <w:lang w:val="el-GR"/>
        </w:rPr>
        <w:t xml:space="preserve"> </w:t>
      </w:r>
      <w:r w:rsidRPr="00D62AA4">
        <w:rPr>
          <w:szCs w:val="18"/>
        </w:rPr>
        <w:t>Ant</w:t>
      </w:r>
      <w:r w:rsidRPr="00D62AA4">
        <w:rPr>
          <w:szCs w:val="18"/>
          <w:lang w:val="el-GR"/>
        </w:rPr>
        <w:t>1 (2021), ‘</w:t>
      </w:r>
      <w:hyperlink r:id="rId7" w:history="1">
        <w:r w:rsidRPr="00D62AA4">
          <w:rPr>
            <w:rStyle w:val="Hyperlink"/>
            <w:szCs w:val="18"/>
            <w:lang w:val="el-GR"/>
          </w:rPr>
          <w:t>Βουλή: Καθυστερεί η χαρτογράφηση δράσεων της Εθνικής Στρατηγικής για τα ΛΟΑΤΚΙ άτομα’</w:t>
        </w:r>
      </w:hyperlink>
      <w:r w:rsidRPr="00D62AA4">
        <w:rPr>
          <w:szCs w:val="18"/>
          <w:lang w:val="el-GR"/>
        </w:rPr>
        <w:t xml:space="preserve">, 11 </w:t>
      </w:r>
      <w:r w:rsidRPr="00D62AA4">
        <w:rPr>
          <w:szCs w:val="18"/>
        </w:rPr>
        <w:t>October</w:t>
      </w:r>
      <w:r w:rsidRPr="00D62AA4">
        <w:rPr>
          <w:szCs w:val="18"/>
          <w:lang w:val="el-GR"/>
        </w:rPr>
        <w:t xml:space="preserve"> 2021.</w:t>
      </w:r>
    </w:p>
  </w:footnote>
  <w:footnote w:id="7">
    <w:p w:rsidR="006975CB" w:rsidRPr="00D62AA4" w:rsidRDefault="006975CB" w:rsidP="006975CB">
      <w:pPr>
        <w:pStyle w:val="FRAFootnoteText"/>
        <w:rPr>
          <w:szCs w:val="18"/>
          <w:lang w:val="en-IE"/>
        </w:rPr>
      </w:pPr>
      <w:r w:rsidRPr="00D62AA4">
        <w:rPr>
          <w:rStyle w:val="FootnoteReference"/>
          <w:szCs w:val="18"/>
        </w:rPr>
        <w:footnoteRef/>
      </w:r>
      <w:r w:rsidRPr="00D62AA4">
        <w:rPr>
          <w:szCs w:val="18"/>
        </w:rPr>
        <w:t xml:space="preserve"> For details on GESY eligibility, please see the relevant webpage of GESY </w:t>
      </w:r>
      <w:hyperlink r:id="rId8" w:history="1">
        <w:r w:rsidRPr="00D62AA4">
          <w:rPr>
            <w:rStyle w:val="Hyperlink"/>
            <w:szCs w:val="18"/>
          </w:rPr>
          <w:t>here</w:t>
        </w:r>
      </w:hyperlink>
      <w:r w:rsidRPr="00D62AA4">
        <w:rPr>
          <w:szCs w:val="18"/>
        </w:rPr>
        <w:t xml:space="preserve">. </w:t>
      </w:r>
    </w:p>
  </w:footnote>
  <w:footnote w:id="8">
    <w:p w:rsidR="006975CB" w:rsidRPr="00D62AA4" w:rsidRDefault="006975CB" w:rsidP="006975CB">
      <w:pPr>
        <w:pStyle w:val="FRAFootnoteText"/>
        <w:rPr>
          <w:b/>
          <w:bCs/>
          <w:kern w:val="36"/>
          <w:szCs w:val="18"/>
        </w:rPr>
      </w:pPr>
      <w:r w:rsidRPr="00D62AA4">
        <w:rPr>
          <w:rStyle w:val="FootnoteReference"/>
          <w:rFonts w:cs="Times New Roman"/>
          <w:szCs w:val="18"/>
        </w:rPr>
        <w:footnoteRef/>
      </w:r>
      <w:r w:rsidRPr="00D62AA4">
        <w:rPr>
          <w:szCs w:val="18"/>
        </w:rPr>
        <w:t xml:space="preserve"> Pitta, A. (2021), </w:t>
      </w:r>
      <w:r w:rsidRPr="00D62AA4">
        <w:rPr>
          <w:kern w:val="36"/>
          <w:szCs w:val="18"/>
        </w:rPr>
        <w:t>‘</w:t>
      </w:r>
      <w:hyperlink r:id="rId9" w:history="1">
        <w:r w:rsidRPr="00D62AA4">
          <w:rPr>
            <w:rStyle w:val="Hyperlink"/>
            <w:rFonts w:cs="Times New Roman"/>
            <w:kern w:val="36"/>
            <w:szCs w:val="18"/>
          </w:rPr>
          <w:t>We’re second-class citizens, say non-Gesy members’</w:t>
        </w:r>
      </w:hyperlink>
      <w:r w:rsidRPr="00D62AA4">
        <w:rPr>
          <w:kern w:val="36"/>
          <w:szCs w:val="18"/>
        </w:rPr>
        <w:t>, Cyprus Mail, 25 April 2021.</w:t>
      </w:r>
    </w:p>
  </w:footnote>
  <w:footnote w:id="9">
    <w:p w:rsidR="006975CB" w:rsidRPr="00D62AA4" w:rsidRDefault="006975CB" w:rsidP="006975CB">
      <w:pPr>
        <w:pStyle w:val="FRAFootnoteText"/>
        <w:rPr>
          <w:rFonts w:cs="Times New Roman"/>
          <w:b/>
          <w:bCs/>
          <w:kern w:val="36"/>
          <w:szCs w:val="18"/>
        </w:rPr>
      </w:pPr>
      <w:r w:rsidRPr="00D62AA4">
        <w:rPr>
          <w:rStyle w:val="FootnoteReference"/>
          <w:szCs w:val="18"/>
        </w:rPr>
        <w:footnoteRef/>
      </w:r>
      <w:r w:rsidRPr="00D62AA4">
        <w:rPr>
          <w:szCs w:val="18"/>
        </w:rPr>
        <w:t xml:space="preserve"> The Independent (2021), ‘</w:t>
      </w:r>
      <w:hyperlink r:id="rId10" w:history="1">
        <w:r w:rsidRPr="00D62AA4">
          <w:rPr>
            <w:rStyle w:val="Hyperlink"/>
            <w:rFonts w:cs="Times New Roman"/>
            <w:kern w:val="36"/>
            <w:szCs w:val="18"/>
          </w:rPr>
          <w:t>Stephanie Dubois: British model dies days after receiving Covid jab in Cyprus</w:t>
        </w:r>
      </w:hyperlink>
      <w:r w:rsidRPr="00D62AA4">
        <w:rPr>
          <w:rFonts w:cs="Times New Roman"/>
          <w:kern w:val="36"/>
          <w:szCs w:val="18"/>
        </w:rPr>
        <w:t>, 26 May 2021.</w:t>
      </w:r>
    </w:p>
  </w:footnote>
  <w:footnote w:id="10">
    <w:p w:rsidR="006975CB" w:rsidRPr="00D62AA4" w:rsidRDefault="006975CB" w:rsidP="006975CB">
      <w:pPr>
        <w:pStyle w:val="FRAFootnoteText"/>
        <w:rPr>
          <w:szCs w:val="18"/>
        </w:rPr>
      </w:pPr>
      <w:r w:rsidRPr="00D62AA4">
        <w:rPr>
          <w:rStyle w:val="FootnoteReference"/>
          <w:szCs w:val="18"/>
        </w:rPr>
        <w:footnoteRef/>
      </w:r>
      <w:r w:rsidRPr="00D62AA4">
        <w:rPr>
          <w:szCs w:val="18"/>
        </w:rPr>
        <w:t xml:space="preserve"> Press and Information Office (2021), ‘</w:t>
      </w:r>
      <w:hyperlink r:id="rId11" w:anchor="flat" w:history="1">
        <w:r w:rsidRPr="00D62AA4">
          <w:rPr>
            <w:rStyle w:val="Hyperlink"/>
            <w:szCs w:val="18"/>
          </w:rPr>
          <w:t>Vaccination of non-registered citizens or beneficiaries of the General Healthcare System through the “Walk-in” centres</w:t>
        </w:r>
      </w:hyperlink>
      <w:r w:rsidRPr="00D62AA4">
        <w:rPr>
          <w:szCs w:val="18"/>
        </w:rPr>
        <w:t>’, 3 August 2021.</w:t>
      </w:r>
    </w:p>
  </w:footnote>
  <w:footnote w:id="11">
    <w:p w:rsidR="00135BAF" w:rsidRPr="00D62AA4" w:rsidRDefault="00135BAF" w:rsidP="00135BAF">
      <w:pPr>
        <w:pStyle w:val="FRAFootnoteText"/>
        <w:rPr>
          <w:szCs w:val="18"/>
        </w:rPr>
      </w:pPr>
      <w:r w:rsidRPr="00D62AA4">
        <w:rPr>
          <w:rStyle w:val="FootnoteReference"/>
          <w:szCs w:val="18"/>
        </w:rPr>
        <w:footnoteRef/>
      </w:r>
      <w:r w:rsidRPr="00D62AA4">
        <w:rPr>
          <w:szCs w:val="18"/>
        </w:rPr>
        <w:t xml:space="preserve"> U.S. State Department, Bureau of democracy, human rights and labor (2021), ‘</w:t>
      </w:r>
      <w:hyperlink r:id="rId12" w:history="1">
        <w:r w:rsidRPr="00D62AA4">
          <w:rPr>
            <w:rStyle w:val="Hyperlink"/>
            <w:rFonts w:eastAsia="Times New Roman" w:cs="Times New Roman"/>
            <w:kern w:val="36"/>
            <w:szCs w:val="18"/>
          </w:rPr>
          <w:t>2020 Country Reports on Human Rights Practices: Cyprus’</w:t>
        </w:r>
      </w:hyperlink>
      <w:r w:rsidRPr="00D62AA4">
        <w:rPr>
          <w:szCs w:val="18"/>
        </w:rPr>
        <w:t xml:space="preserve">, February 2021. </w:t>
      </w:r>
    </w:p>
    <w:p w:rsidR="00135BAF" w:rsidRPr="00D62AA4" w:rsidRDefault="00135BAF" w:rsidP="00135BAF">
      <w:pPr>
        <w:pStyle w:val="FRAFootnoteText"/>
        <w:rPr>
          <w:szCs w:val="18"/>
        </w:rPr>
      </w:pPr>
    </w:p>
  </w:footnote>
  <w:footnote w:id="12">
    <w:p w:rsidR="00E747BA" w:rsidRPr="00D62AA4" w:rsidRDefault="00E747BA" w:rsidP="00E747BA">
      <w:pPr>
        <w:pStyle w:val="FRAFootnoteText"/>
        <w:rPr>
          <w:szCs w:val="18"/>
          <w:lang w:val="en-IE"/>
        </w:rPr>
      </w:pPr>
      <w:r w:rsidRPr="00D62AA4">
        <w:rPr>
          <w:rStyle w:val="FootnoteReference"/>
          <w:szCs w:val="18"/>
        </w:rPr>
        <w:footnoteRef/>
      </w:r>
      <w:r w:rsidRPr="00D62AA4">
        <w:rPr>
          <w:szCs w:val="18"/>
        </w:rPr>
        <w:t xml:space="preserve"> For more details about SHELTER, please see the project website </w:t>
      </w:r>
      <w:hyperlink r:id="rId13" w:history="1">
        <w:r w:rsidRPr="00D62AA4">
          <w:rPr>
            <w:rStyle w:val="Hyperlink"/>
            <w:szCs w:val="18"/>
          </w:rPr>
          <w:t>here</w:t>
        </w:r>
      </w:hyperlink>
      <w:r w:rsidRPr="00D62AA4">
        <w:rPr>
          <w:szCs w:val="18"/>
        </w:rPr>
        <w:t>.</w:t>
      </w:r>
    </w:p>
  </w:footnote>
  <w:footnote w:id="13">
    <w:p w:rsidR="00E747BA" w:rsidRPr="00D62AA4" w:rsidRDefault="00E747BA" w:rsidP="00E747BA">
      <w:pPr>
        <w:pStyle w:val="FRAFootnoteText"/>
        <w:rPr>
          <w:szCs w:val="18"/>
          <w:lang w:val="en-IE"/>
        </w:rPr>
      </w:pPr>
      <w:r w:rsidRPr="00D62AA4">
        <w:rPr>
          <w:rStyle w:val="FootnoteReference"/>
          <w:szCs w:val="18"/>
        </w:rPr>
        <w:footnoteRef/>
      </w:r>
      <w:r w:rsidRPr="00D62AA4">
        <w:rPr>
          <w:szCs w:val="18"/>
        </w:rPr>
        <w:t xml:space="preserve"> University of Cyprus and Aequitas (2021), </w:t>
      </w:r>
      <w:hyperlink r:id="rId14" w:history="1">
        <w:r w:rsidRPr="00D62AA4">
          <w:rPr>
            <w:rStyle w:val="Hyperlink"/>
            <w:szCs w:val="18"/>
          </w:rPr>
          <w:t>SHELTER National report: Cyprus, Support and advice through health system for hate crimes victims</w:t>
        </w:r>
      </w:hyperlink>
      <w:r w:rsidRPr="00D62AA4">
        <w:rPr>
          <w:szCs w:val="18"/>
        </w:rPr>
        <w:t>. Note: The link to the Cyprus report is currently broken.</w:t>
      </w:r>
    </w:p>
  </w:footnote>
  <w:footnote w:id="14">
    <w:p w:rsidR="00E747BA" w:rsidRPr="00D62AA4" w:rsidRDefault="00E747BA" w:rsidP="00E747BA">
      <w:pPr>
        <w:pStyle w:val="FRAFootnoteText"/>
        <w:rPr>
          <w:szCs w:val="18"/>
        </w:rPr>
      </w:pPr>
      <w:r w:rsidRPr="00D62AA4">
        <w:rPr>
          <w:rStyle w:val="FootnoteReference"/>
          <w:szCs w:val="18"/>
        </w:rPr>
        <w:footnoteRef/>
      </w:r>
      <w:r w:rsidRPr="00D62AA4">
        <w:rPr>
          <w:szCs w:val="18"/>
        </w:rPr>
        <w:t xml:space="preserve"> Baider F. and Chatzittofis A.(2021), ‘Hate crime and health institutions: The case of the Republic of Cyprus’, in: </w:t>
      </w:r>
      <w:r w:rsidRPr="00D62AA4">
        <w:rPr>
          <w:i/>
          <w:iCs/>
          <w:szCs w:val="18"/>
        </w:rPr>
        <w:t>Support and advice through health system for hate crimes victims: A socio-sanitary approach</w:t>
      </w:r>
      <w:r w:rsidRPr="00D62AA4">
        <w:rPr>
          <w:szCs w:val="18"/>
        </w:rPr>
        <w:t>, Valencia, Tirant Humanidades, p. 67-77.</w:t>
      </w:r>
    </w:p>
    <w:p w:rsidR="00E747BA" w:rsidRPr="00D62AA4" w:rsidRDefault="00E747BA" w:rsidP="00E747BA">
      <w:pPr>
        <w:pStyle w:val="FRAFootnoteText"/>
        <w:rPr>
          <w:szCs w:val="18"/>
        </w:rPr>
      </w:pPr>
    </w:p>
  </w:footnote>
  <w:footnote w:id="15">
    <w:p w:rsidR="00135BAF" w:rsidRPr="00D62AA4" w:rsidRDefault="00135BAF" w:rsidP="00135BAF">
      <w:pPr>
        <w:pStyle w:val="FRAFootnoteText"/>
        <w:rPr>
          <w:szCs w:val="18"/>
        </w:rPr>
      </w:pPr>
      <w:r w:rsidRPr="00D62AA4">
        <w:rPr>
          <w:rStyle w:val="FootnoteReference"/>
          <w:szCs w:val="18"/>
        </w:rPr>
        <w:footnoteRef/>
      </w:r>
      <w:r w:rsidRPr="00D62AA4">
        <w:rPr>
          <w:szCs w:val="18"/>
        </w:rPr>
        <w:t xml:space="preserve"> Phellas C. (2021), ‘Social and psychological needs of trans persons in Cyprus’, University of Nicosia, presentation during the </w:t>
      </w:r>
      <w:hyperlink r:id="rId15" w:history="1">
        <w:r w:rsidRPr="00D62AA4">
          <w:rPr>
            <w:rStyle w:val="Hyperlink"/>
            <w:szCs w:val="18"/>
          </w:rPr>
          <w:t>Thematic Review on Legal Gender Recognition in Cyprus</w:t>
        </w:r>
      </w:hyperlink>
      <w:r w:rsidRPr="00D62AA4">
        <w:rPr>
          <w:szCs w:val="18"/>
        </w:rPr>
        <w:t>, co-organised by the House of Representatives, the Council of Europe, the Law Commissioner and the Advisor to the President of the Republic on multiculturalism, acceptance and respect for diversity, 15 October 2021.</w:t>
      </w:r>
    </w:p>
  </w:footnote>
  <w:footnote w:id="16">
    <w:p w:rsidR="004A4555" w:rsidRPr="00D62AA4" w:rsidRDefault="004A4555" w:rsidP="004A4555">
      <w:pPr>
        <w:pStyle w:val="FRAFootnoteText"/>
        <w:rPr>
          <w:szCs w:val="18"/>
        </w:rPr>
      </w:pPr>
      <w:r w:rsidRPr="00D62AA4">
        <w:rPr>
          <w:rStyle w:val="FootnoteReference"/>
          <w:szCs w:val="18"/>
        </w:rPr>
        <w:footnoteRef/>
      </w:r>
      <w:r w:rsidRPr="00D62AA4">
        <w:rPr>
          <w:szCs w:val="18"/>
        </w:rPr>
        <w:t xml:space="preserve"> U.S. State Department, Bureau of democracy, human rights and labor (2021), ‘</w:t>
      </w:r>
      <w:hyperlink r:id="rId16" w:history="1">
        <w:r w:rsidRPr="00D62AA4">
          <w:rPr>
            <w:rStyle w:val="Hyperlink"/>
            <w:rFonts w:eastAsia="Times New Roman" w:cs="Times New Roman"/>
            <w:kern w:val="36"/>
            <w:szCs w:val="18"/>
          </w:rPr>
          <w:t>2020 Country Reports on Human Rights Practices: Cyprus’</w:t>
        </w:r>
      </w:hyperlink>
      <w:r w:rsidRPr="00D62AA4">
        <w:rPr>
          <w:szCs w:val="18"/>
        </w:rPr>
        <w:t xml:space="preserve">, February 2021. </w:t>
      </w:r>
    </w:p>
    <w:p w:rsidR="004A4555" w:rsidRPr="00D62AA4" w:rsidRDefault="004A4555" w:rsidP="004A4555">
      <w:pPr>
        <w:pStyle w:val="FRAFootnoteText"/>
        <w:rPr>
          <w:szCs w:val="18"/>
        </w:rPr>
      </w:pPr>
    </w:p>
  </w:footnote>
  <w:footnote w:id="17">
    <w:p w:rsidR="00A263AB" w:rsidRPr="00D62AA4" w:rsidRDefault="00A263AB" w:rsidP="00A263AB">
      <w:pPr>
        <w:pStyle w:val="FRAFootnoteText"/>
        <w:rPr>
          <w:szCs w:val="18"/>
        </w:rPr>
      </w:pPr>
      <w:r w:rsidRPr="00D62AA4">
        <w:rPr>
          <w:rStyle w:val="FootnoteReference"/>
          <w:szCs w:val="18"/>
        </w:rPr>
        <w:footnoteRef/>
      </w:r>
      <w:r w:rsidRPr="00D62AA4">
        <w:rPr>
          <w:szCs w:val="18"/>
        </w:rPr>
        <w:t xml:space="preserve"> U.S. State Department, Bureau of democracy, human rights and labor (2021), ‘</w:t>
      </w:r>
      <w:hyperlink r:id="rId17" w:history="1">
        <w:r w:rsidRPr="00D62AA4">
          <w:rPr>
            <w:rStyle w:val="Hyperlink"/>
            <w:rFonts w:eastAsia="Times New Roman" w:cs="Times New Roman"/>
            <w:kern w:val="36"/>
            <w:szCs w:val="18"/>
          </w:rPr>
          <w:t>2020 Country Reports on Human Rights Practices: Cyprus’</w:t>
        </w:r>
      </w:hyperlink>
      <w:r w:rsidRPr="00D62AA4">
        <w:rPr>
          <w:szCs w:val="18"/>
        </w:rPr>
        <w:t xml:space="preserve">, February 2021. </w:t>
      </w:r>
    </w:p>
    <w:p w:rsidR="00A263AB" w:rsidRPr="00D62AA4" w:rsidRDefault="00A263AB" w:rsidP="00A263AB">
      <w:pPr>
        <w:pStyle w:val="FRAFootnoteText"/>
        <w:rPr>
          <w:szCs w:val="18"/>
        </w:rPr>
      </w:pPr>
    </w:p>
  </w:footnote>
  <w:footnote w:id="18">
    <w:p w:rsidR="00180EB8" w:rsidRPr="00D62AA4" w:rsidRDefault="00180EB8" w:rsidP="00180EB8">
      <w:pPr>
        <w:pStyle w:val="FRAFootnoteText"/>
        <w:rPr>
          <w:rFonts w:cs="Times New Roman"/>
          <w:b/>
          <w:bCs/>
          <w:kern w:val="36"/>
          <w:szCs w:val="18"/>
        </w:rPr>
      </w:pPr>
      <w:r w:rsidRPr="00D62AA4">
        <w:rPr>
          <w:rStyle w:val="FootnoteReference"/>
          <w:szCs w:val="18"/>
        </w:rPr>
        <w:footnoteRef/>
      </w:r>
      <w:r w:rsidRPr="00D62AA4">
        <w:rPr>
          <w:szCs w:val="18"/>
        </w:rPr>
        <w:t xml:space="preserve"> Hadjigeorgiou N. (2021), ‘</w:t>
      </w:r>
      <w:hyperlink r:id="rId18" w:history="1">
        <w:r w:rsidRPr="00D62AA4">
          <w:rPr>
            <w:rStyle w:val="Hyperlink"/>
            <w:rFonts w:cs="Times New Roman"/>
            <w:kern w:val="36"/>
            <w:szCs w:val="18"/>
          </w:rPr>
          <w:t>Foreign Domestic Workers in Cyprus: the unseen impact of the frozen conflict’</w:t>
        </w:r>
      </w:hyperlink>
      <w:r w:rsidRPr="00D62AA4">
        <w:rPr>
          <w:rFonts w:cs="Times New Roman"/>
          <w:kern w:val="36"/>
          <w:szCs w:val="18"/>
        </w:rPr>
        <w:t>, Hellenic Observatory of the London School of Economics, 26 February 2021.</w:t>
      </w:r>
    </w:p>
    <w:p w:rsidR="00180EB8" w:rsidRPr="00D62AA4" w:rsidRDefault="00180EB8" w:rsidP="00180EB8">
      <w:pPr>
        <w:pStyle w:val="FRAFootnoteText"/>
        <w:rPr>
          <w:szCs w:val="18"/>
        </w:rPr>
      </w:pPr>
    </w:p>
  </w:footnote>
  <w:footnote w:id="19">
    <w:p w:rsidR="00180EB8" w:rsidRPr="00D62AA4" w:rsidRDefault="00180EB8" w:rsidP="00180EB8">
      <w:pPr>
        <w:pStyle w:val="FRAFootnoteText"/>
        <w:rPr>
          <w:szCs w:val="18"/>
          <w:lang w:val="en-IE"/>
        </w:rPr>
      </w:pPr>
      <w:r w:rsidRPr="00D62AA4">
        <w:rPr>
          <w:rStyle w:val="FootnoteReference"/>
          <w:szCs w:val="18"/>
        </w:rPr>
        <w:footnoteRef/>
      </w:r>
      <w:r w:rsidRPr="00D62AA4">
        <w:rPr>
          <w:szCs w:val="18"/>
        </w:rPr>
        <w:t xml:space="preserve"> Pavlou, V. (2021), ‘Migrant Domestic Workers in Europe: Law and the Construction of Vulnerability’, UK, Hart, ISBN 978-1-50994-237-4.</w:t>
      </w:r>
    </w:p>
  </w:footnote>
  <w:footnote w:id="20">
    <w:p w:rsidR="005419E4" w:rsidRPr="00D62AA4" w:rsidRDefault="005419E4">
      <w:pPr>
        <w:pStyle w:val="FootnoteText"/>
        <w:rPr>
          <w:rFonts w:ascii="Verdana" w:hAnsi="Verdana"/>
          <w:sz w:val="18"/>
          <w:szCs w:val="18"/>
        </w:rPr>
      </w:pPr>
      <w:r w:rsidRPr="00D62AA4">
        <w:rPr>
          <w:rStyle w:val="FootnoteReference"/>
          <w:rFonts w:ascii="Verdana" w:hAnsi="Verdana"/>
          <w:sz w:val="18"/>
          <w:szCs w:val="18"/>
        </w:rPr>
        <w:footnoteRef/>
      </w:r>
      <w:r w:rsidRPr="00D62AA4">
        <w:rPr>
          <w:rFonts w:ascii="Verdana" w:hAnsi="Verdana"/>
          <w:sz w:val="18"/>
          <w:szCs w:val="18"/>
        </w:rPr>
        <w:t xml:space="preserve"> Cyprus Supreme Court, Civil appeal No. 4/2020, </w:t>
      </w:r>
      <w:hyperlink r:id="rId19" w:history="1">
        <w:r w:rsidRPr="00D62AA4">
          <w:rPr>
            <w:rStyle w:val="Hyperlink"/>
            <w:rFonts w:ascii="Verdana" w:hAnsi="Verdana"/>
            <w:i/>
            <w:sz w:val="18"/>
            <w:szCs w:val="18"/>
          </w:rPr>
          <w:t>XXXX v the Police</w:t>
        </w:r>
      </w:hyperlink>
      <w:r w:rsidRPr="00D62AA4">
        <w:rPr>
          <w:rFonts w:ascii="Verdana" w:hAnsi="Verdana"/>
          <w:i/>
          <w:sz w:val="18"/>
          <w:szCs w:val="18"/>
        </w:rPr>
        <w:t>,</w:t>
      </w:r>
      <w:r w:rsidRPr="00D62AA4">
        <w:rPr>
          <w:rFonts w:ascii="Verdana" w:hAnsi="Verdana"/>
          <w:sz w:val="18"/>
          <w:szCs w:val="18"/>
        </w:rPr>
        <w:t xml:space="preserve"> 31 January 2022.</w:t>
      </w:r>
    </w:p>
  </w:footnote>
  <w:footnote w:id="21">
    <w:p w:rsidR="00605125" w:rsidRPr="00AE2422" w:rsidRDefault="00605125" w:rsidP="00605125">
      <w:pPr>
        <w:pStyle w:val="Heading1"/>
        <w:rPr>
          <w:rFonts w:ascii="Times New Roman" w:hAnsi="Times New Roman"/>
          <w:b/>
          <w:kern w:val="36"/>
          <w:sz w:val="20"/>
          <w:szCs w:val="20"/>
          <w:lang w:val="en-US"/>
        </w:rPr>
      </w:pPr>
      <w:r w:rsidRPr="00AE2422">
        <w:rPr>
          <w:rStyle w:val="FootnoteReference"/>
          <w:rFonts w:ascii="Times New Roman" w:hAnsi="Times New Roman"/>
          <w:sz w:val="20"/>
          <w:szCs w:val="20"/>
        </w:rPr>
        <w:footnoteRef/>
      </w:r>
      <w:r w:rsidRPr="00AE2422">
        <w:rPr>
          <w:rFonts w:ascii="Times New Roman" w:hAnsi="Times New Roman"/>
          <w:sz w:val="20"/>
          <w:szCs w:val="20"/>
        </w:rPr>
        <w:t xml:space="preserve"> The Telegraph (2020), ‘</w:t>
      </w:r>
      <w:hyperlink r:id="rId20" w:history="1">
        <w:r w:rsidRPr="00AE2422">
          <w:rPr>
            <w:rStyle w:val="Hyperlink"/>
            <w:rFonts w:ascii="Times New Roman" w:hAnsi="Times New Roman"/>
            <w:kern w:val="36"/>
            <w:sz w:val="20"/>
            <w:szCs w:val="20"/>
            <w:lang w:val="en-US"/>
          </w:rPr>
          <w:t>British teenager in Cyprus gang rape case handed four-month suspended jail sentence</w:t>
        </w:r>
      </w:hyperlink>
      <w:r w:rsidRPr="00AE2422">
        <w:rPr>
          <w:rFonts w:ascii="Times New Roman" w:hAnsi="Times New Roman"/>
          <w:kern w:val="36"/>
          <w:sz w:val="20"/>
          <w:szCs w:val="20"/>
          <w:lang w:val="en-US"/>
        </w:rPr>
        <w:t xml:space="preserve">’, </w:t>
      </w:r>
      <w:r w:rsidRPr="00AE2422">
        <w:rPr>
          <w:rStyle w:val="component-content"/>
          <w:rFonts w:ascii="Times New Roman" w:hAnsi="Times New Roman"/>
          <w:sz w:val="20"/>
          <w:szCs w:val="20"/>
        </w:rPr>
        <w:t>7 January 2020.</w:t>
      </w:r>
    </w:p>
  </w:footnote>
  <w:footnote w:id="22">
    <w:p w:rsidR="006D7B6A" w:rsidRPr="00D62AA4" w:rsidRDefault="006D7B6A" w:rsidP="006D7B6A">
      <w:pPr>
        <w:pStyle w:val="FRAFootnoteText"/>
        <w:rPr>
          <w:rFonts w:eastAsia="Times New Roman" w:cs="Tahoma"/>
          <w:color w:val="000000"/>
          <w:kern w:val="36"/>
          <w:szCs w:val="18"/>
          <w:lang w:val="el-GR"/>
        </w:rPr>
      </w:pPr>
      <w:r w:rsidRPr="00D62AA4">
        <w:rPr>
          <w:rStyle w:val="FootnoteReference"/>
          <w:szCs w:val="18"/>
        </w:rPr>
        <w:footnoteRef/>
      </w:r>
      <w:r w:rsidRPr="00D62AA4">
        <w:rPr>
          <w:szCs w:val="18"/>
          <w:lang w:val="el-GR"/>
        </w:rPr>
        <w:t xml:space="preserve"> </w:t>
      </w:r>
      <w:r w:rsidRPr="00D62AA4">
        <w:rPr>
          <w:szCs w:val="18"/>
        </w:rPr>
        <w:t>Reporter</w:t>
      </w:r>
      <w:r w:rsidRPr="00D62AA4">
        <w:rPr>
          <w:szCs w:val="18"/>
          <w:lang w:val="el-GR"/>
        </w:rPr>
        <w:t xml:space="preserve"> (2021), ‘</w:t>
      </w:r>
      <w:hyperlink r:id="rId21" w:history="1">
        <w:r w:rsidRPr="00D62AA4">
          <w:rPr>
            <w:rStyle w:val="Hyperlink"/>
            <w:rFonts w:eastAsia="Times New Roman" w:cs="Tahoma"/>
            <w:kern w:val="36"/>
            <w:szCs w:val="18"/>
          </w:rPr>
          <w:t>K</w:t>
        </w:r>
        <w:r w:rsidRPr="00D62AA4">
          <w:rPr>
            <w:rStyle w:val="Hyperlink"/>
            <w:rFonts w:eastAsia="Times New Roman" w:cs="Tahoma"/>
            <w:kern w:val="36"/>
            <w:szCs w:val="18"/>
            <w:lang w:val="el-GR"/>
          </w:rPr>
          <w:t>αμία ποινική δίωξη αστυνομικού αποφάσισε ο Εισαγγελέας για την υπόθεση Μεταξά’</w:t>
        </w:r>
      </w:hyperlink>
      <w:r w:rsidRPr="00D62AA4">
        <w:rPr>
          <w:rFonts w:eastAsia="Times New Roman" w:cs="Tahoma"/>
          <w:color w:val="000000"/>
          <w:kern w:val="36"/>
          <w:szCs w:val="18"/>
          <w:lang w:val="el-GR"/>
        </w:rPr>
        <w:t xml:space="preserve">, 14 </w:t>
      </w:r>
      <w:r w:rsidRPr="00D62AA4">
        <w:rPr>
          <w:rFonts w:eastAsia="Times New Roman" w:cs="Tahoma"/>
          <w:color w:val="000000"/>
          <w:kern w:val="36"/>
          <w:szCs w:val="18"/>
        </w:rPr>
        <w:t>June</w:t>
      </w:r>
      <w:r w:rsidRPr="00D62AA4">
        <w:rPr>
          <w:rFonts w:eastAsia="Times New Roman" w:cs="Tahoma"/>
          <w:color w:val="000000"/>
          <w:kern w:val="36"/>
          <w:szCs w:val="18"/>
          <w:lang w:val="el-GR"/>
        </w:rPr>
        <w:t xml:space="preserve"> 2021.</w:t>
      </w:r>
    </w:p>
  </w:footnote>
  <w:footnote w:id="23">
    <w:p w:rsidR="006D7B6A" w:rsidRPr="00D62AA4" w:rsidRDefault="006D7B6A" w:rsidP="006D7B6A">
      <w:pPr>
        <w:pStyle w:val="FRAFootnoteText"/>
        <w:rPr>
          <w:rFonts w:eastAsia="Times New Roman" w:cs="Open Sans"/>
          <w:color w:val="666666"/>
          <w:szCs w:val="18"/>
        </w:rPr>
      </w:pPr>
      <w:r w:rsidRPr="00D62AA4">
        <w:rPr>
          <w:rStyle w:val="FootnoteReference"/>
          <w:szCs w:val="18"/>
        </w:rPr>
        <w:footnoteRef/>
      </w:r>
      <w:r w:rsidRPr="00D62AA4">
        <w:rPr>
          <w:szCs w:val="18"/>
        </w:rPr>
        <w:t xml:space="preserve"> </w:t>
      </w:r>
      <w:r w:rsidRPr="00D62AA4">
        <w:rPr>
          <w:rFonts w:eastAsia="Times New Roman" w:cs="Open Sans"/>
          <w:color w:val="333333"/>
          <w:kern w:val="36"/>
          <w:szCs w:val="18"/>
        </w:rPr>
        <w:t>KISA (2021) ‘T</w:t>
      </w:r>
      <w:hyperlink r:id="rId22" w:history="1">
        <w:r w:rsidRPr="00D62AA4">
          <w:rPr>
            <w:rStyle w:val="Hyperlink"/>
            <w:rFonts w:eastAsia="Times New Roman" w:cs="Open Sans"/>
            <w:kern w:val="36"/>
            <w:szCs w:val="18"/>
          </w:rPr>
          <w:t>he Attorney General’s decision for not prosecuting the police officers who failed to protect the 7 murdered migrant women is a provocation to society!’,</w:t>
        </w:r>
      </w:hyperlink>
      <w:r w:rsidRPr="00D62AA4">
        <w:rPr>
          <w:rFonts w:eastAsia="Times New Roman" w:cs="Open Sans"/>
          <w:color w:val="333333"/>
          <w:kern w:val="36"/>
          <w:szCs w:val="18"/>
        </w:rPr>
        <w:t xml:space="preserve"> Press release, </w:t>
      </w:r>
      <w:r w:rsidRPr="00D62AA4">
        <w:rPr>
          <w:rFonts w:eastAsia="Times New Roman" w:cs="Open Sans"/>
          <w:kern w:val="36"/>
          <w:szCs w:val="18"/>
        </w:rPr>
        <w:t>16 J</w:t>
      </w:r>
      <w:r w:rsidRPr="00D62AA4">
        <w:rPr>
          <w:rFonts w:eastAsia="Times New Roman" w:cs="Open Sans"/>
          <w:szCs w:val="18"/>
          <w:bdr w:val="none" w:sz="0" w:space="0" w:color="auto" w:frame="1"/>
        </w:rPr>
        <w:t>une, 2021</w:t>
      </w:r>
    </w:p>
  </w:footnote>
  <w:footnote w:id="24">
    <w:p w:rsidR="006D7B6A" w:rsidRPr="00D62AA4" w:rsidRDefault="006D7B6A" w:rsidP="006D7B6A">
      <w:pPr>
        <w:pStyle w:val="FRAFootnoteText"/>
        <w:rPr>
          <w:rFonts w:eastAsia="Times New Roman" w:cs="Times New Roman"/>
          <w:color w:val="111111"/>
          <w:kern w:val="36"/>
          <w:szCs w:val="18"/>
          <w:lang w:val="el-GR"/>
        </w:rPr>
      </w:pPr>
      <w:r w:rsidRPr="00D62AA4">
        <w:rPr>
          <w:rStyle w:val="FootnoteReference"/>
          <w:szCs w:val="18"/>
        </w:rPr>
        <w:footnoteRef/>
      </w:r>
      <w:r w:rsidRPr="00D62AA4">
        <w:rPr>
          <w:szCs w:val="18"/>
          <w:lang w:val="el-GR"/>
        </w:rPr>
        <w:t xml:space="preserve"> </w:t>
      </w:r>
      <w:r w:rsidRPr="00D62AA4">
        <w:rPr>
          <w:rFonts w:eastAsia="Times New Roman" w:cs="Times New Roman"/>
          <w:color w:val="111111"/>
          <w:kern w:val="36"/>
          <w:szCs w:val="18"/>
        </w:rPr>
        <w:t>Dialogos</w:t>
      </w:r>
      <w:r w:rsidRPr="00D62AA4">
        <w:rPr>
          <w:rFonts w:eastAsia="Times New Roman" w:cs="Times New Roman"/>
          <w:color w:val="111111"/>
          <w:kern w:val="36"/>
          <w:szCs w:val="18"/>
          <w:lang w:val="el-GR"/>
        </w:rPr>
        <w:t xml:space="preserve"> (2021), ‘</w:t>
      </w:r>
      <w:hyperlink r:id="rId23" w:history="1">
        <w:r w:rsidRPr="00D62AA4">
          <w:rPr>
            <w:rStyle w:val="Hyperlink"/>
            <w:rFonts w:eastAsia="Times New Roman" w:cs="Times New Roman"/>
            <w:kern w:val="36"/>
            <w:szCs w:val="18"/>
            <w:lang w:val="el-GR"/>
          </w:rPr>
          <w:t>Υπόθεση Μεταξά: Σήμερα διαμαρτυρία έξω από τη Νομική Υπηρεσία</w:t>
        </w:r>
        <w:r w:rsidRPr="00D62AA4">
          <w:rPr>
            <w:rStyle w:val="Hyperlink"/>
            <w:rFonts w:eastAsia="Times New Roman" w:cs="Times New Roman"/>
            <w:kern w:val="36"/>
            <w:szCs w:val="18"/>
          </w:rPr>
          <w:t> </w:t>
        </w:r>
        <w:r w:rsidRPr="00D62AA4">
          <w:rPr>
            <w:rStyle w:val="Hyperlink"/>
            <w:rFonts w:eastAsia="Times New Roman" w:cs="Times New Roman"/>
            <w:kern w:val="36"/>
            <w:szCs w:val="18"/>
            <w:lang w:val="el-GR"/>
          </w:rPr>
          <w:t>από την ΠΟΓΟ</w:t>
        </w:r>
      </w:hyperlink>
      <w:r w:rsidRPr="00D62AA4">
        <w:rPr>
          <w:rFonts w:eastAsia="Times New Roman" w:cs="Times New Roman"/>
          <w:color w:val="111111"/>
          <w:kern w:val="36"/>
          <w:szCs w:val="18"/>
          <w:lang w:val="el-GR"/>
        </w:rPr>
        <w:t xml:space="preserve">’, 21 </w:t>
      </w:r>
      <w:r w:rsidRPr="00D62AA4">
        <w:rPr>
          <w:rFonts w:eastAsia="Times New Roman" w:cs="Times New Roman"/>
          <w:color w:val="111111"/>
          <w:kern w:val="36"/>
          <w:szCs w:val="18"/>
        </w:rPr>
        <w:t>June</w:t>
      </w:r>
      <w:r w:rsidRPr="00D62AA4">
        <w:rPr>
          <w:rFonts w:eastAsia="Times New Roman" w:cs="Times New Roman"/>
          <w:color w:val="111111"/>
          <w:kern w:val="36"/>
          <w:szCs w:val="18"/>
          <w:lang w:val="el-GR"/>
        </w:rPr>
        <w:t xml:space="preserve"> 2021</w:t>
      </w:r>
    </w:p>
    <w:p w:rsidR="006D7B6A" w:rsidRPr="00D62AA4" w:rsidRDefault="006D7B6A" w:rsidP="006D7B6A">
      <w:pPr>
        <w:pStyle w:val="FRAFootnoteText"/>
        <w:rPr>
          <w:szCs w:val="18"/>
          <w:lang w:val="el-GR"/>
        </w:rPr>
      </w:pPr>
    </w:p>
  </w:footnote>
  <w:footnote w:id="25">
    <w:p w:rsidR="006D7B6A" w:rsidRPr="00D62AA4" w:rsidRDefault="006D7B6A" w:rsidP="006D7B6A">
      <w:pPr>
        <w:pStyle w:val="FRAFootnoteText"/>
        <w:rPr>
          <w:szCs w:val="18"/>
          <w:lang w:val="el-GR"/>
        </w:rPr>
      </w:pPr>
      <w:r w:rsidRPr="00D62AA4">
        <w:rPr>
          <w:rStyle w:val="FootnoteReference"/>
          <w:szCs w:val="18"/>
        </w:rPr>
        <w:footnoteRef/>
      </w:r>
      <w:r w:rsidRPr="00D62AA4">
        <w:rPr>
          <w:szCs w:val="18"/>
          <w:lang w:val="el-GR"/>
        </w:rPr>
        <w:t xml:space="preserve"> </w:t>
      </w:r>
      <w:r w:rsidRPr="00D62AA4">
        <w:rPr>
          <w:szCs w:val="18"/>
        </w:rPr>
        <w:t>Cyprus</w:t>
      </w:r>
      <w:r w:rsidRPr="00D62AA4">
        <w:rPr>
          <w:szCs w:val="18"/>
          <w:lang w:val="el-GR"/>
        </w:rPr>
        <w:t xml:space="preserve">, </w:t>
      </w:r>
      <w:r w:rsidRPr="00D62AA4">
        <w:rPr>
          <w:szCs w:val="18"/>
        </w:rPr>
        <w:t>Bill</w:t>
      </w:r>
      <w:r w:rsidRPr="00D62AA4">
        <w:rPr>
          <w:szCs w:val="18"/>
          <w:lang w:val="el-GR"/>
        </w:rPr>
        <w:t xml:space="preserve"> </w:t>
      </w:r>
      <w:r w:rsidRPr="00D62AA4">
        <w:rPr>
          <w:szCs w:val="18"/>
        </w:rPr>
        <w:t>on</w:t>
      </w:r>
      <w:r w:rsidRPr="00D62AA4">
        <w:rPr>
          <w:szCs w:val="18"/>
          <w:lang w:val="el-GR"/>
        </w:rPr>
        <w:t xml:space="preserve"> </w:t>
      </w:r>
    </w:p>
  </w:footnote>
  <w:footnote w:id="26">
    <w:p w:rsidR="006D7B6A" w:rsidRPr="00D62AA4" w:rsidRDefault="006D7B6A" w:rsidP="006D7B6A">
      <w:pPr>
        <w:pStyle w:val="FRAFootnoteText"/>
        <w:rPr>
          <w:szCs w:val="18"/>
          <w:lang w:val="el-GR"/>
        </w:rPr>
      </w:pPr>
      <w:r w:rsidRPr="00D62AA4">
        <w:rPr>
          <w:rStyle w:val="FootnoteReference"/>
          <w:szCs w:val="18"/>
        </w:rPr>
        <w:footnoteRef/>
      </w:r>
      <w:r w:rsidRPr="00D62AA4">
        <w:rPr>
          <w:szCs w:val="18"/>
          <w:lang w:val="el-GR"/>
        </w:rPr>
        <w:t xml:space="preserve"> </w:t>
      </w:r>
      <w:r w:rsidRPr="00D62AA4">
        <w:rPr>
          <w:szCs w:val="18"/>
        </w:rPr>
        <w:t>Cyprus</w:t>
      </w:r>
      <w:r w:rsidRPr="00D62AA4">
        <w:rPr>
          <w:szCs w:val="18"/>
          <w:lang w:val="el-GR"/>
        </w:rPr>
        <w:t xml:space="preserve">, </w:t>
      </w:r>
      <w:r w:rsidRPr="00D62AA4">
        <w:rPr>
          <w:szCs w:val="18"/>
        </w:rPr>
        <w:t>Commissioner</w:t>
      </w:r>
      <w:r w:rsidRPr="00D62AA4">
        <w:rPr>
          <w:szCs w:val="18"/>
          <w:lang w:val="el-GR"/>
        </w:rPr>
        <w:t xml:space="preserve"> </w:t>
      </w:r>
      <w:r w:rsidRPr="00D62AA4">
        <w:rPr>
          <w:szCs w:val="18"/>
        </w:rPr>
        <w:t>for</w:t>
      </w:r>
      <w:r w:rsidRPr="00D62AA4">
        <w:rPr>
          <w:szCs w:val="18"/>
          <w:lang w:val="el-GR"/>
        </w:rPr>
        <w:t xml:space="preserve"> </w:t>
      </w:r>
      <w:r w:rsidRPr="00D62AA4">
        <w:rPr>
          <w:szCs w:val="18"/>
        </w:rPr>
        <w:t>the</w:t>
      </w:r>
      <w:r w:rsidRPr="00D62AA4">
        <w:rPr>
          <w:szCs w:val="18"/>
          <w:lang w:val="el-GR"/>
        </w:rPr>
        <w:t xml:space="preserve"> </w:t>
      </w:r>
      <w:r w:rsidRPr="00D62AA4">
        <w:rPr>
          <w:szCs w:val="18"/>
        </w:rPr>
        <w:t>rights</w:t>
      </w:r>
      <w:r w:rsidRPr="00D62AA4">
        <w:rPr>
          <w:szCs w:val="18"/>
          <w:lang w:val="el-GR"/>
        </w:rPr>
        <w:t xml:space="preserve"> </w:t>
      </w:r>
      <w:r w:rsidRPr="00D62AA4">
        <w:rPr>
          <w:szCs w:val="18"/>
        </w:rPr>
        <w:t>of</w:t>
      </w:r>
      <w:r w:rsidRPr="00D62AA4">
        <w:rPr>
          <w:szCs w:val="18"/>
          <w:lang w:val="el-GR"/>
        </w:rPr>
        <w:t xml:space="preserve"> </w:t>
      </w:r>
      <w:r w:rsidRPr="00D62AA4">
        <w:rPr>
          <w:szCs w:val="18"/>
        </w:rPr>
        <w:t>the</w:t>
      </w:r>
      <w:r w:rsidRPr="00D62AA4">
        <w:rPr>
          <w:szCs w:val="18"/>
          <w:lang w:val="el-GR"/>
        </w:rPr>
        <w:t xml:space="preserve"> </w:t>
      </w:r>
      <w:r w:rsidRPr="00D62AA4">
        <w:rPr>
          <w:szCs w:val="18"/>
        </w:rPr>
        <w:t>child</w:t>
      </w:r>
      <w:r w:rsidRPr="00D62AA4">
        <w:rPr>
          <w:szCs w:val="18"/>
          <w:lang w:val="el-GR"/>
        </w:rPr>
        <w:t xml:space="preserve"> (2021), ‘</w:t>
      </w:r>
      <w:hyperlink r:id="rId24" w:history="1">
        <w:r w:rsidRPr="00D62AA4">
          <w:rPr>
            <w:rStyle w:val="Hyperlink"/>
            <w:szCs w:val="18"/>
            <w:lang w:val="el-GR"/>
          </w:rPr>
          <w:t>Θέση της Επιτρόπου προστασίας των δικαιωμάτων του παιδιού αναφορικά με το προτεινόμενο νομοσχέδιο και τους κανονισμούς ενιαίας εκπαίδευσης’</w:t>
        </w:r>
      </w:hyperlink>
      <w:r w:rsidRPr="00D62AA4">
        <w:rPr>
          <w:szCs w:val="18"/>
          <w:lang w:val="el-GR"/>
        </w:rPr>
        <w:t xml:space="preserve">, </w:t>
      </w:r>
      <w:r w:rsidRPr="00D62AA4">
        <w:rPr>
          <w:szCs w:val="18"/>
        </w:rPr>
        <w:t>File</w:t>
      </w:r>
      <w:r w:rsidRPr="00D62AA4">
        <w:rPr>
          <w:szCs w:val="18"/>
          <w:lang w:val="el-GR"/>
        </w:rPr>
        <w:t xml:space="preserve"> </w:t>
      </w:r>
      <w:r w:rsidRPr="00D62AA4">
        <w:rPr>
          <w:szCs w:val="18"/>
        </w:rPr>
        <w:t>No</w:t>
      </w:r>
      <w:r w:rsidRPr="00D62AA4">
        <w:rPr>
          <w:szCs w:val="18"/>
          <w:lang w:val="el-GR"/>
        </w:rPr>
        <w:t xml:space="preserve">. 7.16.02, 11.11.29, 5 </w:t>
      </w:r>
      <w:r w:rsidRPr="00D62AA4">
        <w:rPr>
          <w:szCs w:val="18"/>
        </w:rPr>
        <w:t>July</w:t>
      </w:r>
      <w:r w:rsidRPr="00D62AA4">
        <w:rPr>
          <w:szCs w:val="18"/>
          <w:lang w:val="el-GR"/>
        </w:rPr>
        <w:t xml:space="preserve"> 2021.</w:t>
      </w:r>
    </w:p>
  </w:footnote>
  <w:footnote w:id="27">
    <w:p w:rsidR="006D7B6A" w:rsidRPr="00D62AA4" w:rsidRDefault="006D7B6A" w:rsidP="006D7B6A">
      <w:pPr>
        <w:pStyle w:val="FRAFootnoteText"/>
        <w:rPr>
          <w:szCs w:val="18"/>
          <w:lang w:val="el-GR"/>
        </w:rPr>
      </w:pPr>
      <w:r w:rsidRPr="00D62AA4">
        <w:rPr>
          <w:rStyle w:val="FootnoteReference"/>
          <w:szCs w:val="18"/>
        </w:rPr>
        <w:footnoteRef/>
      </w:r>
      <w:r w:rsidRPr="00D62AA4">
        <w:rPr>
          <w:szCs w:val="18"/>
          <w:lang w:val="el-GR"/>
        </w:rPr>
        <w:t xml:space="preserve"> </w:t>
      </w:r>
      <w:r w:rsidRPr="00D62AA4">
        <w:rPr>
          <w:szCs w:val="18"/>
        </w:rPr>
        <w:t>RIK</w:t>
      </w:r>
      <w:r w:rsidRPr="00D62AA4">
        <w:rPr>
          <w:szCs w:val="18"/>
          <w:lang w:val="el-GR"/>
        </w:rPr>
        <w:t xml:space="preserve"> </w:t>
      </w:r>
      <w:r w:rsidRPr="00D62AA4">
        <w:rPr>
          <w:szCs w:val="18"/>
        </w:rPr>
        <w:t>News</w:t>
      </w:r>
      <w:r w:rsidRPr="00D62AA4">
        <w:rPr>
          <w:szCs w:val="18"/>
          <w:lang w:val="el-GR"/>
        </w:rPr>
        <w:t xml:space="preserve"> (2021), ‘</w:t>
      </w:r>
      <w:hyperlink r:id="rId25" w:history="1">
        <w:r w:rsidRPr="00D62AA4">
          <w:rPr>
            <w:rStyle w:val="Hyperlink"/>
            <w:szCs w:val="18"/>
            <w:lang w:val="el-GR"/>
          </w:rPr>
          <w:t>Ανασύνταξη του νομοσχεδίου για Ενιαία Εκπαίδευση ζητούν ενδιαφερόμενες οργανώσεις’,</w:t>
        </w:r>
      </w:hyperlink>
      <w:r w:rsidRPr="00D62AA4">
        <w:rPr>
          <w:szCs w:val="18"/>
          <w:lang w:val="el-GR"/>
        </w:rPr>
        <w:t xml:space="preserve"> 17 </w:t>
      </w:r>
      <w:r w:rsidRPr="00D62AA4">
        <w:rPr>
          <w:szCs w:val="18"/>
        </w:rPr>
        <w:t>June</w:t>
      </w:r>
      <w:r w:rsidRPr="00D62AA4">
        <w:rPr>
          <w:szCs w:val="18"/>
          <w:lang w:val="el-GR"/>
        </w:rPr>
        <w:t xml:space="preserv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2A3" w:rsidRPr="009132A3" w:rsidRDefault="009132A3">
    <w:pPr>
      <w:pStyle w:val="Header"/>
      <w:rPr>
        <w:rFonts w:ascii="Arial Narrow" w:hAnsi="Arial Narrow"/>
        <w:sz w:val="24"/>
        <w:szCs w:val="24"/>
      </w:rPr>
    </w:pPr>
    <w:r w:rsidRPr="009132A3">
      <w:rPr>
        <w:rFonts w:ascii="Arial Narrow" w:hAnsi="Arial Narrow"/>
        <w:sz w:val="24"/>
        <w:szCs w:val="24"/>
      </w:rPr>
      <w:t>Social and Economic Rights in Cyprus 2021-22</w:t>
    </w:r>
    <w:r w:rsidRPr="009132A3">
      <w:rPr>
        <w:rFonts w:ascii="Arial Narrow" w:hAnsi="Arial Narrow"/>
        <w:sz w:val="24"/>
        <w:szCs w:val="24"/>
      </w:rPr>
      <w:tab/>
    </w:r>
    <w:r w:rsidRPr="009132A3">
      <w:rPr>
        <w:rFonts w:ascii="Arial Narrow" w:hAnsi="Arial Narrow"/>
        <w:sz w:val="24"/>
        <w:szCs w:val="24"/>
      </w:rPr>
      <w:tab/>
      <w:t>Report by Symfiliosi</w:t>
    </w:r>
  </w:p>
  <w:p w:rsidR="009132A3" w:rsidRDefault="009132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73B9C"/>
    <w:multiLevelType w:val="hybridMultilevel"/>
    <w:tmpl w:val="13AE8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A417C9"/>
    <w:multiLevelType w:val="hybridMultilevel"/>
    <w:tmpl w:val="87D6A514"/>
    <w:lvl w:ilvl="0" w:tplc="E67E207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302E1"/>
    <w:multiLevelType w:val="hybridMultilevel"/>
    <w:tmpl w:val="CC9AA97E"/>
    <w:lvl w:ilvl="0" w:tplc="D820F6F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093547"/>
    <w:multiLevelType w:val="hybridMultilevel"/>
    <w:tmpl w:val="0A5CABB4"/>
    <w:lvl w:ilvl="0" w:tplc="87506D2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A46991"/>
    <w:multiLevelType w:val="hybridMultilevel"/>
    <w:tmpl w:val="E9C0FC9C"/>
    <w:lvl w:ilvl="0" w:tplc="8450557E">
      <w:start w:val="1"/>
      <w:numFmt w:val="decimal"/>
      <w:lvlText w:val="%1."/>
      <w:lvlJc w:val="left"/>
      <w:pPr>
        <w:ind w:left="720" w:hanging="360"/>
      </w:pPr>
      <w:rPr>
        <w:rFonts w:hint="default"/>
        <w:b w:val="0"/>
        <w:i w:val="0"/>
      </w:rPr>
    </w:lvl>
    <w:lvl w:ilvl="1" w:tplc="3646694C">
      <w:numFmt w:val="bullet"/>
      <w:lvlText w:val="-"/>
      <w:lvlJc w:val="left"/>
      <w:pPr>
        <w:ind w:left="1440" w:hanging="360"/>
      </w:pPr>
      <w:rPr>
        <w:rFonts w:ascii="Times New Roman" w:eastAsia="Calibri" w:hAnsi="Times New Roman" w:cs="Times New Roman"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568448D9"/>
    <w:multiLevelType w:val="multilevel"/>
    <w:tmpl w:val="3ED4B4EE"/>
    <w:styleLink w:val="FRAHeadings"/>
    <w:lvl w:ilvl="0">
      <w:start w:val="1"/>
      <w:numFmt w:val="decimal"/>
      <w:pStyle w:val="FRAHeading1"/>
      <w:lvlText w:val="%1"/>
      <w:lvlJc w:val="left"/>
      <w:pPr>
        <w:ind w:left="907" w:hanging="907"/>
      </w:pPr>
      <w:rPr>
        <w:rFonts w:hint="default"/>
      </w:rPr>
    </w:lvl>
    <w:lvl w:ilvl="1">
      <w:start w:val="1"/>
      <w:numFmt w:val="decimal"/>
      <w:pStyle w:val="FRAHeading2"/>
      <w:lvlText w:val="%1.%2"/>
      <w:lvlJc w:val="left"/>
      <w:pPr>
        <w:ind w:left="907" w:hanging="907"/>
      </w:pPr>
      <w:rPr>
        <w:rFonts w:hint="default"/>
      </w:rPr>
    </w:lvl>
    <w:lvl w:ilvl="2">
      <w:start w:val="1"/>
      <w:numFmt w:val="decimal"/>
      <w:pStyle w:val="FRAHeading3"/>
      <w:lvlText w:val="%1.%2.%3"/>
      <w:lvlJc w:val="left"/>
      <w:pPr>
        <w:ind w:left="907" w:hanging="907"/>
      </w:pPr>
      <w:rPr>
        <w:rFonts w:hint="default"/>
      </w:rPr>
    </w:lvl>
    <w:lvl w:ilvl="3">
      <w:start w:val="1"/>
      <w:numFmt w:val="none"/>
      <w:pStyle w:val="FRAHeading4Unnumbered"/>
      <w:lvlText w:val=""/>
      <w:lvlJc w:val="left"/>
      <w:pPr>
        <w:ind w:left="907" w:hanging="907"/>
      </w:pPr>
      <w:rPr>
        <w:rFonts w:hint="default"/>
      </w:rPr>
    </w:lvl>
    <w:lvl w:ilvl="4">
      <w:start w:val="1"/>
      <w:numFmt w:val="decimal"/>
      <w:lvlText w:val="%5."/>
      <w:lvlJc w:val="left"/>
      <w:pPr>
        <w:ind w:left="284" w:firstLine="0"/>
      </w:pPr>
      <w:rPr>
        <w:rFonts w:hint="default"/>
      </w:rPr>
    </w:lvl>
    <w:lvl w:ilvl="5">
      <w:start w:val="1"/>
      <w:numFmt w:val="bullet"/>
      <w:lvlRestart w:val="0"/>
      <w:pStyle w:val="FRAListBullet"/>
      <w:lvlText w:val=""/>
      <w:lvlJc w:val="left"/>
      <w:pPr>
        <w:ind w:left="1134" w:firstLine="0"/>
      </w:pPr>
      <w:rPr>
        <w:rFonts w:ascii="Symbol" w:hAnsi="Symbol" w:hint="default"/>
        <w:color w:val="auto"/>
      </w:rPr>
    </w:lvl>
    <w:lvl w:ilvl="6">
      <w:start w:val="1"/>
      <w:numFmt w:val="none"/>
      <w:lvlText w:val="%7."/>
      <w:lvlJc w:val="left"/>
      <w:pPr>
        <w:ind w:left="907" w:hanging="907"/>
      </w:pPr>
      <w:rPr>
        <w:rFonts w:hint="default"/>
      </w:rPr>
    </w:lvl>
    <w:lvl w:ilvl="7">
      <w:start w:val="1"/>
      <w:numFmt w:val="none"/>
      <w:lvlText w:val="%8."/>
      <w:lvlJc w:val="left"/>
      <w:pPr>
        <w:ind w:left="907" w:hanging="907"/>
      </w:pPr>
      <w:rPr>
        <w:rFonts w:hint="default"/>
      </w:rPr>
    </w:lvl>
    <w:lvl w:ilvl="8">
      <w:start w:val="1"/>
      <w:numFmt w:val="none"/>
      <w:lvlText w:val="%9."/>
      <w:lvlJc w:val="right"/>
      <w:pPr>
        <w:ind w:left="907" w:hanging="907"/>
      </w:pPr>
      <w:rPr>
        <w:rFonts w:hint="default"/>
      </w:rPr>
    </w:lvl>
  </w:abstractNum>
  <w:abstractNum w:abstractNumId="6" w15:restartNumberingAfterBreak="0">
    <w:nsid w:val="6FC52B6E"/>
    <w:multiLevelType w:val="hybridMultilevel"/>
    <w:tmpl w:val="CEC63DEC"/>
    <w:lvl w:ilvl="0" w:tplc="2E166D0E">
      <w:start w:val="1"/>
      <w:numFmt w:val="bullet"/>
      <w:lvlText w:val="-"/>
      <w:lvlJc w:val="left"/>
      <w:pPr>
        <w:ind w:left="1003" w:hanging="360"/>
      </w:pPr>
      <w:rPr>
        <w:rFonts w:ascii="Verdana" w:eastAsia="Calibr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7315B0F"/>
    <w:multiLevelType w:val="hybridMultilevel"/>
    <w:tmpl w:val="299C9FE8"/>
    <w:lvl w:ilvl="0" w:tplc="3646694C">
      <w:numFmt w:val="bullet"/>
      <w:lvlText w:val="-"/>
      <w:lvlJc w:val="left"/>
      <w:pPr>
        <w:ind w:left="1288" w:hanging="360"/>
      </w:pPr>
      <w:rPr>
        <w:rFonts w:ascii="Times New Roman" w:eastAsia="Calibri" w:hAnsi="Times New Roman" w:cs="Times New Roman"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8" w15:restartNumberingAfterBreak="0">
    <w:nsid w:val="7D3370F3"/>
    <w:multiLevelType w:val="hybridMultilevel"/>
    <w:tmpl w:val="8FB46DC4"/>
    <w:lvl w:ilvl="0" w:tplc="FB40777E">
      <w:start w:val="11"/>
      <w:numFmt w:val="decimal"/>
      <w:lvlText w:val="%1."/>
      <w:lvlJc w:val="left"/>
      <w:pPr>
        <w:ind w:left="1125" w:hanging="40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5"/>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0"/>
  </w:num>
  <w:num w:numId="10">
    <w:abstractNumId w:val="8"/>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DAB"/>
    <w:rsid w:val="00010D8E"/>
    <w:rsid w:val="00066906"/>
    <w:rsid w:val="000B2DAB"/>
    <w:rsid w:val="000C6F21"/>
    <w:rsid w:val="00105B75"/>
    <w:rsid w:val="00135BAF"/>
    <w:rsid w:val="0017477B"/>
    <w:rsid w:val="00180EB8"/>
    <w:rsid w:val="002352F6"/>
    <w:rsid w:val="00265779"/>
    <w:rsid w:val="003F1750"/>
    <w:rsid w:val="004A4555"/>
    <w:rsid w:val="005419E4"/>
    <w:rsid w:val="00544E24"/>
    <w:rsid w:val="00605125"/>
    <w:rsid w:val="00614908"/>
    <w:rsid w:val="00692B59"/>
    <w:rsid w:val="006975CB"/>
    <w:rsid w:val="006D7B6A"/>
    <w:rsid w:val="007172EE"/>
    <w:rsid w:val="008407B5"/>
    <w:rsid w:val="0087272A"/>
    <w:rsid w:val="008F1892"/>
    <w:rsid w:val="00907BE5"/>
    <w:rsid w:val="009132A3"/>
    <w:rsid w:val="00A263AB"/>
    <w:rsid w:val="00A915A2"/>
    <w:rsid w:val="00C22E18"/>
    <w:rsid w:val="00D62AA4"/>
    <w:rsid w:val="00DE6024"/>
    <w:rsid w:val="00E74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4CFEF7-4F79-4CB7-A623-FB54F2CF7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62AA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747B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0B2DAB"/>
    <w:pPr>
      <w:ind w:left="720"/>
      <w:contextualSpacing/>
    </w:pPr>
  </w:style>
  <w:style w:type="character" w:customStyle="1" w:styleId="d2edcug0">
    <w:name w:val="d2edcug0"/>
    <w:basedOn w:val="DefaultParagraphFont"/>
    <w:rsid w:val="007172EE"/>
  </w:style>
  <w:style w:type="character" w:styleId="Hyperlink">
    <w:name w:val="Hyperlink"/>
    <w:uiPriority w:val="99"/>
    <w:rsid w:val="006975CB"/>
    <w:rPr>
      <w:color w:val="0000FF"/>
      <w:u w:val="single"/>
    </w:rPr>
  </w:style>
  <w:style w:type="character" w:styleId="FootnoteReference">
    <w:name w:val="footnote reference"/>
    <w:aliases w:val="Footnote Refernece,callout,Footnotes refss,Fußnotenzeichen_Raxen Car,SUPERS Car,Footnote symbol Car,Times 10 Point Car,Exposant 3 Point Car,En-tête Car Char Char Car,callout Car,Footnotes refss Car,callout Char Char Char Char Char,4_G"/>
    <w:basedOn w:val="DefaultParagraphFont"/>
    <w:link w:val="calloutCharCharCharChar"/>
    <w:uiPriority w:val="99"/>
    <w:qFormat/>
    <w:rsid w:val="006975CB"/>
    <w:rPr>
      <w:vertAlign w:val="superscript"/>
    </w:rPr>
  </w:style>
  <w:style w:type="paragraph" w:customStyle="1" w:styleId="FRAFootnoteText">
    <w:name w:val="(FRA) Footnote Text"/>
    <w:basedOn w:val="Normal"/>
    <w:autoRedefine/>
    <w:qFormat/>
    <w:rsid w:val="006975CB"/>
    <w:pPr>
      <w:spacing w:before="60"/>
      <w:ind w:left="57"/>
    </w:pPr>
    <w:rPr>
      <w:rFonts w:ascii="Verdana" w:eastAsia="Calibri" w:hAnsi="Verdana" w:cs="Arial"/>
      <w:sz w:val="18"/>
      <w:shd w:val="clear" w:color="auto" w:fill="FFFFFF"/>
      <w:lang w:val="en-US" w:eastAsia="en-GB" w:bidi="en-US"/>
    </w:rPr>
  </w:style>
  <w:style w:type="paragraph" w:customStyle="1" w:styleId="calloutCharCharCharChar">
    <w:name w:val="callout Char Char Char Char"/>
    <w:aliases w:val="Footnotes refss Char Char Char Char,Fußnotenzeichen_Raxen Car Char Char Char Char,SUPERS Car Char Char Char Char,Footnote symbol Car Char Char Char Char,Times 10 Point Car Char Char Char Char,4_G Char Char Char Char"/>
    <w:basedOn w:val="Normal"/>
    <w:link w:val="FootnoteReference"/>
    <w:rsid w:val="006975CB"/>
    <w:pPr>
      <w:spacing w:after="160" w:line="240" w:lineRule="exact"/>
      <w:jc w:val="left"/>
    </w:pPr>
    <w:rPr>
      <w:vertAlign w:val="superscript"/>
    </w:rPr>
  </w:style>
  <w:style w:type="paragraph" w:customStyle="1" w:styleId="FRAHeading1">
    <w:name w:val="(FRA) Heading 1"/>
    <w:next w:val="FRAHeading2"/>
    <w:autoRedefine/>
    <w:uiPriority w:val="1"/>
    <w:qFormat/>
    <w:rsid w:val="006975CB"/>
    <w:pPr>
      <w:keepNext/>
      <w:numPr>
        <w:numId w:val="3"/>
      </w:numPr>
      <w:tabs>
        <w:tab w:val="left" w:pos="907"/>
      </w:tabs>
      <w:spacing w:before="240" w:after="60" w:line="276" w:lineRule="auto"/>
      <w:jc w:val="left"/>
      <w:outlineLvl w:val="0"/>
    </w:pPr>
    <w:rPr>
      <w:rFonts w:ascii="Verdana" w:eastAsia="Calibri" w:hAnsi="Verdana" w:cs="Arial"/>
      <w:b/>
      <w:sz w:val="32"/>
      <w:szCs w:val="32"/>
      <w:lang w:bidi="en-US"/>
    </w:rPr>
  </w:style>
  <w:style w:type="paragraph" w:customStyle="1" w:styleId="FRAHeading2">
    <w:name w:val="(FRA) Heading 2"/>
    <w:basedOn w:val="FRAHeading1"/>
    <w:next w:val="FRAHeading3"/>
    <w:uiPriority w:val="1"/>
    <w:qFormat/>
    <w:rsid w:val="006975CB"/>
    <w:pPr>
      <w:numPr>
        <w:ilvl w:val="1"/>
      </w:numPr>
      <w:outlineLvl w:val="1"/>
    </w:pPr>
    <w:rPr>
      <w:sz w:val="28"/>
      <w:szCs w:val="28"/>
    </w:rPr>
  </w:style>
  <w:style w:type="paragraph" w:customStyle="1" w:styleId="FRAHeading3">
    <w:name w:val="(FRA) Heading 3"/>
    <w:basedOn w:val="FRAHeading2"/>
    <w:next w:val="Normal"/>
    <w:uiPriority w:val="1"/>
    <w:qFormat/>
    <w:rsid w:val="006975CB"/>
    <w:pPr>
      <w:numPr>
        <w:ilvl w:val="2"/>
      </w:numPr>
      <w:outlineLvl w:val="2"/>
    </w:pPr>
    <w:rPr>
      <w:sz w:val="24"/>
      <w:szCs w:val="24"/>
    </w:rPr>
  </w:style>
  <w:style w:type="paragraph" w:customStyle="1" w:styleId="FRAListNumbered">
    <w:name w:val="(FRA) List Numbered"/>
    <w:basedOn w:val="Normal"/>
    <w:autoRedefine/>
    <w:qFormat/>
    <w:rsid w:val="00A263AB"/>
    <w:pPr>
      <w:spacing w:before="60" w:after="60"/>
      <w:ind w:left="360"/>
    </w:pPr>
    <w:rPr>
      <w:rFonts w:ascii="Verdana" w:eastAsia="Times New Roman" w:hAnsi="Verdana" w:cs="Times New Roman"/>
      <w:color w:val="111111"/>
      <w:shd w:val="clear" w:color="auto" w:fill="FFFFFF"/>
      <w:lang w:eastAsia="en-GB" w:bidi="en-US"/>
    </w:rPr>
  </w:style>
  <w:style w:type="paragraph" w:customStyle="1" w:styleId="FRAHeading4Unnumbered">
    <w:name w:val="(FRA) Heading 4 Unnumbered"/>
    <w:basedOn w:val="FRAHeading3"/>
    <w:next w:val="Normal"/>
    <w:autoRedefine/>
    <w:qFormat/>
    <w:rsid w:val="006975CB"/>
    <w:pPr>
      <w:numPr>
        <w:ilvl w:val="3"/>
      </w:numPr>
      <w:tabs>
        <w:tab w:val="left" w:pos="0"/>
      </w:tabs>
      <w:outlineLvl w:val="3"/>
    </w:pPr>
    <w:rPr>
      <w:sz w:val="22"/>
    </w:rPr>
  </w:style>
  <w:style w:type="numbering" w:customStyle="1" w:styleId="FRAHeadings">
    <w:name w:val="(FRA) Headings"/>
    <w:uiPriority w:val="99"/>
    <w:rsid w:val="006975CB"/>
    <w:pPr>
      <w:numPr>
        <w:numId w:val="3"/>
      </w:numPr>
    </w:pPr>
  </w:style>
  <w:style w:type="paragraph" w:customStyle="1" w:styleId="FRAListBullet">
    <w:name w:val="(FRA) List Bullet"/>
    <w:basedOn w:val="Normal"/>
    <w:autoRedefine/>
    <w:qFormat/>
    <w:rsid w:val="006975CB"/>
    <w:pPr>
      <w:numPr>
        <w:ilvl w:val="5"/>
        <w:numId w:val="3"/>
      </w:numPr>
      <w:spacing w:before="60" w:after="60"/>
    </w:pPr>
    <w:rPr>
      <w:rFonts w:ascii="Verdana" w:eastAsia="Calibri" w:hAnsi="Verdana" w:cs="Arial"/>
      <w:shd w:val="clear" w:color="auto" w:fill="FFFFFF"/>
      <w:lang w:bidi="en-US"/>
    </w:rPr>
  </w:style>
  <w:style w:type="paragraph" w:customStyle="1" w:styleId="FRABodyText">
    <w:name w:val="(FRA) Body Text"/>
    <w:link w:val="FRABodyTextChar"/>
    <w:autoRedefine/>
    <w:qFormat/>
    <w:rsid w:val="00135BAF"/>
    <w:pPr>
      <w:spacing w:before="60" w:after="60"/>
      <w:ind w:left="57"/>
    </w:pPr>
    <w:rPr>
      <w:rFonts w:ascii="Verdana" w:eastAsia="Calibri" w:hAnsi="Verdana" w:cs="Arial"/>
      <w:shd w:val="clear" w:color="auto" w:fill="FFFFFF"/>
      <w:lang w:eastAsia="en-IE" w:bidi="en-US"/>
    </w:rPr>
  </w:style>
  <w:style w:type="character" w:customStyle="1" w:styleId="FRABodyTextChar">
    <w:name w:val="(FRA) Body Text Char"/>
    <w:basedOn w:val="DefaultParagraphFont"/>
    <w:link w:val="FRABodyText"/>
    <w:rsid w:val="00135BAF"/>
    <w:rPr>
      <w:rFonts w:ascii="Verdana" w:eastAsia="Calibri" w:hAnsi="Verdana" w:cs="Arial"/>
      <w:lang w:eastAsia="en-IE" w:bidi="en-US"/>
    </w:rPr>
  </w:style>
  <w:style w:type="character" w:customStyle="1" w:styleId="outputecliaff">
    <w:name w:val="outputecliaff"/>
    <w:basedOn w:val="DefaultParagraphFont"/>
    <w:rsid w:val="00180EB8"/>
  </w:style>
  <w:style w:type="character" w:customStyle="1" w:styleId="ListParagraphChar">
    <w:name w:val="List Paragraph Char"/>
    <w:basedOn w:val="DefaultParagraphFont"/>
    <w:link w:val="ListParagraph"/>
    <w:uiPriority w:val="34"/>
    <w:locked/>
    <w:rsid w:val="00180EB8"/>
  </w:style>
  <w:style w:type="character" w:styleId="CommentReference">
    <w:name w:val="annotation reference"/>
    <w:basedOn w:val="DefaultParagraphFont"/>
    <w:uiPriority w:val="99"/>
    <w:semiHidden/>
    <w:unhideWhenUsed/>
    <w:rsid w:val="005419E4"/>
    <w:rPr>
      <w:sz w:val="16"/>
      <w:szCs w:val="16"/>
    </w:rPr>
  </w:style>
  <w:style w:type="paragraph" w:styleId="CommentText">
    <w:name w:val="annotation text"/>
    <w:basedOn w:val="Normal"/>
    <w:link w:val="CommentTextChar"/>
    <w:uiPriority w:val="99"/>
    <w:semiHidden/>
    <w:unhideWhenUsed/>
    <w:rsid w:val="005419E4"/>
    <w:rPr>
      <w:sz w:val="20"/>
      <w:szCs w:val="20"/>
    </w:rPr>
  </w:style>
  <w:style w:type="character" w:customStyle="1" w:styleId="CommentTextChar">
    <w:name w:val="Comment Text Char"/>
    <w:basedOn w:val="DefaultParagraphFont"/>
    <w:link w:val="CommentText"/>
    <w:uiPriority w:val="99"/>
    <w:semiHidden/>
    <w:rsid w:val="005419E4"/>
    <w:rPr>
      <w:sz w:val="20"/>
      <w:szCs w:val="20"/>
    </w:rPr>
  </w:style>
  <w:style w:type="paragraph" w:styleId="CommentSubject">
    <w:name w:val="annotation subject"/>
    <w:basedOn w:val="CommentText"/>
    <w:next w:val="CommentText"/>
    <w:link w:val="CommentSubjectChar"/>
    <w:uiPriority w:val="99"/>
    <w:semiHidden/>
    <w:unhideWhenUsed/>
    <w:rsid w:val="005419E4"/>
    <w:rPr>
      <w:b/>
      <w:bCs/>
    </w:rPr>
  </w:style>
  <w:style w:type="character" w:customStyle="1" w:styleId="CommentSubjectChar">
    <w:name w:val="Comment Subject Char"/>
    <w:basedOn w:val="CommentTextChar"/>
    <w:link w:val="CommentSubject"/>
    <w:uiPriority w:val="99"/>
    <w:semiHidden/>
    <w:rsid w:val="005419E4"/>
    <w:rPr>
      <w:b/>
      <w:bCs/>
      <w:sz w:val="20"/>
      <w:szCs w:val="20"/>
    </w:rPr>
  </w:style>
  <w:style w:type="paragraph" w:styleId="BalloonText">
    <w:name w:val="Balloon Text"/>
    <w:basedOn w:val="Normal"/>
    <w:link w:val="BalloonTextChar"/>
    <w:uiPriority w:val="99"/>
    <w:semiHidden/>
    <w:unhideWhenUsed/>
    <w:rsid w:val="005419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19E4"/>
    <w:rPr>
      <w:rFonts w:ascii="Segoe UI" w:hAnsi="Segoe UI" w:cs="Segoe UI"/>
      <w:sz w:val="18"/>
      <w:szCs w:val="18"/>
    </w:rPr>
  </w:style>
  <w:style w:type="paragraph" w:styleId="FootnoteText">
    <w:name w:val="footnote text"/>
    <w:basedOn w:val="Normal"/>
    <w:link w:val="FootnoteTextChar"/>
    <w:uiPriority w:val="99"/>
    <w:semiHidden/>
    <w:unhideWhenUsed/>
    <w:rsid w:val="005419E4"/>
    <w:rPr>
      <w:sz w:val="20"/>
      <w:szCs w:val="20"/>
    </w:rPr>
  </w:style>
  <w:style w:type="character" w:customStyle="1" w:styleId="FootnoteTextChar">
    <w:name w:val="Footnote Text Char"/>
    <w:basedOn w:val="DefaultParagraphFont"/>
    <w:link w:val="FootnoteText"/>
    <w:uiPriority w:val="99"/>
    <w:semiHidden/>
    <w:rsid w:val="005419E4"/>
    <w:rPr>
      <w:sz w:val="20"/>
      <w:szCs w:val="20"/>
    </w:rPr>
  </w:style>
  <w:style w:type="paragraph" w:customStyle="1" w:styleId="FootnoteR">
    <w:name w:val="FootnoteR"/>
    <w:basedOn w:val="FootnoteText"/>
    <w:link w:val="FootnoteRChar"/>
    <w:qFormat/>
    <w:rsid w:val="00D62AA4"/>
    <w:pPr>
      <w:ind w:left="284" w:hanging="284"/>
      <w:jc w:val="left"/>
    </w:pPr>
    <w:rPr>
      <w:rFonts w:ascii="Verdana" w:eastAsia="Times New Roman" w:hAnsi="Verdana" w:cs="Times New Roman"/>
      <w:sz w:val="16"/>
      <w:szCs w:val="16"/>
    </w:rPr>
  </w:style>
  <w:style w:type="character" w:customStyle="1" w:styleId="FootnoteRChar">
    <w:name w:val="FootnoteR Char"/>
    <w:basedOn w:val="DefaultParagraphFont"/>
    <w:link w:val="FootnoteR"/>
    <w:rsid w:val="00D62AA4"/>
    <w:rPr>
      <w:rFonts w:ascii="Verdana" w:eastAsia="Times New Roman" w:hAnsi="Verdana" w:cs="Times New Roman"/>
      <w:sz w:val="16"/>
      <w:szCs w:val="16"/>
    </w:rPr>
  </w:style>
  <w:style w:type="character" w:customStyle="1" w:styleId="Heading1Char">
    <w:name w:val="Heading 1 Char"/>
    <w:basedOn w:val="DefaultParagraphFont"/>
    <w:link w:val="Heading1"/>
    <w:uiPriority w:val="9"/>
    <w:rsid w:val="00D62AA4"/>
    <w:rPr>
      <w:rFonts w:asciiTheme="majorHAnsi" w:eastAsiaTheme="majorEastAsia" w:hAnsiTheme="majorHAnsi" w:cstheme="majorBidi"/>
      <w:color w:val="2F5496" w:themeColor="accent1" w:themeShade="BF"/>
      <w:sz w:val="32"/>
      <w:szCs w:val="32"/>
    </w:rPr>
  </w:style>
  <w:style w:type="character" w:customStyle="1" w:styleId="markedcontent">
    <w:name w:val="markedcontent"/>
    <w:basedOn w:val="DefaultParagraphFont"/>
    <w:rsid w:val="00D62AA4"/>
  </w:style>
  <w:style w:type="paragraph" w:styleId="Header">
    <w:name w:val="header"/>
    <w:basedOn w:val="Normal"/>
    <w:link w:val="HeaderChar"/>
    <w:uiPriority w:val="99"/>
    <w:unhideWhenUsed/>
    <w:rsid w:val="00265779"/>
    <w:pPr>
      <w:tabs>
        <w:tab w:val="center" w:pos="4513"/>
        <w:tab w:val="right" w:pos="9026"/>
      </w:tabs>
    </w:pPr>
  </w:style>
  <w:style w:type="character" w:customStyle="1" w:styleId="HeaderChar">
    <w:name w:val="Header Char"/>
    <w:basedOn w:val="DefaultParagraphFont"/>
    <w:link w:val="Header"/>
    <w:uiPriority w:val="99"/>
    <w:rsid w:val="00265779"/>
  </w:style>
  <w:style w:type="paragraph" w:styleId="Footer">
    <w:name w:val="footer"/>
    <w:basedOn w:val="Normal"/>
    <w:link w:val="FooterChar"/>
    <w:uiPriority w:val="99"/>
    <w:unhideWhenUsed/>
    <w:rsid w:val="00265779"/>
    <w:pPr>
      <w:tabs>
        <w:tab w:val="center" w:pos="4513"/>
        <w:tab w:val="right" w:pos="9026"/>
      </w:tabs>
    </w:pPr>
  </w:style>
  <w:style w:type="character" w:customStyle="1" w:styleId="FooterChar">
    <w:name w:val="Footer Char"/>
    <w:basedOn w:val="DefaultParagraphFont"/>
    <w:link w:val="Footer"/>
    <w:uiPriority w:val="99"/>
    <w:rsid w:val="00265779"/>
  </w:style>
  <w:style w:type="character" w:customStyle="1" w:styleId="Heading2Char">
    <w:name w:val="Heading 2 Char"/>
    <w:basedOn w:val="DefaultParagraphFont"/>
    <w:link w:val="Heading2"/>
    <w:uiPriority w:val="9"/>
    <w:rsid w:val="00E747BA"/>
    <w:rPr>
      <w:rFonts w:asciiTheme="majorHAnsi" w:eastAsiaTheme="majorEastAsia" w:hAnsiTheme="majorHAnsi" w:cstheme="majorBidi"/>
      <w:color w:val="2F5496" w:themeColor="accent1" w:themeShade="BF"/>
      <w:sz w:val="26"/>
      <w:szCs w:val="26"/>
    </w:rPr>
  </w:style>
  <w:style w:type="character" w:customStyle="1" w:styleId="component-content">
    <w:name w:val="component-content"/>
    <w:basedOn w:val="DefaultParagraphFont"/>
    <w:rsid w:val="00605125"/>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605125"/>
    <w:pPr>
      <w:spacing w:after="160" w:line="240" w:lineRule="exact"/>
    </w:pPr>
    <w:rPr>
      <w:vertAlign w:val="superscript"/>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36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t&amp;rct=j&amp;q=&amp;esrc=s&amp;source=web&amp;cd=&amp;ved=2ahUKEwiYlc_Hspb4AhWYt6QKHVncD_AQFnoECAwQAQ&amp;url=https%3A%2F%2Fwww.venice.coe.int%2Fwebforms%2Fdocuments%2Fdefault.aspx%3Fpdffile%3DCDL-AD(2019)005-e&amp;usg=AOvVaw3jSOfvC2c7_zgYC7-DzUXk" TargetMode="External"/><Relationship Id="rId13" Type="http://schemas.openxmlformats.org/officeDocument/2006/relationships/hyperlink" Target="https://pafoslive.com.cy/%CE%B3%CE%B9%CE%B1%CF%84%CE%AF-%CF%8C%CE%BB%CE%BF%CE%B9-%CE%BF%CE%B9-%CE%B1%CE%BB%CE%BB%CE%BF%CE%B4%CE%B1%CF%80%CE%BF%CE%AF-%CF%83%CF%84%CE%B7%CE%BD-%CF%87%CE%BB%CF%89%CF%81%CE%B1%CE%BA%CE%B1/" TargetMode="External"/><Relationship Id="rId18" Type="http://schemas.openxmlformats.org/officeDocument/2006/relationships/hyperlink" Target="https://cyprus-mail.com/2021/12/13/mps-shocked-at-state-of-pournara-refugee-centr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knews.kathimerini.com.cy/en/news/cyprus-enlists-army-to-move-asylum-seekers" TargetMode="External"/><Relationship Id="rId7" Type="http://schemas.openxmlformats.org/officeDocument/2006/relationships/endnotes" Target="endnotes.xml"/><Relationship Id="rId12" Type="http://schemas.openxmlformats.org/officeDocument/2006/relationships/hyperlink" Target="https://www.mof.gov.cy/mof/gpo/gpo.nsf/All/356AE7EF4C609FFFC225863B002D8158/$file/5415%2011%2012%202020%20PARARTIMA%203o%20MEROS%20I.pdf" TargetMode="External"/><Relationship Id="rId17" Type="http://schemas.openxmlformats.org/officeDocument/2006/relationships/hyperlink" Target="https://www.justiceabroad.co.uk/news/supreme-court-overturns-teenagers-conviction-in-cyprus-rape-case-1?fbclid=IwAR2KuFXJhZ8O8vFsJ1K6DF-6l5_K3nt4xMwZRi9DKhRtj_TR5UbJGZYEzq8"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kratosdikaiou.com/index.php/2021/01/10/to-diatagma-nourh-sth-xlwraka/" TargetMode="External"/><Relationship Id="rId20" Type="http://schemas.openxmlformats.org/officeDocument/2006/relationships/hyperlink" Target="https://knews.kathimerini.com.cy/en/news/cyprus-enlists-army-to-move-asylum-seekers?fbclid=IwAR3xX1p_s3_rLBPvoeggpYgNhnXfTO44DgZSE5PLqn07qvH1M_Upe52actk" TargetMode="Externa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RP8Auj28MBI" TargetMode="External"/><Relationship Id="rId24" Type="http://schemas.openxmlformats.org/officeDocument/2006/relationships/hyperlink" Target="https://cyprus-mail.com/2021/12/13/mps-shocked-at-state-of-pournara-refugee-centre/" TargetMode="External"/><Relationship Id="rId5" Type="http://schemas.openxmlformats.org/officeDocument/2006/relationships/webSettings" Target="webSettings.xml"/><Relationship Id="rId15" Type="http://schemas.openxmlformats.org/officeDocument/2006/relationships/hyperlink" Target="https://www.offsite.com.cy/eidiseis/politiki/aberof-deyteri-alosi-tis-konstantinoypolis" TargetMode="External"/><Relationship Id="rId23" Type="http://schemas.openxmlformats.org/officeDocument/2006/relationships/hyperlink" Target="http://www.moi.gov.cy/moi/moiup/moi.nsf/All/76F96FD8A731AE47C22587AC003E14FC?OpenDocument" TargetMode="External"/><Relationship Id="rId28" Type="http://schemas.openxmlformats.org/officeDocument/2006/relationships/theme" Target="theme/theme1.xml"/><Relationship Id="rId10" Type="http://schemas.openxmlformats.org/officeDocument/2006/relationships/hyperlink" Target="https://tcnintegration.com.cy/en/" TargetMode="External"/><Relationship Id="rId19" Type="http://schemas.openxmlformats.org/officeDocument/2006/relationships/hyperlink" Target="http://www.moi.gov.cy/moi/moiup/moi.nsf/All/42B054BE757DDEA2C22587AC0041E9F1?OpenDocument" TargetMode="Externa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cm.gov.cy/cm/cm.nsf/All/E8B9F955430771F1C225873D002226BD/$file/91.327.pdf?OpenElement" TargetMode="External"/><Relationship Id="rId14" Type="http://schemas.openxmlformats.org/officeDocument/2006/relationships/hyperlink" Target="https://www.sigmalive.com/news/local/631084/xloraka-sygxroni-favela-kyklomata-me-plokamia-se-ypsila-salonia-vid" TargetMode="External"/><Relationship Id="rId22" Type="http://schemas.openxmlformats.org/officeDocument/2006/relationships/hyperlink" Target="https://politis.com.cy/politis-news/ochi-tis-ee-gia-chrimatodotisi-adeies-limnes-voyliazoyn-to-poyrnara/"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gesy.org.cy/sites/Sites?d=Desktop&amp;locale=en_US&amp;lookuphost=/en-us/&amp;lookuppage=hiobeneficiaryeligiblility" TargetMode="External"/><Relationship Id="rId13" Type="http://schemas.openxmlformats.org/officeDocument/2006/relationships/hyperlink" Target="https://stophatedamages.eu/en/" TargetMode="External"/><Relationship Id="rId18" Type="http://schemas.openxmlformats.org/officeDocument/2006/relationships/hyperlink" Target="https://blogs.lse.ac.uk/greeceatlse/2021/02/26/foreign-domestic-workers-in-cyprus-the-unseen-impact-of-the-frozen-conflict/" TargetMode="External"/><Relationship Id="rId3" Type="http://schemas.openxmlformats.org/officeDocument/2006/relationships/hyperlink" Target="https://www.venice.coe.int/webforms/documents/?pdf=CDL-AD(2019)005-e" TargetMode="External"/><Relationship Id="rId21" Type="http://schemas.openxmlformats.org/officeDocument/2006/relationships/hyperlink" Target="https://www.reporter.com.cy/police/article/822460/kamia-poiniki-dioxi-astynomikoy-apofasise-o-eisangeleas-ga-tin-ypothesi-metaxa" TargetMode="External"/><Relationship Id="rId7" Type="http://schemas.openxmlformats.org/officeDocument/2006/relationships/hyperlink" Target="https://www.ant1.com.cy/news/cyprus/article/444672/vouli-kathusterei-i-hartografisi-draseon-tis-ethnikis-stratigikis-gia-ta-loatki-atoma/?expandedarticle=true" TargetMode="External"/><Relationship Id="rId12" Type="http://schemas.openxmlformats.org/officeDocument/2006/relationships/hyperlink" Target="https://www.state.gov/reports/2020-country-reports-on-human-rights-practices/cyprus/" TargetMode="External"/><Relationship Id="rId17" Type="http://schemas.openxmlformats.org/officeDocument/2006/relationships/hyperlink" Target="https://www.state.gov/reports/2020-country-reports-on-human-rights-practices/cyprus/" TargetMode="External"/><Relationship Id="rId25" Type="http://schemas.openxmlformats.org/officeDocument/2006/relationships/hyperlink" Target="https://riknews.com.cy/article/2021/6/17/anasuntaxe-tou-nomoskhediou-gia-eniaia-ekpaideuse-zetoun-endiapheromenes-organoseis/" TargetMode="External"/><Relationship Id="rId2" Type="http://schemas.openxmlformats.org/officeDocument/2006/relationships/hyperlink" Target="http://www.cylaw.org/nomoi/enop/non-ind/1991_1_3/full.html" TargetMode="External"/><Relationship Id="rId16" Type="http://schemas.openxmlformats.org/officeDocument/2006/relationships/hyperlink" Target="https://www.state.gov/reports/2020-country-reports-on-human-rights-practices/cyprus/" TargetMode="External"/><Relationship Id="rId20" Type="http://schemas.openxmlformats.org/officeDocument/2006/relationships/hyperlink" Target="https://www.telegraph.co.uk/news/2020/01/07/british-teenager-cyprus-gang-rape-case-handed-four-month-suspended/" TargetMode="External"/><Relationship Id="rId1" Type="http://schemas.openxmlformats.org/officeDocument/2006/relationships/hyperlink" Target="https://www.ohchr.org/Documents/Countries/NHRI/GANHRI/EN-SCA-Report-June-2021.pdf" TargetMode="External"/><Relationship Id="rId6" Type="http://schemas.openxmlformats.org/officeDocument/2006/relationships/hyperlink" Target="https://www.philenews.com/eidiseis/politiki/article/517554" TargetMode="External"/><Relationship Id="rId11" Type="http://schemas.openxmlformats.org/officeDocument/2006/relationships/hyperlink" Target="https://www.pio.gov.cy/en/press-releases-article.html?id=22003" TargetMode="External"/><Relationship Id="rId24" Type="http://schemas.openxmlformats.org/officeDocument/2006/relationships/hyperlink" Target="http://www.childcom.org.cy/ccr/ccr.nsf/All/E2F44CF6FD54AC05C225870900285285?OpenDocument" TargetMode="External"/><Relationship Id="rId5" Type="http://schemas.openxmlformats.org/officeDocument/2006/relationships/hyperlink" Target="http://cyprus-mail.com/2017/03/21/opposition-parties-remain-tight-lipped-approval-new-ombudsman/" TargetMode="External"/><Relationship Id="rId15" Type="http://schemas.openxmlformats.org/officeDocument/2006/relationships/hyperlink" Target="https://en.gavrielides.com/announcements/211015-thematic_review_legal_gender_recognition_cyprus" TargetMode="External"/><Relationship Id="rId23" Type="http://schemas.openxmlformats.org/officeDocument/2006/relationships/hyperlink" Target="https://dialogos.com.cy/ypothesi-metaxa-simera-diamartyria-exo-apo-ti-nomiki-ypiresia-apo-tin-pogo/" TargetMode="External"/><Relationship Id="rId10" Type="http://schemas.openxmlformats.org/officeDocument/2006/relationships/hyperlink" Target="https://www.independent.co.uk/news/uk/home-news/stephanie-dubois-model-astrazeneca-vaccine-death-b1853973.html" TargetMode="External"/><Relationship Id="rId19" Type="http://schemas.openxmlformats.org/officeDocument/2006/relationships/hyperlink" Target="https://drive.google.com/file/d/16mPP3QJvbRf7rxVYbTg-QLYgzOg86FNC/view?fbclid=IwAR1YiB2vYRrXSAaPFcgoDbX8Cj6JtUa-PS7KKlKhJ--TlULONT62IL9Pusk" TargetMode="External"/><Relationship Id="rId4" Type="http://schemas.openxmlformats.org/officeDocument/2006/relationships/hyperlink" Target="http://cyprus-mail.com/2017/03/22/view-irony-ombudspersons-appointment-no-reason-close-family-ties-president/" TargetMode="External"/><Relationship Id="rId9" Type="http://schemas.openxmlformats.org/officeDocument/2006/relationships/hyperlink" Target="https://cyprus-mail.com/2021/04/25/were-second-class-citizens-say-non-gesy-members/" TargetMode="External"/><Relationship Id="rId14" Type="http://schemas.openxmlformats.org/officeDocument/2006/relationships/hyperlink" Target="https://stophatedamages.eu/en/download/" TargetMode="External"/><Relationship Id="rId22" Type="http://schemas.openxmlformats.org/officeDocument/2006/relationships/hyperlink" Target="https://kisa.org.cy/it-challenges-society-the-decision-of-the-attorney-general-not-to-prosecute-police-officers-who-neglected-to-protect-the-murdered-migrant-women-by-metaxa-serial-kill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7D87BC-92C5-4DE1-8011-FA1B4415BF3B}">
  <ds:schemaRefs>
    <ds:schemaRef ds:uri="http://schemas.openxmlformats.org/officeDocument/2006/bibliography"/>
  </ds:schemaRefs>
</ds:datastoreItem>
</file>

<file path=customXml/itemProps2.xml><?xml version="1.0" encoding="utf-8"?>
<ds:datastoreItem xmlns:ds="http://schemas.openxmlformats.org/officeDocument/2006/customXml" ds:itemID="{015FAAD7-781D-4231-A1EA-E0163897D720}"/>
</file>

<file path=customXml/itemProps3.xml><?xml version="1.0" encoding="utf-8"?>
<ds:datastoreItem xmlns:ds="http://schemas.openxmlformats.org/officeDocument/2006/customXml" ds:itemID="{EA7AD7F6-53A6-4204-B454-9277CD189A8A}"/>
</file>

<file path=customXml/itemProps4.xml><?xml version="1.0" encoding="utf-8"?>
<ds:datastoreItem xmlns:ds="http://schemas.openxmlformats.org/officeDocument/2006/customXml" ds:itemID="{EDD62AC6-71D6-4365-8738-C73064724B92}"/>
</file>

<file path=docProps/app.xml><?xml version="1.0" encoding="utf-8"?>
<Properties xmlns="http://schemas.openxmlformats.org/officeDocument/2006/extended-properties" xmlns:vt="http://schemas.openxmlformats.org/officeDocument/2006/docPropsVTypes">
  <Template>Normal.dotm</Template>
  <TotalTime>0</TotalTime>
  <Pages>15</Pages>
  <Words>6990</Words>
  <Characters>39845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dc:creator>
  <cp:keywords/>
  <dc:description/>
  <cp:lastModifiedBy>REYNAUD Céline</cp:lastModifiedBy>
  <cp:revision>2</cp:revision>
  <dcterms:created xsi:type="dcterms:W3CDTF">2022-08-09T08:44:00Z</dcterms:created>
  <dcterms:modified xsi:type="dcterms:W3CDTF">2022-08-09T08:44:00Z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