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0670D7" w14:textId="60C4BD0C" w:rsidR="004317FE" w:rsidRPr="003428D9" w:rsidRDefault="00855D05" w:rsidP="004317FE">
      <w:pPr>
        <w:jc w:val="both"/>
        <w:rPr>
          <w:rFonts w:asciiTheme="majorBidi" w:hAnsiTheme="majorBidi" w:cstheme="majorBidi"/>
        </w:rPr>
      </w:pPr>
      <w:r w:rsidRPr="003428D9">
        <w:rPr>
          <w:rFonts w:asciiTheme="majorBidi" w:hAnsiTheme="majorBidi" w:cstheme="majorBidi"/>
          <w:b/>
          <w:bCs/>
        </w:rPr>
        <w:t xml:space="preserve">Report </w:t>
      </w:r>
      <w:r w:rsidR="00C433B8" w:rsidRPr="003428D9">
        <w:rPr>
          <w:rFonts w:asciiTheme="majorBidi" w:hAnsiTheme="majorBidi" w:cstheme="majorBidi"/>
          <w:b/>
          <w:bCs/>
        </w:rPr>
        <w:t xml:space="preserve">Submitted </w:t>
      </w:r>
      <w:r w:rsidRPr="003428D9">
        <w:rPr>
          <w:rFonts w:asciiTheme="majorBidi" w:hAnsiTheme="majorBidi" w:cstheme="majorBidi"/>
          <w:b/>
          <w:bCs/>
        </w:rPr>
        <w:t xml:space="preserve">to the Human Rights Committee on </w:t>
      </w:r>
      <w:r w:rsidR="00C433B8" w:rsidRPr="003428D9">
        <w:rPr>
          <w:rFonts w:asciiTheme="majorBidi" w:hAnsiTheme="majorBidi" w:cstheme="majorBidi"/>
          <w:b/>
          <w:bCs/>
        </w:rPr>
        <w:t xml:space="preserve">Follow-Up </w:t>
      </w:r>
      <w:r w:rsidRPr="003428D9">
        <w:rPr>
          <w:rFonts w:asciiTheme="majorBidi" w:hAnsiTheme="majorBidi" w:cstheme="majorBidi"/>
          <w:b/>
          <w:bCs/>
        </w:rPr>
        <w:t xml:space="preserve">to the </w:t>
      </w:r>
      <w:r w:rsidR="00C433B8" w:rsidRPr="003428D9">
        <w:rPr>
          <w:rFonts w:asciiTheme="majorBidi" w:hAnsiTheme="majorBidi" w:cstheme="majorBidi"/>
          <w:b/>
          <w:bCs/>
        </w:rPr>
        <w:t xml:space="preserve">Concluding Observations </w:t>
      </w:r>
      <w:r w:rsidRPr="003428D9">
        <w:rPr>
          <w:rFonts w:asciiTheme="majorBidi" w:hAnsiTheme="majorBidi" w:cstheme="majorBidi"/>
          <w:b/>
          <w:bCs/>
        </w:rPr>
        <w:t>of Iraq</w:t>
      </w:r>
    </w:p>
    <w:p w14:paraId="63C0C852" w14:textId="77777777" w:rsidR="004317FE" w:rsidRPr="003428D9" w:rsidRDefault="00855D05" w:rsidP="004317FE">
      <w:pPr>
        <w:jc w:val="both"/>
        <w:rPr>
          <w:rFonts w:asciiTheme="majorBidi" w:hAnsiTheme="majorBidi" w:cstheme="majorBidi"/>
        </w:rPr>
      </w:pPr>
      <w:r w:rsidRPr="003428D9">
        <w:rPr>
          <w:rFonts w:asciiTheme="majorBidi" w:hAnsiTheme="majorBidi" w:cstheme="majorBidi"/>
          <w:b/>
          <w:bCs/>
        </w:rPr>
        <w:t>Submitted to:</w:t>
      </w:r>
      <w:r w:rsidRPr="003428D9">
        <w:rPr>
          <w:rFonts w:asciiTheme="majorBidi" w:hAnsiTheme="majorBidi" w:cstheme="majorBidi"/>
        </w:rPr>
        <w:t xml:space="preserve"> Human Rights Committee</w:t>
      </w:r>
    </w:p>
    <w:p w14:paraId="1AE8A285" w14:textId="42F9A6FD" w:rsidR="004317FE" w:rsidRPr="003428D9" w:rsidRDefault="00855D05" w:rsidP="004317FE">
      <w:pPr>
        <w:jc w:val="both"/>
        <w:rPr>
          <w:rFonts w:asciiTheme="majorBidi" w:hAnsiTheme="majorBidi" w:cstheme="majorBidi"/>
        </w:rPr>
      </w:pPr>
      <w:r w:rsidRPr="003428D9">
        <w:rPr>
          <w:rFonts w:asciiTheme="majorBidi" w:hAnsiTheme="majorBidi" w:cstheme="majorBidi"/>
          <w:b/>
          <w:bCs/>
        </w:rPr>
        <w:t>Submitted by:</w:t>
      </w:r>
      <w:r w:rsidRPr="003428D9">
        <w:rPr>
          <w:rFonts w:asciiTheme="majorBidi" w:hAnsiTheme="majorBidi" w:cstheme="majorBidi"/>
        </w:rPr>
        <w:t xml:space="preserve"> Partners for Transparency (in consultative status with the United Nations Economic and Social Council)</w:t>
      </w:r>
    </w:p>
    <w:p w14:paraId="4A7FFDE7" w14:textId="11B65507" w:rsidR="00855D05" w:rsidRPr="003428D9" w:rsidRDefault="00855D05" w:rsidP="004317FE">
      <w:pPr>
        <w:jc w:val="both"/>
        <w:rPr>
          <w:rFonts w:asciiTheme="majorBidi" w:hAnsiTheme="majorBidi" w:cstheme="majorBidi"/>
        </w:rPr>
      </w:pPr>
      <w:r w:rsidRPr="003428D9">
        <w:rPr>
          <w:rFonts w:asciiTheme="majorBidi" w:hAnsiTheme="majorBidi" w:cstheme="majorBidi"/>
          <w:b/>
          <w:bCs/>
        </w:rPr>
        <w:t>Date:</w:t>
      </w:r>
      <w:r w:rsidRPr="003428D9">
        <w:rPr>
          <w:rFonts w:asciiTheme="majorBidi" w:hAnsiTheme="majorBidi" w:cstheme="majorBidi"/>
        </w:rPr>
        <w:t xml:space="preserve"> July 2026</w:t>
      </w:r>
    </w:p>
    <w:p w14:paraId="2B3C5A3D" w14:textId="77777777" w:rsidR="00855D05" w:rsidRPr="003428D9" w:rsidRDefault="00855D05" w:rsidP="004317FE">
      <w:pPr>
        <w:pBdr>
          <w:bottom w:val="single" w:sz="4" w:space="1" w:color="auto"/>
        </w:pBdr>
        <w:shd w:val="clear" w:color="auto" w:fill="00B0F0"/>
        <w:jc w:val="both"/>
        <w:rPr>
          <w:rFonts w:asciiTheme="majorBidi" w:hAnsiTheme="majorBidi" w:cstheme="majorBidi"/>
          <w:b/>
          <w:bCs/>
        </w:rPr>
      </w:pPr>
      <w:r w:rsidRPr="003428D9">
        <w:rPr>
          <w:rFonts w:asciiTheme="majorBidi" w:hAnsiTheme="majorBidi" w:cstheme="majorBidi"/>
          <w:b/>
          <w:bCs/>
        </w:rPr>
        <w:t>Introduction</w:t>
      </w:r>
    </w:p>
    <w:p w14:paraId="455EAF66" w14:textId="77777777" w:rsidR="00855D05" w:rsidRPr="003428D9" w:rsidRDefault="00855D05" w:rsidP="00855D05">
      <w:pPr>
        <w:jc w:val="both"/>
        <w:rPr>
          <w:rFonts w:asciiTheme="majorBidi" w:hAnsiTheme="majorBidi" w:cstheme="majorBidi"/>
        </w:rPr>
      </w:pPr>
      <w:r w:rsidRPr="003428D9">
        <w:rPr>
          <w:rFonts w:asciiTheme="majorBidi" w:hAnsiTheme="majorBidi" w:cstheme="majorBidi"/>
        </w:rPr>
        <w:t>The Human Rights Committee considered Iraq’s sixth periodic report during its sessions (3846), (3847), and (3848), held on 7 and 8 March 2022, and adopted its concluding observations on the report on 23 March 2022. As part of its follow-up procedure, the Committee requested the Iraqi Government to provide, by 25 March 2025, information on the implementation of the recommendations contained in paragraphs (9) on transitional justice, (17) on measures to combat terrorism, and (21) on the prohibition of torture and other cruel, inhuman or degrading treatment or punishment.</w:t>
      </w:r>
    </w:p>
    <w:p w14:paraId="5C7BC2B4" w14:textId="7363C9F5" w:rsidR="00855D05" w:rsidRPr="003428D9" w:rsidRDefault="00855D05" w:rsidP="00855D05">
      <w:pPr>
        <w:jc w:val="both"/>
        <w:rPr>
          <w:rFonts w:asciiTheme="majorBidi" w:hAnsiTheme="majorBidi" w:cstheme="majorBidi"/>
        </w:rPr>
      </w:pPr>
      <w:r w:rsidRPr="003428D9">
        <w:rPr>
          <w:rFonts w:asciiTheme="majorBidi" w:hAnsiTheme="majorBidi" w:cstheme="majorBidi"/>
        </w:rPr>
        <w:t xml:space="preserve">In this context, </w:t>
      </w:r>
      <w:r w:rsidR="00F03903" w:rsidRPr="003428D9">
        <w:rPr>
          <w:rFonts w:asciiTheme="majorBidi" w:hAnsiTheme="majorBidi" w:cstheme="majorBidi"/>
        </w:rPr>
        <w:t xml:space="preserve">Partners for Transparency </w:t>
      </w:r>
      <w:r w:rsidRPr="003428D9">
        <w:rPr>
          <w:rFonts w:asciiTheme="majorBidi" w:hAnsiTheme="majorBidi" w:cstheme="majorBidi"/>
        </w:rPr>
        <w:t>hereby submits this report to the Human Rights Committee within the framework of follow-up on the implementation of the Committee’s concluding observations for Iraq. It focuses on the extent to which the recommendations in paragraphs (17) and (21) have been implemented. This assessment is based on available information and data regarding relevant legislative and institutional developments, as well as their alignment with the provisions of the International Covenant on Civil and Political Rights</w:t>
      </w:r>
      <w:r w:rsidR="00C702E0" w:rsidRPr="003428D9">
        <w:rPr>
          <w:rFonts w:asciiTheme="majorBidi" w:hAnsiTheme="majorBidi" w:cstheme="majorBidi"/>
        </w:rPr>
        <w:t xml:space="preserve"> (</w:t>
      </w:r>
      <w:r w:rsidR="00C702E0" w:rsidRPr="003428D9">
        <w:rPr>
          <w:rFonts w:asciiTheme="majorBidi" w:hAnsiTheme="majorBidi" w:cstheme="majorBidi"/>
        </w:rPr>
        <w:t>ICCPR</w:t>
      </w:r>
      <w:r w:rsidR="00C702E0" w:rsidRPr="003428D9">
        <w:rPr>
          <w:rFonts w:asciiTheme="majorBidi" w:hAnsiTheme="majorBidi" w:cstheme="majorBidi"/>
        </w:rPr>
        <w:t>)</w:t>
      </w:r>
      <w:r w:rsidRPr="003428D9">
        <w:rPr>
          <w:rFonts w:asciiTheme="majorBidi" w:hAnsiTheme="majorBidi" w:cstheme="majorBidi"/>
        </w:rPr>
        <w:t xml:space="preserve"> and relevant international standards.</w:t>
      </w:r>
    </w:p>
    <w:p w14:paraId="12E96DC0" w14:textId="77777777" w:rsidR="00855D05" w:rsidRPr="003428D9" w:rsidRDefault="00855D05" w:rsidP="00855D05">
      <w:pPr>
        <w:jc w:val="both"/>
        <w:rPr>
          <w:rFonts w:asciiTheme="majorBidi" w:hAnsiTheme="majorBidi" w:cstheme="majorBidi"/>
        </w:rPr>
      </w:pPr>
      <w:r w:rsidRPr="003428D9">
        <w:rPr>
          <w:rFonts w:asciiTheme="majorBidi" w:hAnsiTheme="majorBidi" w:cstheme="majorBidi"/>
        </w:rPr>
        <w:t>This report monitors the most significant developments and challenges related to aligning counter-terrorism legislation with international human rights standards, fair trial safeguards, and efforts to prevent torture and ill-treatment. It also examines efforts to enhance accountability for perpetrators, ensure that coerced confessions are not relied upon, and assess conditions of oversight in places of detention. The report further highlights continuing shortcomings that still prevent full implementation of the Committee’s recommendations and provides an evaluation of Iraq’s compliance with its obligations under the Covenant, as set out below:</w:t>
      </w:r>
    </w:p>
    <w:p w14:paraId="202429FB" w14:textId="77777777" w:rsidR="00855D05" w:rsidRPr="003428D9" w:rsidRDefault="00855D05" w:rsidP="00F03903">
      <w:pPr>
        <w:pBdr>
          <w:bottom w:val="single" w:sz="4" w:space="1" w:color="auto"/>
        </w:pBdr>
        <w:shd w:val="clear" w:color="auto" w:fill="00B0F0"/>
        <w:jc w:val="both"/>
        <w:rPr>
          <w:rFonts w:asciiTheme="majorBidi" w:hAnsiTheme="majorBidi" w:cstheme="majorBidi"/>
          <w:b/>
          <w:bCs/>
        </w:rPr>
      </w:pPr>
      <w:r w:rsidRPr="003428D9">
        <w:rPr>
          <w:rFonts w:asciiTheme="majorBidi" w:hAnsiTheme="majorBidi" w:cstheme="majorBidi"/>
          <w:b/>
          <w:bCs/>
        </w:rPr>
        <w:t>Paragraph 17: Counter-terrorism legislation and practices; fair trial safeguards; death penalty</w:t>
      </w:r>
    </w:p>
    <w:p w14:paraId="266B43BF" w14:textId="3A485CB7" w:rsidR="00855D05" w:rsidRPr="003428D9" w:rsidRDefault="00855D05" w:rsidP="00855D05">
      <w:pPr>
        <w:jc w:val="both"/>
        <w:rPr>
          <w:rFonts w:asciiTheme="majorBidi" w:hAnsiTheme="majorBidi" w:cstheme="majorBidi"/>
        </w:rPr>
      </w:pPr>
      <w:r w:rsidRPr="003428D9">
        <w:rPr>
          <w:rFonts w:asciiTheme="majorBidi" w:hAnsiTheme="majorBidi" w:cstheme="majorBidi"/>
        </w:rPr>
        <w:lastRenderedPageBreak/>
        <w:t>In paragraph (17) of its concluding observations, the Committee recommended that the State party take the necessary steps to ensure the consistency of its counter-terrorism legislation</w:t>
      </w:r>
      <w:r w:rsidR="00F03903" w:rsidRPr="003428D9">
        <w:rPr>
          <w:rFonts w:asciiTheme="majorBidi" w:hAnsiTheme="majorBidi" w:cstheme="majorBidi"/>
        </w:rPr>
        <w:t xml:space="preserve">, </w:t>
      </w:r>
      <w:r w:rsidRPr="003428D9">
        <w:rPr>
          <w:rFonts w:asciiTheme="majorBidi" w:hAnsiTheme="majorBidi" w:cstheme="majorBidi"/>
        </w:rPr>
        <w:t>including draft legal amendments and the national counter-terrorism strategy</w:t>
      </w:r>
      <w:r w:rsidR="00F03903" w:rsidRPr="003428D9">
        <w:rPr>
          <w:rFonts w:asciiTheme="majorBidi" w:hAnsiTheme="majorBidi" w:cstheme="majorBidi"/>
        </w:rPr>
        <w:t xml:space="preserve">, </w:t>
      </w:r>
      <w:r w:rsidRPr="003428D9">
        <w:rPr>
          <w:rFonts w:asciiTheme="majorBidi" w:hAnsiTheme="majorBidi" w:cstheme="majorBidi"/>
        </w:rPr>
        <w:t>with international human rights standards. The recommendation specifically focused on the need to adopt a more precise definition of terrorism, reduce reliance on information of unknown source, ensure full participation of victims and witnesses, strictly adhere to fair trial safeguards, and refrain from imposing the death penalty mandatorily for offences established under counter-terrorism legislation.</w:t>
      </w:r>
    </w:p>
    <w:p w14:paraId="7C12CDC0" w14:textId="5C6809D0" w:rsidR="00855D05" w:rsidRPr="003428D9" w:rsidRDefault="00855D05" w:rsidP="00855D05">
      <w:pPr>
        <w:jc w:val="both"/>
        <w:rPr>
          <w:rFonts w:asciiTheme="majorBidi" w:hAnsiTheme="majorBidi" w:cstheme="majorBidi"/>
        </w:rPr>
      </w:pPr>
      <w:r w:rsidRPr="003428D9">
        <w:rPr>
          <w:rFonts w:asciiTheme="majorBidi" w:hAnsiTheme="majorBidi" w:cstheme="majorBidi"/>
        </w:rPr>
        <w:t>However, Partners notes with concern that shortcomings persist in the legislative framework governing counter-terrorism. Available information indicates that Iraq has not implemented the recommendations relating to aligning its counter-terrorism legislation with international human rights standards. The counter-terrorism law No. (13) of 2005, applicable at the federal level, and the counter-terrorism law in the Kurdistan Region still include broad and imprecise definitions of terrorism, and impose the death penalty mandatorily for offences that do not meet the international standard of “the most serious crimes.” Although Iraqi authorities have announced a review of the counter-terrorism law, that review has not yet resulted in the adoption of legislative amendments ensuring alignment with Iraq’s international obligations.</w:t>
      </w:r>
      <w:r w:rsidR="00AD087F" w:rsidRPr="003428D9">
        <w:rPr>
          <w:rStyle w:val="FootnoteReference"/>
          <w:rFonts w:asciiTheme="majorBidi" w:hAnsiTheme="majorBidi" w:cstheme="majorBidi"/>
        </w:rPr>
        <w:footnoteReference w:id="1"/>
      </w:r>
    </w:p>
    <w:p w14:paraId="786C3702" w14:textId="450344FB" w:rsidR="00855D05" w:rsidRPr="003428D9" w:rsidRDefault="00AD087F" w:rsidP="00855D05">
      <w:pPr>
        <w:jc w:val="both"/>
        <w:rPr>
          <w:rFonts w:asciiTheme="majorBidi" w:hAnsiTheme="majorBidi" w:cstheme="majorBidi"/>
        </w:rPr>
      </w:pPr>
      <w:r w:rsidRPr="003428D9">
        <w:rPr>
          <w:rFonts w:asciiTheme="majorBidi" w:hAnsiTheme="majorBidi" w:cstheme="majorBidi"/>
        </w:rPr>
        <w:t>Partners</w:t>
      </w:r>
      <w:r w:rsidR="00855D05" w:rsidRPr="003428D9">
        <w:rPr>
          <w:rFonts w:asciiTheme="majorBidi" w:hAnsiTheme="majorBidi" w:cstheme="majorBidi"/>
        </w:rPr>
        <w:t xml:space="preserve"> further notes that shortcomings continue regarding fair trial safeguards in cases prosecuted under the counter-terrorism law. In such cases, the Code of Criminal Procedure is not applied, while the counter-terrorism law itself does not contain provisions guaranteeing the core safeguards of a fair trial. In the Kurdistan Region, the law still </w:t>
      </w:r>
      <w:r w:rsidR="00B54753" w:rsidRPr="003428D9">
        <w:rPr>
          <w:rFonts w:asciiTheme="majorBidi" w:hAnsiTheme="majorBidi" w:cstheme="majorBidi"/>
        </w:rPr>
        <w:t>permits the admission of coerced confessions, provided</w:t>
      </w:r>
      <w:r w:rsidR="00855D05" w:rsidRPr="003428D9">
        <w:rPr>
          <w:rFonts w:asciiTheme="majorBidi" w:hAnsiTheme="majorBidi" w:cstheme="majorBidi"/>
        </w:rPr>
        <w:t xml:space="preserve"> such confessions are supported by other evidence. This raises serious concerns regarding respect for fair trial guarantees and the prohibition on reliance on evidence obtained through torture or coercion.</w:t>
      </w:r>
      <w:r w:rsidRPr="003428D9">
        <w:rPr>
          <w:rStyle w:val="FootnoteReference"/>
          <w:rFonts w:asciiTheme="majorBidi" w:hAnsiTheme="majorBidi" w:cstheme="majorBidi"/>
        </w:rPr>
        <w:footnoteReference w:id="2"/>
      </w:r>
    </w:p>
    <w:p w14:paraId="69059094" w14:textId="2C5DB0DD" w:rsidR="00855D05" w:rsidRPr="003428D9" w:rsidRDefault="00855D05" w:rsidP="00C702E0">
      <w:pPr>
        <w:jc w:val="both"/>
        <w:rPr>
          <w:rFonts w:asciiTheme="majorBidi" w:hAnsiTheme="majorBidi" w:cstheme="majorBidi"/>
        </w:rPr>
      </w:pPr>
      <w:r w:rsidRPr="003428D9">
        <w:rPr>
          <w:rFonts w:asciiTheme="majorBidi" w:hAnsiTheme="majorBidi" w:cstheme="majorBidi"/>
        </w:rPr>
        <w:t xml:space="preserve">In the same context, Partners found that Iraqi authorities continue to rely extensively on anonymous witnesses and security and intelligence information in terrorism-related cases. Data indicate that (69%) of the terrorism-related cases monitored were based primarily on statements from anonymous witnesses or information contained in security and intelligence reports. </w:t>
      </w:r>
      <w:r w:rsidR="00AD087F" w:rsidRPr="003428D9">
        <w:rPr>
          <w:rFonts w:asciiTheme="majorBidi" w:hAnsiTheme="majorBidi" w:cstheme="majorBidi"/>
        </w:rPr>
        <w:t>Partners</w:t>
      </w:r>
      <w:r w:rsidRPr="003428D9">
        <w:rPr>
          <w:rFonts w:asciiTheme="majorBidi" w:hAnsiTheme="majorBidi" w:cstheme="majorBidi"/>
        </w:rPr>
        <w:t xml:space="preserve"> also identified no instances in which </w:t>
      </w:r>
      <w:proofErr w:type="spellStart"/>
      <w:r w:rsidRPr="003428D9">
        <w:rPr>
          <w:rFonts w:asciiTheme="majorBidi" w:hAnsiTheme="majorBidi" w:cstheme="majorBidi"/>
        </w:rPr>
        <w:t>defense</w:t>
      </w:r>
      <w:proofErr w:type="spellEnd"/>
      <w:r w:rsidRPr="003428D9">
        <w:rPr>
          <w:rFonts w:asciiTheme="majorBidi" w:hAnsiTheme="majorBidi" w:cstheme="majorBidi"/>
        </w:rPr>
        <w:t xml:space="preserve"> counsel was provided an opportunity to challenge this evidence or to examine anonymous witnesses. This effectively deprives </w:t>
      </w:r>
      <w:r w:rsidRPr="003428D9">
        <w:rPr>
          <w:rFonts w:asciiTheme="majorBidi" w:hAnsiTheme="majorBidi" w:cstheme="majorBidi"/>
        </w:rPr>
        <w:lastRenderedPageBreak/>
        <w:t xml:space="preserve">defendants of the right to discuss the evidence presented against them and undermines the principle of equality of arms, contrary to the safeguards provided for in the </w:t>
      </w:r>
      <w:r w:rsidR="00C702E0" w:rsidRPr="003428D9">
        <w:rPr>
          <w:rFonts w:asciiTheme="majorBidi" w:hAnsiTheme="majorBidi" w:cstheme="majorBidi"/>
        </w:rPr>
        <w:t>ICCPR</w:t>
      </w:r>
      <w:r w:rsidRPr="003428D9">
        <w:rPr>
          <w:rFonts w:asciiTheme="majorBidi" w:hAnsiTheme="majorBidi" w:cstheme="majorBidi"/>
        </w:rPr>
        <w:t>.</w:t>
      </w:r>
      <w:r w:rsidR="00AD087F" w:rsidRPr="003428D9">
        <w:rPr>
          <w:rStyle w:val="FootnoteReference"/>
          <w:rFonts w:asciiTheme="majorBidi" w:hAnsiTheme="majorBidi" w:cstheme="majorBidi"/>
        </w:rPr>
        <w:footnoteReference w:id="3"/>
      </w:r>
    </w:p>
    <w:p w14:paraId="15885BF4" w14:textId="77777777" w:rsidR="00855D05" w:rsidRPr="003428D9" w:rsidRDefault="00855D05" w:rsidP="00855D05">
      <w:pPr>
        <w:jc w:val="both"/>
        <w:rPr>
          <w:rFonts w:asciiTheme="majorBidi" w:hAnsiTheme="majorBidi" w:cstheme="majorBidi"/>
        </w:rPr>
      </w:pPr>
      <w:r w:rsidRPr="003428D9">
        <w:rPr>
          <w:rFonts w:asciiTheme="majorBidi" w:hAnsiTheme="majorBidi" w:cstheme="majorBidi"/>
        </w:rPr>
        <w:t>With respect to practical implementation, persons suspected of involvement in terrorism offences continue to be subjected to arbitrary arrest and detention, torture, and trials lacking fair trial guarantees. In many cases, this leads to the imposition of death sentences and their execution. Human rights violations committed in the context of counter-terrorism operations also continue without effective accountability, in light of shortcomings in the legal framework that fails to ensure accountability for crimes and serious violations committed during military operations against ISIS.</w:t>
      </w:r>
    </w:p>
    <w:p w14:paraId="2B3C5F7B" w14:textId="7DA8CBFC" w:rsidR="00855D05" w:rsidRPr="003428D9" w:rsidRDefault="00855D05" w:rsidP="00855D05">
      <w:pPr>
        <w:jc w:val="both"/>
        <w:rPr>
          <w:rFonts w:asciiTheme="majorBidi" w:hAnsiTheme="majorBidi" w:cstheme="majorBidi"/>
        </w:rPr>
      </w:pPr>
      <w:r w:rsidRPr="003428D9">
        <w:rPr>
          <w:rFonts w:asciiTheme="majorBidi" w:hAnsiTheme="majorBidi" w:cstheme="majorBidi"/>
        </w:rPr>
        <w:t xml:space="preserve">Despite the Committee’s recommendation to refrain from imposing the death penalty mandatorily for offences </w:t>
      </w:r>
      <w:r w:rsidR="00427D9E" w:rsidRPr="003428D9">
        <w:rPr>
          <w:rFonts w:asciiTheme="majorBidi" w:hAnsiTheme="majorBidi" w:cstheme="majorBidi"/>
        </w:rPr>
        <w:t>outlined in</w:t>
      </w:r>
      <w:r w:rsidRPr="003428D9">
        <w:rPr>
          <w:rFonts w:asciiTheme="majorBidi" w:hAnsiTheme="majorBidi" w:cstheme="majorBidi"/>
        </w:rPr>
        <w:t xml:space="preserve"> the counter-terrorism law, this penalty continues to be applied widely. Data indicate that more than (8,000) individuals have been sentenced to death or are awaiting execution in Iraq.</w:t>
      </w:r>
      <w:r w:rsidR="00C702E0" w:rsidRPr="003428D9">
        <w:rPr>
          <w:rStyle w:val="FootnoteReference"/>
          <w:rFonts w:asciiTheme="majorBidi" w:hAnsiTheme="majorBidi" w:cstheme="majorBidi"/>
        </w:rPr>
        <w:footnoteReference w:id="4"/>
      </w:r>
      <w:r w:rsidRPr="003428D9">
        <w:rPr>
          <w:rFonts w:asciiTheme="majorBidi" w:hAnsiTheme="majorBidi" w:cstheme="majorBidi"/>
        </w:rPr>
        <w:t xml:space="preserve"> As executions continue to be carried out regularly, and the number of executions announced since 2016 has exceeded (400), this raises serious concerns regarding Iraq’s compliance with its international human rights obligations.</w:t>
      </w:r>
      <w:r w:rsidR="00427D9E" w:rsidRPr="003428D9">
        <w:rPr>
          <w:rStyle w:val="FootnoteReference"/>
          <w:rFonts w:asciiTheme="majorBidi" w:hAnsiTheme="majorBidi" w:cstheme="majorBidi"/>
        </w:rPr>
        <w:footnoteReference w:id="5"/>
      </w:r>
    </w:p>
    <w:p w14:paraId="4627C23B" w14:textId="53D2FB9B" w:rsidR="00855D05" w:rsidRPr="003428D9" w:rsidRDefault="00855D05" w:rsidP="00C702E0">
      <w:pPr>
        <w:jc w:val="both"/>
        <w:rPr>
          <w:rFonts w:asciiTheme="majorBidi" w:hAnsiTheme="majorBidi" w:cstheme="majorBidi"/>
        </w:rPr>
      </w:pPr>
      <w:r w:rsidRPr="003428D9">
        <w:rPr>
          <w:rFonts w:asciiTheme="majorBidi" w:hAnsiTheme="majorBidi" w:cstheme="majorBidi"/>
        </w:rPr>
        <w:t xml:space="preserve">These indicators reflect the persistence of the challenges identified by the Committee, including: the continued lack of alignment of counter-terrorism legislation with international standards; the continued use of evidence based on anonymous witnesses and intelligence information without providing adequate safeguards to challenge it; the continued mandatory imposition of the death penalty for offences that do not fall within the category of “the most serious crimes”; and the failure to guarantee fair trial safeguards and effective accountability for violations committed in the context of counter-terrorism. Partners therefore expresses serious concern about the continued persistence of these practices and the lack of effective legislative and operational measures to address them. This reflects ongoing challenges in implementing the Committee’s recommendations and fulfilling Iraq’s obligations under the </w:t>
      </w:r>
      <w:r w:rsidR="00C702E0" w:rsidRPr="003428D9">
        <w:rPr>
          <w:rFonts w:asciiTheme="majorBidi" w:hAnsiTheme="majorBidi" w:cstheme="majorBidi"/>
        </w:rPr>
        <w:t>ICCPR</w:t>
      </w:r>
      <w:r w:rsidRPr="003428D9">
        <w:rPr>
          <w:rFonts w:asciiTheme="majorBidi" w:hAnsiTheme="majorBidi" w:cstheme="majorBidi"/>
        </w:rPr>
        <w:t>.</w:t>
      </w:r>
    </w:p>
    <w:p w14:paraId="7E533562" w14:textId="77777777" w:rsidR="00855D05" w:rsidRPr="003428D9" w:rsidRDefault="00855D05" w:rsidP="00C702E0">
      <w:pPr>
        <w:pBdr>
          <w:bottom w:val="single" w:sz="4" w:space="1" w:color="auto"/>
        </w:pBdr>
        <w:shd w:val="clear" w:color="auto" w:fill="00B0F0"/>
        <w:jc w:val="both"/>
        <w:rPr>
          <w:rFonts w:asciiTheme="majorBidi" w:hAnsiTheme="majorBidi" w:cstheme="majorBidi"/>
          <w:b/>
          <w:bCs/>
        </w:rPr>
      </w:pPr>
      <w:r w:rsidRPr="003428D9">
        <w:rPr>
          <w:rFonts w:asciiTheme="majorBidi" w:hAnsiTheme="majorBidi" w:cstheme="majorBidi"/>
          <w:b/>
          <w:bCs/>
        </w:rPr>
        <w:t>Paragraph 21: Prohibition of torture and other cruel, inhuman or degrading treatment or punishment</w:t>
      </w:r>
    </w:p>
    <w:p w14:paraId="5933FCA4" w14:textId="6C3CD2CB" w:rsidR="00855D05" w:rsidRPr="003428D9" w:rsidRDefault="00855D05" w:rsidP="00C702E0">
      <w:pPr>
        <w:jc w:val="both"/>
        <w:rPr>
          <w:rFonts w:asciiTheme="majorBidi" w:hAnsiTheme="majorBidi" w:cstheme="majorBidi"/>
        </w:rPr>
      </w:pPr>
      <w:r w:rsidRPr="003428D9">
        <w:rPr>
          <w:rFonts w:asciiTheme="majorBidi" w:hAnsiTheme="majorBidi" w:cstheme="majorBidi"/>
        </w:rPr>
        <w:t xml:space="preserve">In paragraph (21) of its concluding observations, the Committee recommended that the State party take the necessary steps to expedite the adoption of the draft anti-torture law, ensuring </w:t>
      </w:r>
      <w:r w:rsidRPr="003428D9">
        <w:rPr>
          <w:rFonts w:asciiTheme="majorBidi" w:hAnsiTheme="majorBidi" w:cstheme="majorBidi"/>
        </w:rPr>
        <w:lastRenderedPageBreak/>
        <w:t xml:space="preserve">that the definition of torture is fully consistent with Article 7 of the </w:t>
      </w:r>
      <w:r w:rsidR="00C702E0" w:rsidRPr="003428D9">
        <w:rPr>
          <w:rFonts w:asciiTheme="majorBidi" w:hAnsiTheme="majorBidi" w:cstheme="majorBidi"/>
        </w:rPr>
        <w:t>ICCPR</w:t>
      </w:r>
      <w:r w:rsidRPr="003428D9">
        <w:rPr>
          <w:rFonts w:asciiTheme="majorBidi" w:hAnsiTheme="majorBidi" w:cstheme="majorBidi"/>
        </w:rPr>
        <w:t xml:space="preserve"> and other relevant international standards. The Committee also recommended that the law should explicitly provide for an absolute prohibition of torture and other cruel, inhuman or degrading treatment or punishment in all circumstances. It further recommended the adoption of concrete measures to prevent torture and ill-treatment, ensure that prompt, independent and thorough investigations are carried out into all allegations, hold responsible officials accountable, provide redress for victims, and ensure that confessions extracted under torture are not accepted. The Committee also recommended enabling inspection bodies to conduct unannounced visits to prisons and places of detention, and to follow up on the outcomes of such visits.</w:t>
      </w:r>
    </w:p>
    <w:p w14:paraId="4F9EC8BF" w14:textId="3895EF9C" w:rsidR="00855D05" w:rsidRPr="003428D9" w:rsidRDefault="00855D05" w:rsidP="00C702E0">
      <w:pPr>
        <w:jc w:val="both"/>
        <w:rPr>
          <w:rFonts w:asciiTheme="majorBidi" w:hAnsiTheme="majorBidi" w:cstheme="majorBidi"/>
        </w:rPr>
      </w:pPr>
      <w:r w:rsidRPr="003428D9">
        <w:rPr>
          <w:rFonts w:asciiTheme="majorBidi" w:hAnsiTheme="majorBidi" w:cstheme="majorBidi"/>
        </w:rPr>
        <w:t xml:space="preserve">However, Partners remains concerned about the persistence of legislative and institutional shortcomings in the prohibition of torture. Iraq has made no tangible progress toward adopting a draft anti-torture law consistent with international standards. It still lacks a legal framework that provides a comprehensive definition of torture and an absolute prohibition in all circumstances, consistent with Article (7) of the </w:t>
      </w:r>
      <w:r w:rsidR="00C702E0" w:rsidRPr="003428D9">
        <w:rPr>
          <w:rFonts w:asciiTheme="majorBidi" w:hAnsiTheme="majorBidi" w:cstheme="majorBidi"/>
        </w:rPr>
        <w:t>ICCPR</w:t>
      </w:r>
      <w:r w:rsidRPr="003428D9">
        <w:rPr>
          <w:rFonts w:asciiTheme="majorBidi" w:hAnsiTheme="majorBidi" w:cstheme="majorBidi"/>
        </w:rPr>
        <w:t>. The continued absence of such a legal framework perpetuates a climate of impunity, in the absence of effective and independent mechanisms to ensure accountability for perpetrators of torture and ill-treatment offences.</w:t>
      </w:r>
    </w:p>
    <w:p w14:paraId="19881CF5" w14:textId="6DCA3B55" w:rsidR="00855D05" w:rsidRPr="003428D9" w:rsidRDefault="00AD087F" w:rsidP="00855D05">
      <w:pPr>
        <w:jc w:val="both"/>
        <w:rPr>
          <w:rFonts w:asciiTheme="majorBidi" w:hAnsiTheme="majorBidi" w:cstheme="majorBidi"/>
        </w:rPr>
      </w:pPr>
      <w:r w:rsidRPr="003428D9">
        <w:rPr>
          <w:rFonts w:asciiTheme="majorBidi" w:hAnsiTheme="majorBidi" w:cstheme="majorBidi"/>
        </w:rPr>
        <w:t>Partners</w:t>
      </w:r>
      <w:r w:rsidR="00855D05" w:rsidRPr="003428D9">
        <w:rPr>
          <w:rFonts w:asciiTheme="majorBidi" w:hAnsiTheme="majorBidi" w:cstheme="majorBidi"/>
        </w:rPr>
        <w:t xml:space="preserve"> also notes the continued prevalence of torture and ill-treatment in places of detention in Iraq, including physical and psychological torture, poor detention conditions, and the denial of basic safeguards afforded to detainees. This violates Iraq’s international obligations. These practices also indicate that challenges persist in preventing torture and ensuring respect for human dignity in prisons and places of detention, in the continued absence of effective preventive measures and sufficient institutional programmes to reduce these violations.</w:t>
      </w:r>
      <w:r w:rsidR="00E10484" w:rsidRPr="003428D9">
        <w:rPr>
          <w:rStyle w:val="FootnoteReference"/>
          <w:rFonts w:asciiTheme="majorBidi" w:hAnsiTheme="majorBidi" w:cstheme="majorBidi"/>
        </w:rPr>
        <w:footnoteReference w:id="6"/>
      </w:r>
    </w:p>
    <w:p w14:paraId="15CBA71E" w14:textId="3FA573E4" w:rsidR="00855D05" w:rsidRPr="003428D9" w:rsidRDefault="00855D05" w:rsidP="00855D05">
      <w:pPr>
        <w:jc w:val="both"/>
        <w:rPr>
          <w:rFonts w:asciiTheme="majorBidi" w:hAnsiTheme="majorBidi" w:cstheme="majorBidi"/>
        </w:rPr>
      </w:pPr>
      <w:r w:rsidRPr="003428D9">
        <w:rPr>
          <w:rFonts w:asciiTheme="majorBidi" w:hAnsiTheme="majorBidi" w:cstheme="majorBidi"/>
        </w:rPr>
        <w:t xml:space="preserve">In this context, Partners documented the death of at least (400) prisoners and detainees across various Iraqi prisons and detention </w:t>
      </w:r>
      <w:proofErr w:type="spellStart"/>
      <w:r w:rsidRPr="003428D9">
        <w:rPr>
          <w:rFonts w:asciiTheme="majorBidi" w:hAnsiTheme="majorBidi" w:cstheme="majorBidi"/>
        </w:rPr>
        <w:t>centers</w:t>
      </w:r>
      <w:proofErr w:type="spellEnd"/>
      <w:r w:rsidRPr="003428D9">
        <w:rPr>
          <w:rFonts w:asciiTheme="majorBidi" w:hAnsiTheme="majorBidi" w:cstheme="majorBidi"/>
        </w:rPr>
        <w:t xml:space="preserve"> during 2025 as a result of torture, medical neglect, and the catastrophic overcrowding that, in some places of detention, exceeded (300%) of their capacity. The Iraqi authorities also reportedly closed approximately (140) cases related to deaths in places of detention without conducting effective investigations or holding responsible officials accountable. This reflects the continued persistence of impunity and raises serious concerns regarding the effectiveness of investigation and accountability mechanisms and the extent of degradation affecting Iraq’s detention and humanitarian care system.</w:t>
      </w:r>
      <w:r w:rsidR="00E10484" w:rsidRPr="003428D9">
        <w:rPr>
          <w:rStyle w:val="FootnoteReference"/>
          <w:rFonts w:asciiTheme="majorBidi" w:hAnsiTheme="majorBidi" w:cstheme="majorBidi"/>
        </w:rPr>
        <w:footnoteReference w:id="7"/>
      </w:r>
    </w:p>
    <w:p w14:paraId="40D6E1A5" w14:textId="5F771BCB" w:rsidR="00855D05" w:rsidRPr="003428D9" w:rsidRDefault="00855D05" w:rsidP="00C702E0">
      <w:pPr>
        <w:jc w:val="both"/>
        <w:rPr>
          <w:rFonts w:asciiTheme="majorBidi" w:hAnsiTheme="majorBidi" w:cstheme="majorBidi"/>
        </w:rPr>
      </w:pPr>
      <w:r w:rsidRPr="003428D9">
        <w:rPr>
          <w:rFonts w:asciiTheme="majorBidi" w:hAnsiTheme="majorBidi" w:cstheme="majorBidi"/>
        </w:rPr>
        <w:t xml:space="preserve">These indicators show the persistence of the challenges identified by the Committee, including the lack of national legislation aligned with international anti-torture standards, the continued </w:t>
      </w:r>
      <w:r w:rsidRPr="003428D9">
        <w:rPr>
          <w:rFonts w:asciiTheme="majorBidi" w:hAnsiTheme="majorBidi" w:cstheme="majorBidi"/>
        </w:rPr>
        <w:lastRenderedPageBreak/>
        <w:t xml:space="preserve">prevalence of torture and ill-treatment in detention facilities, and shortcomings in investigating allegations and holding responsible officials accountable. Partners therefore expresses serious concern about the continued persistence of these practices and the lack of effective legislative and institutional measures to address them. This reflects ongoing challenges in implementing the Committee’s recommendations and fulfilling Iraq’s obligations under the </w:t>
      </w:r>
      <w:r w:rsidR="00C702E0" w:rsidRPr="003428D9">
        <w:rPr>
          <w:rFonts w:asciiTheme="majorBidi" w:hAnsiTheme="majorBidi" w:cstheme="majorBidi"/>
        </w:rPr>
        <w:t>ICCPR</w:t>
      </w:r>
      <w:r w:rsidRPr="003428D9">
        <w:rPr>
          <w:rFonts w:asciiTheme="majorBidi" w:hAnsiTheme="majorBidi" w:cstheme="majorBidi"/>
        </w:rPr>
        <w:t>.</w:t>
      </w:r>
    </w:p>
    <w:p w14:paraId="0E9B562E" w14:textId="77777777" w:rsidR="00855D05" w:rsidRPr="003428D9" w:rsidRDefault="00855D05" w:rsidP="00E10484">
      <w:pPr>
        <w:pBdr>
          <w:bottom w:val="single" w:sz="4" w:space="1" w:color="auto"/>
        </w:pBdr>
        <w:shd w:val="clear" w:color="auto" w:fill="00B0F0"/>
        <w:jc w:val="both"/>
        <w:rPr>
          <w:rFonts w:asciiTheme="majorBidi" w:hAnsiTheme="majorBidi" w:cstheme="majorBidi"/>
          <w:b/>
          <w:bCs/>
        </w:rPr>
      </w:pPr>
      <w:r w:rsidRPr="003428D9">
        <w:rPr>
          <w:rFonts w:asciiTheme="majorBidi" w:hAnsiTheme="majorBidi" w:cstheme="majorBidi"/>
          <w:b/>
          <w:bCs/>
        </w:rPr>
        <w:t>Recommendations</w:t>
      </w:r>
    </w:p>
    <w:p w14:paraId="7845D103" w14:textId="30A7BAC5" w:rsidR="00855D05" w:rsidRPr="003428D9" w:rsidRDefault="00855D05" w:rsidP="00855D05">
      <w:pPr>
        <w:jc w:val="both"/>
        <w:rPr>
          <w:rFonts w:asciiTheme="majorBidi" w:hAnsiTheme="majorBidi" w:cstheme="majorBidi"/>
        </w:rPr>
      </w:pPr>
      <w:r w:rsidRPr="003428D9">
        <w:rPr>
          <w:rFonts w:asciiTheme="majorBidi" w:hAnsiTheme="majorBidi" w:cstheme="majorBidi"/>
        </w:rPr>
        <w:t>In light of the foregoing, Partners for Transparency hereby submits the following recommendations to the Government of the Republic of Iraq:</w:t>
      </w:r>
    </w:p>
    <w:p w14:paraId="29706A09" w14:textId="338252C7" w:rsidR="00855D05" w:rsidRPr="003428D9" w:rsidRDefault="00855D05" w:rsidP="00855D05">
      <w:pPr>
        <w:numPr>
          <w:ilvl w:val="0"/>
          <w:numId w:val="1"/>
        </w:numPr>
        <w:jc w:val="both"/>
        <w:rPr>
          <w:rFonts w:asciiTheme="majorBidi" w:hAnsiTheme="majorBidi" w:cstheme="majorBidi"/>
        </w:rPr>
      </w:pPr>
      <w:r w:rsidRPr="003428D9">
        <w:rPr>
          <w:rFonts w:asciiTheme="majorBidi" w:hAnsiTheme="majorBidi" w:cstheme="majorBidi"/>
        </w:rPr>
        <w:t xml:space="preserve">Urgently adopt legislative measures to review and amend counter-terrorism laws to ensure their alignment with international human rights standards, including adopting a </w:t>
      </w:r>
      <w:r w:rsidR="00C702E0" w:rsidRPr="003428D9">
        <w:rPr>
          <w:rFonts w:asciiTheme="majorBidi" w:hAnsiTheme="majorBidi" w:cstheme="majorBidi"/>
        </w:rPr>
        <w:t>precise</w:t>
      </w:r>
      <w:r w:rsidRPr="003428D9">
        <w:rPr>
          <w:rFonts w:asciiTheme="majorBidi" w:hAnsiTheme="majorBidi" w:cstheme="majorBidi"/>
        </w:rPr>
        <w:t xml:space="preserve"> definition of terrorism consistent with the principle of legality and avoiding the broadening of criminalization.</w:t>
      </w:r>
    </w:p>
    <w:p w14:paraId="58A09E2E" w14:textId="77777777" w:rsidR="00855D05" w:rsidRPr="003428D9" w:rsidRDefault="00855D05" w:rsidP="00855D05">
      <w:pPr>
        <w:numPr>
          <w:ilvl w:val="0"/>
          <w:numId w:val="1"/>
        </w:numPr>
        <w:jc w:val="both"/>
        <w:rPr>
          <w:rFonts w:asciiTheme="majorBidi" w:hAnsiTheme="majorBidi" w:cstheme="majorBidi"/>
        </w:rPr>
      </w:pPr>
      <w:r w:rsidRPr="003428D9">
        <w:rPr>
          <w:rFonts w:asciiTheme="majorBidi" w:hAnsiTheme="majorBidi" w:cstheme="majorBidi"/>
        </w:rPr>
        <w:t xml:space="preserve">Strengthen fair trial safeguards in all terrorism-related cases, ensuring that statements by anonymous witnesses or intelligence information are not relied upon except in accordance with legal safeguards that guarantee the right of the </w:t>
      </w:r>
      <w:proofErr w:type="spellStart"/>
      <w:r w:rsidRPr="003428D9">
        <w:rPr>
          <w:rFonts w:asciiTheme="majorBidi" w:hAnsiTheme="majorBidi" w:cstheme="majorBidi"/>
        </w:rPr>
        <w:t>defense</w:t>
      </w:r>
      <w:proofErr w:type="spellEnd"/>
      <w:r w:rsidRPr="003428D9">
        <w:rPr>
          <w:rFonts w:asciiTheme="majorBidi" w:hAnsiTheme="majorBidi" w:cstheme="majorBidi"/>
        </w:rPr>
        <w:t xml:space="preserve"> to discuss and challenge such evidence.</w:t>
      </w:r>
    </w:p>
    <w:p w14:paraId="24E12C6B" w14:textId="77777777" w:rsidR="00855D05" w:rsidRPr="003428D9" w:rsidRDefault="00855D05" w:rsidP="00855D05">
      <w:pPr>
        <w:numPr>
          <w:ilvl w:val="0"/>
          <w:numId w:val="1"/>
        </w:numPr>
        <w:jc w:val="both"/>
        <w:rPr>
          <w:rFonts w:asciiTheme="majorBidi" w:hAnsiTheme="majorBidi" w:cstheme="majorBidi"/>
        </w:rPr>
      </w:pPr>
      <w:r w:rsidRPr="003428D9">
        <w:rPr>
          <w:rFonts w:asciiTheme="majorBidi" w:hAnsiTheme="majorBidi" w:cstheme="majorBidi"/>
        </w:rPr>
        <w:t>Review legislation on the death penalty, ensuring it is not imposed mandatorily for offences set out in counter-terrorism laws and restricting its application to the “most serious crimes” in line with international standards.</w:t>
      </w:r>
    </w:p>
    <w:p w14:paraId="6D71D950" w14:textId="77777777" w:rsidR="00855D05" w:rsidRPr="003428D9" w:rsidRDefault="00855D05" w:rsidP="00855D05">
      <w:pPr>
        <w:numPr>
          <w:ilvl w:val="0"/>
          <w:numId w:val="1"/>
        </w:numPr>
        <w:jc w:val="both"/>
        <w:rPr>
          <w:rFonts w:asciiTheme="majorBidi" w:hAnsiTheme="majorBidi" w:cstheme="majorBidi"/>
        </w:rPr>
      </w:pPr>
      <w:r w:rsidRPr="003428D9">
        <w:rPr>
          <w:rFonts w:asciiTheme="majorBidi" w:hAnsiTheme="majorBidi" w:cstheme="majorBidi"/>
        </w:rPr>
        <w:t>Expedite the adoption of a comprehensive national law prohibiting torture, ensuring that the definition of torture is fully consistent with Article (7) of the International Covenant on Civil and Political Rights and expressly providing for an absolute prohibition of torture and other cruel, inhuman or degrading treatment or punishment in all circumstances.</w:t>
      </w:r>
    </w:p>
    <w:p w14:paraId="43AAC71A" w14:textId="77777777" w:rsidR="00855D05" w:rsidRPr="003428D9" w:rsidRDefault="00855D05" w:rsidP="00855D05">
      <w:pPr>
        <w:numPr>
          <w:ilvl w:val="0"/>
          <w:numId w:val="1"/>
        </w:numPr>
        <w:jc w:val="both"/>
        <w:rPr>
          <w:rFonts w:asciiTheme="majorBidi" w:hAnsiTheme="majorBidi" w:cstheme="majorBidi"/>
        </w:rPr>
      </w:pPr>
      <w:r w:rsidRPr="003428D9">
        <w:rPr>
          <w:rFonts w:asciiTheme="majorBidi" w:hAnsiTheme="majorBidi" w:cstheme="majorBidi"/>
        </w:rPr>
        <w:t>Adopt effective measures to prevent torture and ill-treatment in places of detention, ensuring that independent and thorough investigations are conducted into all allegations of torture and deaths occurring during detention, and that those responsible are held accountable and the state of impunity is ended.</w:t>
      </w:r>
    </w:p>
    <w:p w14:paraId="09A4FFCC" w14:textId="77777777" w:rsidR="00855D05" w:rsidRPr="003428D9" w:rsidRDefault="00855D05" w:rsidP="00855D05">
      <w:pPr>
        <w:numPr>
          <w:ilvl w:val="0"/>
          <w:numId w:val="1"/>
        </w:numPr>
        <w:jc w:val="both"/>
        <w:rPr>
          <w:rFonts w:asciiTheme="majorBidi" w:hAnsiTheme="majorBidi" w:cstheme="majorBidi"/>
        </w:rPr>
      </w:pPr>
      <w:r w:rsidRPr="003428D9">
        <w:rPr>
          <w:rFonts w:asciiTheme="majorBidi" w:hAnsiTheme="majorBidi" w:cstheme="majorBidi"/>
        </w:rPr>
        <w:t>Ensure that no confessions or evidence obtained as a result of torture or coercion are accepted, and strengthen procedural guarantees that ensure respect for the rights of detainees and accused persons at all stages of investigation and trial.</w:t>
      </w:r>
    </w:p>
    <w:p w14:paraId="19F5F64D" w14:textId="77777777" w:rsidR="00855D05" w:rsidRPr="003428D9" w:rsidRDefault="00855D05" w:rsidP="00855D05">
      <w:pPr>
        <w:numPr>
          <w:ilvl w:val="0"/>
          <w:numId w:val="1"/>
        </w:numPr>
        <w:jc w:val="both"/>
        <w:rPr>
          <w:rFonts w:asciiTheme="majorBidi" w:hAnsiTheme="majorBidi" w:cstheme="majorBidi"/>
        </w:rPr>
      </w:pPr>
      <w:r w:rsidRPr="003428D9">
        <w:rPr>
          <w:rFonts w:asciiTheme="majorBidi" w:hAnsiTheme="majorBidi" w:cstheme="majorBidi"/>
        </w:rPr>
        <w:t xml:space="preserve">Enable national and independent oversight bodies to conduct regular and unannounced visits to all prisons and detention </w:t>
      </w:r>
      <w:proofErr w:type="spellStart"/>
      <w:r w:rsidRPr="003428D9">
        <w:rPr>
          <w:rFonts w:asciiTheme="majorBidi" w:hAnsiTheme="majorBidi" w:cstheme="majorBidi"/>
        </w:rPr>
        <w:t>centers</w:t>
      </w:r>
      <w:proofErr w:type="spellEnd"/>
      <w:r w:rsidRPr="003428D9">
        <w:rPr>
          <w:rFonts w:asciiTheme="majorBidi" w:hAnsiTheme="majorBidi" w:cstheme="majorBidi"/>
        </w:rPr>
        <w:t xml:space="preserve">, improve detention conditions and address </w:t>
      </w:r>
      <w:r w:rsidRPr="003428D9">
        <w:rPr>
          <w:rFonts w:asciiTheme="majorBidi" w:hAnsiTheme="majorBidi" w:cstheme="majorBidi"/>
        </w:rPr>
        <w:lastRenderedPageBreak/>
        <w:t>overcrowding, and ensure access to healthcare and essential services for detainees in accordance with international human rights standards.</w:t>
      </w:r>
    </w:p>
    <w:p w14:paraId="56B3DB1E" w14:textId="77777777" w:rsidR="00855D05" w:rsidRPr="003428D9" w:rsidRDefault="00855D05" w:rsidP="00855D05">
      <w:pPr>
        <w:jc w:val="both"/>
        <w:rPr>
          <w:rFonts w:asciiTheme="majorBidi" w:hAnsiTheme="majorBidi" w:cstheme="majorBidi"/>
        </w:rPr>
      </w:pPr>
    </w:p>
    <w:sectPr w:rsidR="00855D05" w:rsidRPr="003428D9">
      <w:headerReference w:type="default"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01A89B" w14:textId="77777777" w:rsidR="00B658B8" w:rsidRDefault="00B658B8" w:rsidP="00AD087F">
      <w:pPr>
        <w:spacing w:after="0" w:line="240" w:lineRule="auto"/>
      </w:pPr>
      <w:r>
        <w:separator/>
      </w:r>
    </w:p>
  </w:endnote>
  <w:endnote w:type="continuationSeparator" w:id="0">
    <w:p w14:paraId="71D784E3" w14:textId="77777777" w:rsidR="00B658B8" w:rsidRDefault="00B658B8" w:rsidP="00AD0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974" w:type="dxa"/>
      <w:tblInd w:w="106" w:type="dxa"/>
      <w:tblBorders>
        <w:insideV w:val="single" w:sz="12" w:space="0" w:color="000000"/>
      </w:tblBorders>
      <w:tblLook w:val="04A0" w:firstRow="1" w:lastRow="0" w:firstColumn="1" w:lastColumn="0" w:noHBand="0" w:noVBand="1"/>
    </w:tblPr>
    <w:tblGrid>
      <w:gridCol w:w="1842"/>
      <w:gridCol w:w="1843"/>
      <w:gridCol w:w="1843"/>
      <w:gridCol w:w="1843"/>
      <w:gridCol w:w="2603"/>
    </w:tblGrid>
    <w:tr w:rsidR="000F2130" w:rsidRPr="000F2130" w14:paraId="67903C34" w14:textId="77777777" w:rsidTr="000F2130">
      <w:trPr>
        <w:trHeight w:val="510"/>
      </w:trPr>
      <w:tc>
        <w:tcPr>
          <w:tcW w:w="9974" w:type="dxa"/>
          <w:gridSpan w:val="5"/>
          <w:vAlign w:val="center"/>
          <w:hideMark/>
        </w:tcPr>
        <w:p w14:paraId="22FAC40B" w14:textId="77777777" w:rsidR="000F2130" w:rsidRPr="000F2130" w:rsidRDefault="000F2130" w:rsidP="000F2130">
          <w:pPr>
            <w:spacing w:after="0" w:line="240" w:lineRule="auto"/>
            <w:ind w:left="300" w:hanging="357"/>
            <w:jc w:val="both"/>
            <w:rPr>
              <w:rFonts w:ascii="Times New Roman" w:eastAsia="Times New Roman" w:hAnsi="Times New Roman" w:cs="Times New Roman"/>
              <w:b/>
              <w:bCs/>
              <w:color w:val="E48527"/>
              <w:kern w:val="0"/>
              <w:sz w:val="32"/>
              <w:szCs w:val="32"/>
              <w:lang w:val="en-US"/>
              <w14:ligatures w14:val="none"/>
            </w:rPr>
          </w:pPr>
          <w:r w:rsidRPr="000F2130">
            <w:rPr>
              <w:rFonts w:ascii="Calibri" w:eastAsia="Times New Roman" w:hAnsi="Calibri" w:cs="Arial"/>
              <w:noProof/>
              <w:kern w:val="0"/>
              <w:sz w:val="22"/>
              <w:szCs w:val="22"/>
              <w:lang w:val="en-US"/>
              <w14:ligatures w14:val="none"/>
            </w:rPr>
            <mc:AlternateContent>
              <mc:Choice Requires="wps">
                <w:drawing>
                  <wp:anchor distT="0" distB="0" distL="114300" distR="114300" simplePos="0" relativeHeight="251659264" behindDoc="0" locked="0" layoutInCell="1" allowOverlap="1" wp14:anchorId="5D41A867" wp14:editId="3AE66D48">
                    <wp:simplePos x="0" y="0"/>
                    <wp:positionH relativeFrom="column">
                      <wp:posOffset>-864870</wp:posOffset>
                    </wp:positionH>
                    <wp:positionV relativeFrom="paragraph">
                      <wp:posOffset>12065</wp:posOffset>
                    </wp:positionV>
                    <wp:extent cx="7919720" cy="0"/>
                    <wp:effectExtent l="0" t="0" r="0" b="0"/>
                    <wp:wrapNone/>
                    <wp:docPr id="1"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1972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55CDB7B" id="_x0000_t32" coordsize="21600,21600" o:spt="32" o:oned="t" path="m,l21600,21600e" filled="f">
                    <v:path arrowok="t" fillok="f" o:connecttype="none"/>
                    <o:lock v:ext="edit" shapetype="t"/>
                  </v:shapetype>
                  <v:shape id="AutoShape 15" o:spid="_x0000_s1026" type="#_x0000_t32" style="position:absolute;margin-left:-68.1pt;margin-top:.95pt;width:623.6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" strokeweight="1.5pt"/>
                </w:pict>
              </mc:Fallback>
            </mc:AlternateContent>
          </w:r>
          <w:r w:rsidRPr="000F2130">
            <w:rPr>
              <w:rFonts w:ascii="Times New Roman" w:eastAsia="Times New Roman" w:hAnsi="Times New Roman" w:cs="Times New Roman"/>
              <w:b/>
              <w:bCs/>
              <w:color w:val="E48527"/>
              <w:kern w:val="0"/>
              <w:sz w:val="28"/>
              <w:szCs w:val="28"/>
              <w:lang w:val="en-US"/>
              <w14:ligatures w14:val="none"/>
            </w:rPr>
            <w:t>A</w:t>
          </w:r>
          <w:r w:rsidRPr="000F2130">
            <w:rPr>
              <w:rFonts w:ascii="Times New Roman" w:eastAsia="Times New Roman" w:hAnsi="Times New Roman" w:cs="Times New Roman"/>
              <w:b/>
              <w:bCs/>
              <w:color w:val="E48527"/>
              <w:kern w:val="0"/>
              <w:sz w:val="32"/>
              <w:szCs w:val="32"/>
              <w:lang w:val="en-US"/>
              <w14:ligatures w14:val="none"/>
            </w:rPr>
            <w:t>.</w:t>
          </w:r>
        </w:p>
        <w:p w14:paraId="093F96FE" w14:textId="77777777" w:rsidR="000F2130" w:rsidRPr="000F2130" w:rsidRDefault="000F2130" w:rsidP="000F2130">
          <w:pPr>
            <w:spacing w:after="0" w:line="240" w:lineRule="auto"/>
            <w:ind w:left="300" w:hanging="357"/>
            <w:jc w:val="both"/>
            <w:rPr>
              <w:rFonts w:ascii="Calibri" w:eastAsia="Times New Roman" w:hAnsi="Calibri" w:cs="Arial"/>
              <w:color w:val="006B86"/>
              <w:kern w:val="0"/>
              <w:sz w:val="20"/>
              <w:szCs w:val="20"/>
              <w:lang w:val="en-US"/>
              <w14:ligatures w14:val="none"/>
            </w:rPr>
          </w:pPr>
          <w:r w:rsidRPr="000F2130">
            <w:rPr>
              <w:rFonts w:ascii="Times New Roman" w:eastAsia="Times New Roman" w:hAnsi="Times New Roman" w:cs="Times New Roman"/>
              <w:b/>
              <w:bCs/>
              <w:color w:val="006B86"/>
              <w:kern w:val="0"/>
              <w:sz w:val="20"/>
              <w:szCs w:val="20"/>
              <w:lang w:val="en-US"/>
              <w14:ligatures w14:val="none"/>
            </w:rPr>
            <w:t xml:space="preserve">148 </w:t>
          </w:r>
          <w:proofErr w:type="spellStart"/>
          <w:r w:rsidRPr="000F2130">
            <w:rPr>
              <w:rFonts w:ascii="Times New Roman" w:eastAsia="Times New Roman" w:hAnsi="Times New Roman" w:cs="Times New Roman"/>
              <w:b/>
              <w:bCs/>
              <w:color w:val="006B86"/>
              <w:kern w:val="0"/>
              <w:sz w:val="20"/>
              <w:szCs w:val="20"/>
              <w:lang w:val="en-US"/>
              <w14:ligatures w14:val="none"/>
            </w:rPr>
            <w:t>Misr</w:t>
          </w:r>
          <w:proofErr w:type="spellEnd"/>
          <w:r w:rsidRPr="000F2130">
            <w:rPr>
              <w:rFonts w:ascii="Times New Roman" w:eastAsia="Times New Roman" w:hAnsi="Times New Roman" w:cs="Times New Roman"/>
              <w:b/>
              <w:bCs/>
              <w:color w:val="006B86"/>
              <w:kern w:val="0"/>
              <w:sz w:val="20"/>
              <w:szCs w:val="20"/>
              <w:lang w:val="en-US"/>
              <w14:ligatures w14:val="none"/>
            </w:rPr>
            <w:t xml:space="preserve"> Helwan El-</w:t>
          </w:r>
          <w:proofErr w:type="spellStart"/>
          <w:r w:rsidRPr="000F2130">
            <w:rPr>
              <w:rFonts w:ascii="Times New Roman" w:eastAsia="Times New Roman" w:hAnsi="Times New Roman" w:cs="Times New Roman"/>
              <w:b/>
              <w:bCs/>
              <w:color w:val="006B86"/>
              <w:kern w:val="0"/>
              <w:sz w:val="20"/>
              <w:szCs w:val="20"/>
              <w:lang w:val="en-US"/>
              <w14:ligatures w14:val="none"/>
            </w:rPr>
            <w:t>Zyrae</w:t>
          </w:r>
          <w:proofErr w:type="spellEnd"/>
          <w:r w:rsidRPr="000F2130">
            <w:rPr>
              <w:rFonts w:ascii="Times New Roman" w:eastAsia="Times New Roman" w:hAnsi="Times New Roman" w:cs="Times New Roman"/>
              <w:b/>
              <w:bCs/>
              <w:color w:val="006B86"/>
              <w:kern w:val="0"/>
              <w:sz w:val="20"/>
              <w:szCs w:val="20"/>
              <w:lang w:val="en-US"/>
              <w14:ligatures w14:val="none"/>
            </w:rPr>
            <w:t xml:space="preserve"> Road , El </w:t>
          </w:r>
          <w:proofErr w:type="spellStart"/>
          <w:r w:rsidRPr="000F2130">
            <w:rPr>
              <w:rFonts w:ascii="Times New Roman" w:eastAsia="Times New Roman" w:hAnsi="Times New Roman" w:cs="Times New Roman"/>
              <w:b/>
              <w:bCs/>
              <w:color w:val="006B86"/>
              <w:kern w:val="0"/>
              <w:sz w:val="20"/>
              <w:szCs w:val="20"/>
              <w:lang w:val="en-US"/>
              <w14:ligatures w14:val="none"/>
            </w:rPr>
            <w:t>Matbaa</w:t>
          </w:r>
          <w:proofErr w:type="spellEnd"/>
          <w:r w:rsidRPr="000F2130">
            <w:rPr>
              <w:rFonts w:ascii="Times New Roman" w:eastAsia="Times New Roman" w:hAnsi="Times New Roman" w:cs="Times New Roman"/>
              <w:b/>
              <w:bCs/>
              <w:color w:val="006B86"/>
              <w:kern w:val="0"/>
              <w:sz w:val="20"/>
              <w:szCs w:val="20"/>
              <w:lang w:val="en-US"/>
              <w14:ligatures w14:val="none"/>
            </w:rPr>
            <w:t xml:space="preserve"> Sq, </w:t>
          </w:r>
          <w:proofErr w:type="spellStart"/>
          <w:r w:rsidRPr="000F2130">
            <w:rPr>
              <w:rFonts w:ascii="Times New Roman" w:eastAsia="Times New Roman" w:hAnsi="Times New Roman" w:cs="Times New Roman"/>
              <w:b/>
              <w:bCs/>
              <w:color w:val="006B86"/>
              <w:kern w:val="0"/>
              <w:sz w:val="20"/>
              <w:szCs w:val="20"/>
              <w:lang w:val="en-US"/>
              <w14:ligatures w14:val="none"/>
            </w:rPr>
            <w:t>H.El</w:t>
          </w:r>
          <w:proofErr w:type="spellEnd"/>
          <w:r w:rsidRPr="000F2130">
            <w:rPr>
              <w:rFonts w:ascii="Times New Roman" w:eastAsia="Times New Roman" w:hAnsi="Times New Roman" w:cs="Times New Roman"/>
              <w:b/>
              <w:bCs/>
              <w:color w:val="006B86"/>
              <w:kern w:val="0"/>
              <w:sz w:val="20"/>
              <w:szCs w:val="20"/>
              <w:lang w:val="en-US"/>
              <w14:ligatures w14:val="none"/>
            </w:rPr>
            <w:t xml:space="preserve"> Maadi, Cairo, Egypt</w:t>
          </w:r>
        </w:p>
      </w:tc>
    </w:tr>
    <w:tr w:rsidR="000F2130" w:rsidRPr="000F2130" w14:paraId="078D92B4" w14:textId="77777777" w:rsidTr="000F2130">
      <w:trPr>
        <w:trHeight w:val="510"/>
      </w:trPr>
      <w:tc>
        <w:tcPr>
          <w:tcW w:w="1842" w:type="dxa"/>
          <w:tcBorders>
            <w:top w:val="nil"/>
            <w:left w:val="nil"/>
            <w:bottom w:val="nil"/>
            <w:right w:val="single" w:sz="12" w:space="0" w:color="auto"/>
          </w:tcBorders>
          <w:vAlign w:val="center"/>
          <w:hideMark/>
        </w:tcPr>
        <w:p w14:paraId="23627DFE" w14:textId="77777777" w:rsidR="000F2130" w:rsidRPr="000F2130" w:rsidRDefault="000F2130" w:rsidP="000F2130">
          <w:pPr>
            <w:spacing w:after="0" w:line="240" w:lineRule="auto"/>
            <w:ind w:left="300" w:hanging="357"/>
            <w:rPr>
              <w:rFonts w:ascii="Times New Roman" w:eastAsia="Times New Roman" w:hAnsi="Times New Roman" w:cs="Times New Roman"/>
              <w:b/>
              <w:bCs/>
              <w:color w:val="E48527"/>
              <w:kern w:val="0"/>
              <w:sz w:val="32"/>
              <w:szCs w:val="32"/>
              <w:lang w:val="en-US"/>
              <w14:ligatures w14:val="none"/>
            </w:rPr>
          </w:pPr>
          <w:r w:rsidRPr="000F2130">
            <w:rPr>
              <w:rFonts w:ascii="Times New Roman" w:eastAsia="Times New Roman" w:hAnsi="Times New Roman" w:cs="Times New Roman"/>
              <w:b/>
              <w:bCs/>
              <w:color w:val="E48527"/>
              <w:kern w:val="0"/>
              <w:sz w:val="28"/>
              <w:szCs w:val="28"/>
              <w:lang w:val="en-US"/>
              <w14:ligatures w14:val="none"/>
            </w:rPr>
            <w:t>M</w:t>
          </w:r>
          <w:r w:rsidRPr="000F2130">
            <w:rPr>
              <w:rFonts w:ascii="Times New Roman" w:eastAsia="Times New Roman" w:hAnsi="Times New Roman" w:cs="Times New Roman"/>
              <w:b/>
              <w:bCs/>
              <w:color w:val="E48527"/>
              <w:kern w:val="0"/>
              <w:sz w:val="32"/>
              <w:szCs w:val="32"/>
              <w:lang w:val="en-US"/>
              <w14:ligatures w14:val="none"/>
            </w:rPr>
            <w:t>.</w:t>
          </w:r>
        </w:p>
        <w:p w14:paraId="148850B8" w14:textId="77777777" w:rsidR="000F2130" w:rsidRPr="000F2130" w:rsidRDefault="000F2130" w:rsidP="000F2130">
          <w:pPr>
            <w:spacing w:after="0" w:line="240" w:lineRule="auto"/>
            <w:ind w:left="300" w:hanging="357"/>
            <w:rPr>
              <w:rFonts w:ascii="Times New Roman" w:eastAsia="Times New Roman" w:hAnsi="Times New Roman" w:cs="Times New Roman"/>
              <w:b/>
              <w:bCs/>
              <w:color w:val="006B86"/>
              <w:kern w:val="0"/>
              <w:sz w:val="18"/>
              <w:szCs w:val="18"/>
              <w:lang w:val="en-US" w:bidi="ar-EG"/>
              <w14:ligatures w14:val="none"/>
            </w:rPr>
          </w:pPr>
          <w:r w:rsidRPr="000F2130">
            <w:rPr>
              <w:rFonts w:ascii="Times New Roman" w:eastAsia="Times New Roman" w:hAnsi="Times New Roman" w:cs="Times New Roman"/>
              <w:b/>
              <w:bCs/>
              <w:color w:val="006B86"/>
              <w:kern w:val="0"/>
              <w:sz w:val="18"/>
              <w:szCs w:val="18"/>
              <w:lang w:val="en-US"/>
              <w14:ligatures w14:val="none"/>
            </w:rPr>
            <w:t xml:space="preserve"> </w:t>
          </w:r>
          <w:r w:rsidRPr="000F2130">
            <w:rPr>
              <w:rFonts w:ascii="Calibri" w:eastAsia="Times New Roman" w:hAnsi="Calibri" w:cs="Arial"/>
              <w:b/>
              <w:bCs/>
              <w:color w:val="006B86"/>
              <w:kern w:val="0"/>
              <w:sz w:val="18"/>
              <w:szCs w:val="18"/>
              <w:lang w:val="en-US"/>
              <w14:ligatures w14:val="none"/>
            </w:rPr>
            <w:t>+ 20 1</w:t>
          </w:r>
          <w:r w:rsidRPr="000F2130">
            <w:rPr>
              <w:rFonts w:ascii="Calibri" w:eastAsia="Times New Roman" w:hAnsi="Calibri" w:cs="Arial"/>
              <w:b/>
              <w:bCs/>
              <w:color w:val="006B86"/>
              <w:kern w:val="0"/>
              <w:sz w:val="18"/>
              <w:szCs w:val="18"/>
              <w:rtl/>
              <w:lang w:val="en-US"/>
              <w14:ligatures w14:val="none"/>
            </w:rPr>
            <w:t>277050886</w:t>
          </w:r>
        </w:p>
      </w:tc>
      <w:tc>
        <w:tcPr>
          <w:tcW w:w="1843" w:type="dxa"/>
          <w:tcBorders>
            <w:top w:val="nil"/>
            <w:left w:val="single" w:sz="12" w:space="0" w:color="auto"/>
            <w:bottom w:val="nil"/>
            <w:right w:val="single" w:sz="12" w:space="0" w:color="auto"/>
          </w:tcBorders>
          <w:vAlign w:val="center"/>
          <w:hideMark/>
        </w:tcPr>
        <w:p w14:paraId="4C8D5558" w14:textId="77777777" w:rsidR="000F2130" w:rsidRPr="000F2130" w:rsidRDefault="000F2130" w:rsidP="000F2130">
          <w:pPr>
            <w:spacing w:after="0" w:line="240" w:lineRule="auto"/>
            <w:ind w:left="300" w:hanging="357"/>
            <w:rPr>
              <w:rFonts w:ascii="Times New Roman" w:eastAsia="Times New Roman" w:hAnsi="Times New Roman" w:cs="Times New Roman"/>
              <w:b/>
              <w:bCs/>
              <w:color w:val="E48527"/>
              <w:kern w:val="0"/>
              <w:sz w:val="32"/>
              <w:szCs w:val="32"/>
              <w:rtl/>
              <w:lang w:val="en-US"/>
              <w14:ligatures w14:val="none"/>
            </w:rPr>
          </w:pPr>
          <w:proofErr w:type="spellStart"/>
          <w:r w:rsidRPr="000F2130">
            <w:rPr>
              <w:rFonts w:ascii="Times New Roman" w:eastAsia="Times New Roman" w:hAnsi="Times New Roman" w:cs="Times New Roman"/>
              <w:b/>
              <w:bCs/>
              <w:color w:val="E48527"/>
              <w:kern w:val="0"/>
              <w:sz w:val="28"/>
              <w:szCs w:val="28"/>
              <w:lang w:val="en-US"/>
              <w14:ligatures w14:val="none"/>
            </w:rPr>
            <w:t>T</w:t>
          </w:r>
          <w:r w:rsidRPr="000F2130">
            <w:rPr>
              <w:rFonts w:ascii="Times New Roman" w:eastAsia="Times New Roman" w:hAnsi="Times New Roman" w:cs="Times New Roman"/>
              <w:b/>
              <w:bCs/>
              <w:color w:val="E48527"/>
              <w:kern w:val="0"/>
              <w:sz w:val="32"/>
              <w:szCs w:val="32"/>
              <w:lang w:val="en-US"/>
              <w14:ligatures w14:val="none"/>
            </w:rPr>
            <w:t>.</w:t>
          </w:r>
          <w:r w:rsidRPr="000F2130">
            <w:rPr>
              <w:rFonts w:ascii="Times New Roman" w:eastAsia="Times New Roman" w:hAnsi="Times New Roman" w:cs="Times New Roman"/>
              <w:b/>
              <w:bCs/>
              <w:color w:val="E48527"/>
              <w:kern w:val="0"/>
              <w:sz w:val="28"/>
              <w:szCs w:val="28"/>
              <w:lang w:val="en-US"/>
              <w14:ligatures w14:val="none"/>
            </w:rPr>
            <w:t>F</w:t>
          </w:r>
          <w:proofErr w:type="spellEnd"/>
        </w:p>
        <w:p w14:paraId="650FFB24" w14:textId="77777777" w:rsidR="000F2130" w:rsidRPr="000F2130" w:rsidRDefault="000F2130" w:rsidP="000F2130">
          <w:pPr>
            <w:spacing w:after="0" w:line="240" w:lineRule="auto"/>
            <w:ind w:left="300" w:hanging="357"/>
            <w:rPr>
              <w:rFonts w:ascii="Times New Roman" w:eastAsia="Times New Roman" w:hAnsi="Times New Roman" w:cs="Times New Roman"/>
              <w:b/>
              <w:bCs/>
              <w:color w:val="006B86"/>
              <w:kern w:val="0"/>
              <w:sz w:val="20"/>
              <w:szCs w:val="20"/>
              <w:lang w:val="en-US" w:bidi="ar-EG"/>
              <w14:ligatures w14:val="none"/>
            </w:rPr>
          </w:pPr>
          <w:r w:rsidRPr="000F2130">
            <w:rPr>
              <w:rFonts w:ascii="Calibri" w:eastAsia="Times New Roman" w:hAnsi="Calibri" w:cs="Arial"/>
              <w:b/>
              <w:bCs/>
              <w:color w:val="006B86"/>
              <w:kern w:val="0"/>
              <w:sz w:val="18"/>
              <w:szCs w:val="18"/>
              <w:lang w:val="en-US"/>
              <w14:ligatures w14:val="none"/>
            </w:rPr>
            <w:t>+ (20) (2)253 44 704</w:t>
          </w:r>
        </w:p>
      </w:tc>
      <w:tc>
        <w:tcPr>
          <w:tcW w:w="1843" w:type="dxa"/>
          <w:tcBorders>
            <w:top w:val="nil"/>
            <w:left w:val="single" w:sz="12" w:space="0" w:color="auto"/>
            <w:bottom w:val="nil"/>
            <w:right w:val="single" w:sz="12" w:space="0" w:color="auto"/>
          </w:tcBorders>
          <w:vAlign w:val="center"/>
          <w:hideMark/>
        </w:tcPr>
        <w:p w14:paraId="31227CAE" w14:textId="77777777" w:rsidR="000F2130" w:rsidRPr="000F2130" w:rsidRDefault="000F2130" w:rsidP="000F2130">
          <w:pPr>
            <w:spacing w:after="0" w:line="240" w:lineRule="auto"/>
            <w:ind w:left="300" w:hanging="357"/>
            <w:rPr>
              <w:rFonts w:ascii="Times New Roman" w:eastAsia="Times New Roman" w:hAnsi="Times New Roman" w:cs="Times New Roman"/>
              <w:b/>
              <w:bCs/>
              <w:color w:val="E48527"/>
              <w:kern w:val="0"/>
              <w:sz w:val="32"/>
              <w:szCs w:val="32"/>
              <w:rtl/>
              <w:lang w:val="en-US"/>
              <w14:ligatures w14:val="none"/>
            </w:rPr>
          </w:pPr>
          <w:r w:rsidRPr="000F2130">
            <w:rPr>
              <w:rFonts w:ascii="Times New Roman" w:eastAsia="Times New Roman" w:hAnsi="Times New Roman" w:cs="Times New Roman"/>
              <w:b/>
              <w:bCs/>
              <w:color w:val="E48527"/>
              <w:kern w:val="0"/>
              <w:sz w:val="28"/>
              <w:szCs w:val="28"/>
              <w:lang w:val="en-US"/>
              <w14:ligatures w14:val="none"/>
            </w:rPr>
            <w:t>T</w:t>
          </w:r>
          <w:r w:rsidRPr="000F2130">
            <w:rPr>
              <w:rFonts w:ascii="Times New Roman" w:eastAsia="Times New Roman" w:hAnsi="Times New Roman" w:cs="Times New Roman"/>
              <w:b/>
              <w:bCs/>
              <w:color w:val="E48527"/>
              <w:kern w:val="0"/>
              <w:sz w:val="32"/>
              <w:szCs w:val="32"/>
              <w:lang w:val="en-US"/>
              <w14:ligatures w14:val="none"/>
            </w:rPr>
            <w:t>.</w:t>
          </w:r>
        </w:p>
        <w:p w14:paraId="1315E892" w14:textId="77777777" w:rsidR="000F2130" w:rsidRPr="000F2130" w:rsidRDefault="000F2130" w:rsidP="000F2130">
          <w:pPr>
            <w:spacing w:after="0" w:line="240" w:lineRule="auto"/>
            <w:ind w:left="300" w:hanging="357"/>
            <w:rPr>
              <w:rFonts w:ascii="Times New Roman" w:eastAsia="Times New Roman" w:hAnsi="Times New Roman" w:cs="Times New Roman"/>
              <w:b/>
              <w:bCs/>
              <w:color w:val="006B86"/>
              <w:kern w:val="0"/>
              <w:sz w:val="20"/>
              <w:szCs w:val="20"/>
              <w:lang w:val="en-US" w:bidi="ar-EG"/>
              <w14:ligatures w14:val="none"/>
            </w:rPr>
          </w:pPr>
          <w:r w:rsidRPr="000F2130">
            <w:rPr>
              <w:rFonts w:ascii="Calibri" w:eastAsia="Times New Roman" w:hAnsi="Calibri" w:cs="Arial"/>
              <w:b/>
              <w:bCs/>
              <w:color w:val="006B86"/>
              <w:kern w:val="0"/>
              <w:sz w:val="18"/>
              <w:szCs w:val="18"/>
              <w:lang w:val="en-US"/>
              <w14:ligatures w14:val="none"/>
            </w:rPr>
            <w:t>+(20) (2)253 44 705</w:t>
          </w:r>
        </w:p>
      </w:tc>
      <w:tc>
        <w:tcPr>
          <w:tcW w:w="1843" w:type="dxa"/>
          <w:tcBorders>
            <w:top w:val="nil"/>
            <w:left w:val="single" w:sz="12" w:space="0" w:color="auto"/>
            <w:bottom w:val="nil"/>
            <w:right w:val="single" w:sz="12" w:space="0" w:color="auto"/>
          </w:tcBorders>
          <w:vAlign w:val="center"/>
          <w:hideMark/>
        </w:tcPr>
        <w:p w14:paraId="4A87D5D9" w14:textId="77777777" w:rsidR="000F2130" w:rsidRPr="000F2130" w:rsidRDefault="000F2130" w:rsidP="000F2130">
          <w:pPr>
            <w:spacing w:after="0" w:line="240" w:lineRule="auto"/>
            <w:ind w:left="300" w:hanging="357"/>
            <w:rPr>
              <w:rFonts w:ascii="Calibri" w:eastAsia="Times New Roman" w:hAnsi="Calibri" w:cs="Arial"/>
              <w:color w:val="E48527"/>
              <w:kern w:val="0"/>
              <w:sz w:val="32"/>
              <w:szCs w:val="32"/>
              <w:rtl/>
              <w:lang w:val="en-US"/>
              <w14:ligatures w14:val="none"/>
            </w:rPr>
          </w:pPr>
          <w:r w:rsidRPr="000F2130">
            <w:rPr>
              <w:rFonts w:ascii="Times New Roman" w:eastAsia="Times New Roman" w:hAnsi="Times New Roman" w:cs="Times New Roman"/>
              <w:b/>
              <w:bCs/>
              <w:color w:val="E48527"/>
              <w:kern w:val="0"/>
              <w:sz w:val="28"/>
              <w:szCs w:val="28"/>
              <w:lang w:val="en-US"/>
              <w14:ligatures w14:val="none"/>
            </w:rPr>
            <w:t>E</w:t>
          </w:r>
          <w:r w:rsidRPr="000F2130">
            <w:rPr>
              <w:rFonts w:ascii="Times New Roman" w:eastAsia="Times New Roman" w:hAnsi="Times New Roman" w:cs="Times New Roman"/>
              <w:b/>
              <w:bCs/>
              <w:color w:val="E48527"/>
              <w:kern w:val="0"/>
              <w:sz w:val="32"/>
              <w:szCs w:val="32"/>
              <w:lang w:val="en-US"/>
              <w14:ligatures w14:val="none"/>
            </w:rPr>
            <w:t>.</w:t>
          </w:r>
        </w:p>
        <w:p w14:paraId="5823B122" w14:textId="77777777" w:rsidR="000F2130" w:rsidRPr="000F2130" w:rsidRDefault="000F2130" w:rsidP="000F2130">
          <w:pPr>
            <w:spacing w:after="0" w:line="240" w:lineRule="auto"/>
            <w:ind w:left="300" w:hanging="357"/>
            <w:rPr>
              <w:rFonts w:ascii="Calibri" w:eastAsia="Times New Roman" w:hAnsi="Calibri" w:cs="Arial"/>
              <w:color w:val="006B86"/>
              <w:kern w:val="0"/>
              <w:sz w:val="20"/>
              <w:szCs w:val="20"/>
              <w:lang w:val="en-US" w:bidi="ar-EG"/>
              <w14:ligatures w14:val="none"/>
            </w:rPr>
          </w:pPr>
          <w:r w:rsidRPr="000F2130">
            <w:rPr>
              <w:rFonts w:ascii="Times New Roman" w:eastAsia="Times New Roman" w:hAnsi="Times New Roman" w:cs="Times New Roman"/>
              <w:b/>
              <w:bCs/>
              <w:color w:val="006B86"/>
              <w:kern w:val="0"/>
              <w:sz w:val="20"/>
              <w:szCs w:val="20"/>
              <w:lang w:val="en-US"/>
              <w14:ligatures w14:val="none"/>
            </w:rPr>
            <w:t xml:space="preserve"> </w:t>
          </w:r>
          <w:proofErr w:type="spellStart"/>
          <w:r w:rsidRPr="000F2130">
            <w:rPr>
              <w:rFonts w:ascii="Calibri" w:eastAsia="Times New Roman" w:hAnsi="Calibri" w:cs="Arial"/>
              <w:b/>
              <w:bCs/>
              <w:color w:val="006B86"/>
              <w:kern w:val="0"/>
              <w:sz w:val="18"/>
              <w:szCs w:val="18"/>
              <w:lang w:val="en-US"/>
              <w14:ligatures w14:val="none"/>
            </w:rPr>
            <w:t>info@pfort.org</w:t>
          </w:r>
          <w:proofErr w:type="spellEnd"/>
        </w:p>
      </w:tc>
      <w:tc>
        <w:tcPr>
          <w:tcW w:w="1843" w:type="dxa"/>
          <w:tcBorders>
            <w:top w:val="nil"/>
            <w:left w:val="single" w:sz="12" w:space="0" w:color="auto"/>
            <w:bottom w:val="nil"/>
            <w:right w:val="nil"/>
          </w:tcBorders>
          <w:vAlign w:val="center"/>
          <w:hideMark/>
        </w:tcPr>
        <w:p w14:paraId="6C4F543E" w14:textId="77777777" w:rsidR="000F2130" w:rsidRPr="000F2130" w:rsidRDefault="000F2130" w:rsidP="000F2130">
          <w:pPr>
            <w:spacing w:after="0" w:line="240" w:lineRule="auto"/>
            <w:ind w:left="300" w:hanging="357"/>
            <w:rPr>
              <w:rFonts w:ascii="Calibri" w:eastAsia="Times New Roman" w:hAnsi="Calibri" w:cs="Arial"/>
              <w:color w:val="E48527"/>
              <w:kern w:val="0"/>
              <w:sz w:val="32"/>
              <w:szCs w:val="32"/>
              <w:rtl/>
              <w:lang w:val="en-US"/>
              <w14:ligatures w14:val="none"/>
            </w:rPr>
          </w:pPr>
          <w:r w:rsidRPr="000F2130">
            <w:rPr>
              <w:rFonts w:ascii="Times New Roman" w:eastAsia="Times New Roman" w:hAnsi="Times New Roman" w:cs="Times New Roman"/>
              <w:b/>
              <w:bCs/>
              <w:color w:val="E48527"/>
              <w:kern w:val="0"/>
              <w:sz w:val="28"/>
              <w:szCs w:val="28"/>
              <w:lang w:val="en-US"/>
              <w14:ligatures w14:val="none"/>
            </w:rPr>
            <w:t>W</w:t>
          </w:r>
          <w:r w:rsidRPr="000F2130">
            <w:rPr>
              <w:rFonts w:ascii="Times New Roman" w:eastAsia="Times New Roman" w:hAnsi="Times New Roman" w:cs="Times New Roman"/>
              <w:b/>
              <w:bCs/>
              <w:color w:val="E48527"/>
              <w:kern w:val="0"/>
              <w:sz w:val="32"/>
              <w:szCs w:val="32"/>
              <w:lang w:val="en-US"/>
              <w14:ligatures w14:val="none"/>
            </w:rPr>
            <w:t>.</w:t>
          </w:r>
        </w:p>
        <w:p w14:paraId="3A5FC822" w14:textId="77777777" w:rsidR="000F2130" w:rsidRPr="000F2130" w:rsidRDefault="000F2130" w:rsidP="000F2130">
          <w:pPr>
            <w:spacing w:after="0" w:line="240" w:lineRule="auto"/>
            <w:ind w:left="300" w:hanging="357"/>
            <w:rPr>
              <w:rFonts w:ascii="Calibri" w:eastAsia="Times New Roman" w:hAnsi="Calibri" w:cs="Arial"/>
              <w:color w:val="006B86"/>
              <w:kern w:val="0"/>
              <w:sz w:val="20"/>
              <w:szCs w:val="20"/>
              <w:lang w:val="en-US" w:bidi="ar-EG"/>
              <w14:ligatures w14:val="none"/>
            </w:rPr>
          </w:pPr>
          <w:proofErr w:type="spellStart"/>
          <w:r w:rsidRPr="000F2130">
            <w:rPr>
              <w:rFonts w:ascii="Calibri" w:eastAsia="Times New Roman" w:hAnsi="Calibri" w:cs="Arial"/>
              <w:b/>
              <w:bCs/>
              <w:color w:val="006B86"/>
              <w:kern w:val="0"/>
              <w:sz w:val="18"/>
              <w:szCs w:val="18"/>
              <w:lang w:val="en-US"/>
              <w14:ligatures w14:val="none"/>
            </w:rPr>
            <w:t>www.pfort.org</w:t>
          </w:r>
          <w:proofErr w:type="spellEnd"/>
          <w:r w:rsidRPr="000F2130">
            <w:rPr>
              <w:rFonts w:ascii="Times New Roman" w:eastAsia="Times New Roman" w:hAnsi="Times New Roman" w:cs="Times New Roman"/>
              <w:b/>
              <w:bCs/>
              <w:color w:val="006B86"/>
              <w:kern w:val="0"/>
              <w:sz w:val="20"/>
              <w:szCs w:val="20"/>
              <w:lang w:val="en-US"/>
              <w14:ligatures w14:val="none"/>
            </w:rPr>
            <w:t> </w:t>
          </w:r>
        </w:p>
      </w:tc>
    </w:tr>
  </w:tbl>
  <w:p w14:paraId="1BD20CA8" w14:textId="77777777" w:rsidR="000F2130" w:rsidRDefault="000F21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52340" w14:textId="77777777" w:rsidR="00B658B8" w:rsidRDefault="00B658B8" w:rsidP="00AD087F">
      <w:pPr>
        <w:spacing w:after="0" w:line="240" w:lineRule="auto"/>
      </w:pPr>
      <w:r>
        <w:separator/>
      </w:r>
    </w:p>
  </w:footnote>
  <w:footnote w:type="continuationSeparator" w:id="0">
    <w:p w14:paraId="108BEE3B" w14:textId="77777777" w:rsidR="00B658B8" w:rsidRDefault="00B658B8" w:rsidP="00AD087F">
      <w:pPr>
        <w:spacing w:after="0" w:line="240" w:lineRule="auto"/>
      </w:pPr>
      <w:r>
        <w:continuationSeparator/>
      </w:r>
    </w:p>
  </w:footnote>
  <w:footnote w:id="1">
    <w:p w14:paraId="1E4D64DB" w14:textId="3B427A29" w:rsidR="00AD087F" w:rsidRPr="003428D9" w:rsidRDefault="00AD087F">
      <w:pPr>
        <w:pStyle w:val="FootnoteText"/>
        <w:rPr>
          <w:rFonts w:asciiTheme="majorBidi" w:hAnsiTheme="majorBidi" w:cstheme="majorBidi"/>
          <w:sz w:val="16"/>
          <w:szCs w:val="16"/>
        </w:rPr>
      </w:pPr>
      <w:r w:rsidRPr="003428D9">
        <w:rPr>
          <w:rStyle w:val="FootnoteReference"/>
          <w:rFonts w:asciiTheme="majorBidi" w:hAnsiTheme="majorBidi" w:cstheme="majorBidi"/>
          <w:sz w:val="16"/>
          <w:szCs w:val="16"/>
        </w:rPr>
        <w:footnoteRef/>
      </w:r>
      <w:r w:rsidRPr="003428D9">
        <w:rPr>
          <w:rFonts w:asciiTheme="majorBidi" w:hAnsiTheme="majorBidi" w:cstheme="majorBidi"/>
          <w:sz w:val="16"/>
          <w:szCs w:val="16"/>
        </w:rPr>
        <w:t xml:space="preserve"> </w:t>
      </w:r>
      <w:r w:rsidR="003428D9" w:rsidRPr="003428D9">
        <w:rPr>
          <w:rFonts w:asciiTheme="majorBidi" w:hAnsiTheme="majorBidi" w:cstheme="majorBidi"/>
          <w:sz w:val="16"/>
          <w:szCs w:val="16"/>
        </w:rPr>
        <w:t xml:space="preserve">Anti-Terrorism Law No. (13) of 2005, link: </w:t>
      </w:r>
      <w:hyperlink r:id="rId1" w:history="1">
        <w:r w:rsidR="003428D9" w:rsidRPr="003428D9">
          <w:rPr>
            <w:rStyle w:val="Hyperlink"/>
            <w:rFonts w:asciiTheme="majorBidi" w:hAnsiTheme="majorBidi" w:cstheme="majorBidi"/>
            <w:sz w:val="16"/>
            <w:szCs w:val="16"/>
          </w:rPr>
          <w:t>https://</w:t>
        </w:r>
        <w:proofErr w:type="spellStart"/>
        <w:r w:rsidR="003428D9" w:rsidRPr="003428D9">
          <w:rPr>
            <w:rStyle w:val="Hyperlink"/>
            <w:rFonts w:asciiTheme="majorBidi" w:hAnsiTheme="majorBidi" w:cstheme="majorBidi"/>
            <w:sz w:val="16"/>
            <w:szCs w:val="16"/>
          </w:rPr>
          <w:t>bit.ly</w:t>
        </w:r>
        <w:proofErr w:type="spellEnd"/>
        <w:r w:rsidR="003428D9" w:rsidRPr="003428D9">
          <w:rPr>
            <w:rStyle w:val="Hyperlink"/>
            <w:rFonts w:asciiTheme="majorBidi" w:hAnsiTheme="majorBidi" w:cstheme="majorBidi"/>
            <w:sz w:val="16"/>
            <w:szCs w:val="16"/>
          </w:rPr>
          <w:t>/</w:t>
        </w:r>
        <w:proofErr w:type="spellStart"/>
        <w:r w:rsidR="003428D9" w:rsidRPr="003428D9">
          <w:rPr>
            <w:rStyle w:val="Hyperlink"/>
            <w:rFonts w:asciiTheme="majorBidi" w:hAnsiTheme="majorBidi" w:cstheme="majorBidi"/>
            <w:sz w:val="16"/>
            <w:szCs w:val="16"/>
          </w:rPr>
          <w:t>4hfx5pW</w:t>
        </w:r>
        <w:proofErr w:type="spellEnd"/>
      </w:hyperlink>
      <w:r w:rsidR="003428D9" w:rsidRPr="003428D9">
        <w:rPr>
          <w:rFonts w:asciiTheme="majorBidi" w:hAnsiTheme="majorBidi" w:cstheme="majorBidi"/>
          <w:sz w:val="16"/>
          <w:szCs w:val="16"/>
        </w:rPr>
        <w:t xml:space="preserve"> </w:t>
      </w:r>
    </w:p>
  </w:footnote>
  <w:footnote w:id="2">
    <w:p w14:paraId="4286770B" w14:textId="0FD11C94" w:rsidR="00AD087F" w:rsidRPr="003428D9" w:rsidRDefault="00AD087F">
      <w:pPr>
        <w:pStyle w:val="FootnoteText"/>
        <w:rPr>
          <w:rFonts w:asciiTheme="majorBidi" w:hAnsiTheme="majorBidi" w:cstheme="majorBidi"/>
          <w:sz w:val="16"/>
          <w:szCs w:val="16"/>
        </w:rPr>
      </w:pPr>
      <w:r w:rsidRPr="003428D9">
        <w:rPr>
          <w:rStyle w:val="FootnoteReference"/>
          <w:rFonts w:asciiTheme="majorBidi" w:hAnsiTheme="majorBidi" w:cstheme="majorBidi"/>
          <w:sz w:val="16"/>
          <w:szCs w:val="16"/>
        </w:rPr>
        <w:footnoteRef/>
      </w:r>
      <w:r w:rsidRPr="003428D9">
        <w:rPr>
          <w:rFonts w:asciiTheme="majorBidi" w:hAnsiTheme="majorBidi" w:cstheme="majorBidi"/>
          <w:sz w:val="16"/>
          <w:szCs w:val="16"/>
        </w:rPr>
        <w:t xml:space="preserve"> </w:t>
      </w:r>
      <w:r w:rsidR="003428D9" w:rsidRPr="003428D9">
        <w:rPr>
          <w:rFonts w:asciiTheme="majorBidi" w:hAnsiTheme="majorBidi" w:cstheme="majorBidi"/>
          <w:sz w:val="16"/>
          <w:szCs w:val="16"/>
        </w:rPr>
        <w:t xml:space="preserve">Scope of international obligations. Link: </w:t>
      </w:r>
      <w:hyperlink r:id="rId2" w:anchor="3" w:history="1">
        <w:r w:rsidR="003428D9" w:rsidRPr="003428D9">
          <w:rPr>
            <w:rStyle w:val="Hyperlink"/>
            <w:rFonts w:asciiTheme="majorBidi" w:hAnsiTheme="majorBidi" w:cstheme="majorBidi"/>
            <w:sz w:val="16"/>
            <w:szCs w:val="16"/>
          </w:rPr>
          <w:t>https://uprdoc.ohchr.org/uprweb/downloadfile.aspx?file=EnglishTranslation&amp;filename=13429#3#1</w:t>
        </w:r>
      </w:hyperlink>
    </w:p>
  </w:footnote>
  <w:footnote w:id="3">
    <w:p w14:paraId="60C65244" w14:textId="53618023" w:rsidR="00AD087F" w:rsidRPr="003428D9" w:rsidRDefault="00AD087F">
      <w:pPr>
        <w:pStyle w:val="FootnoteText"/>
        <w:rPr>
          <w:rFonts w:asciiTheme="majorBidi" w:hAnsiTheme="majorBidi" w:cstheme="majorBidi"/>
          <w:sz w:val="16"/>
          <w:szCs w:val="16"/>
        </w:rPr>
      </w:pPr>
      <w:r w:rsidRPr="003428D9">
        <w:rPr>
          <w:rStyle w:val="FootnoteReference"/>
          <w:rFonts w:asciiTheme="majorBidi" w:hAnsiTheme="majorBidi" w:cstheme="majorBidi"/>
          <w:sz w:val="16"/>
          <w:szCs w:val="16"/>
        </w:rPr>
        <w:footnoteRef/>
      </w:r>
      <w:r w:rsidRPr="003428D9">
        <w:rPr>
          <w:rFonts w:asciiTheme="majorBidi" w:hAnsiTheme="majorBidi" w:cstheme="majorBidi"/>
          <w:sz w:val="16"/>
          <w:szCs w:val="16"/>
        </w:rPr>
        <w:t xml:space="preserve"> </w:t>
      </w:r>
      <w:r w:rsidR="003428D9" w:rsidRPr="003428D9">
        <w:rPr>
          <w:rFonts w:asciiTheme="majorBidi" w:hAnsiTheme="majorBidi" w:cstheme="majorBidi"/>
          <w:sz w:val="16"/>
          <w:szCs w:val="16"/>
        </w:rPr>
        <w:t xml:space="preserve">Human Rights in the Administration of Justice in Iraq: Trials under the anti-terrorism laws and implications for justice, accountability and social cohesion in the aftermath of ISIL. Link: </w:t>
      </w:r>
      <w:hyperlink r:id="rId3" w:anchor="5" w:history="1">
        <w:r w:rsidR="003428D9" w:rsidRPr="003428D9">
          <w:rPr>
            <w:rStyle w:val="Hyperlink"/>
            <w:rFonts w:asciiTheme="majorBidi" w:hAnsiTheme="majorBidi" w:cstheme="majorBidi"/>
            <w:sz w:val="16"/>
            <w:szCs w:val="16"/>
          </w:rPr>
          <w:t>https://iraq.un.org/sites/default/files/2021-03/Iraq_%20UN%20report%20on%20ISIL%20trials%20recognizes%20efforts%20and%20raises%20concerns%20.pdf#5#3</w:t>
        </w:r>
      </w:hyperlink>
    </w:p>
  </w:footnote>
  <w:footnote w:id="4">
    <w:p w14:paraId="4FA67E55" w14:textId="44F77CCE" w:rsidR="00C702E0" w:rsidRPr="003428D9" w:rsidRDefault="00C702E0">
      <w:pPr>
        <w:pStyle w:val="FootnoteText"/>
        <w:rPr>
          <w:rFonts w:asciiTheme="majorBidi" w:hAnsiTheme="majorBidi" w:cstheme="majorBidi"/>
          <w:sz w:val="16"/>
          <w:szCs w:val="16"/>
        </w:rPr>
      </w:pPr>
      <w:r w:rsidRPr="003428D9">
        <w:rPr>
          <w:rStyle w:val="FootnoteReference"/>
          <w:rFonts w:asciiTheme="majorBidi" w:hAnsiTheme="majorBidi" w:cstheme="majorBidi"/>
          <w:sz w:val="16"/>
          <w:szCs w:val="16"/>
        </w:rPr>
        <w:footnoteRef/>
      </w:r>
      <w:r w:rsidRPr="003428D9">
        <w:rPr>
          <w:rFonts w:asciiTheme="majorBidi" w:hAnsiTheme="majorBidi" w:cstheme="majorBidi"/>
          <w:sz w:val="16"/>
          <w:szCs w:val="16"/>
        </w:rPr>
        <w:t xml:space="preserve"> </w:t>
      </w:r>
      <w:r w:rsidR="003428D9" w:rsidRPr="003428D9">
        <w:rPr>
          <w:rFonts w:asciiTheme="majorBidi" w:hAnsiTheme="majorBidi" w:cstheme="majorBidi"/>
          <w:sz w:val="16"/>
          <w:szCs w:val="16"/>
        </w:rPr>
        <w:t xml:space="preserve">The scope and continuation of arbitrary execution campaigns in Iraq may constitute a crime against humanity. Link: </w:t>
      </w:r>
      <w:hyperlink r:id="rId4" w:history="1">
        <w:r w:rsidR="003428D9" w:rsidRPr="003428D9">
          <w:rPr>
            <w:rStyle w:val="Hyperlink"/>
            <w:rFonts w:asciiTheme="majorBidi" w:hAnsiTheme="majorBidi" w:cstheme="majorBidi"/>
            <w:sz w:val="16"/>
            <w:szCs w:val="16"/>
          </w:rPr>
          <w:t>https://</w:t>
        </w:r>
        <w:proofErr w:type="spellStart"/>
        <w:r w:rsidR="003428D9" w:rsidRPr="003428D9">
          <w:rPr>
            <w:rStyle w:val="Hyperlink"/>
            <w:rFonts w:asciiTheme="majorBidi" w:hAnsiTheme="majorBidi" w:cstheme="majorBidi"/>
            <w:sz w:val="16"/>
            <w:szCs w:val="16"/>
          </w:rPr>
          <w:t>tinyl.co</w:t>
        </w:r>
        <w:proofErr w:type="spellEnd"/>
        <w:r w:rsidR="003428D9" w:rsidRPr="003428D9">
          <w:rPr>
            <w:rStyle w:val="Hyperlink"/>
            <w:rFonts w:asciiTheme="majorBidi" w:hAnsiTheme="majorBidi" w:cstheme="majorBidi"/>
            <w:sz w:val="16"/>
            <w:szCs w:val="16"/>
          </w:rPr>
          <w:t>/</w:t>
        </w:r>
        <w:proofErr w:type="spellStart"/>
        <w:r w:rsidR="003428D9" w:rsidRPr="003428D9">
          <w:rPr>
            <w:rStyle w:val="Hyperlink"/>
            <w:rFonts w:asciiTheme="majorBidi" w:hAnsiTheme="majorBidi" w:cstheme="majorBidi"/>
            <w:sz w:val="16"/>
            <w:szCs w:val="16"/>
          </w:rPr>
          <w:t>4jYf</w:t>
        </w:r>
        <w:proofErr w:type="spellEnd"/>
      </w:hyperlink>
      <w:r w:rsidR="003428D9" w:rsidRPr="003428D9">
        <w:rPr>
          <w:rFonts w:asciiTheme="majorBidi" w:hAnsiTheme="majorBidi" w:cstheme="majorBidi"/>
          <w:sz w:val="16"/>
          <w:szCs w:val="16"/>
        </w:rPr>
        <w:t xml:space="preserve"> </w:t>
      </w:r>
    </w:p>
  </w:footnote>
  <w:footnote w:id="5">
    <w:p w14:paraId="3972F8B3" w14:textId="1BC1A0A8" w:rsidR="00427D9E" w:rsidRPr="003428D9" w:rsidRDefault="00427D9E">
      <w:pPr>
        <w:pStyle w:val="FootnoteText"/>
        <w:rPr>
          <w:rFonts w:asciiTheme="majorBidi" w:hAnsiTheme="majorBidi" w:cstheme="majorBidi"/>
          <w:sz w:val="16"/>
          <w:szCs w:val="16"/>
        </w:rPr>
      </w:pPr>
      <w:r w:rsidRPr="003428D9">
        <w:rPr>
          <w:rStyle w:val="FootnoteReference"/>
          <w:rFonts w:asciiTheme="majorBidi" w:hAnsiTheme="majorBidi" w:cstheme="majorBidi"/>
          <w:sz w:val="16"/>
          <w:szCs w:val="16"/>
        </w:rPr>
        <w:footnoteRef/>
      </w:r>
      <w:r w:rsidRPr="003428D9">
        <w:rPr>
          <w:rFonts w:asciiTheme="majorBidi" w:hAnsiTheme="majorBidi" w:cstheme="majorBidi"/>
          <w:sz w:val="16"/>
          <w:szCs w:val="16"/>
        </w:rPr>
        <w:t xml:space="preserve"> </w:t>
      </w:r>
      <w:r w:rsidR="003428D9" w:rsidRPr="003428D9">
        <w:rPr>
          <w:rFonts w:asciiTheme="majorBidi" w:hAnsiTheme="majorBidi" w:cstheme="majorBidi"/>
          <w:sz w:val="16"/>
          <w:szCs w:val="16"/>
        </w:rPr>
        <w:t xml:space="preserve">Scale and cycle of Iraq’s arbitrary executions may be a crime against humanity: Special Rapporteurs. Link: </w:t>
      </w:r>
      <w:hyperlink r:id="rId5" w:history="1">
        <w:r w:rsidR="003428D9" w:rsidRPr="003428D9">
          <w:rPr>
            <w:rStyle w:val="Hyperlink"/>
            <w:rFonts w:asciiTheme="majorBidi" w:hAnsiTheme="majorBidi" w:cstheme="majorBidi"/>
            <w:sz w:val="16"/>
            <w:szCs w:val="16"/>
          </w:rPr>
          <w:t>https://bit.ly/4ptN9qg</w:t>
        </w:r>
      </w:hyperlink>
    </w:p>
  </w:footnote>
  <w:footnote w:id="6">
    <w:p w14:paraId="02531B74" w14:textId="48A5EE6A" w:rsidR="00E10484" w:rsidRPr="003428D9" w:rsidRDefault="00E10484">
      <w:pPr>
        <w:pStyle w:val="FootnoteText"/>
        <w:rPr>
          <w:rFonts w:asciiTheme="majorBidi" w:hAnsiTheme="majorBidi" w:cstheme="majorBidi"/>
          <w:sz w:val="16"/>
          <w:szCs w:val="16"/>
        </w:rPr>
      </w:pPr>
      <w:r w:rsidRPr="003428D9">
        <w:rPr>
          <w:rStyle w:val="FootnoteReference"/>
          <w:rFonts w:asciiTheme="majorBidi" w:hAnsiTheme="majorBidi" w:cstheme="majorBidi"/>
          <w:sz w:val="16"/>
          <w:szCs w:val="16"/>
        </w:rPr>
        <w:footnoteRef/>
      </w:r>
      <w:r w:rsidRPr="003428D9">
        <w:rPr>
          <w:rFonts w:asciiTheme="majorBidi" w:hAnsiTheme="majorBidi" w:cstheme="majorBidi"/>
          <w:sz w:val="16"/>
          <w:szCs w:val="16"/>
        </w:rPr>
        <w:t xml:space="preserve"> </w:t>
      </w:r>
      <w:r w:rsidR="003428D9" w:rsidRPr="003428D9">
        <w:rPr>
          <w:rFonts w:asciiTheme="majorBidi" w:hAnsiTheme="majorBidi" w:cstheme="majorBidi"/>
          <w:sz w:val="16"/>
          <w:szCs w:val="16"/>
        </w:rPr>
        <w:t xml:space="preserve">Iraqi Observatory for Human Rights: 400 deaths in prisons during 2025. Link: </w:t>
      </w:r>
      <w:hyperlink r:id="rId6" w:history="1">
        <w:r w:rsidR="003428D9" w:rsidRPr="003428D9">
          <w:rPr>
            <w:rStyle w:val="Hyperlink"/>
            <w:rFonts w:asciiTheme="majorBidi" w:hAnsiTheme="majorBidi" w:cstheme="majorBidi"/>
            <w:sz w:val="16"/>
            <w:szCs w:val="16"/>
          </w:rPr>
          <w:t>https://</w:t>
        </w:r>
        <w:proofErr w:type="spellStart"/>
        <w:r w:rsidR="003428D9" w:rsidRPr="003428D9">
          <w:rPr>
            <w:rStyle w:val="Hyperlink"/>
            <w:rFonts w:asciiTheme="majorBidi" w:hAnsiTheme="majorBidi" w:cstheme="majorBidi"/>
            <w:sz w:val="16"/>
            <w:szCs w:val="16"/>
          </w:rPr>
          <w:t>tinyl.co</w:t>
        </w:r>
        <w:proofErr w:type="spellEnd"/>
        <w:r w:rsidR="003428D9" w:rsidRPr="003428D9">
          <w:rPr>
            <w:rStyle w:val="Hyperlink"/>
            <w:rFonts w:asciiTheme="majorBidi" w:hAnsiTheme="majorBidi" w:cstheme="majorBidi"/>
            <w:sz w:val="16"/>
            <w:szCs w:val="16"/>
          </w:rPr>
          <w:t>/</w:t>
        </w:r>
        <w:proofErr w:type="spellStart"/>
        <w:r w:rsidR="003428D9" w:rsidRPr="003428D9">
          <w:rPr>
            <w:rStyle w:val="Hyperlink"/>
            <w:rFonts w:asciiTheme="majorBidi" w:hAnsiTheme="majorBidi" w:cstheme="majorBidi"/>
            <w:sz w:val="16"/>
            <w:szCs w:val="16"/>
          </w:rPr>
          <w:t>4jdF</w:t>
        </w:r>
        <w:proofErr w:type="spellEnd"/>
      </w:hyperlink>
      <w:r w:rsidR="003428D9" w:rsidRPr="003428D9">
        <w:rPr>
          <w:rFonts w:asciiTheme="majorBidi" w:hAnsiTheme="majorBidi" w:cstheme="majorBidi"/>
          <w:sz w:val="16"/>
          <w:szCs w:val="16"/>
        </w:rPr>
        <w:t xml:space="preserve"> </w:t>
      </w:r>
    </w:p>
  </w:footnote>
  <w:footnote w:id="7">
    <w:p w14:paraId="495BC36D" w14:textId="14E74316" w:rsidR="00E10484" w:rsidRPr="003428D9" w:rsidRDefault="00E10484">
      <w:pPr>
        <w:pStyle w:val="FootnoteText"/>
        <w:rPr>
          <w:rFonts w:asciiTheme="majorBidi" w:hAnsiTheme="majorBidi" w:cstheme="majorBidi"/>
          <w:sz w:val="16"/>
          <w:szCs w:val="16"/>
        </w:rPr>
      </w:pPr>
      <w:r w:rsidRPr="003428D9">
        <w:rPr>
          <w:rStyle w:val="FootnoteReference"/>
          <w:rFonts w:asciiTheme="majorBidi" w:hAnsiTheme="majorBidi" w:cstheme="majorBidi"/>
          <w:sz w:val="16"/>
          <w:szCs w:val="16"/>
        </w:rPr>
        <w:footnoteRef/>
      </w:r>
      <w:r w:rsidRPr="003428D9">
        <w:rPr>
          <w:rFonts w:asciiTheme="majorBidi" w:hAnsiTheme="majorBidi" w:cstheme="majorBidi"/>
          <w:sz w:val="16"/>
          <w:szCs w:val="16"/>
        </w:rPr>
        <w:t xml:space="preserve"> </w:t>
      </w:r>
      <w:r w:rsidRPr="003428D9">
        <w:rPr>
          <w:rFonts w:asciiTheme="majorBidi" w:hAnsiTheme="majorBidi" w:cstheme="majorBidi"/>
          <w:sz w:val="16"/>
          <w:szCs w:val="16"/>
        </w:rPr>
        <w:t xml:space="preserve">At Least (400) Detainees Died in Iraqi Prisons in (2025). Link: </w:t>
      </w:r>
      <w:hyperlink r:id="rId7" w:history="1">
        <w:r w:rsidRPr="003428D9">
          <w:rPr>
            <w:rStyle w:val="Hyperlink"/>
            <w:rFonts w:asciiTheme="majorBidi" w:hAnsiTheme="majorBidi" w:cstheme="majorBidi"/>
            <w:sz w:val="16"/>
            <w:szCs w:val="16"/>
          </w:rPr>
          <w:t>https://iohriq.org/198-.html#</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A4707" w14:textId="204EF55D" w:rsidR="000F2130" w:rsidRPr="000F2130" w:rsidRDefault="000F2130" w:rsidP="000F2130">
    <w:pPr>
      <w:pStyle w:val="Header"/>
    </w:pPr>
    <w:r>
      <w:rPr>
        <w:noProof/>
      </w:rPr>
      <w:drawing>
        <wp:inline distT="0" distB="0" distL="0" distR="0" wp14:anchorId="1027BE6A" wp14:editId="5FC0A2E0">
          <wp:extent cx="1213485" cy="1256030"/>
          <wp:effectExtent l="0" t="0" r="5715" b="1270"/>
          <wp:docPr id="1952009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125603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5E220B"/>
    <w:multiLevelType w:val="multilevel"/>
    <w:tmpl w:val="74AE97B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2693172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D05"/>
    <w:rsid w:val="000F2130"/>
    <w:rsid w:val="003428D9"/>
    <w:rsid w:val="00427D9E"/>
    <w:rsid w:val="004317FE"/>
    <w:rsid w:val="00855D05"/>
    <w:rsid w:val="00AD087F"/>
    <w:rsid w:val="00B54753"/>
    <w:rsid w:val="00B658B8"/>
    <w:rsid w:val="00C433B8"/>
    <w:rsid w:val="00C702E0"/>
    <w:rsid w:val="00E10484"/>
    <w:rsid w:val="00E30ADA"/>
    <w:rsid w:val="00F03903"/>
    <w:rsid w:val="00F5696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AD0CAD"/>
  <w15:chartTrackingRefBased/>
  <w15:docId w15:val="{D0458744-DFED-4D38-AA7A-64361D2B6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5D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5D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5D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5D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5D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5D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5D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5D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5D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5D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5D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5D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5D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5D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5D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5D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5D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5D05"/>
    <w:rPr>
      <w:rFonts w:eastAsiaTheme="majorEastAsia" w:cstheme="majorBidi"/>
      <w:color w:val="272727" w:themeColor="text1" w:themeTint="D8"/>
    </w:rPr>
  </w:style>
  <w:style w:type="paragraph" w:styleId="Title">
    <w:name w:val="Title"/>
    <w:basedOn w:val="Normal"/>
    <w:next w:val="Normal"/>
    <w:link w:val="TitleChar"/>
    <w:uiPriority w:val="10"/>
    <w:qFormat/>
    <w:rsid w:val="00855D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5D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5D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5D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5D05"/>
    <w:pPr>
      <w:spacing w:before="160"/>
      <w:jc w:val="center"/>
    </w:pPr>
    <w:rPr>
      <w:i/>
      <w:iCs/>
      <w:color w:val="404040" w:themeColor="text1" w:themeTint="BF"/>
    </w:rPr>
  </w:style>
  <w:style w:type="character" w:customStyle="1" w:styleId="QuoteChar">
    <w:name w:val="Quote Char"/>
    <w:basedOn w:val="DefaultParagraphFont"/>
    <w:link w:val="Quote"/>
    <w:uiPriority w:val="29"/>
    <w:rsid w:val="00855D05"/>
    <w:rPr>
      <w:i/>
      <w:iCs/>
      <w:color w:val="404040" w:themeColor="text1" w:themeTint="BF"/>
    </w:rPr>
  </w:style>
  <w:style w:type="paragraph" w:styleId="ListParagraph">
    <w:name w:val="List Paragraph"/>
    <w:basedOn w:val="Normal"/>
    <w:uiPriority w:val="34"/>
    <w:qFormat/>
    <w:rsid w:val="00855D05"/>
    <w:pPr>
      <w:ind w:left="720"/>
      <w:contextualSpacing/>
    </w:pPr>
  </w:style>
  <w:style w:type="character" w:styleId="IntenseEmphasis">
    <w:name w:val="Intense Emphasis"/>
    <w:basedOn w:val="DefaultParagraphFont"/>
    <w:uiPriority w:val="21"/>
    <w:qFormat/>
    <w:rsid w:val="00855D05"/>
    <w:rPr>
      <w:i/>
      <w:iCs/>
      <w:color w:val="0F4761" w:themeColor="accent1" w:themeShade="BF"/>
    </w:rPr>
  </w:style>
  <w:style w:type="paragraph" w:styleId="IntenseQuote">
    <w:name w:val="Intense Quote"/>
    <w:basedOn w:val="Normal"/>
    <w:next w:val="Normal"/>
    <w:link w:val="IntenseQuoteChar"/>
    <w:uiPriority w:val="30"/>
    <w:qFormat/>
    <w:rsid w:val="00855D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5D05"/>
    <w:rPr>
      <w:i/>
      <w:iCs/>
      <w:color w:val="0F4761" w:themeColor="accent1" w:themeShade="BF"/>
    </w:rPr>
  </w:style>
  <w:style w:type="character" w:styleId="IntenseReference">
    <w:name w:val="Intense Reference"/>
    <w:basedOn w:val="DefaultParagraphFont"/>
    <w:uiPriority w:val="32"/>
    <w:qFormat/>
    <w:rsid w:val="00855D05"/>
    <w:rPr>
      <w:b/>
      <w:bCs/>
      <w:smallCaps/>
      <w:color w:val="0F4761" w:themeColor="accent1" w:themeShade="BF"/>
      <w:spacing w:val="5"/>
    </w:rPr>
  </w:style>
  <w:style w:type="paragraph" w:styleId="FootnoteText">
    <w:name w:val="footnote text"/>
    <w:basedOn w:val="Normal"/>
    <w:link w:val="FootnoteTextChar"/>
    <w:uiPriority w:val="99"/>
    <w:semiHidden/>
    <w:unhideWhenUsed/>
    <w:rsid w:val="00AD087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D087F"/>
    <w:rPr>
      <w:sz w:val="20"/>
      <w:szCs w:val="20"/>
    </w:rPr>
  </w:style>
  <w:style w:type="character" w:styleId="FootnoteReference">
    <w:name w:val="footnote reference"/>
    <w:basedOn w:val="DefaultParagraphFont"/>
    <w:uiPriority w:val="99"/>
    <w:semiHidden/>
    <w:unhideWhenUsed/>
    <w:rsid w:val="00AD087F"/>
    <w:rPr>
      <w:vertAlign w:val="superscript"/>
    </w:rPr>
  </w:style>
  <w:style w:type="character" w:styleId="Hyperlink">
    <w:name w:val="Hyperlink"/>
    <w:basedOn w:val="DefaultParagraphFont"/>
    <w:uiPriority w:val="99"/>
    <w:unhideWhenUsed/>
    <w:rsid w:val="00E10484"/>
    <w:rPr>
      <w:color w:val="467886" w:themeColor="hyperlink"/>
      <w:u w:val="single"/>
    </w:rPr>
  </w:style>
  <w:style w:type="character" w:styleId="UnresolvedMention">
    <w:name w:val="Unresolved Mention"/>
    <w:basedOn w:val="DefaultParagraphFont"/>
    <w:uiPriority w:val="99"/>
    <w:semiHidden/>
    <w:unhideWhenUsed/>
    <w:rsid w:val="003428D9"/>
    <w:rPr>
      <w:color w:val="605E5C"/>
      <w:shd w:val="clear" w:color="auto" w:fill="E1DFDD"/>
    </w:rPr>
  </w:style>
  <w:style w:type="paragraph" w:styleId="Header">
    <w:name w:val="header"/>
    <w:basedOn w:val="Normal"/>
    <w:link w:val="HeaderChar"/>
    <w:uiPriority w:val="99"/>
    <w:unhideWhenUsed/>
    <w:rsid w:val="000F21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2130"/>
  </w:style>
  <w:style w:type="paragraph" w:styleId="Footer">
    <w:name w:val="footer"/>
    <w:basedOn w:val="Normal"/>
    <w:link w:val="FooterChar"/>
    <w:uiPriority w:val="99"/>
    <w:unhideWhenUsed/>
    <w:rsid w:val="000F21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21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998388">
      <w:bodyDiv w:val="1"/>
      <w:marLeft w:val="0"/>
      <w:marRight w:val="0"/>
      <w:marTop w:val="0"/>
      <w:marBottom w:val="0"/>
      <w:divBdr>
        <w:top w:val="none" w:sz="0" w:space="0" w:color="auto"/>
        <w:left w:val="none" w:sz="0" w:space="0" w:color="auto"/>
        <w:bottom w:val="none" w:sz="0" w:space="0" w:color="auto"/>
        <w:right w:val="none" w:sz="0" w:space="0" w:color="auto"/>
      </w:divBdr>
    </w:div>
    <w:div w:id="342905685">
      <w:bodyDiv w:val="1"/>
      <w:marLeft w:val="0"/>
      <w:marRight w:val="0"/>
      <w:marTop w:val="0"/>
      <w:marBottom w:val="0"/>
      <w:divBdr>
        <w:top w:val="none" w:sz="0" w:space="0" w:color="auto"/>
        <w:left w:val="none" w:sz="0" w:space="0" w:color="auto"/>
        <w:bottom w:val="none" w:sz="0" w:space="0" w:color="auto"/>
        <w:right w:val="none" w:sz="0" w:space="0" w:color="auto"/>
      </w:divBdr>
    </w:div>
    <w:div w:id="464205365">
      <w:bodyDiv w:val="1"/>
      <w:marLeft w:val="0"/>
      <w:marRight w:val="0"/>
      <w:marTop w:val="0"/>
      <w:marBottom w:val="0"/>
      <w:divBdr>
        <w:top w:val="none" w:sz="0" w:space="0" w:color="auto"/>
        <w:left w:val="none" w:sz="0" w:space="0" w:color="auto"/>
        <w:bottom w:val="none" w:sz="0" w:space="0" w:color="auto"/>
        <w:right w:val="none" w:sz="0" w:space="0" w:color="auto"/>
      </w:divBdr>
    </w:div>
    <w:div w:id="504831356">
      <w:bodyDiv w:val="1"/>
      <w:marLeft w:val="0"/>
      <w:marRight w:val="0"/>
      <w:marTop w:val="0"/>
      <w:marBottom w:val="0"/>
      <w:divBdr>
        <w:top w:val="none" w:sz="0" w:space="0" w:color="auto"/>
        <w:left w:val="none" w:sz="0" w:space="0" w:color="auto"/>
        <w:bottom w:val="none" w:sz="0" w:space="0" w:color="auto"/>
        <w:right w:val="none" w:sz="0" w:space="0" w:color="auto"/>
      </w:divBdr>
      <w:divsChild>
        <w:div w:id="2064712658">
          <w:marLeft w:val="0"/>
          <w:marRight w:val="0"/>
          <w:marTop w:val="0"/>
          <w:marBottom w:val="0"/>
          <w:divBdr>
            <w:top w:val="none" w:sz="0" w:space="0" w:color="auto"/>
            <w:left w:val="none" w:sz="0" w:space="0" w:color="auto"/>
            <w:bottom w:val="none" w:sz="0" w:space="0" w:color="auto"/>
            <w:right w:val="none" w:sz="0" w:space="0" w:color="auto"/>
          </w:divBdr>
        </w:div>
      </w:divsChild>
    </w:div>
    <w:div w:id="1159423920">
      <w:bodyDiv w:val="1"/>
      <w:marLeft w:val="0"/>
      <w:marRight w:val="0"/>
      <w:marTop w:val="0"/>
      <w:marBottom w:val="0"/>
      <w:divBdr>
        <w:top w:val="none" w:sz="0" w:space="0" w:color="auto"/>
        <w:left w:val="none" w:sz="0" w:space="0" w:color="auto"/>
        <w:bottom w:val="none" w:sz="0" w:space="0" w:color="auto"/>
        <w:right w:val="none" w:sz="0" w:space="0" w:color="auto"/>
      </w:divBdr>
      <w:divsChild>
        <w:div w:id="2009939267">
          <w:marLeft w:val="0"/>
          <w:marRight w:val="0"/>
          <w:marTop w:val="0"/>
          <w:marBottom w:val="0"/>
          <w:divBdr>
            <w:top w:val="none" w:sz="0" w:space="0" w:color="auto"/>
            <w:left w:val="none" w:sz="0" w:space="0" w:color="auto"/>
            <w:bottom w:val="none" w:sz="0" w:space="0" w:color="auto"/>
            <w:right w:val="none" w:sz="0" w:space="0" w:color="auto"/>
          </w:divBdr>
        </w:div>
      </w:divsChild>
    </w:div>
    <w:div w:id="1267621219">
      <w:bodyDiv w:val="1"/>
      <w:marLeft w:val="0"/>
      <w:marRight w:val="0"/>
      <w:marTop w:val="0"/>
      <w:marBottom w:val="0"/>
      <w:divBdr>
        <w:top w:val="none" w:sz="0" w:space="0" w:color="auto"/>
        <w:left w:val="none" w:sz="0" w:space="0" w:color="auto"/>
        <w:bottom w:val="none" w:sz="0" w:space="0" w:color="auto"/>
        <w:right w:val="none" w:sz="0" w:space="0" w:color="auto"/>
      </w:divBdr>
      <w:divsChild>
        <w:div w:id="1505823450">
          <w:marLeft w:val="0"/>
          <w:marRight w:val="0"/>
          <w:marTop w:val="0"/>
          <w:marBottom w:val="0"/>
          <w:divBdr>
            <w:top w:val="none" w:sz="0" w:space="0" w:color="auto"/>
            <w:left w:val="none" w:sz="0" w:space="0" w:color="auto"/>
            <w:bottom w:val="none" w:sz="0" w:space="0" w:color="auto"/>
            <w:right w:val="none" w:sz="0" w:space="0" w:color="auto"/>
          </w:divBdr>
        </w:div>
      </w:divsChild>
    </w:div>
    <w:div w:id="1638146848">
      <w:bodyDiv w:val="1"/>
      <w:marLeft w:val="0"/>
      <w:marRight w:val="0"/>
      <w:marTop w:val="0"/>
      <w:marBottom w:val="0"/>
      <w:divBdr>
        <w:top w:val="none" w:sz="0" w:space="0" w:color="auto"/>
        <w:left w:val="none" w:sz="0" w:space="0" w:color="auto"/>
        <w:bottom w:val="none" w:sz="0" w:space="0" w:color="auto"/>
        <w:right w:val="none" w:sz="0" w:space="0" w:color="auto"/>
      </w:divBdr>
    </w:div>
    <w:div w:id="1845242696">
      <w:bodyDiv w:val="1"/>
      <w:marLeft w:val="0"/>
      <w:marRight w:val="0"/>
      <w:marTop w:val="0"/>
      <w:marBottom w:val="0"/>
      <w:divBdr>
        <w:top w:val="none" w:sz="0" w:space="0" w:color="auto"/>
        <w:left w:val="none" w:sz="0" w:space="0" w:color="auto"/>
        <w:bottom w:val="none" w:sz="0" w:space="0" w:color="auto"/>
        <w:right w:val="none" w:sz="0" w:space="0" w:color="auto"/>
      </w:divBdr>
    </w:div>
    <w:div w:id="1966504592">
      <w:bodyDiv w:val="1"/>
      <w:marLeft w:val="0"/>
      <w:marRight w:val="0"/>
      <w:marTop w:val="0"/>
      <w:marBottom w:val="0"/>
      <w:divBdr>
        <w:top w:val="none" w:sz="0" w:space="0" w:color="auto"/>
        <w:left w:val="none" w:sz="0" w:space="0" w:color="auto"/>
        <w:bottom w:val="none" w:sz="0" w:space="0" w:color="auto"/>
        <w:right w:val="none" w:sz="0" w:space="0" w:color="auto"/>
      </w:divBdr>
      <w:divsChild>
        <w:div w:id="1335569050">
          <w:marLeft w:val="0"/>
          <w:marRight w:val="0"/>
          <w:marTop w:val="0"/>
          <w:marBottom w:val="0"/>
          <w:divBdr>
            <w:top w:val="none" w:sz="0" w:space="0" w:color="auto"/>
            <w:left w:val="none" w:sz="0" w:space="0" w:color="auto"/>
            <w:bottom w:val="none" w:sz="0" w:space="0" w:color="auto"/>
            <w:right w:val="none" w:sz="0" w:space="0" w:color="auto"/>
          </w:divBdr>
        </w:div>
      </w:divsChild>
    </w:div>
    <w:div w:id="2076128379">
      <w:bodyDiv w:val="1"/>
      <w:marLeft w:val="0"/>
      <w:marRight w:val="0"/>
      <w:marTop w:val="0"/>
      <w:marBottom w:val="0"/>
      <w:divBdr>
        <w:top w:val="none" w:sz="0" w:space="0" w:color="auto"/>
        <w:left w:val="none" w:sz="0" w:space="0" w:color="auto"/>
        <w:bottom w:val="none" w:sz="0" w:space="0" w:color="auto"/>
        <w:right w:val="none" w:sz="0" w:space="0" w:color="auto"/>
      </w:divBdr>
      <w:divsChild>
        <w:div w:id="747533250">
          <w:marLeft w:val="0"/>
          <w:marRight w:val="0"/>
          <w:marTop w:val="0"/>
          <w:marBottom w:val="0"/>
          <w:divBdr>
            <w:top w:val="none" w:sz="0" w:space="0" w:color="auto"/>
            <w:left w:val="none" w:sz="0" w:space="0" w:color="auto"/>
            <w:bottom w:val="none" w:sz="0" w:space="0" w:color="auto"/>
            <w:right w:val="none" w:sz="0" w:space="0" w:color="auto"/>
          </w:divBdr>
        </w:div>
      </w:divsChild>
    </w:div>
    <w:div w:id="2146465810">
      <w:bodyDiv w:val="1"/>
      <w:marLeft w:val="0"/>
      <w:marRight w:val="0"/>
      <w:marTop w:val="0"/>
      <w:marBottom w:val="0"/>
      <w:divBdr>
        <w:top w:val="none" w:sz="0" w:space="0" w:color="auto"/>
        <w:left w:val="none" w:sz="0" w:space="0" w:color="auto"/>
        <w:bottom w:val="none" w:sz="0" w:space="0" w:color="auto"/>
        <w:right w:val="none" w:sz="0" w:space="0" w:color="auto"/>
      </w:divBdr>
      <w:divsChild>
        <w:div w:id="15291012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iraq.un.org/sites/default/files/2021-03/Iraq_%20UN%20report%20on%20ISIL%20trials%20recognizes%20efforts%20and%20raises%20concerns%20.pdf" TargetMode="External"/><Relationship Id="rId7" Type="http://schemas.openxmlformats.org/officeDocument/2006/relationships/hyperlink" Target="https://iohriq.org/198-.html" TargetMode="External"/><Relationship Id="rId2" Type="http://schemas.openxmlformats.org/officeDocument/2006/relationships/hyperlink" Target="https://uprdoc.ohchr.org/uprweb/downloadfile.aspx?file=EnglishTranslation&amp;filename=13429" TargetMode="External"/><Relationship Id="rId1" Type="http://schemas.openxmlformats.org/officeDocument/2006/relationships/hyperlink" Target="https://bit.ly/4hfx5pW" TargetMode="External"/><Relationship Id="rId6" Type="http://schemas.openxmlformats.org/officeDocument/2006/relationships/hyperlink" Target="https://tinyl.co/4jdF" TargetMode="External"/><Relationship Id="rId5" Type="http://schemas.openxmlformats.org/officeDocument/2006/relationships/hyperlink" Target="https://bit.ly/4ptN9qg" TargetMode="External"/><Relationship Id="rId4" Type="http://schemas.openxmlformats.org/officeDocument/2006/relationships/hyperlink" Target="https://tinyl.co/4jY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23</TotalTime>
  <Pages>6</Pages>
  <Words>2136</Words>
  <Characters>10852</Characters>
  <Application>Microsoft Office Word</Application>
  <DocSecurity>0</DocSecurity>
  <Lines>241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Manar Ibrahim</cp:lastModifiedBy>
  <cp:revision>3</cp:revision>
  <dcterms:created xsi:type="dcterms:W3CDTF">2026-07-25T13:10:00Z</dcterms:created>
  <dcterms:modified xsi:type="dcterms:W3CDTF">2026-07-25T15:19:00Z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8dd06664-1f40-4ead-ba2c-d79e784d36e3</vt:lpwstr>
  </property>
</Properties>
</file>