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D65ED03" w14:textId="77777777" w:rsidR="00A1792F" w:rsidRPr="00CF2B42" w:rsidRDefault="001C2459">
      <w:pPr>
        <w:pStyle w:val="Titre"/>
        <w:contextualSpacing w:val="0"/>
        <w:jc w:val="right"/>
        <w:rPr>
          <w:sz w:val="56"/>
          <w:lang w:val="es-ES_tradnl"/>
        </w:rPr>
      </w:pPr>
      <w:bookmarkStart w:id="0" w:name="h.rffafsm6x0ca" w:colFirst="0" w:colLast="0"/>
      <w:bookmarkEnd w:id="0"/>
      <w:r w:rsidRPr="00CF2B42">
        <w:rPr>
          <w:sz w:val="56"/>
          <w:lang w:val="es-ES_tradnl"/>
        </w:rPr>
        <w:t xml:space="preserve">ICCPR </w:t>
      </w:r>
      <w:r w:rsidRPr="00CF2B42">
        <w:rPr>
          <w:color w:val="C2C2C4"/>
          <w:sz w:val="56"/>
          <w:lang w:val="es-ES_tradnl"/>
        </w:rPr>
        <w:t>Informe de seguimiento</w:t>
      </w:r>
    </w:p>
    <w:tbl>
      <w:tblPr>
        <w:tblStyle w:val="a"/>
        <w:tblW w:w="15102" w:type="dxa"/>
        <w:tblInd w:w="1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4192"/>
        <w:gridCol w:w="10910"/>
      </w:tblGrid>
      <w:tr w:rsidR="00A1792F" w:rsidRPr="00CF2B42" w14:paraId="23920FE1" w14:textId="77777777" w:rsidTr="00031263">
        <w:trPr>
          <w:trHeight w:val="1338"/>
        </w:trPr>
        <w:tc>
          <w:tcPr>
            <w:tcW w:w="4192" w:type="dxa"/>
            <w:shd w:val="clear" w:color="auto" w:fill="E4E4E6"/>
            <w:tcMar>
              <w:top w:w="100" w:type="dxa"/>
              <w:left w:w="100" w:type="dxa"/>
              <w:bottom w:w="100" w:type="dxa"/>
              <w:right w:w="100" w:type="dxa"/>
            </w:tcMar>
          </w:tcPr>
          <w:p w14:paraId="6A4240C3" w14:textId="77777777" w:rsidR="00A1792F" w:rsidRPr="00CF2B42" w:rsidRDefault="001C2459">
            <w:pPr>
              <w:pStyle w:val="normal0"/>
              <w:widowControl/>
              <w:ind w:left="0" w:right="149"/>
              <w:contextualSpacing w:val="0"/>
              <w:jc w:val="both"/>
              <w:rPr>
                <w:lang w:val="es-ES_tradnl"/>
              </w:rPr>
            </w:pPr>
            <w:r w:rsidRPr="00CF2B42">
              <w:rPr>
                <w:b/>
                <w:color w:val="595959"/>
                <w:sz w:val="22"/>
                <w:lang w:val="es-ES_tradnl"/>
              </w:rPr>
              <w:t>CCPR/C/URY/CO/5</w:t>
            </w:r>
          </w:p>
          <w:p w14:paraId="0ABB6D48" w14:textId="77777777" w:rsidR="00A1792F" w:rsidRPr="00CF2B42" w:rsidRDefault="00A1792F">
            <w:pPr>
              <w:pStyle w:val="normal0"/>
              <w:widowControl/>
              <w:ind w:left="0" w:right="149"/>
              <w:contextualSpacing w:val="0"/>
              <w:jc w:val="both"/>
              <w:rPr>
                <w:lang w:val="es-ES_tradnl"/>
              </w:rPr>
            </w:pPr>
          </w:p>
          <w:p w14:paraId="535C20F9" w14:textId="77777777" w:rsidR="00A1792F" w:rsidRPr="00CF2B42" w:rsidRDefault="00031263">
            <w:pPr>
              <w:pStyle w:val="normal0"/>
              <w:widowControl/>
              <w:ind w:left="0" w:right="149"/>
              <w:contextualSpacing w:val="0"/>
              <w:jc w:val="both"/>
              <w:rPr>
                <w:lang w:val="es-ES_tradnl"/>
              </w:rPr>
            </w:pPr>
            <w:r w:rsidRPr="00CF2B42">
              <w:rPr>
                <w:b/>
                <w:color w:val="595959"/>
                <w:sz w:val="22"/>
                <w:lang w:val="es-ES_tradnl"/>
              </w:rPr>
              <w:t>Informe de seguimiento debido en</w:t>
            </w:r>
            <w:r w:rsidR="001C2459" w:rsidRPr="00CF2B42">
              <w:rPr>
                <w:b/>
                <w:color w:val="595959"/>
                <w:sz w:val="22"/>
                <w:lang w:val="es-ES_tradnl"/>
              </w:rPr>
              <w:t xml:space="preserve"> </w:t>
            </w:r>
            <w:r w:rsidR="00CF2B42" w:rsidRPr="00CF2B42">
              <w:rPr>
                <w:b/>
                <w:color w:val="595959"/>
                <w:sz w:val="22"/>
                <w:lang w:val="es-ES_tradnl"/>
              </w:rPr>
              <w:t>Octubre</w:t>
            </w:r>
            <w:r w:rsidR="001C2459" w:rsidRPr="00CF2B42">
              <w:rPr>
                <w:b/>
                <w:color w:val="595959"/>
                <w:sz w:val="22"/>
                <w:lang w:val="es-ES_tradnl"/>
              </w:rPr>
              <w:t xml:space="preserve"> 2014</w:t>
            </w:r>
          </w:p>
          <w:p w14:paraId="1069C4AE" w14:textId="77777777" w:rsidR="00A1792F" w:rsidRPr="00CF2B42" w:rsidRDefault="00A1792F">
            <w:pPr>
              <w:pStyle w:val="normal0"/>
              <w:widowControl/>
              <w:ind w:left="0" w:right="149"/>
              <w:contextualSpacing w:val="0"/>
              <w:jc w:val="both"/>
              <w:rPr>
                <w:lang w:val="es-ES_tradnl"/>
              </w:rPr>
            </w:pPr>
          </w:p>
          <w:p w14:paraId="44AB00FB" w14:textId="77777777" w:rsidR="00A1792F" w:rsidRPr="00CF2B42" w:rsidRDefault="00031263">
            <w:pPr>
              <w:pStyle w:val="normal0"/>
              <w:widowControl/>
              <w:ind w:left="0" w:right="149"/>
              <w:contextualSpacing w:val="0"/>
              <w:jc w:val="both"/>
              <w:rPr>
                <w:lang w:val="es-ES_tradnl"/>
              </w:rPr>
            </w:pPr>
            <w:r w:rsidRPr="00CF2B42">
              <w:rPr>
                <w:b/>
                <w:color w:val="595959"/>
                <w:sz w:val="22"/>
                <w:lang w:val="es-ES_tradnl"/>
              </w:rPr>
              <w:t>Informe de seguimiento presentado en</w:t>
            </w:r>
            <w:r w:rsidR="001C2459" w:rsidRPr="00CF2B42">
              <w:rPr>
                <w:b/>
                <w:color w:val="595959"/>
                <w:sz w:val="22"/>
                <w:lang w:val="es-ES_tradnl"/>
              </w:rPr>
              <w:t xml:space="preserve"> </w:t>
            </w:r>
            <w:r w:rsidR="00CF2B42" w:rsidRPr="00CF2B42">
              <w:rPr>
                <w:b/>
                <w:color w:val="595959"/>
                <w:sz w:val="22"/>
                <w:lang w:val="es-ES_tradnl"/>
              </w:rPr>
              <w:t>Noviembre</w:t>
            </w:r>
            <w:r w:rsidR="001C2459" w:rsidRPr="00CF2B42">
              <w:rPr>
                <w:b/>
                <w:color w:val="595959"/>
                <w:sz w:val="22"/>
                <w:lang w:val="es-ES_tradnl"/>
              </w:rPr>
              <w:t xml:space="preserve"> 2014</w:t>
            </w:r>
          </w:p>
        </w:tc>
        <w:tc>
          <w:tcPr>
            <w:tcW w:w="10910" w:type="dxa"/>
            <w:shd w:val="clear" w:color="auto" w:fill="3C78D8"/>
            <w:tcMar>
              <w:top w:w="100" w:type="dxa"/>
              <w:left w:w="100" w:type="dxa"/>
              <w:bottom w:w="100" w:type="dxa"/>
              <w:right w:w="100" w:type="dxa"/>
            </w:tcMar>
            <w:vAlign w:val="bottom"/>
          </w:tcPr>
          <w:p w14:paraId="6F5178BE" w14:textId="77777777" w:rsidR="00A1792F" w:rsidRPr="00CF2B42" w:rsidRDefault="001C2459">
            <w:pPr>
              <w:pStyle w:val="Sous-titre"/>
              <w:contextualSpacing w:val="0"/>
              <w:rPr>
                <w:lang w:val="es-ES_tradnl"/>
              </w:rPr>
            </w:pPr>
            <w:bookmarkStart w:id="1" w:name="h.u0xc5ur3dwm1" w:colFirst="0" w:colLast="0"/>
            <w:bookmarkEnd w:id="1"/>
            <w:r w:rsidRPr="00CF2B42">
              <w:rPr>
                <w:sz w:val="120"/>
                <w:lang w:val="es-ES_tradnl"/>
              </w:rPr>
              <w:t>URUGUAY</w:t>
            </w:r>
          </w:p>
        </w:tc>
      </w:tr>
    </w:tbl>
    <w:p w14:paraId="3577F225" w14:textId="77777777" w:rsidR="00A1792F" w:rsidRPr="00CF2B42" w:rsidRDefault="00A1792F">
      <w:pPr>
        <w:pStyle w:val="normal0"/>
        <w:contextualSpacing w:val="0"/>
        <w:rPr>
          <w:lang w:val="es-ES_tradnl"/>
        </w:rPr>
      </w:pPr>
    </w:p>
    <w:p w14:paraId="55915340" w14:textId="77777777" w:rsidR="00031263" w:rsidRPr="00CF2B42" w:rsidRDefault="00031263" w:rsidP="00031263">
      <w:pPr>
        <w:pStyle w:val="normal0"/>
        <w:jc w:val="center"/>
        <w:rPr>
          <w:b/>
          <w:bCs/>
          <w:color w:val="0B5394"/>
          <w:sz w:val="28"/>
          <w:lang w:val="es-ES_tradnl"/>
        </w:rPr>
      </w:pPr>
      <w:r w:rsidRPr="00CF2B42">
        <w:rPr>
          <w:b/>
          <w:bCs/>
          <w:color w:val="0B5394"/>
          <w:sz w:val="28"/>
          <w:lang w:val="es-ES_tradnl"/>
        </w:rPr>
        <w:t>RESPUESTAS A LAS OBSERVACIONES 7, 8 Y 19 REALIZADAS POR EL COMITÉ DE DERECHOS HUMANOS, RELATIVAS AL QUINTO INFORME DE URUGUAY (CCPR/C/URY/CO/5)</w:t>
      </w:r>
    </w:p>
    <w:p w14:paraId="4333A7F9" w14:textId="77777777" w:rsidR="00031263" w:rsidRPr="00CF2B42" w:rsidRDefault="00031263" w:rsidP="00031263">
      <w:pPr>
        <w:pStyle w:val="normal0"/>
        <w:jc w:val="center"/>
        <w:rPr>
          <w:b/>
          <w:bCs/>
          <w:color w:val="0B5394"/>
          <w:sz w:val="28"/>
          <w:lang w:val="es-ES_tradnl"/>
        </w:rPr>
      </w:pPr>
    </w:p>
    <w:p w14:paraId="2FBFE09D" w14:textId="77777777" w:rsidR="00031263" w:rsidRPr="00CF2B42" w:rsidRDefault="00031263" w:rsidP="00031263">
      <w:pPr>
        <w:pStyle w:val="normal0"/>
        <w:jc w:val="center"/>
        <w:rPr>
          <w:b/>
          <w:bCs/>
          <w:color w:val="0B5394"/>
          <w:sz w:val="28"/>
          <w:lang w:val="es-ES_tradnl"/>
        </w:rPr>
      </w:pPr>
      <w:r w:rsidRPr="00CF2B42">
        <w:rPr>
          <w:b/>
          <w:bCs/>
          <w:color w:val="0B5394"/>
          <w:sz w:val="28"/>
          <w:lang w:val="es-ES_tradnl"/>
        </w:rPr>
        <w:t>Informe preparado por el Instituto de estudios legales y sociales del Uruguay (IELSUR) – enero 2015</w:t>
      </w:r>
    </w:p>
    <w:p w14:paraId="6F18A2C0" w14:textId="77777777" w:rsidR="00A1792F" w:rsidRPr="00CF2B42" w:rsidRDefault="00A1792F">
      <w:pPr>
        <w:pStyle w:val="normal0"/>
        <w:contextualSpacing w:val="0"/>
        <w:rPr>
          <w:lang w:val="es-ES_tradnl"/>
        </w:rPr>
      </w:pPr>
    </w:p>
    <w:p w14:paraId="1F28970A" w14:textId="77777777" w:rsidR="00A1792F" w:rsidRPr="00CF2B42" w:rsidRDefault="00A1792F">
      <w:pPr>
        <w:pStyle w:val="normal0"/>
        <w:contextualSpacing w:val="0"/>
        <w:rPr>
          <w:lang w:val="es-ES_tradnl"/>
        </w:rPr>
      </w:pPr>
    </w:p>
    <w:tbl>
      <w:tblPr>
        <w:tblStyle w:val="a0"/>
        <w:tblW w:w="15039" w:type="dxa"/>
        <w:tblInd w:w="15" w:type="dxa"/>
        <w:tblBorders>
          <w:top w:val="single" w:sz="8" w:space="0" w:color="E4E4E6"/>
          <w:left w:val="single" w:sz="8" w:space="0" w:color="E4E4E6"/>
          <w:bottom w:val="single" w:sz="8" w:space="0" w:color="E4E4E6"/>
          <w:right w:val="single" w:sz="8" w:space="0" w:color="E4E4E6"/>
          <w:insideH w:val="single" w:sz="8" w:space="0" w:color="E4E4E6"/>
          <w:insideV w:val="single" w:sz="8" w:space="0" w:color="E4E4E6"/>
        </w:tblBorders>
        <w:tblLayout w:type="fixed"/>
        <w:tblLook w:val="0600" w:firstRow="0" w:lastRow="0" w:firstColumn="0" w:lastColumn="0" w:noHBand="1" w:noVBand="1"/>
      </w:tblPr>
      <w:tblGrid>
        <w:gridCol w:w="4319"/>
        <w:gridCol w:w="1079"/>
        <w:gridCol w:w="9641"/>
      </w:tblGrid>
      <w:tr w:rsidR="00031263" w:rsidRPr="00CF2B42" w14:paraId="2C9BB3BC" w14:textId="77777777" w:rsidTr="00DA3AF9">
        <w:trPr>
          <w:trHeight w:val="243"/>
        </w:trPr>
        <w:tc>
          <w:tcPr>
            <w:tcW w:w="4319" w:type="dxa"/>
            <w:shd w:val="clear" w:color="auto" w:fill="D9D9D9"/>
            <w:tcMar>
              <w:top w:w="100" w:type="dxa"/>
              <w:left w:w="100" w:type="dxa"/>
              <w:bottom w:w="100" w:type="dxa"/>
              <w:right w:w="100" w:type="dxa"/>
            </w:tcMar>
          </w:tcPr>
          <w:p w14:paraId="733714B3" w14:textId="77777777" w:rsidR="00A1792F" w:rsidRPr="00CF2B42" w:rsidRDefault="001C2459">
            <w:pPr>
              <w:pStyle w:val="normal0"/>
              <w:contextualSpacing w:val="0"/>
              <w:rPr>
                <w:lang w:val="es-ES_tradnl"/>
              </w:rPr>
            </w:pPr>
            <w:r w:rsidRPr="00CF2B42">
              <w:rPr>
                <w:lang w:val="es-ES_tradnl"/>
              </w:rPr>
              <w:t>Respuesta/medida satisfactoria</w:t>
            </w:r>
          </w:p>
        </w:tc>
        <w:tc>
          <w:tcPr>
            <w:tcW w:w="1079" w:type="dxa"/>
            <w:shd w:val="clear" w:color="auto" w:fill="D9D9D9"/>
            <w:tcMar>
              <w:top w:w="100" w:type="dxa"/>
              <w:left w:w="100" w:type="dxa"/>
              <w:bottom w:w="100" w:type="dxa"/>
              <w:right w:w="100" w:type="dxa"/>
            </w:tcMar>
          </w:tcPr>
          <w:p w14:paraId="23220E77" w14:textId="77777777" w:rsidR="00A1792F" w:rsidRPr="00CF2B42" w:rsidRDefault="001C2459">
            <w:pPr>
              <w:pStyle w:val="normal0"/>
              <w:ind w:left="0"/>
              <w:contextualSpacing w:val="0"/>
              <w:rPr>
                <w:lang w:val="es-ES_tradnl"/>
              </w:rPr>
            </w:pPr>
            <w:r w:rsidRPr="00CF2B42">
              <w:rPr>
                <w:lang w:val="es-ES_tradnl"/>
              </w:rPr>
              <w:t>Marco A</w:t>
            </w:r>
          </w:p>
        </w:tc>
        <w:tc>
          <w:tcPr>
            <w:tcW w:w="9641" w:type="dxa"/>
            <w:shd w:val="clear" w:color="auto" w:fill="D9D9D9"/>
            <w:tcMar>
              <w:top w:w="100" w:type="dxa"/>
              <w:left w:w="100" w:type="dxa"/>
              <w:bottom w:w="100" w:type="dxa"/>
              <w:right w:w="100" w:type="dxa"/>
            </w:tcMar>
          </w:tcPr>
          <w:p w14:paraId="6C91B362" w14:textId="77777777" w:rsidR="00A1792F" w:rsidRPr="00CF2B42" w:rsidRDefault="001C2459">
            <w:pPr>
              <w:pStyle w:val="normal0"/>
              <w:ind w:left="0"/>
              <w:contextualSpacing w:val="0"/>
              <w:rPr>
                <w:lang w:val="es-ES_tradnl"/>
              </w:rPr>
            </w:pPr>
            <w:r w:rsidRPr="00CF2B42">
              <w:rPr>
                <w:lang w:val="es-ES_tradnl"/>
              </w:rPr>
              <w:t>Respuesta ampliamente satisfactoria</w:t>
            </w:r>
          </w:p>
        </w:tc>
      </w:tr>
      <w:tr w:rsidR="00031263" w:rsidRPr="00CF2B42" w14:paraId="399D50E5" w14:textId="77777777" w:rsidTr="00DA3AF9">
        <w:trPr>
          <w:trHeight w:val="243"/>
        </w:trPr>
        <w:tc>
          <w:tcPr>
            <w:tcW w:w="4319" w:type="dxa"/>
            <w:tcMar>
              <w:top w:w="100" w:type="dxa"/>
              <w:left w:w="100" w:type="dxa"/>
              <w:bottom w:w="100" w:type="dxa"/>
              <w:right w:w="100" w:type="dxa"/>
            </w:tcMar>
          </w:tcPr>
          <w:p w14:paraId="6C4AF3F5" w14:textId="77777777" w:rsidR="00A1792F" w:rsidRPr="00CF2B42" w:rsidRDefault="001C2459">
            <w:pPr>
              <w:pStyle w:val="normal0"/>
              <w:ind w:left="0"/>
              <w:contextualSpacing w:val="0"/>
              <w:rPr>
                <w:lang w:val="es-ES_tradnl"/>
              </w:rPr>
            </w:pPr>
            <w:r w:rsidRPr="00CF2B42">
              <w:rPr>
                <w:lang w:val="es-ES_tradnl"/>
              </w:rPr>
              <w:t>Respuesta/medida parcialmente satisfactoria</w:t>
            </w:r>
          </w:p>
        </w:tc>
        <w:tc>
          <w:tcPr>
            <w:tcW w:w="1079" w:type="dxa"/>
            <w:tcMar>
              <w:top w:w="100" w:type="dxa"/>
              <w:left w:w="100" w:type="dxa"/>
              <w:bottom w:w="100" w:type="dxa"/>
              <w:right w:w="100" w:type="dxa"/>
            </w:tcMar>
          </w:tcPr>
          <w:p w14:paraId="127DF4D8" w14:textId="77777777" w:rsidR="00A1792F" w:rsidRPr="00CF2B42" w:rsidRDefault="001C2459">
            <w:pPr>
              <w:pStyle w:val="normal0"/>
              <w:ind w:left="0"/>
              <w:contextualSpacing w:val="0"/>
              <w:rPr>
                <w:lang w:val="es-ES_tradnl"/>
              </w:rPr>
            </w:pPr>
            <w:r w:rsidRPr="00CF2B42">
              <w:rPr>
                <w:lang w:val="es-ES_tradnl"/>
              </w:rPr>
              <w:t>Marco B1</w:t>
            </w:r>
          </w:p>
        </w:tc>
        <w:tc>
          <w:tcPr>
            <w:tcW w:w="9641" w:type="dxa"/>
            <w:tcMar>
              <w:top w:w="100" w:type="dxa"/>
              <w:left w:w="100" w:type="dxa"/>
              <w:bottom w:w="100" w:type="dxa"/>
              <w:right w:w="100" w:type="dxa"/>
            </w:tcMar>
          </w:tcPr>
          <w:p w14:paraId="0526B93F" w14:textId="77777777" w:rsidR="00A1792F" w:rsidRPr="00CF2B42" w:rsidRDefault="001C2459">
            <w:pPr>
              <w:pStyle w:val="normal0"/>
              <w:contextualSpacing w:val="0"/>
              <w:rPr>
                <w:lang w:val="es-ES_tradnl"/>
              </w:rPr>
            </w:pPr>
            <w:r w:rsidRPr="00CF2B42">
              <w:rPr>
                <w:lang w:val="es-ES_tradnl"/>
              </w:rPr>
              <w:t>Se ha adoptado una medida sustantiva pero se requiere información adicional</w:t>
            </w:r>
          </w:p>
        </w:tc>
      </w:tr>
      <w:tr w:rsidR="00031263" w:rsidRPr="00CF2B42" w14:paraId="1DDF9DEE" w14:textId="77777777" w:rsidTr="00DA3AF9">
        <w:trPr>
          <w:trHeight w:val="243"/>
        </w:trPr>
        <w:tc>
          <w:tcPr>
            <w:tcW w:w="4319" w:type="dxa"/>
            <w:tcMar>
              <w:top w:w="100" w:type="dxa"/>
              <w:left w:w="100" w:type="dxa"/>
              <w:bottom w:w="100" w:type="dxa"/>
              <w:right w:w="100" w:type="dxa"/>
            </w:tcMar>
          </w:tcPr>
          <w:p w14:paraId="63354512" w14:textId="77777777" w:rsidR="00A1792F" w:rsidRPr="00CF2B42" w:rsidRDefault="00A1792F">
            <w:pPr>
              <w:pStyle w:val="normal0"/>
              <w:ind w:left="0"/>
              <w:contextualSpacing w:val="0"/>
              <w:rPr>
                <w:lang w:val="es-ES_tradnl"/>
              </w:rPr>
            </w:pPr>
          </w:p>
        </w:tc>
        <w:tc>
          <w:tcPr>
            <w:tcW w:w="1079" w:type="dxa"/>
            <w:tcMar>
              <w:top w:w="100" w:type="dxa"/>
              <w:left w:w="100" w:type="dxa"/>
              <w:bottom w:w="100" w:type="dxa"/>
              <w:right w:w="100" w:type="dxa"/>
            </w:tcMar>
          </w:tcPr>
          <w:p w14:paraId="0DA7A240" w14:textId="77777777" w:rsidR="00A1792F" w:rsidRPr="00CF2B42" w:rsidRDefault="001C2459">
            <w:pPr>
              <w:pStyle w:val="normal0"/>
              <w:ind w:left="0"/>
              <w:contextualSpacing w:val="0"/>
              <w:rPr>
                <w:lang w:val="es-ES_tradnl"/>
              </w:rPr>
            </w:pPr>
            <w:r w:rsidRPr="00CF2B42">
              <w:rPr>
                <w:lang w:val="es-ES_tradnl"/>
              </w:rPr>
              <w:t>Marco B2</w:t>
            </w:r>
          </w:p>
        </w:tc>
        <w:tc>
          <w:tcPr>
            <w:tcW w:w="9641" w:type="dxa"/>
            <w:tcMar>
              <w:top w:w="100" w:type="dxa"/>
              <w:left w:w="100" w:type="dxa"/>
              <w:bottom w:w="100" w:type="dxa"/>
              <w:right w:w="100" w:type="dxa"/>
            </w:tcMar>
          </w:tcPr>
          <w:p w14:paraId="73083B80" w14:textId="77777777" w:rsidR="00A1792F" w:rsidRPr="00CF2B42" w:rsidRDefault="001C2459">
            <w:pPr>
              <w:pStyle w:val="normal0"/>
              <w:contextualSpacing w:val="0"/>
              <w:rPr>
                <w:lang w:val="es-ES_tradnl"/>
              </w:rPr>
            </w:pPr>
            <w:r w:rsidRPr="00CF2B42">
              <w:rPr>
                <w:lang w:val="es-ES_tradnl"/>
              </w:rPr>
              <w:t>Se ha adoptado una medida inicial pero se requiere información adicional</w:t>
            </w:r>
          </w:p>
        </w:tc>
      </w:tr>
      <w:tr w:rsidR="00031263" w:rsidRPr="00CF2B42" w14:paraId="0752A12B" w14:textId="77777777" w:rsidTr="00DA3AF9">
        <w:trPr>
          <w:trHeight w:val="243"/>
        </w:trPr>
        <w:tc>
          <w:tcPr>
            <w:tcW w:w="4319" w:type="dxa"/>
            <w:shd w:val="clear" w:color="auto" w:fill="D9D9D9"/>
            <w:tcMar>
              <w:top w:w="100" w:type="dxa"/>
              <w:left w:w="100" w:type="dxa"/>
              <w:bottom w:w="100" w:type="dxa"/>
              <w:right w:w="100" w:type="dxa"/>
            </w:tcMar>
          </w:tcPr>
          <w:p w14:paraId="26BA73D4" w14:textId="77777777" w:rsidR="00A1792F" w:rsidRPr="00CF2B42" w:rsidRDefault="001C2459">
            <w:pPr>
              <w:pStyle w:val="normal0"/>
              <w:contextualSpacing w:val="0"/>
              <w:rPr>
                <w:lang w:val="es-ES_tradnl"/>
              </w:rPr>
            </w:pPr>
            <w:r w:rsidRPr="00CF2B42">
              <w:rPr>
                <w:lang w:val="es-ES_tradnl"/>
              </w:rPr>
              <w:t>Respuesta/medida no satisfactoria</w:t>
            </w:r>
          </w:p>
        </w:tc>
        <w:tc>
          <w:tcPr>
            <w:tcW w:w="1079" w:type="dxa"/>
            <w:shd w:val="clear" w:color="auto" w:fill="D9D9D9"/>
            <w:tcMar>
              <w:top w:w="100" w:type="dxa"/>
              <w:left w:w="100" w:type="dxa"/>
              <w:bottom w:w="100" w:type="dxa"/>
              <w:right w:w="100" w:type="dxa"/>
            </w:tcMar>
          </w:tcPr>
          <w:p w14:paraId="59FA409D" w14:textId="77777777" w:rsidR="00A1792F" w:rsidRPr="00CF2B42" w:rsidRDefault="001C2459">
            <w:pPr>
              <w:pStyle w:val="normal0"/>
              <w:ind w:left="0"/>
              <w:contextualSpacing w:val="0"/>
              <w:rPr>
                <w:lang w:val="es-ES_tradnl"/>
              </w:rPr>
            </w:pPr>
            <w:r w:rsidRPr="00CF2B42">
              <w:rPr>
                <w:lang w:val="es-ES_tradnl"/>
              </w:rPr>
              <w:t>Marco C1</w:t>
            </w:r>
          </w:p>
        </w:tc>
        <w:tc>
          <w:tcPr>
            <w:tcW w:w="9641" w:type="dxa"/>
            <w:shd w:val="clear" w:color="auto" w:fill="D9D9D9"/>
            <w:tcMar>
              <w:top w:w="100" w:type="dxa"/>
              <w:left w:w="100" w:type="dxa"/>
              <w:bottom w:w="100" w:type="dxa"/>
              <w:right w:w="100" w:type="dxa"/>
            </w:tcMar>
          </w:tcPr>
          <w:p w14:paraId="708DB481" w14:textId="77777777" w:rsidR="00A1792F" w:rsidRPr="00CF2B42" w:rsidRDefault="001C2459">
            <w:pPr>
              <w:pStyle w:val="normal0"/>
              <w:contextualSpacing w:val="0"/>
              <w:rPr>
                <w:lang w:val="es-ES_tradnl"/>
              </w:rPr>
            </w:pPr>
            <w:r w:rsidRPr="00CF2B42">
              <w:rPr>
                <w:lang w:val="es-ES_tradnl"/>
              </w:rPr>
              <w:t>Se ha recibido una respuesta pero las medidas adoptadas no llevan a la práctica la recomendación</w:t>
            </w:r>
          </w:p>
        </w:tc>
      </w:tr>
      <w:tr w:rsidR="00031263" w:rsidRPr="00CF2B42" w14:paraId="6386DDDE" w14:textId="77777777" w:rsidTr="00DA3AF9">
        <w:trPr>
          <w:trHeight w:val="243"/>
        </w:trPr>
        <w:tc>
          <w:tcPr>
            <w:tcW w:w="4319" w:type="dxa"/>
            <w:shd w:val="clear" w:color="auto" w:fill="D9D9D9"/>
            <w:tcMar>
              <w:top w:w="100" w:type="dxa"/>
              <w:left w:w="100" w:type="dxa"/>
              <w:bottom w:w="100" w:type="dxa"/>
              <w:right w:w="100" w:type="dxa"/>
            </w:tcMar>
          </w:tcPr>
          <w:p w14:paraId="07FD9C1B" w14:textId="77777777" w:rsidR="00A1792F" w:rsidRPr="00CF2B42" w:rsidRDefault="00A1792F">
            <w:pPr>
              <w:pStyle w:val="normal0"/>
              <w:ind w:left="0"/>
              <w:contextualSpacing w:val="0"/>
              <w:rPr>
                <w:lang w:val="es-ES_tradnl"/>
              </w:rPr>
            </w:pPr>
          </w:p>
        </w:tc>
        <w:tc>
          <w:tcPr>
            <w:tcW w:w="1079" w:type="dxa"/>
            <w:shd w:val="clear" w:color="auto" w:fill="D9D9D9"/>
            <w:tcMar>
              <w:top w:w="100" w:type="dxa"/>
              <w:left w:w="100" w:type="dxa"/>
              <w:bottom w:w="100" w:type="dxa"/>
              <w:right w:w="100" w:type="dxa"/>
            </w:tcMar>
          </w:tcPr>
          <w:p w14:paraId="275A751A" w14:textId="77777777" w:rsidR="00A1792F" w:rsidRPr="00CF2B42" w:rsidRDefault="001C2459">
            <w:pPr>
              <w:pStyle w:val="normal0"/>
              <w:ind w:left="0"/>
              <w:contextualSpacing w:val="0"/>
              <w:rPr>
                <w:lang w:val="es-ES_tradnl"/>
              </w:rPr>
            </w:pPr>
            <w:r w:rsidRPr="00CF2B42">
              <w:rPr>
                <w:lang w:val="es-ES_tradnl"/>
              </w:rPr>
              <w:t>Marco C2</w:t>
            </w:r>
          </w:p>
        </w:tc>
        <w:tc>
          <w:tcPr>
            <w:tcW w:w="9641" w:type="dxa"/>
            <w:shd w:val="clear" w:color="auto" w:fill="D9D9D9"/>
            <w:tcMar>
              <w:top w:w="100" w:type="dxa"/>
              <w:left w:w="100" w:type="dxa"/>
              <w:bottom w:w="100" w:type="dxa"/>
              <w:right w:w="100" w:type="dxa"/>
            </w:tcMar>
          </w:tcPr>
          <w:p w14:paraId="544B3040" w14:textId="77777777" w:rsidR="00A1792F" w:rsidRPr="00CF2B42" w:rsidRDefault="001C2459">
            <w:pPr>
              <w:pStyle w:val="normal0"/>
              <w:ind w:left="0"/>
              <w:contextualSpacing w:val="0"/>
              <w:rPr>
                <w:lang w:val="es-ES_tradnl"/>
              </w:rPr>
            </w:pPr>
            <w:r w:rsidRPr="00CF2B42">
              <w:rPr>
                <w:lang w:val="es-ES_tradnl"/>
              </w:rPr>
              <w:t>Se ha recibido una respuesta pero no es pertinente a la recomendación</w:t>
            </w:r>
          </w:p>
        </w:tc>
      </w:tr>
      <w:tr w:rsidR="00031263" w:rsidRPr="00CF2B42" w14:paraId="39FEDE31" w14:textId="77777777" w:rsidTr="00DA3AF9">
        <w:trPr>
          <w:trHeight w:val="243"/>
        </w:trPr>
        <w:tc>
          <w:tcPr>
            <w:tcW w:w="4319" w:type="dxa"/>
            <w:tcMar>
              <w:top w:w="100" w:type="dxa"/>
              <w:left w:w="100" w:type="dxa"/>
              <w:bottom w:w="100" w:type="dxa"/>
              <w:right w:w="100" w:type="dxa"/>
            </w:tcMar>
          </w:tcPr>
          <w:p w14:paraId="47FA6697" w14:textId="77777777" w:rsidR="00A1792F" w:rsidRPr="00CF2B42" w:rsidRDefault="001C2459">
            <w:pPr>
              <w:pStyle w:val="normal0"/>
              <w:contextualSpacing w:val="0"/>
              <w:rPr>
                <w:lang w:val="es-ES_tradnl"/>
              </w:rPr>
            </w:pPr>
            <w:r w:rsidRPr="00CF2B42">
              <w:rPr>
                <w:lang w:val="es-ES_tradnl"/>
              </w:rPr>
              <w:t>Ausencia de cooperación con el Comité</w:t>
            </w:r>
          </w:p>
          <w:p w14:paraId="6C3E79A2" w14:textId="77777777" w:rsidR="00A1792F" w:rsidRPr="00CF2B42" w:rsidRDefault="00A1792F">
            <w:pPr>
              <w:pStyle w:val="normal0"/>
              <w:ind w:left="0"/>
              <w:contextualSpacing w:val="0"/>
              <w:rPr>
                <w:lang w:val="es-ES_tradnl"/>
              </w:rPr>
            </w:pPr>
          </w:p>
        </w:tc>
        <w:tc>
          <w:tcPr>
            <w:tcW w:w="1079" w:type="dxa"/>
            <w:tcMar>
              <w:top w:w="100" w:type="dxa"/>
              <w:left w:w="100" w:type="dxa"/>
              <w:bottom w:w="100" w:type="dxa"/>
              <w:right w:w="100" w:type="dxa"/>
            </w:tcMar>
          </w:tcPr>
          <w:p w14:paraId="33CD2055" w14:textId="77777777" w:rsidR="00A1792F" w:rsidRPr="00CF2B42" w:rsidRDefault="001C2459">
            <w:pPr>
              <w:pStyle w:val="normal0"/>
              <w:ind w:left="0"/>
              <w:contextualSpacing w:val="0"/>
              <w:rPr>
                <w:lang w:val="es-ES_tradnl"/>
              </w:rPr>
            </w:pPr>
            <w:r w:rsidRPr="00CF2B42">
              <w:rPr>
                <w:lang w:val="es-ES_tradnl"/>
              </w:rPr>
              <w:t>Marco D1</w:t>
            </w:r>
          </w:p>
        </w:tc>
        <w:tc>
          <w:tcPr>
            <w:tcW w:w="9641" w:type="dxa"/>
            <w:tcMar>
              <w:top w:w="100" w:type="dxa"/>
              <w:left w:w="100" w:type="dxa"/>
              <w:bottom w:w="100" w:type="dxa"/>
              <w:right w:w="100" w:type="dxa"/>
            </w:tcMar>
          </w:tcPr>
          <w:p w14:paraId="5F5E26AF" w14:textId="77777777" w:rsidR="00A1792F" w:rsidRPr="00CF2B42" w:rsidRDefault="001C2459">
            <w:pPr>
              <w:pStyle w:val="normal0"/>
              <w:contextualSpacing w:val="0"/>
              <w:rPr>
                <w:lang w:val="es-ES_tradnl"/>
              </w:rPr>
            </w:pPr>
            <w:r w:rsidRPr="00CF2B42">
              <w:rPr>
                <w:lang w:val="es-ES_tradnl"/>
              </w:rPr>
              <w:t>No se ha recibido respuesta a una o más de las recomendaciones de seguimiento o a parte de una recomendación de seguimiento</w:t>
            </w:r>
          </w:p>
        </w:tc>
      </w:tr>
      <w:tr w:rsidR="00031263" w:rsidRPr="00CF2B42" w14:paraId="3B57DAD6" w14:textId="77777777" w:rsidTr="00DA3AF9">
        <w:trPr>
          <w:trHeight w:val="243"/>
        </w:trPr>
        <w:tc>
          <w:tcPr>
            <w:tcW w:w="4319" w:type="dxa"/>
            <w:tcMar>
              <w:top w:w="100" w:type="dxa"/>
              <w:left w:w="100" w:type="dxa"/>
              <w:bottom w:w="100" w:type="dxa"/>
              <w:right w:w="100" w:type="dxa"/>
            </w:tcMar>
          </w:tcPr>
          <w:p w14:paraId="019ED6BF" w14:textId="77777777" w:rsidR="00A1792F" w:rsidRPr="00CF2B42" w:rsidRDefault="00A1792F">
            <w:pPr>
              <w:pStyle w:val="normal0"/>
              <w:contextualSpacing w:val="0"/>
              <w:rPr>
                <w:lang w:val="es-ES_tradnl"/>
              </w:rPr>
            </w:pPr>
          </w:p>
        </w:tc>
        <w:tc>
          <w:tcPr>
            <w:tcW w:w="1079" w:type="dxa"/>
            <w:tcMar>
              <w:top w:w="100" w:type="dxa"/>
              <w:left w:w="100" w:type="dxa"/>
              <w:bottom w:w="100" w:type="dxa"/>
              <w:right w:w="100" w:type="dxa"/>
            </w:tcMar>
          </w:tcPr>
          <w:p w14:paraId="45A101CD" w14:textId="77777777" w:rsidR="00A1792F" w:rsidRPr="00CF2B42" w:rsidRDefault="001C2459">
            <w:pPr>
              <w:pStyle w:val="normal0"/>
              <w:ind w:left="0"/>
              <w:contextualSpacing w:val="0"/>
              <w:rPr>
                <w:lang w:val="es-ES_tradnl"/>
              </w:rPr>
            </w:pPr>
            <w:r w:rsidRPr="00CF2B42">
              <w:rPr>
                <w:lang w:val="es-ES_tradnl"/>
              </w:rPr>
              <w:t>Marco D2</w:t>
            </w:r>
          </w:p>
        </w:tc>
        <w:tc>
          <w:tcPr>
            <w:tcW w:w="9641" w:type="dxa"/>
            <w:tcMar>
              <w:top w:w="100" w:type="dxa"/>
              <w:left w:w="100" w:type="dxa"/>
              <w:bottom w:w="100" w:type="dxa"/>
              <w:right w:w="100" w:type="dxa"/>
            </w:tcMar>
          </w:tcPr>
          <w:p w14:paraId="4CCEF9F4" w14:textId="77777777" w:rsidR="00A1792F" w:rsidRPr="00CF2B42" w:rsidRDefault="001C2459">
            <w:pPr>
              <w:pStyle w:val="normal0"/>
              <w:contextualSpacing w:val="0"/>
              <w:rPr>
                <w:lang w:val="es-ES_tradnl"/>
              </w:rPr>
            </w:pPr>
            <w:r w:rsidRPr="00CF2B42">
              <w:rPr>
                <w:lang w:val="es-ES_tradnl"/>
              </w:rPr>
              <w:t>No se ha recibido respuesta tras el envío de recordatorio(s)</w:t>
            </w:r>
          </w:p>
        </w:tc>
      </w:tr>
      <w:tr w:rsidR="00031263" w:rsidRPr="00CF2B42" w14:paraId="07E8163E" w14:textId="77777777" w:rsidTr="00DA3AF9">
        <w:trPr>
          <w:trHeight w:val="243"/>
        </w:trPr>
        <w:tc>
          <w:tcPr>
            <w:tcW w:w="4319" w:type="dxa"/>
            <w:shd w:val="clear" w:color="auto" w:fill="B7B7B7"/>
            <w:tcMar>
              <w:top w:w="100" w:type="dxa"/>
              <w:left w:w="100" w:type="dxa"/>
              <w:bottom w:w="100" w:type="dxa"/>
              <w:right w:w="100" w:type="dxa"/>
            </w:tcMar>
          </w:tcPr>
          <w:p w14:paraId="34730B60" w14:textId="77777777" w:rsidR="00A1792F" w:rsidRPr="00CF2B42" w:rsidRDefault="001C2459">
            <w:pPr>
              <w:pStyle w:val="normal0"/>
              <w:contextualSpacing w:val="0"/>
              <w:rPr>
                <w:lang w:val="es-ES_tradnl"/>
              </w:rPr>
            </w:pPr>
            <w:r w:rsidRPr="00CF2B42">
              <w:rPr>
                <w:lang w:val="es-ES_tradnl"/>
              </w:rPr>
              <w:t>Las medidas adoptadas son contrarias a las recomendaciones del Comité</w:t>
            </w:r>
          </w:p>
        </w:tc>
        <w:tc>
          <w:tcPr>
            <w:tcW w:w="1079" w:type="dxa"/>
            <w:shd w:val="clear" w:color="auto" w:fill="B7B7B7"/>
            <w:tcMar>
              <w:top w:w="100" w:type="dxa"/>
              <w:left w:w="100" w:type="dxa"/>
              <w:bottom w:w="100" w:type="dxa"/>
              <w:right w:w="100" w:type="dxa"/>
            </w:tcMar>
          </w:tcPr>
          <w:p w14:paraId="3C882E3A" w14:textId="77777777" w:rsidR="00A1792F" w:rsidRPr="00CF2B42" w:rsidRDefault="001C2459">
            <w:pPr>
              <w:pStyle w:val="normal0"/>
              <w:ind w:left="0"/>
              <w:contextualSpacing w:val="0"/>
              <w:rPr>
                <w:lang w:val="es-ES_tradnl"/>
              </w:rPr>
            </w:pPr>
            <w:r w:rsidRPr="00CF2B42">
              <w:rPr>
                <w:lang w:val="es-ES_tradnl"/>
              </w:rPr>
              <w:t>Marco E</w:t>
            </w:r>
          </w:p>
        </w:tc>
        <w:tc>
          <w:tcPr>
            <w:tcW w:w="9641" w:type="dxa"/>
            <w:shd w:val="clear" w:color="auto" w:fill="B7B7B7"/>
            <w:tcMar>
              <w:top w:w="100" w:type="dxa"/>
              <w:left w:w="100" w:type="dxa"/>
              <w:bottom w:w="100" w:type="dxa"/>
              <w:right w:w="100" w:type="dxa"/>
            </w:tcMar>
          </w:tcPr>
          <w:p w14:paraId="4F62446E" w14:textId="77777777" w:rsidR="00A1792F" w:rsidRPr="00CF2B42" w:rsidRDefault="001C2459">
            <w:pPr>
              <w:pStyle w:val="normal0"/>
              <w:contextualSpacing w:val="0"/>
              <w:rPr>
                <w:lang w:val="es-ES_tradnl"/>
              </w:rPr>
            </w:pPr>
            <w:r w:rsidRPr="00CF2B42">
              <w:rPr>
                <w:lang w:val="es-ES_tradnl"/>
              </w:rPr>
              <w:t>La respuesta indica que las medidas adoptadas van en contra de las recomendaciones del Comité</w:t>
            </w:r>
          </w:p>
        </w:tc>
      </w:tr>
    </w:tbl>
    <w:p w14:paraId="6DA9F9AD" w14:textId="77777777" w:rsidR="00A1792F" w:rsidRPr="00CF2B42" w:rsidRDefault="00A1792F">
      <w:pPr>
        <w:pStyle w:val="normal0"/>
        <w:ind w:left="0" w:right="-3479"/>
        <w:contextualSpacing w:val="0"/>
        <w:rPr>
          <w:lang w:val="es-ES_tradnl"/>
        </w:rPr>
      </w:pPr>
    </w:p>
    <w:p w14:paraId="2CDC41AF" w14:textId="77777777" w:rsidR="00A1792F" w:rsidRPr="00CF2B42" w:rsidRDefault="001C2459" w:rsidP="001C2459">
      <w:pPr>
        <w:pStyle w:val="normal0"/>
        <w:ind w:left="0"/>
        <w:contextualSpacing w:val="0"/>
        <w:jc w:val="both"/>
        <w:rPr>
          <w:lang w:val="es-ES_tradnl"/>
        </w:rPr>
      </w:pPr>
      <w:r w:rsidRPr="00CF2B42">
        <w:rPr>
          <w:lang w:val="es-ES_tradnl"/>
        </w:rPr>
        <w:t>§7. Aunque toma nota de las explicaciones ofrecidas por la delegación sobre el proceso de establecimiento de la Institución Nacional de Derechos Humanos y Defensoría del Pueblo (INDDHH), el Comité sigue preocupado por el hecho de que este organismo se halle subordinado administrativamente a la Comisión Administrativa del Poder Legislativo. Preocupa también al Comité que la INDDHH no disponga de recursos propios suficientes para la plena ejecución de su mandato, que incluye funciones adicionales como mecanismo nacional de prevención de la tortura (art. 2).</w:t>
      </w:r>
    </w:p>
    <w:p w14:paraId="18D09657" w14:textId="77777777" w:rsidR="00A1792F" w:rsidRPr="00CF2B42" w:rsidRDefault="00A1792F">
      <w:pPr>
        <w:pStyle w:val="normal0"/>
        <w:contextualSpacing w:val="0"/>
        <w:rPr>
          <w:lang w:val="es-ES_tradnl"/>
        </w:rPr>
      </w:pPr>
    </w:p>
    <w:p w14:paraId="15245130" w14:textId="77777777" w:rsidR="00A1792F" w:rsidRPr="00CF2B42" w:rsidRDefault="00A1792F">
      <w:pPr>
        <w:pStyle w:val="normal0"/>
        <w:contextualSpacing w:val="0"/>
        <w:rPr>
          <w:lang w:val="es-ES_tradnl"/>
        </w:rPr>
      </w:pPr>
    </w:p>
    <w:tbl>
      <w:tblPr>
        <w:tblStyle w:val="a1"/>
        <w:tblW w:w="15111" w:type="dxa"/>
        <w:tblInd w:w="1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3062"/>
        <w:gridCol w:w="1276"/>
        <w:gridCol w:w="7087"/>
        <w:gridCol w:w="3686"/>
      </w:tblGrid>
      <w:tr w:rsidR="001C2459" w:rsidRPr="00CF2B42" w14:paraId="76672CD8" w14:textId="77777777" w:rsidTr="00A128CE">
        <w:tc>
          <w:tcPr>
            <w:tcW w:w="3062" w:type="dxa"/>
            <w:tcBorders>
              <w:bottom w:val="single" w:sz="8" w:space="0" w:color="F3F3F3"/>
            </w:tcBorders>
            <w:shd w:val="clear" w:color="auto" w:fill="3C78D8"/>
            <w:tcMar>
              <w:top w:w="100" w:type="dxa"/>
              <w:left w:w="100" w:type="dxa"/>
              <w:bottom w:w="100" w:type="dxa"/>
              <w:right w:w="100" w:type="dxa"/>
            </w:tcMar>
          </w:tcPr>
          <w:p w14:paraId="2D4B6027" w14:textId="77777777" w:rsidR="001C2459" w:rsidRPr="00CF2B42" w:rsidRDefault="001C2459">
            <w:pPr>
              <w:pStyle w:val="normal0"/>
              <w:ind w:left="0"/>
              <w:contextualSpacing w:val="0"/>
              <w:rPr>
                <w:lang w:val="es-ES_tradnl"/>
              </w:rPr>
            </w:pPr>
            <w:r w:rsidRPr="00CF2B42">
              <w:rPr>
                <w:color w:val="FFFFFF"/>
                <w:lang w:val="es-ES_tradnl"/>
              </w:rPr>
              <w:t>Recomendación 7</w:t>
            </w:r>
          </w:p>
        </w:tc>
        <w:tc>
          <w:tcPr>
            <w:tcW w:w="1276" w:type="dxa"/>
            <w:tcBorders>
              <w:bottom w:val="single" w:sz="8" w:space="0" w:color="F3F3F3"/>
            </w:tcBorders>
            <w:shd w:val="clear" w:color="auto" w:fill="3C78D8"/>
          </w:tcPr>
          <w:p w14:paraId="3FB4771C" w14:textId="77777777" w:rsidR="001C2459" w:rsidRPr="00CF2B42" w:rsidRDefault="001C2459">
            <w:pPr>
              <w:pStyle w:val="normal0"/>
              <w:ind w:left="0"/>
              <w:contextualSpacing w:val="0"/>
              <w:rPr>
                <w:color w:val="FFFFFF"/>
                <w:lang w:val="es-ES_tradnl"/>
              </w:rPr>
            </w:pPr>
            <w:r w:rsidRPr="00CF2B42">
              <w:rPr>
                <w:color w:val="FFFFFF"/>
                <w:lang w:val="es-ES_tradnl"/>
              </w:rPr>
              <w:t>Calificación</w:t>
            </w:r>
          </w:p>
        </w:tc>
        <w:tc>
          <w:tcPr>
            <w:tcW w:w="7087" w:type="dxa"/>
            <w:tcBorders>
              <w:bottom w:val="single" w:sz="8" w:space="0" w:color="F3F3F3"/>
            </w:tcBorders>
            <w:shd w:val="clear" w:color="auto" w:fill="3C78D8"/>
            <w:tcMar>
              <w:top w:w="100" w:type="dxa"/>
              <w:left w:w="100" w:type="dxa"/>
              <w:bottom w:w="100" w:type="dxa"/>
              <w:right w:w="100" w:type="dxa"/>
            </w:tcMar>
          </w:tcPr>
          <w:p w14:paraId="094A36D4" w14:textId="77777777" w:rsidR="001C2459" w:rsidRPr="00CF2B42" w:rsidRDefault="001C2459">
            <w:pPr>
              <w:pStyle w:val="normal0"/>
              <w:ind w:left="0"/>
              <w:contextualSpacing w:val="0"/>
              <w:rPr>
                <w:lang w:val="es-ES_tradnl"/>
              </w:rPr>
            </w:pPr>
            <w:r w:rsidRPr="00CF2B42">
              <w:rPr>
                <w:color w:val="FFFFFF"/>
                <w:lang w:val="es-ES_tradnl"/>
              </w:rPr>
              <w:t>Respuesta</w:t>
            </w:r>
            <w:r w:rsidRPr="00CF2B42">
              <w:rPr>
                <w:lang w:val="es-ES_tradnl"/>
              </w:rPr>
              <w:t xml:space="preserve"> </w:t>
            </w:r>
            <w:r w:rsidRPr="00CF2B42">
              <w:rPr>
                <w:color w:val="FFFFFF"/>
                <w:lang w:val="es-ES_tradnl"/>
              </w:rPr>
              <w:t>del</w:t>
            </w:r>
            <w:r w:rsidRPr="00CF2B42">
              <w:rPr>
                <w:lang w:val="es-ES_tradnl"/>
              </w:rPr>
              <w:t xml:space="preserve"> </w:t>
            </w:r>
            <w:r w:rsidRPr="00CF2B42">
              <w:rPr>
                <w:color w:val="FFFFFF"/>
                <w:lang w:val="es-ES_tradnl"/>
              </w:rPr>
              <w:t>Estado</w:t>
            </w:r>
          </w:p>
        </w:tc>
        <w:tc>
          <w:tcPr>
            <w:tcW w:w="3686" w:type="dxa"/>
            <w:tcBorders>
              <w:bottom w:val="single" w:sz="8" w:space="0" w:color="F3F3F3"/>
            </w:tcBorders>
            <w:shd w:val="clear" w:color="auto" w:fill="3C78D8"/>
            <w:tcMar>
              <w:top w:w="100" w:type="dxa"/>
              <w:left w:w="100" w:type="dxa"/>
              <w:bottom w:w="100" w:type="dxa"/>
              <w:right w:w="100" w:type="dxa"/>
            </w:tcMar>
          </w:tcPr>
          <w:p w14:paraId="7F262BB1" w14:textId="77777777" w:rsidR="001C2459" w:rsidRPr="00CF2B42" w:rsidRDefault="001C2459">
            <w:pPr>
              <w:pStyle w:val="normal0"/>
              <w:ind w:left="0"/>
              <w:contextualSpacing w:val="0"/>
              <w:rPr>
                <w:lang w:val="es-ES_tradnl"/>
              </w:rPr>
            </w:pPr>
            <w:r w:rsidRPr="00CF2B42">
              <w:rPr>
                <w:color w:val="FFFFFF"/>
                <w:lang w:val="es-ES_tradnl"/>
              </w:rPr>
              <w:t>Comentarios de la sociedad civil</w:t>
            </w:r>
          </w:p>
        </w:tc>
      </w:tr>
      <w:tr w:rsidR="001C2459" w:rsidRPr="00CF2B42" w14:paraId="7781DAB9" w14:textId="77777777" w:rsidTr="00A128CE">
        <w:tc>
          <w:tcPr>
            <w:tcW w:w="3062" w:type="dxa"/>
            <w:tcBorders>
              <w:top w:val="single" w:sz="8" w:space="0" w:color="F3F3F3"/>
              <w:left w:val="single" w:sz="8" w:space="0" w:color="F3F3F3"/>
              <w:bottom w:val="single" w:sz="8" w:space="0" w:color="F3F3F3"/>
              <w:right w:val="single" w:sz="8" w:space="0" w:color="F3F3F3"/>
            </w:tcBorders>
            <w:shd w:val="clear" w:color="auto" w:fill="EFEFEF"/>
            <w:tcMar>
              <w:top w:w="100" w:type="dxa"/>
              <w:left w:w="100" w:type="dxa"/>
              <w:bottom w:w="100" w:type="dxa"/>
              <w:right w:w="100" w:type="dxa"/>
            </w:tcMar>
          </w:tcPr>
          <w:p w14:paraId="6F304AEF" w14:textId="77777777" w:rsidR="001C2459" w:rsidRPr="00CF2B42" w:rsidRDefault="001C2459" w:rsidP="001C2459">
            <w:pPr>
              <w:pStyle w:val="normal0"/>
              <w:ind w:left="0"/>
              <w:contextualSpacing w:val="0"/>
              <w:jc w:val="both"/>
              <w:rPr>
                <w:lang w:val="es-ES_tradnl"/>
              </w:rPr>
            </w:pPr>
            <w:r w:rsidRPr="00CF2B42">
              <w:rPr>
                <w:lang w:val="es-ES_tradnl"/>
              </w:rPr>
              <w:t xml:space="preserve">El Estado parte debe garantizar que la INDDHH cuente con los recursos financieros, humanos y materiales necesarios para el desempeño de su labor con plena independencia y eficacia, de conformidad con los Principios de París. </w:t>
            </w:r>
          </w:p>
        </w:tc>
        <w:tc>
          <w:tcPr>
            <w:tcW w:w="1276" w:type="dxa"/>
            <w:tcBorders>
              <w:top w:val="single" w:sz="8" w:space="0" w:color="F3F3F3"/>
              <w:left w:val="single" w:sz="8" w:space="0" w:color="F3F3F3"/>
              <w:bottom w:val="single" w:sz="8" w:space="0" w:color="F3F3F3"/>
              <w:right w:val="single" w:sz="8" w:space="0" w:color="F3F3F3"/>
            </w:tcBorders>
            <w:shd w:val="clear" w:color="auto" w:fill="EFEFEF"/>
          </w:tcPr>
          <w:p w14:paraId="2AB7A564" w14:textId="77777777" w:rsidR="001C2459" w:rsidRPr="00CF2B42" w:rsidRDefault="003D087E">
            <w:pPr>
              <w:pStyle w:val="normal0"/>
              <w:ind w:left="0"/>
              <w:contextualSpacing w:val="0"/>
              <w:rPr>
                <w:lang w:val="es-ES_tradnl"/>
              </w:rPr>
            </w:pPr>
            <w:r w:rsidRPr="00CF2B42">
              <w:rPr>
                <w:lang w:val="es-ES_tradnl"/>
              </w:rPr>
              <w:t>B2</w:t>
            </w:r>
          </w:p>
        </w:tc>
        <w:tc>
          <w:tcPr>
            <w:tcW w:w="7087" w:type="dxa"/>
            <w:tcBorders>
              <w:top w:val="single" w:sz="8" w:space="0" w:color="F3F3F3"/>
              <w:left w:val="single" w:sz="8" w:space="0" w:color="F3F3F3"/>
              <w:bottom w:val="single" w:sz="8" w:space="0" w:color="F3F3F3"/>
              <w:right w:val="single" w:sz="8" w:space="0" w:color="F3F3F3"/>
            </w:tcBorders>
            <w:shd w:val="clear" w:color="auto" w:fill="EFEFEF"/>
            <w:tcMar>
              <w:top w:w="100" w:type="dxa"/>
              <w:left w:w="100" w:type="dxa"/>
              <w:bottom w:w="100" w:type="dxa"/>
              <w:right w:w="100" w:type="dxa"/>
            </w:tcMar>
          </w:tcPr>
          <w:p w14:paraId="6250BCD3" w14:textId="77777777" w:rsidR="001C2459" w:rsidRPr="00CF2B42" w:rsidRDefault="001C2459" w:rsidP="001C2459">
            <w:pPr>
              <w:pStyle w:val="normal0"/>
              <w:jc w:val="both"/>
              <w:rPr>
                <w:lang w:val="es-ES_tradnl"/>
              </w:rPr>
            </w:pPr>
            <w:r w:rsidRPr="00CF2B42">
              <w:rPr>
                <w:lang w:val="es-ES_tradnl"/>
              </w:rPr>
              <w:t>El presupuesto anual de funcionamiento solicitado por la INDDHH al momento de su creación fue aprobado sin modificaciones. Posteriormente, en los años 2012 y 2013, a través del procedimiento por el cual el Poder Legislativo aprueba las modificaciones presupuestales necesarias, se otorgaron recursos adicionales para el funcionamiento de la INDDHH, así como las partidas presupuestales correspondientes para cubrir los cargos creados por el artículo 81 de la Ley Nº 18.446 e incorporados en la Resolución de julio de 2013, según las propuestas formulada por la propia INDDHH.</w:t>
            </w:r>
          </w:p>
          <w:p w14:paraId="4E68E024" w14:textId="77777777" w:rsidR="001C2459" w:rsidRPr="00CF2B42" w:rsidRDefault="001C2459" w:rsidP="001C2459">
            <w:pPr>
              <w:pStyle w:val="normal0"/>
              <w:jc w:val="both"/>
              <w:rPr>
                <w:lang w:val="es-ES_tradnl"/>
              </w:rPr>
            </w:pPr>
            <w:r w:rsidRPr="00CF2B42">
              <w:rPr>
                <w:lang w:val="es-ES_tradnl"/>
              </w:rPr>
              <w:t>Siendo el presente año (2014) año electoral, no pueden incrementarse las partidas de contrataciones ni crearse cargos (artículo 229 de la Constitución de la República). La INDDHH (al igual que todos los organismos que son solventados con dinero del Estado) podrá solicitar un incremento de su presupuesto anual en el año 2015, cuando sea aprobada una nueva Ley de Presupuesto nacional para el período 2015-2020.</w:t>
            </w:r>
          </w:p>
          <w:p w14:paraId="286B97BA" w14:textId="77777777" w:rsidR="001C2459" w:rsidRPr="00CF2B42" w:rsidRDefault="001C2459" w:rsidP="001C2459">
            <w:pPr>
              <w:pStyle w:val="normal0"/>
              <w:ind w:left="0"/>
              <w:contextualSpacing w:val="0"/>
              <w:jc w:val="both"/>
              <w:rPr>
                <w:lang w:val="es-ES_tradnl"/>
              </w:rPr>
            </w:pPr>
          </w:p>
        </w:tc>
        <w:tc>
          <w:tcPr>
            <w:tcW w:w="3686" w:type="dxa"/>
            <w:tcBorders>
              <w:top w:val="single" w:sz="8" w:space="0" w:color="F3F3F3"/>
              <w:left w:val="single" w:sz="8" w:space="0" w:color="F3F3F3"/>
              <w:bottom w:val="single" w:sz="8" w:space="0" w:color="F3F3F3"/>
              <w:right w:val="single" w:sz="8" w:space="0" w:color="F3F3F3"/>
            </w:tcBorders>
            <w:shd w:val="clear" w:color="auto" w:fill="EFEFEF"/>
            <w:tcMar>
              <w:top w:w="100" w:type="dxa"/>
              <w:left w:w="100" w:type="dxa"/>
              <w:bottom w:w="100" w:type="dxa"/>
              <w:right w:w="100" w:type="dxa"/>
            </w:tcMar>
          </w:tcPr>
          <w:p w14:paraId="42A87B75" w14:textId="77777777" w:rsidR="003D087E" w:rsidRPr="00CF2B42" w:rsidRDefault="003D087E" w:rsidP="003D087E">
            <w:pPr>
              <w:pStyle w:val="normal0"/>
              <w:jc w:val="both"/>
              <w:rPr>
                <w:iCs/>
                <w:lang w:val="es-ES_tradnl"/>
              </w:rPr>
            </w:pPr>
            <w:r w:rsidRPr="00CF2B42">
              <w:rPr>
                <w:iCs/>
                <w:lang w:val="es-ES_tradnl"/>
              </w:rPr>
              <w:t>Si bien la INDDHH y Defensoría del Pueblo se ha constituido y cuenta con un presupuesto propio,  preocupa su ubicación institucional: si bien el marco legal proclama a la INDDHH como un órgano independiente, la solución normativa sobre su ubicación institucional no lo convierte un órgano autárquico en tanto que se encuentra ubicado en la orbita de la comisión administrativa del poder legislativo, lo que lo hace depender en términos económicos fundamentalmente del legislativo.</w:t>
            </w:r>
          </w:p>
          <w:p w14:paraId="54951CE2" w14:textId="77777777" w:rsidR="001C2459" w:rsidRPr="00CF2B42" w:rsidRDefault="001C2459">
            <w:pPr>
              <w:pStyle w:val="normal0"/>
              <w:ind w:left="0"/>
              <w:contextualSpacing w:val="0"/>
              <w:rPr>
                <w:lang w:val="es-ES_tradnl"/>
              </w:rPr>
            </w:pPr>
          </w:p>
        </w:tc>
      </w:tr>
      <w:tr w:rsidR="001C2459" w:rsidRPr="00CF2B42" w14:paraId="0D10ADBB" w14:textId="77777777" w:rsidTr="00A128CE">
        <w:tc>
          <w:tcPr>
            <w:tcW w:w="3062" w:type="dxa"/>
            <w:tcBorders>
              <w:top w:val="single" w:sz="8" w:space="0" w:color="F3F3F3"/>
              <w:left w:val="single" w:sz="8" w:space="0" w:color="F3F3F3"/>
              <w:bottom w:val="single" w:sz="8" w:space="0" w:color="F3F3F3"/>
              <w:right w:val="single" w:sz="8" w:space="0" w:color="F3F3F3"/>
            </w:tcBorders>
            <w:shd w:val="clear" w:color="auto" w:fill="FFFFFF"/>
            <w:tcMar>
              <w:top w:w="100" w:type="dxa"/>
              <w:left w:w="100" w:type="dxa"/>
              <w:bottom w:w="100" w:type="dxa"/>
              <w:right w:w="100" w:type="dxa"/>
            </w:tcMar>
          </w:tcPr>
          <w:p w14:paraId="4BB0D621" w14:textId="77777777" w:rsidR="001C2459" w:rsidRPr="00CF2B42" w:rsidRDefault="001C2459" w:rsidP="001C2459">
            <w:pPr>
              <w:pStyle w:val="normal0"/>
              <w:ind w:left="0"/>
              <w:contextualSpacing w:val="0"/>
              <w:jc w:val="both"/>
              <w:rPr>
                <w:lang w:val="es-ES_tradnl"/>
              </w:rPr>
            </w:pPr>
            <w:r w:rsidRPr="00CF2B42">
              <w:rPr>
                <w:lang w:val="es-ES_tradnl"/>
              </w:rPr>
              <w:t xml:space="preserve">Debe también adoptar las medidas necesarias para apoyar la función de la INDDHH como mecanismo nacional de prevención de la tortura, garantizando que sus recomendaciones se apliquen plenamente. El Estado parte debe instar a la INDDHH a que solicite su acreditación por el Comité Internacional de </w:t>
            </w:r>
            <w:r w:rsidRPr="00CF2B42">
              <w:rPr>
                <w:lang w:val="es-ES_tradnl"/>
              </w:rPr>
              <w:lastRenderedPageBreak/>
              <w:t>Coordinación de las Instituciones Nacionales para la Promoción y la Protección de los Derechos Humanos.</w:t>
            </w:r>
          </w:p>
        </w:tc>
        <w:tc>
          <w:tcPr>
            <w:tcW w:w="1276" w:type="dxa"/>
            <w:tcBorders>
              <w:top w:val="single" w:sz="8" w:space="0" w:color="F3F3F3"/>
              <w:left w:val="single" w:sz="8" w:space="0" w:color="F3F3F3"/>
              <w:bottom w:val="single" w:sz="8" w:space="0" w:color="F3F3F3"/>
              <w:right w:val="single" w:sz="8" w:space="0" w:color="F3F3F3"/>
            </w:tcBorders>
            <w:shd w:val="clear" w:color="auto" w:fill="FFFFFF"/>
          </w:tcPr>
          <w:p w14:paraId="5A13919E" w14:textId="77777777" w:rsidR="001C2459" w:rsidRPr="00CF2B42" w:rsidRDefault="003D087E">
            <w:pPr>
              <w:pStyle w:val="normal0"/>
              <w:ind w:left="0"/>
              <w:contextualSpacing w:val="0"/>
              <w:rPr>
                <w:lang w:val="es-ES_tradnl"/>
              </w:rPr>
            </w:pPr>
            <w:r w:rsidRPr="00CF2B42">
              <w:rPr>
                <w:lang w:val="es-ES_tradnl"/>
              </w:rPr>
              <w:lastRenderedPageBreak/>
              <w:t>B2</w:t>
            </w:r>
          </w:p>
        </w:tc>
        <w:tc>
          <w:tcPr>
            <w:tcW w:w="7087" w:type="dxa"/>
            <w:tcBorders>
              <w:top w:val="single" w:sz="8" w:space="0" w:color="F3F3F3"/>
              <w:left w:val="single" w:sz="8" w:space="0" w:color="F3F3F3"/>
              <w:bottom w:val="single" w:sz="8" w:space="0" w:color="F3F3F3"/>
              <w:right w:val="single" w:sz="8" w:space="0" w:color="F3F3F3"/>
            </w:tcBorders>
            <w:shd w:val="clear" w:color="auto" w:fill="FFFFFF"/>
            <w:tcMar>
              <w:top w:w="100" w:type="dxa"/>
              <w:left w:w="100" w:type="dxa"/>
              <w:bottom w:w="100" w:type="dxa"/>
              <w:right w:w="100" w:type="dxa"/>
            </w:tcMar>
          </w:tcPr>
          <w:p w14:paraId="3BC64E3D" w14:textId="77777777" w:rsidR="001C2459" w:rsidRPr="00CF2B42" w:rsidRDefault="001C2459" w:rsidP="001C2459">
            <w:pPr>
              <w:pStyle w:val="normal0"/>
              <w:jc w:val="both"/>
              <w:rPr>
                <w:lang w:val="es-ES_tradnl"/>
              </w:rPr>
            </w:pPr>
            <w:r w:rsidRPr="00CF2B42">
              <w:rPr>
                <w:lang w:val="es-ES_tradnl"/>
              </w:rPr>
              <w:t>La INDDHH ha avanzado sustancialmente en la implementación del Mecanismo Nacional de Prevención de Tortura (MNPT) conforme con lo previsto por el artículo 83 de la Ley Nº18.446. Con fecha 6 de diciembre de 2013 se suscribió el Protocolo de Actuación para la implementación del MNPT entre la INDDHH y el Ministerio de Relaciones Exteriores, a efectos de precisar los ámbitos de actuación de cada una de las instituciones de forma que la disposición legal vigente implique una violación del principio de independencia que el Protocolo Facultativo a la Convención contra la Tortura y otros Tratos o Penas Crueles Inhumanos o Degradantes establece que debe tener el MNPT.</w:t>
            </w:r>
          </w:p>
          <w:p w14:paraId="41B44CF5" w14:textId="77777777" w:rsidR="001C2459" w:rsidRPr="00CF2B42" w:rsidRDefault="001C2459" w:rsidP="001C2459">
            <w:pPr>
              <w:pStyle w:val="normal0"/>
              <w:jc w:val="both"/>
              <w:rPr>
                <w:lang w:val="es-ES_tradnl"/>
              </w:rPr>
            </w:pPr>
            <w:r w:rsidRPr="00CF2B42">
              <w:rPr>
                <w:lang w:val="es-ES_tradnl"/>
              </w:rPr>
              <w:t xml:space="preserve">En el año 2013 el Consejo Directivo de la INDDHH designó a la Dra. Mirtha </w:t>
            </w:r>
            <w:proofErr w:type="spellStart"/>
            <w:r w:rsidRPr="00CF2B42">
              <w:rPr>
                <w:lang w:val="es-ES_tradnl"/>
              </w:rPr>
              <w:lastRenderedPageBreak/>
              <w:t>Guianze</w:t>
            </w:r>
            <w:proofErr w:type="spellEnd"/>
            <w:r w:rsidRPr="00CF2B42">
              <w:rPr>
                <w:lang w:val="es-ES_tradnl"/>
              </w:rPr>
              <w:t xml:space="preserve"> como encargada del MNPT, y a uno de los integrantes del equipo técnico para la organización y coordinación del trabajo. En la modificación presupuestal aprobada en el mes de octubre de 2013, se previeron fondos y se crearon cargos para dotar al MNPT de por lo menos otros dos funcionarios técnicos.</w:t>
            </w:r>
          </w:p>
          <w:p w14:paraId="3CF921D4" w14:textId="77777777" w:rsidR="001C2459" w:rsidRPr="00CF2B42" w:rsidRDefault="001C2459" w:rsidP="001C2459">
            <w:pPr>
              <w:pStyle w:val="normal0"/>
              <w:jc w:val="both"/>
              <w:rPr>
                <w:lang w:val="es-ES_tradnl"/>
              </w:rPr>
            </w:pPr>
            <w:r w:rsidRPr="00CF2B42">
              <w:rPr>
                <w:lang w:val="es-ES_tradnl"/>
              </w:rPr>
              <w:t>El Consejo Directivo entendió que la implementación del MNP debía ser un proceso adecuado a los recursos humanos y materiales existentes. Para ello, y en base a las denuncias recibidas e informes internacionales existentes, dispuso iniciar el trabajo atendiendo la problemática de los adolescentes que ingresan al sistema de responsabilidad penal juvenil. Esta área además, cierto es que no contaba con un sistema de monitoreo con visitas periódicas, como sí existe en el país desde el año 2005 respecto de las personas adultas,</w:t>
            </w:r>
            <w:r w:rsidRPr="00CF2B42">
              <w:rPr>
                <w:b/>
                <w:bCs/>
                <w:lang w:val="es-ES_tradnl"/>
              </w:rPr>
              <w:t xml:space="preserve"> </w:t>
            </w:r>
            <w:r w:rsidRPr="00CF2B42">
              <w:rPr>
                <w:lang w:val="es-ES_tradnl"/>
              </w:rPr>
              <w:t>como consecuencia de la creación de la figura del Comisionado Parlamentario para el Sistema Penitenciario.</w:t>
            </w:r>
          </w:p>
          <w:p w14:paraId="3C939F27" w14:textId="77777777" w:rsidR="001C2459" w:rsidRPr="00CF2B42" w:rsidRDefault="001C2459" w:rsidP="001C2459">
            <w:pPr>
              <w:pStyle w:val="normal0"/>
              <w:jc w:val="both"/>
              <w:rPr>
                <w:lang w:val="es-ES_tradnl"/>
              </w:rPr>
            </w:pPr>
            <w:r w:rsidRPr="00CF2B42">
              <w:rPr>
                <w:lang w:val="es-ES_tradnl"/>
              </w:rPr>
              <w:t>Al 31 de diciembre de 2013, el MNPT realizó un total de doce visitas a diferentes centros de privación de libertad de adolescentes, como etapa inicial del cronograma periódico previamente diseñado.</w:t>
            </w:r>
            <w:r w:rsidRPr="00CF2B42">
              <w:rPr>
                <w:b/>
                <w:bCs/>
                <w:lang w:val="es-ES_tradnl"/>
              </w:rPr>
              <w:t xml:space="preserve"> </w:t>
            </w:r>
            <w:r w:rsidRPr="00CF2B42">
              <w:rPr>
                <w:lang w:val="es-ES_tradnl"/>
              </w:rPr>
              <w:t>A partir de estas visitas, se elaboraron diez informes que fueron oportunamente presentados ante las autoridades del Instituto Nacional del Niño y Adolescente de Uruguay y del Sistema de Responsabilidad Penal Adolescente, en instancias de diálogo sobre sus contenidos.</w:t>
            </w:r>
          </w:p>
          <w:p w14:paraId="064D6C8B" w14:textId="77777777" w:rsidR="001C2459" w:rsidRPr="00CF2B42" w:rsidRDefault="001C2459" w:rsidP="001C2459">
            <w:pPr>
              <w:pStyle w:val="normal0"/>
              <w:jc w:val="both"/>
              <w:rPr>
                <w:lang w:val="es-ES_tradnl"/>
              </w:rPr>
            </w:pPr>
            <w:r w:rsidRPr="00CF2B42">
              <w:rPr>
                <w:lang w:val="es-ES_tradnl"/>
              </w:rPr>
              <w:t>En tanto la finalidad de la actuación del MNPT es procurar erradicar las situaciones existentes de violación de derechos en el sistema, desde el inicio de sus actividades, procuró establecer un diálogo fluido con las autoridades del Instituto Nacional del Niño y el Adolescente del Uruguay (INAU) y más específicamente con las del Sistema de Responsabilidad Penal Adolescente (SIRPA).</w:t>
            </w:r>
          </w:p>
          <w:p w14:paraId="6349CE03" w14:textId="77777777" w:rsidR="001C2459" w:rsidRPr="00CF2B42" w:rsidRDefault="001C2459">
            <w:pPr>
              <w:pStyle w:val="normal0"/>
              <w:ind w:left="0"/>
              <w:contextualSpacing w:val="0"/>
              <w:rPr>
                <w:lang w:val="es-ES_tradnl"/>
              </w:rPr>
            </w:pPr>
          </w:p>
        </w:tc>
        <w:tc>
          <w:tcPr>
            <w:tcW w:w="3686" w:type="dxa"/>
            <w:tcBorders>
              <w:top w:val="single" w:sz="8" w:space="0" w:color="F3F3F3"/>
              <w:left w:val="single" w:sz="8" w:space="0" w:color="F3F3F3"/>
              <w:bottom w:val="single" w:sz="8" w:space="0" w:color="F3F3F3"/>
              <w:right w:val="single" w:sz="8" w:space="0" w:color="F3F3F3"/>
            </w:tcBorders>
            <w:shd w:val="clear" w:color="auto" w:fill="FFFFFF"/>
            <w:tcMar>
              <w:top w:w="100" w:type="dxa"/>
              <w:left w:w="100" w:type="dxa"/>
              <w:bottom w:w="100" w:type="dxa"/>
              <w:right w:w="100" w:type="dxa"/>
            </w:tcMar>
          </w:tcPr>
          <w:p w14:paraId="217127CD" w14:textId="77777777" w:rsidR="001C2459" w:rsidRPr="00CF2B42" w:rsidRDefault="003D087E" w:rsidP="003D087E">
            <w:pPr>
              <w:pStyle w:val="normal0"/>
              <w:jc w:val="both"/>
              <w:rPr>
                <w:lang w:val="es-ES_tradnl"/>
              </w:rPr>
            </w:pPr>
            <w:r w:rsidRPr="00CF2B42">
              <w:rPr>
                <w:lang w:val="es-ES_tradnl"/>
              </w:rPr>
              <w:lastRenderedPageBreak/>
              <w:t xml:space="preserve">Si bien la INDDHH ha comenzado las tareas encargadas legalmente en el marco del Mecanismo Nacional de Prevención de la Tortura y ha realizado centralmente visitas a centros de detención de niños y adolescentes, no ha podido desplegar a cabalidad tal función por no poseer recursos humanos y económicos propios para desarrollar esa tarea. Los únicos recursos con los que cuenta </w:t>
            </w:r>
            <w:r w:rsidRPr="00CF2B42">
              <w:rPr>
                <w:lang w:val="es-ES_tradnl"/>
              </w:rPr>
              <w:lastRenderedPageBreak/>
              <w:t xml:space="preserve">son parte de un convenio entre UNICEF y la INDDHH para inspeccionar los centros en donde se encuentran personas menores de 18 años.   </w:t>
            </w:r>
          </w:p>
        </w:tc>
      </w:tr>
    </w:tbl>
    <w:p w14:paraId="25FA6515" w14:textId="77777777" w:rsidR="00DE64BE" w:rsidRDefault="00DE64BE" w:rsidP="003D087E">
      <w:pPr>
        <w:pStyle w:val="normal0"/>
        <w:ind w:left="0"/>
        <w:contextualSpacing w:val="0"/>
        <w:jc w:val="both"/>
        <w:rPr>
          <w:lang w:val="es-ES_tradnl"/>
        </w:rPr>
      </w:pPr>
    </w:p>
    <w:p w14:paraId="5885EB89" w14:textId="77777777" w:rsidR="00B72B30" w:rsidRDefault="00B72B30" w:rsidP="003D087E">
      <w:pPr>
        <w:pStyle w:val="normal0"/>
        <w:ind w:left="0"/>
        <w:contextualSpacing w:val="0"/>
        <w:jc w:val="both"/>
        <w:rPr>
          <w:lang w:val="es-ES_tradnl"/>
        </w:rPr>
      </w:pPr>
    </w:p>
    <w:p w14:paraId="24A9D7B0" w14:textId="77777777" w:rsidR="00B72B30" w:rsidRDefault="00B72B30" w:rsidP="003D087E">
      <w:pPr>
        <w:pStyle w:val="normal0"/>
        <w:ind w:left="0"/>
        <w:contextualSpacing w:val="0"/>
        <w:jc w:val="both"/>
        <w:rPr>
          <w:lang w:val="es-ES_tradnl"/>
        </w:rPr>
      </w:pPr>
    </w:p>
    <w:p w14:paraId="22C44A83" w14:textId="77777777" w:rsidR="00B72B30" w:rsidRDefault="00B72B30" w:rsidP="003D087E">
      <w:pPr>
        <w:pStyle w:val="normal0"/>
        <w:ind w:left="0"/>
        <w:contextualSpacing w:val="0"/>
        <w:jc w:val="both"/>
        <w:rPr>
          <w:lang w:val="es-ES_tradnl"/>
        </w:rPr>
      </w:pPr>
    </w:p>
    <w:p w14:paraId="5F6B59AE" w14:textId="77777777" w:rsidR="00B72B30" w:rsidRDefault="00B72B30" w:rsidP="003D087E">
      <w:pPr>
        <w:pStyle w:val="normal0"/>
        <w:ind w:left="0"/>
        <w:contextualSpacing w:val="0"/>
        <w:jc w:val="both"/>
        <w:rPr>
          <w:lang w:val="es-ES_tradnl"/>
        </w:rPr>
      </w:pPr>
    </w:p>
    <w:p w14:paraId="0333D16F" w14:textId="77777777" w:rsidR="00DA3AF9" w:rsidRDefault="00DA3AF9" w:rsidP="003D087E">
      <w:pPr>
        <w:pStyle w:val="normal0"/>
        <w:ind w:left="0"/>
        <w:contextualSpacing w:val="0"/>
        <w:jc w:val="both"/>
        <w:rPr>
          <w:lang w:val="es-ES_tradnl"/>
        </w:rPr>
      </w:pPr>
    </w:p>
    <w:p w14:paraId="75F6359C" w14:textId="77777777" w:rsidR="00DA3AF9" w:rsidRDefault="00DA3AF9" w:rsidP="003D087E">
      <w:pPr>
        <w:pStyle w:val="normal0"/>
        <w:ind w:left="0"/>
        <w:contextualSpacing w:val="0"/>
        <w:jc w:val="both"/>
        <w:rPr>
          <w:lang w:val="es-ES_tradnl"/>
        </w:rPr>
      </w:pPr>
    </w:p>
    <w:p w14:paraId="01739AEA" w14:textId="77777777" w:rsidR="00DA3AF9" w:rsidRPr="00CF2B42" w:rsidRDefault="00DA3AF9" w:rsidP="003D087E">
      <w:pPr>
        <w:pStyle w:val="normal0"/>
        <w:ind w:left="0"/>
        <w:contextualSpacing w:val="0"/>
        <w:jc w:val="both"/>
        <w:rPr>
          <w:lang w:val="es-ES_tradnl"/>
        </w:rPr>
      </w:pPr>
      <w:bookmarkStart w:id="2" w:name="_GoBack"/>
      <w:bookmarkEnd w:id="2"/>
    </w:p>
    <w:p w14:paraId="1204A4B5" w14:textId="77777777" w:rsidR="00DE64BE" w:rsidRPr="00CF2B42" w:rsidRDefault="00DE64BE" w:rsidP="003D087E">
      <w:pPr>
        <w:pStyle w:val="normal0"/>
        <w:ind w:left="0"/>
        <w:contextualSpacing w:val="0"/>
        <w:jc w:val="both"/>
        <w:rPr>
          <w:lang w:val="es-ES_tradnl"/>
        </w:rPr>
      </w:pPr>
    </w:p>
    <w:p w14:paraId="572F7192" w14:textId="77777777" w:rsidR="00A1792F" w:rsidRPr="00CF2B42" w:rsidRDefault="001C2459" w:rsidP="003D087E">
      <w:pPr>
        <w:pStyle w:val="normal0"/>
        <w:ind w:left="0"/>
        <w:contextualSpacing w:val="0"/>
        <w:jc w:val="both"/>
        <w:rPr>
          <w:lang w:val="es-ES_tradnl"/>
        </w:rPr>
      </w:pPr>
      <w:r w:rsidRPr="00CF2B42">
        <w:rPr>
          <w:lang w:val="es-ES_tradnl"/>
        </w:rPr>
        <w:lastRenderedPageBreak/>
        <w:t>§8. Si bien agradece la información proporcionada por la delegación sobre el estado del  proyecto de reforma del Código de Proceso Penal, el Comité lamenta que el Estado parte no haya dado aún seguimiento a sus anteriores observaciones finales (A/53/40, párr. 242) con relación a la detención preventiva, y que en muchos casos la libertad bajo fianza u otras alternativas a la privación de libertad no sean posibles en la ley o en la práctica (art. 9).</w:t>
      </w:r>
    </w:p>
    <w:p w14:paraId="5224C242" w14:textId="77777777" w:rsidR="00A1792F" w:rsidRPr="00CF2B42" w:rsidRDefault="00A1792F">
      <w:pPr>
        <w:pStyle w:val="normal0"/>
        <w:contextualSpacing w:val="0"/>
        <w:rPr>
          <w:lang w:val="es-ES_tradnl"/>
        </w:rPr>
      </w:pPr>
    </w:p>
    <w:tbl>
      <w:tblPr>
        <w:tblStyle w:val="a2"/>
        <w:tblW w:w="15253" w:type="dxa"/>
        <w:tblInd w:w="1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2637"/>
        <w:gridCol w:w="1134"/>
        <w:gridCol w:w="5103"/>
        <w:gridCol w:w="6379"/>
      </w:tblGrid>
      <w:tr w:rsidR="003D087E" w:rsidRPr="00CF2B42" w14:paraId="322AA253" w14:textId="77777777" w:rsidTr="00987A87">
        <w:tc>
          <w:tcPr>
            <w:tcW w:w="2637" w:type="dxa"/>
            <w:tcBorders>
              <w:bottom w:val="single" w:sz="8" w:space="0" w:color="F3F3F3"/>
            </w:tcBorders>
            <w:shd w:val="clear" w:color="auto" w:fill="3C78D8"/>
            <w:tcMar>
              <w:top w:w="100" w:type="dxa"/>
              <w:left w:w="100" w:type="dxa"/>
              <w:bottom w:w="100" w:type="dxa"/>
              <w:right w:w="100" w:type="dxa"/>
            </w:tcMar>
          </w:tcPr>
          <w:p w14:paraId="673D3E1C" w14:textId="77777777" w:rsidR="003D087E" w:rsidRPr="00CF2B42" w:rsidRDefault="003D087E">
            <w:pPr>
              <w:pStyle w:val="normal0"/>
              <w:ind w:left="0"/>
              <w:contextualSpacing w:val="0"/>
              <w:rPr>
                <w:lang w:val="es-ES_tradnl"/>
              </w:rPr>
            </w:pPr>
            <w:r w:rsidRPr="00CF2B42">
              <w:rPr>
                <w:color w:val="FFFFFF"/>
                <w:lang w:val="es-ES_tradnl"/>
              </w:rPr>
              <w:t>Recomendación 8</w:t>
            </w:r>
          </w:p>
        </w:tc>
        <w:tc>
          <w:tcPr>
            <w:tcW w:w="1134" w:type="dxa"/>
            <w:tcBorders>
              <w:bottom w:val="single" w:sz="8" w:space="0" w:color="F3F3F3"/>
            </w:tcBorders>
            <w:shd w:val="clear" w:color="auto" w:fill="3C78D8"/>
          </w:tcPr>
          <w:p w14:paraId="338493BC" w14:textId="77777777" w:rsidR="003D087E" w:rsidRPr="00CF2B42" w:rsidRDefault="003D087E">
            <w:pPr>
              <w:pStyle w:val="normal0"/>
              <w:ind w:left="0"/>
              <w:contextualSpacing w:val="0"/>
              <w:rPr>
                <w:color w:val="FFFFFF"/>
                <w:lang w:val="es-ES_tradnl"/>
              </w:rPr>
            </w:pPr>
            <w:r w:rsidRPr="00CF2B42">
              <w:rPr>
                <w:color w:val="FFFFFF"/>
                <w:lang w:val="es-ES_tradnl"/>
              </w:rPr>
              <w:t>Calificación</w:t>
            </w:r>
          </w:p>
        </w:tc>
        <w:tc>
          <w:tcPr>
            <w:tcW w:w="5103" w:type="dxa"/>
            <w:tcBorders>
              <w:bottom w:val="single" w:sz="8" w:space="0" w:color="F3F3F3"/>
            </w:tcBorders>
            <w:shd w:val="clear" w:color="auto" w:fill="3C78D8"/>
            <w:tcMar>
              <w:top w:w="100" w:type="dxa"/>
              <w:left w:w="100" w:type="dxa"/>
              <w:bottom w:w="100" w:type="dxa"/>
              <w:right w:w="100" w:type="dxa"/>
            </w:tcMar>
          </w:tcPr>
          <w:p w14:paraId="00246BCB" w14:textId="77777777" w:rsidR="003D087E" w:rsidRPr="00CF2B42" w:rsidRDefault="003D087E">
            <w:pPr>
              <w:pStyle w:val="normal0"/>
              <w:ind w:left="0"/>
              <w:contextualSpacing w:val="0"/>
              <w:rPr>
                <w:lang w:val="es-ES_tradnl"/>
              </w:rPr>
            </w:pPr>
            <w:r w:rsidRPr="00CF2B42">
              <w:rPr>
                <w:color w:val="FFFFFF"/>
                <w:lang w:val="es-ES_tradnl"/>
              </w:rPr>
              <w:t>Respuesta</w:t>
            </w:r>
            <w:r w:rsidRPr="00CF2B42">
              <w:rPr>
                <w:lang w:val="es-ES_tradnl"/>
              </w:rPr>
              <w:t xml:space="preserve"> </w:t>
            </w:r>
            <w:r w:rsidRPr="00CF2B42">
              <w:rPr>
                <w:color w:val="FFFFFF"/>
                <w:lang w:val="es-ES_tradnl"/>
              </w:rPr>
              <w:t>del</w:t>
            </w:r>
            <w:r w:rsidRPr="00CF2B42">
              <w:rPr>
                <w:lang w:val="es-ES_tradnl"/>
              </w:rPr>
              <w:t xml:space="preserve"> </w:t>
            </w:r>
            <w:r w:rsidRPr="00CF2B42">
              <w:rPr>
                <w:color w:val="FFFFFF"/>
                <w:lang w:val="es-ES_tradnl"/>
              </w:rPr>
              <w:t>Estado</w:t>
            </w:r>
          </w:p>
        </w:tc>
        <w:tc>
          <w:tcPr>
            <w:tcW w:w="6379" w:type="dxa"/>
            <w:tcBorders>
              <w:bottom w:val="single" w:sz="8" w:space="0" w:color="F3F3F3"/>
            </w:tcBorders>
            <w:shd w:val="clear" w:color="auto" w:fill="3C78D8"/>
            <w:tcMar>
              <w:top w:w="100" w:type="dxa"/>
              <w:left w:w="100" w:type="dxa"/>
              <w:bottom w:w="100" w:type="dxa"/>
              <w:right w:w="100" w:type="dxa"/>
            </w:tcMar>
          </w:tcPr>
          <w:p w14:paraId="1047EBB8" w14:textId="77777777" w:rsidR="003D087E" w:rsidRPr="00CF2B42" w:rsidRDefault="003D087E">
            <w:pPr>
              <w:pStyle w:val="normal0"/>
              <w:ind w:left="0"/>
              <w:contextualSpacing w:val="0"/>
              <w:rPr>
                <w:lang w:val="es-ES_tradnl"/>
              </w:rPr>
            </w:pPr>
            <w:r w:rsidRPr="00CF2B42">
              <w:rPr>
                <w:color w:val="FFFFFF"/>
                <w:lang w:val="es-ES_tradnl"/>
              </w:rPr>
              <w:t>Comentarios de la sociedad civil</w:t>
            </w:r>
          </w:p>
        </w:tc>
      </w:tr>
      <w:tr w:rsidR="003D087E" w:rsidRPr="00CF2B42" w14:paraId="79871891" w14:textId="77777777" w:rsidTr="00987A87">
        <w:tc>
          <w:tcPr>
            <w:tcW w:w="2637" w:type="dxa"/>
            <w:tcBorders>
              <w:top w:val="single" w:sz="8" w:space="0" w:color="F3F3F3"/>
              <w:left w:val="single" w:sz="8" w:space="0" w:color="F3F3F3"/>
              <w:bottom w:val="single" w:sz="8" w:space="0" w:color="F3F3F3"/>
              <w:right w:val="single" w:sz="8" w:space="0" w:color="F3F3F3"/>
            </w:tcBorders>
            <w:shd w:val="clear" w:color="auto" w:fill="EFEFEF"/>
            <w:tcMar>
              <w:top w:w="100" w:type="dxa"/>
              <w:left w:w="100" w:type="dxa"/>
              <w:bottom w:w="100" w:type="dxa"/>
              <w:right w:w="100" w:type="dxa"/>
            </w:tcMar>
          </w:tcPr>
          <w:p w14:paraId="28A22001" w14:textId="77777777" w:rsidR="003D087E" w:rsidRPr="00CF2B42" w:rsidRDefault="003D087E" w:rsidP="003D087E">
            <w:pPr>
              <w:pStyle w:val="normal0"/>
              <w:ind w:left="0"/>
              <w:contextualSpacing w:val="0"/>
              <w:jc w:val="both"/>
              <w:rPr>
                <w:lang w:val="es-ES_tradnl"/>
              </w:rPr>
            </w:pPr>
            <w:r w:rsidRPr="00CF2B42">
              <w:rPr>
                <w:lang w:val="es-ES_tradnl"/>
              </w:rPr>
              <w:t>El Comité insta al Estado parte a culminar la reforma del Código de Proceso Penal teniendo en cuenta sus anteriores observaciones finales en las que se requería la revisión a la luz de las disposiciones del artículo 9 del Pacto los procedimientos de detención y otras restricciones a la libertad personal de los imputados y acusados, teniendo en cuenta en particular el principio de presunción de inocencia.</w:t>
            </w:r>
          </w:p>
        </w:tc>
        <w:tc>
          <w:tcPr>
            <w:tcW w:w="1134" w:type="dxa"/>
            <w:tcBorders>
              <w:top w:val="single" w:sz="8" w:space="0" w:color="F3F3F3"/>
              <w:left w:val="single" w:sz="8" w:space="0" w:color="F3F3F3"/>
              <w:bottom w:val="single" w:sz="8" w:space="0" w:color="F3F3F3"/>
              <w:right w:val="single" w:sz="8" w:space="0" w:color="F3F3F3"/>
            </w:tcBorders>
            <w:shd w:val="clear" w:color="auto" w:fill="EFEFEF"/>
          </w:tcPr>
          <w:p w14:paraId="6EB287D9" w14:textId="77777777" w:rsidR="003D087E" w:rsidRPr="00CF2B42" w:rsidRDefault="00987A87">
            <w:pPr>
              <w:pStyle w:val="normal0"/>
              <w:ind w:left="0"/>
              <w:contextualSpacing w:val="0"/>
              <w:rPr>
                <w:lang w:val="es-ES_tradnl"/>
              </w:rPr>
            </w:pPr>
            <w:r w:rsidRPr="00CF2B42">
              <w:rPr>
                <w:lang w:val="es-ES_tradnl"/>
              </w:rPr>
              <w:t>C1</w:t>
            </w:r>
          </w:p>
        </w:tc>
        <w:tc>
          <w:tcPr>
            <w:tcW w:w="5103" w:type="dxa"/>
            <w:tcBorders>
              <w:top w:val="single" w:sz="8" w:space="0" w:color="F3F3F3"/>
              <w:left w:val="single" w:sz="8" w:space="0" w:color="F3F3F3"/>
              <w:bottom w:val="single" w:sz="8" w:space="0" w:color="F3F3F3"/>
              <w:right w:val="single" w:sz="8" w:space="0" w:color="F3F3F3"/>
            </w:tcBorders>
            <w:shd w:val="clear" w:color="auto" w:fill="EFEFEF"/>
            <w:tcMar>
              <w:top w:w="100" w:type="dxa"/>
              <w:left w:w="100" w:type="dxa"/>
              <w:bottom w:w="100" w:type="dxa"/>
              <w:right w:w="100" w:type="dxa"/>
            </w:tcMar>
          </w:tcPr>
          <w:p w14:paraId="52128698" w14:textId="77777777" w:rsidR="003D087E" w:rsidRPr="00CF2B42" w:rsidRDefault="003D087E" w:rsidP="003D087E">
            <w:pPr>
              <w:pStyle w:val="normal0"/>
              <w:jc w:val="both"/>
              <w:rPr>
                <w:lang w:val="es-ES_tradnl"/>
              </w:rPr>
            </w:pPr>
            <w:r w:rsidRPr="00CF2B42">
              <w:rPr>
                <w:lang w:val="es-ES_tradnl"/>
              </w:rPr>
              <w:t>El Estado reconoce que existe retraso en su sanción legislativa. El proceso de discusión parlamentaria de esos cuerpos normativos no se ha suspendido. Requiere acuerdos políticos amplios. Además requiere tomar otro tipo de medidas, como la designación de nuevos jueces, fiscales y defensores públicos (la Suprema Corte de Justicia menciona que deberían designarse 62 de cada uno de estos cargos), reformas edilicias significativas de las sedes penales y de las oficinas del Ministerio Público, lo cual tiene implicaciones presupuestales que deben ser consideradas conjuntamente con los proyectos de reforma.</w:t>
            </w:r>
          </w:p>
          <w:p w14:paraId="2BC24B50" w14:textId="77777777" w:rsidR="003D087E" w:rsidRPr="00CF2B42" w:rsidRDefault="003D087E" w:rsidP="003D087E">
            <w:pPr>
              <w:pStyle w:val="normal0"/>
              <w:jc w:val="both"/>
              <w:rPr>
                <w:lang w:val="es-ES_tradnl"/>
              </w:rPr>
            </w:pPr>
            <w:r w:rsidRPr="00CF2B42">
              <w:rPr>
                <w:lang w:val="es-ES_tradnl"/>
              </w:rPr>
              <w:t>Al momento de la presentación del presente Informe, el proyecto de reforma del Código Penal continúa siendo negociado en el Poder Legislativo. En relación al Código del Proceso Penal, éste fue aprobado por unanimidad en la Cámara de Senadores, restando aún ser aprobado por la Cámara de Representantes. Dado que se trata de año electoral y de acuerdo a lo dispuesto por la Constitución de la República (artículo 104), el funcionamiento de la Asamblea General del Poder Legislativo, culminó el pasado 15 de setiembre sin que los proyectos fueran aprobados. Sin embargo, se prevé una última sesión especial en el mes de diciembre, en la cual es posible que el Código del Proceso Penal obtenga la media sanción restante y sea finalmente aprobado.</w:t>
            </w:r>
          </w:p>
          <w:p w14:paraId="57D00A96" w14:textId="77777777" w:rsidR="003D087E" w:rsidRPr="00CF2B42" w:rsidRDefault="003D087E">
            <w:pPr>
              <w:pStyle w:val="normal0"/>
              <w:ind w:left="0"/>
              <w:contextualSpacing w:val="0"/>
              <w:rPr>
                <w:lang w:val="es-ES_tradnl"/>
              </w:rPr>
            </w:pPr>
          </w:p>
        </w:tc>
        <w:tc>
          <w:tcPr>
            <w:tcW w:w="6379" w:type="dxa"/>
            <w:tcBorders>
              <w:top w:val="single" w:sz="8" w:space="0" w:color="F3F3F3"/>
              <w:left w:val="single" w:sz="8" w:space="0" w:color="F3F3F3"/>
              <w:bottom w:val="single" w:sz="8" w:space="0" w:color="F3F3F3"/>
              <w:right w:val="single" w:sz="8" w:space="0" w:color="F3F3F3"/>
            </w:tcBorders>
            <w:shd w:val="clear" w:color="auto" w:fill="EFEFEF"/>
            <w:tcMar>
              <w:top w:w="100" w:type="dxa"/>
              <w:left w:w="100" w:type="dxa"/>
              <w:bottom w:w="100" w:type="dxa"/>
              <w:right w:w="100" w:type="dxa"/>
            </w:tcMar>
          </w:tcPr>
          <w:p w14:paraId="6333041E" w14:textId="77777777" w:rsidR="003D087E" w:rsidRPr="00CF2B42" w:rsidRDefault="003D087E" w:rsidP="003D087E">
            <w:pPr>
              <w:pStyle w:val="normal0"/>
              <w:jc w:val="both"/>
              <w:rPr>
                <w:iCs/>
                <w:lang w:val="es-ES_tradnl"/>
              </w:rPr>
            </w:pPr>
            <w:r w:rsidRPr="00CF2B42">
              <w:rPr>
                <w:iCs/>
                <w:lang w:val="es-ES_tradnl"/>
              </w:rPr>
              <w:t>El país tiene actualmente en el parlamento y con media sanción parlamentaria un proyecto de reforma del Código Penal que sustituiría el Código vigente del año 1934. Dicho proyecto ha recibido numerosas criticas de orga</w:t>
            </w:r>
            <w:r w:rsidR="00987A87" w:rsidRPr="00CF2B42">
              <w:rPr>
                <w:iCs/>
                <w:lang w:val="es-ES_tradnl"/>
              </w:rPr>
              <w:t>nizaciones académicas</w:t>
            </w:r>
            <w:r w:rsidRPr="00CF2B42">
              <w:rPr>
                <w:iCs/>
                <w:lang w:val="es-ES_tradnl"/>
              </w:rPr>
              <w:t xml:space="preserve"> y de derechos humanos porque la propuesta no </w:t>
            </w:r>
            <w:r w:rsidR="00987A87" w:rsidRPr="00CF2B42">
              <w:rPr>
                <w:iCs/>
                <w:lang w:val="es-ES_tradnl"/>
              </w:rPr>
              <w:t>modificaría</w:t>
            </w:r>
            <w:r w:rsidRPr="00CF2B42">
              <w:rPr>
                <w:iCs/>
                <w:lang w:val="es-ES_tradnl"/>
              </w:rPr>
              <w:t xml:space="preserve"> sustancialmente la </w:t>
            </w:r>
            <w:r w:rsidR="00987A87" w:rsidRPr="00CF2B42">
              <w:rPr>
                <w:iCs/>
                <w:lang w:val="es-ES_tradnl"/>
              </w:rPr>
              <w:t>política</w:t>
            </w:r>
            <w:r w:rsidRPr="00CF2B42">
              <w:rPr>
                <w:iCs/>
                <w:lang w:val="es-ES_tradnl"/>
              </w:rPr>
              <w:t xml:space="preserve"> criminal implementada hasta la fecha</w:t>
            </w:r>
            <w:r w:rsidR="00987A87" w:rsidRPr="00CF2B42">
              <w:rPr>
                <w:iCs/>
                <w:lang w:val="es-ES_tradnl"/>
              </w:rPr>
              <w:t xml:space="preserve">. Además, </w:t>
            </w:r>
            <w:r w:rsidRPr="00CF2B42">
              <w:rPr>
                <w:iCs/>
                <w:lang w:val="es-ES_tradnl"/>
              </w:rPr>
              <w:t xml:space="preserve">en otros ámbitos </w:t>
            </w:r>
            <w:r w:rsidR="00987A87" w:rsidRPr="00CF2B42">
              <w:rPr>
                <w:iCs/>
                <w:lang w:val="es-ES_tradnl"/>
              </w:rPr>
              <w:t>constituiría</w:t>
            </w:r>
            <w:r w:rsidRPr="00CF2B42">
              <w:rPr>
                <w:iCs/>
                <w:lang w:val="es-ES_tradnl"/>
              </w:rPr>
              <w:t xml:space="preserve"> un retroceso a leyes que han modificado parcialmente el </w:t>
            </w:r>
            <w:r w:rsidR="00987A87" w:rsidRPr="00CF2B42">
              <w:rPr>
                <w:iCs/>
                <w:lang w:val="es-ES_tradnl"/>
              </w:rPr>
              <w:t>código</w:t>
            </w:r>
            <w:r w:rsidRPr="00CF2B42">
              <w:rPr>
                <w:iCs/>
                <w:lang w:val="es-ES_tradnl"/>
              </w:rPr>
              <w:t xml:space="preserve"> vigente.</w:t>
            </w:r>
          </w:p>
          <w:p w14:paraId="3731D4C1" w14:textId="77777777" w:rsidR="003D087E" w:rsidRPr="00CF2B42" w:rsidRDefault="003D087E" w:rsidP="003D087E">
            <w:pPr>
              <w:pStyle w:val="normal0"/>
              <w:jc w:val="both"/>
              <w:rPr>
                <w:iCs/>
                <w:lang w:val="es-ES_tradnl"/>
              </w:rPr>
            </w:pPr>
            <w:r w:rsidRPr="00CF2B42">
              <w:rPr>
                <w:iCs/>
                <w:lang w:val="es-ES_tradnl"/>
              </w:rPr>
              <w:t>Fundamentalmente</w:t>
            </w:r>
            <w:r w:rsidR="00987A87" w:rsidRPr="00CF2B42">
              <w:rPr>
                <w:iCs/>
                <w:lang w:val="es-ES_tradnl"/>
              </w:rPr>
              <w:t>,</w:t>
            </w:r>
            <w:r w:rsidRPr="00CF2B42">
              <w:rPr>
                <w:iCs/>
                <w:lang w:val="es-ES_tradnl"/>
              </w:rPr>
              <w:t xml:space="preserve"> el proyecto ha sido calificado por académicos como un no código, por ser asistemático, </w:t>
            </w:r>
            <w:r w:rsidR="00987A87" w:rsidRPr="00CF2B42">
              <w:rPr>
                <w:iCs/>
                <w:lang w:val="es-ES_tradnl"/>
              </w:rPr>
              <w:t xml:space="preserve">por </w:t>
            </w:r>
            <w:r w:rsidRPr="00CF2B42">
              <w:rPr>
                <w:iCs/>
                <w:lang w:val="es-ES_tradnl"/>
              </w:rPr>
              <w:t xml:space="preserve">su </w:t>
            </w:r>
            <w:r w:rsidR="00987A87" w:rsidRPr="00CF2B42">
              <w:rPr>
                <w:iCs/>
                <w:lang w:val="es-ES_tradnl"/>
              </w:rPr>
              <w:t>falta de organicidad</w:t>
            </w:r>
            <w:r w:rsidRPr="00CF2B42">
              <w:rPr>
                <w:iCs/>
                <w:lang w:val="es-ES_tradnl"/>
              </w:rPr>
              <w:t>,  y sumamente contradictorio entre normas contenidas en el proyecto y con avances en el terreno legislativo de estos últimos años.</w:t>
            </w:r>
          </w:p>
          <w:p w14:paraId="0DBBD27F" w14:textId="77777777" w:rsidR="003D087E" w:rsidRPr="00CF2B42" w:rsidRDefault="003D087E" w:rsidP="00987A87">
            <w:pPr>
              <w:pStyle w:val="normal0"/>
              <w:ind w:left="0"/>
              <w:contextualSpacing w:val="0"/>
              <w:jc w:val="both"/>
              <w:rPr>
                <w:lang w:val="es-ES_tradnl"/>
              </w:rPr>
            </w:pPr>
            <w:r w:rsidRPr="00CF2B42">
              <w:rPr>
                <w:iCs/>
                <w:lang w:val="es-ES_tradnl"/>
              </w:rPr>
              <w:t>Como lo han indicado connotados juristas del derecho penal “el proyecto no se ocupa, a no ser en forma  absolutamente marginal y superficial, de la delincuencia económica y empresarial, reproduciendo el modelo patricio clasista del Código de 1934, privilegiando la represión de la delincuencia violenta contra la propiedad -castigándola más duramente aún que los atentados contra la vida- e ignorando casi absolutamente la criminalidad de los poderosos, sin recoger innovación alguna de las existentes en el derecho comparado en este aspecto al día de hoy.</w:t>
            </w:r>
            <w:r w:rsidR="00987A87" w:rsidRPr="00CF2B42">
              <w:rPr>
                <w:iCs/>
                <w:lang w:val="es-ES_tradnl"/>
              </w:rPr>
              <w:t xml:space="preserve"> </w:t>
            </w:r>
            <w:r w:rsidRPr="00CF2B42">
              <w:rPr>
                <w:iCs/>
                <w:lang w:val="es-ES_tradnl"/>
              </w:rPr>
              <w:t>Por si fuera poco, en otro punto extremadamente sensible en el contexto actual como lo es la discusión acerca de la interrupción voluntaria del embarazo, el proyecto por un lado manifiesta que no se expedirá acerca del tema por encontrarse éste a estudio del Parlamento a través de otras iniciativas legislativas, pero cuando se ocupa del articulado relativo al delito de aborto, jer</w:t>
            </w:r>
            <w:r w:rsidR="00987A87" w:rsidRPr="00CF2B42">
              <w:rPr>
                <w:iCs/>
                <w:lang w:val="es-ES_tradnl"/>
              </w:rPr>
              <w:t xml:space="preserve">arquiza y </w:t>
            </w:r>
            <w:proofErr w:type="spellStart"/>
            <w:r w:rsidR="00987A87" w:rsidRPr="00CF2B42">
              <w:rPr>
                <w:iCs/>
                <w:lang w:val="es-ES_tradnl"/>
              </w:rPr>
              <w:t>severiza</w:t>
            </w:r>
            <w:proofErr w:type="spellEnd"/>
            <w:r w:rsidR="00987A87" w:rsidRPr="00CF2B42">
              <w:rPr>
                <w:iCs/>
                <w:lang w:val="es-ES_tradnl"/>
              </w:rPr>
              <w:t xml:space="preserve"> su represión.</w:t>
            </w:r>
            <w:r w:rsidRPr="00CF2B42">
              <w:rPr>
                <w:iCs/>
                <w:lang w:val="es-ES_tradnl"/>
              </w:rPr>
              <w:t>”</w:t>
            </w:r>
            <w:r w:rsidR="00987A87" w:rsidRPr="00CF2B42">
              <w:rPr>
                <w:iCs/>
                <w:lang w:val="es-ES_tradnl"/>
              </w:rPr>
              <w:t xml:space="preserve"> </w:t>
            </w:r>
            <w:r w:rsidRPr="00CF2B42">
              <w:rPr>
                <w:iCs/>
                <w:lang w:val="es-ES_tradnl"/>
              </w:rPr>
              <w:t xml:space="preserve">(Dr. Diego Silva </w:t>
            </w:r>
            <w:proofErr w:type="spellStart"/>
            <w:r w:rsidRPr="00CF2B42">
              <w:rPr>
                <w:iCs/>
                <w:lang w:val="es-ES_tradnl"/>
              </w:rPr>
              <w:t>Forne</w:t>
            </w:r>
            <w:proofErr w:type="spellEnd"/>
            <w:r w:rsidRPr="00CF2B42">
              <w:rPr>
                <w:iCs/>
                <w:lang w:val="es-ES_tradnl"/>
              </w:rPr>
              <w:t>) </w:t>
            </w:r>
          </w:p>
        </w:tc>
      </w:tr>
    </w:tbl>
    <w:p w14:paraId="4EC668FD" w14:textId="77777777" w:rsidR="00A1792F" w:rsidRPr="00CF2B42" w:rsidRDefault="00A1792F">
      <w:pPr>
        <w:pStyle w:val="normal0"/>
        <w:ind w:left="0"/>
        <w:contextualSpacing w:val="0"/>
        <w:rPr>
          <w:lang w:val="es-ES_tradnl"/>
        </w:rPr>
      </w:pPr>
    </w:p>
    <w:p w14:paraId="2CB6848F" w14:textId="77777777" w:rsidR="00A1792F" w:rsidRPr="00CF2B42" w:rsidRDefault="00A1792F">
      <w:pPr>
        <w:pStyle w:val="normal0"/>
        <w:contextualSpacing w:val="0"/>
        <w:rPr>
          <w:lang w:val="es-ES_tradnl"/>
        </w:rPr>
      </w:pPr>
    </w:p>
    <w:p w14:paraId="710822D6" w14:textId="77777777" w:rsidR="00A1792F" w:rsidRPr="00CF2B42" w:rsidRDefault="00A1792F">
      <w:pPr>
        <w:pStyle w:val="normal0"/>
        <w:rPr>
          <w:lang w:val="es-ES_tradnl"/>
        </w:rPr>
      </w:pPr>
    </w:p>
    <w:p w14:paraId="602D511E" w14:textId="77777777" w:rsidR="00A1792F" w:rsidRPr="00CF2B42" w:rsidRDefault="001C2459" w:rsidP="00987A87">
      <w:pPr>
        <w:pStyle w:val="normal0"/>
        <w:contextualSpacing w:val="0"/>
        <w:jc w:val="both"/>
        <w:rPr>
          <w:lang w:val="es-ES_tradnl"/>
        </w:rPr>
      </w:pPr>
      <w:r w:rsidRPr="00CF2B42">
        <w:rPr>
          <w:lang w:val="es-ES_tradnl"/>
        </w:rPr>
        <w:t>§ 19. El Comité expresa su preocupación por el contenido y efectos de la Sentencia Nº 20 de la Suprema Corte de Justicia, de fecha 22 de febrero de 2013, que declaró la inconstitucionalidad de los artículos 2 y 3 de la Ley Nº 18.831, de pretensión punitiva del Estado, respecto de una causa abierta por violaciones graves de derechos humanos ocurridas durante la dictadura. El Comité considera el fallo de la Corte desafortunado y contrario al Derecho Internacional de los Derechos Humanos al no reconocer la imprescriptibilidad de los crímenes de lesa humanidad y otras violaciones graves de derechos humanos, tales como las desapariciones forzadas, la tortura y las ejecuciones extrajudiciales. El Comité toma nota de las explicaciones de la delegación sobre el alcance de la declaración de inconstitucionalidad, que en principio se limitaría al caso concreto en que se planteó sin afectar a la vigencia de la Ley Nº 18.831 (arts. 2, 6, 7, 9 y 14).</w:t>
      </w:r>
    </w:p>
    <w:p w14:paraId="458DE2F6" w14:textId="77777777" w:rsidR="00A1792F" w:rsidRPr="00CF2B42" w:rsidRDefault="00A1792F">
      <w:pPr>
        <w:pStyle w:val="normal0"/>
        <w:contextualSpacing w:val="0"/>
        <w:rPr>
          <w:lang w:val="es-ES_tradnl"/>
        </w:rPr>
      </w:pPr>
    </w:p>
    <w:tbl>
      <w:tblPr>
        <w:tblStyle w:val="a3"/>
        <w:tblW w:w="15111" w:type="dxa"/>
        <w:tblInd w:w="1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3629"/>
        <w:gridCol w:w="1276"/>
        <w:gridCol w:w="5245"/>
        <w:gridCol w:w="4961"/>
      </w:tblGrid>
      <w:tr w:rsidR="00DE64BE" w:rsidRPr="00CF2B42" w14:paraId="7C592860" w14:textId="77777777" w:rsidTr="00DE64BE">
        <w:tc>
          <w:tcPr>
            <w:tcW w:w="3629" w:type="dxa"/>
            <w:tcBorders>
              <w:bottom w:val="single" w:sz="8" w:space="0" w:color="F3F3F3"/>
            </w:tcBorders>
            <w:shd w:val="clear" w:color="auto" w:fill="3C78D8"/>
            <w:tcMar>
              <w:top w:w="100" w:type="dxa"/>
              <w:left w:w="100" w:type="dxa"/>
              <w:bottom w:w="100" w:type="dxa"/>
              <w:right w:w="100" w:type="dxa"/>
            </w:tcMar>
          </w:tcPr>
          <w:p w14:paraId="6F48C2E4" w14:textId="77777777" w:rsidR="00DE64BE" w:rsidRPr="00CF2B42" w:rsidRDefault="00DE64BE">
            <w:pPr>
              <w:pStyle w:val="normal0"/>
              <w:ind w:left="0"/>
              <w:contextualSpacing w:val="0"/>
              <w:rPr>
                <w:lang w:val="es-ES_tradnl"/>
              </w:rPr>
            </w:pPr>
            <w:r w:rsidRPr="00CF2B42">
              <w:rPr>
                <w:color w:val="FFFFFF"/>
                <w:lang w:val="es-ES_tradnl"/>
              </w:rPr>
              <w:t>Recomendación 19</w:t>
            </w:r>
          </w:p>
        </w:tc>
        <w:tc>
          <w:tcPr>
            <w:tcW w:w="1276" w:type="dxa"/>
            <w:tcBorders>
              <w:bottom w:val="single" w:sz="8" w:space="0" w:color="F3F3F3"/>
            </w:tcBorders>
            <w:shd w:val="clear" w:color="auto" w:fill="3C78D8"/>
          </w:tcPr>
          <w:p w14:paraId="5569A8A0" w14:textId="77777777" w:rsidR="00DE64BE" w:rsidRPr="00CF2B42" w:rsidRDefault="00DE64BE">
            <w:pPr>
              <w:pStyle w:val="normal0"/>
              <w:ind w:left="0"/>
              <w:contextualSpacing w:val="0"/>
              <w:rPr>
                <w:color w:val="FFFFFF"/>
                <w:lang w:val="es-ES_tradnl"/>
              </w:rPr>
            </w:pPr>
            <w:r w:rsidRPr="00CF2B42">
              <w:rPr>
                <w:color w:val="FFFFFF"/>
                <w:lang w:val="es-ES_tradnl"/>
              </w:rPr>
              <w:t>Calificación</w:t>
            </w:r>
          </w:p>
        </w:tc>
        <w:tc>
          <w:tcPr>
            <w:tcW w:w="5245" w:type="dxa"/>
            <w:tcBorders>
              <w:bottom w:val="single" w:sz="8" w:space="0" w:color="F3F3F3"/>
            </w:tcBorders>
            <w:shd w:val="clear" w:color="auto" w:fill="3C78D8"/>
            <w:tcMar>
              <w:top w:w="100" w:type="dxa"/>
              <w:left w:w="100" w:type="dxa"/>
              <w:bottom w:w="100" w:type="dxa"/>
              <w:right w:w="100" w:type="dxa"/>
            </w:tcMar>
          </w:tcPr>
          <w:p w14:paraId="5176EF72" w14:textId="77777777" w:rsidR="00DE64BE" w:rsidRPr="00CF2B42" w:rsidRDefault="00DE64BE" w:rsidP="00DE64BE">
            <w:pPr>
              <w:pStyle w:val="normal0"/>
              <w:ind w:left="0"/>
              <w:contextualSpacing w:val="0"/>
              <w:rPr>
                <w:lang w:val="es-ES_tradnl"/>
              </w:rPr>
            </w:pPr>
            <w:r w:rsidRPr="00CF2B42">
              <w:rPr>
                <w:color w:val="FFFFFF"/>
                <w:lang w:val="es-ES_tradnl"/>
              </w:rPr>
              <w:t>Respuesta</w:t>
            </w:r>
            <w:r w:rsidRPr="00CF2B42">
              <w:rPr>
                <w:lang w:val="es-ES_tradnl"/>
              </w:rPr>
              <w:t xml:space="preserve"> </w:t>
            </w:r>
            <w:r w:rsidRPr="00CF2B42">
              <w:rPr>
                <w:color w:val="FFFFFF"/>
                <w:lang w:val="es-ES_tradnl"/>
              </w:rPr>
              <w:t>del</w:t>
            </w:r>
            <w:r w:rsidRPr="00CF2B42">
              <w:rPr>
                <w:lang w:val="es-ES_tradnl"/>
              </w:rPr>
              <w:t xml:space="preserve"> </w:t>
            </w:r>
            <w:r w:rsidRPr="00CF2B42">
              <w:rPr>
                <w:color w:val="FFFFFF"/>
                <w:lang w:val="es-ES_tradnl"/>
              </w:rPr>
              <w:t>Estado</w:t>
            </w:r>
          </w:p>
        </w:tc>
        <w:tc>
          <w:tcPr>
            <w:tcW w:w="4961" w:type="dxa"/>
            <w:tcBorders>
              <w:bottom w:val="single" w:sz="8" w:space="0" w:color="F3F3F3"/>
            </w:tcBorders>
            <w:shd w:val="clear" w:color="auto" w:fill="3C78D8"/>
            <w:tcMar>
              <w:top w:w="100" w:type="dxa"/>
              <w:left w:w="100" w:type="dxa"/>
              <w:bottom w:w="100" w:type="dxa"/>
              <w:right w:w="100" w:type="dxa"/>
            </w:tcMar>
          </w:tcPr>
          <w:p w14:paraId="5ACCC2C7" w14:textId="77777777" w:rsidR="00DE64BE" w:rsidRPr="00CF2B42" w:rsidRDefault="00DE64BE" w:rsidP="00DE64BE">
            <w:pPr>
              <w:pStyle w:val="normal0"/>
              <w:ind w:left="0"/>
              <w:contextualSpacing w:val="0"/>
              <w:rPr>
                <w:lang w:val="es-ES_tradnl"/>
              </w:rPr>
            </w:pPr>
            <w:r w:rsidRPr="00CF2B42">
              <w:rPr>
                <w:color w:val="FFFFFF"/>
                <w:lang w:val="es-ES_tradnl"/>
              </w:rPr>
              <w:t>Comentarios de la sociedad civil</w:t>
            </w:r>
          </w:p>
        </w:tc>
      </w:tr>
      <w:tr w:rsidR="00DE64BE" w:rsidRPr="00CF2B42" w14:paraId="15003D9E" w14:textId="77777777" w:rsidTr="00DE64BE">
        <w:tc>
          <w:tcPr>
            <w:tcW w:w="3629" w:type="dxa"/>
            <w:tcBorders>
              <w:top w:val="single" w:sz="8" w:space="0" w:color="F3F3F3"/>
              <w:left w:val="single" w:sz="8" w:space="0" w:color="F3F3F3"/>
              <w:bottom w:val="single" w:sz="8" w:space="0" w:color="F3F3F3"/>
              <w:right w:val="single" w:sz="8" w:space="0" w:color="F3F3F3"/>
            </w:tcBorders>
            <w:shd w:val="clear" w:color="auto" w:fill="EFEFEF"/>
            <w:tcMar>
              <w:top w:w="100" w:type="dxa"/>
              <w:left w:w="100" w:type="dxa"/>
              <w:bottom w:w="100" w:type="dxa"/>
              <w:right w:w="100" w:type="dxa"/>
            </w:tcMar>
          </w:tcPr>
          <w:p w14:paraId="036EF426" w14:textId="77777777" w:rsidR="00DE64BE" w:rsidRPr="00CF2B42" w:rsidRDefault="00DE64BE" w:rsidP="00DE64BE">
            <w:pPr>
              <w:pStyle w:val="normal0"/>
              <w:ind w:left="0"/>
              <w:contextualSpacing w:val="0"/>
              <w:jc w:val="both"/>
              <w:rPr>
                <w:lang w:val="es-ES_tradnl"/>
              </w:rPr>
            </w:pPr>
            <w:r w:rsidRPr="00CF2B42">
              <w:rPr>
                <w:lang w:val="es-ES_tradnl"/>
              </w:rPr>
              <w:t xml:space="preserve">El Comité reitera su recomendación anterior (A/53/40, párr. 240) en la que se alentaba al Estado parte a encontrar una solución que se ajuste plenamente a las obligaciones que incumben a Uruguay en virtud del Pacto. En este sentido, el Comité señala el contenido de sus Observaciones generales Nº 20 (1992), relativa al artículo 7 del Pacto, según la cual las amnistías son generalmente incompatibles con la obligación de los Estados de investigar actos de tortura (párr. 15), y Nº 31 (2004), sobre la naturaleza de la obligación jurídica general impuesta a los Estados parte en el Pacto, según la cual los Estados parte no podrán eximir a los autores de actos de tortura, ejecuciones arbitrarias o extrajudiciales y desapariciones forzadas de su  responsabilidad jurídica personal (párr. 18). </w:t>
            </w:r>
          </w:p>
        </w:tc>
        <w:tc>
          <w:tcPr>
            <w:tcW w:w="1276" w:type="dxa"/>
            <w:tcBorders>
              <w:top w:val="single" w:sz="8" w:space="0" w:color="F3F3F3"/>
              <w:left w:val="single" w:sz="8" w:space="0" w:color="F3F3F3"/>
              <w:bottom w:val="single" w:sz="8" w:space="0" w:color="F3F3F3"/>
              <w:right w:val="single" w:sz="8" w:space="0" w:color="F3F3F3"/>
            </w:tcBorders>
            <w:shd w:val="clear" w:color="auto" w:fill="EFEFEF"/>
          </w:tcPr>
          <w:p w14:paraId="5299004A" w14:textId="77777777" w:rsidR="00DE64BE" w:rsidRPr="00CF2B42" w:rsidRDefault="00DE64BE" w:rsidP="00DE64BE">
            <w:pPr>
              <w:pStyle w:val="normal0"/>
              <w:ind w:left="0"/>
              <w:contextualSpacing w:val="0"/>
              <w:jc w:val="both"/>
              <w:rPr>
                <w:lang w:val="es-ES_tradnl"/>
              </w:rPr>
            </w:pPr>
            <w:r w:rsidRPr="00CF2B42">
              <w:rPr>
                <w:lang w:val="es-ES_tradnl"/>
              </w:rPr>
              <w:t>E</w:t>
            </w:r>
          </w:p>
        </w:tc>
        <w:tc>
          <w:tcPr>
            <w:tcW w:w="5245" w:type="dxa"/>
            <w:tcBorders>
              <w:top w:val="single" w:sz="8" w:space="0" w:color="F3F3F3"/>
              <w:left w:val="single" w:sz="8" w:space="0" w:color="F3F3F3"/>
              <w:bottom w:val="single" w:sz="8" w:space="0" w:color="F3F3F3"/>
              <w:right w:val="single" w:sz="8" w:space="0" w:color="F3F3F3"/>
            </w:tcBorders>
            <w:shd w:val="clear" w:color="auto" w:fill="EFEFEF"/>
            <w:tcMar>
              <w:top w:w="100" w:type="dxa"/>
              <w:left w:w="100" w:type="dxa"/>
              <w:bottom w:w="100" w:type="dxa"/>
              <w:right w:w="100" w:type="dxa"/>
            </w:tcMar>
          </w:tcPr>
          <w:p w14:paraId="52ACF059" w14:textId="77777777" w:rsidR="00DE64BE" w:rsidRPr="00CF2B42" w:rsidRDefault="00DE64BE" w:rsidP="00DE64BE">
            <w:pPr>
              <w:pStyle w:val="normal0"/>
              <w:jc w:val="both"/>
              <w:rPr>
                <w:lang w:val="es-ES_tradnl"/>
              </w:rPr>
            </w:pPr>
            <w:r w:rsidRPr="00CF2B42">
              <w:rPr>
                <w:lang w:val="es-ES_tradnl"/>
              </w:rPr>
              <w:t>Efectivamente tal como fuera mencionado por los expertos del Comité, en febrero de 2012 la Suprema Corte de Justicia (SCJ) declaró la inconstitucionalidad de dos artículos de la Ley Nº18.831 del 27 de octubre de 2011. Estos dos artículos establecían que no se computaría plazo alguno, procesal, de prescripción o de caducidad para los delitos cometidos durante el gobierno militar, y que los mismos constituían crímenes de lesa humanidad de conformidad con los tratados internacionales de los que Uruguay es parte. Al dictar esta sentencia, y también otras posteriores, declarando inconstitucionales los artículos 2 y 3 de la mencionada Ley, la SCJ se expresó en contra del concepto de imprescriptibilidad de estos delitos.</w:t>
            </w:r>
          </w:p>
          <w:p w14:paraId="4F8D5B86" w14:textId="77777777" w:rsidR="00DE64BE" w:rsidRPr="00CF2B42" w:rsidRDefault="00DE64BE" w:rsidP="00DE64BE">
            <w:pPr>
              <w:pStyle w:val="normal0"/>
              <w:jc w:val="both"/>
              <w:rPr>
                <w:lang w:val="es-ES_tradnl"/>
              </w:rPr>
            </w:pPr>
            <w:r w:rsidRPr="00CF2B42">
              <w:rPr>
                <w:lang w:val="es-ES_tradnl"/>
              </w:rPr>
              <w:t>Sin embargo, juicios referidos a graves violaciones de derechos humanos, muchos de ellos por desapariciones forzadas, que actualmente se tramitan en sedes penales nacionales han continuado sus actuaciones a pesar de la declaración de inconstitucionalidad antes mencionada. Es dable observar que existen posiciones disímiles en referencia a la calidad de imprescriptible de este crimen, habiendo incluso algunos jueces que han recurrido a otros fundamentos de derecho para continuar con los procesos ya iniciados, los que no se han visto detenidos en sus respectivas instancias.</w:t>
            </w:r>
          </w:p>
          <w:p w14:paraId="7CFD11AC" w14:textId="77777777" w:rsidR="00DE64BE" w:rsidRPr="00CF2B42" w:rsidRDefault="00DE64BE" w:rsidP="00DE64BE">
            <w:pPr>
              <w:pStyle w:val="normal0"/>
              <w:jc w:val="both"/>
              <w:rPr>
                <w:lang w:val="es-ES_tradnl"/>
              </w:rPr>
            </w:pPr>
          </w:p>
        </w:tc>
        <w:tc>
          <w:tcPr>
            <w:tcW w:w="4961" w:type="dxa"/>
            <w:tcBorders>
              <w:top w:val="single" w:sz="8" w:space="0" w:color="F3F3F3"/>
              <w:left w:val="single" w:sz="8" w:space="0" w:color="F3F3F3"/>
              <w:bottom w:val="single" w:sz="8" w:space="0" w:color="F3F3F3"/>
              <w:right w:val="single" w:sz="8" w:space="0" w:color="F3F3F3"/>
            </w:tcBorders>
            <w:shd w:val="clear" w:color="auto" w:fill="EFEFEF"/>
            <w:tcMar>
              <w:top w:w="100" w:type="dxa"/>
              <w:left w:w="100" w:type="dxa"/>
              <w:bottom w:w="100" w:type="dxa"/>
              <w:right w:w="100" w:type="dxa"/>
            </w:tcMar>
          </w:tcPr>
          <w:p w14:paraId="139BE634" w14:textId="77777777" w:rsidR="00DE64BE" w:rsidRPr="00CF2B42" w:rsidRDefault="00DE64BE" w:rsidP="00DE64BE">
            <w:pPr>
              <w:pStyle w:val="normal0"/>
              <w:jc w:val="both"/>
              <w:rPr>
                <w:iCs/>
                <w:lang w:val="es-ES_tradnl"/>
              </w:rPr>
            </w:pPr>
            <w:r w:rsidRPr="00CF2B42">
              <w:rPr>
                <w:iCs/>
                <w:lang w:val="es-ES_tradnl"/>
              </w:rPr>
              <w:t xml:space="preserve">Las organizaciones en el último periodo de gobierno el escenario </w:t>
            </w:r>
            <w:r w:rsidR="00031263" w:rsidRPr="00CF2B42">
              <w:rPr>
                <w:iCs/>
                <w:lang w:val="es-ES_tradnl"/>
              </w:rPr>
              <w:t xml:space="preserve">en materia de investigación y persecución a los delitos cometidos durante la dictadura </w:t>
            </w:r>
            <w:r w:rsidRPr="00CF2B42">
              <w:rPr>
                <w:iCs/>
                <w:lang w:val="es-ES_tradnl"/>
              </w:rPr>
              <w:t>e</w:t>
            </w:r>
            <w:r w:rsidR="00031263" w:rsidRPr="00CF2B42">
              <w:rPr>
                <w:iCs/>
                <w:lang w:val="es-ES_tradnl"/>
              </w:rPr>
              <w:t>s un retroceso preocupante</w:t>
            </w:r>
            <w:r w:rsidRPr="00CF2B42">
              <w:rPr>
                <w:iCs/>
                <w:lang w:val="es-ES_tradnl"/>
              </w:rPr>
              <w:t xml:space="preserve"> en las actitudes que ha tenido el Poder Ejecutivo</w:t>
            </w:r>
            <w:r w:rsidR="00031263" w:rsidRPr="00CF2B42">
              <w:rPr>
                <w:iCs/>
                <w:lang w:val="es-ES_tradnl"/>
              </w:rPr>
              <w:t>, fundamentalmente</w:t>
            </w:r>
            <w:r w:rsidRPr="00CF2B42">
              <w:rPr>
                <w:iCs/>
                <w:lang w:val="es-ES_tradnl"/>
              </w:rPr>
              <w:t xml:space="preserve"> a través del Ministerio de Defensa</w:t>
            </w:r>
            <w:r w:rsidR="00031263" w:rsidRPr="00CF2B42">
              <w:rPr>
                <w:iCs/>
                <w:lang w:val="es-ES_tradnl"/>
              </w:rPr>
              <w:t>, quien ha tenido una actitud negativa</w:t>
            </w:r>
            <w:r w:rsidRPr="00CF2B42">
              <w:rPr>
                <w:iCs/>
                <w:lang w:val="es-ES_tradnl"/>
              </w:rPr>
              <w:t xml:space="preserve"> para brindar información y facilitar el acceso de la justicia a</w:t>
            </w:r>
            <w:r w:rsidR="00031263" w:rsidRPr="00CF2B42">
              <w:rPr>
                <w:iCs/>
                <w:lang w:val="es-ES_tradnl"/>
              </w:rPr>
              <w:t xml:space="preserve"> documentos y predios militares</w:t>
            </w:r>
            <w:r w:rsidRPr="00CF2B42">
              <w:rPr>
                <w:iCs/>
                <w:lang w:val="es-ES_tradnl"/>
              </w:rPr>
              <w:t xml:space="preserve"> que permitan avanzar en el esclarecimiento de los hechos y avanzar en términos de verdad y justicia</w:t>
            </w:r>
          </w:p>
          <w:p w14:paraId="5EDB0FF6" w14:textId="77777777" w:rsidR="00DE64BE" w:rsidRPr="00CF2B42" w:rsidRDefault="00DE64BE" w:rsidP="00DE64BE">
            <w:pPr>
              <w:pStyle w:val="normal0"/>
              <w:ind w:left="0"/>
              <w:contextualSpacing w:val="0"/>
              <w:jc w:val="both"/>
              <w:rPr>
                <w:lang w:val="es-ES_tradnl"/>
              </w:rPr>
            </w:pPr>
            <w:r w:rsidRPr="00CF2B42">
              <w:rPr>
                <w:iCs/>
                <w:lang w:val="es-ES_tradnl"/>
              </w:rPr>
              <w:t>Por otro lado</w:t>
            </w:r>
            <w:r w:rsidR="00031263" w:rsidRPr="00CF2B42">
              <w:rPr>
                <w:iCs/>
                <w:lang w:val="es-ES_tradnl"/>
              </w:rPr>
              <w:t>,</w:t>
            </w:r>
            <w:r w:rsidRPr="00CF2B42">
              <w:rPr>
                <w:iCs/>
                <w:lang w:val="es-ES_tradnl"/>
              </w:rPr>
              <w:t xml:space="preserve"> la actitud de la Suprema Corte de Justicia que ha tenido diferentes interpretaciones sobre la incorporación de los tratados de derechos humanos ratificados por el país</w:t>
            </w:r>
            <w:r w:rsidR="00031263" w:rsidRPr="00CF2B42">
              <w:rPr>
                <w:iCs/>
                <w:lang w:val="es-ES_tradnl"/>
              </w:rPr>
              <w:t>. E</w:t>
            </w:r>
            <w:r w:rsidRPr="00CF2B42">
              <w:rPr>
                <w:iCs/>
                <w:lang w:val="es-ES_tradnl"/>
              </w:rPr>
              <w:t xml:space="preserve">n la actualidad la postura predominante </w:t>
            </w:r>
            <w:r w:rsidR="00031263" w:rsidRPr="00CF2B42">
              <w:rPr>
                <w:iCs/>
                <w:lang w:val="es-ES_tradnl"/>
              </w:rPr>
              <w:t>es la de que é</w:t>
            </w:r>
            <w:r w:rsidRPr="00CF2B42">
              <w:rPr>
                <w:iCs/>
                <w:lang w:val="es-ES_tradnl"/>
              </w:rPr>
              <w:t>stos no</w:t>
            </w:r>
            <w:r w:rsidR="00031263" w:rsidRPr="00CF2B42">
              <w:rPr>
                <w:iCs/>
                <w:lang w:val="es-ES_tradnl"/>
              </w:rPr>
              <w:t xml:space="preserve"> tienen el mismo rango que la C</w:t>
            </w:r>
            <w:r w:rsidRPr="00CF2B42">
              <w:rPr>
                <w:iCs/>
                <w:lang w:val="es-ES_tradnl"/>
              </w:rPr>
              <w:t>onstitución y son normas de inferior jerarquía</w:t>
            </w:r>
            <w:r w:rsidR="00031263" w:rsidRPr="00CF2B42">
              <w:rPr>
                <w:iCs/>
                <w:lang w:val="es-ES_tradnl"/>
              </w:rPr>
              <w:t xml:space="preserve">. Esto </w:t>
            </w:r>
            <w:r w:rsidRPr="00CF2B42">
              <w:rPr>
                <w:iCs/>
                <w:lang w:val="es-ES_tradnl"/>
              </w:rPr>
              <w:t>se ha plasmado en diferentes sentencias que han marcado la prescripción de delitos de lesa humanidad</w:t>
            </w:r>
            <w:r w:rsidR="00031263" w:rsidRPr="00CF2B42">
              <w:rPr>
                <w:iCs/>
                <w:lang w:val="es-ES_tradnl"/>
              </w:rPr>
              <w:t>;</w:t>
            </w:r>
            <w:r w:rsidRPr="00CF2B42">
              <w:rPr>
                <w:iCs/>
                <w:lang w:val="es-ES_tradnl"/>
              </w:rPr>
              <w:t xml:space="preserve"> sentencias que resultan a todas luces violatorias del derecho internacional.</w:t>
            </w:r>
          </w:p>
        </w:tc>
      </w:tr>
    </w:tbl>
    <w:p w14:paraId="4548836E" w14:textId="77777777" w:rsidR="00A1792F" w:rsidRPr="00CF2B42" w:rsidRDefault="00A1792F" w:rsidP="00DE64BE">
      <w:pPr>
        <w:pStyle w:val="normal0"/>
        <w:ind w:left="0"/>
        <w:contextualSpacing w:val="0"/>
        <w:jc w:val="both"/>
        <w:rPr>
          <w:lang w:val="es-ES_tradnl"/>
        </w:rPr>
      </w:pPr>
    </w:p>
    <w:sectPr w:rsidR="00A1792F" w:rsidRPr="00CF2B42" w:rsidSect="00B72B30">
      <w:footerReference w:type="default" r:id="rId7"/>
      <w:pgSz w:w="16838" w:h="11906" w:orient="landscape"/>
      <w:pgMar w:top="1365" w:right="1008" w:bottom="432" w:left="1008"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AF5F2C" w14:textId="77777777" w:rsidR="00031263" w:rsidRDefault="00031263">
      <w:r>
        <w:separator/>
      </w:r>
    </w:p>
  </w:endnote>
  <w:endnote w:type="continuationSeparator" w:id="0">
    <w:p w14:paraId="0AC425CE" w14:textId="77777777" w:rsidR="00031263" w:rsidRDefault="00031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FC7BFA" w14:textId="77777777" w:rsidR="00031263" w:rsidRDefault="00031263">
    <w:pPr>
      <w:pStyle w:val="normal0"/>
      <w:contextualSpacing w:val="0"/>
    </w:pPr>
  </w:p>
  <w:tbl>
    <w:tblPr>
      <w:tblStyle w:val="a4"/>
      <w:tblW w:w="15765" w:type="dxa"/>
      <w:tblInd w:w="100" w:type="dxa"/>
      <w:tblLayout w:type="fixed"/>
      <w:tblLook w:val="0600" w:firstRow="0" w:lastRow="0" w:firstColumn="0" w:lastColumn="0" w:noHBand="1" w:noVBand="1"/>
    </w:tblPr>
    <w:tblGrid>
      <w:gridCol w:w="9375"/>
      <w:gridCol w:w="6390"/>
    </w:tblGrid>
    <w:tr w:rsidR="00031263" w14:paraId="7D767F8A" w14:textId="77777777">
      <w:tc>
        <w:tcPr>
          <w:tcW w:w="9375" w:type="dxa"/>
          <w:tcBorders>
            <w:top w:val="nil"/>
            <w:left w:val="nil"/>
            <w:bottom w:val="nil"/>
            <w:right w:val="nil"/>
          </w:tcBorders>
          <w:shd w:val="clear" w:color="auto" w:fill="3C78D8"/>
          <w:tcMar>
            <w:top w:w="100" w:type="dxa"/>
            <w:left w:w="100" w:type="dxa"/>
            <w:bottom w:w="100" w:type="dxa"/>
            <w:right w:w="100" w:type="dxa"/>
          </w:tcMar>
        </w:tcPr>
        <w:p w14:paraId="6A2D117D" w14:textId="77777777" w:rsidR="00031263" w:rsidRDefault="00031263">
          <w:pPr>
            <w:pStyle w:val="Titre5"/>
            <w:ind w:left="0"/>
            <w:contextualSpacing w:val="0"/>
          </w:pPr>
          <w:r>
            <w:t xml:space="preserve">© Centre for Civil and Political Rights </w:t>
          </w:r>
          <w:r>
            <w:rPr>
              <w:color w:val="E4E4E6"/>
            </w:rPr>
            <w:t xml:space="preserve">• </w:t>
          </w:r>
        </w:p>
      </w:tc>
      <w:tc>
        <w:tcPr>
          <w:tcW w:w="6390" w:type="dxa"/>
          <w:tcBorders>
            <w:left w:val="nil"/>
          </w:tcBorders>
          <w:shd w:val="clear" w:color="auto" w:fill="3C78D8"/>
          <w:tcMar>
            <w:top w:w="100" w:type="dxa"/>
            <w:left w:w="100" w:type="dxa"/>
            <w:bottom w:w="100" w:type="dxa"/>
            <w:right w:w="100" w:type="dxa"/>
          </w:tcMar>
        </w:tcPr>
        <w:p w14:paraId="5E04E949" w14:textId="77777777" w:rsidR="00031263" w:rsidRDefault="00031263">
          <w:pPr>
            <w:pStyle w:val="normal0"/>
            <w:spacing w:line="276" w:lineRule="auto"/>
            <w:ind w:left="0" w:right="375"/>
            <w:contextualSpacing w:val="0"/>
            <w:jc w:val="right"/>
          </w:pPr>
          <w:r>
            <w:rPr>
              <w:b/>
              <w:color w:val="FFFFFF"/>
            </w:rPr>
            <w:t xml:space="preserve"> </w:t>
          </w:r>
          <w:r>
            <w:fldChar w:fldCharType="begin"/>
          </w:r>
          <w:r>
            <w:instrText>PAGE</w:instrText>
          </w:r>
          <w:r>
            <w:fldChar w:fldCharType="separate"/>
          </w:r>
          <w:r w:rsidR="00DA3AF9">
            <w:rPr>
              <w:noProof/>
            </w:rPr>
            <w:t>1</w:t>
          </w:r>
          <w:r>
            <w:fldChar w:fldCharType="end"/>
          </w:r>
          <w:r>
            <w:rPr>
              <w:b/>
              <w:color w:val="FFFFFF"/>
            </w:rPr>
            <w:t xml:space="preserve"> </w:t>
          </w:r>
        </w:p>
      </w:tc>
    </w:tr>
  </w:tbl>
  <w:p w14:paraId="4607D229" w14:textId="77777777" w:rsidR="00031263" w:rsidRDefault="00031263">
    <w:pPr>
      <w:pStyle w:val="normal0"/>
      <w:spacing w:line="276" w:lineRule="auto"/>
      <w:ind w:left="0"/>
      <w:contextualSpacing w:val="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E6F32C" w14:textId="77777777" w:rsidR="00031263" w:rsidRDefault="00031263">
      <w:r>
        <w:separator/>
      </w:r>
    </w:p>
  </w:footnote>
  <w:footnote w:type="continuationSeparator" w:id="0">
    <w:p w14:paraId="644BFB89" w14:textId="77777777" w:rsidR="00031263" w:rsidRDefault="0003126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A1792F"/>
    <w:rsid w:val="00031263"/>
    <w:rsid w:val="001C2459"/>
    <w:rsid w:val="003D087E"/>
    <w:rsid w:val="00987A87"/>
    <w:rsid w:val="00A128CE"/>
    <w:rsid w:val="00A1792F"/>
    <w:rsid w:val="00B72B30"/>
    <w:rsid w:val="00CF2B42"/>
    <w:rsid w:val="00DA3AF9"/>
    <w:rsid w:val="00DE64B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731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666666"/>
        <w:lang w:val="en-US" w:eastAsia="fr-FR" w:bidi="ar-SA"/>
      </w:rPr>
    </w:rPrDefault>
    <w:pPrDefault>
      <w:pPr>
        <w:widowControl w:val="0"/>
        <w:ind w:left="15"/>
        <w:contextualSpacing/>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0"/>
    <w:next w:val="normal0"/>
    <w:pPr>
      <w:outlineLvl w:val="0"/>
    </w:pPr>
    <w:rPr>
      <w:color w:val="9AA9A1"/>
      <w:sz w:val="22"/>
    </w:rPr>
  </w:style>
  <w:style w:type="paragraph" w:styleId="Titre2">
    <w:name w:val="heading 2"/>
    <w:basedOn w:val="normal0"/>
    <w:next w:val="normal0"/>
    <w:pPr>
      <w:outlineLvl w:val="1"/>
    </w:pPr>
    <w:rPr>
      <w:i/>
      <w:color w:val="999999"/>
      <w:sz w:val="22"/>
    </w:rPr>
  </w:style>
  <w:style w:type="paragraph" w:styleId="Titre3">
    <w:name w:val="heading 3"/>
    <w:basedOn w:val="normal0"/>
    <w:next w:val="normal0"/>
    <w:pPr>
      <w:spacing w:line="360" w:lineRule="auto"/>
      <w:outlineLvl w:val="2"/>
    </w:pPr>
    <w:rPr>
      <w:sz w:val="18"/>
    </w:rPr>
  </w:style>
  <w:style w:type="paragraph" w:styleId="Titre4">
    <w:name w:val="heading 4"/>
    <w:basedOn w:val="normal0"/>
    <w:next w:val="normal0"/>
    <w:pPr>
      <w:spacing w:line="360" w:lineRule="auto"/>
      <w:ind w:left="20"/>
      <w:outlineLvl w:val="3"/>
    </w:pPr>
    <w:rPr>
      <w:color w:val="434343"/>
      <w:sz w:val="16"/>
    </w:rPr>
  </w:style>
  <w:style w:type="paragraph" w:styleId="Titre5">
    <w:name w:val="heading 5"/>
    <w:basedOn w:val="normal0"/>
    <w:next w:val="normal0"/>
    <w:pPr>
      <w:outlineLvl w:val="4"/>
    </w:pPr>
    <w:rPr>
      <w:color w:val="FFFFFF"/>
      <w:shd w:val="clear" w:color="auto" w:fill="9AA9A1"/>
    </w:rPr>
  </w:style>
  <w:style w:type="paragraph" w:styleId="Titre6">
    <w:name w:val="heading 6"/>
    <w:basedOn w:val="normal0"/>
    <w:next w:val="normal0"/>
    <w:pPr>
      <w:ind w:left="0"/>
      <w:outlineLvl w:val="5"/>
    </w:pPr>
    <w:rPr>
      <w:sz w:val="16"/>
      <w:shd w:val="clear" w:color="auto" w:fill="E4E4E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normal0">
    <w:name w:val="normal"/>
  </w:style>
  <w:style w:type="table" w:customStyle="1" w:styleId="TableNormal">
    <w:name w:val="Table Normal"/>
    <w:tblPr>
      <w:tblCellMar>
        <w:top w:w="0" w:type="dxa"/>
        <w:left w:w="0" w:type="dxa"/>
        <w:bottom w:w="0" w:type="dxa"/>
        <w:right w:w="0" w:type="dxa"/>
      </w:tblCellMar>
    </w:tblPr>
  </w:style>
  <w:style w:type="paragraph" w:styleId="Titre">
    <w:name w:val="Title"/>
    <w:basedOn w:val="normal0"/>
    <w:next w:val="normal0"/>
    <w:pPr>
      <w:spacing w:line="276" w:lineRule="auto"/>
      <w:ind w:left="0"/>
    </w:pPr>
    <w:rPr>
      <w:color w:val="7E8076"/>
      <w:sz w:val="96"/>
    </w:rPr>
  </w:style>
  <w:style w:type="paragraph" w:styleId="Sous-titre">
    <w:name w:val="Subtitle"/>
    <w:basedOn w:val="normal0"/>
    <w:next w:val="normal0"/>
    <w:pPr>
      <w:spacing w:line="276" w:lineRule="auto"/>
      <w:ind w:left="0"/>
      <w:jc w:val="right"/>
    </w:pPr>
    <w:rPr>
      <w:b/>
      <w:color w:val="FFFFFF"/>
      <w:sz w:val="22"/>
      <w:shd w:val="clear" w:color="auto" w:fill="9AA9A1"/>
    </w:rPr>
  </w:style>
  <w:style w:type="table" w:customStyle="1" w:styleId="a">
    <w:basedOn w:val="TableNormal"/>
    <w:tblPr>
      <w:tblStyleRowBandSize w:val="1"/>
      <w:tblStyleColBandSize w:val="1"/>
      <w:tblCellMar>
        <w:top w:w="0" w:type="dxa"/>
        <w:left w:w="0" w:type="dxa"/>
        <w:bottom w:w="0" w:type="dxa"/>
        <w:right w:w="0" w:type="dxa"/>
      </w:tblCellMar>
    </w:tblPr>
  </w:style>
  <w:style w:type="table" w:customStyle="1" w:styleId="a0">
    <w:basedOn w:val="TableNormal"/>
    <w:tblPr>
      <w:tblStyleRowBandSize w:val="1"/>
      <w:tblStyleColBandSize w:val="1"/>
      <w:tblCellMar>
        <w:top w:w="0" w:type="dxa"/>
        <w:left w:w="0" w:type="dxa"/>
        <w:bottom w:w="0" w:type="dxa"/>
        <w:right w:w="0" w:type="dxa"/>
      </w:tblCellMar>
    </w:tblPr>
  </w:style>
  <w:style w:type="table" w:customStyle="1" w:styleId="a1">
    <w:basedOn w:val="TableNormal"/>
    <w:tblPr>
      <w:tblStyleRowBandSize w:val="1"/>
      <w:tblStyleColBandSize w:val="1"/>
      <w:tblCellMar>
        <w:top w:w="0" w:type="dxa"/>
        <w:left w:w="0" w:type="dxa"/>
        <w:bottom w:w="0" w:type="dxa"/>
        <w:right w:w="0" w:type="dxa"/>
      </w:tblCellMar>
    </w:tblPr>
  </w:style>
  <w:style w:type="table" w:customStyle="1" w:styleId="a2">
    <w:basedOn w:val="TableNormal"/>
    <w:tblPr>
      <w:tblStyleRowBandSize w:val="1"/>
      <w:tblStyleColBandSize w:val="1"/>
      <w:tblCellMar>
        <w:top w:w="0" w:type="dxa"/>
        <w:left w:w="0" w:type="dxa"/>
        <w:bottom w:w="0" w:type="dxa"/>
        <w:right w:w="0" w:type="dxa"/>
      </w:tblCellMar>
    </w:tblPr>
  </w:style>
  <w:style w:type="table" w:customStyle="1" w:styleId="a3">
    <w:basedOn w:val="TableNormal"/>
    <w:tblPr>
      <w:tblStyleRowBandSize w:val="1"/>
      <w:tblStyleColBandSize w:val="1"/>
      <w:tblCellMar>
        <w:top w:w="0" w:type="dxa"/>
        <w:left w:w="0" w:type="dxa"/>
        <w:bottom w:w="0" w:type="dxa"/>
        <w:right w:w="0" w:type="dxa"/>
      </w:tblCellMar>
    </w:tblPr>
  </w:style>
  <w:style w:type="table" w:customStyle="1" w:styleId="a4">
    <w:basedOn w:val="TableNormal"/>
    <w:tblPr>
      <w:tblStyleRowBandSize w:val="1"/>
      <w:tblStyleColBandSize w:val="1"/>
      <w:tblCellMar>
        <w:top w:w="0" w:type="dxa"/>
        <w:left w:w="0" w:type="dxa"/>
        <w:bottom w:w="0" w:type="dxa"/>
        <w:right w:w="0" w:type="dxa"/>
      </w:tblCellMar>
    </w:tblPr>
  </w:style>
  <w:style w:type="character" w:styleId="Lienhypertexte">
    <w:name w:val="Hyperlink"/>
    <w:rsid w:val="003D087E"/>
    <w:rPr>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666666"/>
        <w:lang w:val="en-US" w:eastAsia="fr-FR" w:bidi="ar-SA"/>
      </w:rPr>
    </w:rPrDefault>
    <w:pPrDefault>
      <w:pPr>
        <w:widowControl w:val="0"/>
        <w:ind w:left="15"/>
        <w:contextualSpacing/>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0"/>
    <w:next w:val="normal0"/>
    <w:pPr>
      <w:outlineLvl w:val="0"/>
    </w:pPr>
    <w:rPr>
      <w:color w:val="9AA9A1"/>
      <w:sz w:val="22"/>
    </w:rPr>
  </w:style>
  <w:style w:type="paragraph" w:styleId="Titre2">
    <w:name w:val="heading 2"/>
    <w:basedOn w:val="normal0"/>
    <w:next w:val="normal0"/>
    <w:pPr>
      <w:outlineLvl w:val="1"/>
    </w:pPr>
    <w:rPr>
      <w:i/>
      <w:color w:val="999999"/>
      <w:sz w:val="22"/>
    </w:rPr>
  </w:style>
  <w:style w:type="paragraph" w:styleId="Titre3">
    <w:name w:val="heading 3"/>
    <w:basedOn w:val="normal0"/>
    <w:next w:val="normal0"/>
    <w:pPr>
      <w:spacing w:line="360" w:lineRule="auto"/>
      <w:outlineLvl w:val="2"/>
    </w:pPr>
    <w:rPr>
      <w:sz w:val="18"/>
    </w:rPr>
  </w:style>
  <w:style w:type="paragraph" w:styleId="Titre4">
    <w:name w:val="heading 4"/>
    <w:basedOn w:val="normal0"/>
    <w:next w:val="normal0"/>
    <w:pPr>
      <w:spacing w:line="360" w:lineRule="auto"/>
      <w:ind w:left="20"/>
      <w:outlineLvl w:val="3"/>
    </w:pPr>
    <w:rPr>
      <w:color w:val="434343"/>
      <w:sz w:val="16"/>
    </w:rPr>
  </w:style>
  <w:style w:type="paragraph" w:styleId="Titre5">
    <w:name w:val="heading 5"/>
    <w:basedOn w:val="normal0"/>
    <w:next w:val="normal0"/>
    <w:pPr>
      <w:outlineLvl w:val="4"/>
    </w:pPr>
    <w:rPr>
      <w:color w:val="FFFFFF"/>
      <w:shd w:val="clear" w:color="auto" w:fill="9AA9A1"/>
    </w:rPr>
  </w:style>
  <w:style w:type="paragraph" w:styleId="Titre6">
    <w:name w:val="heading 6"/>
    <w:basedOn w:val="normal0"/>
    <w:next w:val="normal0"/>
    <w:pPr>
      <w:ind w:left="0"/>
      <w:outlineLvl w:val="5"/>
    </w:pPr>
    <w:rPr>
      <w:sz w:val="16"/>
      <w:shd w:val="clear" w:color="auto" w:fill="E4E4E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normal0">
    <w:name w:val="normal"/>
  </w:style>
  <w:style w:type="table" w:customStyle="1" w:styleId="TableNormal">
    <w:name w:val="Table Normal"/>
    <w:tblPr>
      <w:tblCellMar>
        <w:top w:w="0" w:type="dxa"/>
        <w:left w:w="0" w:type="dxa"/>
        <w:bottom w:w="0" w:type="dxa"/>
        <w:right w:w="0" w:type="dxa"/>
      </w:tblCellMar>
    </w:tblPr>
  </w:style>
  <w:style w:type="paragraph" w:styleId="Titre">
    <w:name w:val="Title"/>
    <w:basedOn w:val="normal0"/>
    <w:next w:val="normal0"/>
    <w:pPr>
      <w:spacing w:line="276" w:lineRule="auto"/>
      <w:ind w:left="0"/>
    </w:pPr>
    <w:rPr>
      <w:color w:val="7E8076"/>
      <w:sz w:val="96"/>
    </w:rPr>
  </w:style>
  <w:style w:type="paragraph" w:styleId="Sous-titre">
    <w:name w:val="Subtitle"/>
    <w:basedOn w:val="normal0"/>
    <w:next w:val="normal0"/>
    <w:pPr>
      <w:spacing w:line="276" w:lineRule="auto"/>
      <w:ind w:left="0"/>
      <w:jc w:val="right"/>
    </w:pPr>
    <w:rPr>
      <w:b/>
      <w:color w:val="FFFFFF"/>
      <w:sz w:val="22"/>
      <w:shd w:val="clear" w:color="auto" w:fill="9AA9A1"/>
    </w:rPr>
  </w:style>
  <w:style w:type="table" w:customStyle="1" w:styleId="a">
    <w:basedOn w:val="TableNormal"/>
    <w:tblPr>
      <w:tblStyleRowBandSize w:val="1"/>
      <w:tblStyleColBandSize w:val="1"/>
      <w:tblCellMar>
        <w:top w:w="0" w:type="dxa"/>
        <w:left w:w="0" w:type="dxa"/>
        <w:bottom w:w="0" w:type="dxa"/>
        <w:right w:w="0" w:type="dxa"/>
      </w:tblCellMar>
    </w:tblPr>
  </w:style>
  <w:style w:type="table" w:customStyle="1" w:styleId="a0">
    <w:basedOn w:val="TableNormal"/>
    <w:tblPr>
      <w:tblStyleRowBandSize w:val="1"/>
      <w:tblStyleColBandSize w:val="1"/>
      <w:tblCellMar>
        <w:top w:w="0" w:type="dxa"/>
        <w:left w:w="0" w:type="dxa"/>
        <w:bottom w:w="0" w:type="dxa"/>
        <w:right w:w="0" w:type="dxa"/>
      </w:tblCellMar>
    </w:tblPr>
  </w:style>
  <w:style w:type="table" w:customStyle="1" w:styleId="a1">
    <w:basedOn w:val="TableNormal"/>
    <w:tblPr>
      <w:tblStyleRowBandSize w:val="1"/>
      <w:tblStyleColBandSize w:val="1"/>
      <w:tblCellMar>
        <w:top w:w="0" w:type="dxa"/>
        <w:left w:w="0" w:type="dxa"/>
        <w:bottom w:w="0" w:type="dxa"/>
        <w:right w:w="0" w:type="dxa"/>
      </w:tblCellMar>
    </w:tblPr>
  </w:style>
  <w:style w:type="table" w:customStyle="1" w:styleId="a2">
    <w:basedOn w:val="TableNormal"/>
    <w:tblPr>
      <w:tblStyleRowBandSize w:val="1"/>
      <w:tblStyleColBandSize w:val="1"/>
      <w:tblCellMar>
        <w:top w:w="0" w:type="dxa"/>
        <w:left w:w="0" w:type="dxa"/>
        <w:bottom w:w="0" w:type="dxa"/>
        <w:right w:w="0" w:type="dxa"/>
      </w:tblCellMar>
    </w:tblPr>
  </w:style>
  <w:style w:type="table" w:customStyle="1" w:styleId="a3">
    <w:basedOn w:val="TableNormal"/>
    <w:tblPr>
      <w:tblStyleRowBandSize w:val="1"/>
      <w:tblStyleColBandSize w:val="1"/>
      <w:tblCellMar>
        <w:top w:w="0" w:type="dxa"/>
        <w:left w:w="0" w:type="dxa"/>
        <w:bottom w:w="0" w:type="dxa"/>
        <w:right w:w="0" w:type="dxa"/>
      </w:tblCellMar>
    </w:tblPr>
  </w:style>
  <w:style w:type="table" w:customStyle="1" w:styleId="a4">
    <w:basedOn w:val="TableNormal"/>
    <w:tblPr>
      <w:tblStyleRowBandSize w:val="1"/>
      <w:tblStyleColBandSize w:val="1"/>
      <w:tblCellMar>
        <w:top w:w="0" w:type="dxa"/>
        <w:left w:w="0" w:type="dxa"/>
        <w:bottom w:w="0" w:type="dxa"/>
        <w:right w:w="0" w:type="dxa"/>
      </w:tblCellMar>
    </w:tblPr>
  </w:style>
  <w:style w:type="character" w:styleId="Lienhypertexte">
    <w:name w:val="Hyperlink"/>
    <w:rsid w:val="003D087E"/>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microsoft.com/office/2007/relationships/stylesWithEffects" Target="stylesWithEffects.xml"/><Relationship Id="rId6" Type="http://schemas.openxmlformats.org/officeDocument/2006/relationships/endnotes" Target="endnotes.xml"/><Relationship Id="rId1" Type="http://schemas.openxmlformats.org/officeDocument/2006/relationships/styles" Target="styl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9F6F10-2A5C-4881-B2B4-630CE8EBF238}"/>
</file>

<file path=customXml/itemProps2.xml><?xml version="1.0" encoding="utf-8"?>
<ds:datastoreItem xmlns:ds="http://schemas.openxmlformats.org/officeDocument/2006/customXml" ds:itemID="{EF2A8956-0CC2-40AC-9F5F-94835E11F999}"/>
</file>

<file path=customXml/itemProps3.xml><?xml version="1.0" encoding="utf-8"?>
<ds:datastoreItem xmlns:ds="http://schemas.openxmlformats.org/officeDocument/2006/customXml" ds:itemID="{70341A4F-0B7A-4E01-8531-BD56C461D297}"/>
</file>

<file path=docProps/app.xml><?xml version="1.0" encoding="utf-8"?>
<Properties xmlns="http://schemas.openxmlformats.org/officeDocument/2006/extended-properties" xmlns:vt="http://schemas.openxmlformats.org/officeDocument/2006/docPropsVTypes">
  <Template>Normal.dotm</Template>
  <TotalTime>3</TotalTime>
  <Pages>5</Pages>
  <Words>2361</Words>
  <Characters>12990</Characters>
  <Application>Microsoft Macintosh Word</Application>
  <DocSecurity>0</DocSecurity>
  <Lines>108</Lines>
  <Paragraphs>30</Paragraphs>
  <ScaleCrop>false</ScaleCrop>
  <Company>CCPR-Centre</Company>
  <LinksUpToDate>false</LinksUpToDate>
  <CharactersWithSpaces>15321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 Report - Uruguay - Spanish.docx</dc:title>
  <cp:lastModifiedBy>Andrea M.</cp:lastModifiedBy>
  <cp:revision>5</cp:revision>
  <cp:lastPrinted>2015-01-29T17:31:00Z</cp:lastPrinted>
  <dcterms:created xsi:type="dcterms:W3CDTF">2015-01-29T17:14:00Z</dcterms:created>
  <dcterms:modified xsi:type="dcterms:W3CDTF">2015-01-29T17:35:00Z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