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1CA12" w14:textId="77777777" w:rsidR="00C05D9B" w:rsidRPr="004B1E4E" w:rsidRDefault="00C05D9B" w:rsidP="00626C39">
      <w:pPr>
        <w:rPr>
          <w:color w:val="auto"/>
          <w:sz w:val="24"/>
          <w:szCs w:val="24"/>
        </w:rPr>
      </w:pPr>
      <w:bookmarkStart w:id="0" w:name="_GoBack"/>
      <w:bookmarkEnd w:id="0"/>
    </w:p>
    <w:p w14:paraId="1C720C6D" w14:textId="77777777" w:rsidR="005403E3" w:rsidRPr="004B1E4E" w:rsidRDefault="005403E3" w:rsidP="00626C39">
      <w:pPr>
        <w:rPr>
          <w:color w:val="auto"/>
          <w:sz w:val="24"/>
          <w:szCs w:val="24"/>
        </w:rPr>
      </w:pPr>
    </w:p>
    <w:p w14:paraId="5E537D0D" w14:textId="02337420" w:rsidR="005403E3" w:rsidRPr="004B1E4E" w:rsidRDefault="070D1478" w:rsidP="070D1478">
      <w:pPr>
        <w:jc w:val="center"/>
        <w:rPr>
          <w:b/>
          <w:bCs/>
          <w:color w:val="auto"/>
          <w:sz w:val="24"/>
          <w:szCs w:val="24"/>
        </w:rPr>
      </w:pPr>
      <w:r w:rsidRPr="070D1478">
        <w:rPr>
          <w:b/>
          <w:bCs/>
          <w:color w:val="auto"/>
          <w:sz w:val="24"/>
          <w:szCs w:val="24"/>
        </w:rPr>
        <w:t>IRAQ</w:t>
      </w:r>
    </w:p>
    <w:p w14:paraId="3D1D253A" w14:textId="405B2545" w:rsidR="003720E6" w:rsidRDefault="004B1E4E" w:rsidP="003720E6">
      <w:pPr>
        <w:jc w:val="center"/>
        <w:rPr>
          <w:b/>
          <w:bCs/>
          <w:color w:val="000000" w:themeColor="text1"/>
          <w:sz w:val="24"/>
          <w:szCs w:val="24"/>
        </w:rPr>
      </w:pPr>
      <w:r w:rsidRPr="070D1478">
        <w:rPr>
          <w:b/>
          <w:bCs/>
          <w:sz w:val="24"/>
          <w:szCs w:val="24"/>
        </w:rPr>
        <w:t xml:space="preserve">Compliance with </w:t>
      </w:r>
      <w:r w:rsidR="003720E6" w:rsidRPr="070D1478">
        <w:rPr>
          <w:b/>
          <w:bCs/>
          <w:color w:val="000000" w:themeColor="text1"/>
          <w:sz w:val="24"/>
          <w:szCs w:val="24"/>
        </w:rPr>
        <w:t>the Convention against Torture and Other Cruel, Inhuman or</w:t>
      </w:r>
    </w:p>
    <w:p w14:paraId="1D74F83A" w14:textId="53B74C13" w:rsidR="003720E6" w:rsidRDefault="003720E6" w:rsidP="003720E6">
      <w:pPr>
        <w:jc w:val="center"/>
        <w:rPr>
          <w:b/>
          <w:bCs/>
          <w:color w:val="000000" w:themeColor="text1"/>
          <w:sz w:val="24"/>
          <w:szCs w:val="24"/>
        </w:rPr>
      </w:pPr>
      <w:r w:rsidRPr="21594AF3">
        <w:rPr>
          <w:b/>
          <w:bCs/>
          <w:color w:val="000000" w:themeColor="text1"/>
          <w:sz w:val="24"/>
          <w:szCs w:val="24"/>
        </w:rPr>
        <w:t>Degrading Treatment or Punishment</w:t>
      </w:r>
      <w:r>
        <w:rPr>
          <w:b/>
          <w:bCs/>
          <w:color w:val="000000" w:themeColor="text1"/>
          <w:sz w:val="24"/>
          <w:szCs w:val="24"/>
        </w:rPr>
        <w:t>:</w:t>
      </w:r>
      <w:r w:rsidR="00EF345A">
        <w:rPr>
          <w:b/>
          <w:bCs/>
          <w:color w:val="000000" w:themeColor="text1"/>
          <w:sz w:val="24"/>
          <w:szCs w:val="24"/>
        </w:rPr>
        <w:t xml:space="preserve"> </w:t>
      </w:r>
    </w:p>
    <w:p w14:paraId="3D64A5D4" w14:textId="1350CA7E" w:rsidR="003720E6" w:rsidRDefault="003720E6" w:rsidP="003720E6">
      <w:pPr>
        <w:jc w:val="center"/>
        <w:rPr>
          <w:b/>
          <w:bCs/>
          <w:color w:val="000000" w:themeColor="text1"/>
          <w:sz w:val="24"/>
          <w:szCs w:val="24"/>
        </w:rPr>
      </w:pPr>
      <w:r>
        <w:rPr>
          <w:b/>
          <w:bCs/>
          <w:color w:val="000000" w:themeColor="text1"/>
          <w:sz w:val="24"/>
          <w:szCs w:val="24"/>
        </w:rPr>
        <w:t>T</w:t>
      </w:r>
      <w:r w:rsidRPr="21594AF3">
        <w:rPr>
          <w:b/>
          <w:bCs/>
          <w:color w:val="000000" w:themeColor="text1"/>
          <w:sz w:val="24"/>
          <w:szCs w:val="24"/>
        </w:rPr>
        <w:t>he Death Penalty</w:t>
      </w:r>
    </w:p>
    <w:p w14:paraId="43F13231" w14:textId="593A903A" w:rsidR="004B1E4E" w:rsidRPr="004B1E4E" w:rsidRDefault="004B1E4E" w:rsidP="004B1E4E">
      <w:pPr>
        <w:jc w:val="center"/>
        <w:rPr>
          <w:b/>
          <w:sz w:val="24"/>
          <w:szCs w:val="24"/>
        </w:rPr>
      </w:pPr>
    </w:p>
    <w:p w14:paraId="171F4CCF" w14:textId="77777777" w:rsidR="004B1E4E" w:rsidRPr="004B1E4E" w:rsidRDefault="004B1E4E" w:rsidP="004B1E4E">
      <w:pPr>
        <w:jc w:val="center"/>
        <w:rPr>
          <w:sz w:val="24"/>
          <w:szCs w:val="24"/>
        </w:rPr>
      </w:pPr>
    </w:p>
    <w:p w14:paraId="26D24DDC" w14:textId="77777777" w:rsidR="004B1E4E" w:rsidRPr="004B1E4E" w:rsidRDefault="004B1E4E" w:rsidP="004B1E4E">
      <w:pPr>
        <w:jc w:val="center"/>
        <w:rPr>
          <w:b/>
          <w:sz w:val="24"/>
          <w:szCs w:val="24"/>
        </w:rPr>
      </w:pPr>
      <w:r w:rsidRPr="004B1E4E">
        <w:rPr>
          <w:b/>
          <w:sz w:val="24"/>
          <w:szCs w:val="24"/>
        </w:rPr>
        <w:t xml:space="preserve">Submitted by </w:t>
      </w:r>
      <w:r w:rsidR="00AA7FCB">
        <w:rPr>
          <w:b/>
          <w:sz w:val="24"/>
          <w:szCs w:val="24"/>
        </w:rPr>
        <w:t>T</w:t>
      </w:r>
      <w:r w:rsidRPr="004B1E4E">
        <w:rPr>
          <w:b/>
          <w:sz w:val="24"/>
          <w:szCs w:val="24"/>
        </w:rPr>
        <w:t>he Advocates for Human Rights</w:t>
      </w:r>
    </w:p>
    <w:p w14:paraId="6D01AE49" w14:textId="77777777" w:rsidR="004B1E4E" w:rsidRPr="004B1E4E" w:rsidRDefault="004B1E4E" w:rsidP="004B1E4E">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74881DA7" w14:textId="1A77D9BF" w:rsidR="004B1E4E" w:rsidRDefault="003720E6" w:rsidP="004B1E4E">
      <w:pPr>
        <w:jc w:val="center"/>
        <w:rPr>
          <w:sz w:val="24"/>
          <w:szCs w:val="24"/>
        </w:rPr>
      </w:pPr>
      <w:r>
        <w:rPr>
          <w:sz w:val="24"/>
          <w:szCs w:val="24"/>
        </w:rPr>
        <w:t xml:space="preserve">and </w:t>
      </w:r>
    </w:p>
    <w:p w14:paraId="4970EF81" w14:textId="38606761" w:rsidR="003720E6" w:rsidRDefault="003720E6" w:rsidP="004B1E4E">
      <w:pPr>
        <w:jc w:val="center"/>
        <w:rPr>
          <w:b/>
          <w:bCs/>
          <w:sz w:val="24"/>
          <w:szCs w:val="24"/>
        </w:rPr>
      </w:pPr>
      <w:r>
        <w:rPr>
          <w:b/>
          <w:bCs/>
          <w:sz w:val="24"/>
          <w:szCs w:val="24"/>
        </w:rPr>
        <w:t>The World Coalition Against the Death Penalty</w:t>
      </w:r>
    </w:p>
    <w:p w14:paraId="4B31C0CD" w14:textId="77777777" w:rsidR="003720E6" w:rsidRPr="003720E6" w:rsidRDefault="003720E6" w:rsidP="004B1E4E">
      <w:pPr>
        <w:jc w:val="center"/>
        <w:rPr>
          <w:b/>
          <w:bCs/>
          <w:sz w:val="24"/>
          <w:szCs w:val="24"/>
        </w:rPr>
      </w:pPr>
    </w:p>
    <w:p w14:paraId="440150AA" w14:textId="77777777" w:rsidR="00942285" w:rsidRPr="00067C2F" w:rsidRDefault="00942285" w:rsidP="00942285">
      <w:pPr>
        <w:shd w:val="clear" w:color="auto" w:fill="FFFFFF"/>
        <w:jc w:val="center"/>
        <w:rPr>
          <w:sz w:val="24"/>
          <w:szCs w:val="24"/>
        </w:rPr>
      </w:pPr>
      <w:r w:rsidRPr="00067C2F">
        <w:rPr>
          <w:b/>
          <w:sz w:val="24"/>
          <w:szCs w:val="24"/>
        </w:rPr>
        <w:t>for the 73</w:t>
      </w:r>
      <w:r w:rsidRPr="00837FDE">
        <w:rPr>
          <w:b/>
          <w:sz w:val="24"/>
          <w:szCs w:val="24"/>
        </w:rPr>
        <w:t>rd</w:t>
      </w:r>
      <w:r w:rsidRPr="00067C2F">
        <w:rPr>
          <w:b/>
          <w:sz w:val="24"/>
          <w:szCs w:val="24"/>
        </w:rPr>
        <w:t xml:space="preserve"> Session of the Committee against Torture </w:t>
      </w:r>
    </w:p>
    <w:p w14:paraId="018065C6" w14:textId="77777777" w:rsidR="00942285" w:rsidRPr="00067C2F" w:rsidRDefault="00942285" w:rsidP="00942285">
      <w:pPr>
        <w:shd w:val="clear" w:color="auto" w:fill="FFFFFF"/>
        <w:jc w:val="center"/>
        <w:rPr>
          <w:sz w:val="24"/>
          <w:szCs w:val="24"/>
        </w:rPr>
      </w:pPr>
      <w:r w:rsidRPr="00067C2F">
        <w:rPr>
          <w:b/>
          <w:sz w:val="24"/>
          <w:szCs w:val="24"/>
        </w:rPr>
        <w:t>19 April–13 May 2022</w:t>
      </w:r>
    </w:p>
    <w:p w14:paraId="35CD1281" w14:textId="77777777" w:rsidR="00942285" w:rsidRPr="00067C2F" w:rsidRDefault="00942285" w:rsidP="00942285">
      <w:pPr>
        <w:shd w:val="clear" w:color="auto" w:fill="FFFFFF"/>
        <w:jc w:val="center"/>
        <w:rPr>
          <w:sz w:val="24"/>
          <w:szCs w:val="24"/>
        </w:rPr>
      </w:pPr>
      <w:r w:rsidRPr="00067C2F">
        <w:rPr>
          <w:sz w:val="24"/>
          <w:szCs w:val="24"/>
        </w:rPr>
        <w:t xml:space="preserve"> </w:t>
      </w:r>
    </w:p>
    <w:p w14:paraId="174BB3D6" w14:textId="77777777" w:rsidR="00942285" w:rsidRPr="005E79E1" w:rsidRDefault="00942285" w:rsidP="00942285">
      <w:pPr>
        <w:jc w:val="center"/>
        <w:rPr>
          <w:sz w:val="24"/>
          <w:szCs w:val="24"/>
          <w:lang w:val="en-GB"/>
        </w:rPr>
      </w:pPr>
      <w:r w:rsidRPr="00067C2F">
        <w:rPr>
          <w:b/>
          <w:sz w:val="24"/>
          <w:szCs w:val="24"/>
        </w:rPr>
        <w:t>Submitted 18 March 2022</w:t>
      </w:r>
    </w:p>
    <w:p w14:paraId="5F0F5054" w14:textId="77777777" w:rsidR="001565F9" w:rsidRPr="005E79E1" w:rsidRDefault="001565F9" w:rsidP="005132BB">
      <w:pPr>
        <w:rPr>
          <w:sz w:val="24"/>
          <w:szCs w:val="24"/>
          <w:lang w:val="en-GB"/>
        </w:rPr>
      </w:pPr>
    </w:p>
    <w:p w14:paraId="69899961" w14:textId="77777777" w:rsidR="005132BB" w:rsidRPr="004B1E4E" w:rsidRDefault="005132BB" w:rsidP="00626C39">
      <w:pPr>
        <w:rPr>
          <w:color w:val="auto"/>
          <w:sz w:val="24"/>
          <w:szCs w:val="24"/>
        </w:rPr>
      </w:pPr>
    </w:p>
    <w:p w14:paraId="64B92EAF" w14:textId="2ACDAA62" w:rsidR="27553789" w:rsidRDefault="004B1E4E" w:rsidP="20EBB8F7">
      <w:pPr>
        <w:jc w:val="both"/>
        <w:rPr>
          <w:sz w:val="24"/>
          <w:szCs w:val="24"/>
        </w:rPr>
      </w:pPr>
      <w:r w:rsidRPr="004B1E4E">
        <w:rPr>
          <w:b/>
          <w:sz w:val="24"/>
          <w:szCs w:val="24"/>
        </w:rPr>
        <w:t xml:space="preserve">The Advocates for Human Rights </w:t>
      </w:r>
      <w:r w:rsidRPr="004B1E4E">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5E79E1">
        <w:rPr>
          <w:sz w:val="24"/>
          <w:szCs w:val="24"/>
          <w:lang w:val="en-GB"/>
        </w:rPr>
        <w:t>including</w:t>
      </w:r>
      <w:r w:rsidRPr="004B1E4E">
        <w:rPr>
          <w:sz w:val="24"/>
          <w:szCs w:val="24"/>
        </w:rPr>
        <w:t xml:space="preserve"> monitoring and fact finding, direct legal representation, education and training, and publications. </w:t>
      </w:r>
      <w:r w:rsidR="27553789" w:rsidRPr="20EBB8F7">
        <w:rPr>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96BCF70" w14:textId="77777777" w:rsidR="0025778F" w:rsidRDefault="0025778F" w:rsidP="20EBB8F7">
      <w:pPr>
        <w:jc w:val="both"/>
        <w:rPr>
          <w:sz w:val="24"/>
          <w:szCs w:val="24"/>
        </w:rPr>
      </w:pPr>
    </w:p>
    <w:p w14:paraId="437D6A19" w14:textId="77777777" w:rsidR="008618C7" w:rsidRDefault="008618C7" w:rsidP="008618C7">
      <w:pPr>
        <w:jc w:val="both"/>
        <w:rPr>
          <w:sz w:val="24"/>
          <w:szCs w:val="24"/>
        </w:rPr>
      </w:pPr>
      <w:r w:rsidRPr="21594AF3">
        <w:rPr>
          <w:b/>
          <w:bCs/>
          <w:sz w:val="24"/>
          <w:szCs w:val="24"/>
        </w:rPr>
        <w:t>The World Coalition Against the Death Penalty</w:t>
      </w:r>
      <w:r w:rsidRPr="21594AF3">
        <w:rPr>
          <w:sz w:val="24"/>
          <w:szCs w:val="24"/>
        </w:rPr>
        <w:t>, an alliance of more than 150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57ADD97D" w14:textId="77777777" w:rsidR="008618C7" w:rsidRDefault="008618C7" w:rsidP="20EBB8F7">
      <w:pPr>
        <w:jc w:val="both"/>
        <w:rPr>
          <w:sz w:val="24"/>
          <w:szCs w:val="24"/>
        </w:rPr>
      </w:pPr>
    </w:p>
    <w:p w14:paraId="7AE434B8" w14:textId="77777777" w:rsidR="00F4107A" w:rsidRPr="00F4107A" w:rsidRDefault="00F4107A" w:rsidP="00626C39">
      <w:pPr>
        <w:rPr>
          <w:color w:val="auto"/>
          <w:sz w:val="24"/>
          <w:szCs w:val="24"/>
        </w:rPr>
      </w:pPr>
    </w:p>
    <w:p w14:paraId="1FC77D31" w14:textId="77777777" w:rsidR="004B1E4E" w:rsidRPr="004B1E4E" w:rsidRDefault="004B1E4E" w:rsidP="004B1E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431A8E80" w14:textId="77777777" w:rsidR="004B1E4E" w:rsidRDefault="004B1E4E" w:rsidP="00626C39">
      <w:pPr>
        <w:rPr>
          <w:color w:val="auto"/>
          <w:sz w:val="24"/>
          <w:szCs w:val="24"/>
        </w:rPr>
      </w:pPr>
    </w:p>
    <w:p w14:paraId="6CD9AC33" w14:textId="12C5C8F9" w:rsidR="004B1E4E" w:rsidRDefault="00592E57" w:rsidP="007B46CD">
      <w:pPr>
        <w:numPr>
          <w:ilvl w:val="0"/>
          <w:numId w:val="7"/>
        </w:numPr>
        <w:spacing w:after="120"/>
        <w:ind w:left="360"/>
        <w:jc w:val="both"/>
        <w:rPr>
          <w:color w:val="auto"/>
          <w:sz w:val="24"/>
          <w:szCs w:val="24"/>
        </w:rPr>
      </w:pPr>
      <w:r>
        <w:rPr>
          <w:color w:val="auto"/>
          <w:sz w:val="24"/>
          <w:szCs w:val="24"/>
        </w:rPr>
        <w:t>This report provides an update to the coauthors</w:t>
      </w:r>
      <w:r w:rsidR="0037663B">
        <w:rPr>
          <w:color w:val="auto"/>
          <w:sz w:val="24"/>
          <w:szCs w:val="24"/>
        </w:rPr>
        <w:t>’</w:t>
      </w:r>
      <w:r>
        <w:rPr>
          <w:color w:val="auto"/>
          <w:sz w:val="24"/>
          <w:szCs w:val="24"/>
        </w:rPr>
        <w:t xml:space="preserve"> report at the List of issues stage</w:t>
      </w:r>
      <w:r w:rsidR="00B867A2">
        <w:rPr>
          <w:rStyle w:val="FootnoteReference"/>
          <w:color w:val="auto"/>
          <w:sz w:val="24"/>
          <w:szCs w:val="24"/>
        </w:rPr>
        <w:footnoteReference w:id="2"/>
      </w:r>
      <w:r w:rsidR="00B867A2">
        <w:rPr>
          <w:color w:val="auto"/>
          <w:sz w:val="24"/>
          <w:szCs w:val="24"/>
        </w:rPr>
        <w:t xml:space="preserve"> and responds to the State party’s responses to the Committee’s questions in the List of issues that touch on the death penalty.</w:t>
      </w:r>
    </w:p>
    <w:p w14:paraId="75B00959" w14:textId="6EAF3126" w:rsidR="008F2F99" w:rsidRDefault="00A33E27" w:rsidP="008F2F99">
      <w:pPr>
        <w:spacing w:after="120"/>
        <w:jc w:val="center"/>
        <w:rPr>
          <w:b/>
          <w:color w:val="auto"/>
          <w:sz w:val="24"/>
          <w:szCs w:val="24"/>
        </w:rPr>
      </w:pPr>
      <w:r>
        <w:rPr>
          <w:b/>
          <w:color w:val="auto"/>
          <w:sz w:val="24"/>
          <w:szCs w:val="24"/>
        </w:rPr>
        <w:t>Iraq</w:t>
      </w:r>
      <w:r w:rsidR="008F2F99" w:rsidRPr="008F2F99">
        <w:rPr>
          <w:b/>
          <w:color w:val="auto"/>
          <w:sz w:val="24"/>
          <w:szCs w:val="24"/>
        </w:rPr>
        <w:t xml:space="preserve"> fails to uphold its obligations under the </w:t>
      </w:r>
      <w:r>
        <w:rPr>
          <w:b/>
          <w:color w:val="auto"/>
          <w:sz w:val="24"/>
          <w:szCs w:val="24"/>
        </w:rPr>
        <w:t>Convention against Torture with respect to the death penalty (List of issues paragraph 26, art. 16)</w:t>
      </w:r>
    </w:p>
    <w:p w14:paraId="639881D3" w14:textId="070A0271" w:rsidR="00757A1C" w:rsidRPr="009E3316" w:rsidRDefault="009E3316" w:rsidP="00AC040C">
      <w:pPr>
        <w:numPr>
          <w:ilvl w:val="0"/>
          <w:numId w:val="7"/>
        </w:numPr>
        <w:spacing w:after="120"/>
        <w:ind w:left="360"/>
        <w:jc w:val="both"/>
        <w:rPr>
          <w:color w:val="auto"/>
          <w:sz w:val="24"/>
          <w:szCs w:val="24"/>
        </w:rPr>
      </w:pPr>
      <w:r>
        <w:rPr>
          <w:color w:val="auto"/>
          <w:sz w:val="24"/>
          <w:szCs w:val="24"/>
        </w:rPr>
        <w:t>The Committee</w:t>
      </w:r>
      <w:r w:rsidR="00B40E78">
        <w:rPr>
          <w:color w:val="auto"/>
          <w:sz w:val="24"/>
          <w:szCs w:val="24"/>
        </w:rPr>
        <w:t xml:space="preserve"> in its List of issues inquired as to “whether the State party has reconsidered its position regarding the possibility of abolishing the death penalty and, in the meantime, establishing a moratorium on executions.</w:t>
      </w:r>
      <w:r w:rsidR="004262B2">
        <w:rPr>
          <w:color w:val="auto"/>
          <w:sz w:val="24"/>
          <w:szCs w:val="24"/>
        </w:rPr>
        <w:t>”</w:t>
      </w:r>
      <w:r w:rsidR="004D51DD" w:rsidRPr="009E3316">
        <w:rPr>
          <w:rStyle w:val="FootnoteReference"/>
          <w:color w:val="auto"/>
          <w:sz w:val="24"/>
          <w:szCs w:val="24"/>
        </w:rPr>
        <w:footnoteReference w:id="3"/>
      </w:r>
    </w:p>
    <w:p w14:paraId="6BCB9A46" w14:textId="78FD84D7" w:rsidR="00F16374" w:rsidRDefault="00E64A93" w:rsidP="00F16374">
      <w:pPr>
        <w:numPr>
          <w:ilvl w:val="0"/>
          <w:numId w:val="7"/>
        </w:numPr>
        <w:spacing w:after="120"/>
        <w:ind w:left="360"/>
        <w:jc w:val="both"/>
        <w:rPr>
          <w:color w:val="auto"/>
          <w:sz w:val="24"/>
          <w:szCs w:val="24"/>
        </w:rPr>
      </w:pPr>
      <w:r>
        <w:rPr>
          <w:color w:val="auto"/>
          <w:sz w:val="24"/>
          <w:szCs w:val="24"/>
        </w:rPr>
        <w:t xml:space="preserve">In response to the List of issues, the Iraqi Government </w:t>
      </w:r>
      <w:r w:rsidR="00F80FD1">
        <w:rPr>
          <w:color w:val="auto"/>
          <w:sz w:val="24"/>
          <w:szCs w:val="24"/>
        </w:rPr>
        <w:t>asserted that its use of the death penalty “is restricted to the most serious offences; those that affect the right to life or the peace and security of society.</w:t>
      </w:r>
      <w:r w:rsidR="00AD6FF1">
        <w:rPr>
          <w:color w:val="auto"/>
          <w:sz w:val="24"/>
          <w:szCs w:val="24"/>
        </w:rPr>
        <w:t>”</w:t>
      </w:r>
      <w:r w:rsidR="007C7CCE" w:rsidRPr="00AC040C">
        <w:rPr>
          <w:rStyle w:val="FootnoteReference"/>
          <w:color w:val="auto"/>
          <w:sz w:val="24"/>
          <w:szCs w:val="24"/>
        </w:rPr>
        <w:footnoteReference w:id="4"/>
      </w:r>
      <w:r w:rsidR="00AD6FF1">
        <w:rPr>
          <w:color w:val="auto"/>
          <w:sz w:val="24"/>
          <w:szCs w:val="24"/>
        </w:rPr>
        <w:t xml:space="preserve"> The Iraqi Government added that its use of the death penalty “has been reduced to a limited number of offences defined by law”</w:t>
      </w:r>
      <w:r w:rsidR="00AD6FF1" w:rsidRPr="00AC040C">
        <w:rPr>
          <w:rStyle w:val="FootnoteReference"/>
          <w:color w:val="auto"/>
          <w:sz w:val="24"/>
          <w:szCs w:val="24"/>
        </w:rPr>
        <w:footnoteReference w:id="5"/>
      </w:r>
    </w:p>
    <w:p w14:paraId="1C78FBA2" w14:textId="68D549DF" w:rsidR="00BE553F" w:rsidRDefault="00BE553F" w:rsidP="00F16374">
      <w:pPr>
        <w:numPr>
          <w:ilvl w:val="0"/>
          <w:numId w:val="7"/>
        </w:numPr>
        <w:spacing w:after="120"/>
        <w:ind w:left="360"/>
        <w:jc w:val="both"/>
        <w:rPr>
          <w:color w:val="auto"/>
          <w:sz w:val="24"/>
          <w:szCs w:val="24"/>
        </w:rPr>
      </w:pPr>
      <w:r>
        <w:rPr>
          <w:color w:val="auto"/>
          <w:sz w:val="24"/>
          <w:szCs w:val="24"/>
        </w:rPr>
        <w:t xml:space="preserve">As </w:t>
      </w:r>
      <w:r w:rsidR="00296417">
        <w:rPr>
          <w:color w:val="auto"/>
          <w:sz w:val="24"/>
          <w:szCs w:val="24"/>
        </w:rPr>
        <w:t>described in greater detail in the coauthors’ previous report, Iraq retains the death penalty for a wide range of offenses</w:t>
      </w:r>
      <w:r w:rsidR="003C7846">
        <w:rPr>
          <w:color w:val="auto"/>
          <w:sz w:val="24"/>
          <w:szCs w:val="24"/>
        </w:rPr>
        <w:t>, most of which do not involve an intentional killing on the part of the person being sentenced to death.</w:t>
      </w:r>
      <w:r w:rsidR="003C7846">
        <w:rPr>
          <w:rStyle w:val="FootnoteReference"/>
          <w:color w:val="auto"/>
          <w:sz w:val="24"/>
          <w:szCs w:val="24"/>
        </w:rPr>
        <w:footnoteReference w:id="6"/>
      </w:r>
    </w:p>
    <w:p w14:paraId="55ECA6D8" w14:textId="5DB93193" w:rsidR="00C86902" w:rsidRDefault="004A6010" w:rsidP="00F16374">
      <w:pPr>
        <w:numPr>
          <w:ilvl w:val="0"/>
          <w:numId w:val="7"/>
        </w:numPr>
        <w:spacing w:after="120"/>
        <w:ind w:left="360"/>
        <w:jc w:val="both"/>
        <w:rPr>
          <w:color w:val="auto"/>
          <w:sz w:val="24"/>
          <w:szCs w:val="24"/>
        </w:rPr>
      </w:pPr>
      <w:r>
        <w:rPr>
          <w:color w:val="auto"/>
          <w:sz w:val="24"/>
          <w:szCs w:val="24"/>
        </w:rPr>
        <w:t xml:space="preserve">In November 2020, the Special Rapporteur on Torture, the Special Rapporteur on the promotion and protection of human rights while countering terrorism, and the Special Rapporteur on extrajudicial, summary or arbitrary executions issued a statement </w:t>
      </w:r>
      <w:r w:rsidR="00F07FC3">
        <w:rPr>
          <w:color w:val="auto"/>
          <w:sz w:val="24"/>
          <w:szCs w:val="24"/>
        </w:rPr>
        <w:t xml:space="preserve">expressing their alarm at reports that since October 2020, Iraqi authorities had “reportedly initiated a wave of </w:t>
      </w:r>
      <w:r w:rsidR="002C75D1">
        <w:rPr>
          <w:color w:val="auto"/>
          <w:sz w:val="24"/>
          <w:szCs w:val="24"/>
        </w:rPr>
        <w:t xml:space="preserve">executions of prisoners on death row at the </w:t>
      </w:r>
      <w:proofErr w:type="spellStart"/>
      <w:r w:rsidR="002C75D1">
        <w:rPr>
          <w:color w:val="auto"/>
          <w:sz w:val="24"/>
          <w:szCs w:val="24"/>
        </w:rPr>
        <w:t>Nasiriyah</w:t>
      </w:r>
      <w:proofErr w:type="spellEnd"/>
      <w:r w:rsidR="002C75D1">
        <w:rPr>
          <w:color w:val="auto"/>
          <w:sz w:val="24"/>
          <w:szCs w:val="24"/>
        </w:rPr>
        <w:t xml:space="preserve"> central prison (also known as al-Hoot prison). Twenty-one were executed during October, followed by another 21 on 16 November alone, in what seems to be part of a larger plan to execute all prisoners on death row.</w:t>
      </w:r>
      <w:r w:rsidR="00C92396">
        <w:rPr>
          <w:color w:val="auto"/>
          <w:sz w:val="24"/>
          <w:szCs w:val="24"/>
        </w:rPr>
        <w:t>”</w:t>
      </w:r>
      <w:r w:rsidR="00C92396">
        <w:rPr>
          <w:rStyle w:val="FootnoteReference"/>
          <w:color w:val="auto"/>
          <w:sz w:val="24"/>
          <w:szCs w:val="24"/>
        </w:rPr>
        <w:footnoteReference w:id="7"/>
      </w:r>
      <w:r w:rsidR="00BA2581">
        <w:rPr>
          <w:color w:val="auto"/>
          <w:sz w:val="24"/>
          <w:szCs w:val="24"/>
        </w:rPr>
        <w:t xml:space="preserve"> The experts estimated that approximately 4,000 people were on death row, most of whom had been </w:t>
      </w:r>
      <w:r w:rsidR="00BA2581">
        <w:rPr>
          <w:color w:val="auto"/>
          <w:sz w:val="24"/>
          <w:szCs w:val="24"/>
        </w:rPr>
        <w:lastRenderedPageBreak/>
        <w:t>charged with terrorism-related offenses</w:t>
      </w:r>
      <w:r w:rsidR="002865FF">
        <w:rPr>
          <w:color w:val="auto"/>
          <w:sz w:val="24"/>
          <w:szCs w:val="24"/>
        </w:rPr>
        <w:t>.</w:t>
      </w:r>
      <w:r w:rsidR="002865FF">
        <w:rPr>
          <w:rStyle w:val="FootnoteReference"/>
          <w:color w:val="auto"/>
          <w:sz w:val="24"/>
          <w:szCs w:val="24"/>
        </w:rPr>
        <w:footnoteReference w:id="8"/>
      </w:r>
      <w:r w:rsidR="002865FF">
        <w:rPr>
          <w:color w:val="auto"/>
          <w:sz w:val="24"/>
          <w:szCs w:val="24"/>
        </w:rPr>
        <w:t xml:space="preserve"> According to the statement, “hundreds of deaths were now imminent after their execution orders had been signed-off.”</w:t>
      </w:r>
      <w:r w:rsidR="002865FF">
        <w:rPr>
          <w:rStyle w:val="FootnoteReference"/>
          <w:color w:val="auto"/>
          <w:sz w:val="24"/>
          <w:szCs w:val="24"/>
        </w:rPr>
        <w:footnoteReference w:id="9"/>
      </w:r>
    </w:p>
    <w:p w14:paraId="40200845" w14:textId="33CC8A8F" w:rsidR="00633068" w:rsidRDefault="00633068" w:rsidP="00F16374">
      <w:pPr>
        <w:numPr>
          <w:ilvl w:val="0"/>
          <w:numId w:val="7"/>
        </w:numPr>
        <w:spacing w:after="120"/>
        <w:ind w:left="360"/>
        <w:jc w:val="both"/>
        <w:rPr>
          <w:color w:val="auto"/>
          <w:sz w:val="24"/>
          <w:szCs w:val="24"/>
        </w:rPr>
      </w:pPr>
      <w:r>
        <w:rPr>
          <w:color w:val="auto"/>
          <w:sz w:val="24"/>
          <w:szCs w:val="24"/>
        </w:rPr>
        <w:t xml:space="preserve">The UN experts also </w:t>
      </w:r>
      <w:r w:rsidR="007C4360">
        <w:rPr>
          <w:color w:val="auto"/>
          <w:sz w:val="24"/>
          <w:szCs w:val="24"/>
        </w:rPr>
        <w:t>described “serious human rights concerns” regarding Iraq’s Anti-Terrorism law no. 13 of 2005, which includes a “vague and overly broad definition of terrorism. Under the law, an ind</w:t>
      </w:r>
      <w:r w:rsidR="00A11B87">
        <w:rPr>
          <w:color w:val="auto"/>
          <w:sz w:val="24"/>
          <w:szCs w:val="24"/>
        </w:rPr>
        <w:t>i</w:t>
      </w:r>
      <w:r w:rsidR="007C4360">
        <w:rPr>
          <w:color w:val="auto"/>
          <w:sz w:val="24"/>
          <w:szCs w:val="24"/>
        </w:rPr>
        <w:t>vidual can face trial on terrorism charges and can be sentenced to death for a non-violent crime committed without intent to terrorize the population. Furthermore, when rendering punishment, no distinction is made between different levels of participation, involvement and responsibility in terrorist acts and no assessment is made based on the severity of the act.”</w:t>
      </w:r>
      <w:r w:rsidR="007C4360">
        <w:rPr>
          <w:rStyle w:val="FootnoteReference"/>
          <w:color w:val="auto"/>
          <w:sz w:val="24"/>
          <w:szCs w:val="24"/>
        </w:rPr>
        <w:footnoteReference w:id="10"/>
      </w:r>
    </w:p>
    <w:p w14:paraId="0275FAE4" w14:textId="77777777" w:rsidR="00C8492E" w:rsidRDefault="007C36BE" w:rsidP="00F16374">
      <w:pPr>
        <w:numPr>
          <w:ilvl w:val="0"/>
          <w:numId w:val="7"/>
        </w:numPr>
        <w:spacing w:after="120"/>
        <w:ind w:left="360"/>
        <w:jc w:val="both"/>
        <w:rPr>
          <w:color w:val="auto"/>
          <w:sz w:val="24"/>
          <w:szCs w:val="24"/>
        </w:rPr>
      </w:pPr>
      <w:r>
        <w:rPr>
          <w:color w:val="auto"/>
          <w:sz w:val="24"/>
          <w:szCs w:val="24"/>
        </w:rPr>
        <w:t xml:space="preserve">Despite concerns from UN experts, Iraq has continued to step up the pace of executions. </w:t>
      </w:r>
      <w:r w:rsidR="00DA0C3A">
        <w:rPr>
          <w:color w:val="auto"/>
          <w:sz w:val="24"/>
          <w:szCs w:val="24"/>
        </w:rPr>
        <w:t>In December 2020, authorities executed three people who had been convicted of “terrorism” offenses.</w:t>
      </w:r>
      <w:r>
        <w:rPr>
          <w:rStyle w:val="FootnoteReference"/>
          <w:color w:val="auto"/>
          <w:sz w:val="24"/>
          <w:szCs w:val="24"/>
        </w:rPr>
        <w:footnoteReference w:id="11"/>
      </w:r>
      <w:r w:rsidR="00DA0C3A">
        <w:rPr>
          <w:color w:val="auto"/>
          <w:sz w:val="24"/>
          <w:szCs w:val="24"/>
        </w:rPr>
        <w:t xml:space="preserve"> </w:t>
      </w:r>
      <w:r w:rsidR="009E7FEB">
        <w:rPr>
          <w:color w:val="auto"/>
          <w:sz w:val="24"/>
          <w:szCs w:val="24"/>
        </w:rPr>
        <w:t xml:space="preserve">Iraq carried out at least 45 </w:t>
      </w:r>
      <w:r w:rsidR="000D7E44">
        <w:rPr>
          <w:color w:val="auto"/>
          <w:sz w:val="24"/>
          <w:szCs w:val="24"/>
        </w:rPr>
        <w:t>executions in 2020, according to Amnesty International.</w:t>
      </w:r>
      <w:r w:rsidR="000D7E44">
        <w:rPr>
          <w:rStyle w:val="FootnoteReference"/>
          <w:color w:val="auto"/>
          <w:sz w:val="24"/>
          <w:szCs w:val="24"/>
        </w:rPr>
        <w:footnoteReference w:id="12"/>
      </w:r>
      <w:r w:rsidR="000D7E44">
        <w:rPr>
          <w:color w:val="auto"/>
          <w:sz w:val="24"/>
          <w:szCs w:val="24"/>
        </w:rPr>
        <w:t xml:space="preserve"> </w:t>
      </w:r>
    </w:p>
    <w:p w14:paraId="5D3850CE" w14:textId="1D3129D3" w:rsidR="00C36C8B" w:rsidRDefault="00007732" w:rsidP="00F16374">
      <w:pPr>
        <w:numPr>
          <w:ilvl w:val="0"/>
          <w:numId w:val="7"/>
        </w:numPr>
        <w:spacing w:after="120"/>
        <w:ind w:left="360"/>
        <w:jc w:val="both"/>
        <w:rPr>
          <w:color w:val="auto"/>
          <w:sz w:val="24"/>
          <w:szCs w:val="24"/>
        </w:rPr>
      </w:pPr>
      <w:r>
        <w:rPr>
          <w:color w:val="auto"/>
          <w:sz w:val="24"/>
          <w:szCs w:val="24"/>
        </w:rPr>
        <w:t>Iraqi authorities tend to step up executions in response to political pressure. For example, a</w:t>
      </w:r>
      <w:r w:rsidR="008B3404">
        <w:rPr>
          <w:color w:val="auto"/>
          <w:sz w:val="24"/>
          <w:szCs w:val="24"/>
        </w:rPr>
        <w:t xml:space="preserve">fter an attack by the </w:t>
      </w:r>
      <w:r>
        <w:rPr>
          <w:color w:val="auto"/>
          <w:sz w:val="24"/>
          <w:szCs w:val="24"/>
        </w:rPr>
        <w:t>“</w:t>
      </w:r>
      <w:r w:rsidR="008B3404">
        <w:rPr>
          <w:color w:val="auto"/>
          <w:sz w:val="24"/>
          <w:szCs w:val="24"/>
        </w:rPr>
        <w:t>Islamic State</w:t>
      </w:r>
      <w:r>
        <w:rPr>
          <w:color w:val="auto"/>
          <w:sz w:val="24"/>
          <w:szCs w:val="24"/>
        </w:rPr>
        <w:t>”</w:t>
      </w:r>
      <w:r w:rsidR="008B3404">
        <w:rPr>
          <w:color w:val="auto"/>
          <w:sz w:val="24"/>
          <w:szCs w:val="24"/>
        </w:rPr>
        <w:t xml:space="preserve"> in </w:t>
      </w:r>
      <w:r w:rsidR="0040576E">
        <w:rPr>
          <w:color w:val="auto"/>
          <w:sz w:val="24"/>
          <w:szCs w:val="24"/>
        </w:rPr>
        <w:t xml:space="preserve">January 2021, </w:t>
      </w:r>
      <w:r w:rsidR="004D26F3">
        <w:rPr>
          <w:color w:val="auto"/>
          <w:sz w:val="24"/>
          <w:szCs w:val="24"/>
        </w:rPr>
        <w:t xml:space="preserve">Iraqi authorities disclosed that they </w:t>
      </w:r>
      <w:r w:rsidR="00545EC2">
        <w:rPr>
          <w:color w:val="auto"/>
          <w:sz w:val="24"/>
          <w:szCs w:val="24"/>
        </w:rPr>
        <w:t>were prepared to carry out more than 340 execution orders for “terrorist or criminal acts.”</w:t>
      </w:r>
      <w:r w:rsidR="00545EC2">
        <w:rPr>
          <w:rStyle w:val="FootnoteReference"/>
          <w:color w:val="auto"/>
          <w:sz w:val="24"/>
          <w:szCs w:val="24"/>
        </w:rPr>
        <w:footnoteReference w:id="13"/>
      </w:r>
      <w:r w:rsidR="006A75A2">
        <w:rPr>
          <w:color w:val="auto"/>
          <w:sz w:val="24"/>
          <w:szCs w:val="24"/>
        </w:rPr>
        <w:t xml:space="preserve"> In response to public calls for revenge after the attack, President Barham </w:t>
      </w:r>
      <w:proofErr w:type="spellStart"/>
      <w:r w:rsidR="006A75A2">
        <w:rPr>
          <w:color w:val="auto"/>
          <w:sz w:val="24"/>
          <w:szCs w:val="24"/>
        </w:rPr>
        <w:t>Salih</w:t>
      </w:r>
      <w:proofErr w:type="spellEnd"/>
      <w:r w:rsidR="006A75A2">
        <w:rPr>
          <w:color w:val="auto"/>
          <w:sz w:val="24"/>
          <w:szCs w:val="24"/>
        </w:rPr>
        <w:t xml:space="preserve"> </w:t>
      </w:r>
      <w:r w:rsidR="00D55B2D">
        <w:rPr>
          <w:color w:val="auto"/>
          <w:sz w:val="24"/>
          <w:szCs w:val="24"/>
        </w:rPr>
        <w:t xml:space="preserve">had </w:t>
      </w:r>
      <w:r w:rsidR="006A75A2">
        <w:rPr>
          <w:color w:val="auto"/>
          <w:sz w:val="24"/>
          <w:szCs w:val="24"/>
        </w:rPr>
        <w:t>ratified these death sentences.</w:t>
      </w:r>
      <w:r w:rsidR="00A34C42">
        <w:rPr>
          <w:rStyle w:val="FootnoteReference"/>
          <w:color w:val="auto"/>
          <w:sz w:val="24"/>
          <w:szCs w:val="24"/>
        </w:rPr>
        <w:footnoteReference w:id="14"/>
      </w:r>
      <w:r w:rsidR="00A01826">
        <w:rPr>
          <w:color w:val="auto"/>
          <w:sz w:val="24"/>
          <w:szCs w:val="24"/>
        </w:rPr>
        <w:t xml:space="preserve"> In late January 2021, authorities executed three </w:t>
      </w:r>
      <w:r w:rsidR="006A6AB0">
        <w:rPr>
          <w:color w:val="auto"/>
          <w:sz w:val="24"/>
          <w:szCs w:val="24"/>
        </w:rPr>
        <w:t>people convicted of “terrorism.”</w:t>
      </w:r>
      <w:r w:rsidR="006A6AB0">
        <w:rPr>
          <w:rStyle w:val="FootnoteReference"/>
          <w:color w:val="auto"/>
          <w:sz w:val="24"/>
          <w:szCs w:val="24"/>
        </w:rPr>
        <w:footnoteReference w:id="15"/>
      </w:r>
      <w:r w:rsidR="00545EC2">
        <w:rPr>
          <w:color w:val="auto"/>
          <w:sz w:val="24"/>
          <w:szCs w:val="24"/>
        </w:rPr>
        <w:t xml:space="preserve"> </w:t>
      </w:r>
      <w:r w:rsidR="00B00D77">
        <w:rPr>
          <w:color w:val="auto"/>
          <w:sz w:val="24"/>
          <w:szCs w:val="24"/>
        </w:rPr>
        <w:t xml:space="preserve">In February 2021, Iraqi authorities conducted another mass execution, this time of </w:t>
      </w:r>
      <w:r w:rsidR="00C36C8B">
        <w:rPr>
          <w:color w:val="auto"/>
          <w:sz w:val="24"/>
          <w:szCs w:val="24"/>
        </w:rPr>
        <w:t>five men who had been convicted of terrorism-related offenses.</w:t>
      </w:r>
      <w:r w:rsidR="00A01826">
        <w:rPr>
          <w:rStyle w:val="FootnoteReference"/>
          <w:color w:val="auto"/>
          <w:sz w:val="24"/>
          <w:szCs w:val="24"/>
        </w:rPr>
        <w:footnoteReference w:id="16"/>
      </w:r>
      <w:r w:rsidR="00B00D77">
        <w:rPr>
          <w:color w:val="auto"/>
          <w:sz w:val="24"/>
          <w:szCs w:val="24"/>
        </w:rPr>
        <w:t xml:space="preserve"> </w:t>
      </w:r>
      <w:r w:rsidR="00937897">
        <w:rPr>
          <w:color w:val="auto"/>
          <w:sz w:val="24"/>
          <w:szCs w:val="24"/>
        </w:rPr>
        <w:t xml:space="preserve">They held another mass execution in August 2021, hanging six people, three of whom had been </w:t>
      </w:r>
      <w:r w:rsidR="001307D0">
        <w:rPr>
          <w:color w:val="auto"/>
          <w:sz w:val="24"/>
          <w:szCs w:val="24"/>
        </w:rPr>
        <w:t>sentenced to death for terrorism-related offenses.</w:t>
      </w:r>
      <w:r w:rsidR="001307D0">
        <w:rPr>
          <w:rStyle w:val="FootnoteReference"/>
          <w:color w:val="auto"/>
          <w:sz w:val="24"/>
          <w:szCs w:val="24"/>
        </w:rPr>
        <w:footnoteReference w:id="17"/>
      </w:r>
    </w:p>
    <w:p w14:paraId="6B37AA21" w14:textId="0F1C8F90" w:rsidR="00CB472E" w:rsidRDefault="003141A4" w:rsidP="00F16374">
      <w:pPr>
        <w:numPr>
          <w:ilvl w:val="0"/>
          <w:numId w:val="7"/>
        </w:numPr>
        <w:spacing w:after="120"/>
        <w:ind w:left="360"/>
        <w:jc w:val="both"/>
        <w:rPr>
          <w:color w:val="auto"/>
          <w:sz w:val="24"/>
          <w:szCs w:val="24"/>
        </w:rPr>
      </w:pPr>
      <w:r>
        <w:rPr>
          <w:color w:val="auto"/>
          <w:sz w:val="24"/>
          <w:szCs w:val="24"/>
        </w:rPr>
        <w:t>Iraqi courts continue to sentence people to death, with at least 27 death sentences in 2020 alone.</w:t>
      </w:r>
      <w:r>
        <w:rPr>
          <w:rStyle w:val="FootnoteReference"/>
          <w:color w:val="auto"/>
          <w:sz w:val="24"/>
          <w:szCs w:val="24"/>
        </w:rPr>
        <w:footnoteReference w:id="18"/>
      </w:r>
      <w:r w:rsidR="00B159BF">
        <w:rPr>
          <w:color w:val="auto"/>
          <w:sz w:val="24"/>
          <w:szCs w:val="24"/>
        </w:rPr>
        <w:t xml:space="preserve"> </w:t>
      </w:r>
      <w:r w:rsidR="004100EA">
        <w:rPr>
          <w:color w:val="auto"/>
          <w:sz w:val="24"/>
          <w:szCs w:val="24"/>
        </w:rPr>
        <w:t xml:space="preserve">The Iraqi Ministry of Justice reported to the </w:t>
      </w:r>
      <w:r w:rsidR="005E76A4">
        <w:rPr>
          <w:color w:val="auto"/>
          <w:sz w:val="24"/>
          <w:szCs w:val="24"/>
        </w:rPr>
        <w:t>UN Assistance Mission for Iraq that as of November 2020</w:t>
      </w:r>
      <w:r w:rsidR="00CB472E">
        <w:rPr>
          <w:color w:val="auto"/>
          <w:sz w:val="24"/>
          <w:szCs w:val="24"/>
        </w:rPr>
        <w:t>, it was holding 11,595 persons in its facilities under sentence of death.</w:t>
      </w:r>
      <w:r w:rsidR="00CB472E">
        <w:rPr>
          <w:rStyle w:val="FootnoteReference"/>
          <w:color w:val="auto"/>
          <w:sz w:val="24"/>
          <w:szCs w:val="24"/>
        </w:rPr>
        <w:footnoteReference w:id="19"/>
      </w:r>
      <w:r w:rsidRPr="003141A4">
        <w:rPr>
          <w:color w:val="auto"/>
          <w:sz w:val="24"/>
          <w:szCs w:val="24"/>
        </w:rPr>
        <w:t xml:space="preserve"> </w:t>
      </w:r>
    </w:p>
    <w:p w14:paraId="77DD10E3" w14:textId="7CBC9F49" w:rsidR="00107675" w:rsidRDefault="003141A4" w:rsidP="00F16374">
      <w:pPr>
        <w:numPr>
          <w:ilvl w:val="0"/>
          <w:numId w:val="7"/>
        </w:numPr>
        <w:spacing w:after="120"/>
        <w:ind w:left="360"/>
        <w:jc w:val="both"/>
        <w:rPr>
          <w:color w:val="auto"/>
          <w:sz w:val="24"/>
          <w:szCs w:val="24"/>
        </w:rPr>
      </w:pPr>
      <w:r>
        <w:rPr>
          <w:color w:val="auto"/>
          <w:sz w:val="24"/>
          <w:szCs w:val="24"/>
        </w:rPr>
        <w:t xml:space="preserve">In many cases, the defendants </w:t>
      </w:r>
      <w:r w:rsidR="00554AA8">
        <w:rPr>
          <w:color w:val="auto"/>
          <w:sz w:val="24"/>
          <w:szCs w:val="24"/>
        </w:rPr>
        <w:t>are not alleged to have carried out an intentional killing. For example, i</w:t>
      </w:r>
      <w:r>
        <w:rPr>
          <w:color w:val="auto"/>
          <w:sz w:val="24"/>
          <w:szCs w:val="24"/>
        </w:rPr>
        <w:t>n February 2022, an Iraqi court sentenced two people to death for providing “false intelligence” to the police that ultimately resulted in a raid of a home, during which security forces opened fire and killed 20 people.</w:t>
      </w:r>
      <w:r>
        <w:rPr>
          <w:rStyle w:val="FootnoteReference"/>
          <w:color w:val="auto"/>
          <w:sz w:val="24"/>
          <w:szCs w:val="24"/>
        </w:rPr>
        <w:footnoteReference w:id="20"/>
      </w:r>
    </w:p>
    <w:p w14:paraId="7255C111" w14:textId="0045543F" w:rsidR="00F90AED" w:rsidRDefault="00F90AED" w:rsidP="00F16374">
      <w:pPr>
        <w:numPr>
          <w:ilvl w:val="0"/>
          <w:numId w:val="7"/>
        </w:numPr>
        <w:spacing w:after="120"/>
        <w:ind w:left="360"/>
        <w:jc w:val="both"/>
        <w:rPr>
          <w:color w:val="auto"/>
          <w:sz w:val="24"/>
          <w:szCs w:val="24"/>
        </w:rPr>
      </w:pPr>
      <w:r>
        <w:rPr>
          <w:color w:val="auto"/>
          <w:sz w:val="24"/>
          <w:szCs w:val="24"/>
        </w:rPr>
        <w:t xml:space="preserve">The Government of Iraq further responded </w:t>
      </w:r>
      <w:r w:rsidR="00FD3AF9">
        <w:rPr>
          <w:color w:val="auto"/>
          <w:sz w:val="24"/>
          <w:szCs w:val="24"/>
        </w:rPr>
        <w:t>that it had reinstated the death penalty “as a way of preserving community peace,” because the country is “faced with the serious crimes threatening the peace of society committed by terrorist bands</w:t>
      </w:r>
      <w:r w:rsidR="00AB2888">
        <w:rPr>
          <w:color w:val="auto"/>
          <w:sz w:val="24"/>
          <w:szCs w:val="24"/>
        </w:rPr>
        <w:t>” and considers the death penalty “to constitute a deterrent.”</w:t>
      </w:r>
      <w:r w:rsidR="00AB2888" w:rsidRPr="00AC040C">
        <w:rPr>
          <w:rStyle w:val="FootnoteReference"/>
          <w:color w:val="auto"/>
          <w:sz w:val="24"/>
          <w:szCs w:val="24"/>
        </w:rPr>
        <w:footnoteReference w:id="21"/>
      </w:r>
    </w:p>
    <w:p w14:paraId="20A69C1A" w14:textId="0D444176" w:rsidR="0070179A" w:rsidRDefault="0070179A" w:rsidP="00F16374">
      <w:pPr>
        <w:numPr>
          <w:ilvl w:val="0"/>
          <w:numId w:val="7"/>
        </w:numPr>
        <w:spacing w:after="120"/>
        <w:ind w:left="360"/>
        <w:jc w:val="both"/>
        <w:rPr>
          <w:color w:val="auto"/>
          <w:sz w:val="24"/>
          <w:szCs w:val="24"/>
        </w:rPr>
      </w:pPr>
      <w:r>
        <w:rPr>
          <w:color w:val="auto"/>
          <w:sz w:val="24"/>
          <w:szCs w:val="24"/>
        </w:rPr>
        <w:t>The Government of Iraq further asserted that “[a]</w:t>
      </w:r>
      <w:proofErr w:type="spellStart"/>
      <w:r>
        <w:rPr>
          <w:color w:val="auto"/>
          <w:sz w:val="24"/>
          <w:szCs w:val="24"/>
        </w:rPr>
        <w:t>ll</w:t>
      </w:r>
      <w:proofErr w:type="spellEnd"/>
      <w:r>
        <w:rPr>
          <w:color w:val="auto"/>
          <w:sz w:val="24"/>
          <w:szCs w:val="24"/>
        </w:rPr>
        <w:t xml:space="preserve"> procedural and judicial safeguards are duly respected during investigation, trial and enforcement of sentence.”</w:t>
      </w:r>
      <w:r w:rsidRPr="00AC040C">
        <w:rPr>
          <w:rStyle w:val="FootnoteReference"/>
          <w:color w:val="auto"/>
          <w:sz w:val="24"/>
          <w:szCs w:val="24"/>
        </w:rPr>
        <w:footnoteReference w:id="22"/>
      </w:r>
    </w:p>
    <w:p w14:paraId="01245085" w14:textId="7EB52DC2" w:rsidR="007E3CA1" w:rsidRDefault="007E3CA1" w:rsidP="007E3CA1">
      <w:pPr>
        <w:numPr>
          <w:ilvl w:val="0"/>
          <w:numId w:val="7"/>
        </w:numPr>
        <w:spacing w:after="120"/>
        <w:ind w:left="360"/>
        <w:jc w:val="both"/>
        <w:rPr>
          <w:color w:val="auto"/>
          <w:sz w:val="24"/>
          <w:szCs w:val="24"/>
        </w:rPr>
      </w:pPr>
      <w:r>
        <w:rPr>
          <w:color w:val="auto"/>
          <w:sz w:val="24"/>
          <w:szCs w:val="24"/>
        </w:rPr>
        <w:t xml:space="preserve">As described in greater detail in the coauthors’ previous report, </w:t>
      </w:r>
      <w:r w:rsidR="001E18D2">
        <w:rPr>
          <w:color w:val="auto"/>
          <w:sz w:val="24"/>
          <w:szCs w:val="24"/>
        </w:rPr>
        <w:t>there is evidence of widespread due process violatio</w:t>
      </w:r>
      <w:r w:rsidR="00AD3EDC">
        <w:rPr>
          <w:color w:val="auto"/>
          <w:sz w:val="24"/>
          <w:szCs w:val="24"/>
        </w:rPr>
        <w:t>ns</w:t>
      </w:r>
      <w:r w:rsidR="001E18D2">
        <w:rPr>
          <w:color w:val="auto"/>
          <w:sz w:val="24"/>
          <w:szCs w:val="24"/>
        </w:rPr>
        <w:t xml:space="preserve"> in capital cases, including the use of confessions obtained under torture and </w:t>
      </w:r>
      <w:r w:rsidR="00AD3EDC">
        <w:rPr>
          <w:color w:val="auto"/>
          <w:sz w:val="24"/>
          <w:szCs w:val="24"/>
        </w:rPr>
        <w:t>assembly-line trials resulting in mass executions.</w:t>
      </w:r>
      <w:r>
        <w:rPr>
          <w:rStyle w:val="FootnoteReference"/>
          <w:color w:val="auto"/>
          <w:sz w:val="24"/>
          <w:szCs w:val="24"/>
        </w:rPr>
        <w:footnoteReference w:id="23"/>
      </w:r>
    </w:p>
    <w:p w14:paraId="10DCE9A9" w14:textId="5D3BAA35" w:rsidR="00DC01A1" w:rsidRPr="00F16374" w:rsidRDefault="00DC01A1" w:rsidP="00F16374">
      <w:pPr>
        <w:numPr>
          <w:ilvl w:val="0"/>
          <w:numId w:val="7"/>
        </w:numPr>
        <w:spacing w:after="120"/>
        <w:ind w:left="360"/>
        <w:jc w:val="both"/>
        <w:rPr>
          <w:color w:val="auto"/>
          <w:sz w:val="24"/>
          <w:szCs w:val="24"/>
        </w:rPr>
      </w:pPr>
      <w:r>
        <w:rPr>
          <w:color w:val="auto"/>
          <w:sz w:val="24"/>
          <w:szCs w:val="24"/>
        </w:rPr>
        <w:t xml:space="preserve">According to the November 2020 statement by UN experts </w:t>
      </w:r>
      <w:r w:rsidR="004E524E">
        <w:rPr>
          <w:color w:val="auto"/>
          <w:sz w:val="24"/>
          <w:szCs w:val="24"/>
        </w:rPr>
        <w:t>discussed</w:t>
      </w:r>
      <w:r>
        <w:rPr>
          <w:color w:val="auto"/>
          <w:sz w:val="24"/>
          <w:szCs w:val="24"/>
        </w:rPr>
        <w:t xml:space="preserve"> above, </w:t>
      </w:r>
      <w:r w:rsidR="008F085F">
        <w:rPr>
          <w:color w:val="auto"/>
          <w:sz w:val="24"/>
          <w:szCs w:val="24"/>
        </w:rPr>
        <w:t>“[t]</w:t>
      </w:r>
      <w:proofErr w:type="spellStart"/>
      <w:r w:rsidR="008F085F">
        <w:rPr>
          <w:color w:val="auto"/>
          <w:sz w:val="24"/>
          <w:szCs w:val="24"/>
        </w:rPr>
        <w:t>rials</w:t>
      </w:r>
      <w:proofErr w:type="spellEnd"/>
      <w:r w:rsidR="008F085F">
        <w:rPr>
          <w:color w:val="auto"/>
          <w:sz w:val="24"/>
          <w:szCs w:val="24"/>
        </w:rPr>
        <w:t xml:space="preserve"> under the Anti-terrorism Law have been marked with alarming irregularities </w:t>
      </w:r>
      <w:proofErr w:type="gramStart"/>
      <w:r w:rsidR="008F085F">
        <w:rPr>
          <w:color w:val="auto"/>
          <w:sz w:val="24"/>
          <w:szCs w:val="24"/>
        </w:rPr>
        <w:t>. . . .</w:t>
      </w:r>
      <w:proofErr w:type="gramEnd"/>
      <w:r w:rsidR="008F085F">
        <w:rPr>
          <w:color w:val="auto"/>
          <w:sz w:val="24"/>
          <w:szCs w:val="24"/>
        </w:rPr>
        <w:t xml:space="preserve"> Defendants have frequently been denied the most basic right to an adequate </w:t>
      </w:r>
      <w:proofErr w:type="spellStart"/>
      <w:r w:rsidR="008F085F">
        <w:rPr>
          <w:color w:val="auto"/>
          <w:sz w:val="24"/>
          <w:szCs w:val="24"/>
        </w:rPr>
        <w:t>defence</w:t>
      </w:r>
      <w:proofErr w:type="spellEnd"/>
      <w:r w:rsidR="008F085F">
        <w:rPr>
          <w:color w:val="auto"/>
          <w:sz w:val="24"/>
          <w:szCs w:val="24"/>
        </w:rPr>
        <w:t xml:space="preserve"> and their allegations of torture and ill-treatment during interrogations have not been investigated.”</w:t>
      </w:r>
      <w:r w:rsidR="008F085F">
        <w:rPr>
          <w:rStyle w:val="FootnoteReference"/>
          <w:color w:val="auto"/>
          <w:sz w:val="24"/>
          <w:szCs w:val="24"/>
        </w:rPr>
        <w:footnoteReference w:id="24"/>
      </w:r>
    </w:p>
    <w:p w14:paraId="1F227CA7" w14:textId="2905B8AF" w:rsidR="00AC040C" w:rsidRDefault="003D044C" w:rsidP="00AC040C">
      <w:pPr>
        <w:numPr>
          <w:ilvl w:val="0"/>
          <w:numId w:val="7"/>
        </w:numPr>
        <w:spacing w:after="120"/>
        <w:ind w:left="360"/>
        <w:jc w:val="both"/>
        <w:rPr>
          <w:color w:val="auto"/>
          <w:sz w:val="24"/>
          <w:szCs w:val="24"/>
        </w:rPr>
      </w:pPr>
      <w:r>
        <w:rPr>
          <w:color w:val="auto"/>
          <w:sz w:val="24"/>
          <w:szCs w:val="24"/>
        </w:rPr>
        <w:t>In response to the Committee’s question about the death penalty, the Iraqi Government added that authorities are currently reviewing the Code of Criminal Procedure “with a view to making amendments in line with human rights standards.”</w:t>
      </w:r>
      <w:r w:rsidRPr="00AC040C">
        <w:rPr>
          <w:rStyle w:val="FootnoteReference"/>
          <w:color w:val="auto"/>
          <w:sz w:val="24"/>
          <w:szCs w:val="24"/>
        </w:rPr>
        <w:footnoteReference w:id="25"/>
      </w:r>
    </w:p>
    <w:p w14:paraId="0914CED7" w14:textId="22B8F4E5" w:rsidR="00EA0EEB" w:rsidRDefault="00EA0EEB" w:rsidP="007B46CD">
      <w:pPr>
        <w:numPr>
          <w:ilvl w:val="0"/>
          <w:numId w:val="7"/>
        </w:numPr>
        <w:spacing w:after="120"/>
        <w:ind w:left="360"/>
        <w:jc w:val="both"/>
        <w:rPr>
          <w:color w:val="auto"/>
          <w:sz w:val="24"/>
          <w:szCs w:val="24"/>
        </w:rPr>
      </w:pPr>
      <w:r w:rsidRPr="00F811E7">
        <w:rPr>
          <w:b/>
          <w:color w:val="auto"/>
          <w:sz w:val="24"/>
          <w:szCs w:val="24"/>
        </w:rPr>
        <w:t>Suggested recommendations</w:t>
      </w:r>
      <w:r w:rsidR="00524166">
        <w:rPr>
          <w:color w:val="auto"/>
          <w:sz w:val="24"/>
          <w:szCs w:val="24"/>
        </w:rPr>
        <w:t xml:space="preserve"> relating to </w:t>
      </w:r>
      <w:r w:rsidR="00F917AC">
        <w:rPr>
          <w:color w:val="auto"/>
          <w:sz w:val="24"/>
          <w:szCs w:val="24"/>
        </w:rPr>
        <w:t xml:space="preserve">the </w:t>
      </w:r>
      <w:r w:rsidR="002F6A6D">
        <w:rPr>
          <w:color w:val="auto"/>
          <w:sz w:val="24"/>
          <w:szCs w:val="24"/>
        </w:rPr>
        <w:t>death penalty</w:t>
      </w:r>
      <w:r>
        <w:rPr>
          <w:color w:val="auto"/>
          <w:sz w:val="24"/>
          <w:szCs w:val="24"/>
        </w:rPr>
        <w:t>:</w:t>
      </w:r>
      <w:r w:rsidR="00646D29">
        <w:rPr>
          <w:color w:val="auto"/>
          <w:sz w:val="24"/>
          <w:szCs w:val="24"/>
        </w:rPr>
        <w:t xml:space="preserve"> </w:t>
      </w:r>
    </w:p>
    <w:p w14:paraId="45F6675A" w14:textId="77777777" w:rsidR="00B713F4" w:rsidRPr="00B713F4" w:rsidRDefault="00B713F4" w:rsidP="00B713F4">
      <w:pPr>
        <w:numPr>
          <w:ilvl w:val="1"/>
          <w:numId w:val="7"/>
        </w:numPr>
        <w:spacing w:after="120"/>
        <w:jc w:val="both"/>
        <w:rPr>
          <w:color w:val="auto"/>
          <w:sz w:val="24"/>
          <w:szCs w:val="24"/>
        </w:rPr>
      </w:pPr>
      <w:r w:rsidRPr="00B713F4">
        <w:rPr>
          <w:color w:val="auto"/>
          <w:sz w:val="24"/>
          <w:szCs w:val="24"/>
        </w:rPr>
        <w:t>Abolish the death penalty and replace it with a sentence that is fair, proportionate, and respects international human rights standards.</w:t>
      </w:r>
    </w:p>
    <w:p w14:paraId="18E7D1C2" w14:textId="77777777" w:rsidR="00B713F4" w:rsidRDefault="00B713F4" w:rsidP="00B713F4">
      <w:pPr>
        <w:numPr>
          <w:ilvl w:val="1"/>
          <w:numId w:val="7"/>
        </w:numPr>
        <w:spacing w:after="120"/>
        <w:jc w:val="both"/>
        <w:rPr>
          <w:color w:val="auto"/>
          <w:sz w:val="24"/>
          <w:szCs w:val="24"/>
        </w:rPr>
      </w:pPr>
      <w:r w:rsidRPr="00B713F4">
        <w:rPr>
          <w:color w:val="auto"/>
          <w:sz w:val="24"/>
          <w:szCs w:val="24"/>
        </w:rPr>
        <w:t>In the interim, establish an official moratorium on executions, effective immediately, direct all judges to cease sentencing people to death, and commute all existing death sentences to sentences that are fair, proportionate, and respect international human rights standards.</w:t>
      </w:r>
    </w:p>
    <w:p w14:paraId="0F26EB3A" w14:textId="00AAE5FA" w:rsidR="00D00272" w:rsidRDefault="00D00272" w:rsidP="00B713F4">
      <w:pPr>
        <w:numPr>
          <w:ilvl w:val="1"/>
          <w:numId w:val="7"/>
        </w:numPr>
        <w:spacing w:after="120"/>
        <w:jc w:val="both"/>
        <w:rPr>
          <w:color w:val="auto"/>
          <w:sz w:val="24"/>
          <w:szCs w:val="24"/>
        </w:rPr>
      </w:pPr>
      <w:r>
        <w:rPr>
          <w:color w:val="auto"/>
          <w:sz w:val="24"/>
          <w:szCs w:val="24"/>
        </w:rPr>
        <w:t xml:space="preserve">In the interim, amend the penal code to prohibit imposition of the death penalty for any offense that does not include </w:t>
      </w:r>
      <w:r w:rsidR="00965F71">
        <w:rPr>
          <w:color w:val="auto"/>
          <w:sz w:val="24"/>
          <w:szCs w:val="24"/>
        </w:rPr>
        <w:t>an intentional killing by the defendant.</w:t>
      </w:r>
    </w:p>
    <w:p w14:paraId="5A12478F" w14:textId="73523A41" w:rsidR="00965F71" w:rsidRPr="00B713F4" w:rsidRDefault="00965F71" w:rsidP="00B713F4">
      <w:pPr>
        <w:numPr>
          <w:ilvl w:val="1"/>
          <w:numId w:val="7"/>
        </w:numPr>
        <w:spacing w:after="120"/>
        <w:jc w:val="both"/>
        <w:rPr>
          <w:color w:val="auto"/>
          <w:sz w:val="24"/>
          <w:szCs w:val="24"/>
        </w:rPr>
      </w:pPr>
      <w:r>
        <w:rPr>
          <w:color w:val="auto"/>
          <w:sz w:val="24"/>
          <w:szCs w:val="24"/>
        </w:rPr>
        <w:t xml:space="preserve">Ensure that any court making a sentencing determination in </w:t>
      </w:r>
      <w:r w:rsidR="00C704FA">
        <w:rPr>
          <w:color w:val="auto"/>
          <w:sz w:val="24"/>
          <w:szCs w:val="24"/>
        </w:rPr>
        <w:t xml:space="preserve">a case involving alleged terrorist activities considers all the facts and circumstances of the </w:t>
      </w:r>
      <w:r w:rsidR="004F7C1B">
        <w:rPr>
          <w:color w:val="auto"/>
          <w:sz w:val="24"/>
          <w:szCs w:val="24"/>
        </w:rPr>
        <w:t xml:space="preserve">defendant’s </w:t>
      </w:r>
      <w:r w:rsidR="00C704FA">
        <w:rPr>
          <w:color w:val="auto"/>
          <w:sz w:val="24"/>
          <w:szCs w:val="24"/>
        </w:rPr>
        <w:t xml:space="preserve">alleged acts, and takes full account of any mitigating factors warranting a lesser sentence than </w:t>
      </w:r>
      <w:r w:rsidR="004F7C1B">
        <w:rPr>
          <w:color w:val="auto"/>
          <w:sz w:val="24"/>
          <w:szCs w:val="24"/>
        </w:rPr>
        <w:t>death.</w:t>
      </w:r>
    </w:p>
    <w:p w14:paraId="526FC3D5" w14:textId="77777777" w:rsidR="00B713F4" w:rsidRPr="00B713F4" w:rsidRDefault="00B713F4" w:rsidP="00B713F4">
      <w:pPr>
        <w:numPr>
          <w:ilvl w:val="1"/>
          <w:numId w:val="7"/>
        </w:numPr>
        <w:spacing w:after="120"/>
        <w:jc w:val="both"/>
        <w:rPr>
          <w:color w:val="auto"/>
          <w:sz w:val="24"/>
          <w:szCs w:val="24"/>
        </w:rPr>
      </w:pPr>
      <w:r w:rsidRPr="00B713F4">
        <w:rPr>
          <w:color w:val="auto"/>
          <w:sz w:val="24"/>
          <w:szCs w:val="24"/>
        </w:rPr>
        <w:t>Bar courts from considering any evidence obtained through torture, except with respect to evidence of the crime of torture itself, and create a mechanism by which defendants may raise the issue of inadmissibility before trial. Ensure that all judicial authorities receive adequate training and support to assess such allegations and have the capacity to bar consideration of such evidence.</w:t>
      </w:r>
    </w:p>
    <w:p w14:paraId="24B8AA3B" w14:textId="0047CA34" w:rsidR="00B713F4" w:rsidRPr="00B713F4" w:rsidRDefault="00B713F4" w:rsidP="00B713F4">
      <w:pPr>
        <w:numPr>
          <w:ilvl w:val="1"/>
          <w:numId w:val="7"/>
        </w:numPr>
        <w:spacing w:after="120"/>
        <w:jc w:val="both"/>
        <w:rPr>
          <w:color w:val="auto"/>
          <w:sz w:val="24"/>
          <w:szCs w:val="24"/>
        </w:rPr>
      </w:pPr>
      <w:r w:rsidRPr="00B713F4">
        <w:rPr>
          <w:color w:val="auto"/>
          <w:sz w:val="24"/>
          <w:szCs w:val="24"/>
        </w:rPr>
        <w:t xml:space="preserve">Ensure that all persons charged with capital offenses are provided with </w:t>
      </w:r>
      <w:r w:rsidR="00BF72C3">
        <w:rPr>
          <w:color w:val="auto"/>
          <w:sz w:val="24"/>
          <w:szCs w:val="24"/>
        </w:rPr>
        <w:t xml:space="preserve">well qualified </w:t>
      </w:r>
      <w:r w:rsidRPr="00B713F4">
        <w:rPr>
          <w:color w:val="auto"/>
          <w:sz w:val="24"/>
          <w:szCs w:val="24"/>
        </w:rPr>
        <w:t>legal counsel free of charge, and ensure that they have access to counsel from the time of charging through any appeals, including during any interrogations</w:t>
      </w:r>
      <w:r w:rsidR="004F7C1B">
        <w:rPr>
          <w:color w:val="auto"/>
          <w:sz w:val="24"/>
          <w:szCs w:val="24"/>
        </w:rPr>
        <w:t xml:space="preserve">, and ensure that legal counsel have adequate </w:t>
      </w:r>
      <w:r w:rsidR="009857F1">
        <w:rPr>
          <w:color w:val="auto"/>
          <w:sz w:val="24"/>
          <w:szCs w:val="24"/>
        </w:rPr>
        <w:t xml:space="preserve">time and </w:t>
      </w:r>
      <w:r w:rsidR="004F7C1B">
        <w:rPr>
          <w:color w:val="auto"/>
          <w:sz w:val="24"/>
          <w:szCs w:val="24"/>
        </w:rPr>
        <w:t xml:space="preserve">financial resources to </w:t>
      </w:r>
      <w:r w:rsidR="009857F1">
        <w:rPr>
          <w:color w:val="auto"/>
          <w:sz w:val="24"/>
          <w:szCs w:val="24"/>
        </w:rPr>
        <w:t xml:space="preserve">prepare and </w:t>
      </w:r>
      <w:r w:rsidR="004F7C1B">
        <w:rPr>
          <w:color w:val="auto"/>
          <w:sz w:val="24"/>
          <w:szCs w:val="24"/>
        </w:rPr>
        <w:t xml:space="preserve">present evidence of mitigating circumstances warranting a </w:t>
      </w:r>
      <w:r w:rsidR="009857F1">
        <w:rPr>
          <w:color w:val="auto"/>
          <w:sz w:val="24"/>
          <w:szCs w:val="24"/>
        </w:rPr>
        <w:t xml:space="preserve">lesser </w:t>
      </w:r>
      <w:r w:rsidR="004F7C1B">
        <w:rPr>
          <w:color w:val="auto"/>
          <w:sz w:val="24"/>
          <w:szCs w:val="24"/>
        </w:rPr>
        <w:t xml:space="preserve">sentence </w:t>
      </w:r>
      <w:r w:rsidR="009857F1">
        <w:rPr>
          <w:color w:val="auto"/>
          <w:sz w:val="24"/>
          <w:szCs w:val="24"/>
        </w:rPr>
        <w:t>than death</w:t>
      </w:r>
      <w:r w:rsidRPr="00B713F4">
        <w:rPr>
          <w:color w:val="auto"/>
          <w:sz w:val="24"/>
          <w:szCs w:val="24"/>
        </w:rPr>
        <w:t>.</w:t>
      </w:r>
    </w:p>
    <w:p w14:paraId="3E4AA44D" w14:textId="5DEF57B8" w:rsidR="00F51AFD" w:rsidRPr="00965F71" w:rsidRDefault="00B713F4" w:rsidP="00E53941">
      <w:pPr>
        <w:numPr>
          <w:ilvl w:val="1"/>
          <w:numId w:val="7"/>
        </w:numPr>
        <w:spacing w:after="120"/>
        <w:jc w:val="both"/>
        <w:rPr>
          <w:color w:val="auto"/>
          <w:sz w:val="24"/>
          <w:szCs w:val="24"/>
        </w:rPr>
      </w:pPr>
      <w:r w:rsidRPr="00965F71">
        <w:rPr>
          <w:color w:val="auto"/>
          <w:sz w:val="24"/>
          <w:szCs w:val="24"/>
        </w:rPr>
        <w:t>Take concrete measures to improve conditions in prisons for all persons, including people on death row, in accordance with the Nelson Mandela Rules.</w:t>
      </w:r>
    </w:p>
    <w:sectPr w:rsidR="00F51AFD" w:rsidRPr="00965F71"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2312D" w14:textId="77777777" w:rsidR="00D3148E" w:rsidRDefault="00D3148E">
      <w:r>
        <w:separator/>
      </w:r>
    </w:p>
  </w:endnote>
  <w:endnote w:type="continuationSeparator" w:id="0">
    <w:p w14:paraId="4EF339BE" w14:textId="77777777" w:rsidR="00D3148E" w:rsidRDefault="00D3148E">
      <w:r>
        <w:continuationSeparator/>
      </w:r>
    </w:p>
  </w:endnote>
  <w:endnote w:type="continuationNotice" w:id="1">
    <w:p w14:paraId="31D68A89" w14:textId="77777777" w:rsidR="00D3148E" w:rsidRDefault="00D314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0B52" w14:textId="18CFAFE9" w:rsidR="00804604" w:rsidRDefault="00804604">
    <w:pPr>
      <w:pStyle w:val="Footer"/>
      <w:jc w:val="center"/>
    </w:pPr>
    <w:r>
      <w:fldChar w:fldCharType="begin"/>
    </w:r>
    <w:r>
      <w:instrText xml:space="preserve"> PAGE   \* MERGEFORMAT </w:instrText>
    </w:r>
    <w:r>
      <w:fldChar w:fldCharType="separate"/>
    </w:r>
    <w:r w:rsidR="005E79E1">
      <w:rPr>
        <w:noProof/>
      </w:rPr>
      <w:t>5</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705D4C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073E35F7" w:rsidR="00804604" w:rsidRPr="00345B90" w:rsidRDefault="00FE3D78"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EF345A">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3D1CF402"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EF345A">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EF345A">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A81E4" w14:textId="77777777" w:rsidR="00D3148E" w:rsidRDefault="00D3148E">
      <w:r>
        <w:separator/>
      </w:r>
    </w:p>
  </w:footnote>
  <w:footnote w:type="continuationSeparator" w:id="0">
    <w:p w14:paraId="1139438B" w14:textId="77777777" w:rsidR="00D3148E" w:rsidRDefault="00D3148E">
      <w:r>
        <w:continuationSeparator/>
      </w:r>
    </w:p>
  </w:footnote>
  <w:footnote w:type="continuationNotice" w:id="1">
    <w:p w14:paraId="3D887D95" w14:textId="77777777" w:rsidR="00D3148E" w:rsidRDefault="00D3148E"/>
  </w:footnote>
  <w:footnote w:id="2">
    <w:p w14:paraId="44F25B29" w14:textId="225EB62B" w:rsidR="00B867A2" w:rsidRPr="00EB15A6" w:rsidRDefault="00B867A2">
      <w:pPr>
        <w:pStyle w:val="FootnoteText"/>
      </w:pPr>
      <w:r w:rsidRPr="00EB15A6">
        <w:rPr>
          <w:rStyle w:val="FootnoteReference"/>
        </w:rPr>
        <w:footnoteRef/>
      </w:r>
      <w:r w:rsidRPr="00EB15A6">
        <w:t xml:space="preserve"> </w:t>
      </w:r>
      <w:r w:rsidR="00273EBF" w:rsidRPr="00EB15A6">
        <w:t>The Advocates for Human Rights and the World Coalition Against the Death Penalty</w:t>
      </w:r>
      <w:r w:rsidR="00D74212" w:rsidRPr="00EB15A6">
        <w:t xml:space="preserve">, </w:t>
      </w:r>
      <w:r w:rsidR="00D74212" w:rsidRPr="00EB15A6">
        <w:rPr>
          <w:i/>
          <w:iCs/>
        </w:rPr>
        <w:t>Iraq’s Compliance with the Convention against Torture and Other Cruel, Inhuman or Degrading Treatment or Punishment: Suggested List of Issues Relating to the Death Penalty</w:t>
      </w:r>
      <w:r w:rsidR="00D74212" w:rsidRPr="00EB15A6">
        <w:t xml:space="preserve">, June 22, 2020, </w:t>
      </w:r>
      <w:r w:rsidR="00A33E27" w:rsidRPr="00EB15A6">
        <w:t>https://www.theadvocatesforhumanrights.org/res/byid/8729.</w:t>
      </w:r>
    </w:p>
  </w:footnote>
  <w:footnote w:id="3">
    <w:p w14:paraId="0857E500" w14:textId="14546928" w:rsidR="004D51DD" w:rsidRPr="00EB15A6" w:rsidRDefault="004D51DD">
      <w:pPr>
        <w:pStyle w:val="FootnoteText"/>
      </w:pPr>
      <w:r w:rsidRPr="00EB15A6">
        <w:rPr>
          <w:rStyle w:val="FootnoteReference"/>
        </w:rPr>
        <w:footnoteRef/>
      </w:r>
      <w:r w:rsidR="20EBB8F7" w:rsidRPr="00EB15A6">
        <w:t xml:space="preserve"> Committee Against Torture, </w:t>
      </w:r>
      <w:r w:rsidR="20EBB8F7" w:rsidRPr="00EB15A6">
        <w:rPr>
          <w:i/>
          <w:iCs/>
          <w:color w:val="auto"/>
        </w:rPr>
        <w:t xml:space="preserve">List of issues </w:t>
      </w:r>
      <w:r w:rsidR="004262B2" w:rsidRPr="00EB15A6">
        <w:rPr>
          <w:i/>
          <w:iCs/>
          <w:color w:val="auto"/>
        </w:rPr>
        <w:t>in relation to the second periodic report of Iraq</w:t>
      </w:r>
      <w:r w:rsidR="20EBB8F7" w:rsidRPr="00EB15A6">
        <w:rPr>
          <w:color w:val="auto"/>
        </w:rPr>
        <w:t>, (</w:t>
      </w:r>
      <w:r w:rsidR="004262B2" w:rsidRPr="00EB15A6">
        <w:rPr>
          <w:color w:val="auto"/>
        </w:rPr>
        <w:t>23 Dec. 2020</w:t>
      </w:r>
      <w:r w:rsidR="20EBB8F7" w:rsidRPr="00EB15A6">
        <w:rPr>
          <w:color w:val="auto"/>
        </w:rPr>
        <w:t>), U.N. Doc. CAT/C/</w:t>
      </w:r>
      <w:r w:rsidR="004262B2" w:rsidRPr="00EB15A6">
        <w:rPr>
          <w:color w:val="auto"/>
        </w:rPr>
        <w:t>IRQ</w:t>
      </w:r>
      <w:r w:rsidR="20EBB8F7" w:rsidRPr="00EB15A6">
        <w:rPr>
          <w:color w:val="auto"/>
        </w:rPr>
        <w:t>/Q/</w:t>
      </w:r>
      <w:r w:rsidR="004262B2" w:rsidRPr="00EB15A6">
        <w:rPr>
          <w:color w:val="auto"/>
        </w:rPr>
        <w:t>2</w:t>
      </w:r>
      <w:r w:rsidR="20EBB8F7" w:rsidRPr="00EB15A6">
        <w:rPr>
          <w:color w:val="auto"/>
        </w:rPr>
        <w:t>, ¶</w:t>
      </w:r>
      <w:r w:rsidR="004262B2" w:rsidRPr="00EB15A6">
        <w:rPr>
          <w:color w:val="auto"/>
        </w:rPr>
        <w:t> 26</w:t>
      </w:r>
      <w:r w:rsidR="20EBB8F7" w:rsidRPr="00EB15A6">
        <w:rPr>
          <w:color w:val="auto"/>
        </w:rPr>
        <w:t>.</w:t>
      </w:r>
    </w:p>
  </w:footnote>
  <w:footnote w:id="4">
    <w:p w14:paraId="2EF8D68A" w14:textId="77C65CA4" w:rsidR="007C7CCE" w:rsidRPr="00EB15A6" w:rsidRDefault="007C7CCE">
      <w:pPr>
        <w:pStyle w:val="FootnoteText"/>
      </w:pPr>
      <w:r w:rsidRPr="00EB15A6">
        <w:rPr>
          <w:rStyle w:val="FootnoteReference"/>
        </w:rPr>
        <w:footnoteRef/>
      </w:r>
      <w:r w:rsidRPr="00EB15A6">
        <w:t xml:space="preserve"> Committee Against Torture, </w:t>
      </w:r>
      <w:r w:rsidR="00054BE6" w:rsidRPr="00EB15A6">
        <w:rPr>
          <w:i/>
          <w:iCs/>
        </w:rPr>
        <w:t>Replies of Iraq to the list of issues in relation to its second periodic report</w:t>
      </w:r>
      <w:r w:rsidRPr="00EB15A6">
        <w:t>, (</w:t>
      </w:r>
      <w:r w:rsidR="00054BE6" w:rsidRPr="00EB15A6">
        <w:t>18 Jan. 2022</w:t>
      </w:r>
      <w:r w:rsidRPr="00EB15A6">
        <w:t>), U.N. Doc. CAT/C/</w:t>
      </w:r>
      <w:r w:rsidR="00054BE6" w:rsidRPr="00EB15A6">
        <w:t>IRQ</w:t>
      </w:r>
      <w:r w:rsidRPr="00EB15A6">
        <w:t>/</w:t>
      </w:r>
      <w:r w:rsidR="00054BE6" w:rsidRPr="00EB15A6">
        <w:t>RQ/2</w:t>
      </w:r>
      <w:r w:rsidRPr="00EB15A6">
        <w:t>, ¶</w:t>
      </w:r>
      <w:r w:rsidR="00F80FD1" w:rsidRPr="00EB15A6">
        <w:t> 166</w:t>
      </w:r>
      <w:r w:rsidRPr="00EB15A6">
        <w:t>.</w:t>
      </w:r>
    </w:p>
  </w:footnote>
  <w:footnote w:id="5">
    <w:p w14:paraId="72DFD764" w14:textId="77777777" w:rsidR="00AD6FF1" w:rsidRPr="00EB15A6" w:rsidRDefault="00AD6FF1" w:rsidP="00AD6FF1">
      <w:pPr>
        <w:pStyle w:val="FootnoteText"/>
      </w:pPr>
      <w:r w:rsidRPr="00EB15A6">
        <w:rPr>
          <w:rStyle w:val="FootnoteReference"/>
        </w:rPr>
        <w:footnoteRef/>
      </w:r>
      <w:r w:rsidRPr="00EB15A6">
        <w:t xml:space="preserve"> Committee Against Torture, </w:t>
      </w:r>
      <w:r w:rsidRPr="00EB15A6">
        <w:rPr>
          <w:i/>
          <w:iCs/>
        </w:rPr>
        <w:t>Replies of Iraq to the list of issues in relation to its second periodic report</w:t>
      </w:r>
      <w:r w:rsidRPr="00EB15A6">
        <w:t>, (18 Jan. 2022), U.N. Doc. CAT/C/IRQ/RQ/2, ¶ 166.</w:t>
      </w:r>
    </w:p>
  </w:footnote>
  <w:footnote w:id="6">
    <w:p w14:paraId="73A4ED61" w14:textId="6A45F833" w:rsidR="003C7846" w:rsidRPr="00EB15A6" w:rsidRDefault="003C7846" w:rsidP="003C7846">
      <w:pPr>
        <w:pStyle w:val="FootnoteText"/>
      </w:pPr>
      <w:r w:rsidRPr="00EB15A6">
        <w:rPr>
          <w:rStyle w:val="FootnoteReference"/>
        </w:rPr>
        <w:footnoteRef/>
      </w:r>
      <w:r w:rsidRPr="00EB15A6">
        <w:t xml:space="preserve"> The Advocates for Human Rights and the World Coalition Against the Death Penalty, </w:t>
      </w:r>
      <w:r w:rsidRPr="00EB15A6">
        <w:rPr>
          <w:i/>
          <w:iCs/>
        </w:rPr>
        <w:t>Iraq’s Compliance with the Convention against Torture and Other Cruel, Inhuman or Degrading Treatment or Punishment: Suggested List of Issues Relating to the Death Penalty</w:t>
      </w:r>
      <w:r w:rsidRPr="00EB15A6">
        <w:t>, June 22, 2020, ¶</w:t>
      </w:r>
      <w:r w:rsidR="00EF65CC" w:rsidRPr="00EB15A6">
        <w:t>¶ 4-7,</w:t>
      </w:r>
      <w:r w:rsidRPr="00EB15A6">
        <w:t xml:space="preserve"> https://www.theadvocatesforhumanrights.org/res/byid/8729.</w:t>
      </w:r>
    </w:p>
  </w:footnote>
  <w:footnote w:id="7">
    <w:p w14:paraId="38076D9B" w14:textId="3D42B50A" w:rsidR="00C92396" w:rsidRPr="00EB15A6" w:rsidRDefault="00C92396">
      <w:pPr>
        <w:pStyle w:val="FootnoteText"/>
      </w:pPr>
      <w:r w:rsidRPr="00EB15A6">
        <w:rPr>
          <w:rStyle w:val="FootnoteReference"/>
        </w:rPr>
        <w:footnoteRef/>
      </w:r>
      <w:r w:rsidRPr="00EB15A6">
        <w:t xml:space="preserve"> </w:t>
      </w:r>
      <w:r w:rsidRPr="00EB15A6">
        <w:rPr>
          <w:i/>
          <w:iCs/>
        </w:rPr>
        <w:t>Iraq: Wave of mass executions must stop, trials are unfair – UN experts</w:t>
      </w:r>
      <w:r w:rsidRPr="00EB15A6">
        <w:t>, UN Human Rights Council (press release)</w:t>
      </w:r>
      <w:r w:rsidR="00BA2581" w:rsidRPr="00EB15A6">
        <w:t>, 20 Nov. 2020, https://reliefweb.int/report/iraq/iraq-wave-mass-executions-must-stop-trials-are-unfair-un-experts.</w:t>
      </w:r>
    </w:p>
  </w:footnote>
  <w:footnote w:id="8">
    <w:p w14:paraId="5B39F281" w14:textId="77777777" w:rsidR="002865FF" w:rsidRPr="00EB15A6" w:rsidRDefault="002865FF" w:rsidP="002865FF">
      <w:pPr>
        <w:pStyle w:val="FootnoteText"/>
      </w:pPr>
      <w:r w:rsidRPr="00EB15A6">
        <w:rPr>
          <w:rStyle w:val="FootnoteReference"/>
        </w:rPr>
        <w:footnoteRef/>
      </w:r>
      <w:r w:rsidRPr="00EB15A6">
        <w:t xml:space="preserve"> </w:t>
      </w:r>
      <w:r w:rsidRPr="00EB15A6">
        <w:rPr>
          <w:i/>
          <w:iCs/>
        </w:rPr>
        <w:t>Iraq: Wave of mass executions must stop, trials are unfair – UN experts</w:t>
      </w:r>
      <w:r w:rsidRPr="00EB15A6">
        <w:t>, UN Human Rights Council (press release), 20 Nov. 2020, https://reliefweb.int/report/iraq/iraq-wave-mass-executions-must-stop-trials-are-unfair-un-experts.</w:t>
      </w:r>
    </w:p>
  </w:footnote>
  <w:footnote w:id="9">
    <w:p w14:paraId="29AF992D" w14:textId="77777777" w:rsidR="002865FF" w:rsidRPr="00EB15A6" w:rsidRDefault="002865FF" w:rsidP="002865FF">
      <w:pPr>
        <w:pStyle w:val="FootnoteText"/>
      </w:pPr>
      <w:r w:rsidRPr="00EB15A6">
        <w:rPr>
          <w:rStyle w:val="FootnoteReference"/>
        </w:rPr>
        <w:footnoteRef/>
      </w:r>
      <w:r w:rsidRPr="00EB15A6">
        <w:t xml:space="preserve"> </w:t>
      </w:r>
      <w:r w:rsidRPr="00EB15A6">
        <w:rPr>
          <w:i/>
          <w:iCs/>
        </w:rPr>
        <w:t>Iraq: Wave of mass executions must stop, trials are unfair – UN experts</w:t>
      </w:r>
      <w:r w:rsidRPr="00EB15A6">
        <w:t>, UN Human Rights Council (press release), 20 Nov. 2020, https://reliefweb.int/report/iraq/iraq-wave-mass-executions-must-stop-trials-are-unfair-un-experts.</w:t>
      </w:r>
    </w:p>
  </w:footnote>
  <w:footnote w:id="10">
    <w:p w14:paraId="70BDD227" w14:textId="77777777" w:rsidR="007C4360" w:rsidRPr="00EB15A6" w:rsidRDefault="007C4360" w:rsidP="007C4360">
      <w:pPr>
        <w:pStyle w:val="FootnoteText"/>
      </w:pPr>
      <w:r w:rsidRPr="00EB15A6">
        <w:rPr>
          <w:rStyle w:val="FootnoteReference"/>
        </w:rPr>
        <w:footnoteRef/>
      </w:r>
      <w:r w:rsidRPr="00EB15A6">
        <w:t xml:space="preserve"> </w:t>
      </w:r>
      <w:r w:rsidRPr="00EB15A6">
        <w:rPr>
          <w:i/>
          <w:iCs/>
        </w:rPr>
        <w:t>Iraq: Wave of mass executions must stop, trials are unfair – UN experts</w:t>
      </w:r>
      <w:r w:rsidRPr="00EB15A6">
        <w:t>, UN Human Rights Council (press release), 20 Nov. 2020, https://reliefweb.int/report/iraq/iraq-wave-mass-executions-must-stop-trials-are-unfair-un-experts.</w:t>
      </w:r>
    </w:p>
  </w:footnote>
  <w:footnote w:id="11">
    <w:p w14:paraId="4C40AB52" w14:textId="6E788A3E" w:rsidR="007C36BE" w:rsidRPr="00EB15A6" w:rsidRDefault="007C36BE">
      <w:pPr>
        <w:pStyle w:val="FootnoteText"/>
      </w:pPr>
      <w:r w:rsidRPr="00EB15A6">
        <w:rPr>
          <w:rStyle w:val="FootnoteReference"/>
        </w:rPr>
        <w:footnoteRef/>
      </w:r>
      <w:r w:rsidRPr="00EB15A6">
        <w:t xml:space="preserve"> </w:t>
      </w:r>
      <w:r w:rsidR="004D3F06" w:rsidRPr="00EB15A6">
        <w:rPr>
          <w:i/>
          <w:iCs/>
        </w:rPr>
        <w:t>Report: Iraq hangs three men on ‘terrorism’ charges</w:t>
      </w:r>
      <w:r w:rsidR="004D3F06" w:rsidRPr="00EB15A6">
        <w:t xml:space="preserve">, </w:t>
      </w:r>
      <w:proofErr w:type="spellStart"/>
      <w:r w:rsidR="004D3F06" w:rsidRPr="00EB15A6">
        <w:t>Agence</w:t>
      </w:r>
      <w:proofErr w:type="spellEnd"/>
      <w:r w:rsidR="004D3F06" w:rsidRPr="00EB15A6">
        <w:t xml:space="preserve"> France </w:t>
      </w:r>
      <w:proofErr w:type="spellStart"/>
      <w:r w:rsidR="004D3F06" w:rsidRPr="00EB15A6">
        <w:t>Presse</w:t>
      </w:r>
      <w:proofErr w:type="spellEnd"/>
      <w:r w:rsidR="004D3F06" w:rsidRPr="00EB15A6">
        <w:t xml:space="preserve">, i24 News, Dec. 14, 2021, </w:t>
      </w:r>
      <w:r w:rsidR="00E90935" w:rsidRPr="00EB15A6">
        <w:t>https://www.i24news.tv/en/news/middle-east/the-gulf/1639485344-report-iraq-hangs-three-men-on-terrorism-charges.</w:t>
      </w:r>
    </w:p>
  </w:footnote>
  <w:footnote w:id="12">
    <w:p w14:paraId="45F97E3D" w14:textId="2B2305EB" w:rsidR="000D7E44" w:rsidRPr="00EB15A6" w:rsidRDefault="000D7E44">
      <w:pPr>
        <w:pStyle w:val="FootnoteText"/>
      </w:pPr>
      <w:r w:rsidRPr="00EB15A6">
        <w:rPr>
          <w:rStyle w:val="FootnoteReference"/>
        </w:rPr>
        <w:footnoteRef/>
      </w:r>
      <w:r w:rsidRPr="00EB15A6">
        <w:t xml:space="preserve"> Amnesty International, </w:t>
      </w:r>
      <w:r w:rsidRPr="00EB15A6">
        <w:rPr>
          <w:i/>
          <w:iCs/>
        </w:rPr>
        <w:t xml:space="preserve">Death Sentences and Executions 2020 </w:t>
      </w:r>
      <w:r w:rsidRPr="00EB15A6">
        <w:t xml:space="preserve">(2021), at 9, </w:t>
      </w:r>
      <w:r w:rsidR="00B27032" w:rsidRPr="00EB15A6">
        <w:t>https://www.amnesty.org.uk/files/2021-04/DEATH%20SENTENCES%20AND%20EXECUTIONS%202020%20Web%20%281%29.pdf?VersionId=8oYJ0oZFmsKrV67.bYSCX1NHvBNSxAYZ</w:t>
      </w:r>
      <w:r w:rsidRPr="00EB15A6">
        <w:t>.</w:t>
      </w:r>
    </w:p>
  </w:footnote>
  <w:footnote w:id="13">
    <w:p w14:paraId="6EDF1255" w14:textId="008ECB80" w:rsidR="00545EC2" w:rsidRPr="00EB15A6" w:rsidRDefault="00545EC2">
      <w:pPr>
        <w:pStyle w:val="FootnoteText"/>
      </w:pPr>
      <w:r w:rsidRPr="00EB15A6">
        <w:rPr>
          <w:rStyle w:val="FootnoteReference"/>
        </w:rPr>
        <w:footnoteRef/>
      </w:r>
      <w:r w:rsidRPr="00EB15A6">
        <w:t xml:space="preserve"> </w:t>
      </w:r>
      <w:r w:rsidRPr="00EB15A6">
        <w:rPr>
          <w:i/>
          <w:iCs/>
        </w:rPr>
        <w:t>Iraq executes five men convicted of terrorism</w:t>
      </w:r>
      <w:r w:rsidRPr="00EB15A6">
        <w:t xml:space="preserve">, Arab Weekly, Feb. 10, 2021, </w:t>
      </w:r>
      <w:r w:rsidR="00A01826" w:rsidRPr="00EB15A6">
        <w:t>https://thearabweekly.com/iraq-executes-five-men-convicted-terrorism</w:t>
      </w:r>
      <w:r w:rsidR="0040576E" w:rsidRPr="00EB15A6">
        <w:t xml:space="preserve">; </w:t>
      </w:r>
      <w:r w:rsidR="0040576E" w:rsidRPr="00EB15A6">
        <w:rPr>
          <w:i/>
          <w:iCs/>
        </w:rPr>
        <w:t xml:space="preserve">Fears of Iraq execution spree after </w:t>
      </w:r>
      <w:proofErr w:type="spellStart"/>
      <w:r w:rsidR="0040576E" w:rsidRPr="00EB15A6">
        <w:rPr>
          <w:i/>
          <w:iCs/>
        </w:rPr>
        <w:t>Daesh</w:t>
      </w:r>
      <w:proofErr w:type="spellEnd"/>
      <w:r w:rsidR="0040576E" w:rsidRPr="00EB15A6">
        <w:rPr>
          <w:i/>
          <w:iCs/>
        </w:rPr>
        <w:t xml:space="preserve"> attack</w:t>
      </w:r>
      <w:r w:rsidR="0040576E" w:rsidRPr="00EB15A6">
        <w:t xml:space="preserve">, Arab News, Jan. 25, 2021, </w:t>
      </w:r>
      <w:r w:rsidR="00A37F93" w:rsidRPr="00EB15A6">
        <w:t>https://www.arabnews.com/node/1797941/middle-east.</w:t>
      </w:r>
    </w:p>
  </w:footnote>
  <w:footnote w:id="14">
    <w:p w14:paraId="6FC78244" w14:textId="705C67B5" w:rsidR="00A34C42" w:rsidRPr="00EB15A6" w:rsidRDefault="00A34C42">
      <w:pPr>
        <w:pStyle w:val="FootnoteText"/>
      </w:pPr>
      <w:r w:rsidRPr="00EB15A6">
        <w:rPr>
          <w:rStyle w:val="FootnoteReference"/>
        </w:rPr>
        <w:footnoteRef/>
      </w:r>
      <w:r w:rsidRPr="00EB15A6">
        <w:t xml:space="preserve"> Sinan Mahmoud, </w:t>
      </w:r>
      <w:r w:rsidRPr="00EB15A6">
        <w:rPr>
          <w:i/>
          <w:iCs/>
        </w:rPr>
        <w:t>Iraq authorizes mass execution of militants and criminals after ISIS bombings</w:t>
      </w:r>
      <w:r w:rsidRPr="00EB15A6">
        <w:t xml:space="preserve">, National, </w:t>
      </w:r>
      <w:r w:rsidR="001F61C7" w:rsidRPr="00EB15A6">
        <w:t>Jan. 26, 2021</w:t>
      </w:r>
      <w:r w:rsidRPr="00EB15A6">
        <w:t xml:space="preserve">, </w:t>
      </w:r>
      <w:r w:rsidR="001F61C7" w:rsidRPr="00EB15A6">
        <w:t>https://www.thenationalnews.com/world/mena/iraq-authorises-mass-execution-of-militants-and-criminals-after-isis-bombings-1.1152541.</w:t>
      </w:r>
    </w:p>
  </w:footnote>
  <w:footnote w:id="15">
    <w:p w14:paraId="17263BE0" w14:textId="77777777" w:rsidR="006A6AB0" w:rsidRPr="00EB15A6" w:rsidRDefault="006A6AB0" w:rsidP="006A6AB0">
      <w:pPr>
        <w:pStyle w:val="FootnoteText"/>
      </w:pPr>
      <w:r w:rsidRPr="00EB15A6">
        <w:rPr>
          <w:rStyle w:val="FootnoteReference"/>
        </w:rPr>
        <w:footnoteRef/>
      </w:r>
      <w:r w:rsidRPr="00EB15A6">
        <w:t xml:space="preserve"> </w:t>
      </w:r>
      <w:r w:rsidRPr="00EB15A6">
        <w:rPr>
          <w:i/>
          <w:iCs/>
        </w:rPr>
        <w:t>Iraq executes five men convicted of terrorism</w:t>
      </w:r>
      <w:r w:rsidRPr="00EB15A6">
        <w:t>, Arab Weekly, Feb. 10, 2021, https://thearabweekly.com/iraq-executes-five-men-convicted-terrorism.</w:t>
      </w:r>
    </w:p>
  </w:footnote>
  <w:footnote w:id="16">
    <w:p w14:paraId="3A19E907" w14:textId="77777777" w:rsidR="00A01826" w:rsidRPr="00EB15A6" w:rsidRDefault="00A01826" w:rsidP="00A01826">
      <w:pPr>
        <w:pStyle w:val="FootnoteText"/>
      </w:pPr>
      <w:r w:rsidRPr="00EB15A6">
        <w:rPr>
          <w:rStyle w:val="FootnoteReference"/>
        </w:rPr>
        <w:footnoteRef/>
      </w:r>
      <w:r w:rsidRPr="00EB15A6">
        <w:t xml:space="preserve"> </w:t>
      </w:r>
      <w:r w:rsidRPr="00EB15A6">
        <w:rPr>
          <w:i/>
          <w:iCs/>
        </w:rPr>
        <w:t>Iraq executes five men convicted of terrorism</w:t>
      </w:r>
      <w:r w:rsidRPr="00EB15A6">
        <w:t>, Arab Weekly, Feb. 10, 2021, https://thearabweekly.com/iraq-executes-five-men-convicted-terrorism.</w:t>
      </w:r>
    </w:p>
  </w:footnote>
  <w:footnote w:id="17">
    <w:p w14:paraId="4CCD22F8" w14:textId="40D08562" w:rsidR="001307D0" w:rsidRPr="00EB15A6" w:rsidRDefault="001307D0">
      <w:pPr>
        <w:pStyle w:val="FootnoteText"/>
      </w:pPr>
      <w:r w:rsidRPr="00EB15A6">
        <w:rPr>
          <w:rStyle w:val="FootnoteReference"/>
        </w:rPr>
        <w:footnoteRef/>
      </w:r>
      <w:r w:rsidRPr="00EB15A6">
        <w:t xml:space="preserve"> </w:t>
      </w:r>
      <w:r w:rsidRPr="00EB15A6">
        <w:rPr>
          <w:i/>
          <w:iCs/>
        </w:rPr>
        <w:t xml:space="preserve">Iraq Executes Six Convicts in </w:t>
      </w:r>
      <w:proofErr w:type="spellStart"/>
      <w:r w:rsidRPr="00EB15A6">
        <w:rPr>
          <w:i/>
          <w:iCs/>
        </w:rPr>
        <w:t>Nasiriyah</w:t>
      </w:r>
      <w:proofErr w:type="spellEnd"/>
      <w:r w:rsidRPr="00EB15A6">
        <w:rPr>
          <w:i/>
          <w:iCs/>
        </w:rPr>
        <w:t xml:space="preserve"> Prison</w:t>
      </w:r>
      <w:r w:rsidRPr="00EB15A6">
        <w:t xml:space="preserve">, </w:t>
      </w:r>
      <w:proofErr w:type="spellStart"/>
      <w:r w:rsidRPr="00EB15A6">
        <w:t>Basnews</w:t>
      </w:r>
      <w:proofErr w:type="spellEnd"/>
      <w:r w:rsidRPr="00EB15A6">
        <w:t xml:space="preserve">, Aug. 31, 2021, </w:t>
      </w:r>
      <w:r w:rsidR="00D17039" w:rsidRPr="00EB15A6">
        <w:t>https://www.basnews.com/en/babat/710055.</w:t>
      </w:r>
    </w:p>
  </w:footnote>
  <w:footnote w:id="18">
    <w:p w14:paraId="72098668" w14:textId="3A1AC632" w:rsidR="003141A4" w:rsidRPr="00EB15A6" w:rsidRDefault="003141A4" w:rsidP="003141A4">
      <w:pPr>
        <w:pStyle w:val="FootnoteText"/>
      </w:pPr>
      <w:r w:rsidRPr="00EB15A6">
        <w:rPr>
          <w:rStyle w:val="FootnoteReference"/>
        </w:rPr>
        <w:footnoteRef/>
      </w:r>
      <w:r w:rsidRPr="00EB15A6">
        <w:t xml:space="preserve"> Amnesty International, </w:t>
      </w:r>
      <w:r w:rsidRPr="00EB15A6">
        <w:rPr>
          <w:i/>
          <w:iCs/>
        </w:rPr>
        <w:t xml:space="preserve">Death Sentences and Executions 2020 </w:t>
      </w:r>
      <w:r w:rsidRPr="00EB15A6">
        <w:t xml:space="preserve">(2021), at </w:t>
      </w:r>
      <w:r w:rsidR="00554AA8" w:rsidRPr="00EB15A6">
        <w:t>12</w:t>
      </w:r>
      <w:r w:rsidRPr="00EB15A6">
        <w:t>, https://www.amnesty.org.uk/files/2021-04/DEATH%20SENTENCES%20AND%20EXECUTIONS%202020%20Web%20%281%29.pdf?VersionId=8oYJ0oZFmsKrV67.bYSCX1NHvBNSxAYZ.</w:t>
      </w:r>
    </w:p>
  </w:footnote>
  <w:footnote w:id="19">
    <w:p w14:paraId="35152C12" w14:textId="4424CAB4" w:rsidR="00CB472E" w:rsidRPr="00EB15A6" w:rsidRDefault="00CB472E">
      <w:pPr>
        <w:pStyle w:val="FootnoteText"/>
      </w:pPr>
      <w:r w:rsidRPr="00EB15A6">
        <w:rPr>
          <w:rStyle w:val="FootnoteReference"/>
        </w:rPr>
        <w:footnoteRef/>
      </w:r>
      <w:r w:rsidRPr="00EB15A6">
        <w:t xml:space="preserve"> </w:t>
      </w:r>
      <w:r w:rsidR="0019012B" w:rsidRPr="00EB15A6">
        <w:t xml:space="preserve">UN Assistance Mission for Iraq, OHCHR, </w:t>
      </w:r>
      <w:r w:rsidR="0019012B" w:rsidRPr="00EB15A6">
        <w:rPr>
          <w:i/>
          <w:iCs/>
        </w:rPr>
        <w:t>Human Rights in the Administration of Justice in Iraq: legal conditions and procedural safeguards to prevent torture and ill-treatment</w:t>
      </w:r>
      <w:r w:rsidR="0019012B" w:rsidRPr="00EB15A6">
        <w:t xml:space="preserve"> (Aug. 2021), </w:t>
      </w:r>
      <w:r w:rsidR="003A3682" w:rsidRPr="00EB15A6">
        <w:t>at 6, https://iraq.un.org/sites/default/files/2021-08/IRAQ%20-%20Legal%20conditions%20and%20procedural%20safeguards%20to%20prevent%20torture%20and%20ill-treatment_Update%20EN.pdf</w:t>
      </w:r>
    </w:p>
  </w:footnote>
  <w:footnote w:id="20">
    <w:p w14:paraId="68E00B58" w14:textId="77777777" w:rsidR="003141A4" w:rsidRPr="00EB15A6" w:rsidRDefault="003141A4" w:rsidP="003141A4">
      <w:pPr>
        <w:pStyle w:val="FootnoteText"/>
      </w:pPr>
      <w:r w:rsidRPr="00EB15A6">
        <w:rPr>
          <w:rStyle w:val="FootnoteReference"/>
        </w:rPr>
        <w:footnoteRef/>
      </w:r>
      <w:r w:rsidRPr="00EB15A6">
        <w:t xml:space="preserve"> </w:t>
      </w:r>
      <w:r w:rsidRPr="00EB15A6">
        <w:rPr>
          <w:i/>
          <w:iCs/>
        </w:rPr>
        <w:t>Iraq sentences police officer, informant to death over deadly bogus operation</w:t>
      </w:r>
      <w:r w:rsidRPr="00EB15A6">
        <w:t>, Middle East Eye, Feb. 14, 2022, https://www.middleeasteye.net/news/iraq-police-officer-informant-sentenced-death-bogus-operation.</w:t>
      </w:r>
    </w:p>
  </w:footnote>
  <w:footnote w:id="21">
    <w:p w14:paraId="03DD91C3" w14:textId="77777777" w:rsidR="00AB2888" w:rsidRPr="00EB15A6" w:rsidRDefault="00AB2888" w:rsidP="00AB2888">
      <w:pPr>
        <w:pStyle w:val="FootnoteText"/>
      </w:pPr>
      <w:r w:rsidRPr="00EB15A6">
        <w:rPr>
          <w:rStyle w:val="FootnoteReference"/>
        </w:rPr>
        <w:footnoteRef/>
      </w:r>
      <w:r w:rsidRPr="00EB15A6">
        <w:t xml:space="preserve"> Committee Against Torture, </w:t>
      </w:r>
      <w:r w:rsidRPr="00EB15A6">
        <w:rPr>
          <w:i/>
          <w:iCs/>
        </w:rPr>
        <w:t>Replies of Iraq to the list of issues in relation to its second periodic report</w:t>
      </w:r>
      <w:r w:rsidRPr="00EB15A6">
        <w:t>, (18 Jan. 2022), U.N. Doc. CAT/C/IRQ/RQ/2, ¶ 166.</w:t>
      </w:r>
    </w:p>
  </w:footnote>
  <w:footnote w:id="22">
    <w:p w14:paraId="542E1F6C" w14:textId="1386BEE9" w:rsidR="0070179A" w:rsidRPr="00EB15A6" w:rsidRDefault="0070179A" w:rsidP="0070179A">
      <w:pPr>
        <w:pStyle w:val="FootnoteText"/>
      </w:pPr>
      <w:r w:rsidRPr="00EB15A6">
        <w:rPr>
          <w:rStyle w:val="FootnoteReference"/>
        </w:rPr>
        <w:footnoteRef/>
      </w:r>
      <w:r w:rsidRPr="00EB15A6">
        <w:t xml:space="preserve"> Committee Against Torture, </w:t>
      </w:r>
      <w:r w:rsidRPr="00EB15A6">
        <w:rPr>
          <w:i/>
          <w:iCs/>
        </w:rPr>
        <w:t>Replies of Iraq to the list of issues in relation to its second periodic report</w:t>
      </w:r>
      <w:r w:rsidRPr="00EB15A6">
        <w:t>, (18 Jan. 2022), U.N. Doc. CAT/C/IRQ/RQ/2, ¶ 16</w:t>
      </w:r>
      <w:r w:rsidR="00DA580A" w:rsidRPr="00EB15A6">
        <w:t>7</w:t>
      </w:r>
      <w:r w:rsidRPr="00EB15A6">
        <w:t>.</w:t>
      </w:r>
    </w:p>
  </w:footnote>
  <w:footnote w:id="23">
    <w:p w14:paraId="6931BA1B" w14:textId="12BB51C7" w:rsidR="007E3CA1" w:rsidRPr="00EB15A6" w:rsidRDefault="007E3CA1" w:rsidP="007E3CA1">
      <w:pPr>
        <w:pStyle w:val="FootnoteText"/>
      </w:pPr>
      <w:r w:rsidRPr="00EB15A6">
        <w:rPr>
          <w:rStyle w:val="FootnoteReference"/>
        </w:rPr>
        <w:footnoteRef/>
      </w:r>
      <w:r w:rsidRPr="00EB15A6">
        <w:t xml:space="preserve"> The Advocates for Human Rights and the World Coalition Against the Death Penalty, </w:t>
      </w:r>
      <w:r w:rsidRPr="00EB15A6">
        <w:rPr>
          <w:i/>
          <w:iCs/>
        </w:rPr>
        <w:t>Iraq’s Compliance with the Convention against Torture and Other Cruel, Inhuman or Degrading Treatment or Punishment: Suggested List of Issues Relating to the Death Penalty</w:t>
      </w:r>
      <w:r w:rsidRPr="00EB15A6">
        <w:t>, June 22, 2020, ¶¶ </w:t>
      </w:r>
      <w:r w:rsidR="00D04BE6" w:rsidRPr="00EB15A6">
        <w:t>12-</w:t>
      </w:r>
      <w:r w:rsidR="00E0170D" w:rsidRPr="00EB15A6">
        <w:t>19</w:t>
      </w:r>
      <w:r w:rsidRPr="00EB15A6">
        <w:t>, https://www.theadvocatesforhumanrights.org/res/byid/8729.</w:t>
      </w:r>
    </w:p>
  </w:footnote>
  <w:footnote w:id="24">
    <w:p w14:paraId="56AD59A5" w14:textId="77777777" w:rsidR="008F085F" w:rsidRPr="00EB15A6" w:rsidRDefault="008F085F" w:rsidP="008F085F">
      <w:pPr>
        <w:pStyle w:val="FootnoteText"/>
      </w:pPr>
      <w:r w:rsidRPr="00EB15A6">
        <w:rPr>
          <w:rStyle w:val="FootnoteReference"/>
        </w:rPr>
        <w:footnoteRef/>
      </w:r>
      <w:r w:rsidRPr="00EB15A6">
        <w:t xml:space="preserve"> </w:t>
      </w:r>
      <w:r w:rsidRPr="00EB15A6">
        <w:rPr>
          <w:i/>
          <w:iCs/>
        </w:rPr>
        <w:t>Iraq: Wave of mass executions must stop, trials are unfair – UN experts</w:t>
      </w:r>
      <w:r w:rsidRPr="00EB15A6">
        <w:t>, UN Human Rights Council (press release), 20 Nov. 2020, https://reliefweb.int/report/iraq/iraq-wave-mass-executions-must-stop-trials-are-unfair-un-experts.</w:t>
      </w:r>
    </w:p>
  </w:footnote>
  <w:footnote w:id="25">
    <w:p w14:paraId="06E01FD8" w14:textId="771225BE" w:rsidR="003D044C" w:rsidRPr="00EB15A6" w:rsidRDefault="003D044C" w:rsidP="003D044C">
      <w:pPr>
        <w:pStyle w:val="FootnoteText"/>
      </w:pPr>
      <w:r w:rsidRPr="00EB15A6">
        <w:rPr>
          <w:rStyle w:val="FootnoteReference"/>
        </w:rPr>
        <w:footnoteRef/>
      </w:r>
      <w:r w:rsidRPr="00EB15A6">
        <w:t xml:space="preserve"> Committee Against Torture, </w:t>
      </w:r>
      <w:r w:rsidRPr="00EB15A6">
        <w:rPr>
          <w:i/>
          <w:iCs/>
        </w:rPr>
        <w:t>Replies of Iraq to the list of issues in relation to its second periodic report</w:t>
      </w:r>
      <w:r w:rsidRPr="00EB15A6">
        <w:t>, (18 Jan. 2022), U.N. Doc. CAT/C/IRQ/RQ/2, ¶ 168.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7B087" w14:textId="1BE9FBAD" w:rsidR="00804604" w:rsidRDefault="00121537">
    <w:pPr>
      <w:pStyle w:val="Header"/>
    </w:pPr>
    <w:r>
      <w:rPr>
        <w:noProof/>
        <w:lang w:val="en-GB" w:eastAsia="en-GB"/>
      </w:rPr>
      <w:drawing>
        <wp:anchor distT="0" distB="0" distL="114300" distR="114300" simplePos="0" relativeHeight="251660289" behindDoc="0" locked="0" layoutInCell="1" allowOverlap="1" wp14:anchorId="033AC663" wp14:editId="590F36EB">
          <wp:simplePos x="0" y="0"/>
          <wp:positionH relativeFrom="column">
            <wp:posOffset>1113182</wp:posOffset>
          </wp:positionH>
          <wp:positionV relativeFrom="paragraph">
            <wp:posOffset>-60763</wp:posOffset>
          </wp:positionV>
          <wp:extent cx="1605222" cy="852860"/>
          <wp:effectExtent l="0" t="0" r="0" b="0"/>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605222" cy="85286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1" locked="0" layoutInCell="1" allowOverlap="1" wp14:anchorId="0D691956" wp14:editId="6B1690D3">
          <wp:simplePos x="0" y="0"/>
          <wp:positionH relativeFrom="column">
            <wp:posOffset>3075139</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07732"/>
    <w:rsid w:val="00030504"/>
    <w:rsid w:val="00030F59"/>
    <w:rsid w:val="000342B6"/>
    <w:rsid w:val="00046377"/>
    <w:rsid w:val="00054BE6"/>
    <w:rsid w:val="00056CF5"/>
    <w:rsid w:val="000734A4"/>
    <w:rsid w:val="0008238F"/>
    <w:rsid w:val="00085935"/>
    <w:rsid w:val="000910FC"/>
    <w:rsid w:val="0009644E"/>
    <w:rsid w:val="000A1F17"/>
    <w:rsid w:val="000A66B8"/>
    <w:rsid w:val="000B042D"/>
    <w:rsid w:val="000B4DB3"/>
    <w:rsid w:val="000C6340"/>
    <w:rsid w:val="000D0680"/>
    <w:rsid w:val="000D7E44"/>
    <w:rsid w:val="000E1DDC"/>
    <w:rsid w:val="000F1E67"/>
    <w:rsid w:val="000F56E0"/>
    <w:rsid w:val="001008D1"/>
    <w:rsid w:val="00107675"/>
    <w:rsid w:val="00111994"/>
    <w:rsid w:val="00121537"/>
    <w:rsid w:val="001215B4"/>
    <w:rsid w:val="001307D0"/>
    <w:rsid w:val="00136514"/>
    <w:rsid w:val="00143423"/>
    <w:rsid w:val="00147EA4"/>
    <w:rsid w:val="001565F9"/>
    <w:rsid w:val="00160BDA"/>
    <w:rsid w:val="00181B2A"/>
    <w:rsid w:val="0018642B"/>
    <w:rsid w:val="0019012B"/>
    <w:rsid w:val="001A59C1"/>
    <w:rsid w:val="001A5ED5"/>
    <w:rsid w:val="001A7AF4"/>
    <w:rsid w:val="001B1AC4"/>
    <w:rsid w:val="001B27D7"/>
    <w:rsid w:val="001B46C2"/>
    <w:rsid w:val="001B799A"/>
    <w:rsid w:val="001C42EB"/>
    <w:rsid w:val="001E18D2"/>
    <w:rsid w:val="001F61C7"/>
    <w:rsid w:val="00220D48"/>
    <w:rsid w:val="00237C8C"/>
    <w:rsid w:val="00241D1E"/>
    <w:rsid w:val="00242F64"/>
    <w:rsid w:val="002439A3"/>
    <w:rsid w:val="00243E14"/>
    <w:rsid w:val="00255789"/>
    <w:rsid w:val="0025778F"/>
    <w:rsid w:val="00272519"/>
    <w:rsid w:val="002734D9"/>
    <w:rsid w:val="00273933"/>
    <w:rsid w:val="00273EBF"/>
    <w:rsid w:val="00282223"/>
    <w:rsid w:val="002865FF"/>
    <w:rsid w:val="00291BE8"/>
    <w:rsid w:val="00296417"/>
    <w:rsid w:val="002A0797"/>
    <w:rsid w:val="002A4838"/>
    <w:rsid w:val="002C57BC"/>
    <w:rsid w:val="002C75D1"/>
    <w:rsid w:val="002D36C6"/>
    <w:rsid w:val="002E34EA"/>
    <w:rsid w:val="002E46A1"/>
    <w:rsid w:val="002F6A6D"/>
    <w:rsid w:val="002F7A11"/>
    <w:rsid w:val="003141A4"/>
    <w:rsid w:val="00315C53"/>
    <w:rsid w:val="00322CB1"/>
    <w:rsid w:val="003369A6"/>
    <w:rsid w:val="00340484"/>
    <w:rsid w:val="00344140"/>
    <w:rsid w:val="00344556"/>
    <w:rsid w:val="00345B90"/>
    <w:rsid w:val="0035378E"/>
    <w:rsid w:val="0035424D"/>
    <w:rsid w:val="003720E6"/>
    <w:rsid w:val="00374FD8"/>
    <w:rsid w:val="0037663B"/>
    <w:rsid w:val="00390AC3"/>
    <w:rsid w:val="003937C6"/>
    <w:rsid w:val="003A0BC2"/>
    <w:rsid w:val="003A1D3E"/>
    <w:rsid w:val="003A3682"/>
    <w:rsid w:val="003A6F6D"/>
    <w:rsid w:val="003C1E49"/>
    <w:rsid w:val="003C60FE"/>
    <w:rsid w:val="003C7846"/>
    <w:rsid w:val="003D044C"/>
    <w:rsid w:val="0040576E"/>
    <w:rsid w:val="004076CD"/>
    <w:rsid w:val="004100EA"/>
    <w:rsid w:val="00417CE5"/>
    <w:rsid w:val="00423686"/>
    <w:rsid w:val="004262B2"/>
    <w:rsid w:val="00430A63"/>
    <w:rsid w:val="00450118"/>
    <w:rsid w:val="00450405"/>
    <w:rsid w:val="00453314"/>
    <w:rsid w:val="00476CC4"/>
    <w:rsid w:val="00485A29"/>
    <w:rsid w:val="004866AE"/>
    <w:rsid w:val="004A17D9"/>
    <w:rsid w:val="004A5B01"/>
    <w:rsid w:val="004A6010"/>
    <w:rsid w:val="004A7D93"/>
    <w:rsid w:val="004A7FF9"/>
    <w:rsid w:val="004B1E4E"/>
    <w:rsid w:val="004B4CAF"/>
    <w:rsid w:val="004B73AF"/>
    <w:rsid w:val="004D2568"/>
    <w:rsid w:val="004D26F3"/>
    <w:rsid w:val="004D3EE9"/>
    <w:rsid w:val="004D3F06"/>
    <w:rsid w:val="004D51DD"/>
    <w:rsid w:val="004E524E"/>
    <w:rsid w:val="004E7176"/>
    <w:rsid w:val="004E783D"/>
    <w:rsid w:val="004F2465"/>
    <w:rsid w:val="004F34E5"/>
    <w:rsid w:val="004F7C1B"/>
    <w:rsid w:val="005132BB"/>
    <w:rsid w:val="0051494C"/>
    <w:rsid w:val="00524166"/>
    <w:rsid w:val="00524C18"/>
    <w:rsid w:val="005336C2"/>
    <w:rsid w:val="005403E3"/>
    <w:rsid w:val="00545EC2"/>
    <w:rsid w:val="005506E5"/>
    <w:rsid w:val="0055461C"/>
    <w:rsid w:val="00554AA8"/>
    <w:rsid w:val="00571EF6"/>
    <w:rsid w:val="00592E57"/>
    <w:rsid w:val="0059754B"/>
    <w:rsid w:val="005B0C1B"/>
    <w:rsid w:val="005C183B"/>
    <w:rsid w:val="005C58B6"/>
    <w:rsid w:val="005C5BF7"/>
    <w:rsid w:val="005D4EE6"/>
    <w:rsid w:val="005E76A4"/>
    <w:rsid w:val="005E79E1"/>
    <w:rsid w:val="005F2A19"/>
    <w:rsid w:val="0060568A"/>
    <w:rsid w:val="0060622C"/>
    <w:rsid w:val="0061778F"/>
    <w:rsid w:val="00624A10"/>
    <w:rsid w:val="00626C39"/>
    <w:rsid w:val="00633068"/>
    <w:rsid w:val="00643D7A"/>
    <w:rsid w:val="00646D29"/>
    <w:rsid w:val="0066318F"/>
    <w:rsid w:val="006927DD"/>
    <w:rsid w:val="006A6AB0"/>
    <w:rsid w:val="006A75A2"/>
    <w:rsid w:val="006B7B89"/>
    <w:rsid w:val="006D39C4"/>
    <w:rsid w:val="006E7D5B"/>
    <w:rsid w:val="006F582F"/>
    <w:rsid w:val="0070179A"/>
    <w:rsid w:val="007143B8"/>
    <w:rsid w:val="00725E39"/>
    <w:rsid w:val="007316AA"/>
    <w:rsid w:val="00741B9C"/>
    <w:rsid w:val="00757A1C"/>
    <w:rsid w:val="007637D8"/>
    <w:rsid w:val="00765EBC"/>
    <w:rsid w:val="0077231B"/>
    <w:rsid w:val="00774643"/>
    <w:rsid w:val="00777047"/>
    <w:rsid w:val="007838DE"/>
    <w:rsid w:val="007B46CD"/>
    <w:rsid w:val="007C36BE"/>
    <w:rsid w:val="007C4360"/>
    <w:rsid w:val="007C4387"/>
    <w:rsid w:val="007C7CCE"/>
    <w:rsid w:val="007D2FB7"/>
    <w:rsid w:val="007E3CA1"/>
    <w:rsid w:val="007E79C4"/>
    <w:rsid w:val="007F23A8"/>
    <w:rsid w:val="00804604"/>
    <w:rsid w:val="0081221D"/>
    <w:rsid w:val="00826961"/>
    <w:rsid w:val="00836428"/>
    <w:rsid w:val="00847C78"/>
    <w:rsid w:val="00852B97"/>
    <w:rsid w:val="008618C7"/>
    <w:rsid w:val="00870521"/>
    <w:rsid w:val="0087642D"/>
    <w:rsid w:val="008806CE"/>
    <w:rsid w:val="008856D7"/>
    <w:rsid w:val="0089523C"/>
    <w:rsid w:val="008B3404"/>
    <w:rsid w:val="008C3B9B"/>
    <w:rsid w:val="008C7B1F"/>
    <w:rsid w:val="008C7B63"/>
    <w:rsid w:val="008E0859"/>
    <w:rsid w:val="008E3917"/>
    <w:rsid w:val="008F085F"/>
    <w:rsid w:val="008F0BDD"/>
    <w:rsid w:val="008F2F99"/>
    <w:rsid w:val="008F6084"/>
    <w:rsid w:val="009057C8"/>
    <w:rsid w:val="0093193B"/>
    <w:rsid w:val="00937897"/>
    <w:rsid w:val="00942285"/>
    <w:rsid w:val="00947170"/>
    <w:rsid w:val="00947B3D"/>
    <w:rsid w:val="00956E94"/>
    <w:rsid w:val="00962312"/>
    <w:rsid w:val="009627A1"/>
    <w:rsid w:val="00965F71"/>
    <w:rsid w:val="009712FE"/>
    <w:rsid w:val="00971DC4"/>
    <w:rsid w:val="009857F1"/>
    <w:rsid w:val="009875AD"/>
    <w:rsid w:val="009924AF"/>
    <w:rsid w:val="009A7F71"/>
    <w:rsid w:val="009B51D7"/>
    <w:rsid w:val="009D3BEA"/>
    <w:rsid w:val="009D5161"/>
    <w:rsid w:val="009E3316"/>
    <w:rsid w:val="009E4D16"/>
    <w:rsid w:val="009E7FEB"/>
    <w:rsid w:val="009F12E2"/>
    <w:rsid w:val="009F3358"/>
    <w:rsid w:val="009F478B"/>
    <w:rsid w:val="009F69C1"/>
    <w:rsid w:val="009F748E"/>
    <w:rsid w:val="00A01826"/>
    <w:rsid w:val="00A11B87"/>
    <w:rsid w:val="00A33E27"/>
    <w:rsid w:val="00A34C42"/>
    <w:rsid w:val="00A37F93"/>
    <w:rsid w:val="00A40EE1"/>
    <w:rsid w:val="00A423ED"/>
    <w:rsid w:val="00A536F3"/>
    <w:rsid w:val="00A648AA"/>
    <w:rsid w:val="00A91D08"/>
    <w:rsid w:val="00AA6318"/>
    <w:rsid w:val="00AA7FCB"/>
    <w:rsid w:val="00AB2888"/>
    <w:rsid w:val="00AB59AE"/>
    <w:rsid w:val="00AB5BD9"/>
    <w:rsid w:val="00AC040C"/>
    <w:rsid w:val="00AD0AA1"/>
    <w:rsid w:val="00AD3EDC"/>
    <w:rsid w:val="00AD6FF1"/>
    <w:rsid w:val="00AE07A3"/>
    <w:rsid w:val="00AE372A"/>
    <w:rsid w:val="00B00D77"/>
    <w:rsid w:val="00B159BF"/>
    <w:rsid w:val="00B27032"/>
    <w:rsid w:val="00B275A9"/>
    <w:rsid w:val="00B40DBF"/>
    <w:rsid w:val="00B40E78"/>
    <w:rsid w:val="00B42427"/>
    <w:rsid w:val="00B44231"/>
    <w:rsid w:val="00B457C4"/>
    <w:rsid w:val="00B54060"/>
    <w:rsid w:val="00B71178"/>
    <w:rsid w:val="00B713F4"/>
    <w:rsid w:val="00B867A2"/>
    <w:rsid w:val="00B914A2"/>
    <w:rsid w:val="00B9541E"/>
    <w:rsid w:val="00BA2581"/>
    <w:rsid w:val="00BA4CDE"/>
    <w:rsid w:val="00BB0488"/>
    <w:rsid w:val="00BB3ED5"/>
    <w:rsid w:val="00BB4AB9"/>
    <w:rsid w:val="00BC07C0"/>
    <w:rsid w:val="00BD3CFF"/>
    <w:rsid w:val="00BE553F"/>
    <w:rsid w:val="00BE59BD"/>
    <w:rsid w:val="00BF72C3"/>
    <w:rsid w:val="00C0174A"/>
    <w:rsid w:val="00C05D9B"/>
    <w:rsid w:val="00C214BA"/>
    <w:rsid w:val="00C26130"/>
    <w:rsid w:val="00C315B6"/>
    <w:rsid w:val="00C36C8B"/>
    <w:rsid w:val="00C376F3"/>
    <w:rsid w:val="00C4132F"/>
    <w:rsid w:val="00C463D2"/>
    <w:rsid w:val="00C62A44"/>
    <w:rsid w:val="00C704FA"/>
    <w:rsid w:val="00C80A39"/>
    <w:rsid w:val="00C81936"/>
    <w:rsid w:val="00C8492E"/>
    <w:rsid w:val="00C84C4C"/>
    <w:rsid w:val="00C86902"/>
    <w:rsid w:val="00C92396"/>
    <w:rsid w:val="00CA5CC2"/>
    <w:rsid w:val="00CA7D78"/>
    <w:rsid w:val="00CB472E"/>
    <w:rsid w:val="00CB631F"/>
    <w:rsid w:val="00CC5314"/>
    <w:rsid w:val="00CF5003"/>
    <w:rsid w:val="00D0019C"/>
    <w:rsid w:val="00D00272"/>
    <w:rsid w:val="00D04BE6"/>
    <w:rsid w:val="00D17039"/>
    <w:rsid w:val="00D17F80"/>
    <w:rsid w:val="00D3148E"/>
    <w:rsid w:val="00D3182B"/>
    <w:rsid w:val="00D52AD6"/>
    <w:rsid w:val="00D55B2D"/>
    <w:rsid w:val="00D73E0D"/>
    <w:rsid w:val="00D74212"/>
    <w:rsid w:val="00D861C1"/>
    <w:rsid w:val="00D86901"/>
    <w:rsid w:val="00D92835"/>
    <w:rsid w:val="00D94424"/>
    <w:rsid w:val="00DA0C3A"/>
    <w:rsid w:val="00DA580A"/>
    <w:rsid w:val="00DA6DB6"/>
    <w:rsid w:val="00DC01A1"/>
    <w:rsid w:val="00DC41C9"/>
    <w:rsid w:val="00DC5473"/>
    <w:rsid w:val="00DD2F76"/>
    <w:rsid w:val="00DD3996"/>
    <w:rsid w:val="00DE6FE8"/>
    <w:rsid w:val="00E0170D"/>
    <w:rsid w:val="00E114C5"/>
    <w:rsid w:val="00E13D93"/>
    <w:rsid w:val="00E162F5"/>
    <w:rsid w:val="00E307F3"/>
    <w:rsid w:val="00E3230E"/>
    <w:rsid w:val="00E35775"/>
    <w:rsid w:val="00E41CC8"/>
    <w:rsid w:val="00E531A4"/>
    <w:rsid w:val="00E64A93"/>
    <w:rsid w:val="00E826D1"/>
    <w:rsid w:val="00E90935"/>
    <w:rsid w:val="00E95CF7"/>
    <w:rsid w:val="00EA0EEB"/>
    <w:rsid w:val="00EB15A6"/>
    <w:rsid w:val="00ED2912"/>
    <w:rsid w:val="00ED2DCC"/>
    <w:rsid w:val="00EF2BE5"/>
    <w:rsid w:val="00EF345A"/>
    <w:rsid w:val="00EF65CC"/>
    <w:rsid w:val="00F042FA"/>
    <w:rsid w:val="00F07FC3"/>
    <w:rsid w:val="00F16374"/>
    <w:rsid w:val="00F22813"/>
    <w:rsid w:val="00F2442A"/>
    <w:rsid w:val="00F4107A"/>
    <w:rsid w:val="00F51AFD"/>
    <w:rsid w:val="00F612FF"/>
    <w:rsid w:val="00F6493F"/>
    <w:rsid w:val="00F75663"/>
    <w:rsid w:val="00F80FD1"/>
    <w:rsid w:val="00F811E7"/>
    <w:rsid w:val="00F9056C"/>
    <w:rsid w:val="00F90AED"/>
    <w:rsid w:val="00F917AC"/>
    <w:rsid w:val="00F92EF4"/>
    <w:rsid w:val="00FA1064"/>
    <w:rsid w:val="00FB4891"/>
    <w:rsid w:val="00FC686F"/>
    <w:rsid w:val="00FC7FBE"/>
    <w:rsid w:val="00FD3AF9"/>
    <w:rsid w:val="00FE0378"/>
    <w:rsid w:val="00FE2347"/>
    <w:rsid w:val="00FE3D78"/>
    <w:rsid w:val="070D1478"/>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UnresolvedMention">
    <w:name w:val="Unresolved Mention"/>
    <w:basedOn w:val="DefaultParagraphFont"/>
    <w:uiPriority w:val="99"/>
    <w:semiHidden/>
    <w:unhideWhenUsed/>
    <w:rsid w:val="004057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4A4EA-DF38-4329-9E04-DFF2F65F80FB}"/>
</file>

<file path=customXml/itemProps2.xml><?xml version="1.0" encoding="utf-8"?>
<ds:datastoreItem xmlns:ds="http://schemas.openxmlformats.org/officeDocument/2006/customXml" ds:itemID="{DBDE3E44-F393-47EA-8149-AE595556AE5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42df7cb3-2fea-4ba3-b9bf-21660104d6dd"/>
    <ds:schemaRef ds:uri="e968d4b9-9f0d-4b6f-81c6-222446f6098e"/>
    <ds:schemaRef ds:uri="http://www.w3.org/XML/1998/namespace"/>
    <ds:schemaRef ds:uri="http://purl.org/dc/dcmitype/"/>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E793FC9F-51CC-4EC0-9B13-84703E5EE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1458</Words>
  <Characters>7892</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Javier Leoz Invernon</cp:lastModifiedBy>
  <cp:revision>2</cp:revision>
  <cp:lastPrinted>2011-09-16T18:52:00Z</cp:lastPrinted>
  <dcterms:created xsi:type="dcterms:W3CDTF">2022-03-21T00:06:00Z</dcterms:created>
  <dcterms:modified xsi:type="dcterms:W3CDTF">2022-03-21T00:06:00Z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0x01010022B3C51BB8F9654FB8068485B2E4975B</vt:lpwstr>
  </property>
</Properties>
</file>