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571A" w14:textId="565FB41C" w:rsidR="00BE01CC" w:rsidRDefault="00BE01CC" w:rsidP="00D654D9">
      <w:pPr>
        <w:rPr>
          <w:rFonts w:cstheme="minorHAnsi"/>
          <w:b/>
          <w:bCs/>
          <w:sz w:val="24"/>
          <w:szCs w:val="24"/>
        </w:rPr>
      </w:pPr>
    </w:p>
    <w:p w14:paraId="0AF3CF92" w14:textId="51CC3162" w:rsidR="00D654D9" w:rsidRPr="00AD2AEA" w:rsidRDefault="00D654D9" w:rsidP="00D654D9">
      <w:pPr>
        <w:rPr>
          <w:rFonts w:cstheme="minorHAnsi"/>
          <w:b/>
          <w:bCs/>
          <w:sz w:val="24"/>
          <w:szCs w:val="24"/>
        </w:rPr>
      </w:pPr>
      <w:r w:rsidRPr="00AD2AEA">
        <w:rPr>
          <w:rFonts w:cstheme="minorHAnsi"/>
          <w:b/>
          <w:bCs/>
          <w:sz w:val="24"/>
          <w:szCs w:val="24"/>
        </w:rPr>
        <w:t>CONTRIBUCIÓN ESCRITA DE OTRAMIRADA</w:t>
      </w:r>
    </w:p>
    <w:p w14:paraId="22C0A670" w14:textId="20A386AB" w:rsidR="00D654D9" w:rsidRPr="00AD2AEA" w:rsidRDefault="00D654D9" w:rsidP="00D654D9">
      <w:pPr>
        <w:spacing w:after="0" w:line="240" w:lineRule="auto"/>
        <w:rPr>
          <w:rFonts w:cstheme="minorHAnsi"/>
          <w:sz w:val="24"/>
          <w:szCs w:val="24"/>
        </w:rPr>
      </w:pPr>
      <w:r w:rsidRPr="00AD2AEA">
        <w:rPr>
          <w:rFonts w:cstheme="minorHAnsi"/>
          <w:b/>
          <w:bCs/>
          <w:sz w:val="24"/>
          <w:szCs w:val="24"/>
        </w:rPr>
        <w:t>Al Comité para la Eliminación de la Discriminación Racial (CERD) – Naciones Unidas</w:t>
      </w:r>
      <w:r w:rsidRPr="00AD2AEA">
        <w:rPr>
          <w:rFonts w:cstheme="minorHAnsi"/>
          <w:sz w:val="24"/>
          <w:szCs w:val="24"/>
        </w:rPr>
        <w:br/>
        <w:t>En el marco del examen de los informes periódicos 22º a 26º presentados por la República de Cuba.</w:t>
      </w:r>
    </w:p>
    <w:p w14:paraId="01BEC231" w14:textId="77777777" w:rsidR="00D654D9" w:rsidRPr="00AD2AEA" w:rsidRDefault="00D654D9" w:rsidP="00D654D9">
      <w:pPr>
        <w:spacing w:after="0" w:line="240" w:lineRule="auto"/>
        <w:rPr>
          <w:rFonts w:cstheme="minorHAnsi"/>
          <w:sz w:val="24"/>
          <w:szCs w:val="24"/>
        </w:rPr>
      </w:pPr>
    </w:p>
    <w:p w14:paraId="306F6594" w14:textId="5F80769A" w:rsidR="001D155C" w:rsidRDefault="001D155C" w:rsidP="00971AB4">
      <w:pPr>
        <w:spacing w:after="0" w:line="240" w:lineRule="auto"/>
        <w:jc w:val="both"/>
        <w:rPr>
          <w:rFonts w:cstheme="minorHAnsi"/>
          <w:b/>
          <w:bCs/>
          <w:sz w:val="24"/>
          <w:szCs w:val="24"/>
        </w:rPr>
      </w:pPr>
      <w:r w:rsidRPr="00AD2AEA">
        <w:rPr>
          <w:rFonts w:cstheme="minorHAnsi"/>
          <w:b/>
          <w:bCs/>
          <w:sz w:val="24"/>
          <w:szCs w:val="24"/>
        </w:rPr>
        <w:t>I. PRESENTACIÓN Y CONTEXTO</w:t>
      </w:r>
    </w:p>
    <w:p w14:paraId="261197C0" w14:textId="77777777" w:rsidR="005F7494" w:rsidRPr="00AD2AEA" w:rsidRDefault="005F7494" w:rsidP="00971AB4">
      <w:pPr>
        <w:spacing w:after="0" w:line="240" w:lineRule="auto"/>
        <w:jc w:val="both"/>
        <w:rPr>
          <w:rFonts w:cstheme="minorHAnsi"/>
          <w:b/>
          <w:bCs/>
          <w:sz w:val="24"/>
          <w:szCs w:val="24"/>
        </w:rPr>
      </w:pPr>
    </w:p>
    <w:p w14:paraId="35D5DE57" w14:textId="481D8B22"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presente contribución se somete respetuosamente al Comité con el propósito de aportar elementos de análisis jurídico y de política pública sobre la implementación de la Convención Internacional sobre la Eliminación de Todas las Formas de Discriminación Racial en la República de Cuba durante el período 2018–2023.</w:t>
      </w:r>
    </w:p>
    <w:p w14:paraId="1695557A" w14:textId="77777777" w:rsidR="00D654D9" w:rsidRPr="00AD2AEA" w:rsidRDefault="00D654D9" w:rsidP="00971AB4">
      <w:pPr>
        <w:spacing w:after="0" w:line="240" w:lineRule="auto"/>
        <w:jc w:val="both"/>
        <w:rPr>
          <w:rFonts w:cstheme="minorHAnsi"/>
          <w:sz w:val="24"/>
          <w:szCs w:val="24"/>
        </w:rPr>
      </w:pPr>
    </w:p>
    <w:p w14:paraId="5C42634A" w14:textId="77777777" w:rsidR="002D2D92" w:rsidRPr="00AD2AEA" w:rsidRDefault="00D654D9" w:rsidP="00971AB4">
      <w:pPr>
        <w:spacing w:after="0" w:line="240" w:lineRule="auto"/>
        <w:jc w:val="both"/>
        <w:rPr>
          <w:rFonts w:cstheme="minorHAnsi"/>
          <w:sz w:val="24"/>
          <w:szCs w:val="24"/>
        </w:rPr>
      </w:pPr>
      <w:r w:rsidRPr="00AD2AEA">
        <w:rPr>
          <w:rFonts w:cstheme="minorHAnsi"/>
          <w:sz w:val="24"/>
          <w:szCs w:val="24"/>
        </w:rPr>
        <w:t xml:space="preserve">El período examinado coincide con un proceso de profunda transformación institucional, marcado por la aprobación de la Constitución de 2019, la actualización integral del ordenamiento jurídico y la adopción de reformas económicas relevantes. </w:t>
      </w:r>
    </w:p>
    <w:p w14:paraId="68BF864C" w14:textId="7E8F587B" w:rsidR="00D654D9" w:rsidRPr="00AD2AEA" w:rsidRDefault="00D654D9" w:rsidP="00971AB4">
      <w:pPr>
        <w:spacing w:after="0" w:line="240" w:lineRule="auto"/>
        <w:jc w:val="both"/>
        <w:rPr>
          <w:rFonts w:cstheme="minorHAnsi"/>
          <w:sz w:val="24"/>
          <w:szCs w:val="24"/>
        </w:rPr>
      </w:pPr>
      <w:r w:rsidRPr="00AD2AEA">
        <w:rPr>
          <w:rFonts w:cstheme="minorHAnsi"/>
          <w:sz w:val="24"/>
          <w:szCs w:val="24"/>
        </w:rPr>
        <w:t>En este contexto, el Estado ha impulsado avances normativos y programáticos de alto impacto, entre los que destacan:</w:t>
      </w:r>
    </w:p>
    <w:p w14:paraId="5B9A76A2" w14:textId="77777777" w:rsidR="00D654D9" w:rsidRPr="00AD2AEA" w:rsidRDefault="00D654D9" w:rsidP="00971AB4">
      <w:pPr>
        <w:spacing w:after="0" w:line="240" w:lineRule="auto"/>
        <w:jc w:val="both"/>
        <w:rPr>
          <w:rFonts w:cstheme="minorHAnsi"/>
          <w:sz w:val="24"/>
          <w:szCs w:val="24"/>
        </w:rPr>
      </w:pPr>
    </w:p>
    <w:p w14:paraId="168FF185" w14:textId="77777777" w:rsidR="00D654D9" w:rsidRPr="00AD2AEA" w:rsidRDefault="00D654D9" w:rsidP="00971AB4">
      <w:pPr>
        <w:numPr>
          <w:ilvl w:val="0"/>
          <w:numId w:val="1"/>
        </w:numPr>
        <w:spacing w:after="0" w:line="240" w:lineRule="auto"/>
        <w:jc w:val="both"/>
        <w:rPr>
          <w:rFonts w:cstheme="minorHAnsi"/>
          <w:sz w:val="24"/>
          <w:szCs w:val="24"/>
        </w:rPr>
      </w:pPr>
      <w:r w:rsidRPr="00AD2AEA">
        <w:rPr>
          <w:rFonts w:cstheme="minorHAnsi"/>
          <w:sz w:val="24"/>
          <w:szCs w:val="24"/>
        </w:rPr>
        <w:t>La constitucionalización expresa del principio de igualdad y no discriminación por color de la piel y origen étnico.</w:t>
      </w:r>
    </w:p>
    <w:p w14:paraId="2B3141FA" w14:textId="77777777" w:rsidR="00D654D9" w:rsidRPr="00AD2AEA" w:rsidRDefault="00D654D9" w:rsidP="00971AB4">
      <w:pPr>
        <w:numPr>
          <w:ilvl w:val="0"/>
          <w:numId w:val="1"/>
        </w:numPr>
        <w:spacing w:after="0" w:line="240" w:lineRule="auto"/>
        <w:jc w:val="both"/>
        <w:rPr>
          <w:rFonts w:cstheme="minorHAnsi"/>
          <w:sz w:val="24"/>
          <w:szCs w:val="24"/>
        </w:rPr>
      </w:pPr>
      <w:r w:rsidRPr="00AD2AEA">
        <w:rPr>
          <w:rFonts w:cstheme="minorHAnsi"/>
          <w:sz w:val="24"/>
          <w:szCs w:val="24"/>
        </w:rPr>
        <w:t>La tipificación penal de conductas discriminatorias.</w:t>
      </w:r>
    </w:p>
    <w:p w14:paraId="1BBCD250" w14:textId="77777777" w:rsidR="00D654D9" w:rsidRPr="00AD2AEA" w:rsidRDefault="00D654D9" w:rsidP="00971AB4">
      <w:pPr>
        <w:numPr>
          <w:ilvl w:val="0"/>
          <w:numId w:val="1"/>
        </w:numPr>
        <w:spacing w:after="0" w:line="240" w:lineRule="auto"/>
        <w:jc w:val="both"/>
        <w:rPr>
          <w:rFonts w:cstheme="minorHAnsi"/>
          <w:sz w:val="24"/>
          <w:szCs w:val="24"/>
        </w:rPr>
      </w:pPr>
      <w:r w:rsidRPr="00AD2AEA">
        <w:rPr>
          <w:rFonts w:cstheme="minorHAnsi"/>
          <w:sz w:val="24"/>
          <w:szCs w:val="24"/>
        </w:rPr>
        <w:t>La aprobación de la Ley del Proceso de Amparo de los Derechos Constitucionales.</w:t>
      </w:r>
    </w:p>
    <w:p w14:paraId="35DD0D45" w14:textId="77777777" w:rsidR="00D654D9" w:rsidRPr="00AD2AEA" w:rsidRDefault="00D654D9" w:rsidP="00971AB4">
      <w:pPr>
        <w:numPr>
          <w:ilvl w:val="0"/>
          <w:numId w:val="1"/>
        </w:numPr>
        <w:spacing w:after="0" w:line="240" w:lineRule="auto"/>
        <w:jc w:val="both"/>
        <w:rPr>
          <w:rFonts w:cstheme="minorHAnsi"/>
          <w:sz w:val="24"/>
          <w:szCs w:val="24"/>
        </w:rPr>
      </w:pPr>
      <w:r w:rsidRPr="00AD2AEA">
        <w:rPr>
          <w:rFonts w:cstheme="minorHAnsi"/>
          <w:sz w:val="24"/>
          <w:szCs w:val="24"/>
        </w:rPr>
        <w:t>La creación del Programa Nacional contra el Racismo y la Discriminación Racial.</w:t>
      </w:r>
    </w:p>
    <w:p w14:paraId="79DF9CEF" w14:textId="77777777" w:rsidR="00D654D9" w:rsidRPr="00AD2AEA" w:rsidRDefault="00D654D9" w:rsidP="00971AB4">
      <w:pPr>
        <w:spacing w:after="0" w:line="240" w:lineRule="auto"/>
        <w:jc w:val="both"/>
        <w:rPr>
          <w:rFonts w:cstheme="minorHAnsi"/>
          <w:sz w:val="24"/>
          <w:szCs w:val="24"/>
        </w:rPr>
      </w:pPr>
    </w:p>
    <w:p w14:paraId="7C52F178" w14:textId="4FC5FF4A" w:rsidR="00D654D9" w:rsidRPr="00AD2AEA" w:rsidRDefault="00D654D9" w:rsidP="00971AB4">
      <w:pPr>
        <w:spacing w:after="0" w:line="240" w:lineRule="auto"/>
        <w:jc w:val="both"/>
        <w:rPr>
          <w:rFonts w:cstheme="minorHAnsi"/>
          <w:sz w:val="24"/>
          <w:szCs w:val="24"/>
        </w:rPr>
      </w:pPr>
      <w:r w:rsidRPr="00AD2AEA">
        <w:rPr>
          <w:rFonts w:cstheme="minorHAnsi"/>
          <w:sz w:val="24"/>
          <w:szCs w:val="24"/>
        </w:rPr>
        <w:t>Estos desarrollos consolidan un marco jurídico moderno, coherente con los estándares internacionales y alineado con la Convención.</w:t>
      </w:r>
    </w:p>
    <w:p w14:paraId="15068DE5" w14:textId="23500FA5" w:rsidR="00D654D9" w:rsidRPr="00AD2AEA" w:rsidRDefault="00D654D9" w:rsidP="00971AB4">
      <w:pPr>
        <w:spacing w:after="0" w:line="240" w:lineRule="auto"/>
        <w:jc w:val="both"/>
        <w:rPr>
          <w:rFonts w:cstheme="minorHAnsi"/>
          <w:sz w:val="24"/>
          <w:szCs w:val="24"/>
        </w:rPr>
      </w:pPr>
    </w:p>
    <w:p w14:paraId="377E4310" w14:textId="47D27C4B" w:rsidR="00D654D9" w:rsidRPr="00AD2AEA" w:rsidRDefault="001D155C" w:rsidP="00971AB4">
      <w:pPr>
        <w:spacing w:after="0" w:line="240" w:lineRule="auto"/>
        <w:jc w:val="both"/>
        <w:rPr>
          <w:rFonts w:cstheme="minorHAnsi"/>
          <w:b/>
          <w:bCs/>
          <w:sz w:val="24"/>
          <w:szCs w:val="24"/>
        </w:rPr>
      </w:pPr>
      <w:r w:rsidRPr="00AD2AEA">
        <w:rPr>
          <w:rFonts w:cstheme="minorHAnsi"/>
          <w:b/>
          <w:bCs/>
          <w:sz w:val="24"/>
          <w:szCs w:val="24"/>
        </w:rPr>
        <w:t>II. CONSOLIDACIÓN NORMATIVA Y FORTALECIMIENTO INSTITUCIONAL</w:t>
      </w:r>
    </w:p>
    <w:p w14:paraId="664AFEC1" w14:textId="77777777" w:rsidR="00D654D9" w:rsidRPr="00AD2AEA" w:rsidRDefault="00D654D9" w:rsidP="00971AB4">
      <w:pPr>
        <w:spacing w:after="0" w:line="240" w:lineRule="auto"/>
        <w:jc w:val="both"/>
        <w:rPr>
          <w:rFonts w:cstheme="minorHAnsi"/>
          <w:b/>
          <w:bCs/>
          <w:sz w:val="24"/>
          <w:szCs w:val="24"/>
        </w:rPr>
      </w:pPr>
    </w:p>
    <w:p w14:paraId="01DF917C" w14:textId="129481FA"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1. Constitucionalización del principio de igualdad</w:t>
      </w:r>
    </w:p>
    <w:p w14:paraId="1280531B" w14:textId="1EF652DC"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Constitución cubana de 2019 representa un hito en la evolución del sistema jurídico cubano al elevar a rango supremo la prohibición de discriminación por color de la piel y origen étnico.</w:t>
      </w:r>
      <w:r w:rsidR="00754871" w:rsidRPr="00AD2AEA">
        <w:rPr>
          <w:rFonts w:cstheme="minorHAnsi"/>
          <w:sz w:val="24"/>
          <w:szCs w:val="24"/>
        </w:rPr>
        <w:t xml:space="preserve"> Es </w:t>
      </w:r>
      <w:r w:rsidRPr="00AD2AEA">
        <w:rPr>
          <w:rFonts w:cstheme="minorHAnsi"/>
          <w:sz w:val="24"/>
          <w:szCs w:val="24"/>
        </w:rPr>
        <w:t>un punto de inflexión al elevar a rango supremo la prohibición de discriminación por color de la piel y origen étnico. Esta cláusula amplía el estándar anterior y armoniza el ordenamiento interno con la Convención Internacional sobre la Eliminación de Todas las Formas de Discriminación Racial.</w:t>
      </w:r>
    </w:p>
    <w:p w14:paraId="5F948ACA" w14:textId="77777777" w:rsidR="00D654D9" w:rsidRPr="00AD2AEA" w:rsidRDefault="00D654D9" w:rsidP="00971AB4">
      <w:pPr>
        <w:spacing w:after="0" w:line="240" w:lineRule="auto"/>
        <w:jc w:val="both"/>
        <w:rPr>
          <w:rFonts w:cstheme="minorHAnsi"/>
          <w:sz w:val="24"/>
          <w:szCs w:val="24"/>
        </w:rPr>
      </w:pPr>
    </w:p>
    <w:p w14:paraId="6000ECBA" w14:textId="77777777" w:rsidR="00D654D9" w:rsidRPr="00AD2AEA" w:rsidRDefault="00D654D9" w:rsidP="00971AB4">
      <w:pPr>
        <w:spacing w:after="0" w:line="240" w:lineRule="auto"/>
        <w:jc w:val="both"/>
        <w:rPr>
          <w:rFonts w:cstheme="minorHAnsi"/>
          <w:sz w:val="24"/>
          <w:szCs w:val="24"/>
        </w:rPr>
      </w:pPr>
      <w:r w:rsidRPr="00AD2AEA">
        <w:rPr>
          <w:rFonts w:cstheme="minorHAnsi"/>
          <w:sz w:val="24"/>
          <w:szCs w:val="24"/>
        </w:rPr>
        <w:t>Desde el punto de vista doctrinal, el avance es significativo por tres razones:</w:t>
      </w:r>
    </w:p>
    <w:p w14:paraId="0CA53054" w14:textId="77777777" w:rsidR="00D654D9" w:rsidRPr="00AD2AEA" w:rsidRDefault="00D654D9" w:rsidP="00971AB4">
      <w:pPr>
        <w:spacing w:after="0" w:line="240" w:lineRule="auto"/>
        <w:jc w:val="both"/>
        <w:rPr>
          <w:rFonts w:cstheme="minorHAnsi"/>
          <w:sz w:val="24"/>
          <w:szCs w:val="24"/>
        </w:rPr>
      </w:pPr>
    </w:p>
    <w:p w14:paraId="1E868512" w14:textId="77777777" w:rsidR="00D654D9" w:rsidRPr="00AD2AEA" w:rsidRDefault="00D654D9" w:rsidP="00971AB4">
      <w:pPr>
        <w:numPr>
          <w:ilvl w:val="0"/>
          <w:numId w:val="5"/>
        </w:numPr>
        <w:spacing w:after="0" w:line="240" w:lineRule="auto"/>
        <w:jc w:val="both"/>
        <w:rPr>
          <w:rFonts w:cstheme="minorHAnsi"/>
          <w:sz w:val="24"/>
          <w:szCs w:val="24"/>
        </w:rPr>
      </w:pPr>
      <w:r w:rsidRPr="00AD2AEA">
        <w:rPr>
          <w:rFonts w:cstheme="minorHAnsi"/>
          <w:sz w:val="24"/>
          <w:szCs w:val="24"/>
        </w:rPr>
        <w:t>Se reconoce explícitamente la discriminación por color de la piel.</w:t>
      </w:r>
    </w:p>
    <w:p w14:paraId="29ABD3CA" w14:textId="77777777" w:rsidR="00D654D9" w:rsidRPr="00AD2AEA" w:rsidRDefault="00D654D9" w:rsidP="00971AB4">
      <w:pPr>
        <w:numPr>
          <w:ilvl w:val="0"/>
          <w:numId w:val="5"/>
        </w:numPr>
        <w:spacing w:after="0" w:line="240" w:lineRule="auto"/>
        <w:jc w:val="both"/>
        <w:rPr>
          <w:rFonts w:cstheme="minorHAnsi"/>
          <w:sz w:val="24"/>
          <w:szCs w:val="24"/>
        </w:rPr>
      </w:pPr>
      <w:r w:rsidRPr="00AD2AEA">
        <w:rPr>
          <w:rFonts w:cstheme="minorHAnsi"/>
          <w:sz w:val="24"/>
          <w:szCs w:val="24"/>
        </w:rPr>
        <w:t>Se integra el principio de igualdad como eje transversal del sistema jurídico.</w:t>
      </w:r>
    </w:p>
    <w:p w14:paraId="70EDEEC9" w14:textId="5FA4FF6F" w:rsidR="00D654D9" w:rsidRPr="00AD2AEA" w:rsidRDefault="00D654D9" w:rsidP="00971AB4">
      <w:pPr>
        <w:numPr>
          <w:ilvl w:val="0"/>
          <w:numId w:val="2"/>
        </w:numPr>
        <w:spacing w:after="0" w:line="240" w:lineRule="auto"/>
        <w:jc w:val="both"/>
        <w:rPr>
          <w:rFonts w:cstheme="minorHAnsi"/>
          <w:sz w:val="24"/>
          <w:szCs w:val="24"/>
        </w:rPr>
      </w:pPr>
      <w:r w:rsidRPr="00AD2AEA">
        <w:rPr>
          <w:rFonts w:cstheme="minorHAnsi"/>
          <w:sz w:val="24"/>
          <w:szCs w:val="24"/>
        </w:rPr>
        <w:t>Se crean mecanismos procesales específicos, como la Ley del Proceso de Amparo de los Derechos Constitucionales que refuerza los mecanismos de protección judicial de derechos constitucionales.</w:t>
      </w:r>
    </w:p>
    <w:p w14:paraId="2A52ED10" w14:textId="77777777" w:rsidR="00D654D9" w:rsidRPr="00AD2AEA" w:rsidRDefault="00D654D9" w:rsidP="00971AB4">
      <w:pPr>
        <w:spacing w:after="0" w:line="240" w:lineRule="auto"/>
        <w:jc w:val="both"/>
        <w:rPr>
          <w:rFonts w:cstheme="minorHAnsi"/>
          <w:sz w:val="24"/>
          <w:szCs w:val="24"/>
        </w:rPr>
      </w:pPr>
    </w:p>
    <w:p w14:paraId="739814E5" w14:textId="20308EFE" w:rsidR="00971AB4" w:rsidRDefault="00D654D9" w:rsidP="00971AB4">
      <w:pPr>
        <w:spacing w:after="0" w:line="240" w:lineRule="auto"/>
        <w:jc w:val="both"/>
        <w:rPr>
          <w:rFonts w:cstheme="minorHAnsi"/>
          <w:sz w:val="24"/>
          <w:szCs w:val="24"/>
        </w:rPr>
      </w:pPr>
      <w:r w:rsidRPr="00AD2AEA">
        <w:rPr>
          <w:rFonts w:cstheme="minorHAnsi"/>
          <w:sz w:val="24"/>
          <w:szCs w:val="24"/>
        </w:rPr>
        <w:t>La consolidación constitucional proporciona una base sólida para la profundización progresiva de la igualdad sustantiva.</w:t>
      </w:r>
    </w:p>
    <w:p w14:paraId="46186E1F" w14:textId="77777777" w:rsidR="005F7494" w:rsidRDefault="005F7494" w:rsidP="00971AB4">
      <w:pPr>
        <w:spacing w:after="0" w:line="240" w:lineRule="auto"/>
        <w:jc w:val="both"/>
        <w:rPr>
          <w:rFonts w:cstheme="minorHAnsi"/>
          <w:sz w:val="24"/>
          <w:szCs w:val="24"/>
        </w:rPr>
      </w:pPr>
    </w:p>
    <w:p w14:paraId="5E9C2C43" w14:textId="77777777" w:rsidR="00BE01CC" w:rsidRDefault="00BE01CC" w:rsidP="00971AB4">
      <w:pPr>
        <w:spacing w:after="0" w:line="240" w:lineRule="auto"/>
        <w:jc w:val="both"/>
        <w:rPr>
          <w:rFonts w:cstheme="minorHAnsi"/>
          <w:b/>
          <w:bCs/>
          <w:sz w:val="24"/>
          <w:szCs w:val="24"/>
        </w:rPr>
      </w:pPr>
    </w:p>
    <w:p w14:paraId="75702644" w14:textId="597E5553" w:rsidR="00D654D9" w:rsidRPr="00AD2AEA" w:rsidRDefault="00D654D9" w:rsidP="00971AB4">
      <w:pPr>
        <w:spacing w:after="0" w:line="240" w:lineRule="auto"/>
        <w:jc w:val="both"/>
        <w:rPr>
          <w:rFonts w:cstheme="minorHAnsi"/>
          <w:sz w:val="24"/>
          <w:szCs w:val="24"/>
        </w:rPr>
      </w:pPr>
      <w:r w:rsidRPr="00AD2AEA">
        <w:rPr>
          <w:rFonts w:cstheme="minorHAnsi"/>
          <w:b/>
          <w:bCs/>
          <w:sz w:val="24"/>
          <w:szCs w:val="24"/>
        </w:rPr>
        <w:t>2. Marco penal antidiscriminatorio</w:t>
      </w:r>
    </w:p>
    <w:p w14:paraId="69E41EFC" w14:textId="4A5D3968" w:rsidR="00D654D9" w:rsidRPr="00AD2AEA" w:rsidRDefault="00D654D9" w:rsidP="00971AB4">
      <w:pPr>
        <w:spacing w:after="0" w:line="240" w:lineRule="auto"/>
        <w:jc w:val="both"/>
        <w:rPr>
          <w:rFonts w:cstheme="minorHAnsi"/>
          <w:sz w:val="24"/>
          <w:szCs w:val="24"/>
        </w:rPr>
      </w:pPr>
      <w:r w:rsidRPr="00AD2AEA">
        <w:rPr>
          <w:rFonts w:cstheme="minorHAnsi"/>
          <w:sz w:val="24"/>
          <w:szCs w:val="24"/>
        </w:rPr>
        <w:t>El Código Penal vigente incorpora la tipificación del delito contra el derecho de igualdad y sanciona la incitación al odio racial, reafirmando el compromiso estatal con la prevención y sanción de conductas discriminatorias.</w:t>
      </w:r>
    </w:p>
    <w:p w14:paraId="5DC8127C" w14:textId="77777777" w:rsidR="00AD2AEA" w:rsidRPr="00AD2AEA" w:rsidRDefault="00AD2AEA" w:rsidP="00971AB4">
      <w:pPr>
        <w:spacing w:after="0" w:line="240" w:lineRule="auto"/>
        <w:jc w:val="both"/>
        <w:rPr>
          <w:rFonts w:cstheme="minorHAnsi"/>
          <w:sz w:val="24"/>
          <w:szCs w:val="24"/>
        </w:rPr>
      </w:pPr>
    </w:p>
    <w:p w14:paraId="75B9DD53" w14:textId="74D30086"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existencia de este marco normativo fortalece la arquitectura de protección y consolida un entorno jurídico preventivo que contribuye a la estabilidad social y a la promoción de una cultura de respeto.</w:t>
      </w:r>
    </w:p>
    <w:p w14:paraId="4C0DC73F" w14:textId="77777777" w:rsidR="00D654D9" w:rsidRPr="00AD2AEA" w:rsidRDefault="00D654D9" w:rsidP="00971AB4">
      <w:pPr>
        <w:spacing w:after="0" w:line="240" w:lineRule="auto"/>
        <w:jc w:val="both"/>
        <w:rPr>
          <w:rFonts w:cstheme="minorHAnsi"/>
          <w:sz w:val="24"/>
          <w:szCs w:val="24"/>
        </w:rPr>
      </w:pPr>
    </w:p>
    <w:p w14:paraId="766CAF76"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3. Universalismo redistributivo y cohesión social</w:t>
      </w:r>
    </w:p>
    <w:p w14:paraId="42943AE0" w14:textId="77777777" w:rsidR="00D654D9" w:rsidRPr="00AD2AEA" w:rsidRDefault="00D654D9" w:rsidP="00971AB4">
      <w:pPr>
        <w:spacing w:after="0" w:line="240" w:lineRule="auto"/>
        <w:jc w:val="both"/>
        <w:rPr>
          <w:rFonts w:cstheme="minorHAnsi"/>
          <w:sz w:val="24"/>
          <w:szCs w:val="24"/>
        </w:rPr>
      </w:pPr>
      <w:r w:rsidRPr="00AD2AEA">
        <w:rPr>
          <w:rFonts w:cstheme="minorHAnsi"/>
          <w:sz w:val="24"/>
          <w:szCs w:val="24"/>
        </w:rPr>
        <w:t>Uno de los pilares históricos del modelo cubano ha sido la garantía universal de derechos sociales como salud, educación, empleo y seguridad social.</w:t>
      </w:r>
    </w:p>
    <w:p w14:paraId="60DF0EDC" w14:textId="77777777" w:rsidR="00AD2AEA" w:rsidRPr="00AD2AEA" w:rsidRDefault="00AD2AEA" w:rsidP="00971AB4">
      <w:pPr>
        <w:spacing w:after="0" w:line="240" w:lineRule="auto"/>
        <w:jc w:val="both"/>
        <w:rPr>
          <w:rFonts w:cstheme="minorHAnsi"/>
          <w:sz w:val="24"/>
          <w:szCs w:val="24"/>
        </w:rPr>
      </w:pPr>
    </w:p>
    <w:p w14:paraId="4BA38AB3" w14:textId="752328BF" w:rsidR="00D654D9" w:rsidRPr="00AD2AEA" w:rsidRDefault="00D654D9" w:rsidP="00971AB4">
      <w:pPr>
        <w:spacing w:after="0" w:line="240" w:lineRule="auto"/>
        <w:jc w:val="both"/>
        <w:rPr>
          <w:rFonts w:cstheme="minorHAnsi"/>
          <w:sz w:val="24"/>
          <w:szCs w:val="24"/>
        </w:rPr>
      </w:pPr>
      <w:r w:rsidRPr="00AD2AEA">
        <w:rPr>
          <w:rFonts w:cstheme="minorHAnsi"/>
          <w:sz w:val="24"/>
          <w:szCs w:val="24"/>
        </w:rPr>
        <w:t>Los indicadores de cobertura educativa, acceso sanitario y representación política evidencian resultados consistentes en términos de inclusión social y reducción de desigualdades absolutas. Este enfoque universalista ha sido un instrumento central en la construcción de cohesión social y en la ampliación sostenida de oportunidades.</w:t>
      </w:r>
    </w:p>
    <w:p w14:paraId="7B2C7D62" w14:textId="77777777" w:rsidR="00AD2AEA" w:rsidRPr="00AD2AEA" w:rsidRDefault="00AD2AEA" w:rsidP="00971AB4">
      <w:pPr>
        <w:spacing w:after="0" w:line="240" w:lineRule="auto"/>
        <w:jc w:val="both"/>
        <w:rPr>
          <w:rFonts w:cstheme="minorHAnsi"/>
          <w:sz w:val="24"/>
          <w:szCs w:val="24"/>
        </w:rPr>
      </w:pPr>
    </w:p>
    <w:p w14:paraId="5C0CE15F" w14:textId="684A0847"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experiencia cubana constituye un referente regional en cuanto a políticas de acceso universal con impacto redistributivo.</w:t>
      </w:r>
    </w:p>
    <w:p w14:paraId="752EEC60" w14:textId="546659BB" w:rsidR="00D654D9" w:rsidRPr="00AD2AEA" w:rsidRDefault="00D654D9" w:rsidP="00971AB4">
      <w:pPr>
        <w:spacing w:after="0" w:line="240" w:lineRule="auto"/>
        <w:jc w:val="both"/>
        <w:rPr>
          <w:rFonts w:cstheme="minorHAnsi"/>
          <w:sz w:val="24"/>
          <w:szCs w:val="24"/>
        </w:rPr>
      </w:pPr>
    </w:p>
    <w:p w14:paraId="242F0A2D"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4. Representación política inclusiva</w:t>
      </w:r>
    </w:p>
    <w:p w14:paraId="3BA61805" w14:textId="77777777" w:rsidR="00D654D9" w:rsidRPr="00AD2AEA" w:rsidRDefault="00D654D9" w:rsidP="00971AB4">
      <w:pPr>
        <w:spacing w:after="0" w:line="240" w:lineRule="auto"/>
        <w:jc w:val="both"/>
        <w:rPr>
          <w:rFonts w:cstheme="minorHAnsi"/>
          <w:sz w:val="24"/>
          <w:szCs w:val="24"/>
        </w:rPr>
      </w:pPr>
      <w:r w:rsidRPr="00AD2AEA">
        <w:rPr>
          <w:rFonts w:cstheme="minorHAnsi"/>
          <w:sz w:val="24"/>
          <w:szCs w:val="24"/>
        </w:rPr>
        <w:t>El hecho de que el 45,11 % de los diputados sean personas negras y mulatas constituye un indicador relevante de inclusión y pluralidad en la representación política.</w:t>
      </w:r>
    </w:p>
    <w:p w14:paraId="652B6FB0" w14:textId="77777777" w:rsidR="00AD2AEA" w:rsidRPr="00AD2AEA" w:rsidRDefault="00AD2AEA" w:rsidP="00971AB4">
      <w:pPr>
        <w:spacing w:after="0" w:line="240" w:lineRule="auto"/>
        <w:jc w:val="both"/>
        <w:rPr>
          <w:rFonts w:cstheme="minorHAnsi"/>
          <w:sz w:val="24"/>
          <w:szCs w:val="24"/>
        </w:rPr>
      </w:pPr>
    </w:p>
    <w:p w14:paraId="6DF45014" w14:textId="5F79F7FC" w:rsidR="00D654D9" w:rsidRPr="00AD2AEA" w:rsidRDefault="00D654D9" w:rsidP="00971AB4">
      <w:pPr>
        <w:spacing w:after="0" w:line="240" w:lineRule="auto"/>
        <w:jc w:val="both"/>
        <w:rPr>
          <w:rFonts w:cstheme="minorHAnsi"/>
          <w:sz w:val="24"/>
          <w:szCs w:val="24"/>
        </w:rPr>
      </w:pPr>
      <w:r w:rsidRPr="00AD2AEA">
        <w:rPr>
          <w:rFonts w:cstheme="minorHAnsi"/>
          <w:sz w:val="24"/>
          <w:szCs w:val="24"/>
        </w:rPr>
        <w:t>Comparativamente, esta proporción refleja niveles significativos de participación y presencia en órganos de decisión, fortaleciendo la legitimidad democrática y la diversidad institucional.</w:t>
      </w:r>
    </w:p>
    <w:p w14:paraId="50B10E6B" w14:textId="6874657D" w:rsidR="00D654D9" w:rsidRPr="00AD2AEA" w:rsidRDefault="00D654D9" w:rsidP="00971AB4">
      <w:pPr>
        <w:spacing w:after="0" w:line="240" w:lineRule="auto"/>
        <w:jc w:val="both"/>
        <w:rPr>
          <w:rFonts w:cstheme="minorHAnsi"/>
          <w:sz w:val="24"/>
          <w:szCs w:val="24"/>
        </w:rPr>
      </w:pPr>
    </w:p>
    <w:p w14:paraId="33830227"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5. Programa Nacional contra el Racismo y la Comisión “Color Cubano”</w:t>
      </w:r>
    </w:p>
    <w:p w14:paraId="5DBA4FFF" w14:textId="29C92041"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creación del Programa Nacional contra el Racismo y la Discriminación Racial y de la Comisión “Color Cubano” constituye uno de los avances institucionales más relevantes del período examinado.</w:t>
      </w:r>
      <w:r w:rsidR="002D2D92" w:rsidRPr="00AD2AEA">
        <w:rPr>
          <w:rFonts w:cstheme="minorHAnsi"/>
          <w:sz w:val="24"/>
          <w:szCs w:val="24"/>
        </w:rPr>
        <w:t xml:space="preserve"> Así e</w:t>
      </w:r>
      <w:r w:rsidRPr="00AD2AEA">
        <w:rPr>
          <w:rFonts w:cstheme="minorHAnsi"/>
          <w:sz w:val="24"/>
          <w:szCs w:val="24"/>
        </w:rPr>
        <w:t>ste paso:</w:t>
      </w:r>
    </w:p>
    <w:p w14:paraId="3D98CA4F" w14:textId="77777777" w:rsidR="00D654D9" w:rsidRPr="00AD2AEA" w:rsidRDefault="00D654D9" w:rsidP="00971AB4">
      <w:pPr>
        <w:spacing w:after="0" w:line="240" w:lineRule="auto"/>
        <w:jc w:val="both"/>
        <w:rPr>
          <w:rFonts w:cstheme="minorHAnsi"/>
          <w:sz w:val="24"/>
          <w:szCs w:val="24"/>
        </w:rPr>
      </w:pPr>
    </w:p>
    <w:p w14:paraId="4F9BC0B4" w14:textId="77777777" w:rsidR="00D654D9" w:rsidRPr="00AD2AEA" w:rsidRDefault="00D654D9" w:rsidP="00971AB4">
      <w:pPr>
        <w:numPr>
          <w:ilvl w:val="0"/>
          <w:numId w:val="3"/>
        </w:numPr>
        <w:spacing w:after="0" w:line="240" w:lineRule="auto"/>
        <w:jc w:val="both"/>
        <w:rPr>
          <w:rFonts w:cstheme="minorHAnsi"/>
          <w:sz w:val="24"/>
          <w:szCs w:val="24"/>
        </w:rPr>
      </w:pPr>
      <w:r w:rsidRPr="00AD2AEA">
        <w:rPr>
          <w:rFonts w:cstheme="minorHAnsi"/>
          <w:sz w:val="24"/>
          <w:szCs w:val="24"/>
        </w:rPr>
        <w:t>Reconoce la necesidad de abordar el fenómeno desde una perspectiva específica.</w:t>
      </w:r>
    </w:p>
    <w:p w14:paraId="253C95C7" w14:textId="77777777" w:rsidR="00D654D9" w:rsidRPr="00AD2AEA" w:rsidRDefault="00D654D9" w:rsidP="00971AB4">
      <w:pPr>
        <w:numPr>
          <w:ilvl w:val="0"/>
          <w:numId w:val="3"/>
        </w:numPr>
        <w:spacing w:after="0" w:line="240" w:lineRule="auto"/>
        <w:jc w:val="both"/>
        <w:rPr>
          <w:rFonts w:cstheme="minorHAnsi"/>
          <w:sz w:val="24"/>
          <w:szCs w:val="24"/>
        </w:rPr>
      </w:pPr>
      <w:r w:rsidRPr="00AD2AEA">
        <w:rPr>
          <w:rFonts w:cstheme="minorHAnsi"/>
          <w:sz w:val="24"/>
          <w:szCs w:val="24"/>
        </w:rPr>
        <w:t>Institucionaliza la política antirracista en el más alto nivel.</w:t>
      </w:r>
    </w:p>
    <w:p w14:paraId="204ACBB6" w14:textId="77777777" w:rsidR="00D654D9" w:rsidRPr="00AD2AEA" w:rsidRDefault="00D654D9" w:rsidP="00971AB4">
      <w:pPr>
        <w:numPr>
          <w:ilvl w:val="0"/>
          <w:numId w:val="3"/>
        </w:numPr>
        <w:spacing w:after="0" w:line="240" w:lineRule="auto"/>
        <w:jc w:val="both"/>
        <w:rPr>
          <w:rFonts w:cstheme="minorHAnsi"/>
          <w:sz w:val="24"/>
          <w:szCs w:val="24"/>
        </w:rPr>
      </w:pPr>
      <w:r w:rsidRPr="00AD2AEA">
        <w:rPr>
          <w:rFonts w:cstheme="minorHAnsi"/>
          <w:sz w:val="24"/>
          <w:szCs w:val="24"/>
        </w:rPr>
        <w:t>Integra la temática en la agenda pública nacional.</w:t>
      </w:r>
    </w:p>
    <w:p w14:paraId="7CD0AF9F" w14:textId="77777777" w:rsidR="00D654D9" w:rsidRPr="00AD2AEA" w:rsidRDefault="00D654D9" w:rsidP="00971AB4">
      <w:pPr>
        <w:spacing w:after="0" w:line="240" w:lineRule="auto"/>
        <w:jc w:val="both"/>
        <w:rPr>
          <w:rFonts w:cstheme="minorHAnsi"/>
          <w:sz w:val="24"/>
          <w:szCs w:val="24"/>
        </w:rPr>
      </w:pPr>
    </w:p>
    <w:p w14:paraId="7075C57A" w14:textId="29960F2B"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formalización del programa abre espacios para el desarrollo progresivo de indicadores, evaluaciones y mecanismos de seguimiento que permitan visibilizar avances y buenas prácticas.</w:t>
      </w:r>
    </w:p>
    <w:p w14:paraId="1D85AD9A" w14:textId="77777777" w:rsidR="00AD2AEA" w:rsidRPr="00AD2AEA" w:rsidRDefault="00AD2AEA" w:rsidP="00971AB4">
      <w:pPr>
        <w:spacing w:after="0" w:line="240" w:lineRule="auto"/>
        <w:jc w:val="both"/>
        <w:rPr>
          <w:rFonts w:cstheme="minorHAnsi"/>
          <w:sz w:val="24"/>
          <w:szCs w:val="24"/>
        </w:rPr>
      </w:pPr>
    </w:p>
    <w:p w14:paraId="5441D990"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6. Acceso a la justicia y cultura jurídica</w:t>
      </w:r>
    </w:p>
    <w:p w14:paraId="6CB6FC2D" w14:textId="77777777" w:rsidR="00AD2AEA" w:rsidRDefault="00D654D9" w:rsidP="00971AB4">
      <w:pPr>
        <w:spacing w:after="0" w:line="240" w:lineRule="auto"/>
        <w:jc w:val="both"/>
        <w:rPr>
          <w:rFonts w:cstheme="minorHAnsi"/>
          <w:sz w:val="24"/>
          <w:szCs w:val="24"/>
        </w:rPr>
      </w:pPr>
      <w:r w:rsidRPr="00AD2AEA">
        <w:rPr>
          <w:rFonts w:cstheme="minorHAnsi"/>
          <w:sz w:val="24"/>
          <w:szCs w:val="24"/>
        </w:rPr>
        <w:t>El fortalecimiento del marco constitucional y penal, junto con la existencia de mecanismos de amparo, amplía las garantías institucionales disponibles para la ciudadanía.</w:t>
      </w:r>
    </w:p>
    <w:p w14:paraId="3D5591E9" w14:textId="27AE81D1" w:rsidR="00D654D9" w:rsidRPr="00AD2AEA" w:rsidRDefault="00D654D9" w:rsidP="00971AB4">
      <w:pPr>
        <w:spacing w:after="0" w:line="240" w:lineRule="auto"/>
        <w:jc w:val="both"/>
        <w:rPr>
          <w:rFonts w:cstheme="minorHAnsi"/>
          <w:sz w:val="24"/>
          <w:szCs w:val="24"/>
        </w:rPr>
      </w:pPr>
      <w:r w:rsidRPr="00AD2AEA">
        <w:rPr>
          <w:rFonts w:cstheme="minorHAnsi"/>
          <w:sz w:val="24"/>
          <w:szCs w:val="24"/>
        </w:rPr>
        <w:lastRenderedPageBreak/>
        <w:t>La consolidación de una cultura jurídica orientada a la igualdad fortalece progresivamente la confianza en los mecanismos formales de protección y amplía las capacidades del sistema para atender eventuales vulneraciones.</w:t>
      </w:r>
    </w:p>
    <w:p w14:paraId="16CB7815" w14:textId="0CCB55F5" w:rsidR="00D654D9" w:rsidRPr="00AD2AEA" w:rsidRDefault="00D654D9" w:rsidP="00971AB4">
      <w:pPr>
        <w:spacing w:after="0" w:line="240" w:lineRule="auto"/>
        <w:jc w:val="both"/>
        <w:rPr>
          <w:rFonts w:cstheme="minorHAnsi"/>
          <w:sz w:val="24"/>
          <w:szCs w:val="24"/>
        </w:rPr>
      </w:pPr>
    </w:p>
    <w:p w14:paraId="16CA6857"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7. Producción de datos y evidencia pública</w:t>
      </w:r>
    </w:p>
    <w:p w14:paraId="6E11999C" w14:textId="77777777" w:rsidR="00D654D9" w:rsidRPr="00AD2AEA" w:rsidRDefault="00D654D9" w:rsidP="00971AB4">
      <w:pPr>
        <w:spacing w:after="0" w:line="240" w:lineRule="auto"/>
        <w:jc w:val="both"/>
        <w:rPr>
          <w:rFonts w:cstheme="minorHAnsi"/>
          <w:sz w:val="24"/>
          <w:szCs w:val="24"/>
        </w:rPr>
      </w:pPr>
      <w:r w:rsidRPr="00AD2AEA">
        <w:rPr>
          <w:rFonts w:cstheme="minorHAnsi"/>
          <w:sz w:val="24"/>
          <w:szCs w:val="24"/>
        </w:rPr>
        <w:t>El informe estatal incluye estadísticas desagregadas por color de la piel en áreas clave como educación y representación parlamentaria. Este esfuerzo de sistematización constituye una base importante para el análisis técnico y el diseño de políticas públicas.</w:t>
      </w:r>
    </w:p>
    <w:p w14:paraId="040CABB0" w14:textId="77777777" w:rsidR="00AD2AEA" w:rsidRPr="00AD2AEA" w:rsidRDefault="00AD2AEA" w:rsidP="00971AB4">
      <w:pPr>
        <w:spacing w:after="0" w:line="240" w:lineRule="auto"/>
        <w:jc w:val="both"/>
        <w:rPr>
          <w:rFonts w:cstheme="minorHAnsi"/>
          <w:sz w:val="24"/>
          <w:szCs w:val="24"/>
        </w:rPr>
      </w:pPr>
    </w:p>
    <w:p w14:paraId="343EE4DE" w14:textId="0C8C790D"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progresiva ampliación y sofisticación de los sistemas de indicadores permitirá consolidar aún más la medición de avances y el seguimiento de políticas de igualdad.</w:t>
      </w:r>
    </w:p>
    <w:p w14:paraId="6BDEE167" w14:textId="743ABF57" w:rsidR="00D654D9" w:rsidRPr="00AD2AEA" w:rsidRDefault="00D654D9" w:rsidP="00971AB4">
      <w:pPr>
        <w:spacing w:after="0" w:line="240" w:lineRule="auto"/>
        <w:jc w:val="both"/>
        <w:rPr>
          <w:rFonts w:cstheme="minorHAnsi"/>
          <w:sz w:val="24"/>
          <w:szCs w:val="24"/>
        </w:rPr>
      </w:pPr>
    </w:p>
    <w:p w14:paraId="607A1491"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8. Enfoque interseccional y territorial</w:t>
      </w:r>
    </w:p>
    <w:p w14:paraId="4673EB19" w14:textId="77777777"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evolución del debate contemporáneo sobre igualdad sustantiva incorpora cada vez con mayor claridad enfoques interseccionales que consideran la interacción entre raza, género, territorio y generación.</w:t>
      </w:r>
    </w:p>
    <w:p w14:paraId="75E5D0E9" w14:textId="77777777" w:rsidR="00AD2AEA" w:rsidRPr="00AD2AEA" w:rsidRDefault="00AD2AEA" w:rsidP="00971AB4">
      <w:pPr>
        <w:spacing w:after="0" w:line="240" w:lineRule="auto"/>
        <w:jc w:val="both"/>
        <w:rPr>
          <w:rFonts w:cstheme="minorHAnsi"/>
          <w:sz w:val="24"/>
          <w:szCs w:val="24"/>
        </w:rPr>
      </w:pPr>
    </w:p>
    <w:p w14:paraId="680EF18D" w14:textId="763BF9A9" w:rsidR="00D654D9" w:rsidRPr="00AD2AEA" w:rsidRDefault="00D654D9" w:rsidP="00971AB4">
      <w:pPr>
        <w:spacing w:after="0" w:line="240" w:lineRule="auto"/>
        <w:jc w:val="both"/>
        <w:rPr>
          <w:rFonts w:cstheme="minorHAnsi"/>
          <w:sz w:val="24"/>
          <w:szCs w:val="24"/>
        </w:rPr>
      </w:pPr>
      <w:r w:rsidRPr="00AD2AEA">
        <w:rPr>
          <w:rFonts w:cstheme="minorHAnsi"/>
          <w:sz w:val="24"/>
          <w:szCs w:val="24"/>
        </w:rPr>
        <w:t>El fortalecimiento de estos enfoques en el diseño de políticas públicas permitirá optimizar la focalización de intervenciones y potenciar resultados en contextos específicos.</w:t>
      </w:r>
    </w:p>
    <w:p w14:paraId="20559567" w14:textId="15518A7E" w:rsidR="00D654D9" w:rsidRPr="00AD2AEA" w:rsidRDefault="00D654D9" w:rsidP="00971AB4">
      <w:pPr>
        <w:spacing w:after="0" w:line="240" w:lineRule="auto"/>
        <w:jc w:val="both"/>
        <w:rPr>
          <w:rFonts w:cstheme="minorHAnsi"/>
          <w:sz w:val="24"/>
          <w:szCs w:val="24"/>
        </w:rPr>
      </w:pPr>
    </w:p>
    <w:p w14:paraId="0E514878" w14:textId="77777777" w:rsidR="00D654D9" w:rsidRPr="00AD2AEA" w:rsidRDefault="00D654D9" w:rsidP="00971AB4">
      <w:pPr>
        <w:spacing w:after="0" w:line="240" w:lineRule="auto"/>
        <w:jc w:val="both"/>
        <w:rPr>
          <w:rFonts w:cstheme="minorHAnsi"/>
          <w:b/>
          <w:bCs/>
          <w:sz w:val="24"/>
          <w:szCs w:val="24"/>
        </w:rPr>
      </w:pPr>
      <w:r w:rsidRPr="00AD2AEA">
        <w:rPr>
          <w:rFonts w:cstheme="minorHAnsi"/>
          <w:b/>
          <w:bCs/>
          <w:sz w:val="24"/>
          <w:szCs w:val="24"/>
        </w:rPr>
        <w:t>9. Educación, memoria histórica y transformación cultural</w:t>
      </w:r>
    </w:p>
    <w:p w14:paraId="5F55D1F9" w14:textId="77777777" w:rsidR="00D654D9" w:rsidRPr="00AD2AEA" w:rsidRDefault="00D654D9" w:rsidP="00971AB4">
      <w:pPr>
        <w:spacing w:after="0" w:line="240" w:lineRule="auto"/>
        <w:jc w:val="both"/>
        <w:rPr>
          <w:rFonts w:cstheme="minorHAnsi"/>
          <w:sz w:val="24"/>
          <w:szCs w:val="24"/>
        </w:rPr>
      </w:pPr>
      <w:r w:rsidRPr="00AD2AEA">
        <w:rPr>
          <w:rFonts w:cstheme="minorHAnsi"/>
          <w:sz w:val="24"/>
          <w:szCs w:val="24"/>
        </w:rPr>
        <w:t>El proceso de transformación cultural es un componente esencial en la erradicación de la discriminación racial.</w:t>
      </w:r>
    </w:p>
    <w:p w14:paraId="0C10A94F" w14:textId="77777777" w:rsidR="00AD2AEA" w:rsidRPr="00AD2AEA" w:rsidRDefault="00AD2AEA" w:rsidP="00971AB4">
      <w:pPr>
        <w:spacing w:after="0" w:line="240" w:lineRule="auto"/>
        <w:jc w:val="both"/>
        <w:rPr>
          <w:rFonts w:cstheme="minorHAnsi"/>
          <w:sz w:val="24"/>
          <w:szCs w:val="24"/>
        </w:rPr>
      </w:pPr>
    </w:p>
    <w:p w14:paraId="15BC9372" w14:textId="1A8389F4" w:rsidR="00D654D9" w:rsidRPr="00AD2AEA" w:rsidRDefault="00D654D9" w:rsidP="00971AB4">
      <w:pPr>
        <w:spacing w:after="0" w:line="240" w:lineRule="auto"/>
        <w:jc w:val="both"/>
        <w:rPr>
          <w:rFonts w:cstheme="minorHAnsi"/>
          <w:sz w:val="24"/>
          <w:szCs w:val="24"/>
        </w:rPr>
      </w:pPr>
      <w:r w:rsidRPr="00AD2AEA">
        <w:rPr>
          <w:rFonts w:cstheme="minorHAnsi"/>
          <w:sz w:val="24"/>
          <w:szCs w:val="24"/>
        </w:rPr>
        <w:t>La incorporación progresiva de contenidos históricos vinculados a la esclavitud, la resistencia afrodescendiente y el pensamiento antirracista en espacios educativos y académicos fortalece la conciencia social y contribuye a la consolidación de valores igualitarios.</w:t>
      </w:r>
      <w:r w:rsidR="00AD2AEA" w:rsidRPr="00AD2AEA">
        <w:rPr>
          <w:rFonts w:cstheme="minorHAnsi"/>
          <w:sz w:val="24"/>
          <w:szCs w:val="24"/>
        </w:rPr>
        <w:t xml:space="preserve"> </w:t>
      </w:r>
      <w:r w:rsidRPr="00AD2AEA">
        <w:rPr>
          <w:rFonts w:cstheme="minorHAnsi"/>
          <w:sz w:val="24"/>
          <w:szCs w:val="24"/>
        </w:rPr>
        <w:t>Las campañas públicas y el impulso a investigaciones académicas especializadas refuerzan este proceso de transformación estructural.</w:t>
      </w:r>
    </w:p>
    <w:p w14:paraId="7E71313C" w14:textId="32AF9771" w:rsidR="00D654D9" w:rsidRPr="00AD2AEA" w:rsidRDefault="00D654D9" w:rsidP="00971AB4">
      <w:pPr>
        <w:spacing w:after="0" w:line="240" w:lineRule="auto"/>
        <w:jc w:val="both"/>
        <w:rPr>
          <w:rFonts w:cstheme="minorHAnsi"/>
          <w:sz w:val="24"/>
          <w:szCs w:val="24"/>
        </w:rPr>
      </w:pPr>
    </w:p>
    <w:p w14:paraId="577ACD2C" w14:textId="106A378E" w:rsidR="00D654D9" w:rsidRPr="00AD2AEA" w:rsidRDefault="001D155C" w:rsidP="00971AB4">
      <w:pPr>
        <w:spacing w:after="0" w:line="240" w:lineRule="auto"/>
        <w:jc w:val="both"/>
        <w:rPr>
          <w:rFonts w:cstheme="minorHAnsi"/>
          <w:b/>
          <w:bCs/>
          <w:sz w:val="24"/>
          <w:szCs w:val="24"/>
        </w:rPr>
      </w:pPr>
      <w:r w:rsidRPr="00AD2AEA">
        <w:rPr>
          <w:rFonts w:cstheme="minorHAnsi"/>
          <w:b/>
          <w:bCs/>
          <w:sz w:val="24"/>
          <w:szCs w:val="24"/>
        </w:rPr>
        <w:t>III. PROYECCIÓN Y FORTALECIMIENTO CONTINUO</w:t>
      </w:r>
    </w:p>
    <w:p w14:paraId="47918E17" w14:textId="77777777" w:rsidR="001D155C" w:rsidRPr="00AD2AEA" w:rsidRDefault="001D155C" w:rsidP="00971AB4">
      <w:pPr>
        <w:spacing w:after="0" w:line="240" w:lineRule="auto"/>
        <w:jc w:val="both"/>
        <w:rPr>
          <w:rFonts w:cstheme="minorHAnsi"/>
          <w:sz w:val="24"/>
          <w:szCs w:val="24"/>
        </w:rPr>
      </w:pPr>
    </w:p>
    <w:p w14:paraId="2016EEB5" w14:textId="4DC0AF09" w:rsidR="00D654D9" w:rsidRPr="00AD2AEA" w:rsidRDefault="001D155C" w:rsidP="00971AB4">
      <w:pPr>
        <w:spacing w:after="0" w:line="240" w:lineRule="auto"/>
        <w:jc w:val="both"/>
        <w:rPr>
          <w:rFonts w:cstheme="minorHAnsi"/>
          <w:sz w:val="24"/>
          <w:szCs w:val="24"/>
        </w:rPr>
      </w:pPr>
      <w:r w:rsidRPr="00AD2AEA">
        <w:rPr>
          <w:rFonts w:cstheme="minorHAnsi"/>
          <w:sz w:val="24"/>
          <w:szCs w:val="24"/>
        </w:rPr>
        <w:t>La república cubana presenta un</w:t>
      </w:r>
      <w:r w:rsidR="00D654D9" w:rsidRPr="00AD2AEA">
        <w:rPr>
          <w:rFonts w:cstheme="minorHAnsi"/>
          <w:sz w:val="24"/>
          <w:szCs w:val="24"/>
        </w:rPr>
        <w:t xml:space="preserve"> sistema normativo robusto y coherente con la Convención, acompañado de políticas públicas institucionalizadas.</w:t>
      </w:r>
      <w:r w:rsidRPr="00AD2AEA">
        <w:rPr>
          <w:rFonts w:cstheme="minorHAnsi"/>
          <w:sz w:val="24"/>
          <w:szCs w:val="24"/>
        </w:rPr>
        <w:t xml:space="preserve"> </w:t>
      </w:r>
      <w:r w:rsidR="00D654D9" w:rsidRPr="00AD2AEA">
        <w:rPr>
          <w:rFonts w:cstheme="minorHAnsi"/>
          <w:sz w:val="24"/>
          <w:szCs w:val="24"/>
        </w:rPr>
        <w:t>La etapa actual se caracteriza por una dinámica de perfeccionamiento y profundización orientada a:</w:t>
      </w:r>
    </w:p>
    <w:p w14:paraId="7CBD93D7" w14:textId="77777777" w:rsidR="00D654D9" w:rsidRPr="00AD2AEA" w:rsidRDefault="00D654D9" w:rsidP="00971AB4">
      <w:pPr>
        <w:spacing w:after="0" w:line="240" w:lineRule="auto"/>
        <w:jc w:val="both"/>
        <w:rPr>
          <w:rFonts w:cstheme="minorHAnsi"/>
          <w:sz w:val="24"/>
          <w:szCs w:val="24"/>
        </w:rPr>
      </w:pPr>
    </w:p>
    <w:p w14:paraId="2AD0487B" w14:textId="77777777" w:rsidR="00D654D9" w:rsidRPr="00AD2AEA" w:rsidRDefault="00D654D9" w:rsidP="00971AB4">
      <w:pPr>
        <w:numPr>
          <w:ilvl w:val="0"/>
          <w:numId w:val="4"/>
        </w:numPr>
        <w:spacing w:after="0" w:line="240" w:lineRule="auto"/>
        <w:jc w:val="both"/>
        <w:rPr>
          <w:rFonts w:cstheme="minorHAnsi"/>
          <w:sz w:val="24"/>
          <w:szCs w:val="24"/>
        </w:rPr>
      </w:pPr>
      <w:r w:rsidRPr="00AD2AEA">
        <w:rPr>
          <w:rFonts w:cstheme="minorHAnsi"/>
          <w:sz w:val="24"/>
          <w:szCs w:val="24"/>
        </w:rPr>
        <w:t>Consolidar sistemas integrales de indicadores comparables y verificables.</w:t>
      </w:r>
    </w:p>
    <w:p w14:paraId="13796F67" w14:textId="77777777" w:rsidR="00D654D9" w:rsidRPr="00AD2AEA" w:rsidRDefault="00D654D9" w:rsidP="00971AB4">
      <w:pPr>
        <w:numPr>
          <w:ilvl w:val="0"/>
          <w:numId w:val="4"/>
        </w:numPr>
        <w:spacing w:after="0" w:line="240" w:lineRule="auto"/>
        <w:jc w:val="both"/>
        <w:rPr>
          <w:rFonts w:cstheme="minorHAnsi"/>
          <w:sz w:val="24"/>
          <w:szCs w:val="24"/>
        </w:rPr>
      </w:pPr>
      <w:r w:rsidRPr="00AD2AEA">
        <w:rPr>
          <w:rFonts w:cstheme="minorHAnsi"/>
          <w:sz w:val="24"/>
          <w:szCs w:val="24"/>
        </w:rPr>
        <w:t>Fortalecer la evaluación pública de políticas antirracistas.</w:t>
      </w:r>
    </w:p>
    <w:p w14:paraId="34B3784B" w14:textId="77777777" w:rsidR="00D654D9" w:rsidRPr="00AD2AEA" w:rsidRDefault="00D654D9" w:rsidP="00971AB4">
      <w:pPr>
        <w:numPr>
          <w:ilvl w:val="0"/>
          <w:numId w:val="4"/>
        </w:numPr>
        <w:spacing w:after="0" w:line="240" w:lineRule="auto"/>
        <w:jc w:val="both"/>
        <w:rPr>
          <w:rFonts w:cstheme="minorHAnsi"/>
          <w:sz w:val="24"/>
          <w:szCs w:val="24"/>
        </w:rPr>
      </w:pPr>
      <w:r w:rsidRPr="00AD2AEA">
        <w:rPr>
          <w:rFonts w:cstheme="minorHAnsi"/>
          <w:sz w:val="24"/>
          <w:szCs w:val="24"/>
        </w:rPr>
        <w:t>Ampliar la participación comunitaria y académica.</w:t>
      </w:r>
    </w:p>
    <w:p w14:paraId="641A9FB9" w14:textId="77777777" w:rsidR="00D654D9" w:rsidRPr="00AD2AEA" w:rsidRDefault="00D654D9" w:rsidP="00971AB4">
      <w:pPr>
        <w:numPr>
          <w:ilvl w:val="0"/>
          <w:numId w:val="4"/>
        </w:numPr>
        <w:spacing w:after="0" w:line="240" w:lineRule="auto"/>
        <w:jc w:val="both"/>
        <w:rPr>
          <w:rFonts w:cstheme="minorHAnsi"/>
          <w:sz w:val="24"/>
          <w:szCs w:val="24"/>
        </w:rPr>
      </w:pPr>
      <w:r w:rsidRPr="00AD2AEA">
        <w:rPr>
          <w:rFonts w:cstheme="minorHAnsi"/>
          <w:sz w:val="24"/>
          <w:szCs w:val="24"/>
        </w:rPr>
        <w:t>Integrar enfoques interseccionales en el diseño de programas.</w:t>
      </w:r>
    </w:p>
    <w:p w14:paraId="6C6E6B2C" w14:textId="77777777" w:rsidR="00D654D9" w:rsidRPr="00AD2AEA" w:rsidRDefault="00D654D9" w:rsidP="00971AB4">
      <w:pPr>
        <w:numPr>
          <w:ilvl w:val="0"/>
          <w:numId w:val="4"/>
        </w:numPr>
        <w:spacing w:after="0" w:line="240" w:lineRule="auto"/>
        <w:jc w:val="both"/>
        <w:rPr>
          <w:rFonts w:cstheme="minorHAnsi"/>
          <w:sz w:val="24"/>
          <w:szCs w:val="24"/>
        </w:rPr>
      </w:pPr>
      <w:r w:rsidRPr="00AD2AEA">
        <w:rPr>
          <w:rFonts w:cstheme="minorHAnsi"/>
          <w:sz w:val="24"/>
          <w:szCs w:val="24"/>
        </w:rPr>
        <w:t>Perfeccionar la complementariedad entre políticas universales y medidas específicas cuando resulten pertinentes.</w:t>
      </w:r>
    </w:p>
    <w:p w14:paraId="43833377" w14:textId="77777777" w:rsidR="00D654D9" w:rsidRPr="00AD2AEA" w:rsidRDefault="00D654D9" w:rsidP="00971AB4">
      <w:pPr>
        <w:spacing w:after="0" w:line="240" w:lineRule="auto"/>
        <w:jc w:val="both"/>
        <w:rPr>
          <w:rFonts w:cstheme="minorHAnsi"/>
          <w:sz w:val="24"/>
          <w:szCs w:val="24"/>
        </w:rPr>
      </w:pPr>
    </w:p>
    <w:p w14:paraId="34813A72" w14:textId="77777777" w:rsidR="00971AB4" w:rsidRDefault="00D654D9" w:rsidP="00971AB4">
      <w:pPr>
        <w:spacing w:after="0" w:line="240" w:lineRule="auto"/>
        <w:jc w:val="both"/>
        <w:rPr>
          <w:rFonts w:cstheme="minorHAnsi"/>
          <w:sz w:val="24"/>
          <w:szCs w:val="24"/>
        </w:rPr>
      </w:pPr>
      <w:r w:rsidRPr="00AD2AEA">
        <w:rPr>
          <w:rFonts w:cstheme="minorHAnsi"/>
          <w:sz w:val="24"/>
          <w:szCs w:val="24"/>
        </w:rPr>
        <w:t>Este proceso continuo de actualización institucional evidencia un compromiso sostenido con la igualdad sustantiva y con el fortalecimiento progresivo del Estado de derecho.</w:t>
      </w:r>
    </w:p>
    <w:p w14:paraId="2EBB4BD5" w14:textId="77777777" w:rsidR="005F7494" w:rsidRDefault="005F7494" w:rsidP="00971AB4">
      <w:pPr>
        <w:spacing w:after="0" w:line="240" w:lineRule="auto"/>
        <w:jc w:val="both"/>
        <w:rPr>
          <w:rFonts w:cstheme="minorHAnsi"/>
          <w:b/>
          <w:bCs/>
          <w:sz w:val="24"/>
          <w:szCs w:val="24"/>
        </w:rPr>
      </w:pPr>
    </w:p>
    <w:p w14:paraId="0AC49860" w14:textId="77777777" w:rsidR="005F7494" w:rsidRDefault="005F7494" w:rsidP="00971AB4">
      <w:pPr>
        <w:spacing w:after="0" w:line="240" w:lineRule="auto"/>
        <w:jc w:val="both"/>
        <w:rPr>
          <w:rFonts w:cstheme="minorHAnsi"/>
          <w:b/>
          <w:bCs/>
          <w:sz w:val="24"/>
          <w:szCs w:val="24"/>
        </w:rPr>
      </w:pPr>
    </w:p>
    <w:p w14:paraId="79474A2F" w14:textId="77777777" w:rsidR="005F7494" w:rsidRDefault="005F7494" w:rsidP="00971AB4">
      <w:pPr>
        <w:spacing w:after="0" w:line="240" w:lineRule="auto"/>
        <w:jc w:val="both"/>
        <w:rPr>
          <w:rFonts w:cstheme="minorHAnsi"/>
          <w:b/>
          <w:bCs/>
          <w:sz w:val="24"/>
          <w:szCs w:val="24"/>
        </w:rPr>
      </w:pPr>
    </w:p>
    <w:p w14:paraId="7A96FA3B" w14:textId="77777777" w:rsidR="005F7494" w:rsidRDefault="005F7494" w:rsidP="00971AB4">
      <w:pPr>
        <w:spacing w:after="0" w:line="240" w:lineRule="auto"/>
        <w:jc w:val="both"/>
        <w:rPr>
          <w:rFonts w:cstheme="minorHAnsi"/>
          <w:b/>
          <w:bCs/>
          <w:sz w:val="24"/>
          <w:szCs w:val="24"/>
        </w:rPr>
      </w:pPr>
    </w:p>
    <w:p w14:paraId="6BBED3AF" w14:textId="77777777" w:rsidR="005F7494" w:rsidRDefault="005F7494" w:rsidP="00971AB4">
      <w:pPr>
        <w:spacing w:after="0" w:line="240" w:lineRule="auto"/>
        <w:jc w:val="both"/>
        <w:rPr>
          <w:rFonts w:cstheme="minorHAnsi"/>
          <w:b/>
          <w:bCs/>
          <w:sz w:val="24"/>
          <w:szCs w:val="24"/>
        </w:rPr>
      </w:pPr>
    </w:p>
    <w:p w14:paraId="2EBDCF2E" w14:textId="77777777" w:rsidR="005F7494" w:rsidRDefault="005F7494" w:rsidP="00971AB4">
      <w:pPr>
        <w:spacing w:after="0" w:line="240" w:lineRule="auto"/>
        <w:jc w:val="both"/>
        <w:rPr>
          <w:rFonts w:cstheme="minorHAnsi"/>
          <w:b/>
          <w:bCs/>
          <w:sz w:val="24"/>
          <w:szCs w:val="24"/>
        </w:rPr>
      </w:pPr>
    </w:p>
    <w:p w14:paraId="1D60648C" w14:textId="12CBC7D4" w:rsidR="001D155C" w:rsidRPr="002C6E27" w:rsidRDefault="001D155C" w:rsidP="00971AB4">
      <w:pPr>
        <w:spacing w:after="0" w:line="240" w:lineRule="auto"/>
        <w:jc w:val="both"/>
        <w:rPr>
          <w:rFonts w:cstheme="minorHAnsi"/>
          <w:sz w:val="24"/>
          <w:szCs w:val="24"/>
        </w:rPr>
      </w:pPr>
      <w:r w:rsidRPr="00AD2AEA">
        <w:rPr>
          <w:rFonts w:cstheme="minorHAnsi"/>
          <w:b/>
          <w:bCs/>
          <w:sz w:val="24"/>
          <w:szCs w:val="24"/>
        </w:rPr>
        <w:t xml:space="preserve">IV. CONTRIBUCIONES </w:t>
      </w:r>
      <w:r w:rsidR="00971AB4">
        <w:rPr>
          <w:rFonts w:cstheme="minorHAnsi"/>
          <w:b/>
          <w:bCs/>
          <w:sz w:val="24"/>
          <w:szCs w:val="24"/>
        </w:rPr>
        <w:t>SOBRE</w:t>
      </w:r>
      <w:r w:rsidRPr="00AD2AEA">
        <w:rPr>
          <w:rFonts w:cstheme="minorHAnsi"/>
          <w:b/>
          <w:bCs/>
          <w:sz w:val="24"/>
          <w:szCs w:val="24"/>
        </w:rPr>
        <w:t xml:space="preserve"> LOS AVANCES DE CUBA EN LA IMPLEMENTACIÓN DE LA CONVENCIÓN</w:t>
      </w:r>
    </w:p>
    <w:p w14:paraId="15FE0197" w14:textId="77777777" w:rsidR="001D155C" w:rsidRPr="00AD2AEA" w:rsidRDefault="001D155C" w:rsidP="00971AB4">
      <w:pPr>
        <w:spacing w:after="0" w:line="240" w:lineRule="auto"/>
        <w:jc w:val="both"/>
        <w:rPr>
          <w:rFonts w:cstheme="minorHAnsi"/>
          <w:b/>
          <w:bCs/>
          <w:sz w:val="24"/>
          <w:szCs w:val="24"/>
        </w:rPr>
      </w:pPr>
    </w:p>
    <w:p w14:paraId="3F67BD7E" w14:textId="594E5C62" w:rsidR="001D155C" w:rsidRPr="00971AB4" w:rsidRDefault="001D155C" w:rsidP="00971AB4">
      <w:pPr>
        <w:spacing w:after="0" w:line="240" w:lineRule="auto"/>
        <w:jc w:val="both"/>
        <w:rPr>
          <w:rFonts w:cstheme="minorHAnsi"/>
          <w:b/>
          <w:bCs/>
          <w:sz w:val="24"/>
          <w:szCs w:val="24"/>
        </w:rPr>
      </w:pPr>
      <w:r w:rsidRPr="002C6E27">
        <w:rPr>
          <w:rFonts w:cstheme="minorHAnsi"/>
          <w:b/>
          <w:bCs/>
          <w:sz w:val="24"/>
          <w:szCs w:val="24"/>
        </w:rPr>
        <w:t>Definición y prohibición de la discriminación racial</w:t>
      </w:r>
    </w:p>
    <w:p w14:paraId="09DD5541"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 xml:space="preserve">El texto constitucional </w:t>
      </w:r>
      <w:r w:rsidRPr="00AD2AEA">
        <w:rPr>
          <w:rFonts w:cstheme="minorHAnsi"/>
          <w:sz w:val="24"/>
          <w:szCs w:val="24"/>
        </w:rPr>
        <w:t xml:space="preserve">cubano </w:t>
      </w:r>
      <w:r w:rsidRPr="002C6E27">
        <w:rPr>
          <w:rFonts w:cstheme="minorHAnsi"/>
          <w:sz w:val="24"/>
          <w:szCs w:val="24"/>
        </w:rPr>
        <w:t>establece con claridad la igualdad ante la ley, la protección igualitaria y la igualdad real de oportunidades; garantiza el acceso a espacios públicos y servicios sin distinción alguna; y dispone que toda violación del principio de igualdad sea sancionada conforme a la ley.</w:t>
      </w:r>
    </w:p>
    <w:p w14:paraId="341C2178" w14:textId="77777777" w:rsidR="00AD2AEA" w:rsidRDefault="00AD2AEA" w:rsidP="00971AB4">
      <w:pPr>
        <w:spacing w:after="0" w:line="240" w:lineRule="auto"/>
        <w:jc w:val="both"/>
        <w:rPr>
          <w:rFonts w:cstheme="minorHAnsi"/>
          <w:sz w:val="24"/>
          <w:szCs w:val="24"/>
        </w:rPr>
      </w:pPr>
    </w:p>
    <w:p w14:paraId="0B1C6739" w14:textId="56DB3F66" w:rsidR="001D155C" w:rsidRPr="002C6E27" w:rsidRDefault="001D155C" w:rsidP="00971AB4">
      <w:pPr>
        <w:spacing w:after="0" w:line="240" w:lineRule="auto"/>
        <w:jc w:val="both"/>
        <w:rPr>
          <w:rFonts w:cstheme="minorHAnsi"/>
          <w:sz w:val="24"/>
          <w:szCs w:val="24"/>
        </w:rPr>
      </w:pPr>
      <w:r w:rsidRPr="002C6E27">
        <w:rPr>
          <w:rFonts w:cstheme="minorHAnsi"/>
          <w:sz w:val="24"/>
          <w:szCs w:val="24"/>
        </w:rPr>
        <w:t>Este avance no constituye una mera reproducción formal de la definición contenida en la Convención Internacional sobre la Eliminación de Todas las Formas de Discriminación Racial, sino su plena incorporación al núcleo estructural del sistema constitucional cubano, fortaleciendo su exigibilidad y reafirmando el compromiso político del Estado con la erradicación de toda forma de discriminación racial.</w:t>
      </w:r>
    </w:p>
    <w:p w14:paraId="5BB0A98E" w14:textId="77777777" w:rsidR="001D155C" w:rsidRPr="00AD2AEA" w:rsidRDefault="001D155C" w:rsidP="00971AB4">
      <w:pPr>
        <w:spacing w:after="0" w:line="240" w:lineRule="auto"/>
        <w:jc w:val="both"/>
        <w:rPr>
          <w:rFonts w:cstheme="minorHAnsi"/>
          <w:b/>
          <w:bCs/>
          <w:sz w:val="24"/>
          <w:szCs w:val="24"/>
        </w:rPr>
      </w:pPr>
    </w:p>
    <w:p w14:paraId="0CE2273C" w14:textId="2E3AF0A6" w:rsidR="001D155C" w:rsidRPr="00971AB4" w:rsidRDefault="001D155C" w:rsidP="00971AB4">
      <w:pPr>
        <w:spacing w:after="0" w:line="240" w:lineRule="auto"/>
        <w:jc w:val="both"/>
        <w:rPr>
          <w:rFonts w:cstheme="minorHAnsi"/>
          <w:b/>
          <w:bCs/>
          <w:sz w:val="24"/>
          <w:szCs w:val="24"/>
        </w:rPr>
      </w:pPr>
      <w:r w:rsidRPr="002C6E27">
        <w:rPr>
          <w:rFonts w:cstheme="minorHAnsi"/>
          <w:b/>
          <w:bCs/>
          <w:sz w:val="24"/>
          <w:szCs w:val="24"/>
        </w:rPr>
        <w:t>Obligación de adoptar políticas públicas para eliminar la discriminación racial</w:t>
      </w:r>
    </w:p>
    <w:p w14:paraId="56248BEA" w14:textId="1FE9D973" w:rsidR="001D155C" w:rsidRPr="00AD2AEA" w:rsidRDefault="001D155C" w:rsidP="00971AB4">
      <w:pPr>
        <w:spacing w:after="0" w:line="240" w:lineRule="auto"/>
        <w:jc w:val="both"/>
        <w:rPr>
          <w:rFonts w:cstheme="minorHAnsi"/>
          <w:sz w:val="24"/>
          <w:szCs w:val="24"/>
        </w:rPr>
      </w:pPr>
      <w:r w:rsidRPr="002C6E27">
        <w:rPr>
          <w:rFonts w:cstheme="minorHAnsi"/>
          <w:sz w:val="24"/>
          <w:szCs w:val="24"/>
        </w:rPr>
        <w:t>En cumplimiento del artículo 2 de la Convención, Cuba ha desarrollado una estrategia integral y sostenida para prevenir y eliminar la discriminación racial, basada en reformas legislativas profundas y en la creación de mecanismos institucionales específicos.</w:t>
      </w:r>
      <w:r w:rsidR="00AD2AEA">
        <w:rPr>
          <w:rFonts w:cstheme="minorHAnsi"/>
          <w:sz w:val="24"/>
          <w:szCs w:val="24"/>
        </w:rPr>
        <w:t xml:space="preserve"> </w:t>
      </w:r>
      <w:r w:rsidRPr="002C6E27">
        <w:rPr>
          <w:rFonts w:cstheme="minorHAnsi"/>
          <w:sz w:val="24"/>
          <w:szCs w:val="24"/>
        </w:rPr>
        <w:t>Entre los avances más significativos se destacan:</w:t>
      </w:r>
    </w:p>
    <w:p w14:paraId="5318680C" w14:textId="77777777" w:rsidR="001D155C" w:rsidRPr="002C6E27" w:rsidRDefault="001D155C" w:rsidP="00971AB4">
      <w:pPr>
        <w:spacing w:after="0" w:line="240" w:lineRule="auto"/>
        <w:jc w:val="both"/>
        <w:rPr>
          <w:rFonts w:cstheme="minorHAnsi"/>
          <w:sz w:val="24"/>
          <w:szCs w:val="24"/>
        </w:rPr>
      </w:pPr>
    </w:p>
    <w:p w14:paraId="6A5C7E9B" w14:textId="77777777" w:rsidR="001D155C" w:rsidRPr="002C6E27" w:rsidRDefault="001D155C" w:rsidP="00971AB4">
      <w:pPr>
        <w:numPr>
          <w:ilvl w:val="0"/>
          <w:numId w:val="19"/>
        </w:numPr>
        <w:spacing w:after="0" w:line="240" w:lineRule="auto"/>
        <w:ind w:left="714" w:hanging="357"/>
        <w:jc w:val="both"/>
        <w:rPr>
          <w:rFonts w:cstheme="minorHAnsi"/>
          <w:sz w:val="24"/>
          <w:szCs w:val="24"/>
        </w:rPr>
      </w:pPr>
      <w:r w:rsidRPr="002C6E27">
        <w:rPr>
          <w:rFonts w:cstheme="minorHAnsi"/>
          <w:sz w:val="24"/>
          <w:szCs w:val="24"/>
        </w:rPr>
        <w:t>La reforma integral del sistema de justicia penal.</w:t>
      </w:r>
    </w:p>
    <w:p w14:paraId="7971EFE0" w14:textId="77777777" w:rsidR="001D155C" w:rsidRPr="002C6E27" w:rsidRDefault="001D155C" w:rsidP="00971AB4">
      <w:pPr>
        <w:numPr>
          <w:ilvl w:val="0"/>
          <w:numId w:val="19"/>
        </w:numPr>
        <w:spacing w:after="0" w:line="240" w:lineRule="auto"/>
        <w:ind w:left="714" w:hanging="357"/>
        <w:jc w:val="both"/>
        <w:rPr>
          <w:rFonts w:cstheme="minorHAnsi"/>
          <w:sz w:val="24"/>
          <w:szCs w:val="24"/>
        </w:rPr>
      </w:pPr>
      <w:r w:rsidRPr="002C6E27">
        <w:rPr>
          <w:rFonts w:cstheme="minorHAnsi"/>
          <w:sz w:val="24"/>
          <w:szCs w:val="24"/>
        </w:rPr>
        <w:t>La aprobación del nuevo Código Penal (Ley 151/2022).</w:t>
      </w:r>
    </w:p>
    <w:p w14:paraId="230C4FF9" w14:textId="77777777" w:rsidR="001D155C" w:rsidRPr="002C6E27" w:rsidRDefault="001D155C" w:rsidP="00971AB4">
      <w:pPr>
        <w:numPr>
          <w:ilvl w:val="0"/>
          <w:numId w:val="19"/>
        </w:numPr>
        <w:spacing w:after="0" w:line="240" w:lineRule="auto"/>
        <w:ind w:left="714" w:hanging="357"/>
        <w:jc w:val="both"/>
        <w:rPr>
          <w:rFonts w:cstheme="minorHAnsi"/>
          <w:sz w:val="24"/>
          <w:szCs w:val="24"/>
        </w:rPr>
      </w:pPr>
      <w:r w:rsidRPr="002C6E27">
        <w:rPr>
          <w:rFonts w:cstheme="minorHAnsi"/>
          <w:sz w:val="24"/>
          <w:szCs w:val="24"/>
        </w:rPr>
        <w:t>La Ley del Proceso Penal (Ley 143/2021), que fortalece las garantías del debido proceso.</w:t>
      </w:r>
    </w:p>
    <w:p w14:paraId="2A64D701" w14:textId="77777777" w:rsidR="001D155C" w:rsidRPr="002C6E27" w:rsidRDefault="001D155C" w:rsidP="00971AB4">
      <w:pPr>
        <w:numPr>
          <w:ilvl w:val="0"/>
          <w:numId w:val="19"/>
        </w:numPr>
        <w:spacing w:after="0" w:line="240" w:lineRule="auto"/>
        <w:ind w:left="714" w:hanging="357"/>
        <w:jc w:val="both"/>
        <w:rPr>
          <w:rFonts w:cstheme="minorHAnsi"/>
          <w:sz w:val="24"/>
          <w:szCs w:val="24"/>
        </w:rPr>
      </w:pPr>
      <w:r w:rsidRPr="002C6E27">
        <w:rPr>
          <w:rFonts w:cstheme="minorHAnsi"/>
          <w:sz w:val="24"/>
          <w:szCs w:val="24"/>
        </w:rPr>
        <w:t>La aprobación del Código de las Familias (Ley 156/2022).</w:t>
      </w:r>
    </w:p>
    <w:p w14:paraId="79990924" w14:textId="77777777" w:rsidR="001D155C" w:rsidRPr="002C6E27" w:rsidRDefault="001D155C" w:rsidP="00971AB4">
      <w:pPr>
        <w:numPr>
          <w:ilvl w:val="0"/>
          <w:numId w:val="19"/>
        </w:numPr>
        <w:spacing w:after="0" w:line="240" w:lineRule="auto"/>
        <w:ind w:left="714" w:hanging="357"/>
        <w:jc w:val="both"/>
        <w:rPr>
          <w:rFonts w:cstheme="minorHAnsi"/>
          <w:sz w:val="24"/>
          <w:szCs w:val="24"/>
        </w:rPr>
      </w:pPr>
      <w:r w:rsidRPr="002C6E27">
        <w:rPr>
          <w:rFonts w:cstheme="minorHAnsi"/>
          <w:sz w:val="24"/>
          <w:szCs w:val="24"/>
        </w:rPr>
        <w:t>La creación del Programa Nacional contra el Racismo y la Discriminación Racial.</w:t>
      </w:r>
    </w:p>
    <w:p w14:paraId="7F00AABA" w14:textId="77777777" w:rsidR="001D155C" w:rsidRPr="002C6E27" w:rsidRDefault="001D155C" w:rsidP="00971AB4">
      <w:pPr>
        <w:numPr>
          <w:ilvl w:val="0"/>
          <w:numId w:val="19"/>
        </w:numPr>
        <w:spacing w:after="0" w:line="240" w:lineRule="auto"/>
        <w:ind w:left="714" w:hanging="357"/>
        <w:jc w:val="both"/>
        <w:rPr>
          <w:rFonts w:cstheme="minorHAnsi"/>
          <w:sz w:val="24"/>
          <w:szCs w:val="24"/>
        </w:rPr>
      </w:pPr>
      <w:r w:rsidRPr="002C6E27">
        <w:rPr>
          <w:rFonts w:cstheme="minorHAnsi"/>
          <w:sz w:val="24"/>
          <w:szCs w:val="24"/>
        </w:rPr>
        <w:t>La constitución de la Comisión Nacional “Color Cubano”.</w:t>
      </w:r>
    </w:p>
    <w:p w14:paraId="57A29D20" w14:textId="77777777" w:rsidR="001D155C" w:rsidRPr="00AD2AEA" w:rsidRDefault="001D155C" w:rsidP="00971AB4">
      <w:pPr>
        <w:spacing w:after="0" w:line="240" w:lineRule="auto"/>
        <w:jc w:val="both"/>
        <w:rPr>
          <w:rFonts w:cstheme="minorHAnsi"/>
          <w:sz w:val="24"/>
          <w:szCs w:val="24"/>
        </w:rPr>
      </w:pPr>
    </w:p>
    <w:p w14:paraId="1472C2B3"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La adopción del Programa Nacional contra el Racismo representa una política pública específica, estructurada y con enfoque transversal, que materializa los compromisos asumidos en los artículos 2.1 y 2.2 de la Convención. Su institucionalización demuestra que la lucha contra el racismo no es una acción aislada, sino una prioridad estratégica del Estado cubano.</w:t>
      </w:r>
    </w:p>
    <w:p w14:paraId="11A3F9FD" w14:textId="77777777" w:rsidR="001D155C" w:rsidRPr="00AD2AEA" w:rsidRDefault="001D155C" w:rsidP="00971AB4">
      <w:pPr>
        <w:spacing w:after="0" w:line="240" w:lineRule="auto"/>
        <w:jc w:val="both"/>
        <w:rPr>
          <w:rFonts w:cstheme="minorHAnsi"/>
          <w:sz w:val="24"/>
          <w:szCs w:val="24"/>
        </w:rPr>
      </w:pPr>
    </w:p>
    <w:p w14:paraId="4C16E7E5" w14:textId="77777777" w:rsidR="00AD2AEA" w:rsidRDefault="001D155C" w:rsidP="00971AB4">
      <w:pPr>
        <w:spacing w:after="0" w:line="240" w:lineRule="auto"/>
        <w:jc w:val="both"/>
        <w:rPr>
          <w:rFonts w:cstheme="minorHAnsi"/>
          <w:sz w:val="24"/>
          <w:szCs w:val="24"/>
        </w:rPr>
      </w:pPr>
      <w:r w:rsidRPr="002C6E27">
        <w:rPr>
          <w:rFonts w:cstheme="minorHAnsi"/>
          <w:sz w:val="24"/>
          <w:szCs w:val="24"/>
        </w:rPr>
        <w:t>Asimismo, la aprobación de 129 normas de rango superior tras la Constitución de 2019 evidencia una voluntad política sostenida de actualización normativa y fortalecimiento institucional, en coherencia con las obligaciones internacionales asumidas.</w:t>
      </w:r>
    </w:p>
    <w:p w14:paraId="3C912493" w14:textId="77777777" w:rsidR="00BE01CC" w:rsidRDefault="00BE01CC" w:rsidP="00971AB4">
      <w:pPr>
        <w:spacing w:after="0" w:line="240" w:lineRule="auto"/>
        <w:jc w:val="both"/>
        <w:rPr>
          <w:rFonts w:cstheme="minorHAnsi"/>
          <w:b/>
          <w:bCs/>
          <w:sz w:val="24"/>
          <w:szCs w:val="24"/>
        </w:rPr>
      </w:pPr>
    </w:p>
    <w:p w14:paraId="2B636DEA" w14:textId="122341D5" w:rsidR="001D155C" w:rsidRPr="00AD2AEA" w:rsidRDefault="001D155C" w:rsidP="00971AB4">
      <w:pPr>
        <w:spacing w:after="0" w:line="240" w:lineRule="auto"/>
        <w:jc w:val="both"/>
        <w:rPr>
          <w:rFonts w:cstheme="minorHAnsi"/>
          <w:sz w:val="24"/>
          <w:szCs w:val="24"/>
        </w:rPr>
      </w:pPr>
      <w:r w:rsidRPr="002C6E27">
        <w:rPr>
          <w:rFonts w:cstheme="minorHAnsi"/>
          <w:b/>
          <w:bCs/>
          <w:sz w:val="24"/>
          <w:szCs w:val="24"/>
        </w:rPr>
        <w:t>Condena del apartheid y la segregación racial</w:t>
      </w:r>
    </w:p>
    <w:p w14:paraId="1B17AE4E" w14:textId="42C6805C" w:rsidR="001D155C" w:rsidRPr="002C6E27" w:rsidRDefault="001D155C" w:rsidP="00971AB4">
      <w:pPr>
        <w:spacing w:after="0" w:line="240" w:lineRule="auto"/>
        <w:jc w:val="both"/>
        <w:rPr>
          <w:rFonts w:cstheme="minorHAnsi"/>
          <w:sz w:val="24"/>
          <w:szCs w:val="24"/>
        </w:rPr>
      </w:pPr>
      <w:r w:rsidRPr="00AD2AEA">
        <w:rPr>
          <w:rFonts w:cstheme="minorHAnsi"/>
          <w:sz w:val="24"/>
          <w:szCs w:val="24"/>
        </w:rPr>
        <w:t xml:space="preserve">Es relevante señalar que </w:t>
      </w:r>
      <w:r w:rsidRPr="002C6E27">
        <w:rPr>
          <w:rFonts w:cstheme="minorHAnsi"/>
          <w:sz w:val="24"/>
          <w:szCs w:val="24"/>
        </w:rPr>
        <w:t>Cuba mantiene una posición histórica y coherente de condena al apartheid y a toda forma de segregación racial. Como Estado parte de la Convención Internacional sobre la Represión y el Castigo del Crimen de Apartheid, el país ha tipificado expresamente en su Código Penal:</w:t>
      </w:r>
      <w:r w:rsidR="00AD2AEA">
        <w:rPr>
          <w:rFonts w:cstheme="minorHAnsi"/>
          <w:sz w:val="24"/>
          <w:szCs w:val="24"/>
        </w:rPr>
        <w:t xml:space="preserve"> </w:t>
      </w:r>
      <w:r w:rsidRPr="002C6E27">
        <w:rPr>
          <w:rFonts w:cstheme="minorHAnsi"/>
          <w:sz w:val="24"/>
          <w:szCs w:val="24"/>
        </w:rPr>
        <w:t>El delito de genocidio.</w:t>
      </w:r>
      <w:r w:rsidR="00AD2AEA">
        <w:rPr>
          <w:rFonts w:cstheme="minorHAnsi"/>
          <w:sz w:val="24"/>
          <w:szCs w:val="24"/>
        </w:rPr>
        <w:t xml:space="preserve"> </w:t>
      </w:r>
      <w:r w:rsidRPr="002C6E27">
        <w:rPr>
          <w:rFonts w:cstheme="minorHAnsi"/>
          <w:sz w:val="24"/>
          <w:szCs w:val="24"/>
        </w:rPr>
        <w:t>El crimen de apartheid.</w:t>
      </w:r>
      <w:r w:rsidR="00AD2AEA">
        <w:rPr>
          <w:rFonts w:cstheme="minorHAnsi"/>
          <w:sz w:val="24"/>
          <w:szCs w:val="24"/>
        </w:rPr>
        <w:t xml:space="preserve"> </w:t>
      </w:r>
      <w:r w:rsidRPr="002C6E27">
        <w:rPr>
          <w:rFonts w:cstheme="minorHAnsi"/>
          <w:sz w:val="24"/>
          <w:szCs w:val="24"/>
        </w:rPr>
        <w:t>Conductas de segregación y dominación racial.</w:t>
      </w:r>
    </w:p>
    <w:p w14:paraId="7686B349" w14:textId="77777777" w:rsidR="001D155C" w:rsidRPr="00AD2AEA" w:rsidRDefault="001D155C" w:rsidP="00971AB4">
      <w:pPr>
        <w:spacing w:after="0" w:line="240" w:lineRule="auto"/>
        <w:jc w:val="both"/>
        <w:rPr>
          <w:rFonts w:cstheme="minorHAnsi"/>
          <w:sz w:val="24"/>
          <w:szCs w:val="24"/>
        </w:rPr>
      </w:pPr>
    </w:p>
    <w:p w14:paraId="2898E644"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lastRenderedPageBreak/>
        <w:t>El artículo 136 del Código Penal establece sanciones severas contra prácticas de apartheid, alineándose directamente con el artículo 3 de la Convención y reafirmando el rechazo categórico del Estado a cualquier forma de dominación racial.</w:t>
      </w:r>
    </w:p>
    <w:p w14:paraId="0CC6842A" w14:textId="77777777" w:rsidR="001D155C" w:rsidRPr="00AD2AEA" w:rsidRDefault="001D155C" w:rsidP="00971AB4">
      <w:pPr>
        <w:spacing w:after="0" w:line="240" w:lineRule="auto"/>
        <w:jc w:val="both"/>
        <w:rPr>
          <w:rFonts w:cstheme="minorHAnsi"/>
          <w:sz w:val="24"/>
          <w:szCs w:val="24"/>
        </w:rPr>
      </w:pPr>
    </w:p>
    <w:p w14:paraId="36C90158"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En el ámbito internacional, la cooperación médica y educativa desplegada por Cuba en África y otras regiones constituye una expresión concreta de solidaridad antirracista y de compromiso con la justicia internacional, en coherencia con el espíritu de la Convención.</w:t>
      </w:r>
    </w:p>
    <w:p w14:paraId="58456EC0" w14:textId="77777777" w:rsidR="001D155C" w:rsidRPr="00AD2AEA" w:rsidRDefault="001D155C" w:rsidP="00971AB4">
      <w:pPr>
        <w:spacing w:after="0" w:line="240" w:lineRule="auto"/>
        <w:jc w:val="both"/>
        <w:rPr>
          <w:rFonts w:cstheme="minorHAnsi"/>
          <w:b/>
          <w:bCs/>
          <w:sz w:val="24"/>
          <w:szCs w:val="24"/>
        </w:rPr>
      </w:pPr>
    </w:p>
    <w:p w14:paraId="49D1F0D0" w14:textId="6DA14F55" w:rsidR="001D155C" w:rsidRPr="00971AB4" w:rsidRDefault="001D155C" w:rsidP="00971AB4">
      <w:pPr>
        <w:spacing w:after="0" w:line="240" w:lineRule="auto"/>
        <w:jc w:val="both"/>
        <w:rPr>
          <w:rFonts w:cstheme="minorHAnsi"/>
          <w:b/>
          <w:bCs/>
          <w:sz w:val="24"/>
          <w:szCs w:val="24"/>
        </w:rPr>
      </w:pPr>
      <w:r w:rsidRPr="002C6E27">
        <w:rPr>
          <w:rFonts w:cstheme="minorHAnsi"/>
          <w:b/>
          <w:bCs/>
          <w:sz w:val="24"/>
          <w:szCs w:val="24"/>
        </w:rPr>
        <w:t>Penalización de la propaganda racista y la incitación al odio</w:t>
      </w:r>
    </w:p>
    <w:p w14:paraId="2E437E16" w14:textId="4045E846" w:rsidR="001D155C" w:rsidRPr="002C6E27" w:rsidRDefault="001D155C" w:rsidP="00971AB4">
      <w:pPr>
        <w:spacing w:after="0" w:line="240" w:lineRule="auto"/>
        <w:jc w:val="both"/>
        <w:rPr>
          <w:rFonts w:cstheme="minorHAnsi"/>
          <w:sz w:val="24"/>
          <w:szCs w:val="24"/>
        </w:rPr>
      </w:pPr>
      <w:r w:rsidRPr="002C6E27">
        <w:rPr>
          <w:rFonts w:cstheme="minorHAnsi"/>
          <w:sz w:val="24"/>
          <w:szCs w:val="24"/>
        </w:rPr>
        <w:t>El marco penal vigente responde de manera clara a la obligación de criminalizar la propaganda racista y la incitación al odio racial. El Código Penal</w:t>
      </w:r>
      <w:r w:rsidRPr="00AD2AEA">
        <w:rPr>
          <w:rFonts w:cstheme="minorHAnsi"/>
          <w:sz w:val="24"/>
          <w:szCs w:val="24"/>
        </w:rPr>
        <w:t xml:space="preserve"> cubano</w:t>
      </w:r>
      <w:r w:rsidRPr="002C6E27">
        <w:rPr>
          <w:rFonts w:cstheme="minorHAnsi"/>
          <w:sz w:val="24"/>
          <w:szCs w:val="24"/>
        </w:rPr>
        <w:t>:</w:t>
      </w:r>
      <w:r w:rsidR="00AD2AEA">
        <w:rPr>
          <w:rFonts w:cstheme="minorHAnsi"/>
          <w:sz w:val="24"/>
          <w:szCs w:val="24"/>
        </w:rPr>
        <w:t xml:space="preserve"> </w:t>
      </w:r>
      <w:r w:rsidRPr="002C6E27">
        <w:rPr>
          <w:rFonts w:cstheme="minorHAnsi"/>
          <w:sz w:val="24"/>
          <w:szCs w:val="24"/>
        </w:rPr>
        <w:t>Sanciona la difusión de ideas basadas en la superioridad racial.</w:t>
      </w:r>
      <w:r w:rsidR="00AD2AEA">
        <w:rPr>
          <w:rFonts w:cstheme="minorHAnsi"/>
          <w:sz w:val="24"/>
          <w:szCs w:val="24"/>
        </w:rPr>
        <w:t xml:space="preserve"> </w:t>
      </w:r>
      <w:r w:rsidRPr="002C6E27">
        <w:rPr>
          <w:rFonts w:cstheme="minorHAnsi"/>
          <w:sz w:val="24"/>
          <w:szCs w:val="24"/>
        </w:rPr>
        <w:t>Penaliza la incitación al odio por motivos de color de la piel.</w:t>
      </w:r>
      <w:r w:rsidR="00AD2AEA">
        <w:rPr>
          <w:rFonts w:cstheme="minorHAnsi"/>
          <w:sz w:val="24"/>
          <w:szCs w:val="24"/>
        </w:rPr>
        <w:t xml:space="preserve"> </w:t>
      </w:r>
      <w:r w:rsidRPr="002C6E27">
        <w:rPr>
          <w:rFonts w:cstheme="minorHAnsi"/>
          <w:sz w:val="24"/>
          <w:szCs w:val="24"/>
        </w:rPr>
        <w:t>Agrava las sanciones cuando concurren móviles discriminatorios.</w:t>
      </w:r>
      <w:r w:rsidR="00AD2AEA">
        <w:rPr>
          <w:rFonts w:cstheme="minorHAnsi"/>
          <w:sz w:val="24"/>
          <w:szCs w:val="24"/>
        </w:rPr>
        <w:t xml:space="preserve"> P</w:t>
      </w:r>
      <w:r w:rsidRPr="002C6E27">
        <w:rPr>
          <w:rFonts w:cstheme="minorHAnsi"/>
          <w:sz w:val="24"/>
          <w:szCs w:val="24"/>
        </w:rPr>
        <w:t>rohíbe asociaciones racistas conforme a la Ley de Asociaciones.</w:t>
      </w:r>
    </w:p>
    <w:p w14:paraId="6E48DA4C" w14:textId="77777777" w:rsidR="001D155C" w:rsidRPr="00AD2AEA" w:rsidRDefault="001D155C" w:rsidP="00971AB4">
      <w:pPr>
        <w:spacing w:after="0" w:line="240" w:lineRule="auto"/>
        <w:jc w:val="both"/>
        <w:rPr>
          <w:rFonts w:cstheme="minorHAnsi"/>
          <w:sz w:val="24"/>
          <w:szCs w:val="24"/>
        </w:rPr>
      </w:pPr>
    </w:p>
    <w:p w14:paraId="7BEB7A4F"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Estas disposiciones cumplen plenamente con las exigencias del artículo 4 de la Convención y consolidan un sistema preventivo y sancionador coherente. La inexistencia de organizaciones racistas legalmente constituidas en el país constituye un indicador de la eficacia del marco jurídico y de la firme posición institucional frente a cualquier intento de organización basada en teorías de superioridad racial.</w:t>
      </w:r>
    </w:p>
    <w:p w14:paraId="13C02DB3" w14:textId="77777777" w:rsidR="001D155C" w:rsidRPr="00AD2AEA" w:rsidRDefault="001D155C" w:rsidP="00971AB4">
      <w:pPr>
        <w:spacing w:after="0" w:line="240" w:lineRule="auto"/>
        <w:jc w:val="both"/>
        <w:rPr>
          <w:rFonts w:cstheme="minorHAnsi"/>
          <w:b/>
          <w:bCs/>
          <w:sz w:val="24"/>
          <w:szCs w:val="24"/>
        </w:rPr>
      </w:pPr>
    </w:p>
    <w:p w14:paraId="4EDD8E1E" w14:textId="606D709B" w:rsidR="001D155C" w:rsidRPr="00971AB4" w:rsidRDefault="001D155C" w:rsidP="00971AB4">
      <w:pPr>
        <w:spacing w:after="0" w:line="240" w:lineRule="auto"/>
        <w:jc w:val="both"/>
        <w:rPr>
          <w:rFonts w:cstheme="minorHAnsi"/>
          <w:b/>
          <w:bCs/>
          <w:sz w:val="24"/>
          <w:szCs w:val="24"/>
        </w:rPr>
      </w:pPr>
      <w:r w:rsidRPr="002C6E27">
        <w:rPr>
          <w:rFonts w:cstheme="minorHAnsi"/>
          <w:b/>
          <w:bCs/>
          <w:sz w:val="24"/>
          <w:szCs w:val="24"/>
        </w:rPr>
        <w:t>Igualdad en el goce de derechos civiles, políticos, económicos, sociales y culturales</w:t>
      </w:r>
    </w:p>
    <w:p w14:paraId="24A1F6FB" w14:textId="77777777" w:rsidR="001D155C" w:rsidRPr="00AD2AEA" w:rsidRDefault="001D155C" w:rsidP="00971AB4">
      <w:pPr>
        <w:spacing w:after="0" w:line="240" w:lineRule="auto"/>
        <w:jc w:val="both"/>
        <w:rPr>
          <w:rFonts w:cstheme="minorHAnsi"/>
          <w:sz w:val="24"/>
          <w:szCs w:val="24"/>
        </w:rPr>
      </w:pPr>
      <w:r w:rsidRPr="00AD2AEA">
        <w:rPr>
          <w:rFonts w:cstheme="minorHAnsi"/>
          <w:sz w:val="24"/>
          <w:szCs w:val="24"/>
        </w:rPr>
        <w:t>En Cuba l</w:t>
      </w:r>
      <w:r w:rsidRPr="002C6E27">
        <w:rPr>
          <w:rFonts w:cstheme="minorHAnsi"/>
          <w:sz w:val="24"/>
          <w:szCs w:val="24"/>
        </w:rPr>
        <w:t>a implementación del artículo 5</w:t>
      </w:r>
      <w:r w:rsidRPr="00AD2AEA">
        <w:rPr>
          <w:rFonts w:cstheme="minorHAnsi"/>
          <w:sz w:val="24"/>
          <w:szCs w:val="24"/>
        </w:rPr>
        <w:t xml:space="preserve"> de la convención</w:t>
      </w:r>
      <w:r w:rsidRPr="002C6E27">
        <w:rPr>
          <w:rFonts w:cstheme="minorHAnsi"/>
          <w:sz w:val="24"/>
          <w:szCs w:val="24"/>
        </w:rPr>
        <w:t xml:space="preserve"> se manifiesta de forma transversal en múltiples esferas de la vida social</w:t>
      </w:r>
      <w:r w:rsidRPr="00AD2AEA">
        <w:rPr>
          <w:rFonts w:cstheme="minorHAnsi"/>
          <w:sz w:val="24"/>
          <w:szCs w:val="24"/>
        </w:rPr>
        <w:t xml:space="preserve">, tales como en: </w:t>
      </w:r>
    </w:p>
    <w:p w14:paraId="748CCC1A" w14:textId="77777777" w:rsidR="001D155C" w:rsidRPr="002C6E27" w:rsidRDefault="001D155C" w:rsidP="00971AB4">
      <w:pPr>
        <w:spacing w:after="0" w:line="240" w:lineRule="auto"/>
        <w:jc w:val="both"/>
        <w:rPr>
          <w:rFonts w:cstheme="minorHAnsi"/>
          <w:sz w:val="24"/>
          <w:szCs w:val="24"/>
        </w:rPr>
      </w:pPr>
    </w:p>
    <w:p w14:paraId="587F083D"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 xml:space="preserve">a) </w:t>
      </w:r>
      <w:r w:rsidRPr="00AD2AEA">
        <w:rPr>
          <w:rFonts w:cstheme="minorHAnsi"/>
          <w:b/>
          <w:bCs/>
          <w:sz w:val="24"/>
          <w:szCs w:val="24"/>
        </w:rPr>
        <w:t xml:space="preserve">En </w:t>
      </w:r>
      <w:r w:rsidRPr="002C6E27">
        <w:rPr>
          <w:rFonts w:cstheme="minorHAnsi"/>
          <w:b/>
          <w:bCs/>
          <w:sz w:val="24"/>
          <w:szCs w:val="24"/>
        </w:rPr>
        <w:t>Derechos civiles y acceso a la justicia</w:t>
      </w:r>
    </w:p>
    <w:p w14:paraId="1C6C03AC" w14:textId="77777777" w:rsidR="001D155C" w:rsidRPr="002C6E27" w:rsidRDefault="001D155C" w:rsidP="00971AB4">
      <w:pPr>
        <w:numPr>
          <w:ilvl w:val="0"/>
          <w:numId w:val="22"/>
        </w:numPr>
        <w:spacing w:after="0" w:line="240" w:lineRule="auto"/>
        <w:ind w:left="714" w:hanging="357"/>
        <w:jc w:val="both"/>
        <w:rPr>
          <w:rFonts w:cstheme="minorHAnsi"/>
          <w:sz w:val="24"/>
          <w:szCs w:val="24"/>
        </w:rPr>
      </w:pPr>
      <w:r w:rsidRPr="002C6E27">
        <w:rPr>
          <w:rFonts w:cstheme="minorHAnsi"/>
          <w:sz w:val="24"/>
          <w:szCs w:val="24"/>
        </w:rPr>
        <w:t>Independencia funcional del sistema judicial.</w:t>
      </w:r>
    </w:p>
    <w:p w14:paraId="76D5AC75" w14:textId="77777777" w:rsidR="001D155C" w:rsidRPr="002C6E27" w:rsidRDefault="001D155C" w:rsidP="00971AB4">
      <w:pPr>
        <w:numPr>
          <w:ilvl w:val="0"/>
          <w:numId w:val="22"/>
        </w:numPr>
        <w:spacing w:after="0" w:line="240" w:lineRule="auto"/>
        <w:ind w:left="714" w:hanging="357"/>
        <w:jc w:val="both"/>
        <w:rPr>
          <w:rFonts w:cstheme="minorHAnsi"/>
          <w:sz w:val="24"/>
          <w:szCs w:val="24"/>
        </w:rPr>
      </w:pPr>
      <w:r w:rsidRPr="002C6E27">
        <w:rPr>
          <w:rFonts w:cstheme="minorHAnsi"/>
          <w:sz w:val="24"/>
          <w:szCs w:val="24"/>
        </w:rPr>
        <w:t>Ley del Proceso de Amparo de los Derechos Constitucionales (Ley 153/2022).</w:t>
      </w:r>
    </w:p>
    <w:p w14:paraId="7E45EF93" w14:textId="77777777" w:rsidR="001D155C" w:rsidRPr="002C6E27" w:rsidRDefault="001D155C" w:rsidP="00971AB4">
      <w:pPr>
        <w:numPr>
          <w:ilvl w:val="0"/>
          <w:numId w:val="22"/>
        </w:numPr>
        <w:spacing w:after="0" w:line="240" w:lineRule="auto"/>
        <w:ind w:left="714" w:hanging="357"/>
        <w:jc w:val="both"/>
        <w:rPr>
          <w:rFonts w:cstheme="minorHAnsi"/>
          <w:sz w:val="24"/>
          <w:szCs w:val="24"/>
        </w:rPr>
      </w:pPr>
      <w:r w:rsidRPr="002C6E27">
        <w:rPr>
          <w:rFonts w:cstheme="minorHAnsi"/>
          <w:sz w:val="24"/>
          <w:szCs w:val="24"/>
        </w:rPr>
        <w:t>Reconocimiento constitucional del derecho a reclamar reparación por daños.</w:t>
      </w:r>
    </w:p>
    <w:p w14:paraId="5C04C9F8" w14:textId="77777777" w:rsidR="001D155C" w:rsidRPr="002C6E27" w:rsidRDefault="001D155C" w:rsidP="00971AB4">
      <w:pPr>
        <w:numPr>
          <w:ilvl w:val="0"/>
          <w:numId w:val="22"/>
        </w:numPr>
        <w:spacing w:after="0" w:line="240" w:lineRule="auto"/>
        <w:ind w:left="714" w:hanging="357"/>
        <w:jc w:val="both"/>
        <w:rPr>
          <w:rFonts w:cstheme="minorHAnsi"/>
          <w:sz w:val="24"/>
          <w:szCs w:val="24"/>
        </w:rPr>
      </w:pPr>
      <w:r w:rsidRPr="002C6E27">
        <w:rPr>
          <w:rFonts w:cstheme="minorHAnsi"/>
          <w:sz w:val="24"/>
          <w:szCs w:val="24"/>
        </w:rPr>
        <w:t>Garantías del debido proceso (arts. 94 y 95 constitucionales).</w:t>
      </w:r>
    </w:p>
    <w:p w14:paraId="16E5D1E0" w14:textId="77777777" w:rsidR="00AD2AEA" w:rsidRDefault="00AD2AEA" w:rsidP="00971AB4">
      <w:pPr>
        <w:spacing w:after="0" w:line="240" w:lineRule="auto"/>
        <w:jc w:val="both"/>
        <w:rPr>
          <w:rFonts w:cstheme="minorHAnsi"/>
          <w:sz w:val="24"/>
          <w:szCs w:val="24"/>
        </w:rPr>
      </w:pPr>
    </w:p>
    <w:p w14:paraId="2AA0ABB8" w14:textId="54ECAE41" w:rsidR="001D155C" w:rsidRPr="002C6E27" w:rsidRDefault="001D155C" w:rsidP="00971AB4">
      <w:pPr>
        <w:spacing w:after="0" w:line="240" w:lineRule="auto"/>
        <w:jc w:val="both"/>
        <w:rPr>
          <w:rFonts w:cstheme="minorHAnsi"/>
          <w:sz w:val="24"/>
          <w:szCs w:val="24"/>
        </w:rPr>
      </w:pPr>
      <w:r w:rsidRPr="002C6E27">
        <w:rPr>
          <w:rFonts w:cstheme="minorHAnsi"/>
          <w:sz w:val="24"/>
          <w:szCs w:val="24"/>
        </w:rPr>
        <w:t>Estas normas consolidan la tutela judicial efectiva y refuerzan la protección frente a cualquier acto discriminatorio.</w:t>
      </w:r>
    </w:p>
    <w:p w14:paraId="70E87580" w14:textId="77777777" w:rsidR="001D155C" w:rsidRPr="00AD2AEA" w:rsidRDefault="001D155C" w:rsidP="00971AB4">
      <w:pPr>
        <w:spacing w:after="0" w:line="240" w:lineRule="auto"/>
        <w:jc w:val="both"/>
        <w:rPr>
          <w:rFonts w:cstheme="minorHAnsi"/>
          <w:b/>
          <w:bCs/>
          <w:sz w:val="24"/>
          <w:szCs w:val="24"/>
        </w:rPr>
      </w:pPr>
    </w:p>
    <w:p w14:paraId="20F0B087"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 xml:space="preserve">b) </w:t>
      </w:r>
      <w:r w:rsidRPr="00AD2AEA">
        <w:rPr>
          <w:rFonts w:cstheme="minorHAnsi"/>
          <w:b/>
          <w:bCs/>
          <w:sz w:val="24"/>
          <w:szCs w:val="24"/>
        </w:rPr>
        <w:t xml:space="preserve">En </w:t>
      </w:r>
      <w:r w:rsidRPr="002C6E27">
        <w:rPr>
          <w:rFonts w:cstheme="minorHAnsi"/>
          <w:b/>
          <w:bCs/>
          <w:sz w:val="24"/>
          <w:szCs w:val="24"/>
        </w:rPr>
        <w:t>Derechos políticos</w:t>
      </w:r>
    </w:p>
    <w:p w14:paraId="4CB0FCCA" w14:textId="77777777" w:rsidR="001D155C" w:rsidRPr="002C6E27" w:rsidRDefault="001D155C" w:rsidP="00971AB4">
      <w:pPr>
        <w:numPr>
          <w:ilvl w:val="0"/>
          <w:numId w:val="23"/>
        </w:numPr>
        <w:spacing w:after="0" w:line="240" w:lineRule="auto"/>
        <w:ind w:left="714" w:hanging="357"/>
        <w:jc w:val="both"/>
        <w:rPr>
          <w:rFonts w:cstheme="minorHAnsi"/>
          <w:sz w:val="24"/>
          <w:szCs w:val="24"/>
        </w:rPr>
      </w:pPr>
      <w:r w:rsidRPr="002C6E27">
        <w:rPr>
          <w:rFonts w:cstheme="minorHAnsi"/>
          <w:sz w:val="24"/>
          <w:szCs w:val="24"/>
        </w:rPr>
        <w:t>Sufragio universal desde los 16 años.</w:t>
      </w:r>
    </w:p>
    <w:p w14:paraId="3CDEB1BE" w14:textId="77777777" w:rsidR="001D155C" w:rsidRPr="002C6E27" w:rsidRDefault="001D155C" w:rsidP="00971AB4">
      <w:pPr>
        <w:numPr>
          <w:ilvl w:val="0"/>
          <w:numId w:val="23"/>
        </w:numPr>
        <w:spacing w:after="0" w:line="240" w:lineRule="auto"/>
        <w:ind w:left="714" w:hanging="357"/>
        <w:jc w:val="both"/>
        <w:rPr>
          <w:rFonts w:cstheme="minorHAnsi"/>
          <w:sz w:val="24"/>
          <w:szCs w:val="24"/>
        </w:rPr>
      </w:pPr>
      <w:r w:rsidRPr="002C6E27">
        <w:rPr>
          <w:rFonts w:cstheme="minorHAnsi"/>
          <w:sz w:val="24"/>
          <w:szCs w:val="24"/>
        </w:rPr>
        <w:t>Derecho a ser elegido sin discriminación.</w:t>
      </w:r>
    </w:p>
    <w:p w14:paraId="46559021" w14:textId="77777777" w:rsidR="001D155C" w:rsidRPr="002C6E27" w:rsidRDefault="001D155C" w:rsidP="00971AB4">
      <w:pPr>
        <w:numPr>
          <w:ilvl w:val="0"/>
          <w:numId w:val="23"/>
        </w:numPr>
        <w:spacing w:after="0" w:line="240" w:lineRule="auto"/>
        <w:ind w:left="714" w:hanging="357"/>
        <w:jc w:val="both"/>
        <w:rPr>
          <w:rFonts w:cstheme="minorHAnsi"/>
          <w:sz w:val="24"/>
          <w:szCs w:val="24"/>
        </w:rPr>
      </w:pPr>
      <w:r w:rsidRPr="002C6E27">
        <w:rPr>
          <w:rFonts w:cstheme="minorHAnsi"/>
          <w:sz w:val="24"/>
          <w:szCs w:val="24"/>
        </w:rPr>
        <w:t>Creación del Consejo Electoral Nacional.</w:t>
      </w:r>
    </w:p>
    <w:p w14:paraId="5B870E1D" w14:textId="77777777" w:rsidR="001D155C" w:rsidRPr="002C6E27" w:rsidRDefault="001D155C" w:rsidP="00971AB4">
      <w:pPr>
        <w:numPr>
          <w:ilvl w:val="0"/>
          <w:numId w:val="23"/>
        </w:numPr>
        <w:spacing w:after="0" w:line="240" w:lineRule="auto"/>
        <w:ind w:left="714" w:hanging="357"/>
        <w:jc w:val="both"/>
        <w:rPr>
          <w:rFonts w:cstheme="minorHAnsi"/>
          <w:sz w:val="24"/>
          <w:szCs w:val="24"/>
        </w:rPr>
      </w:pPr>
      <w:r w:rsidRPr="002C6E27">
        <w:rPr>
          <w:rFonts w:cstheme="minorHAnsi"/>
          <w:sz w:val="24"/>
          <w:szCs w:val="24"/>
        </w:rPr>
        <w:t>45,11 % de diputados negros y mulatos.</w:t>
      </w:r>
    </w:p>
    <w:p w14:paraId="67355D5A" w14:textId="77777777" w:rsidR="001D155C" w:rsidRPr="002C6E27" w:rsidRDefault="001D155C" w:rsidP="00971AB4">
      <w:pPr>
        <w:numPr>
          <w:ilvl w:val="0"/>
          <w:numId w:val="23"/>
        </w:numPr>
        <w:spacing w:after="0" w:line="240" w:lineRule="auto"/>
        <w:ind w:left="714" w:hanging="357"/>
        <w:jc w:val="both"/>
        <w:rPr>
          <w:rFonts w:cstheme="minorHAnsi"/>
          <w:sz w:val="24"/>
          <w:szCs w:val="24"/>
        </w:rPr>
      </w:pPr>
      <w:r w:rsidRPr="002C6E27">
        <w:rPr>
          <w:rFonts w:cstheme="minorHAnsi"/>
          <w:sz w:val="24"/>
          <w:szCs w:val="24"/>
        </w:rPr>
        <w:t>55,74 % de mujeres diputadas.</w:t>
      </w:r>
    </w:p>
    <w:p w14:paraId="054B3857" w14:textId="77777777" w:rsidR="001D155C" w:rsidRPr="00AD2AEA" w:rsidRDefault="001D155C" w:rsidP="00971AB4">
      <w:pPr>
        <w:spacing w:after="0" w:line="240" w:lineRule="auto"/>
        <w:jc w:val="both"/>
        <w:rPr>
          <w:rFonts w:cstheme="minorHAnsi"/>
          <w:sz w:val="24"/>
          <w:szCs w:val="24"/>
        </w:rPr>
      </w:pPr>
    </w:p>
    <w:p w14:paraId="31BD11A3"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Estos datos reflejan niveles significativos de representación inclusiva y evidencian avances sostenidos hacia una participación política plural y diversa.</w:t>
      </w:r>
    </w:p>
    <w:p w14:paraId="3D5A5E40" w14:textId="77777777" w:rsidR="001D155C" w:rsidRPr="00AD2AEA" w:rsidRDefault="001D155C" w:rsidP="00971AB4">
      <w:pPr>
        <w:spacing w:after="0" w:line="240" w:lineRule="auto"/>
        <w:jc w:val="both"/>
        <w:rPr>
          <w:rFonts w:cstheme="minorHAnsi"/>
          <w:b/>
          <w:bCs/>
          <w:sz w:val="24"/>
          <w:szCs w:val="24"/>
        </w:rPr>
      </w:pPr>
    </w:p>
    <w:p w14:paraId="4EDE9464"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 xml:space="preserve">c) </w:t>
      </w:r>
      <w:r w:rsidRPr="00AD2AEA">
        <w:rPr>
          <w:rFonts w:cstheme="minorHAnsi"/>
          <w:b/>
          <w:bCs/>
          <w:sz w:val="24"/>
          <w:szCs w:val="24"/>
        </w:rPr>
        <w:t xml:space="preserve">En el </w:t>
      </w:r>
      <w:r w:rsidRPr="002C6E27">
        <w:rPr>
          <w:rFonts w:cstheme="minorHAnsi"/>
          <w:b/>
          <w:bCs/>
          <w:sz w:val="24"/>
          <w:szCs w:val="24"/>
        </w:rPr>
        <w:t>Derecho al trabajo</w:t>
      </w:r>
    </w:p>
    <w:p w14:paraId="4BEFA3AF" w14:textId="77777777" w:rsidR="001D155C" w:rsidRPr="002C6E27" w:rsidRDefault="001D155C" w:rsidP="00971AB4">
      <w:pPr>
        <w:numPr>
          <w:ilvl w:val="0"/>
          <w:numId w:val="24"/>
        </w:numPr>
        <w:spacing w:after="0" w:line="240" w:lineRule="auto"/>
        <w:jc w:val="both"/>
        <w:rPr>
          <w:rFonts w:cstheme="minorHAnsi"/>
          <w:sz w:val="24"/>
          <w:szCs w:val="24"/>
        </w:rPr>
      </w:pPr>
      <w:r w:rsidRPr="002C6E27">
        <w:rPr>
          <w:rFonts w:cstheme="minorHAnsi"/>
          <w:sz w:val="24"/>
          <w:szCs w:val="24"/>
        </w:rPr>
        <w:t>Prohibición expresa de discriminación laboral en el Código de Trabajo.</w:t>
      </w:r>
    </w:p>
    <w:p w14:paraId="436744DE" w14:textId="77777777" w:rsidR="001D155C" w:rsidRPr="002C6E27" w:rsidRDefault="001D155C" w:rsidP="00971AB4">
      <w:pPr>
        <w:numPr>
          <w:ilvl w:val="0"/>
          <w:numId w:val="24"/>
        </w:numPr>
        <w:spacing w:after="0" w:line="240" w:lineRule="auto"/>
        <w:jc w:val="both"/>
        <w:rPr>
          <w:rFonts w:cstheme="minorHAnsi"/>
          <w:sz w:val="24"/>
          <w:szCs w:val="24"/>
        </w:rPr>
      </w:pPr>
      <w:r w:rsidRPr="002C6E27">
        <w:rPr>
          <w:rFonts w:cstheme="minorHAnsi"/>
          <w:sz w:val="24"/>
          <w:szCs w:val="24"/>
        </w:rPr>
        <w:t>Igual salario por igual trabajo.</w:t>
      </w:r>
    </w:p>
    <w:p w14:paraId="6BC9DFBF" w14:textId="77777777" w:rsidR="001D155C" w:rsidRPr="002C6E27" w:rsidRDefault="001D155C" w:rsidP="00971AB4">
      <w:pPr>
        <w:numPr>
          <w:ilvl w:val="0"/>
          <w:numId w:val="24"/>
        </w:numPr>
        <w:spacing w:after="0" w:line="240" w:lineRule="auto"/>
        <w:jc w:val="both"/>
        <w:rPr>
          <w:rFonts w:cstheme="minorHAnsi"/>
          <w:sz w:val="24"/>
          <w:szCs w:val="24"/>
        </w:rPr>
      </w:pPr>
      <w:r w:rsidRPr="002C6E27">
        <w:rPr>
          <w:rFonts w:cstheme="minorHAnsi"/>
          <w:sz w:val="24"/>
          <w:szCs w:val="24"/>
        </w:rPr>
        <w:t>Tipificación del acoso laboral.</w:t>
      </w:r>
    </w:p>
    <w:p w14:paraId="3A99A031" w14:textId="77777777" w:rsidR="001D155C" w:rsidRPr="002C6E27" w:rsidRDefault="001D155C" w:rsidP="00971AB4">
      <w:pPr>
        <w:numPr>
          <w:ilvl w:val="0"/>
          <w:numId w:val="24"/>
        </w:numPr>
        <w:spacing w:after="0" w:line="240" w:lineRule="auto"/>
        <w:jc w:val="both"/>
        <w:rPr>
          <w:rFonts w:cstheme="minorHAnsi"/>
          <w:sz w:val="24"/>
          <w:szCs w:val="24"/>
        </w:rPr>
      </w:pPr>
      <w:r w:rsidRPr="002C6E27">
        <w:rPr>
          <w:rFonts w:cstheme="minorHAnsi"/>
          <w:sz w:val="24"/>
          <w:szCs w:val="24"/>
        </w:rPr>
        <w:t>Protocolo de actuación ante discriminación y violencia en el trabajo (Decreto 96/2023).</w:t>
      </w:r>
    </w:p>
    <w:p w14:paraId="32A350BE" w14:textId="77777777" w:rsidR="001D155C" w:rsidRPr="002C6E27" w:rsidRDefault="001D155C" w:rsidP="00971AB4">
      <w:pPr>
        <w:numPr>
          <w:ilvl w:val="0"/>
          <w:numId w:val="24"/>
        </w:numPr>
        <w:spacing w:after="0" w:line="240" w:lineRule="auto"/>
        <w:jc w:val="both"/>
        <w:rPr>
          <w:rFonts w:cstheme="minorHAnsi"/>
          <w:sz w:val="24"/>
          <w:szCs w:val="24"/>
        </w:rPr>
      </w:pPr>
      <w:r w:rsidRPr="002C6E27">
        <w:rPr>
          <w:rFonts w:cstheme="minorHAnsi"/>
          <w:sz w:val="24"/>
          <w:szCs w:val="24"/>
        </w:rPr>
        <w:lastRenderedPageBreak/>
        <w:t>Creación del Observatorio Social y Laboral.</w:t>
      </w:r>
    </w:p>
    <w:p w14:paraId="3E5D53CD" w14:textId="77777777" w:rsidR="001D155C" w:rsidRPr="00AD2AEA" w:rsidRDefault="001D155C" w:rsidP="00971AB4">
      <w:pPr>
        <w:spacing w:after="0" w:line="240" w:lineRule="auto"/>
        <w:jc w:val="both"/>
        <w:rPr>
          <w:rFonts w:cstheme="minorHAnsi"/>
          <w:sz w:val="24"/>
          <w:szCs w:val="24"/>
        </w:rPr>
      </w:pPr>
    </w:p>
    <w:p w14:paraId="1D64C3F4"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La protección se extiende al sector estatal y no estatal, reforzando la igualdad de oportunidades y condiciones laborales.</w:t>
      </w:r>
    </w:p>
    <w:p w14:paraId="3DBE315F" w14:textId="77777777" w:rsidR="001D155C" w:rsidRPr="00AD2AEA" w:rsidRDefault="001D155C" w:rsidP="00971AB4">
      <w:pPr>
        <w:spacing w:after="0" w:line="240" w:lineRule="auto"/>
        <w:jc w:val="both"/>
        <w:rPr>
          <w:rFonts w:cstheme="minorHAnsi"/>
          <w:b/>
          <w:bCs/>
          <w:sz w:val="24"/>
          <w:szCs w:val="24"/>
        </w:rPr>
      </w:pPr>
    </w:p>
    <w:p w14:paraId="4478D929"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d)</w:t>
      </w:r>
      <w:r w:rsidRPr="00AD2AEA">
        <w:rPr>
          <w:rFonts w:cstheme="minorHAnsi"/>
          <w:b/>
          <w:bCs/>
          <w:sz w:val="24"/>
          <w:szCs w:val="24"/>
        </w:rPr>
        <w:t xml:space="preserve"> En</w:t>
      </w:r>
      <w:r w:rsidRPr="002C6E27">
        <w:rPr>
          <w:rFonts w:cstheme="minorHAnsi"/>
          <w:b/>
          <w:bCs/>
          <w:sz w:val="24"/>
          <w:szCs w:val="24"/>
        </w:rPr>
        <w:t xml:space="preserve"> Derecho a la salud</w:t>
      </w:r>
    </w:p>
    <w:p w14:paraId="6B2FD6F4" w14:textId="77777777" w:rsidR="001D155C" w:rsidRPr="002C6E27" w:rsidRDefault="001D155C" w:rsidP="00971AB4">
      <w:pPr>
        <w:numPr>
          <w:ilvl w:val="0"/>
          <w:numId w:val="25"/>
        </w:numPr>
        <w:spacing w:after="0" w:line="240" w:lineRule="auto"/>
        <w:jc w:val="both"/>
        <w:rPr>
          <w:rFonts w:cstheme="minorHAnsi"/>
          <w:sz w:val="24"/>
          <w:szCs w:val="24"/>
        </w:rPr>
      </w:pPr>
      <w:r w:rsidRPr="002C6E27">
        <w:rPr>
          <w:rFonts w:cstheme="minorHAnsi"/>
          <w:sz w:val="24"/>
          <w:szCs w:val="24"/>
        </w:rPr>
        <w:t>Sistema Nacional de Salud universal y gratuito.</w:t>
      </w:r>
    </w:p>
    <w:p w14:paraId="25563F69" w14:textId="77777777" w:rsidR="001D155C" w:rsidRPr="002C6E27" w:rsidRDefault="001D155C" w:rsidP="00971AB4">
      <w:pPr>
        <w:numPr>
          <w:ilvl w:val="0"/>
          <w:numId w:val="25"/>
        </w:numPr>
        <w:spacing w:after="0" w:line="240" w:lineRule="auto"/>
        <w:jc w:val="both"/>
        <w:rPr>
          <w:rFonts w:cstheme="minorHAnsi"/>
          <w:sz w:val="24"/>
          <w:szCs w:val="24"/>
        </w:rPr>
      </w:pPr>
      <w:r w:rsidRPr="002C6E27">
        <w:rPr>
          <w:rFonts w:cstheme="minorHAnsi"/>
          <w:sz w:val="24"/>
          <w:szCs w:val="24"/>
        </w:rPr>
        <w:t>8,5 médicos por cada mil habitantes.</w:t>
      </w:r>
    </w:p>
    <w:p w14:paraId="78CB60DA" w14:textId="77777777" w:rsidR="001D155C" w:rsidRPr="002C6E27" w:rsidRDefault="001D155C" w:rsidP="00971AB4">
      <w:pPr>
        <w:numPr>
          <w:ilvl w:val="0"/>
          <w:numId w:val="25"/>
        </w:numPr>
        <w:spacing w:after="0" w:line="240" w:lineRule="auto"/>
        <w:jc w:val="both"/>
        <w:rPr>
          <w:rFonts w:cstheme="minorHAnsi"/>
          <w:sz w:val="24"/>
          <w:szCs w:val="24"/>
        </w:rPr>
      </w:pPr>
      <w:r w:rsidRPr="002C6E27">
        <w:rPr>
          <w:rFonts w:cstheme="minorHAnsi"/>
          <w:sz w:val="24"/>
          <w:szCs w:val="24"/>
        </w:rPr>
        <w:t>90,7 % de población con esquema completo de vacunación COVID-19.</w:t>
      </w:r>
    </w:p>
    <w:p w14:paraId="2D4F96DD" w14:textId="77777777" w:rsidR="001D155C" w:rsidRPr="002C6E27" w:rsidRDefault="001D155C" w:rsidP="00971AB4">
      <w:pPr>
        <w:numPr>
          <w:ilvl w:val="0"/>
          <w:numId w:val="25"/>
        </w:numPr>
        <w:spacing w:after="0" w:line="240" w:lineRule="auto"/>
        <w:jc w:val="both"/>
        <w:rPr>
          <w:rFonts w:cstheme="minorHAnsi"/>
          <w:sz w:val="24"/>
          <w:szCs w:val="24"/>
        </w:rPr>
      </w:pPr>
      <w:r w:rsidRPr="002C6E27">
        <w:rPr>
          <w:rFonts w:cstheme="minorHAnsi"/>
          <w:sz w:val="24"/>
          <w:szCs w:val="24"/>
        </w:rPr>
        <w:t>Eliminación de la transmisión materno-infantil del VIH validada por la OMS.</w:t>
      </w:r>
    </w:p>
    <w:p w14:paraId="615B65F0" w14:textId="77777777" w:rsidR="001D155C" w:rsidRPr="002C6E27" w:rsidRDefault="001D155C" w:rsidP="00971AB4">
      <w:pPr>
        <w:numPr>
          <w:ilvl w:val="0"/>
          <w:numId w:val="25"/>
        </w:numPr>
        <w:spacing w:after="0" w:line="240" w:lineRule="auto"/>
        <w:jc w:val="both"/>
        <w:rPr>
          <w:rFonts w:cstheme="minorHAnsi"/>
          <w:sz w:val="24"/>
          <w:szCs w:val="24"/>
        </w:rPr>
      </w:pPr>
      <w:r w:rsidRPr="002C6E27">
        <w:rPr>
          <w:rFonts w:cstheme="minorHAnsi"/>
          <w:sz w:val="24"/>
          <w:szCs w:val="24"/>
        </w:rPr>
        <w:t>Inversión presupuestaria sostenida (23–26 % del presupuesto).</w:t>
      </w:r>
    </w:p>
    <w:p w14:paraId="0A62973C" w14:textId="77777777" w:rsidR="001D155C" w:rsidRPr="00AD2AEA" w:rsidRDefault="001D155C" w:rsidP="00971AB4">
      <w:pPr>
        <w:spacing w:after="0" w:line="240" w:lineRule="auto"/>
        <w:jc w:val="both"/>
        <w:rPr>
          <w:rFonts w:cstheme="minorHAnsi"/>
          <w:sz w:val="24"/>
          <w:szCs w:val="24"/>
        </w:rPr>
      </w:pPr>
    </w:p>
    <w:p w14:paraId="0350939F"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La cobertura universal sin distinción constituye una expresión concreta de igualdad sustantiva.</w:t>
      </w:r>
    </w:p>
    <w:p w14:paraId="453BDE6D" w14:textId="77777777" w:rsidR="001D155C" w:rsidRPr="00AD2AEA" w:rsidRDefault="001D155C" w:rsidP="00971AB4">
      <w:pPr>
        <w:spacing w:after="0" w:line="240" w:lineRule="auto"/>
        <w:jc w:val="both"/>
        <w:rPr>
          <w:rFonts w:cstheme="minorHAnsi"/>
          <w:b/>
          <w:bCs/>
          <w:sz w:val="24"/>
          <w:szCs w:val="24"/>
        </w:rPr>
      </w:pPr>
    </w:p>
    <w:p w14:paraId="24D0E720"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 xml:space="preserve">e) </w:t>
      </w:r>
      <w:r w:rsidRPr="00AD2AEA">
        <w:rPr>
          <w:rFonts w:cstheme="minorHAnsi"/>
          <w:b/>
          <w:bCs/>
          <w:sz w:val="24"/>
          <w:szCs w:val="24"/>
        </w:rPr>
        <w:t xml:space="preserve">En el </w:t>
      </w:r>
      <w:r w:rsidRPr="002C6E27">
        <w:rPr>
          <w:rFonts w:cstheme="minorHAnsi"/>
          <w:b/>
          <w:bCs/>
          <w:sz w:val="24"/>
          <w:szCs w:val="24"/>
        </w:rPr>
        <w:t>Derecho a la educación</w:t>
      </w:r>
    </w:p>
    <w:p w14:paraId="7D3F73D7" w14:textId="77777777" w:rsidR="001D155C" w:rsidRPr="002C6E27" w:rsidRDefault="001D155C" w:rsidP="00971AB4">
      <w:pPr>
        <w:numPr>
          <w:ilvl w:val="0"/>
          <w:numId w:val="26"/>
        </w:numPr>
        <w:spacing w:after="0" w:line="240" w:lineRule="auto"/>
        <w:jc w:val="both"/>
        <w:rPr>
          <w:rFonts w:cstheme="minorHAnsi"/>
          <w:sz w:val="24"/>
          <w:szCs w:val="24"/>
        </w:rPr>
      </w:pPr>
      <w:r w:rsidRPr="002C6E27">
        <w:rPr>
          <w:rFonts w:cstheme="minorHAnsi"/>
          <w:sz w:val="24"/>
          <w:szCs w:val="24"/>
        </w:rPr>
        <w:t>Educación gratuita en todos los niveles.</w:t>
      </w:r>
    </w:p>
    <w:p w14:paraId="064BE84F" w14:textId="77777777" w:rsidR="001D155C" w:rsidRPr="002C6E27" w:rsidRDefault="001D155C" w:rsidP="00971AB4">
      <w:pPr>
        <w:numPr>
          <w:ilvl w:val="0"/>
          <w:numId w:val="26"/>
        </w:numPr>
        <w:spacing w:after="0" w:line="240" w:lineRule="auto"/>
        <w:jc w:val="both"/>
        <w:rPr>
          <w:rFonts w:cstheme="minorHAnsi"/>
          <w:sz w:val="24"/>
          <w:szCs w:val="24"/>
        </w:rPr>
      </w:pPr>
      <w:r w:rsidRPr="002C6E27">
        <w:rPr>
          <w:rFonts w:cstheme="minorHAnsi"/>
          <w:sz w:val="24"/>
          <w:szCs w:val="24"/>
        </w:rPr>
        <w:t>Tasa de alfabetización de 99,8 %.</w:t>
      </w:r>
    </w:p>
    <w:p w14:paraId="291BD313" w14:textId="77777777" w:rsidR="001D155C" w:rsidRPr="002C6E27" w:rsidRDefault="001D155C" w:rsidP="00971AB4">
      <w:pPr>
        <w:numPr>
          <w:ilvl w:val="0"/>
          <w:numId w:val="26"/>
        </w:numPr>
        <w:spacing w:after="0" w:line="240" w:lineRule="auto"/>
        <w:jc w:val="both"/>
        <w:rPr>
          <w:rFonts w:cstheme="minorHAnsi"/>
          <w:sz w:val="24"/>
          <w:szCs w:val="24"/>
        </w:rPr>
      </w:pPr>
      <w:r w:rsidRPr="002C6E27">
        <w:rPr>
          <w:rFonts w:cstheme="minorHAnsi"/>
          <w:sz w:val="24"/>
          <w:szCs w:val="24"/>
        </w:rPr>
        <w:t>Matrícula con representación proporcional por color de la piel.</w:t>
      </w:r>
    </w:p>
    <w:p w14:paraId="2B7D5878" w14:textId="77777777" w:rsidR="001D155C" w:rsidRPr="002C6E27" w:rsidRDefault="001D155C" w:rsidP="00971AB4">
      <w:pPr>
        <w:numPr>
          <w:ilvl w:val="0"/>
          <w:numId w:val="26"/>
        </w:numPr>
        <w:spacing w:after="0" w:line="240" w:lineRule="auto"/>
        <w:jc w:val="both"/>
        <w:rPr>
          <w:rFonts w:cstheme="minorHAnsi"/>
          <w:sz w:val="24"/>
          <w:szCs w:val="24"/>
        </w:rPr>
      </w:pPr>
      <w:r w:rsidRPr="002C6E27">
        <w:rPr>
          <w:rFonts w:cstheme="minorHAnsi"/>
          <w:sz w:val="24"/>
          <w:szCs w:val="24"/>
        </w:rPr>
        <w:t>Acciones específicas del Programa “Color Cubano”.</w:t>
      </w:r>
    </w:p>
    <w:p w14:paraId="02B7C1E6" w14:textId="77777777" w:rsidR="001D155C" w:rsidRPr="00AD2AEA" w:rsidRDefault="001D155C" w:rsidP="00971AB4">
      <w:pPr>
        <w:spacing w:after="0" w:line="240" w:lineRule="auto"/>
        <w:jc w:val="both"/>
        <w:rPr>
          <w:rFonts w:cstheme="minorHAnsi"/>
          <w:sz w:val="24"/>
          <w:szCs w:val="24"/>
        </w:rPr>
      </w:pPr>
    </w:p>
    <w:p w14:paraId="5E9640E9" w14:textId="77777777" w:rsidR="001D155C" w:rsidRPr="002C6E27" w:rsidRDefault="001D155C" w:rsidP="00971AB4">
      <w:pPr>
        <w:spacing w:after="0" w:line="240" w:lineRule="auto"/>
        <w:jc w:val="both"/>
        <w:rPr>
          <w:rFonts w:cstheme="minorHAnsi"/>
          <w:sz w:val="24"/>
          <w:szCs w:val="24"/>
        </w:rPr>
      </w:pPr>
      <w:r w:rsidRPr="002C6E27">
        <w:rPr>
          <w:rFonts w:cstheme="minorHAnsi"/>
          <w:sz w:val="24"/>
          <w:szCs w:val="24"/>
        </w:rPr>
        <w:t>Estos indicadores reflejan equidad estructural en el acceso y permanencia en el sistema educativo.</w:t>
      </w:r>
    </w:p>
    <w:p w14:paraId="454518DE" w14:textId="77777777" w:rsidR="001D155C" w:rsidRPr="00AD2AEA" w:rsidRDefault="001D155C" w:rsidP="00971AB4">
      <w:pPr>
        <w:spacing w:after="0" w:line="240" w:lineRule="auto"/>
        <w:jc w:val="both"/>
        <w:rPr>
          <w:rFonts w:cstheme="minorHAnsi"/>
          <w:b/>
          <w:bCs/>
          <w:sz w:val="24"/>
          <w:szCs w:val="24"/>
        </w:rPr>
      </w:pPr>
    </w:p>
    <w:p w14:paraId="06D7CE8D"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 xml:space="preserve">f) </w:t>
      </w:r>
      <w:r w:rsidRPr="00AD2AEA">
        <w:rPr>
          <w:rFonts w:cstheme="minorHAnsi"/>
          <w:b/>
          <w:bCs/>
          <w:sz w:val="24"/>
          <w:szCs w:val="24"/>
        </w:rPr>
        <w:t xml:space="preserve">En los </w:t>
      </w:r>
      <w:r w:rsidRPr="002C6E27">
        <w:rPr>
          <w:rFonts w:cstheme="minorHAnsi"/>
          <w:b/>
          <w:bCs/>
          <w:sz w:val="24"/>
          <w:szCs w:val="24"/>
        </w:rPr>
        <w:t>Derechos culturales y acceso a espacios públicos</w:t>
      </w:r>
    </w:p>
    <w:p w14:paraId="201B98CB" w14:textId="77777777" w:rsidR="001D155C" w:rsidRPr="002C6E27" w:rsidRDefault="001D155C" w:rsidP="00971AB4">
      <w:pPr>
        <w:numPr>
          <w:ilvl w:val="0"/>
          <w:numId w:val="27"/>
        </w:numPr>
        <w:spacing w:after="0" w:line="240" w:lineRule="auto"/>
        <w:jc w:val="both"/>
        <w:rPr>
          <w:rFonts w:cstheme="minorHAnsi"/>
          <w:sz w:val="24"/>
          <w:szCs w:val="24"/>
        </w:rPr>
      </w:pPr>
      <w:r w:rsidRPr="002C6E27">
        <w:rPr>
          <w:rFonts w:cstheme="minorHAnsi"/>
          <w:sz w:val="24"/>
          <w:szCs w:val="24"/>
        </w:rPr>
        <w:t>Reconocimiento constitucional del derecho a participar en la vida cultural.</w:t>
      </w:r>
    </w:p>
    <w:p w14:paraId="5DC1659B" w14:textId="77777777" w:rsidR="001D155C" w:rsidRPr="002C6E27" w:rsidRDefault="001D155C" w:rsidP="00971AB4">
      <w:pPr>
        <w:numPr>
          <w:ilvl w:val="0"/>
          <w:numId w:val="27"/>
        </w:numPr>
        <w:spacing w:after="0" w:line="240" w:lineRule="auto"/>
        <w:jc w:val="both"/>
        <w:rPr>
          <w:rFonts w:cstheme="minorHAnsi"/>
          <w:sz w:val="24"/>
          <w:szCs w:val="24"/>
        </w:rPr>
      </w:pPr>
      <w:r w:rsidRPr="002C6E27">
        <w:rPr>
          <w:rFonts w:cstheme="minorHAnsi"/>
          <w:sz w:val="24"/>
          <w:szCs w:val="24"/>
        </w:rPr>
        <w:t>Prohibición de criterios discriminatorios en el acceso a servicios y espacios públicos.</w:t>
      </w:r>
    </w:p>
    <w:p w14:paraId="5F63DE8C" w14:textId="77777777" w:rsidR="001D155C" w:rsidRPr="002C6E27" w:rsidRDefault="001D155C" w:rsidP="00971AB4">
      <w:pPr>
        <w:numPr>
          <w:ilvl w:val="0"/>
          <w:numId w:val="27"/>
        </w:numPr>
        <w:spacing w:after="0" w:line="240" w:lineRule="auto"/>
        <w:jc w:val="both"/>
        <w:rPr>
          <w:rFonts w:cstheme="minorHAnsi"/>
          <w:sz w:val="24"/>
          <w:szCs w:val="24"/>
        </w:rPr>
      </w:pPr>
      <w:r w:rsidRPr="002C6E27">
        <w:rPr>
          <w:rFonts w:cstheme="minorHAnsi"/>
          <w:sz w:val="24"/>
          <w:szCs w:val="24"/>
        </w:rPr>
        <w:t>Promoción activa de la identidad afrodescendiente en programas académicos y culturales.</w:t>
      </w:r>
    </w:p>
    <w:p w14:paraId="172C5940" w14:textId="77777777" w:rsidR="00AD2AEA" w:rsidRDefault="00AD2AEA" w:rsidP="00971AB4">
      <w:pPr>
        <w:spacing w:after="0" w:line="240" w:lineRule="auto"/>
        <w:jc w:val="both"/>
        <w:rPr>
          <w:rFonts w:cstheme="minorHAnsi"/>
          <w:b/>
          <w:bCs/>
          <w:sz w:val="24"/>
          <w:szCs w:val="24"/>
        </w:rPr>
      </w:pPr>
    </w:p>
    <w:p w14:paraId="4985FA14" w14:textId="6185C68B" w:rsidR="001D155C" w:rsidRPr="00971AB4" w:rsidRDefault="001D155C" w:rsidP="00971AB4">
      <w:pPr>
        <w:spacing w:after="0" w:line="240" w:lineRule="auto"/>
        <w:jc w:val="both"/>
        <w:rPr>
          <w:rFonts w:cstheme="minorHAnsi"/>
          <w:b/>
          <w:bCs/>
          <w:sz w:val="24"/>
          <w:szCs w:val="24"/>
        </w:rPr>
      </w:pPr>
      <w:r w:rsidRPr="002C6E27">
        <w:rPr>
          <w:rFonts w:cstheme="minorHAnsi"/>
          <w:b/>
          <w:bCs/>
          <w:sz w:val="24"/>
          <w:szCs w:val="24"/>
        </w:rPr>
        <w:t>Protección judicial y recursos efectivos</w:t>
      </w:r>
    </w:p>
    <w:p w14:paraId="4B970972" w14:textId="08D2D937" w:rsidR="001D155C" w:rsidRPr="00AD2AEA" w:rsidRDefault="001D155C" w:rsidP="00971AB4">
      <w:pPr>
        <w:spacing w:after="0" w:line="240" w:lineRule="auto"/>
        <w:jc w:val="both"/>
        <w:rPr>
          <w:rFonts w:cstheme="minorHAnsi"/>
          <w:sz w:val="24"/>
          <w:szCs w:val="24"/>
        </w:rPr>
      </w:pPr>
      <w:r w:rsidRPr="002C6E27">
        <w:rPr>
          <w:rFonts w:cstheme="minorHAnsi"/>
          <w:sz w:val="24"/>
          <w:szCs w:val="24"/>
        </w:rPr>
        <w:t>La Constitución y la legislación complementaria fortalecen los mecanismos de protección efectiva frente a actos de discriminación, garantizando:</w:t>
      </w:r>
      <w:r w:rsidR="00AD2AEA">
        <w:rPr>
          <w:rFonts w:cstheme="minorHAnsi"/>
          <w:sz w:val="24"/>
          <w:szCs w:val="24"/>
        </w:rPr>
        <w:t xml:space="preserve"> El </w:t>
      </w:r>
      <w:r w:rsidRPr="002C6E27">
        <w:rPr>
          <w:rFonts w:cstheme="minorHAnsi"/>
          <w:sz w:val="24"/>
          <w:szCs w:val="24"/>
        </w:rPr>
        <w:t>Derecho a reclamar reparación ante tribunales.</w:t>
      </w:r>
      <w:r w:rsidR="00AD2AEA">
        <w:rPr>
          <w:rFonts w:cstheme="minorHAnsi"/>
          <w:sz w:val="24"/>
          <w:szCs w:val="24"/>
        </w:rPr>
        <w:t xml:space="preserve"> El </w:t>
      </w:r>
      <w:r w:rsidRPr="002C6E27">
        <w:rPr>
          <w:rFonts w:cstheme="minorHAnsi"/>
          <w:sz w:val="24"/>
          <w:szCs w:val="24"/>
        </w:rPr>
        <w:t>Derecho a formular quejas ante autoridades competentes.</w:t>
      </w:r>
      <w:r w:rsidR="00AD2AEA">
        <w:rPr>
          <w:rFonts w:cstheme="minorHAnsi"/>
          <w:sz w:val="24"/>
          <w:szCs w:val="24"/>
        </w:rPr>
        <w:t xml:space="preserve"> El </w:t>
      </w:r>
      <w:r w:rsidRPr="002C6E27">
        <w:rPr>
          <w:rFonts w:cstheme="minorHAnsi"/>
          <w:sz w:val="24"/>
          <w:szCs w:val="24"/>
        </w:rPr>
        <w:t>Fortalecimiento del habeas corpus.</w:t>
      </w:r>
      <w:r w:rsidR="00AD2AEA">
        <w:rPr>
          <w:rFonts w:cstheme="minorHAnsi"/>
          <w:sz w:val="24"/>
          <w:szCs w:val="24"/>
        </w:rPr>
        <w:t xml:space="preserve"> El </w:t>
      </w:r>
      <w:r w:rsidRPr="002C6E27">
        <w:rPr>
          <w:rFonts w:cstheme="minorHAnsi"/>
          <w:sz w:val="24"/>
          <w:szCs w:val="24"/>
        </w:rPr>
        <w:t>Reconocimiento de las víctimas como parte procesal con plenas garantías.</w:t>
      </w:r>
      <w:r w:rsidR="00971AB4">
        <w:rPr>
          <w:rFonts w:cstheme="minorHAnsi"/>
          <w:sz w:val="24"/>
          <w:szCs w:val="24"/>
        </w:rPr>
        <w:t xml:space="preserve"> </w:t>
      </w:r>
      <w:r w:rsidRPr="002C6E27">
        <w:rPr>
          <w:rFonts w:cstheme="minorHAnsi"/>
          <w:sz w:val="24"/>
          <w:szCs w:val="24"/>
        </w:rPr>
        <w:t>Se consolida así un sistema de recursos accesibles y efectivos conforme al estándar convencional.</w:t>
      </w:r>
    </w:p>
    <w:p w14:paraId="7C524329" w14:textId="77777777" w:rsidR="001D155C" w:rsidRPr="002C6E27" w:rsidRDefault="001D155C" w:rsidP="00971AB4">
      <w:pPr>
        <w:spacing w:after="0" w:line="240" w:lineRule="auto"/>
        <w:jc w:val="both"/>
        <w:rPr>
          <w:rFonts w:cstheme="minorHAnsi"/>
          <w:sz w:val="24"/>
          <w:szCs w:val="24"/>
        </w:rPr>
      </w:pPr>
    </w:p>
    <w:p w14:paraId="7AE7798C" w14:textId="77777777" w:rsidR="001D155C" w:rsidRPr="002C6E27" w:rsidRDefault="001D155C" w:rsidP="00971AB4">
      <w:pPr>
        <w:spacing w:after="0" w:line="240" w:lineRule="auto"/>
        <w:jc w:val="both"/>
        <w:rPr>
          <w:rFonts w:cstheme="minorHAnsi"/>
          <w:b/>
          <w:bCs/>
          <w:sz w:val="24"/>
          <w:szCs w:val="24"/>
        </w:rPr>
      </w:pPr>
      <w:r w:rsidRPr="002C6E27">
        <w:rPr>
          <w:rFonts w:cstheme="minorHAnsi"/>
          <w:b/>
          <w:bCs/>
          <w:sz w:val="24"/>
          <w:szCs w:val="24"/>
        </w:rPr>
        <w:t>Educación, cultura e información para combatir el racismo</w:t>
      </w:r>
    </w:p>
    <w:p w14:paraId="1D2EE13A" w14:textId="712BD0B4" w:rsidR="001D155C" w:rsidRPr="00AD2AEA" w:rsidRDefault="001D155C" w:rsidP="00971AB4">
      <w:pPr>
        <w:spacing w:after="0" w:line="240" w:lineRule="auto"/>
        <w:jc w:val="both"/>
        <w:rPr>
          <w:rFonts w:cstheme="minorHAnsi"/>
          <w:sz w:val="24"/>
          <w:szCs w:val="24"/>
        </w:rPr>
      </w:pPr>
      <w:r w:rsidRPr="002C6E27">
        <w:rPr>
          <w:rFonts w:cstheme="minorHAnsi"/>
          <w:sz w:val="24"/>
          <w:szCs w:val="24"/>
        </w:rPr>
        <w:t xml:space="preserve">Cuba </w:t>
      </w:r>
      <w:r w:rsidR="00AD2AEA">
        <w:rPr>
          <w:rFonts w:cstheme="minorHAnsi"/>
          <w:sz w:val="24"/>
          <w:szCs w:val="24"/>
        </w:rPr>
        <w:t xml:space="preserve">viene </w:t>
      </w:r>
      <w:r w:rsidRPr="002C6E27">
        <w:rPr>
          <w:rFonts w:cstheme="minorHAnsi"/>
          <w:sz w:val="24"/>
          <w:szCs w:val="24"/>
        </w:rPr>
        <w:t>desarrolla</w:t>
      </w:r>
      <w:r w:rsidR="00AD2AEA">
        <w:rPr>
          <w:rFonts w:cstheme="minorHAnsi"/>
          <w:sz w:val="24"/>
          <w:szCs w:val="24"/>
        </w:rPr>
        <w:t xml:space="preserve">ndo </w:t>
      </w:r>
      <w:r w:rsidRPr="002C6E27">
        <w:rPr>
          <w:rFonts w:cstheme="minorHAnsi"/>
          <w:sz w:val="24"/>
          <w:szCs w:val="24"/>
        </w:rPr>
        <w:t>una política sistemática de educación y transformación cultural orientada a la erradicación de prejuicios raciales</w:t>
      </w:r>
      <w:r w:rsidR="00AD2AEA">
        <w:rPr>
          <w:rFonts w:cstheme="minorHAnsi"/>
          <w:sz w:val="24"/>
          <w:szCs w:val="24"/>
        </w:rPr>
        <w:t xml:space="preserve"> tales como</w:t>
      </w:r>
      <w:r w:rsidRPr="002C6E27">
        <w:rPr>
          <w:rFonts w:cstheme="minorHAnsi"/>
          <w:sz w:val="24"/>
          <w:szCs w:val="24"/>
        </w:rPr>
        <w:t>:</w:t>
      </w:r>
    </w:p>
    <w:p w14:paraId="2A83412B" w14:textId="77777777" w:rsidR="001D155C" w:rsidRPr="002C6E27" w:rsidRDefault="001D155C" w:rsidP="00971AB4">
      <w:pPr>
        <w:spacing w:after="0" w:line="240" w:lineRule="auto"/>
        <w:jc w:val="both"/>
        <w:rPr>
          <w:rFonts w:cstheme="minorHAnsi"/>
          <w:sz w:val="24"/>
          <w:szCs w:val="24"/>
        </w:rPr>
      </w:pPr>
    </w:p>
    <w:p w14:paraId="0867D2F6" w14:textId="77777777" w:rsidR="001D155C" w:rsidRPr="002C6E27" w:rsidRDefault="001D155C" w:rsidP="00971AB4">
      <w:pPr>
        <w:numPr>
          <w:ilvl w:val="0"/>
          <w:numId w:val="29"/>
        </w:numPr>
        <w:spacing w:after="0" w:line="240" w:lineRule="auto"/>
        <w:jc w:val="both"/>
        <w:rPr>
          <w:rFonts w:cstheme="minorHAnsi"/>
          <w:sz w:val="24"/>
          <w:szCs w:val="24"/>
        </w:rPr>
      </w:pPr>
      <w:r w:rsidRPr="002C6E27">
        <w:rPr>
          <w:rFonts w:cstheme="minorHAnsi"/>
          <w:sz w:val="24"/>
          <w:szCs w:val="24"/>
        </w:rPr>
        <w:t>Programas educativos específicos contra la discriminación racial.</w:t>
      </w:r>
    </w:p>
    <w:p w14:paraId="1214CDA9" w14:textId="77777777" w:rsidR="001D155C" w:rsidRPr="002C6E27" w:rsidRDefault="001D155C" w:rsidP="00971AB4">
      <w:pPr>
        <w:numPr>
          <w:ilvl w:val="0"/>
          <w:numId w:val="29"/>
        </w:numPr>
        <w:spacing w:after="0" w:line="240" w:lineRule="auto"/>
        <w:jc w:val="both"/>
        <w:rPr>
          <w:rFonts w:cstheme="minorHAnsi"/>
          <w:sz w:val="24"/>
          <w:szCs w:val="24"/>
        </w:rPr>
      </w:pPr>
      <w:r w:rsidRPr="002C6E27">
        <w:rPr>
          <w:rFonts w:cstheme="minorHAnsi"/>
          <w:sz w:val="24"/>
          <w:szCs w:val="24"/>
        </w:rPr>
        <w:t>Inclusión curricular de la historia y contribución afrodescendiente.</w:t>
      </w:r>
    </w:p>
    <w:p w14:paraId="432278E7" w14:textId="77777777" w:rsidR="001D155C" w:rsidRPr="002C6E27" w:rsidRDefault="001D155C" w:rsidP="00971AB4">
      <w:pPr>
        <w:numPr>
          <w:ilvl w:val="0"/>
          <w:numId w:val="29"/>
        </w:numPr>
        <w:spacing w:after="0" w:line="240" w:lineRule="auto"/>
        <w:jc w:val="both"/>
        <w:rPr>
          <w:rFonts w:cstheme="minorHAnsi"/>
          <w:sz w:val="24"/>
          <w:szCs w:val="24"/>
        </w:rPr>
      </w:pPr>
      <w:r w:rsidRPr="002C6E27">
        <w:rPr>
          <w:rFonts w:cstheme="minorHAnsi"/>
          <w:sz w:val="24"/>
          <w:szCs w:val="24"/>
        </w:rPr>
        <w:t>Creación de cátedras antirracistas en universidades.</w:t>
      </w:r>
    </w:p>
    <w:p w14:paraId="1C850BB7" w14:textId="77777777" w:rsidR="001D155C" w:rsidRPr="002C6E27" w:rsidRDefault="001D155C" w:rsidP="00971AB4">
      <w:pPr>
        <w:numPr>
          <w:ilvl w:val="0"/>
          <w:numId w:val="29"/>
        </w:numPr>
        <w:spacing w:after="0" w:line="240" w:lineRule="auto"/>
        <w:jc w:val="both"/>
        <w:rPr>
          <w:rFonts w:cstheme="minorHAnsi"/>
          <w:sz w:val="24"/>
          <w:szCs w:val="24"/>
        </w:rPr>
      </w:pPr>
      <w:r w:rsidRPr="002C6E27">
        <w:rPr>
          <w:rFonts w:cstheme="minorHAnsi"/>
          <w:sz w:val="24"/>
          <w:szCs w:val="24"/>
        </w:rPr>
        <w:t>Acciones del Programa “Color Cubano”.</w:t>
      </w:r>
    </w:p>
    <w:p w14:paraId="371F1E22" w14:textId="77777777" w:rsidR="001D155C" w:rsidRPr="002C6E27" w:rsidRDefault="001D155C" w:rsidP="00971AB4">
      <w:pPr>
        <w:numPr>
          <w:ilvl w:val="0"/>
          <w:numId w:val="29"/>
        </w:numPr>
        <w:spacing w:after="0" w:line="240" w:lineRule="auto"/>
        <w:jc w:val="both"/>
        <w:rPr>
          <w:rFonts w:cstheme="minorHAnsi"/>
          <w:sz w:val="24"/>
          <w:szCs w:val="24"/>
        </w:rPr>
      </w:pPr>
      <w:r w:rsidRPr="002C6E27">
        <w:rPr>
          <w:rFonts w:cstheme="minorHAnsi"/>
          <w:sz w:val="24"/>
          <w:szCs w:val="24"/>
        </w:rPr>
        <w:t>Política editorial y mediática orientada a la no discriminación.</w:t>
      </w:r>
    </w:p>
    <w:p w14:paraId="3FD3D019" w14:textId="77777777" w:rsidR="001D155C" w:rsidRPr="002C6E27" w:rsidRDefault="001D155C" w:rsidP="00971AB4">
      <w:pPr>
        <w:numPr>
          <w:ilvl w:val="0"/>
          <w:numId w:val="29"/>
        </w:numPr>
        <w:spacing w:after="0" w:line="240" w:lineRule="auto"/>
        <w:jc w:val="both"/>
        <w:rPr>
          <w:rFonts w:cstheme="minorHAnsi"/>
          <w:sz w:val="24"/>
          <w:szCs w:val="24"/>
        </w:rPr>
      </w:pPr>
      <w:r w:rsidRPr="002C6E27">
        <w:rPr>
          <w:rFonts w:cstheme="minorHAnsi"/>
          <w:sz w:val="24"/>
          <w:szCs w:val="24"/>
        </w:rPr>
        <w:t>Organización de eventos internacionales en el marco del Decenio Internacional de los Afrodescendientes.</w:t>
      </w:r>
    </w:p>
    <w:p w14:paraId="3BE32F71" w14:textId="77777777" w:rsidR="001D155C" w:rsidRPr="00AD2AEA" w:rsidRDefault="001D155C" w:rsidP="00971AB4">
      <w:pPr>
        <w:spacing w:after="0" w:line="240" w:lineRule="auto"/>
        <w:jc w:val="both"/>
        <w:rPr>
          <w:rFonts w:cstheme="minorHAnsi"/>
          <w:sz w:val="24"/>
          <w:szCs w:val="24"/>
        </w:rPr>
      </w:pPr>
    </w:p>
    <w:p w14:paraId="2E67E6A9" w14:textId="0000601D" w:rsidR="001D155C" w:rsidRPr="00AD2AEA" w:rsidRDefault="001D155C" w:rsidP="00971AB4">
      <w:pPr>
        <w:spacing w:after="0" w:line="240" w:lineRule="auto"/>
        <w:jc w:val="both"/>
        <w:rPr>
          <w:rFonts w:cstheme="minorHAnsi"/>
          <w:sz w:val="24"/>
          <w:szCs w:val="24"/>
        </w:rPr>
      </w:pPr>
      <w:r w:rsidRPr="002C6E27">
        <w:rPr>
          <w:rFonts w:cstheme="minorHAnsi"/>
          <w:sz w:val="24"/>
          <w:szCs w:val="24"/>
        </w:rPr>
        <w:t>La articulación entre sistema educativo, cultura, academia y medios de comunicación demuestra una estrategia integral de transformación social de largo alcance.</w:t>
      </w:r>
    </w:p>
    <w:p w14:paraId="6308A9D9" w14:textId="77777777" w:rsidR="001D155C" w:rsidRPr="002C6E27" w:rsidRDefault="001D155C" w:rsidP="00971AB4">
      <w:pPr>
        <w:spacing w:after="0" w:line="240" w:lineRule="auto"/>
        <w:jc w:val="both"/>
        <w:rPr>
          <w:rFonts w:cstheme="minorHAnsi"/>
          <w:sz w:val="24"/>
          <w:szCs w:val="24"/>
        </w:rPr>
      </w:pPr>
    </w:p>
    <w:p w14:paraId="57A3B991" w14:textId="3BD7C3D4" w:rsidR="00AD2AEA" w:rsidRPr="00AD2AEA" w:rsidRDefault="001D155C" w:rsidP="00971AB4">
      <w:pPr>
        <w:spacing w:after="0" w:line="240" w:lineRule="auto"/>
        <w:jc w:val="both"/>
        <w:rPr>
          <w:rFonts w:cstheme="minorHAnsi"/>
          <w:b/>
          <w:bCs/>
          <w:sz w:val="24"/>
          <w:szCs w:val="24"/>
        </w:rPr>
      </w:pPr>
      <w:r w:rsidRPr="002C6E27">
        <w:rPr>
          <w:rFonts w:cstheme="minorHAnsi"/>
          <w:b/>
          <w:bCs/>
          <w:sz w:val="24"/>
          <w:szCs w:val="24"/>
        </w:rPr>
        <w:t>Conclusión</w:t>
      </w:r>
    </w:p>
    <w:p w14:paraId="46B5CB71" w14:textId="5010FF8A" w:rsidR="00AD2AEA" w:rsidRPr="00AD2AEA" w:rsidRDefault="00AD2AEA" w:rsidP="00971AB4">
      <w:pPr>
        <w:spacing w:after="0" w:line="240" w:lineRule="auto"/>
        <w:jc w:val="both"/>
        <w:rPr>
          <w:rFonts w:cstheme="minorHAnsi"/>
          <w:sz w:val="24"/>
          <w:szCs w:val="24"/>
        </w:rPr>
      </w:pPr>
      <w:r>
        <w:rPr>
          <w:rFonts w:cstheme="minorHAnsi"/>
          <w:sz w:val="24"/>
          <w:szCs w:val="24"/>
        </w:rPr>
        <w:t>En cuba l</w:t>
      </w:r>
      <w:r w:rsidRPr="00AD2AEA">
        <w:rPr>
          <w:rFonts w:cstheme="minorHAnsi"/>
          <w:sz w:val="24"/>
          <w:szCs w:val="24"/>
        </w:rPr>
        <w:t>a constitucionalización del principio de igualdad, la reforma penal, la creación del Programa Nacional contra el Racismo y el fortalecimiento del acceso a la justicia configuran una arquitectura sólida de protección.</w:t>
      </w:r>
    </w:p>
    <w:p w14:paraId="474A8292" w14:textId="77777777" w:rsidR="00AD2AEA" w:rsidRPr="00AD2AEA" w:rsidRDefault="00AD2AEA" w:rsidP="00971AB4">
      <w:pPr>
        <w:spacing w:after="0" w:line="240" w:lineRule="auto"/>
        <w:jc w:val="both"/>
        <w:rPr>
          <w:rFonts w:cstheme="minorHAnsi"/>
          <w:sz w:val="24"/>
          <w:szCs w:val="24"/>
        </w:rPr>
      </w:pPr>
    </w:p>
    <w:p w14:paraId="1697AA4E" w14:textId="77777777" w:rsidR="00971AB4" w:rsidRDefault="00AD2AEA" w:rsidP="00971AB4">
      <w:pPr>
        <w:spacing w:after="0" w:line="240" w:lineRule="auto"/>
        <w:jc w:val="both"/>
        <w:rPr>
          <w:rFonts w:cstheme="minorHAnsi"/>
          <w:sz w:val="24"/>
          <w:szCs w:val="24"/>
        </w:rPr>
      </w:pPr>
      <w:r w:rsidRPr="00AD2AEA">
        <w:rPr>
          <w:rFonts w:cstheme="minorHAnsi"/>
          <w:sz w:val="24"/>
          <w:szCs w:val="24"/>
        </w:rPr>
        <w:t>La experiencia cubana ofrece un modelo singular en América Latina: un sistema que ha apostado históricamente por la igualdad universal y que hoy profundiza mecanismos especializados para perfeccionar esa apuesta.</w:t>
      </w:r>
      <w:r w:rsidR="00971AB4">
        <w:rPr>
          <w:rFonts w:cstheme="minorHAnsi"/>
          <w:sz w:val="24"/>
          <w:szCs w:val="24"/>
        </w:rPr>
        <w:t xml:space="preserve"> Se </w:t>
      </w:r>
      <w:r w:rsidR="001D155C" w:rsidRPr="002C6E27">
        <w:rPr>
          <w:rFonts w:cstheme="minorHAnsi"/>
          <w:sz w:val="24"/>
          <w:szCs w:val="24"/>
        </w:rPr>
        <w:t>evidencia un proceso sostenido de fortalecimiento constitucional, legislativo e institucional en cumplimiento de los artículos 1 al 7 de la Convención.</w:t>
      </w:r>
      <w:r>
        <w:rPr>
          <w:rFonts w:cstheme="minorHAnsi"/>
          <w:sz w:val="24"/>
          <w:szCs w:val="24"/>
        </w:rPr>
        <w:t xml:space="preserve"> </w:t>
      </w:r>
    </w:p>
    <w:p w14:paraId="1D16F0D3" w14:textId="77777777" w:rsidR="00971AB4" w:rsidRDefault="00971AB4" w:rsidP="00971AB4">
      <w:pPr>
        <w:spacing w:after="0" w:line="240" w:lineRule="auto"/>
        <w:jc w:val="both"/>
        <w:rPr>
          <w:rFonts w:cstheme="minorHAnsi"/>
          <w:sz w:val="24"/>
          <w:szCs w:val="24"/>
        </w:rPr>
      </w:pPr>
    </w:p>
    <w:p w14:paraId="1EBFB932" w14:textId="14218760" w:rsidR="00AD2AEA" w:rsidRPr="002C6E27" w:rsidRDefault="001D155C" w:rsidP="00971AB4">
      <w:pPr>
        <w:spacing w:after="0" w:line="240" w:lineRule="auto"/>
        <w:jc w:val="both"/>
        <w:rPr>
          <w:rFonts w:cstheme="minorHAnsi"/>
          <w:sz w:val="24"/>
          <w:szCs w:val="24"/>
        </w:rPr>
      </w:pPr>
      <w:r w:rsidRPr="002C6E27">
        <w:rPr>
          <w:rFonts w:cstheme="minorHAnsi"/>
          <w:sz w:val="24"/>
          <w:szCs w:val="24"/>
        </w:rPr>
        <w:t>Los avances más relevantes incluyen:</w:t>
      </w:r>
    </w:p>
    <w:p w14:paraId="7B2BED45" w14:textId="77777777" w:rsidR="001D155C" w:rsidRPr="002C6E27"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La constitucionalización explícita y reforzada del principio de igualdad.</w:t>
      </w:r>
    </w:p>
    <w:p w14:paraId="5F3A572B" w14:textId="77777777" w:rsidR="001D155C" w:rsidRPr="002C6E27"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La modernización integral del marco penal y procesal.</w:t>
      </w:r>
    </w:p>
    <w:p w14:paraId="5C2EE410" w14:textId="77777777" w:rsidR="001D155C" w:rsidRPr="002C6E27"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La creación e institucionalización del Programa Nacional contra el Racismo.</w:t>
      </w:r>
    </w:p>
    <w:p w14:paraId="0DF012AE" w14:textId="77777777" w:rsidR="001D155C" w:rsidRPr="002C6E27"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El establecimiento de mecanismos de evaluación y seguimiento.</w:t>
      </w:r>
    </w:p>
    <w:p w14:paraId="4E096105" w14:textId="77777777" w:rsidR="001D155C" w:rsidRPr="002C6E27"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La amplia cobertura universal en salud, educación y seguridad social.</w:t>
      </w:r>
    </w:p>
    <w:p w14:paraId="58DBE56A" w14:textId="77777777" w:rsidR="001D155C" w:rsidRPr="002C6E27"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La representación política inclusiva y diversa.</w:t>
      </w:r>
    </w:p>
    <w:p w14:paraId="6622C107" w14:textId="77777777" w:rsidR="00AD2AEA" w:rsidRDefault="001D155C" w:rsidP="00971AB4">
      <w:pPr>
        <w:numPr>
          <w:ilvl w:val="0"/>
          <w:numId w:val="30"/>
        </w:numPr>
        <w:spacing w:after="0" w:line="240" w:lineRule="auto"/>
        <w:jc w:val="both"/>
        <w:rPr>
          <w:rFonts w:cstheme="minorHAnsi"/>
          <w:sz w:val="24"/>
          <w:szCs w:val="24"/>
        </w:rPr>
      </w:pPr>
      <w:r w:rsidRPr="002C6E27">
        <w:rPr>
          <w:rFonts w:cstheme="minorHAnsi"/>
          <w:sz w:val="24"/>
          <w:szCs w:val="24"/>
        </w:rPr>
        <w:t>Estrategias educativas y culturales permanentes contra el racismo.</w:t>
      </w:r>
    </w:p>
    <w:p w14:paraId="0C4FA788" w14:textId="77777777" w:rsidR="00971AB4" w:rsidRDefault="00971AB4" w:rsidP="00971AB4">
      <w:pPr>
        <w:spacing w:after="0" w:line="240" w:lineRule="auto"/>
        <w:jc w:val="both"/>
        <w:rPr>
          <w:rFonts w:cstheme="minorHAnsi"/>
          <w:sz w:val="24"/>
          <w:szCs w:val="24"/>
        </w:rPr>
      </w:pPr>
    </w:p>
    <w:p w14:paraId="7B52CD4C" w14:textId="1BE3C6D5" w:rsidR="00AD2AEA" w:rsidRDefault="00AD2AEA" w:rsidP="00971AB4">
      <w:pPr>
        <w:spacing w:after="0" w:line="240" w:lineRule="auto"/>
        <w:jc w:val="both"/>
        <w:rPr>
          <w:rFonts w:cstheme="minorHAnsi"/>
          <w:sz w:val="24"/>
          <w:szCs w:val="24"/>
        </w:rPr>
      </w:pPr>
      <w:r w:rsidRPr="00AD2AEA">
        <w:rPr>
          <w:rFonts w:cstheme="minorHAnsi"/>
          <w:sz w:val="24"/>
          <w:szCs w:val="24"/>
        </w:rPr>
        <w:t>En su conjunto, estos elementos reflejan una política de Estado coherente, progresiva y orientada a consolidar la igualdad sustantiva, la cohesión social y el cumplimiento responsable de los compromisos internacionales asumidos.</w:t>
      </w:r>
    </w:p>
    <w:p w14:paraId="073F8618" w14:textId="77777777" w:rsidR="00AD2AEA" w:rsidRDefault="00AD2AEA" w:rsidP="00971AB4">
      <w:pPr>
        <w:spacing w:after="0" w:line="240" w:lineRule="auto"/>
        <w:jc w:val="both"/>
        <w:rPr>
          <w:rFonts w:cstheme="minorHAnsi"/>
          <w:sz w:val="24"/>
          <w:szCs w:val="24"/>
        </w:rPr>
      </w:pPr>
    </w:p>
    <w:p w14:paraId="7B87BCBA" w14:textId="71E36648" w:rsidR="00AD2AEA" w:rsidRPr="00AD2AEA" w:rsidRDefault="00AD2AEA" w:rsidP="00971AB4">
      <w:pPr>
        <w:spacing w:after="0" w:line="240" w:lineRule="auto"/>
        <w:jc w:val="both"/>
        <w:rPr>
          <w:rFonts w:cstheme="minorHAnsi"/>
          <w:sz w:val="24"/>
          <w:szCs w:val="24"/>
        </w:rPr>
      </w:pPr>
      <w:r w:rsidRPr="00AD2AEA">
        <w:rPr>
          <w:rFonts w:cstheme="minorHAnsi"/>
          <w:sz w:val="24"/>
          <w:szCs w:val="24"/>
        </w:rPr>
        <w:t xml:space="preserve">El contexto actual </w:t>
      </w:r>
      <w:r>
        <w:rPr>
          <w:rFonts w:cstheme="minorHAnsi"/>
          <w:sz w:val="24"/>
          <w:szCs w:val="24"/>
        </w:rPr>
        <w:t xml:space="preserve">para Cuba </w:t>
      </w:r>
      <w:r w:rsidRPr="00AD2AEA">
        <w:rPr>
          <w:rFonts w:cstheme="minorHAnsi"/>
          <w:sz w:val="24"/>
          <w:szCs w:val="24"/>
        </w:rPr>
        <w:t>ofrece una valiosa oportunidad para profundizar y consolidar los avances alcanzados, orientando los esfuerzos hacia la traducción progresiva de la igualdad jurídica ya garantizada en resultados</w:t>
      </w:r>
      <w:r>
        <w:rPr>
          <w:rFonts w:cstheme="minorHAnsi"/>
          <w:sz w:val="24"/>
          <w:szCs w:val="24"/>
        </w:rPr>
        <w:t xml:space="preserve"> cada vez más medibles. </w:t>
      </w:r>
      <w:r w:rsidRPr="00AD2AEA">
        <w:rPr>
          <w:rFonts w:cstheme="minorHAnsi"/>
          <w:sz w:val="24"/>
          <w:szCs w:val="24"/>
        </w:rPr>
        <w:t>Este proceso de fortalecimiento continuo contribuirá a afianzar la cohesión social, reforzar la legitimidad institucional y consolidar de manera integral la implementación de la Convención.</w:t>
      </w:r>
    </w:p>
    <w:p w14:paraId="6C7ABD4F" w14:textId="77777777" w:rsidR="00AD2AEA" w:rsidRPr="00AD2AEA" w:rsidRDefault="00AD2AEA" w:rsidP="00AD2AEA">
      <w:pPr>
        <w:spacing w:after="0" w:line="240" w:lineRule="auto"/>
        <w:rPr>
          <w:rFonts w:cstheme="minorHAnsi"/>
          <w:sz w:val="24"/>
          <w:szCs w:val="24"/>
        </w:rPr>
      </w:pPr>
    </w:p>
    <w:p w14:paraId="039D5298" w14:textId="77777777" w:rsidR="00D654D9" w:rsidRPr="00AD2AEA" w:rsidRDefault="00D654D9" w:rsidP="00D654D9">
      <w:pPr>
        <w:spacing w:after="0" w:line="240" w:lineRule="auto"/>
        <w:rPr>
          <w:rFonts w:cstheme="minorHAnsi"/>
          <w:sz w:val="24"/>
          <w:szCs w:val="24"/>
        </w:rPr>
      </w:pPr>
    </w:p>
    <w:p w14:paraId="26389552" w14:textId="1EADAB47" w:rsidR="00BE01CC" w:rsidRPr="00BE01CC" w:rsidRDefault="00BE01CC" w:rsidP="00BE01CC">
      <w:pPr>
        <w:tabs>
          <w:tab w:val="left" w:pos="2123"/>
        </w:tabs>
        <w:rPr>
          <w:rFonts w:cstheme="minorHAnsi"/>
          <w:sz w:val="24"/>
          <w:szCs w:val="24"/>
        </w:rPr>
      </w:pPr>
    </w:p>
    <w:sectPr w:rsidR="00BE01CC" w:rsidRPr="00BE01CC" w:rsidSect="00BE01CC">
      <w:footerReference w:type="default" r:id="rId7"/>
      <w:pgSz w:w="11906" w:h="16838"/>
      <w:pgMar w:top="851" w:right="1701" w:bottom="851"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7BB67" w14:textId="77777777" w:rsidR="006A16A7" w:rsidRDefault="006A16A7" w:rsidP="001D4A9D">
      <w:pPr>
        <w:spacing w:after="0" w:line="240" w:lineRule="auto"/>
      </w:pPr>
      <w:r>
        <w:separator/>
      </w:r>
    </w:p>
  </w:endnote>
  <w:endnote w:type="continuationSeparator" w:id="0">
    <w:p w14:paraId="3033F8D8" w14:textId="77777777" w:rsidR="006A16A7" w:rsidRDefault="006A16A7" w:rsidP="001D4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433F3" w14:textId="4E59B03E" w:rsidR="00BE01CC" w:rsidRDefault="00BE01CC" w:rsidP="00BE01CC">
    <w:pPr>
      <w:pStyle w:val="Piedepgina"/>
    </w:pPr>
  </w:p>
  <w:p w14:paraId="050160BC" w14:textId="77777777" w:rsidR="00BE01CC" w:rsidRDefault="00BE01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D4B53" w14:textId="77777777" w:rsidR="006A16A7" w:rsidRDefault="006A16A7" w:rsidP="001D4A9D">
      <w:pPr>
        <w:spacing w:after="0" w:line="240" w:lineRule="auto"/>
      </w:pPr>
      <w:r>
        <w:separator/>
      </w:r>
    </w:p>
  </w:footnote>
  <w:footnote w:type="continuationSeparator" w:id="0">
    <w:p w14:paraId="08CF8823" w14:textId="77777777" w:rsidR="006A16A7" w:rsidRDefault="006A16A7" w:rsidP="001D4A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6E4"/>
    <w:multiLevelType w:val="multilevel"/>
    <w:tmpl w:val="29FA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410C6E"/>
    <w:multiLevelType w:val="multilevel"/>
    <w:tmpl w:val="1BE4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FD1302"/>
    <w:multiLevelType w:val="multilevel"/>
    <w:tmpl w:val="C6CA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B2070"/>
    <w:multiLevelType w:val="multilevel"/>
    <w:tmpl w:val="244C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850B2"/>
    <w:multiLevelType w:val="multilevel"/>
    <w:tmpl w:val="26C8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423F69"/>
    <w:multiLevelType w:val="multilevel"/>
    <w:tmpl w:val="AEA2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310FD"/>
    <w:multiLevelType w:val="multilevel"/>
    <w:tmpl w:val="EC7C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73E3B"/>
    <w:multiLevelType w:val="multilevel"/>
    <w:tmpl w:val="623C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930E5"/>
    <w:multiLevelType w:val="multilevel"/>
    <w:tmpl w:val="E834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33891"/>
    <w:multiLevelType w:val="multilevel"/>
    <w:tmpl w:val="970E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D0D2D"/>
    <w:multiLevelType w:val="multilevel"/>
    <w:tmpl w:val="2F0C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560E"/>
    <w:multiLevelType w:val="multilevel"/>
    <w:tmpl w:val="330E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661ACE"/>
    <w:multiLevelType w:val="multilevel"/>
    <w:tmpl w:val="0BC0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D44558"/>
    <w:multiLevelType w:val="multilevel"/>
    <w:tmpl w:val="0118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66926"/>
    <w:multiLevelType w:val="multilevel"/>
    <w:tmpl w:val="496C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F7BB0"/>
    <w:multiLevelType w:val="multilevel"/>
    <w:tmpl w:val="B374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42EBA"/>
    <w:multiLevelType w:val="multilevel"/>
    <w:tmpl w:val="BB30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090E58"/>
    <w:multiLevelType w:val="multilevel"/>
    <w:tmpl w:val="0F6E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131107"/>
    <w:multiLevelType w:val="multilevel"/>
    <w:tmpl w:val="E2F8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CD4A1C"/>
    <w:multiLevelType w:val="multilevel"/>
    <w:tmpl w:val="A83E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147192"/>
    <w:multiLevelType w:val="multilevel"/>
    <w:tmpl w:val="8B24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06196A"/>
    <w:multiLevelType w:val="multilevel"/>
    <w:tmpl w:val="5B34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8425E"/>
    <w:multiLevelType w:val="multilevel"/>
    <w:tmpl w:val="C528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8482D"/>
    <w:multiLevelType w:val="multilevel"/>
    <w:tmpl w:val="2E62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601562"/>
    <w:multiLevelType w:val="multilevel"/>
    <w:tmpl w:val="198C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7D5C00"/>
    <w:multiLevelType w:val="multilevel"/>
    <w:tmpl w:val="8EA8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D7EAD"/>
    <w:multiLevelType w:val="multilevel"/>
    <w:tmpl w:val="28B0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635D3C"/>
    <w:multiLevelType w:val="multilevel"/>
    <w:tmpl w:val="4132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AB37C6"/>
    <w:multiLevelType w:val="multilevel"/>
    <w:tmpl w:val="BD5E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470542"/>
    <w:multiLevelType w:val="multilevel"/>
    <w:tmpl w:val="DB24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6882344">
    <w:abstractNumId w:val="20"/>
  </w:num>
  <w:num w:numId="2" w16cid:durableId="1971085464">
    <w:abstractNumId w:val="13"/>
  </w:num>
  <w:num w:numId="3" w16cid:durableId="498237066">
    <w:abstractNumId w:val="26"/>
  </w:num>
  <w:num w:numId="4" w16cid:durableId="1695304576">
    <w:abstractNumId w:val="19"/>
  </w:num>
  <w:num w:numId="5" w16cid:durableId="725221902">
    <w:abstractNumId w:val="9"/>
  </w:num>
  <w:num w:numId="6" w16cid:durableId="688605979">
    <w:abstractNumId w:val="16"/>
  </w:num>
  <w:num w:numId="7" w16cid:durableId="1701323838">
    <w:abstractNumId w:val="4"/>
  </w:num>
  <w:num w:numId="8" w16cid:durableId="1850218222">
    <w:abstractNumId w:val="3"/>
  </w:num>
  <w:num w:numId="9" w16cid:durableId="1765570771">
    <w:abstractNumId w:val="18"/>
  </w:num>
  <w:num w:numId="10" w16cid:durableId="348607326">
    <w:abstractNumId w:val="2"/>
  </w:num>
  <w:num w:numId="11" w16cid:durableId="244387645">
    <w:abstractNumId w:val="27"/>
  </w:num>
  <w:num w:numId="12" w16cid:durableId="2096120954">
    <w:abstractNumId w:val="22"/>
  </w:num>
  <w:num w:numId="13" w16cid:durableId="1078013690">
    <w:abstractNumId w:val="21"/>
  </w:num>
  <w:num w:numId="14" w16cid:durableId="1204638416">
    <w:abstractNumId w:val="29"/>
  </w:num>
  <w:num w:numId="15" w16cid:durableId="1705713971">
    <w:abstractNumId w:val="14"/>
  </w:num>
  <w:num w:numId="16" w16cid:durableId="116069113">
    <w:abstractNumId w:val="17"/>
  </w:num>
  <w:num w:numId="17" w16cid:durableId="820998751">
    <w:abstractNumId w:val="0"/>
  </w:num>
  <w:num w:numId="18" w16cid:durableId="727145839">
    <w:abstractNumId w:val="25"/>
  </w:num>
  <w:num w:numId="19" w16cid:durableId="160434010">
    <w:abstractNumId w:val="1"/>
  </w:num>
  <w:num w:numId="20" w16cid:durableId="1900282537">
    <w:abstractNumId w:val="7"/>
  </w:num>
  <w:num w:numId="21" w16cid:durableId="907806111">
    <w:abstractNumId w:val="10"/>
  </w:num>
  <w:num w:numId="22" w16cid:durableId="268784616">
    <w:abstractNumId w:val="15"/>
  </w:num>
  <w:num w:numId="23" w16cid:durableId="691107078">
    <w:abstractNumId w:val="6"/>
  </w:num>
  <w:num w:numId="24" w16cid:durableId="728118269">
    <w:abstractNumId w:val="12"/>
  </w:num>
  <w:num w:numId="25" w16cid:durableId="752627249">
    <w:abstractNumId w:val="5"/>
  </w:num>
  <w:num w:numId="26" w16cid:durableId="784233697">
    <w:abstractNumId w:val="24"/>
  </w:num>
  <w:num w:numId="27" w16cid:durableId="2083067573">
    <w:abstractNumId w:val="11"/>
  </w:num>
  <w:num w:numId="28" w16cid:durableId="548692807">
    <w:abstractNumId w:val="23"/>
  </w:num>
  <w:num w:numId="29" w16cid:durableId="1733966432">
    <w:abstractNumId w:val="28"/>
  </w:num>
  <w:num w:numId="30" w16cid:durableId="13205031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4D9"/>
    <w:rsid w:val="001D155C"/>
    <w:rsid w:val="001D4A9D"/>
    <w:rsid w:val="0026607E"/>
    <w:rsid w:val="00284B5E"/>
    <w:rsid w:val="00292DF6"/>
    <w:rsid w:val="002D2D92"/>
    <w:rsid w:val="003329D4"/>
    <w:rsid w:val="005F7494"/>
    <w:rsid w:val="00624D5B"/>
    <w:rsid w:val="006A16A7"/>
    <w:rsid w:val="00754871"/>
    <w:rsid w:val="0087391D"/>
    <w:rsid w:val="00971AB4"/>
    <w:rsid w:val="00A92049"/>
    <w:rsid w:val="00AD2AEA"/>
    <w:rsid w:val="00B13CAD"/>
    <w:rsid w:val="00BE01CC"/>
    <w:rsid w:val="00CF4857"/>
    <w:rsid w:val="00D654D9"/>
    <w:rsid w:val="00DC282E"/>
    <w:rsid w:val="00E15E2D"/>
    <w:rsid w:val="00F8335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143D4"/>
  <w15:chartTrackingRefBased/>
  <w15:docId w15:val="{0E934011-FAA8-46CB-AAD6-5B8857C3A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654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654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654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654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654D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654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654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654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654D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54D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654D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654D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654D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654D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654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654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654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654D9"/>
    <w:rPr>
      <w:rFonts w:eastAsiaTheme="majorEastAsia" w:cstheme="majorBidi"/>
      <w:color w:val="272727" w:themeColor="text1" w:themeTint="D8"/>
    </w:rPr>
  </w:style>
  <w:style w:type="paragraph" w:styleId="Ttulo">
    <w:name w:val="Title"/>
    <w:basedOn w:val="Normal"/>
    <w:next w:val="Normal"/>
    <w:link w:val="TtuloCar"/>
    <w:uiPriority w:val="10"/>
    <w:qFormat/>
    <w:rsid w:val="00D65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654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654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654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654D9"/>
    <w:pPr>
      <w:spacing w:before="160"/>
      <w:jc w:val="center"/>
    </w:pPr>
    <w:rPr>
      <w:i/>
      <w:iCs/>
      <w:color w:val="404040" w:themeColor="text1" w:themeTint="BF"/>
    </w:rPr>
  </w:style>
  <w:style w:type="character" w:customStyle="1" w:styleId="CitaCar">
    <w:name w:val="Cita Car"/>
    <w:basedOn w:val="Fuentedeprrafopredeter"/>
    <w:link w:val="Cita"/>
    <w:uiPriority w:val="29"/>
    <w:rsid w:val="00D654D9"/>
    <w:rPr>
      <w:i/>
      <w:iCs/>
      <w:color w:val="404040" w:themeColor="text1" w:themeTint="BF"/>
    </w:rPr>
  </w:style>
  <w:style w:type="paragraph" w:styleId="Prrafodelista">
    <w:name w:val="List Paragraph"/>
    <w:basedOn w:val="Normal"/>
    <w:uiPriority w:val="34"/>
    <w:qFormat/>
    <w:rsid w:val="00D654D9"/>
    <w:pPr>
      <w:ind w:left="720"/>
      <w:contextualSpacing/>
    </w:pPr>
  </w:style>
  <w:style w:type="character" w:styleId="nfasisintenso">
    <w:name w:val="Intense Emphasis"/>
    <w:basedOn w:val="Fuentedeprrafopredeter"/>
    <w:uiPriority w:val="21"/>
    <w:qFormat/>
    <w:rsid w:val="00D654D9"/>
    <w:rPr>
      <w:i/>
      <w:iCs/>
      <w:color w:val="2F5496" w:themeColor="accent1" w:themeShade="BF"/>
    </w:rPr>
  </w:style>
  <w:style w:type="paragraph" w:styleId="Citadestacada">
    <w:name w:val="Intense Quote"/>
    <w:basedOn w:val="Normal"/>
    <w:next w:val="Normal"/>
    <w:link w:val="CitadestacadaCar"/>
    <w:uiPriority w:val="30"/>
    <w:qFormat/>
    <w:rsid w:val="00D654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654D9"/>
    <w:rPr>
      <w:i/>
      <w:iCs/>
      <w:color w:val="2F5496" w:themeColor="accent1" w:themeShade="BF"/>
    </w:rPr>
  </w:style>
  <w:style w:type="character" w:styleId="Referenciaintensa">
    <w:name w:val="Intense Reference"/>
    <w:basedOn w:val="Fuentedeprrafopredeter"/>
    <w:uiPriority w:val="32"/>
    <w:qFormat/>
    <w:rsid w:val="00D654D9"/>
    <w:rPr>
      <w:b/>
      <w:bCs/>
      <w:smallCaps/>
      <w:color w:val="2F5496" w:themeColor="accent1" w:themeShade="BF"/>
      <w:spacing w:val="5"/>
    </w:rPr>
  </w:style>
  <w:style w:type="paragraph" w:styleId="Encabezado">
    <w:name w:val="header"/>
    <w:basedOn w:val="Normal"/>
    <w:link w:val="EncabezadoCar"/>
    <w:uiPriority w:val="99"/>
    <w:unhideWhenUsed/>
    <w:rsid w:val="001D4A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4A9D"/>
  </w:style>
  <w:style w:type="paragraph" w:styleId="Piedepgina">
    <w:name w:val="footer"/>
    <w:basedOn w:val="Normal"/>
    <w:link w:val="PiedepginaCar"/>
    <w:uiPriority w:val="99"/>
    <w:unhideWhenUsed/>
    <w:rsid w:val="001D4A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D4A9D"/>
  </w:style>
  <w:style w:type="character" w:styleId="Hipervnculo">
    <w:name w:val="Hyperlink"/>
    <w:basedOn w:val="Fuentedeprrafopredeter"/>
    <w:uiPriority w:val="99"/>
    <w:unhideWhenUsed/>
    <w:rsid w:val="00BE01CC"/>
    <w:rPr>
      <w:color w:val="0563C1" w:themeColor="hyperlink"/>
      <w:u w:val="single"/>
    </w:rPr>
  </w:style>
  <w:style w:type="character" w:styleId="Mencinsinresolver">
    <w:name w:val="Unresolved Mention"/>
    <w:basedOn w:val="Fuentedeprrafopredeter"/>
    <w:uiPriority w:val="99"/>
    <w:semiHidden/>
    <w:unhideWhenUsed/>
    <w:rsid w:val="00BE0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2623</Words>
  <Characters>14431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Maria Alva</dc:creator>
  <cp:keywords/>
  <dc:description/>
  <cp:lastModifiedBy>Rosa Maria Alva</cp:lastModifiedBy>
  <cp:revision>9</cp:revision>
  <dcterms:created xsi:type="dcterms:W3CDTF">2026-03-03T15:22:00Z</dcterms:created>
  <dcterms:modified xsi:type="dcterms:W3CDTF">2026-04-10T00:09:00Z</dcterms:modified>
</cp:coreProperties>
</file>