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03D" w:rsidRDefault="00AC7266">
      <w:pPr>
        <w:spacing w:line="360" w:lineRule="auto"/>
        <w:rPr>
          <w:rFonts w:ascii="Arial" w:eastAsia="Arial" w:hAnsi="Arial" w:cs="Arial"/>
          <w:sz w:val="22"/>
          <w:szCs w:val="22"/>
        </w:rPr>
      </w:pPr>
      <w:r>
        <w:rPr>
          <w:noProof/>
          <w:lang w:val="en-GB"/>
        </w:rPr>
        <w:drawing>
          <wp:anchor distT="114300" distB="114300" distL="114300" distR="114300" simplePos="0" relativeHeight="251658240" behindDoc="1" locked="0" layoutInCell="1" hidden="0" allowOverlap="1">
            <wp:simplePos x="0" y="0"/>
            <wp:positionH relativeFrom="column">
              <wp:posOffset>4400550</wp:posOffset>
            </wp:positionH>
            <wp:positionV relativeFrom="paragraph">
              <wp:posOffset>419100</wp:posOffset>
            </wp:positionV>
            <wp:extent cx="1304925" cy="26670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304925" cy="266700"/>
                    </a:xfrm>
                    <a:prstGeom prst="rect">
                      <a:avLst/>
                    </a:prstGeom>
                    <a:ln/>
                  </pic:spPr>
                </pic:pic>
              </a:graphicData>
            </a:graphic>
          </wp:anchor>
        </w:drawing>
      </w:r>
      <w:r>
        <w:rPr>
          <w:noProof/>
          <w:lang w:val="en-GB"/>
        </w:rPr>
        <w:drawing>
          <wp:anchor distT="114300" distB="114300" distL="114300" distR="114300" simplePos="0" relativeHeight="251659264" behindDoc="1" locked="0" layoutInCell="1" hidden="0" allowOverlap="1">
            <wp:simplePos x="0" y="0"/>
            <wp:positionH relativeFrom="column">
              <wp:posOffset>3233738</wp:posOffset>
            </wp:positionH>
            <wp:positionV relativeFrom="paragraph">
              <wp:posOffset>419100</wp:posOffset>
            </wp:positionV>
            <wp:extent cx="720000" cy="716022"/>
            <wp:effectExtent l="0" t="0" r="0" b="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720000" cy="716022"/>
                    </a:xfrm>
                    <a:prstGeom prst="rect">
                      <a:avLst/>
                    </a:prstGeom>
                    <a:ln/>
                  </pic:spPr>
                </pic:pic>
              </a:graphicData>
            </a:graphic>
          </wp:anchor>
        </w:drawing>
      </w:r>
      <w:r>
        <w:rPr>
          <w:noProof/>
          <w:lang w:val="en-GB"/>
        </w:rPr>
        <w:drawing>
          <wp:anchor distT="114300" distB="114300" distL="114300" distR="114300" simplePos="0" relativeHeight="251660288" behindDoc="1" locked="0" layoutInCell="1" hidden="0" allowOverlap="1">
            <wp:simplePos x="0" y="0"/>
            <wp:positionH relativeFrom="column">
              <wp:posOffset>1524000</wp:posOffset>
            </wp:positionH>
            <wp:positionV relativeFrom="paragraph">
              <wp:posOffset>419100</wp:posOffset>
            </wp:positionV>
            <wp:extent cx="1304925" cy="4699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304925" cy="469900"/>
                    </a:xfrm>
                    <a:prstGeom prst="rect">
                      <a:avLst/>
                    </a:prstGeom>
                    <a:ln/>
                  </pic:spPr>
                </pic:pic>
              </a:graphicData>
            </a:graphic>
          </wp:anchor>
        </w:drawing>
      </w:r>
    </w:p>
    <w:tbl>
      <w:tblPr>
        <w:tblStyle w:val="a"/>
        <w:tblW w:w="9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6"/>
        <w:gridCol w:w="2266"/>
        <w:gridCol w:w="2267"/>
        <w:gridCol w:w="2267"/>
      </w:tblGrid>
      <w:tr w:rsidR="0089603D">
        <w:tc>
          <w:tcPr>
            <w:tcW w:w="2266" w:type="dxa"/>
            <w:tcBorders>
              <w:top w:val="nil"/>
              <w:left w:val="single" w:sz="8" w:space="0" w:color="FFFFFF"/>
              <w:bottom w:val="nil"/>
              <w:right w:val="nil"/>
            </w:tcBorders>
            <w:shd w:val="clear" w:color="auto" w:fill="auto"/>
            <w:tcMar>
              <w:top w:w="100" w:type="dxa"/>
              <w:left w:w="100" w:type="dxa"/>
              <w:bottom w:w="100" w:type="dxa"/>
              <w:right w:w="100" w:type="dxa"/>
            </w:tcMar>
          </w:tcPr>
          <w:p w:rsidR="0089603D" w:rsidRDefault="00AC7266">
            <w:pPr>
              <w:widowControl w:val="0"/>
              <w:pBdr>
                <w:top w:val="nil"/>
                <w:left w:val="nil"/>
                <w:bottom w:val="nil"/>
                <w:right w:val="nil"/>
                <w:between w:val="nil"/>
              </w:pBdr>
              <w:spacing w:after="0" w:line="240" w:lineRule="auto"/>
              <w:jc w:val="center"/>
              <w:rPr>
                <w:rFonts w:ascii="Arial" w:eastAsia="Arial" w:hAnsi="Arial" w:cs="Arial"/>
                <w:sz w:val="22"/>
                <w:szCs w:val="22"/>
              </w:rPr>
            </w:pPr>
            <w:r>
              <w:rPr>
                <w:rFonts w:ascii="Arial" w:eastAsia="Arial" w:hAnsi="Arial" w:cs="Arial"/>
                <w:noProof/>
                <w:sz w:val="22"/>
                <w:szCs w:val="22"/>
                <w:lang w:val="en-GB"/>
              </w:rPr>
              <w:drawing>
                <wp:inline distT="114300" distB="114300" distL="114300" distR="114300">
                  <wp:extent cx="720000" cy="86178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720000" cy="861785"/>
                          </a:xfrm>
                          <a:prstGeom prst="rect">
                            <a:avLst/>
                          </a:prstGeom>
                          <a:ln/>
                        </pic:spPr>
                      </pic:pic>
                    </a:graphicData>
                  </a:graphic>
                </wp:inline>
              </w:drawing>
            </w:r>
          </w:p>
        </w:tc>
        <w:tc>
          <w:tcPr>
            <w:tcW w:w="2266" w:type="dxa"/>
            <w:tcBorders>
              <w:top w:val="nil"/>
              <w:left w:val="nil"/>
              <w:bottom w:val="nil"/>
              <w:right w:val="nil"/>
            </w:tcBorders>
            <w:shd w:val="clear" w:color="auto" w:fill="auto"/>
            <w:tcMar>
              <w:top w:w="100" w:type="dxa"/>
              <w:left w:w="100" w:type="dxa"/>
              <w:bottom w:w="100" w:type="dxa"/>
              <w:right w:w="100" w:type="dxa"/>
            </w:tcMar>
          </w:tcPr>
          <w:p w:rsidR="0089603D" w:rsidRDefault="0089603D">
            <w:pPr>
              <w:widowControl w:val="0"/>
              <w:pBdr>
                <w:top w:val="nil"/>
                <w:left w:val="nil"/>
                <w:bottom w:val="nil"/>
                <w:right w:val="nil"/>
                <w:between w:val="nil"/>
              </w:pBdr>
              <w:spacing w:after="0" w:line="240" w:lineRule="auto"/>
              <w:jc w:val="center"/>
              <w:rPr>
                <w:rFonts w:ascii="Arial" w:eastAsia="Arial" w:hAnsi="Arial" w:cs="Arial"/>
                <w:sz w:val="22"/>
                <w:szCs w:val="22"/>
              </w:rPr>
            </w:pPr>
          </w:p>
        </w:tc>
        <w:tc>
          <w:tcPr>
            <w:tcW w:w="2266" w:type="dxa"/>
            <w:tcBorders>
              <w:top w:val="nil"/>
              <w:left w:val="nil"/>
              <w:bottom w:val="nil"/>
              <w:right w:val="nil"/>
            </w:tcBorders>
            <w:shd w:val="clear" w:color="auto" w:fill="auto"/>
            <w:tcMar>
              <w:top w:w="100" w:type="dxa"/>
              <w:left w:w="100" w:type="dxa"/>
              <w:bottom w:w="100" w:type="dxa"/>
              <w:right w:w="100" w:type="dxa"/>
            </w:tcMar>
          </w:tcPr>
          <w:p w:rsidR="0089603D" w:rsidRDefault="0089603D">
            <w:pPr>
              <w:widowControl w:val="0"/>
              <w:pBdr>
                <w:top w:val="nil"/>
                <w:left w:val="nil"/>
                <w:bottom w:val="nil"/>
                <w:right w:val="nil"/>
                <w:between w:val="nil"/>
              </w:pBdr>
              <w:spacing w:after="0" w:line="240" w:lineRule="auto"/>
              <w:jc w:val="center"/>
              <w:rPr>
                <w:rFonts w:ascii="Arial" w:eastAsia="Arial" w:hAnsi="Arial" w:cs="Arial"/>
                <w:sz w:val="22"/>
                <w:szCs w:val="22"/>
              </w:rPr>
            </w:pPr>
          </w:p>
        </w:tc>
        <w:tc>
          <w:tcPr>
            <w:tcW w:w="2266" w:type="dxa"/>
            <w:tcBorders>
              <w:top w:val="nil"/>
              <w:left w:val="nil"/>
              <w:bottom w:val="nil"/>
              <w:right w:val="nil"/>
            </w:tcBorders>
            <w:shd w:val="clear" w:color="auto" w:fill="auto"/>
            <w:tcMar>
              <w:top w:w="100" w:type="dxa"/>
              <w:left w:w="100" w:type="dxa"/>
              <w:bottom w:w="100" w:type="dxa"/>
              <w:right w:w="100" w:type="dxa"/>
            </w:tcMar>
          </w:tcPr>
          <w:p w:rsidR="0089603D" w:rsidRDefault="0089603D">
            <w:pPr>
              <w:spacing w:line="360" w:lineRule="auto"/>
              <w:jc w:val="center"/>
              <w:rPr>
                <w:rFonts w:ascii="Arial" w:eastAsia="Arial" w:hAnsi="Arial" w:cs="Arial"/>
                <w:sz w:val="22"/>
                <w:szCs w:val="22"/>
              </w:rPr>
            </w:pPr>
          </w:p>
        </w:tc>
      </w:tr>
    </w:tbl>
    <w:p w:rsidR="0089603D" w:rsidRDefault="0089603D">
      <w:pPr>
        <w:spacing w:line="360" w:lineRule="auto"/>
        <w:rPr>
          <w:rFonts w:ascii="Arial" w:eastAsia="Arial" w:hAnsi="Arial" w:cs="Arial"/>
          <w:sz w:val="22"/>
          <w:szCs w:val="22"/>
        </w:rPr>
      </w:pPr>
    </w:p>
    <w:p w:rsidR="0089603D" w:rsidRDefault="00AC7266">
      <w:pPr>
        <w:pBdr>
          <w:top w:val="single" w:sz="4" w:space="1" w:color="0070C0"/>
          <w:left w:val="single" w:sz="4" w:space="4" w:color="0070C0"/>
          <w:bottom w:val="single" w:sz="4" w:space="1" w:color="0070C0"/>
          <w:right w:val="single" w:sz="4" w:space="4" w:color="0070C0"/>
        </w:pBdr>
        <w:spacing w:line="360" w:lineRule="auto"/>
        <w:jc w:val="center"/>
        <w:rPr>
          <w:b/>
          <w:color w:val="0070C0"/>
          <w:sz w:val="40"/>
          <w:szCs w:val="40"/>
        </w:rPr>
      </w:pPr>
      <w:r>
        <w:rPr>
          <w:b/>
          <w:color w:val="0070C0"/>
          <w:sz w:val="40"/>
          <w:szCs w:val="40"/>
        </w:rPr>
        <w:t>Rapport alternatif d’</w:t>
      </w:r>
      <w:bookmarkStart w:id="0" w:name="_GoBack"/>
      <w:r>
        <w:rPr>
          <w:b/>
          <w:color w:val="0070C0"/>
          <w:sz w:val="40"/>
          <w:szCs w:val="40"/>
        </w:rPr>
        <w:t>Act up-Paris, Aides, Médecins du Monde-France et le Planning Familial</w:t>
      </w:r>
      <w:bookmarkEnd w:id="0"/>
      <w:r>
        <w:rPr>
          <w:b/>
          <w:color w:val="0070C0"/>
          <w:sz w:val="40"/>
          <w:szCs w:val="40"/>
        </w:rPr>
        <w:t xml:space="preserve"> au Comité CEDEF</w:t>
      </w:r>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color w:val="0563C1"/>
          <w:sz w:val="22"/>
          <w:szCs w:val="22"/>
        </w:rPr>
      </w:pPr>
      <w:r>
        <w:rPr>
          <w:rFonts w:ascii="Arial" w:eastAsia="Arial" w:hAnsi="Arial" w:cs="Arial"/>
          <w:color w:val="0563C1"/>
          <w:sz w:val="22"/>
          <w:szCs w:val="22"/>
        </w:rPr>
        <w:t>Janvier 2022</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Le collectif d’associations composé d’Act up Paris, Aides, Médecins du Monde et Planning Familial, associations de santé ayant des interventions de terrain auprès des travailleuses du sexe, a le plaisir de soumettre ce rapport alternatif au Comité pour l’é</w:t>
      </w:r>
      <w:r>
        <w:rPr>
          <w:rFonts w:ascii="Arial" w:eastAsia="Arial" w:hAnsi="Arial" w:cs="Arial"/>
          <w:sz w:val="22"/>
          <w:szCs w:val="22"/>
        </w:rPr>
        <w:t>limination des discriminations à l’égard des femmes (désigné Comité ci-après). Il soulève des questions que le Comité pourra poser à la France.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En raison de notre expertise de terrain auprès des travailleuses du sexe, ce rapport portera sur la question des</w:t>
      </w:r>
      <w:r>
        <w:rPr>
          <w:rFonts w:ascii="Arial" w:eastAsia="Arial" w:hAnsi="Arial" w:cs="Arial"/>
          <w:sz w:val="22"/>
          <w:szCs w:val="22"/>
        </w:rPr>
        <w:t xml:space="preserve"> droits des travailleuses du sexe.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En effet, dans son rapport, la France présente la loi du 13 avril 2016 visant à renforcer la lutte contre le système prostitutionnel comme contribuant également à renforcer la lutte contre la traite des êtres humains et l</w:t>
      </w:r>
      <w:r>
        <w:rPr>
          <w:rFonts w:ascii="Arial" w:eastAsia="Arial" w:hAnsi="Arial" w:cs="Arial"/>
          <w:sz w:val="22"/>
          <w:szCs w:val="22"/>
        </w:rPr>
        <w:t>’exploitation de la prostitution des femmes telles que prévues par l’article 6 de la Convention sur l’élimination de toutes les discriminations à l’égard des femmes (ci-après désignée comme Convention). Or, comme nous le montrerons, ces mesures loin de ser</w:t>
      </w:r>
      <w:r>
        <w:rPr>
          <w:rFonts w:ascii="Arial" w:eastAsia="Arial" w:hAnsi="Arial" w:cs="Arial"/>
          <w:sz w:val="22"/>
          <w:szCs w:val="22"/>
        </w:rPr>
        <w:t>vir cet objectif sont en réalité totalement contre-productives.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En outre, la France met en avant le parcours de sortie de prostitution comme constituant un instrument de lutte contre la traite des êtres humains et l’exploitation de la prostitution des femm</w:t>
      </w:r>
      <w:r>
        <w:rPr>
          <w:rFonts w:ascii="Arial" w:eastAsia="Arial" w:hAnsi="Arial" w:cs="Arial"/>
          <w:sz w:val="22"/>
          <w:szCs w:val="22"/>
        </w:rPr>
        <w:t>es. Ainsi que nous le soulignerons, cet outil ne sert en aucun cas cet objectif et entretient à nouveau la confusion entre l’exploitation de la prostitution et la prostitution elle-même.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 xml:space="preserve">Enfin, la France se contente d’un paragraphe très bref sur les questions de santé des travailleuses du sexe mentionnant des objectifs sans préciser leur réalisation et sans apporter </w:t>
      </w:r>
      <w:r>
        <w:rPr>
          <w:rFonts w:ascii="Arial" w:eastAsia="Arial" w:hAnsi="Arial" w:cs="Arial"/>
          <w:sz w:val="22"/>
          <w:szCs w:val="22"/>
        </w:rPr>
        <w:lastRenderedPageBreak/>
        <w:t>d’éléments concrets quant à la garantie d’accès à la santé pour les travai</w:t>
      </w:r>
      <w:r>
        <w:rPr>
          <w:rFonts w:ascii="Arial" w:eastAsia="Arial" w:hAnsi="Arial" w:cs="Arial"/>
          <w:sz w:val="22"/>
          <w:szCs w:val="22"/>
        </w:rPr>
        <w:t>lleuses du sexe, ce alors même que les dispositions de la loi du 13 avril 2016 met celle-ci en danger.</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 xml:space="preserve">Nous regrettons par conséquent l’absence d’évaluation concrète par la France de la loi du 13 avril 2016, particulièrement concernant ses impacts sur les </w:t>
      </w:r>
      <w:r>
        <w:rPr>
          <w:rFonts w:ascii="Arial" w:eastAsia="Arial" w:hAnsi="Arial" w:cs="Arial"/>
          <w:sz w:val="22"/>
          <w:szCs w:val="22"/>
        </w:rPr>
        <w:t>conditions de vie et de travail des personnes concernées.</w:t>
      </w:r>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b/>
          <w:color w:val="0070C0"/>
          <w:sz w:val="26"/>
          <w:szCs w:val="26"/>
        </w:rPr>
      </w:pPr>
      <w:r>
        <w:rPr>
          <w:b/>
          <w:color w:val="0070C0"/>
          <w:sz w:val="26"/>
          <w:szCs w:val="26"/>
        </w:rPr>
        <w:t>Concernant la lutte contre la traite des êtres humains à des fins d’exploitation sexuelle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Dans son rapport provisoire, la France aborde aux paragraphes 93 et suivants la question de la lutte contre</w:t>
      </w:r>
      <w:r>
        <w:rPr>
          <w:rFonts w:ascii="Arial" w:eastAsia="Arial" w:hAnsi="Arial" w:cs="Arial"/>
          <w:sz w:val="22"/>
          <w:szCs w:val="22"/>
        </w:rPr>
        <w:t xml:space="preserve"> la traite des êtres humains et l’exploitation de la prostitution d’autrui prévues par l’article 6 de la Convention. </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Parmi les mesures mises en avant figure l’adoption de la loi du 13 avril 2016 visant à renforcer la lutte contre le système prostitutionne</w:t>
      </w:r>
      <w:r>
        <w:rPr>
          <w:rFonts w:ascii="Arial" w:eastAsia="Arial" w:hAnsi="Arial" w:cs="Arial"/>
          <w:sz w:val="22"/>
          <w:szCs w:val="22"/>
        </w:rPr>
        <w:t>l.</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Si nous nous félicitons de certaines mesures contenues dans cette loi, telles que l’abrogation de la pénalisation du racolage public, de l’institution d’un titre de séjour de droit pour les victimes de traite des êtres humains ou de proxénétisme témoign</w:t>
      </w:r>
      <w:r>
        <w:rPr>
          <w:rFonts w:ascii="Arial" w:eastAsia="Arial" w:hAnsi="Arial" w:cs="Arial"/>
          <w:sz w:val="22"/>
          <w:szCs w:val="22"/>
        </w:rPr>
        <w:t>ant ou portant plainte dans le cadre d’une enquête pénale ou encore de l’institution d’une circonstance aggravante pour certaines infractions lorsqu’elles sont commises à l’encontre d’une travailleuse du sexe, nous déplorons globalement l’impact très négat</w:t>
      </w:r>
      <w:r>
        <w:rPr>
          <w:rFonts w:ascii="Arial" w:eastAsia="Arial" w:hAnsi="Arial" w:cs="Arial"/>
          <w:sz w:val="22"/>
          <w:szCs w:val="22"/>
        </w:rPr>
        <w:t>if de cette loi sur les conditions de vie et de travail des travailleuses du sexe, particulièrement en ce qui concerne leur exposition aux violences de manière générale et plus spécifiquement à l’exploitation.</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De fait, la loi de 2016 contient des mesures variées relatives à la lutte contre le système prostitutionnel. Outre celles évoquées ci-dessus, elle prévoit notamment la pénalisation des clients et l’institution d’un parcours de sortie de prostitution. Si le</w:t>
      </w:r>
      <w:r>
        <w:rPr>
          <w:rFonts w:ascii="Arial" w:eastAsia="Arial" w:hAnsi="Arial" w:cs="Arial"/>
          <w:sz w:val="22"/>
          <w:szCs w:val="22"/>
        </w:rPr>
        <w:t>s dispositions dédiées à la lutte contre la traite des êtres humains ne semblent pas devoir être remises en cause, la pénalisation des clients des travailleuses du sexe a eu un impact délétère sur les conditions de vie et de travail des personnes concernée</w:t>
      </w:r>
      <w:r>
        <w:rPr>
          <w:rFonts w:ascii="Arial" w:eastAsia="Arial" w:hAnsi="Arial" w:cs="Arial"/>
          <w:sz w:val="22"/>
          <w:szCs w:val="22"/>
        </w:rPr>
        <w:t>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Nos associations ont participé au comité de pilotage associatif d’une enquête publiée en 2018 par deux chercheurSEs sur l’impact de la loi de 2016 sur les conditions de vie et de travail des travailleuses du sexe</w:t>
      </w:r>
      <w:r>
        <w:rPr>
          <w:rFonts w:ascii="Arial" w:eastAsia="Arial" w:hAnsi="Arial" w:cs="Arial"/>
          <w:sz w:val="22"/>
          <w:szCs w:val="22"/>
          <w:vertAlign w:val="superscript"/>
        </w:rPr>
        <w:footnoteReference w:id="1"/>
      </w:r>
      <w:r>
        <w:rPr>
          <w:rFonts w:ascii="Arial" w:eastAsia="Arial" w:hAnsi="Arial" w:cs="Arial"/>
          <w:sz w:val="22"/>
          <w:szCs w:val="22"/>
        </w:rPr>
        <w:t>.</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lastRenderedPageBreak/>
        <w:t>Cette enquête de méthodologie qualitat</w:t>
      </w:r>
      <w:r>
        <w:rPr>
          <w:rFonts w:ascii="Arial" w:eastAsia="Arial" w:hAnsi="Arial" w:cs="Arial"/>
          <w:sz w:val="22"/>
          <w:szCs w:val="22"/>
        </w:rPr>
        <w:t>ive a été complétée d’une enquête flash quantitative de laquelle il ressort notamment que 42% des travailleuses du sexe interrogées (plus de 600) considèrent être plus exposées aux violences depuis l’institution de la pénalisation des clients.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Ce constat c</w:t>
      </w:r>
      <w:r>
        <w:rPr>
          <w:rFonts w:ascii="Arial" w:eastAsia="Arial" w:hAnsi="Arial" w:cs="Arial"/>
          <w:sz w:val="22"/>
          <w:szCs w:val="22"/>
        </w:rPr>
        <w:t>orrobore celui de nos associations de terrain. En effet, les travailleuses du sexe rencontrées ont perdu en pouvoir de négociation face au client. En raison de la raréfaction de la clientèle, elles sont contraintes d’accepter des clients ou des pratiques q</w:t>
      </w:r>
      <w:r>
        <w:rPr>
          <w:rFonts w:ascii="Arial" w:eastAsia="Arial" w:hAnsi="Arial" w:cs="Arial"/>
          <w:sz w:val="22"/>
          <w:szCs w:val="22"/>
        </w:rPr>
        <w:t>u’elles auraient en temps normal refusé. Elles ont vu leur temps de travail s’allonger tout en constatant une baisse importante de leurs revenus. Les travailleuses du sexe doivent travailler plus longtemps pour gagner moins. Certains clients profitent de c</w:t>
      </w:r>
      <w:r>
        <w:rPr>
          <w:rFonts w:ascii="Arial" w:eastAsia="Arial" w:hAnsi="Arial" w:cs="Arial"/>
          <w:sz w:val="22"/>
          <w:szCs w:val="22"/>
        </w:rPr>
        <w:t>ette précarisation pour négocier les tarifs et/ou les pratiques (« Là maintenant, c’est lui qui impose les prix et c’est lui qui impose les coins. Vraiment, ça m’a rabaissé complètement. Ça m’a rabaissé, maintenant je cours derrière le client. Comment voul</w:t>
      </w:r>
      <w:r>
        <w:rPr>
          <w:rFonts w:ascii="Arial" w:eastAsia="Arial" w:hAnsi="Arial" w:cs="Arial"/>
          <w:sz w:val="22"/>
          <w:szCs w:val="22"/>
        </w:rPr>
        <w:t>ez-vous que je me sente forte ? »</w:t>
      </w:r>
      <w:r>
        <w:rPr>
          <w:rFonts w:ascii="Arial" w:eastAsia="Arial" w:hAnsi="Arial" w:cs="Arial"/>
          <w:sz w:val="22"/>
          <w:szCs w:val="22"/>
          <w:vertAlign w:val="superscript"/>
        </w:rPr>
        <w:footnoteReference w:id="2"/>
      </w:r>
      <w:r>
        <w:rPr>
          <w:rFonts w:ascii="Arial" w:eastAsia="Arial" w:hAnsi="Arial" w:cs="Arial"/>
          <w:sz w:val="22"/>
          <w:szCs w:val="22"/>
        </w:rPr>
        <w:t xml:space="preserve">). </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Les travailleuses du sexe ont dû s’éloigner de leurs lieux de travail habituels,plus fréquentés et s’orienter vers des lieux plus éloignés, moins fréquentés, moins éclairés afin de conserver une partie de leur clientèl</w:t>
      </w:r>
      <w:r>
        <w:rPr>
          <w:rFonts w:ascii="Arial" w:eastAsia="Arial" w:hAnsi="Arial" w:cs="Arial"/>
          <w:sz w:val="22"/>
          <w:szCs w:val="22"/>
        </w:rPr>
        <w:t>e. Ces lieux de travail sont plus dangereux pour les personnes concernées et les exposent bien plus aux violences, ainsi qu’en atteste l’exemple le plus connu de l’assassinat de Vanesa Campos dans le bois de Boulogne en août 2018.</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Au-delà de cette expositi</w:t>
      </w:r>
      <w:r>
        <w:rPr>
          <w:rFonts w:ascii="Arial" w:eastAsia="Arial" w:hAnsi="Arial" w:cs="Arial"/>
          <w:sz w:val="22"/>
          <w:szCs w:val="22"/>
        </w:rPr>
        <w:t>on généralisée aux violences et plus spécifiquement sur la traite des êtres humains dans le secteur de l’industrie du sexe, nous constatons l’effet contre-productif de la pénalisation des clients.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Face à la raréfaction de la clientèle de rue, nombreuses so</w:t>
      </w:r>
      <w:r>
        <w:rPr>
          <w:rFonts w:ascii="Arial" w:eastAsia="Arial" w:hAnsi="Arial" w:cs="Arial"/>
          <w:sz w:val="22"/>
          <w:szCs w:val="22"/>
        </w:rPr>
        <w:t>nt les travailleuses du sexe à s’être tournées vers internet pour continuer à travailler. Mais pour les personnes maîtrisant moins les outils numériques et/ou maîtrisant mal le français, elles se tournent vers des intermédiaires afin de leur permettre de t</w:t>
      </w:r>
      <w:r>
        <w:rPr>
          <w:rFonts w:ascii="Arial" w:eastAsia="Arial" w:hAnsi="Arial" w:cs="Arial"/>
          <w:sz w:val="22"/>
          <w:szCs w:val="22"/>
        </w:rPr>
        <w:t>ravailler en ligne. L’impact est double. D’une part, en fonction des services choisis (mise en ligne de l’annonce, recherche d’appartement de travail, déplacements en France vers les lieux de travail, secrétariat téléphonique), les montants versés aux inte</w:t>
      </w:r>
      <w:r>
        <w:rPr>
          <w:rFonts w:ascii="Arial" w:eastAsia="Arial" w:hAnsi="Arial" w:cs="Arial"/>
          <w:sz w:val="22"/>
          <w:szCs w:val="22"/>
        </w:rPr>
        <w:t>rmédiaires peuvent être très importants (jusqu’à 70%). D’autre part, les travailleuses du sexe perdent ainsi en autonomie dans l’exercice de leur activité puisqu’elles ne disposent plus de la même possibilité de sélection des clients dès lors qu’elles ne s</w:t>
      </w:r>
      <w:r>
        <w:rPr>
          <w:rFonts w:ascii="Arial" w:eastAsia="Arial" w:hAnsi="Arial" w:cs="Arial"/>
          <w:sz w:val="22"/>
          <w:szCs w:val="22"/>
        </w:rPr>
        <w:t>ont pas en contact direct avec eux. Ainsi, la réalité pour ces travailleuses du sexe est qu’elles voient leurs revenus et leur autonomie baisser. En outre, elles sont également plus exposées aux violences puisque les travailleuses du sexe travaillant en ap</w:t>
      </w:r>
      <w:r>
        <w:rPr>
          <w:rFonts w:ascii="Arial" w:eastAsia="Arial" w:hAnsi="Arial" w:cs="Arial"/>
          <w:sz w:val="22"/>
          <w:szCs w:val="22"/>
        </w:rPr>
        <w:t xml:space="preserve">partement sont plus la cible de vols à main armée par des personnes ciblant spécifiquement les travailleuses du sexe. Parce </w:t>
      </w:r>
      <w:r>
        <w:rPr>
          <w:rFonts w:ascii="Arial" w:eastAsia="Arial" w:hAnsi="Arial" w:cs="Arial"/>
          <w:sz w:val="22"/>
          <w:szCs w:val="22"/>
        </w:rPr>
        <w:lastRenderedPageBreak/>
        <w:t>qu’elles maîtrisent moins ces modalités de travail et leur environnement en raison de la mobilité géographique, elles sont ainsi sur</w:t>
      </w:r>
      <w:r>
        <w:rPr>
          <w:rFonts w:ascii="Arial" w:eastAsia="Arial" w:hAnsi="Arial" w:cs="Arial"/>
          <w:sz w:val="22"/>
          <w:szCs w:val="22"/>
        </w:rPr>
        <w:t>exposées à ce type de violence.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Dans le même sens d’une exposition grandissante à l’exploitation des personnes exerçant le travail du sexe, nombreuses sont les travailleuses du sexe de rue, en particulier des femmes migrantes, qui nous rapportent avoir été</w:t>
      </w:r>
      <w:r>
        <w:rPr>
          <w:rFonts w:ascii="Arial" w:eastAsia="Arial" w:hAnsi="Arial" w:cs="Arial"/>
          <w:sz w:val="22"/>
          <w:szCs w:val="22"/>
        </w:rPr>
        <w:t xml:space="preserve"> approchées par des intermédiaires leur proposant de travailler dans des appartements.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Nos associations de terrain constatent également une baisse importante du travail de sexe de rue sans toujours savoir où exercent  désormais les personnes concernées. De</w:t>
      </w:r>
      <w:r>
        <w:rPr>
          <w:rFonts w:ascii="Arial" w:eastAsia="Arial" w:hAnsi="Arial" w:cs="Arial"/>
          <w:sz w:val="22"/>
          <w:szCs w:val="22"/>
        </w:rPr>
        <w:t>s informations nous sont rapportées de travailleuses du sexe migrantes qui exercent désormais dans des appartements qui ne sont pas accessibles aux associations avec des méthodes d’information des clients plus confidentielles. Le rapport produit par la Fra</w:t>
      </w:r>
      <w:r>
        <w:rPr>
          <w:rFonts w:ascii="Arial" w:eastAsia="Arial" w:hAnsi="Arial" w:cs="Arial"/>
          <w:sz w:val="22"/>
          <w:szCs w:val="22"/>
        </w:rPr>
        <w:t>nce souligne cette diminution de la prostitution de rue (§111) mais n’en tire aucune conséquence en termes de lutte contre l’exploitation. De fait, nous constatons que les travailleuses du sexe qui ne sont plus visibles  plus dans la rue n’ont pas pour aut</w:t>
      </w:r>
      <w:r>
        <w:rPr>
          <w:rFonts w:ascii="Arial" w:eastAsia="Arial" w:hAnsi="Arial" w:cs="Arial"/>
          <w:sz w:val="22"/>
          <w:szCs w:val="22"/>
        </w:rPr>
        <w:t>ant cessé de travailler.</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Ainsi, les associations et autres travailleuses du sexe qui pouvaient accompagner des travailleuses du sexe exploitées à s’émanciper de leurs exploiteurSEs ne sont plus en contact avec les personnes concernées. En raison de leur pé</w:t>
      </w:r>
      <w:r>
        <w:rPr>
          <w:rFonts w:ascii="Arial" w:eastAsia="Arial" w:hAnsi="Arial" w:cs="Arial"/>
          <w:sz w:val="22"/>
          <w:szCs w:val="22"/>
        </w:rPr>
        <w:t>nalisation, les clients qui pouvaient également être des alliés pour l’émancipation de travailleuses du sexe exploitées, voire contraintes à l’activité, ne dénonceront plus ce genre de situation par peur d’être pénalisés.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Ainsi, loin de garantir la lutte c</w:t>
      </w:r>
      <w:r>
        <w:rPr>
          <w:rFonts w:ascii="Arial" w:eastAsia="Arial" w:hAnsi="Arial" w:cs="Arial"/>
          <w:sz w:val="22"/>
          <w:szCs w:val="22"/>
        </w:rPr>
        <w:t>ontre l’exploitation de la prostitution, la loi du 13 avril 2016 apparaît en réalité comme une loi de lutte contre le travail du sexe, pratiquant un amalgame contre-productif entre le travail du sexe et son exploitation.</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L’amalgame entre travail du sexe et</w:t>
      </w:r>
      <w:r>
        <w:rPr>
          <w:rFonts w:ascii="Arial" w:eastAsia="Arial" w:hAnsi="Arial" w:cs="Arial"/>
          <w:sz w:val="22"/>
          <w:szCs w:val="22"/>
        </w:rPr>
        <w:t xml:space="preserve"> son exploitation se retrouve également dans les chiffres communiqués par la France sur le nombre d’enquêtes pénales sur le proxénétisme et la traite des êtres humains aux fins d’exploitation sexuelle et son augmentation depuis 2016. La confusion entretenu</w:t>
      </w:r>
      <w:r>
        <w:rPr>
          <w:rFonts w:ascii="Arial" w:eastAsia="Arial" w:hAnsi="Arial" w:cs="Arial"/>
          <w:sz w:val="22"/>
          <w:szCs w:val="22"/>
        </w:rPr>
        <w:t>e entre la qualification juridique de proxénétisme et celle de traite des êtres humains aux fins d’exploitation sexuelle ne permet pas d’appréhender l’évolution du nombre d’enquêtes pénales qui concernent des situations d’exploitation du travail du sexe. E</w:t>
      </w:r>
      <w:r>
        <w:rPr>
          <w:rFonts w:ascii="Arial" w:eastAsia="Arial" w:hAnsi="Arial" w:cs="Arial"/>
          <w:sz w:val="22"/>
          <w:szCs w:val="22"/>
        </w:rPr>
        <w:t>n effet, l’infraction de proxénétisme n’implique aucune contrainte puisqu’elle englobe la simple « aide ou assistance » à la prostitution. Ainsi, louer son appartement à une travailleuse du sexe, être en colocation ou partager sa camionnette avec une trava</w:t>
      </w:r>
      <w:r>
        <w:rPr>
          <w:rFonts w:ascii="Arial" w:eastAsia="Arial" w:hAnsi="Arial" w:cs="Arial"/>
          <w:sz w:val="22"/>
          <w:szCs w:val="22"/>
        </w:rPr>
        <w:t xml:space="preserve">illeuse du sexe est passible de </w:t>
      </w:r>
      <w:r>
        <w:rPr>
          <w:rFonts w:ascii="Arial" w:eastAsia="Arial" w:hAnsi="Arial" w:cs="Arial"/>
          <w:sz w:val="22"/>
          <w:szCs w:val="22"/>
        </w:rPr>
        <w:lastRenderedPageBreak/>
        <w:t>poursuites pour proxénétisme. Cette qualification juridique entrave de fait l’accès aux droits des travailleuses du sexe et leur possibilité de réduire les risques face aux violences</w:t>
      </w:r>
      <w:r>
        <w:rPr>
          <w:rFonts w:ascii="Arial" w:eastAsia="Arial" w:hAnsi="Arial" w:cs="Arial"/>
          <w:sz w:val="22"/>
          <w:szCs w:val="22"/>
          <w:vertAlign w:val="superscript"/>
        </w:rPr>
        <w:footnoteReference w:id="3"/>
      </w:r>
      <w:r>
        <w:rPr>
          <w:rFonts w:ascii="Arial" w:eastAsia="Arial" w:hAnsi="Arial" w:cs="Arial"/>
          <w:sz w:val="22"/>
          <w:szCs w:val="22"/>
        </w:rPr>
        <w:t xml:space="preserve">. </w:t>
      </w:r>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b/>
          <w:sz w:val="22"/>
          <w:szCs w:val="22"/>
        </w:rPr>
      </w:pPr>
      <w:r>
        <w:rPr>
          <w:rFonts w:ascii="Arial" w:eastAsia="Arial" w:hAnsi="Arial" w:cs="Arial"/>
          <w:b/>
          <w:sz w:val="22"/>
          <w:szCs w:val="22"/>
        </w:rPr>
        <w:t xml:space="preserve">Question : </w:t>
      </w:r>
    </w:p>
    <w:p w:rsidR="0089603D" w:rsidRDefault="00AC7266">
      <w:pPr>
        <w:spacing w:line="360" w:lineRule="auto"/>
        <w:jc w:val="both"/>
        <w:rPr>
          <w:rFonts w:ascii="Arial" w:eastAsia="Arial" w:hAnsi="Arial" w:cs="Arial"/>
          <w:sz w:val="22"/>
          <w:szCs w:val="22"/>
        </w:rPr>
      </w:pPr>
      <w:sdt>
        <w:sdtPr>
          <w:tag w:val="goog_rdk_0"/>
          <w:id w:val="-2078585108"/>
        </w:sdtPr>
        <w:sdtEndPr/>
        <w:sdtContent>
          <w:r>
            <w:rPr>
              <w:rFonts w:ascii="Arial Unicode MS" w:eastAsia="Arial Unicode MS" w:hAnsi="Arial Unicode MS" w:cs="Arial Unicode MS"/>
              <w:b/>
              <w:sz w:val="22"/>
              <w:szCs w:val="22"/>
            </w:rPr>
            <w:t>⇒ La France peut-elle ind</w:t>
          </w:r>
          <w:r>
            <w:rPr>
              <w:rFonts w:ascii="Arial Unicode MS" w:eastAsia="Arial Unicode MS" w:hAnsi="Arial Unicode MS" w:cs="Arial Unicode MS"/>
              <w:b/>
              <w:sz w:val="22"/>
              <w:szCs w:val="22"/>
            </w:rPr>
            <w:t xml:space="preserve">iquer au Comité le nombre d’enquêtes pénales relatives à la traite des êtres humains aux fins d’exploiation sexuelle et comment ce chiffre a-t-il évolué depuis 2015 ? </w:t>
          </w:r>
        </w:sdtContent>
      </w:sdt>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b/>
          <w:color w:val="0563C1"/>
          <w:sz w:val="22"/>
          <w:szCs w:val="22"/>
        </w:rPr>
      </w:pPr>
      <w:r>
        <w:rPr>
          <w:rFonts w:ascii="Arial" w:eastAsia="Arial" w:hAnsi="Arial" w:cs="Arial"/>
          <w:b/>
          <w:color w:val="0563C1"/>
          <w:sz w:val="22"/>
          <w:szCs w:val="22"/>
        </w:rPr>
        <w:t>Concernant le parcours de sortie de prostitution</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Cet amalgame entre travail du sexe e</w:t>
      </w:r>
      <w:r>
        <w:rPr>
          <w:rFonts w:ascii="Arial" w:eastAsia="Arial" w:hAnsi="Arial" w:cs="Arial"/>
          <w:sz w:val="22"/>
          <w:szCs w:val="22"/>
        </w:rPr>
        <w:t>t exploitation du travail du sexe se retrouve enfin dans le parcours de sortie de prostitution prévu par la loi du 13 avril 2016 et mis en avant par la France dans son rapport.</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Il est important de souligner que le parcours de sortie de prostitution n’a pas</w:t>
      </w:r>
      <w:r>
        <w:rPr>
          <w:rFonts w:ascii="Arial" w:eastAsia="Arial" w:hAnsi="Arial" w:cs="Arial"/>
          <w:sz w:val="22"/>
          <w:szCs w:val="22"/>
        </w:rPr>
        <w:t xml:space="preserve"> pour objectif premier de lutter contre l’exploitation dans le travail du sexe mais de lutter contre le travail du sexe, considérant que cet objectif servira à lutter contre l’exploitation. </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De fait, toute personne exerçant le travail du sexe est considéré</w:t>
      </w:r>
      <w:r>
        <w:rPr>
          <w:rFonts w:ascii="Arial" w:eastAsia="Arial" w:hAnsi="Arial" w:cs="Arial"/>
          <w:sz w:val="22"/>
          <w:szCs w:val="22"/>
        </w:rPr>
        <w:t>e comme « victime de la prostitution » et devrait donc être éligible au parcours de sortie indépendamment du point de savoir si cette personne est victime d’exploitation ou non. Très peu de travailleuses du sexe ont intégré le parcours de sortie de prostit</w:t>
      </w:r>
      <w:r>
        <w:rPr>
          <w:rFonts w:ascii="Arial" w:eastAsia="Arial" w:hAnsi="Arial" w:cs="Arial"/>
          <w:sz w:val="22"/>
          <w:szCs w:val="22"/>
        </w:rPr>
        <w:t>ution depuis sa mise en œuvre progressive entre 2017 et maintenant. Selon les derniers chiffres dont nous disposons, seules 564 travailleuses du sexe ont intégré le parcours de sortie, ce qui est très peu si l’on considère qu’il y a entre 30 et 40.000 trav</w:t>
      </w:r>
      <w:r>
        <w:rPr>
          <w:rFonts w:ascii="Arial" w:eastAsia="Arial" w:hAnsi="Arial" w:cs="Arial"/>
          <w:sz w:val="22"/>
          <w:szCs w:val="22"/>
        </w:rPr>
        <w:t>ailleuses du sexe en France.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Outre le fait que peu de personnes ont intégré le parcours de sortie de prostitution, il apparaît que celui-ci n’est pas adapté aux besoins des personnes exerçant le travail du sexe et n’est pas accessible aux plus vulnérables d’entre elles.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Le parcours de sortie de prostitution prévoit l’octroi d’un titre de séjour de 6 mois renouvelable 3 fois (donc jusqu’à 24 mois) ainsi que l’octroi de l’allocation temporaire pour demandeur d’asile (soit 330 euros par mois) pour les personnes qui ne seraie</w:t>
      </w:r>
      <w:r>
        <w:rPr>
          <w:rFonts w:ascii="Arial" w:eastAsia="Arial" w:hAnsi="Arial" w:cs="Arial"/>
          <w:sz w:val="22"/>
          <w:szCs w:val="22"/>
        </w:rPr>
        <w:t xml:space="preserve">nt pas éligibles aux minima sociaux. Pour l’intégrer, il faut être accompagné par une association agréée qui présente le dossier devant une commission départementale, laquelle rendra un avis favorable ou non, lequel pourra être suivi par le préfet. Il est </w:t>
      </w:r>
      <w:r>
        <w:rPr>
          <w:rFonts w:ascii="Arial" w:eastAsia="Arial" w:hAnsi="Arial" w:cs="Arial"/>
          <w:sz w:val="22"/>
          <w:szCs w:val="22"/>
        </w:rPr>
        <w:t xml:space="preserve">demandé à toute personne intégrant le parcours de </w:t>
      </w:r>
      <w:r>
        <w:rPr>
          <w:rFonts w:ascii="Arial" w:eastAsia="Arial" w:hAnsi="Arial" w:cs="Arial"/>
          <w:sz w:val="22"/>
          <w:szCs w:val="22"/>
        </w:rPr>
        <w:lastRenderedPageBreak/>
        <w:t>sortie de cesser le travail du sexe. Jusqu’à une décision récente du Conseil d’Etat, il était attendu des personnes intégrant le parcours de sortie de prostitution d’arrêter le travail du sexe en amont de l</w:t>
      </w:r>
      <w:r>
        <w:rPr>
          <w:rFonts w:ascii="Arial" w:eastAsia="Arial" w:hAnsi="Arial" w:cs="Arial"/>
          <w:sz w:val="22"/>
          <w:szCs w:val="22"/>
        </w:rPr>
        <w:t>a présentation du dossier devant la commission départementale, ce qui impliquait qu’elles devaient rester sans revenus pendant plusieurs semaines.</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Au-delà de cette conditionnalité d’arrêt de l’activité dont la légalité a été censurée par le Conseil d’Etat,</w:t>
      </w:r>
      <w:r>
        <w:rPr>
          <w:rFonts w:ascii="Arial" w:eastAsia="Arial" w:hAnsi="Arial" w:cs="Arial"/>
          <w:sz w:val="22"/>
          <w:szCs w:val="22"/>
        </w:rPr>
        <w:t xml:space="preserve"> le parcours de sortie de prostitution n’en reste pas moins peu attractif. Le montant de l’allocation versé est bas et ne permet pas de vivre, rien n’est prévu en termes d’hébergement et de formation, et le titre de séjour délivré reste précaire. Cela expl</w:t>
      </w:r>
      <w:r>
        <w:rPr>
          <w:rFonts w:ascii="Arial" w:eastAsia="Arial" w:hAnsi="Arial" w:cs="Arial"/>
          <w:sz w:val="22"/>
          <w:szCs w:val="22"/>
        </w:rPr>
        <w:t>ique probablement le peu d’engouement de la part des travailleuses du sexe pour ce dispositif, même pour celles souhaitant quitter l’activité.</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Outre son caractère peu attractif, il ressort que les critères, souvent officieux, institués par les préfets cond</w:t>
      </w:r>
      <w:r>
        <w:rPr>
          <w:rFonts w:ascii="Arial" w:eastAsia="Arial" w:hAnsi="Arial" w:cs="Arial"/>
          <w:sz w:val="22"/>
          <w:szCs w:val="22"/>
        </w:rPr>
        <w:t>uisent à exclure du parcours de sortie les travailleuses du sexe les plus vulnérables. Certains préfets attendent en effet des candidates au parcours qu’elles aient un niveau de français A2 tant à l’oral qu’à l’écrit, niveau difficilement accessible aux pe</w:t>
      </w:r>
      <w:r>
        <w:rPr>
          <w:rFonts w:ascii="Arial" w:eastAsia="Arial" w:hAnsi="Arial" w:cs="Arial"/>
          <w:sz w:val="22"/>
          <w:szCs w:val="22"/>
        </w:rPr>
        <w:t>rsonnes qui viennent d’arriver en France et/ou qui sont peu lettrées, voire analphabètes. D’autres exigent des candidates qu’elles ne fassent pas l’objet d’une obligation de quitter le territoire français, ce qui restreint de facto largement l’éligibilité.</w:t>
      </w:r>
      <w:r>
        <w:rPr>
          <w:rFonts w:ascii="Arial" w:eastAsia="Arial" w:hAnsi="Arial" w:cs="Arial"/>
          <w:sz w:val="22"/>
          <w:szCs w:val="22"/>
        </w:rPr>
        <w:t xml:space="preserve"> D’autres encore exigent la production d’un passeport en cours de validité et refusent d’accepter un acte de naissance, ce qui pour les travailleuses du sexe de certaines origines peut être extrêmement compliqué. C’est le cas en particulier pour les ressor</w:t>
      </w:r>
      <w:r>
        <w:rPr>
          <w:rFonts w:ascii="Arial" w:eastAsia="Arial" w:hAnsi="Arial" w:cs="Arial"/>
          <w:sz w:val="22"/>
          <w:szCs w:val="22"/>
        </w:rPr>
        <w:t>tissantes du Nigéria, pourtant hautement exposées à de l’exploitation dans le cadre de l’activité.</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La lutte contre les migrations prend ainsi encore le pas sur la lutte contre l’exploitation de la prostitution.</w:t>
      </w:r>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b/>
          <w:sz w:val="22"/>
          <w:szCs w:val="22"/>
        </w:rPr>
      </w:pPr>
      <w:r>
        <w:rPr>
          <w:rFonts w:ascii="Arial" w:eastAsia="Arial" w:hAnsi="Arial" w:cs="Arial"/>
          <w:b/>
          <w:sz w:val="22"/>
          <w:szCs w:val="22"/>
        </w:rPr>
        <w:t xml:space="preserve">Question : </w:t>
      </w:r>
    </w:p>
    <w:p w:rsidR="0089603D" w:rsidRDefault="00AC7266">
      <w:pPr>
        <w:spacing w:line="360" w:lineRule="auto"/>
        <w:jc w:val="both"/>
        <w:rPr>
          <w:rFonts w:ascii="Arial" w:eastAsia="Arial" w:hAnsi="Arial" w:cs="Arial"/>
          <w:b/>
          <w:sz w:val="22"/>
          <w:szCs w:val="22"/>
        </w:rPr>
      </w:pPr>
      <w:sdt>
        <w:sdtPr>
          <w:tag w:val="goog_rdk_1"/>
          <w:id w:val="-5063383"/>
        </w:sdtPr>
        <w:sdtEndPr/>
        <w:sdtContent>
          <w:r>
            <w:rPr>
              <w:rFonts w:ascii="Arial Unicode MS" w:eastAsia="Arial Unicode MS" w:hAnsi="Arial Unicode MS" w:cs="Arial Unicode MS"/>
              <w:b/>
              <w:sz w:val="22"/>
              <w:szCs w:val="22"/>
            </w:rPr>
            <w:t>⇒ La France peut-elle indiquer a</w:t>
          </w:r>
          <w:r>
            <w:rPr>
              <w:rFonts w:ascii="Arial Unicode MS" w:eastAsia="Arial Unicode MS" w:hAnsi="Arial Unicode MS" w:cs="Arial Unicode MS"/>
              <w:b/>
              <w:sz w:val="22"/>
              <w:szCs w:val="22"/>
            </w:rPr>
            <w:t xml:space="preserve">u Comité combien de personnes ayant bénéficié du parcours de sortie depuis 2016 étaient concernées par la traite des êtres humains aux fins d’exploitation sexuelle ? </w:t>
          </w:r>
        </w:sdtContent>
      </w:sdt>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b/>
          <w:color w:val="0563C1"/>
          <w:sz w:val="22"/>
          <w:szCs w:val="22"/>
        </w:rPr>
      </w:pPr>
      <w:r>
        <w:rPr>
          <w:rFonts w:ascii="Arial" w:eastAsia="Arial" w:hAnsi="Arial" w:cs="Arial"/>
          <w:b/>
          <w:color w:val="0563C1"/>
          <w:sz w:val="22"/>
          <w:szCs w:val="22"/>
        </w:rPr>
        <w:t>Concernant l’impact sur la santé des travailleuses du sexe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Concernant enfin l’impact d</w:t>
      </w:r>
      <w:r>
        <w:rPr>
          <w:rFonts w:ascii="Arial" w:eastAsia="Arial" w:hAnsi="Arial" w:cs="Arial"/>
          <w:sz w:val="22"/>
          <w:szCs w:val="22"/>
        </w:rPr>
        <w:t>e la loi sur l’accès à la santé des travailleuses du sexe, la France met en avant la Stratégie nationale de santé sexuelle 2017-2030 et la feuille de route 2018-2020, lesquelles prévoient le déploiement de centres de santé sexuelle développant une approche</w:t>
      </w:r>
      <w:r>
        <w:rPr>
          <w:rFonts w:ascii="Arial" w:eastAsia="Arial" w:hAnsi="Arial" w:cs="Arial"/>
          <w:sz w:val="22"/>
          <w:szCs w:val="22"/>
        </w:rPr>
        <w:t xml:space="preserve"> communautaire (action 15), et le déploiement d’actions novatrices promouvant la </w:t>
      </w:r>
      <w:r>
        <w:rPr>
          <w:rFonts w:ascii="Arial" w:eastAsia="Arial" w:hAnsi="Arial" w:cs="Arial"/>
          <w:sz w:val="22"/>
          <w:szCs w:val="22"/>
        </w:rPr>
        <w:lastRenderedPageBreak/>
        <w:t xml:space="preserve">réduction des risques pour les travailleuses du sexe (action 16). Sur les cinq centres mentionnés par le rapport de la France, seuls quatre sont en fait mis en place et aucun </w:t>
      </w:r>
      <w:r>
        <w:rPr>
          <w:rFonts w:ascii="Arial" w:eastAsia="Arial" w:hAnsi="Arial" w:cs="Arial"/>
          <w:sz w:val="22"/>
          <w:szCs w:val="22"/>
        </w:rPr>
        <w:t>appel à projet en cours ne laisse présager la validation de l’ouverture d’un cinquième. Par ailleurs, tous ne déploient pas d’actions communautaires spécifiques aux travailleuses du sexe. Le centre de santé sexuelle communautaire de Lyon, premier à être va</w:t>
      </w:r>
      <w:r>
        <w:rPr>
          <w:rFonts w:ascii="Arial" w:eastAsia="Arial" w:hAnsi="Arial" w:cs="Arial"/>
          <w:sz w:val="22"/>
          <w:szCs w:val="22"/>
        </w:rPr>
        <w:t>lidé dans le cadre de l’appel à projet, n’a toujours pas ouvert à l’heure où nous rédigeons ces observations. En tout état de cause, ces centres demeurent insuffisants pour répondre aux besoins des travailleuses du sexe sur l’ensemble du territoire. En out</w:t>
      </w:r>
      <w:r>
        <w:rPr>
          <w:rFonts w:ascii="Arial" w:eastAsia="Arial" w:hAnsi="Arial" w:cs="Arial"/>
          <w:sz w:val="22"/>
          <w:szCs w:val="22"/>
        </w:rPr>
        <w:t>re, la deuxième disposition citée par la France (action 16) n’a donné lieu qu’à un appel à projet en 2019 avec un financement insuffisant (200 000 euros) et un déploiement prévu sur quatre régions seulement. Aucun dispositif n’a depuis été mis en place. Ce</w:t>
      </w:r>
      <w:r>
        <w:rPr>
          <w:rFonts w:ascii="Arial" w:eastAsia="Arial" w:hAnsi="Arial" w:cs="Arial"/>
          <w:sz w:val="22"/>
          <w:szCs w:val="22"/>
        </w:rPr>
        <w:t xml:space="preserve"> alors même que l’impact délétère de la pénalisation des clients sur la santé globale des travailleurSEs du sexe est avéré depuis longtemps, bien que le rapport de la France le passe sous silence.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Un autre type de dispositif, que la France ne cite pas, per</w:t>
      </w:r>
      <w:r>
        <w:rPr>
          <w:rFonts w:ascii="Arial" w:eastAsia="Arial" w:hAnsi="Arial" w:cs="Arial"/>
          <w:sz w:val="22"/>
          <w:szCs w:val="22"/>
        </w:rPr>
        <w:t xml:space="preserve">met la mise en place d’accompagnements individuels et collectifs de travailleuses du sexe et de créer des partenariats pour développer chez les intervenants impliqués des pratiques communes de réponses concertées et pluridisciplinaires aux besoins globaux </w:t>
      </w:r>
      <w:r>
        <w:rPr>
          <w:rFonts w:ascii="Arial" w:eastAsia="Arial" w:hAnsi="Arial" w:cs="Arial"/>
          <w:sz w:val="22"/>
          <w:szCs w:val="22"/>
        </w:rPr>
        <w:t xml:space="preserve">en santé des travailleuses du sexe. Mais ces dispositifs restent à l’état d’expérimentation et peinent à être transposés  dans le droit commun, malgré les preuves de leur plusvalue pour la santé globale des travailleuses du sexe.  C’est par exemple le cas </w:t>
      </w:r>
      <w:r>
        <w:rPr>
          <w:rFonts w:ascii="Arial" w:eastAsia="Arial" w:hAnsi="Arial" w:cs="Arial"/>
          <w:sz w:val="22"/>
          <w:szCs w:val="22"/>
        </w:rPr>
        <w:t>du projet expérimental Lucioles en Nouvelle Aquitaine, qui a permis l’accompagnement en santé globale de plus de 300 travailleuses du sexe, développé dans le cadre de l’article 92 de la loi de modernisation de notre système de santé du 26 janvier 2016. L’e</w:t>
      </w:r>
      <w:r>
        <w:rPr>
          <w:rFonts w:ascii="Arial" w:eastAsia="Arial" w:hAnsi="Arial" w:cs="Arial"/>
          <w:sz w:val="22"/>
          <w:szCs w:val="22"/>
        </w:rPr>
        <w:t>xpérimentation était initialement prévue pour cinq ans seulement et aurait dû prendre fin. C’est le travail de plaidoyer mené par les associations auprès de l’ARS qui a permis de renouveler le dispositif pour deux années supplémentaires. Toutefois, le fina</w:t>
      </w:r>
      <w:r>
        <w:rPr>
          <w:rFonts w:ascii="Arial" w:eastAsia="Arial" w:hAnsi="Arial" w:cs="Arial"/>
          <w:sz w:val="22"/>
          <w:szCs w:val="22"/>
        </w:rPr>
        <w:t xml:space="preserve">ncement de cette prolongation s’effectue sur le fonds d’intervention régional, à défaut d’accord de la France pour le transposer dans le droit commun. </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Plus généralement, nous observons que les financements alloués à des dispositifs qui répondent réellemen</w:t>
      </w:r>
      <w:r>
        <w:rPr>
          <w:rFonts w:ascii="Arial" w:eastAsia="Arial" w:hAnsi="Arial" w:cs="Arial"/>
          <w:sz w:val="22"/>
          <w:szCs w:val="22"/>
        </w:rPr>
        <w:t>t aux besoins des travailleuses du sexe en santé globale sont insuffisants. De même, les associations communautaires qui mènent des actions en faveur de l’accès à la prévention, la réduction des risques, et la santé des travailleuses du sexe peinent à obte</w:t>
      </w:r>
      <w:r>
        <w:rPr>
          <w:rFonts w:ascii="Arial" w:eastAsia="Arial" w:hAnsi="Arial" w:cs="Arial"/>
          <w:sz w:val="22"/>
          <w:szCs w:val="22"/>
        </w:rPr>
        <w:t xml:space="preserve">nir les subventions nécessaires au développement de leurs activités. </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 xml:space="preserve">Nous ne reviendrons pas sur la question des violences que nous avons largement commentée </w:t>
      </w:r>
      <w:r>
        <w:rPr>
          <w:rFonts w:ascii="Arial" w:eastAsia="Arial" w:hAnsi="Arial" w:cs="Arial"/>
          <w:i/>
          <w:sz w:val="22"/>
          <w:szCs w:val="22"/>
        </w:rPr>
        <w:t>supra</w:t>
      </w:r>
      <w:r>
        <w:rPr>
          <w:rFonts w:ascii="Arial" w:eastAsia="Arial" w:hAnsi="Arial" w:cs="Arial"/>
          <w:sz w:val="22"/>
          <w:szCs w:val="22"/>
        </w:rPr>
        <w:t>.</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lastRenderedPageBreak/>
        <w:t xml:space="preserve">Concernant l’exposition aux VIH et autres IST, elle est accrue depuis l’entrée en vigueur </w:t>
      </w:r>
      <w:r>
        <w:rPr>
          <w:rFonts w:ascii="Arial" w:eastAsia="Arial" w:hAnsi="Arial" w:cs="Arial"/>
          <w:sz w:val="22"/>
          <w:szCs w:val="22"/>
        </w:rPr>
        <w:t>de la pénalisation des clients. Ainsi, face à la précarisation de leur activité, les travailleuses du sexe se voient contraintes d’accepter des pratiques non protégées. Dans l’étude La Bail/Giametta</w:t>
      </w:r>
      <w:r>
        <w:rPr>
          <w:rFonts w:ascii="Arial" w:eastAsia="Arial" w:hAnsi="Arial" w:cs="Arial"/>
          <w:sz w:val="22"/>
          <w:szCs w:val="22"/>
          <w:vertAlign w:val="superscript"/>
        </w:rPr>
        <w:footnoteReference w:id="4"/>
      </w:r>
      <w:r>
        <w:rPr>
          <w:rFonts w:ascii="Arial" w:eastAsia="Arial" w:hAnsi="Arial" w:cs="Arial"/>
          <w:sz w:val="22"/>
          <w:szCs w:val="22"/>
        </w:rPr>
        <w:t>, il ressort que 38% des travailleuses du sexe rencontren</w:t>
      </w:r>
      <w:r>
        <w:rPr>
          <w:rFonts w:ascii="Arial" w:eastAsia="Arial" w:hAnsi="Arial" w:cs="Arial"/>
          <w:sz w:val="22"/>
          <w:szCs w:val="22"/>
        </w:rPr>
        <w:t>t plus de difficultés à imposer le port du préservatif. De ce fait, elles sont plus exposées aux risques de contamination.</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La mobilité géographique induite par la pénalisation des clients, particulièrement pour les personnes se mettant à travailler sur int</w:t>
      </w:r>
      <w:r>
        <w:rPr>
          <w:rFonts w:ascii="Arial" w:eastAsia="Arial" w:hAnsi="Arial" w:cs="Arial"/>
          <w:sz w:val="22"/>
          <w:szCs w:val="22"/>
        </w:rPr>
        <w:t>ernet, génère des ruptures de traitement pour les travailleuses du sexe séropositives au VIH.</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De l’étude précitée, il ressort également que la santé mentale des travailleuses du sexe est largement affectée par la pénalisation des clients. De fait, nombreus</w:t>
      </w:r>
      <w:r>
        <w:rPr>
          <w:rFonts w:ascii="Arial" w:eastAsia="Arial" w:hAnsi="Arial" w:cs="Arial"/>
          <w:sz w:val="22"/>
          <w:szCs w:val="22"/>
        </w:rPr>
        <w:t>es sont celles qui déclarent éprouver du stress, de l’angoisse et rencontrer des problèmes psychosomatiques. Outre l’impact direct en santé mentale, ces problèmes constituent autant d’obstacles à prendre soin de leur santé pour les travailleuses du sexe.</w:t>
      </w:r>
    </w:p>
    <w:p w:rsidR="0089603D" w:rsidRDefault="00AC7266">
      <w:pPr>
        <w:spacing w:line="360" w:lineRule="auto"/>
        <w:jc w:val="both"/>
        <w:rPr>
          <w:rFonts w:ascii="Arial" w:eastAsia="Arial" w:hAnsi="Arial" w:cs="Arial"/>
          <w:sz w:val="22"/>
          <w:szCs w:val="22"/>
        </w:rPr>
      </w:pPr>
      <w:r>
        <w:rPr>
          <w:rFonts w:ascii="Arial" w:eastAsia="Arial" w:hAnsi="Arial" w:cs="Arial"/>
          <w:sz w:val="22"/>
          <w:szCs w:val="22"/>
        </w:rPr>
        <w:t>De manière globale, le lien entre des politiques répressives, qu’elles soient directes ou indirectes comme c’est le cas de la pénalisation des clients, et l’augmentation des risques sanitaires a largement été documenté</w:t>
      </w:r>
      <w:r>
        <w:rPr>
          <w:rFonts w:ascii="Arial" w:eastAsia="Arial" w:hAnsi="Arial" w:cs="Arial"/>
          <w:sz w:val="22"/>
          <w:szCs w:val="22"/>
          <w:vertAlign w:val="superscript"/>
        </w:rPr>
        <w:footnoteReference w:id="5"/>
      </w:r>
      <w:r>
        <w:rPr>
          <w:rFonts w:ascii="Arial" w:eastAsia="Arial" w:hAnsi="Arial" w:cs="Arial"/>
          <w:sz w:val="22"/>
          <w:szCs w:val="22"/>
        </w:rPr>
        <w:t>.</w:t>
      </w:r>
    </w:p>
    <w:p w:rsidR="0089603D" w:rsidRDefault="0089603D">
      <w:pPr>
        <w:spacing w:line="360" w:lineRule="auto"/>
        <w:jc w:val="both"/>
        <w:rPr>
          <w:rFonts w:ascii="Arial" w:eastAsia="Arial" w:hAnsi="Arial" w:cs="Arial"/>
          <w:sz w:val="22"/>
          <w:szCs w:val="22"/>
        </w:rPr>
      </w:pPr>
    </w:p>
    <w:p w:rsidR="0089603D" w:rsidRDefault="00AC7266">
      <w:pPr>
        <w:spacing w:line="360" w:lineRule="auto"/>
        <w:jc w:val="both"/>
        <w:rPr>
          <w:rFonts w:ascii="Arial" w:eastAsia="Arial" w:hAnsi="Arial" w:cs="Arial"/>
          <w:b/>
          <w:sz w:val="22"/>
          <w:szCs w:val="22"/>
        </w:rPr>
      </w:pPr>
      <w:r>
        <w:rPr>
          <w:rFonts w:ascii="Arial" w:eastAsia="Arial" w:hAnsi="Arial" w:cs="Arial"/>
          <w:b/>
          <w:sz w:val="22"/>
          <w:szCs w:val="22"/>
        </w:rPr>
        <w:t xml:space="preserve">Question : </w:t>
      </w:r>
    </w:p>
    <w:p w:rsidR="0089603D" w:rsidRDefault="00AC7266">
      <w:pPr>
        <w:spacing w:line="360" w:lineRule="auto"/>
        <w:jc w:val="both"/>
        <w:rPr>
          <w:rFonts w:ascii="Arial" w:eastAsia="Arial" w:hAnsi="Arial" w:cs="Arial"/>
          <w:b/>
          <w:sz w:val="22"/>
          <w:szCs w:val="22"/>
        </w:rPr>
      </w:pPr>
      <w:sdt>
        <w:sdtPr>
          <w:tag w:val="goog_rdk_2"/>
          <w:id w:val="751620039"/>
        </w:sdtPr>
        <w:sdtEndPr/>
        <w:sdtContent>
          <w:r>
            <w:rPr>
              <w:rFonts w:ascii="Arial Unicode MS" w:eastAsia="Arial Unicode MS" w:hAnsi="Arial Unicode MS" w:cs="Arial Unicode MS"/>
              <w:b/>
              <w:sz w:val="22"/>
              <w:szCs w:val="22"/>
            </w:rPr>
            <w:t xml:space="preserve">⇒ La France peut-elle </w:t>
          </w:r>
          <w:r>
            <w:rPr>
              <w:rFonts w:ascii="Arial Unicode MS" w:eastAsia="Arial Unicode MS" w:hAnsi="Arial Unicode MS" w:cs="Arial Unicode MS"/>
              <w:b/>
              <w:sz w:val="22"/>
              <w:szCs w:val="22"/>
            </w:rPr>
            <w:t xml:space="preserve">indiquer au Comité le détail du budget alloué chaque année depuis 2015 à l’accompagnement des travailleuses du sexe en santé globale ? Sur ce budget, quelle part concerne des associations communautaires ? </w:t>
          </w:r>
        </w:sdtContent>
      </w:sdt>
    </w:p>
    <w:p w:rsidR="0089603D" w:rsidRDefault="0089603D"/>
    <w:sectPr w:rsidR="0089603D">
      <w:footerReference w:type="default" r:id="rId14"/>
      <w:pgSz w:w="11900" w:h="16840"/>
      <w:pgMar w:top="1417" w:right="1417" w:bottom="1417" w:left="1417"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266" w:rsidRDefault="00AC7266">
      <w:pPr>
        <w:spacing w:after="0" w:line="240" w:lineRule="auto"/>
      </w:pPr>
      <w:r>
        <w:separator/>
      </w:r>
    </w:p>
  </w:endnote>
  <w:endnote w:type="continuationSeparator" w:id="0">
    <w:p w:rsidR="00AC7266" w:rsidRDefault="00AC7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03D" w:rsidRDefault="00AC726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2E2294">
      <w:rPr>
        <w:color w:val="000000"/>
      </w:rPr>
      <w:fldChar w:fldCharType="separate"/>
    </w:r>
    <w:r w:rsidR="002E2294">
      <w:rPr>
        <w:noProof/>
        <w:color w:val="000000"/>
      </w:rPr>
      <w:t>1</w:t>
    </w:r>
    <w:r>
      <w:rPr>
        <w:color w:val="000000"/>
      </w:rPr>
      <w:fldChar w:fldCharType="end"/>
    </w:r>
  </w:p>
  <w:p w:rsidR="0089603D" w:rsidRDefault="0089603D">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266" w:rsidRDefault="00AC7266">
      <w:pPr>
        <w:spacing w:after="0" w:line="240" w:lineRule="auto"/>
      </w:pPr>
      <w:r>
        <w:separator/>
      </w:r>
    </w:p>
  </w:footnote>
  <w:footnote w:type="continuationSeparator" w:id="0">
    <w:p w:rsidR="00AC7266" w:rsidRDefault="00AC7266">
      <w:pPr>
        <w:spacing w:after="0" w:line="240" w:lineRule="auto"/>
      </w:pPr>
      <w:r>
        <w:continuationSeparator/>
      </w:r>
    </w:p>
  </w:footnote>
  <w:footnote w:id="1">
    <w:p w:rsidR="0089603D" w:rsidRDefault="00AC7266">
      <w:pPr>
        <w:pBdr>
          <w:top w:val="nil"/>
          <w:left w:val="nil"/>
          <w:bottom w:val="nil"/>
          <w:right w:val="nil"/>
          <w:between w:val="nil"/>
        </w:pBdr>
        <w:spacing w:line="240" w:lineRule="auto"/>
        <w:rPr>
          <w:color w:val="000000"/>
          <w:sz w:val="16"/>
          <w:szCs w:val="16"/>
        </w:rPr>
      </w:pPr>
      <w:r>
        <w:rPr>
          <w:vertAlign w:val="superscript"/>
        </w:rPr>
        <w:footnoteRef/>
      </w:r>
      <w:r>
        <w:rPr>
          <w:color w:val="000000"/>
          <w:sz w:val="16"/>
          <w:szCs w:val="16"/>
        </w:rPr>
        <w:t xml:space="preserve"> </w:t>
      </w:r>
      <w:hyperlink r:id="rId1">
        <w:r>
          <w:rPr>
            <w:color w:val="0563C1"/>
            <w:sz w:val="16"/>
            <w:szCs w:val="16"/>
            <w:u w:val="single"/>
          </w:rPr>
          <w:t>https://www.medecinsdumonde.org/sites/default/files/Rapport-prostitution-BD.PDF</w:t>
        </w:r>
      </w:hyperlink>
      <w:r>
        <w:rPr>
          <w:color w:val="000000"/>
          <w:sz w:val="16"/>
          <w:szCs w:val="16"/>
        </w:rPr>
        <w:t xml:space="preserve"> </w:t>
      </w:r>
    </w:p>
  </w:footnote>
  <w:footnote w:id="2">
    <w:p w:rsidR="0089603D" w:rsidRPr="002E2294" w:rsidRDefault="00AC7266">
      <w:pPr>
        <w:pBdr>
          <w:top w:val="nil"/>
          <w:left w:val="nil"/>
          <w:bottom w:val="nil"/>
          <w:right w:val="nil"/>
          <w:between w:val="nil"/>
        </w:pBdr>
        <w:spacing w:line="240" w:lineRule="auto"/>
        <w:rPr>
          <w:color w:val="000000"/>
          <w:sz w:val="16"/>
          <w:szCs w:val="16"/>
          <w:lang w:val="es-ES"/>
        </w:rPr>
      </w:pPr>
      <w:r>
        <w:rPr>
          <w:vertAlign w:val="superscript"/>
        </w:rPr>
        <w:footnoteRef/>
      </w:r>
      <w:r w:rsidRPr="002E2294">
        <w:rPr>
          <w:color w:val="000000"/>
          <w:sz w:val="16"/>
          <w:szCs w:val="16"/>
          <w:lang w:val="es-ES"/>
        </w:rPr>
        <w:t xml:space="preserve"> </w:t>
      </w:r>
      <w:r w:rsidRPr="002E2294">
        <w:rPr>
          <w:i/>
          <w:color w:val="000000"/>
          <w:sz w:val="16"/>
          <w:szCs w:val="16"/>
          <w:lang w:val="es-ES"/>
        </w:rPr>
        <w:t>Ibid.</w:t>
      </w:r>
      <w:r w:rsidRPr="002E2294">
        <w:rPr>
          <w:color w:val="000000"/>
          <w:sz w:val="16"/>
          <w:szCs w:val="16"/>
          <w:lang w:val="es-ES"/>
        </w:rPr>
        <w:t>, p. 38.</w:t>
      </w:r>
    </w:p>
  </w:footnote>
  <w:footnote w:id="3">
    <w:p w:rsidR="0089603D" w:rsidRPr="002E2294" w:rsidRDefault="00AC7266">
      <w:pPr>
        <w:spacing w:after="0" w:line="240" w:lineRule="auto"/>
        <w:rPr>
          <w:sz w:val="20"/>
          <w:szCs w:val="20"/>
          <w:lang w:val="es-ES"/>
        </w:rPr>
      </w:pPr>
      <w:r>
        <w:rPr>
          <w:vertAlign w:val="superscript"/>
        </w:rPr>
        <w:footnoteRef/>
      </w:r>
      <w:hyperlink r:id="rId2">
        <w:r w:rsidRPr="002E2294">
          <w:rPr>
            <w:color w:val="1155CC"/>
            <w:sz w:val="20"/>
            <w:szCs w:val="20"/>
            <w:u w:val="single"/>
            <w:lang w:val="es-ES"/>
          </w:rPr>
          <w:t>https://www.medecinsdumonde.org/fr/actualites/publications/2020/07/0</w:t>
        </w:r>
        <w:r w:rsidRPr="002E2294">
          <w:rPr>
            <w:color w:val="1155CC"/>
            <w:sz w:val="20"/>
            <w:szCs w:val="20"/>
            <w:u w:val="single"/>
            <w:lang w:val="es-ES"/>
          </w:rPr>
          <w:t>6/travail-du-sexe-reponses-levaluation-de-la-loi-de-2016</w:t>
        </w:r>
      </w:hyperlink>
      <w:r w:rsidRPr="002E2294">
        <w:rPr>
          <w:lang w:val="es-ES"/>
        </w:rPr>
        <w:t>, p.13</w:t>
      </w:r>
    </w:p>
  </w:footnote>
  <w:footnote w:id="4">
    <w:p w:rsidR="0089603D" w:rsidRPr="002E2294" w:rsidRDefault="00AC7266">
      <w:pPr>
        <w:pBdr>
          <w:top w:val="nil"/>
          <w:left w:val="nil"/>
          <w:bottom w:val="nil"/>
          <w:right w:val="nil"/>
          <w:between w:val="nil"/>
        </w:pBdr>
        <w:spacing w:line="240" w:lineRule="auto"/>
        <w:rPr>
          <w:i/>
          <w:color w:val="000000"/>
          <w:sz w:val="16"/>
          <w:szCs w:val="16"/>
          <w:lang w:val="en-GB"/>
        </w:rPr>
      </w:pPr>
      <w:r>
        <w:rPr>
          <w:vertAlign w:val="superscript"/>
        </w:rPr>
        <w:footnoteRef/>
      </w:r>
      <w:r w:rsidRPr="002E2294">
        <w:rPr>
          <w:color w:val="000000"/>
          <w:sz w:val="16"/>
          <w:szCs w:val="16"/>
          <w:lang w:val="en-GB"/>
        </w:rPr>
        <w:t xml:space="preserve"> </w:t>
      </w:r>
      <w:r w:rsidRPr="002E2294">
        <w:rPr>
          <w:i/>
          <w:color w:val="000000"/>
          <w:sz w:val="16"/>
          <w:szCs w:val="16"/>
          <w:lang w:val="en-GB"/>
        </w:rPr>
        <w:t>Op.cit.</w:t>
      </w:r>
    </w:p>
  </w:footnote>
  <w:footnote w:id="5">
    <w:p w:rsidR="0089603D" w:rsidRPr="002E2294" w:rsidRDefault="00AC7266">
      <w:pPr>
        <w:pBdr>
          <w:top w:val="nil"/>
          <w:left w:val="nil"/>
          <w:bottom w:val="nil"/>
          <w:right w:val="nil"/>
          <w:between w:val="nil"/>
        </w:pBdr>
        <w:spacing w:line="240" w:lineRule="auto"/>
        <w:rPr>
          <w:color w:val="000000"/>
          <w:sz w:val="16"/>
          <w:szCs w:val="16"/>
          <w:lang w:val="en-GB"/>
        </w:rPr>
      </w:pPr>
      <w:r>
        <w:rPr>
          <w:vertAlign w:val="superscript"/>
        </w:rPr>
        <w:footnoteRef/>
      </w:r>
      <w:r w:rsidRPr="002E2294">
        <w:rPr>
          <w:color w:val="000000"/>
          <w:sz w:val="16"/>
          <w:szCs w:val="16"/>
          <w:lang w:val="en-GB"/>
        </w:rPr>
        <w:t xml:space="preserve"> Voir notamment Reeves A. et al., « National sex work policy and HIV prevalence amongst sex workers : an ecological regression analysis of 27 European countries”, </w:t>
      </w:r>
      <w:r w:rsidRPr="002E2294">
        <w:rPr>
          <w:i/>
          <w:color w:val="000000"/>
          <w:sz w:val="16"/>
          <w:szCs w:val="16"/>
          <w:lang w:val="en-GB"/>
        </w:rPr>
        <w:t>The Lancet</w:t>
      </w:r>
      <w:r w:rsidRPr="002E2294">
        <w:rPr>
          <w:color w:val="000000"/>
          <w:sz w:val="16"/>
          <w:szCs w:val="16"/>
          <w:lang w:val="en-GB"/>
        </w:rPr>
        <w:t xml:space="preserve">, Vol. 4, n° 3, mars 2017; Howard S., “Sex workers’ health; international evidence </w:t>
      </w:r>
      <w:r w:rsidRPr="002E2294">
        <w:rPr>
          <w:color w:val="000000"/>
          <w:sz w:val="16"/>
          <w:szCs w:val="16"/>
          <w:lang w:val="en-GB"/>
        </w:rPr>
        <w:t xml:space="preserve">on the law’s impact”, </w:t>
      </w:r>
      <w:r w:rsidRPr="002E2294">
        <w:rPr>
          <w:i/>
          <w:color w:val="000000"/>
          <w:sz w:val="16"/>
          <w:szCs w:val="16"/>
          <w:lang w:val="en-GB"/>
        </w:rPr>
        <w:t>BMJ</w:t>
      </w:r>
      <w:r w:rsidRPr="002E2294">
        <w:rPr>
          <w:color w:val="000000"/>
          <w:sz w:val="16"/>
          <w:szCs w:val="16"/>
          <w:lang w:val="en-GB"/>
        </w:rPr>
        <w:t>, 2019, 364:l343.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03D"/>
    <w:rsid w:val="002E2294"/>
    <w:rsid w:val="0089603D"/>
    <w:rsid w:val="00AC7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FCF7CB-7256-4396-9E3A-5F90BEE34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1"/>
        <w:szCs w:val="21"/>
        <w:lang w:val="fr-FR" w:eastAsia="en-GB"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FE9"/>
  </w:style>
  <w:style w:type="paragraph" w:styleId="Heading1">
    <w:name w:val="heading 1"/>
    <w:basedOn w:val="Normal"/>
    <w:next w:val="Normal"/>
    <w:link w:val="Heading1Char"/>
    <w:uiPriority w:val="9"/>
    <w:qFormat/>
    <w:rsid w:val="004D5FE9"/>
    <w:pPr>
      <w:keepNext/>
      <w:keepLines/>
      <w:pBdr>
        <w:bottom w:val="single" w:sz="4" w:space="1" w:color="5B9BD5"/>
      </w:pBdr>
      <w:spacing w:before="200" w:after="40" w:line="360" w:lineRule="auto"/>
      <w:jc w:val="center"/>
      <w:outlineLvl w:val="0"/>
    </w:pPr>
    <w:rPr>
      <w:rFonts w:ascii="Calibri Light" w:eastAsia="SimSun" w:hAnsi="Calibri Light" w:cs="Times New Roman"/>
      <w:color w:val="2E74B5"/>
      <w:sz w:val="36"/>
      <w:szCs w:val="36"/>
    </w:rPr>
  </w:style>
  <w:style w:type="paragraph" w:styleId="Heading2">
    <w:name w:val="heading 2"/>
    <w:basedOn w:val="Normal"/>
    <w:next w:val="Normal"/>
    <w:link w:val="Heading2Char"/>
    <w:uiPriority w:val="9"/>
    <w:unhideWhenUsed/>
    <w:qFormat/>
    <w:rsid w:val="004D5FE9"/>
    <w:pPr>
      <w:keepNext/>
      <w:keepLines/>
      <w:spacing w:before="160" w:after="0" w:line="240" w:lineRule="auto"/>
      <w:outlineLvl w:val="1"/>
    </w:pPr>
    <w:rPr>
      <w:rFonts w:ascii="Calibri Light" w:eastAsia="SimSun" w:hAnsi="Calibri Light"/>
      <w:color w:val="2E74B5"/>
      <w:sz w:val="28"/>
      <w:szCs w:val="28"/>
    </w:rPr>
  </w:style>
  <w:style w:type="paragraph" w:styleId="Heading3">
    <w:name w:val="heading 3"/>
    <w:basedOn w:val="Normal"/>
    <w:next w:val="Normal"/>
    <w:link w:val="Heading3Char"/>
    <w:uiPriority w:val="9"/>
    <w:unhideWhenUsed/>
    <w:qFormat/>
    <w:rsid w:val="004D5FE9"/>
    <w:pPr>
      <w:keepNext/>
      <w:keepLines/>
      <w:spacing w:before="80" w:after="0" w:line="240" w:lineRule="auto"/>
      <w:outlineLvl w:val="2"/>
    </w:pPr>
    <w:rPr>
      <w:rFonts w:ascii="Calibri Light" w:eastAsia="SimSun" w:hAnsi="Calibri Light"/>
      <w:color w:val="404040"/>
      <w:sz w:val="26"/>
      <w:szCs w:val="26"/>
    </w:rPr>
  </w:style>
  <w:style w:type="paragraph" w:styleId="Heading4">
    <w:name w:val="heading 4"/>
    <w:basedOn w:val="Normal"/>
    <w:next w:val="Normal"/>
    <w:link w:val="Heading4Char"/>
    <w:uiPriority w:val="9"/>
    <w:semiHidden/>
    <w:unhideWhenUsed/>
    <w:qFormat/>
    <w:rsid w:val="004D5FE9"/>
    <w:pPr>
      <w:keepNext/>
      <w:keepLines/>
      <w:spacing w:before="80" w:after="0"/>
      <w:outlineLvl w:val="3"/>
    </w:pPr>
    <w:rPr>
      <w:rFonts w:ascii="Calibri Light" w:eastAsia="SimSun" w:hAnsi="Calibri Light" w:cstheme="majorBidi"/>
      <w:sz w:val="24"/>
      <w:szCs w:val="24"/>
    </w:rPr>
  </w:style>
  <w:style w:type="paragraph" w:styleId="Heading5">
    <w:name w:val="heading 5"/>
    <w:basedOn w:val="Normal"/>
    <w:next w:val="Normal"/>
    <w:link w:val="Heading5Char"/>
    <w:uiPriority w:val="9"/>
    <w:semiHidden/>
    <w:unhideWhenUsed/>
    <w:qFormat/>
    <w:rsid w:val="004D5FE9"/>
    <w:pPr>
      <w:keepNext/>
      <w:keepLines/>
      <w:spacing w:before="80" w:after="0"/>
      <w:outlineLvl w:val="4"/>
    </w:pPr>
    <w:rPr>
      <w:rFonts w:ascii="Calibri Light" w:eastAsia="SimSun" w:hAnsi="Calibri Light" w:cs="Times New Roman"/>
      <w:i/>
      <w:iCs/>
      <w:sz w:val="22"/>
      <w:szCs w:val="22"/>
    </w:rPr>
  </w:style>
  <w:style w:type="paragraph" w:styleId="Heading6">
    <w:name w:val="heading 6"/>
    <w:basedOn w:val="Normal"/>
    <w:next w:val="Normal"/>
    <w:link w:val="Heading6Char"/>
    <w:uiPriority w:val="9"/>
    <w:semiHidden/>
    <w:unhideWhenUsed/>
    <w:qFormat/>
    <w:rsid w:val="004D5FE9"/>
    <w:pPr>
      <w:keepNext/>
      <w:keepLines/>
      <w:spacing w:before="80" w:after="0"/>
      <w:outlineLvl w:val="5"/>
    </w:pPr>
    <w:rPr>
      <w:rFonts w:ascii="Calibri Light" w:eastAsia="SimSun" w:hAnsi="Calibri Light" w:cs="Times New Roman"/>
      <w:color w:val="595959"/>
    </w:rPr>
  </w:style>
  <w:style w:type="paragraph" w:styleId="Heading7">
    <w:name w:val="heading 7"/>
    <w:basedOn w:val="Normal"/>
    <w:next w:val="Normal"/>
    <w:link w:val="Heading7Char"/>
    <w:uiPriority w:val="9"/>
    <w:semiHidden/>
    <w:unhideWhenUsed/>
    <w:qFormat/>
    <w:rsid w:val="004D5FE9"/>
    <w:pPr>
      <w:keepNext/>
      <w:keepLines/>
      <w:spacing w:before="80" w:after="0"/>
      <w:outlineLvl w:val="6"/>
    </w:pPr>
    <w:rPr>
      <w:rFonts w:ascii="Calibri Light" w:eastAsia="SimSun" w:hAnsi="Calibri Light" w:cs="Times New Roman"/>
      <w:i/>
      <w:iCs/>
      <w:color w:val="595959"/>
    </w:rPr>
  </w:style>
  <w:style w:type="paragraph" w:styleId="Heading8">
    <w:name w:val="heading 8"/>
    <w:basedOn w:val="Normal"/>
    <w:next w:val="Normal"/>
    <w:link w:val="Heading8Char"/>
    <w:uiPriority w:val="9"/>
    <w:semiHidden/>
    <w:unhideWhenUsed/>
    <w:qFormat/>
    <w:rsid w:val="004D5FE9"/>
    <w:pPr>
      <w:keepNext/>
      <w:keepLines/>
      <w:spacing w:before="80" w:after="0"/>
      <w:outlineLvl w:val="7"/>
    </w:pPr>
    <w:rPr>
      <w:rFonts w:ascii="Calibri Light" w:eastAsia="SimSun" w:hAnsi="Calibri Light" w:cs="Times New Roman"/>
      <w:smallCaps/>
      <w:color w:val="595959"/>
    </w:rPr>
  </w:style>
  <w:style w:type="paragraph" w:styleId="Heading9">
    <w:name w:val="heading 9"/>
    <w:basedOn w:val="Normal"/>
    <w:next w:val="Normal"/>
    <w:link w:val="Heading9Char"/>
    <w:uiPriority w:val="9"/>
    <w:semiHidden/>
    <w:unhideWhenUsed/>
    <w:qFormat/>
    <w:rsid w:val="004D5FE9"/>
    <w:pPr>
      <w:keepNext/>
      <w:keepLines/>
      <w:spacing w:before="80" w:after="0"/>
      <w:outlineLvl w:val="8"/>
    </w:pPr>
    <w:rPr>
      <w:rFonts w:ascii="Calibri Light" w:eastAsia="SimSun" w:hAnsi="Calibri Light" w:cs="Times New Roman"/>
      <w:i/>
      <w:iCs/>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D5FE9"/>
    <w:pPr>
      <w:spacing w:after="0" w:line="240" w:lineRule="auto"/>
      <w:contextualSpacing/>
    </w:pPr>
    <w:rPr>
      <w:rFonts w:ascii="Calibri Light" w:eastAsia="SimSun" w:hAnsi="Calibri Light" w:cs="Times New Roman"/>
      <w:color w:val="2E74B5"/>
      <w:spacing w:val="-7"/>
      <w:sz w:val="80"/>
      <w:szCs w:val="80"/>
    </w:rPr>
  </w:style>
  <w:style w:type="character" w:customStyle="1" w:styleId="Heading1Char">
    <w:name w:val="Heading 1 Char"/>
    <w:link w:val="Heading1"/>
    <w:uiPriority w:val="9"/>
    <w:rsid w:val="004D5FE9"/>
    <w:rPr>
      <w:rFonts w:ascii="Calibri Light" w:eastAsia="SimSun" w:hAnsi="Calibri Light" w:cs="Times New Roman"/>
      <w:color w:val="2E74B5"/>
      <w:sz w:val="36"/>
      <w:szCs w:val="36"/>
    </w:rPr>
  </w:style>
  <w:style w:type="character" w:customStyle="1" w:styleId="Heading2Char">
    <w:name w:val="Heading 2 Char"/>
    <w:link w:val="Heading2"/>
    <w:uiPriority w:val="9"/>
    <w:rsid w:val="004D5FE9"/>
    <w:rPr>
      <w:rFonts w:ascii="Calibri Light" w:eastAsia="SimSun" w:hAnsi="Calibri Light"/>
      <w:color w:val="2E74B5"/>
      <w:sz w:val="28"/>
      <w:szCs w:val="28"/>
      <w:lang w:eastAsia="fr-FR"/>
    </w:rPr>
  </w:style>
  <w:style w:type="character" w:customStyle="1" w:styleId="Heading3Char">
    <w:name w:val="Heading 3 Char"/>
    <w:link w:val="Heading3"/>
    <w:uiPriority w:val="9"/>
    <w:rsid w:val="004D5FE9"/>
    <w:rPr>
      <w:rFonts w:ascii="Calibri Light" w:eastAsia="SimSun" w:hAnsi="Calibri Light"/>
      <w:color w:val="404040"/>
      <w:sz w:val="26"/>
      <w:szCs w:val="26"/>
      <w:lang w:eastAsia="fr-FR"/>
    </w:rPr>
  </w:style>
  <w:style w:type="paragraph" w:styleId="FootnoteText">
    <w:name w:val="footnote text"/>
    <w:basedOn w:val="Normal"/>
    <w:link w:val="FootnoteTextChar"/>
    <w:rsid w:val="004D5FE9"/>
    <w:pPr>
      <w:spacing w:line="240" w:lineRule="auto"/>
    </w:pPr>
    <w:rPr>
      <w:sz w:val="16"/>
      <w:szCs w:val="20"/>
    </w:rPr>
  </w:style>
  <w:style w:type="character" w:customStyle="1" w:styleId="FootnoteTextChar">
    <w:name w:val="Footnote Text Char"/>
    <w:basedOn w:val="DefaultParagraphFont"/>
    <w:link w:val="FootnoteText"/>
    <w:rsid w:val="004D5FE9"/>
    <w:rPr>
      <w:rFonts w:eastAsiaTheme="minorEastAsia"/>
      <w:sz w:val="16"/>
      <w:szCs w:val="20"/>
      <w:lang w:eastAsia="fr-FR"/>
    </w:rPr>
  </w:style>
  <w:style w:type="character" w:customStyle="1" w:styleId="Heading4Char">
    <w:name w:val="Heading 4 Char"/>
    <w:link w:val="Heading4"/>
    <w:uiPriority w:val="9"/>
    <w:semiHidden/>
    <w:rsid w:val="004D5FE9"/>
    <w:rPr>
      <w:rFonts w:ascii="Calibri Light" w:eastAsia="SimSun" w:hAnsi="Calibri Light" w:cstheme="majorBidi"/>
      <w:sz w:val="24"/>
      <w:szCs w:val="24"/>
      <w:lang w:eastAsia="fr-FR"/>
    </w:rPr>
  </w:style>
  <w:style w:type="character" w:customStyle="1" w:styleId="Heading5Char">
    <w:name w:val="Heading 5 Char"/>
    <w:link w:val="Heading5"/>
    <w:uiPriority w:val="9"/>
    <w:semiHidden/>
    <w:rsid w:val="004D5FE9"/>
    <w:rPr>
      <w:rFonts w:ascii="Calibri Light" w:eastAsia="SimSun" w:hAnsi="Calibri Light" w:cs="Times New Roman"/>
      <w:i/>
      <w:iCs/>
      <w:lang w:eastAsia="fr-FR"/>
    </w:rPr>
  </w:style>
  <w:style w:type="character" w:customStyle="1" w:styleId="Heading6Char">
    <w:name w:val="Heading 6 Char"/>
    <w:link w:val="Heading6"/>
    <w:uiPriority w:val="9"/>
    <w:semiHidden/>
    <w:rsid w:val="004D5FE9"/>
    <w:rPr>
      <w:rFonts w:ascii="Calibri Light" w:eastAsia="SimSun" w:hAnsi="Calibri Light" w:cs="Times New Roman"/>
      <w:color w:val="595959"/>
      <w:sz w:val="21"/>
      <w:szCs w:val="21"/>
      <w:lang w:eastAsia="fr-FR"/>
    </w:rPr>
  </w:style>
  <w:style w:type="character" w:customStyle="1" w:styleId="Heading7Char">
    <w:name w:val="Heading 7 Char"/>
    <w:link w:val="Heading7"/>
    <w:uiPriority w:val="9"/>
    <w:semiHidden/>
    <w:rsid w:val="004D5FE9"/>
    <w:rPr>
      <w:rFonts w:ascii="Calibri Light" w:eastAsia="SimSun" w:hAnsi="Calibri Light" w:cs="Times New Roman"/>
      <w:i/>
      <w:iCs/>
      <w:color w:val="595959"/>
      <w:sz w:val="21"/>
      <w:szCs w:val="21"/>
      <w:lang w:eastAsia="fr-FR"/>
    </w:rPr>
  </w:style>
  <w:style w:type="character" w:customStyle="1" w:styleId="Heading8Char">
    <w:name w:val="Heading 8 Char"/>
    <w:link w:val="Heading8"/>
    <w:uiPriority w:val="9"/>
    <w:semiHidden/>
    <w:rsid w:val="004D5FE9"/>
    <w:rPr>
      <w:rFonts w:ascii="Calibri Light" w:eastAsia="SimSun" w:hAnsi="Calibri Light" w:cs="Times New Roman"/>
      <w:smallCaps/>
      <w:color w:val="595959"/>
      <w:sz w:val="21"/>
      <w:szCs w:val="21"/>
      <w:lang w:eastAsia="fr-FR"/>
    </w:rPr>
  </w:style>
  <w:style w:type="character" w:customStyle="1" w:styleId="Heading9Char">
    <w:name w:val="Heading 9 Char"/>
    <w:link w:val="Heading9"/>
    <w:uiPriority w:val="9"/>
    <w:semiHidden/>
    <w:rsid w:val="004D5FE9"/>
    <w:rPr>
      <w:rFonts w:ascii="Calibri Light" w:eastAsia="SimSun" w:hAnsi="Calibri Light" w:cs="Times New Roman"/>
      <w:i/>
      <w:iCs/>
      <w:smallCaps/>
      <w:color w:val="595959"/>
      <w:sz w:val="21"/>
      <w:szCs w:val="21"/>
      <w:lang w:eastAsia="fr-FR"/>
    </w:rPr>
  </w:style>
  <w:style w:type="paragraph" w:styleId="Header">
    <w:name w:val="header"/>
    <w:basedOn w:val="Normal"/>
    <w:link w:val="HeaderChar"/>
    <w:rsid w:val="004D5FE9"/>
    <w:pPr>
      <w:tabs>
        <w:tab w:val="center" w:pos="4536"/>
        <w:tab w:val="right" w:pos="9072"/>
      </w:tabs>
    </w:pPr>
  </w:style>
  <w:style w:type="character" w:customStyle="1" w:styleId="HeaderChar">
    <w:name w:val="Header Char"/>
    <w:basedOn w:val="DefaultParagraphFont"/>
    <w:link w:val="Header"/>
    <w:rsid w:val="004D5FE9"/>
    <w:rPr>
      <w:rFonts w:eastAsiaTheme="minorEastAsia"/>
      <w:sz w:val="21"/>
      <w:szCs w:val="21"/>
      <w:lang w:eastAsia="fr-FR"/>
    </w:rPr>
  </w:style>
  <w:style w:type="paragraph" w:styleId="Footer">
    <w:name w:val="footer"/>
    <w:basedOn w:val="Normal"/>
    <w:link w:val="FooterChar"/>
    <w:uiPriority w:val="99"/>
    <w:rsid w:val="004D5FE9"/>
    <w:pPr>
      <w:tabs>
        <w:tab w:val="center" w:pos="4536"/>
        <w:tab w:val="right" w:pos="9072"/>
      </w:tabs>
    </w:pPr>
  </w:style>
  <w:style w:type="character" w:customStyle="1" w:styleId="FooterChar">
    <w:name w:val="Footer Char"/>
    <w:basedOn w:val="DefaultParagraphFont"/>
    <w:link w:val="Footer"/>
    <w:uiPriority w:val="99"/>
    <w:rsid w:val="004D5FE9"/>
    <w:rPr>
      <w:rFonts w:eastAsiaTheme="minorEastAsia"/>
      <w:sz w:val="21"/>
      <w:szCs w:val="21"/>
      <w:lang w:eastAsia="fr-FR"/>
    </w:rPr>
  </w:style>
  <w:style w:type="paragraph" w:styleId="Caption">
    <w:name w:val="caption"/>
    <w:basedOn w:val="Normal"/>
    <w:next w:val="Normal"/>
    <w:uiPriority w:val="35"/>
    <w:semiHidden/>
    <w:unhideWhenUsed/>
    <w:qFormat/>
    <w:rsid w:val="004D5FE9"/>
    <w:pPr>
      <w:spacing w:line="240" w:lineRule="auto"/>
    </w:pPr>
    <w:rPr>
      <w:b/>
      <w:bCs/>
      <w:color w:val="404040"/>
      <w:sz w:val="20"/>
      <w:szCs w:val="20"/>
    </w:rPr>
  </w:style>
  <w:style w:type="character" w:customStyle="1" w:styleId="TitleChar">
    <w:name w:val="Title Char"/>
    <w:link w:val="Title"/>
    <w:uiPriority w:val="10"/>
    <w:rsid w:val="004D5FE9"/>
    <w:rPr>
      <w:rFonts w:ascii="Calibri Light" w:eastAsia="SimSun" w:hAnsi="Calibri Light" w:cs="Times New Roman"/>
      <w:color w:val="2E74B5"/>
      <w:spacing w:val="-7"/>
      <w:sz w:val="80"/>
      <w:szCs w:val="80"/>
      <w:lang w:eastAsia="fr-FR"/>
    </w:rPr>
  </w:style>
  <w:style w:type="paragraph" w:styleId="Subtitle">
    <w:name w:val="Subtitle"/>
    <w:basedOn w:val="Normal"/>
    <w:next w:val="Normal"/>
    <w:link w:val="SubtitleChar"/>
    <w:pPr>
      <w:spacing w:after="240" w:line="240" w:lineRule="auto"/>
    </w:pPr>
    <w:rPr>
      <w:color w:val="404040"/>
      <w:sz w:val="30"/>
      <w:szCs w:val="30"/>
    </w:rPr>
  </w:style>
  <w:style w:type="character" w:customStyle="1" w:styleId="SubtitleChar">
    <w:name w:val="Subtitle Char"/>
    <w:link w:val="Subtitle"/>
    <w:uiPriority w:val="11"/>
    <w:rsid w:val="004D5FE9"/>
    <w:rPr>
      <w:rFonts w:ascii="Calibri Light" w:eastAsia="SimSun" w:hAnsi="Calibri Light" w:cs="Times New Roman"/>
      <w:color w:val="404040"/>
      <w:sz w:val="30"/>
      <w:szCs w:val="30"/>
      <w:lang w:eastAsia="fr-FR"/>
    </w:rPr>
  </w:style>
  <w:style w:type="character" w:styleId="Strong">
    <w:name w:val="Strong"/>
    <w:uiPriority w:val="22"/>
    <w:qFormat/>
    <w:rsid w:val="004D5FE9"/>
    <w:rPr>
      <w:b/>
      <w:bCs/>
    </w:rPr>
  </w:style>
  <w:style w:type="character" w:styleId="Emphasis">
    <w:name w:val="Emphasis"/>
    <w:uiPriority w:val="20"/>
    <w:qFormat/>
    <w:rsid w:val="004D5FE9"/>
    <w:rPr>
      <w:i/>
      <w:iCs/>
    </w:rPr>
  </w:style>
  <w:style w:type="paragraph" w:styleId="NoSpacing">
    <w:name w:val="No Spacing"/>
    <w:uiPriority w:val="1"/>
    <w:qFormat/>
    <w:rsid w:val="004D5FE9"/>
    <w:pPr>
      <w:spacing w:after="0" w:line="240" w:lineRule="auto"/>
    </w:pPr>
    <w:rPr>
      <w:rFonts w:eastAsiaTheme="minorEastAsia"/>
      <w:lang w:eastAsia="fr-FR"/>
    </w:rPr>
  </w:style>
  <w:style w:type="paragraph" w:styleId="Quote">
    <w:name w:val="Quote"/>
    <w:basedOn w:val="Normal"/>
    <w:next w:val="Normal"/>
    <w:link w:val="QuoteChar"/>
    <w:uiPriority w:val="29"/>
    <w:qFormat/>
    <w:rsid w:val="004D5FE9"/>
    <w:pPr>
      <w:spacing w:before="240" w:after="240" w:line="252" w:lineRule="auto"/>
      <w:ind w:left="864" w:right="864"/>
      <w:jc w:val="center"/>
    </w:pPr>
    <w:rPr>
      <w:i/>
      <w:iCs/>
    </w:rPr>
  </w:style>
  <w:style w:type="character" w:customStyle="1" w:styleId="QuoteChar">
    <w:name w:val="Quote Char"/>
    <w:link w:val="Quote"/>
    <w:uiPriority w:val="29"/>
    <w:rsid w:val="004D5FE9"/>
    <w:rPr>
      <w:rFonts w:eastAsiaTheme="minorEastAsia"/>
      <w:i/>
      <w:iCs/>
      <w:sz w:val="21"/>
      <w:szCs w:val="21"/>
      <w:lang w:eastAsia="fr-FR"/>
    </w:rPr>
  </w:style>
  <w:style w:type="paragraph" w:styleId="IntenseQuote">
    <w:name w:val="Intense Quote"/>
    <w:basedOn w:val="Normal"/>
    <w:next w:val="Normal"/>
    <w:link w:val="IntenseQuoteChar"/>
    <w:uiPriority w:val="30"/>
    <w:qFormat/>
    <w:rsid w:val="004D5FE9"/>
    <w:pPr>
      <w:spacing w:before="100" w:beforeAutospacing="1" w:after="240"/>
      <w:ind w:left="864" w:right="864"/>
      <w:jc w:val="center"/>
    </w:pPr>
    <w:rPr>
      <w:rFonts w:ascii="Calibri Light" w:eastAsia="SimSun" w:hAnsi="Calibri Light" w:cs="Times New Roman"/>
      <w:color w:val="5B9BD5"/>
      <w:sz w:val="28"/>
      <w:szCs w:val="28"/>
    </w:rPr>
  </w:style>
  <w:style w:type="character" w:customStyle="1" w:styleId="IntenseQuoteChar">
    <w:name w:val="Intense Quote Char"/>
    <w:link w:val="IntenseQuote"/>
    <w:uiPriority w:val="30"/>
    <w:rsid w:val="004D5FE9"/>
    <w:rPr>
      <w:rFonts w:ascii="Calibri Light" w:eastAsia="SimSun" w:hAnsi="Calibri Light" w:cs="Times New Roman"/>
      <w:color w:val="5B9BD5"/>
      <w:sz w:val="28"/>
      <w:szCs w:val="28"/>
      <w:lang w:eastAsia="fr-FR"/>
    </w:rPr>
  </w:style>
  <w:style w:type="character" w:styleId="SubtleEmphasis">
    <w:name w:val="Subtle Emphasis"/>
    <w:uiPriority w:val="19"/>
    <w:qFormat/>
    <w:rsid w:val="004D5FE9"/>
    <w:rPr>
      <w:i/>
      <w:iCs/>
      <w:color w:val="595959" w:themeColor="text1" w:themeTint="A6"/>
    </w:rPr>
  </w:style>
  <w:style w:type="character" w:styleId="IntenseEmphasis">
    <w:name w:val="Intense Emphasis"/>
    <w:uiPriority w:val="21"/>
    <w:qFormat/>
    <w:rsid w:val="004D5FE9"/>
    <w:rPr>
      <w:b/>
      <w:bCs/>
      <w:i/>
      <w:iCs/>
    </w:rPr>
  </w:style>
  <w:style w:type="character" w:styleId="SubtleReference">
    <w:name w:val="Subtle Reference"/>
    <w:uiPriority w:val="31"/>
    <w:qFormat/>
    <w:rsid w:val="004D5FE9"/>
    <w:rPr>
      <w:smallCaps/>
      <w:color w:val="404040" w:themeColor="text1" w:themeTint="BF"/>
    </w:rPr>
  </w:style>
  <w:style w:type="character" w:styleId="IntenseReference">
    <w:name w:val="Intense Reference"/>
    <w:uiPriority w:val="32"/>
    <w:qFormat/>
    <w:rsid w:val="004D5FE9"/>
    <w:rPr>
      <w:b/>
      <w:bCs/>
      <w:smallCaps/>
      <w:u w:val="single"/>
    </w:rPr>
  </w:style>
  <w:style w:type="character" w:styleId="BookTitle">
    <w:name w:val="Book Title"/>
    <w:uiPriority w:val="33"/>
    <w:qFormat/>
    <w:rsid w:val="004D5FE9"/>
    <w:rPr>
      <w:b/>
      <w:bCs/>
      <w:smallCaps/>
    </w:rPr>
  </w:style>
  <w:style w:type="paragraph" w:styleId="TOCHeading">
    <w:name w:val="TOC Heading"/>
    <w:basedOn w:val="Heading1"/>
    <w:next w:val="Normal"/>
    <w:uiPriority w:val="39"/>
    <w:semiHidden/>
    <w:unhideWhenUsed/>
    <w:qFormat/>
    <w:rsid w:val="004D5FE9"/>
    <w:pPr>
      <w:outlineLvl w:val="9"/>
    </w:pPr>
  </w:style>
  <w:style w:type="character" w:styleId="FootnoteReference">
    <w:name w:val="footnote reference"/>
    <w:rsid w:val="00F15DD1"/>
    <w:rPr>
      <w:vertAlign w:val="superscript"/>
    </w:rPr>
  </w:style>
  <w:style w:type="character" w:styleId="Hyperlink">
    <w:name w:val="Hyperlink"/>
    <w:rsid w:val="00F15DD1"/>
    <w:rPr>
      <w:color w:val="0563C1"/>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medecinsdumonde.org/fr/actualites/publications/2020/07/06/travail-du-sexe-reponses-levaluation-de-la-loi-de-2016" TargetMode="External"/><Relationship Id="rId1" Type="http://schemas.openxmlformats.org/officeDocument/2006/relationships/hyperlink" Target="https://www.medecinsdumonde.org/sites/default/files/Rapport-prostitution-BD.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rytypd9CL3SBhXHZJeoDbdhA0/g==">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</go:docsCustomData>
</go:gDocsCustomXmlDataStorage>
</file>

<file path=customXml/itemProps1.xml><?xml version="1.0" encoding="utf-8"?>
<ds:datastoreItem xmlns:ds="http://schemas.openxmlformats.org/officeDocument/2006/customXml" ds:itemID="{764457D8-EDE6-40BC-A88A-0A2256E3BB37}">
  <ds:schemaRefs>
    <ds:schemaRef ds:uri="http://schemas.microsoft.com/office/2006/metadata/properties"/>
    <ds:schemaRef ds:uri="http://schemas.microsoft.com/office/infopath/2007/PartnerControls"/>
    <ds:schemaRef ds:uri="1b06f34c-edd5-4de8-8122-fa32e9368301"/>
  </ds:schemaRefs>
</ds:datastoreItem>
</file>

<file path=customXml/itemProps2.xml><?xml version="1.0" encoding="utf-8"?>
<ds:datastoreItem xmlns:ds="http://schemas.openxmlformats.org/officeDocument/2006/customXml" ds:itemID="{E5F76322-8395-4377-9367-0955F52C00BD}">
  <ds:schemaRefs>
    <ds:schemaRef ds:uri="http://schemas.microsoft.com/sharepoint/v3/contenttype/forms"/>
  </ds:schemaRefs>
</ds:datastoreItem>
</file>

<file path=customXml/itemProps3.xml><?xml version="1.0" encoding="utf-8"?>
<ds:datastoreItem xmlns:ds="http://schemas.openxmlformats.org/officeDocument/2006/customXml" ds:itemID="{FEB11203-C3B1-4712-AC1E-9B8CA5E515C9}"/>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2863</Words>
  <Characters>16321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SARAH-MARIE MAFFESOLI</dc:creator>
  <cp:lastModifiedBy>Caroline Harvey</cp:lastModifiedBy>
  <cp:revision>2</cp:revision>
  <dcterms:created xsi:type="dcterms:W3CDTF">2022-02-09T11:02:00Z</dcterms:created>
  <dcterms:modified xsi:type="dcterms:W3CDTF">2022-02-09T11:02:00Z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