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1AED" w:rsidRDefault="00A11AED" w:rsidP="00D13B8F">
      <w:pPr>
        <w:shd w:val="clear" w:color="auto" w:fill="FFFFFF"/>
        <w:rPr>
          <w:b/>
          <w:bCs/>
          <w:sz w:val="40"/>
          <w:szCs w:val="40"/>
        </w:rPr>
      </w:pPr>
    </w:p>
    <w:p w:rsidR="00310F77" w:rsidRPr="00D13B8F" w:rsidRDefault="00AB1708" w:rsidP="00634F48">
      <w:pPr>
        <w:shd w:val="clear" w:color="auto" w:fill="FFFFFF"/>
        <w:jc w:val="center"/>
        <w:rPr>
          <w:rFonts w:ascii="Arial" w:hAnsi="Arial" w:cs="Arial"/>
          <w:color w:val="222222"/>
        </w:rPr>
      </w:pPr>
      <w:r>
        <w:rPr>
          <w:b/>
          <w:bCs/>
          <w:sz w:val="40"/>
          <w:szCs w:val="40"/>
        </w:rPr>
        <w:t>South Asia Human Rights Documentation Centre</w:t>
      </w:r>
      <w:r w:rsidR="00D13B8F">
        <w:rPr>
          <w:rFonts w:ascii="Arial" w:hAnsi="Arial" w:cs="Arial"/>
          <w:color w:val="222222"/>
        </w:rPr>
        <w:br/>
      </w:r>
      <w:r w:rsidR="00D13B8F" w:rsidRPr="00D13B8F">
        <w:rPr>
          <w:rFonts w:ascii="Arial" w:hAnsi="Arial" w:cs="Arial"/>
          <w:b/>
          <w:color w:val="222222"/>
        </w:rPr>
        <w:t>22 Northend Complex, Ramakrishna Ashr</w:t>
      </w:r>
      <w:r w:rsidR="00D13B8F">
        <w:rPr>
          <w:rFonts w:ascii="Arial" w:hAnsi="Arial" w:cs="Arial"/>
          <w:b/>
          <w:color w:val="222222"/>
        </w:rPr>
        <w:t>am Marg</w:t>
      </w:r>
      <w:r w:rsidR="00D13B8F">
        <w:rPr>
          <w:rFonts w:ascii="Arial" w:hAnsi="Arial" w:cs="Arial"/>
          <w:b/>
          <w:color w:val="222222"/>
        </w:rPr>
        <w:br/>
        <w:t>New Delhi 110001, India</w:t>
      </w:r>
      <w:r w:rsidR="00D13B8F">
        <w:rPr>
          <w:rFonts w:ascii="Arial" w:hAnsi="Arial" w:cs="Arial"/>
          <w:b/>
          <w:color w:val="222222"/>
        </w:rPr>
        <w:br/>
        <w:t xml:space="preserve">e-mail: </w:t>
      </w:r>
      <w:hyperlink r:id="rId9" w:history="1">
        <w:r w:rsidR="00D13B8F" w:rsidRPr="00D13B8F">
          <w:rPr>
            <w:rStyle w:val="Hyperlink"/>
            <w:rFonts w:ascii="Arial" w:hAnsi="Arial" w:cs="Arial"/>
            <w:b/>
          </w:rPr>
          <w:t>ravinairsahrdc@gmail.com</w:t>
        </w:r>
      </w:hyperlink>
      <w:r w:rsidR="00D13B8F" w:rsidRPr="00D13B8F">
        <w:rPr>
          <w:rFonts w:ascii="Arial" w:hAnsi="Arial" w:cs="Arial"/>
          <w:b/>
          <w:color w:val="222222"/>
        </w:rPr>
        <w:t>.</w:t>
      </w:r>
      <w:r w:rsidR="00D13B8F" w:rsidRPr="00D13B8F">
        <w:rPr>
          <w:rFonts w:ascii="Arial" w:hAnsi="Arial" w:cs="Arial"/>
          <w:b/>
          <w:color w:val="222222"/>
        </w:rPr>
        <w:br/>
        <w:t>Mobile</w:t>
      </w:r>
      <w:r w:rsidR="00A16760">
        <w:rPr>
          <w:rFonts w:ascii="Arial" w:hAnsi="Arial" w:cs="Arial"/>
          <w:b/>
          <w:color w:val="222222"/>
        </w:rPr>
        <w:t xml:space="preserve"> and whatsapp</w:t>
      </w:r>
      <w:r w:rsidR="00D13B8F" w:rsidRPr="00D13B8F">
        <w:rPr>
          <w:rFonts w:ascii="Arial" w:hAnsi="Arial" w:cs="Arial"/>
          <w:b/>
          <w:color w:val="222222"/>
        </w:rPr>
        <w:t>: 91 – 9810344765.(24 hours)</w:t>
      </w:r>
    </w:p>
    <w:p w:rsidR="00634F48" w:rsidRDefault="00634F48" w:rsidP="00310F77">
      <w:pPr>
        <w:rPr>
          <w:rFonts w:ascii="Times New Roman" w:hAnsi="Times New Roman" w:cs="Times New Roman"/>
          <w:spacing w:val="-3"/>
          <w:sz w:val="24"/>
          <w:szCs w:val="24"/>
        </w:rPr>
      </w:pPr>
    </w:p>
    <w:p w:rsidR="00310F77" w:rsidRPr="00310F77" w:rsidRDefault="00310F77" w:rsidP="00310F77">
      <w:pPr>
        <w:rPr>
          <w:rFonts w:ascii="Times New Roman" w:hAnsi="Times New Roman" w:cs="Times New Roman"/>
          <w:spacing w:val="-3"/>
          <w:sz w:val="24"/>
          <w:szCs w:val="24"/>
        </w:rPr>
      </w:pPr>
      <w:r w:rsidRPr="00310F77">
        <w:rPr>
          <w:rFonts w:ascii="Times New Roman" w:hAnsi="Times New Roman" w:cs="Times New Roman"/>
          <w:spacing w:val="-3"/>
          <w:sz w:val="24"/>
          <w:szCs w:val="24"/>
        </w:rPr>
        <w:t xml:space="preserve">The South Asia Human Rights Documentation Centre (SAHRDC) works for the protection and promotion of human rights by collecting, verifying and disseminating information on civil and political rights in the South Asian region. It is independent of any government, political ideology, economic interest or religious creed. </w:t>
      </w:r>
      <w:r>
        <w:rPr>
          <w:rFonts w:ascii="Times New Roman" w:hAnsi="Times New Roman" w:cs="Times New Roman"/>
          <w:spacing w:val="-3"/>
          <w:sz w:val="24"/>
          <w:szCs w:val="24"/>
        </w:rPr>
        <w:t xml:space="preserve">Further information available at </w:t>
      </w:r>
      <w:hyperlink r:id="rId10" w:history="1">
        <w:r w:rsidR="00D13B8F" w:rsidRPr="00926642">
          <w:rPr>
            <w:rStyle w:val="Hyperlink"/>
            <w:rFonts w:ascii="Times New Roman" w:hAnsi="Times New Roman" w:cs="Times New Roman"/>
            <w:spacing w:val="-3"/>
            <w:sz w:val="24"/>
            <w:szCs w:val="24"/>
          </w:rPr>
          <w:t>www.hrdc.net</w:t>
        </w:r>
      </w:hyperlink>
      <w:r w:rsidR="00D13B8F">
        <w:rPr>
          <w:rFonts w:ascii="Times New Roman" w:hAnsi="Times New Roman" w:cs="Times New Roman"/>
          <w:spacing w:val="-3"/>
          <w:sz w:val="24"/>
          <w:szCs w:val="24"/>
        </w:rPr>
        <w:t xml:space="preserve">. </w:t>
      </w:r>
    </w:p>
    <w:p w:rsidR="00AB1708" w:rsidRDefault="00AB1708" w:rsidP="00AB1708">
      <w:pPr>
        <w:pStyle w:val="BodyA"/>
        <w:jc w:val="center"/>
        <w:rPr>
          <w:b/>
          <w:bCs/>
          <w:sz w:val="32"/>
          <w:szCs w:val="32"/>
        </w:rPr>
      </w:pPr>
    </w:p>
    <w:p w:rsidR="00634F48" w:rsidRDefault="00634F48" w:rsidP="00AB1708">
      <w:pPr>
        <w:pStyle w:val="BodyA"/>
        <w:jc w:val="center"/>
        <w:rPr>
          <w:b/>
          <w:bCs/>
          <w:sz w:val="32"/>
          <w:szCs w:val="32"/>
        </w:rPr>
      </w:pPr>
    </w:p>
    <w:p w:rsidR="00634F48" w:rsidRPr="00634F48" w:rsidRDefault="00634F48" w:rsidP="00634F48">
      <w:pPr>
        <w:pStyle w:val="BodyA"/>
        <w:rPr>
          <w:b/>
          <w:bCs/>
        </w:rPr>
      </w:pPr>
      <w:r>
        <w:rPr>
          <w:b/>
          <w:bCs/>
        </w:rPr>
        <w:t>Attention</w:t>
      </w:r>
    </w:p>
    <w:p w:rsidR="00634F48" w:rsidRDefault="00634F48" w:rsidP="00634F48">
      <w:pPr>
        <w:pStyle w:val="BodyA"/>
        <w:jc w:val="center"/>
        <w:rPr>
          <w:b/>
          <w:bCs/>
        </w:rPr>
      </w:pPr>
      <w:r>
        <w:rPr>
          <w:b/>
          <w:bCs/>
        </w:rPr>
        <w:t>UN HUMAN RIGHTS COMMITTEE</w:t>
      </w:r>
    </w:p>
    <w:p w:rsidR="00634F48" w:rsidRPr="00634F48" w:rsidRDefault="00634F48" w:rsidP="00634F48">
      <w:pPr>
        <w:pStyle w:val="BodyA"/>
        <w:jc w:val="center"/>
        <w:rPr>
          <w:b/>
          <w:bCs/>
        </w:rPr>
      </w:pPr>
      <w:r w:rsidRPr="00634F48">
        <w:rPr>
          <w:b/>
          <w:bCs/>
        </w:rPr>
        <w:t>8-14 Avenue de la Paix</w:t>
      </w:r>
      <w:r>
        <w:rPr>
          <w:b/>
          <w:bCs/>
        </w:rPr>
        <w:t>,</w:t>
      </w:r>
      <w:r w:rsidRPr="00634F48">
        <w:t xml:space="preserve"> </w:t>
      </w:r>
      <w:r w:rsidRPr="00634F48">
        <w:rPr>
          <w:b/>
          <w:bCs/>
        </w:rPr>
        <w:t>CH 1211 Geneva 10</w:t>
      </w:r>
    </w:p>
    <w:p w:rsidR="005C7BDD" w:rsidRDefault="00634F48" w:rsidP="00634F48">
      <w:pPr>
        <w:pStyle w:val="BodyA"/>
        <w:jc w:val="center"/>
        <w:rPr>
          <w:b/>
          <w:bCs/>
        </w:rPr>
      </w:pPr>
      <w:r w:rsidRPr="00634F48">
        <w:rPr>
          <w:b/>
          <w:bCs/>
        </w:rPr>
        <w:t xml:space="preserve">Switzerland </w:t>
      </w:r>
    </w:p>
    <w:p w:rsidR="005C7BDD" w:rsidRDefault="005C7BDD" w:rsidP="005C7BDD">
      <w:r>
        <w:t>ohchr-ccpr@un.org</w:t>
      </w:r>
    </w:p>
    <w:p w:rsidR="005C7BDD" w:rsidRDefault="005C7BDD" w:rsidP="005C7BDD">
      <w:r>
        <w:t>gabriella.habtom@un.org</w:t>
      </w:r>
    </w:p>
    <w:p w:rsidR="005C7BDD" w:rsidRDefault="005C7BDD" w:rsidP="005C7BDD">
      <w:r>
        <w:t>cherry.balm</w:t>
      </w:r>
      <w:r>
        <w:t>aceda@unorg</w:t>
      </w:r>
    </w:p>
    <w:p w:rsidR="00634F48" w:rsidRPr="00634F48" w:rsidRDefault="00634F48" w:rsidP="00634F48">
      <w:pPr>
        <w:pStyle w:val="BodyA"/>
        <w:jc w:val="center"/>
        <w:rPr>
          <w:b/>
          <w:bCs/>
        </w:rPr>
      </w:pPr>
      <w:r w:rsidRPr="00634F48">
        <w:rPr>
          <w:b/>
          <w:bCs/>
        </w:rPr>
        <w:t xml:space="preserve"> </w:t>
      </w:r>
    </w:p>
    <w:p w:rsidR="00634F48" w:rsidRDefault="005C7BDD" w:rsidP="00634F48">
      <w:pPr>
        <w:pStyle w:val="BodyA"/>
        <w:jc w:val="right"/>
        <w:rPr>
          <w:rFonts w:hAnsi="Times New Roman" w:cs="Times New Roman"/>
          <w:b/>
          <w:bCs/>
        </w:rPr>
      </w:pPr>
      <w:r>
        <w:rPr>
          <w:rFonts w:hAnsi="Times New Roman" w:cs="Times New Roman"/>
          <w:b/>
          <w:bCs/>
        </w:rPr>
        <w:t>2</w:t>
      </w:r>
      <w:r w:rsidR="00634F48">
        <w:rPr>
          <w:rFonts w:hAnsi="Times New Roman" w:cs="Times New Roman"/>
          <w:b/>
          <w:bCs/>
        </w:rPr>
        <w:t xml:space="preserve"> June 2024</w:t>
      </w:r>
    </w:p>
    <w:p w:rsidR="00634F48" w:rsidRDefault="00634F48" w:rsidP="00AB1708">
      <w:pPr>
        <w:pStyle w:val="BodyA"/>
        <w:jc w:val="both"/>
        <w:rPr>
          <w:rFonts w:hAnsi="Times New Roman" w:cs="Times New Roman"/>
          <w:b/>
          <w:bCs/>
        </w:rPr>
      </w:pPr>
    </w:p>
    <w:p w:rsidR="00AB1708" w:rsidRPr="00F555F6" w:rsidRDefault="00AB1708" w:rsidP="00AB1708">
      <w:pPr>
        <w:pStyle w:val="BodyA"/>
        <w:jc w:val="both"/>
        <w:rPr>
          <w:rFonts w:hAnsi="Times New Roman" w:cs="Times New Roman"/>
          <w:b/>
          <w:bCs/>
        </w:rPr>
      </w:pPr>
      <w:r w:rsidRPr="00F555F6">
        <w:rPr>
          <w:rFonts w:hAnsi="Times New Roman" w:cs="Times New Roman"/>
          <w:b/>
          <w:bCs/>
        </w:rPr>
        <w:t>Submission to the United Nations Human Rights Committee for the fourth periodic review of India under the ICCPR.</w:t>
      </w:r>
    </w:p>
    <w:p w:rsidR="00AB1708" w:rsidRPr="00F555F6" w:rsidRDefault="00AB1708" w:rsidP="00AB1708">
      <w:pPr>
        <w:pStyle w:val="BodyA"/>
        <w:jc w:val="both"/>
        <w:rPr>
          <w:rFonts w:hAnsi="Times New Roman" w:cs="Times New Roman"/>
          <w:b/>
          <w:bCs/>
        </w:rPr>
      </w:pPr>
    </w:p>
    <w:p w:rsidR="00F64BC4" w:rsidRDefault="001B7FF7" w:rsidP="005B79A8">
      <w:pPr>
        <w:pStyle w:val="BodyA"/>
        <w:jc w:val="both"/>
        <w:rPr>
          <w:rFonts w:hAnsi="Times New Roman" w:cs="Times New Roman"/>
          <w:bCs/>
        </w:rPr>
      </w:pPr>
      <w:r w:rsidRPr="001B7FF7">
        <w:rPr>
          <w:rFonts w:hAnsi="Times New Roman" w:cs="Times New Roman"/>
          <w:bCs/>
        </w:rPr>
        <w:t xml:space="preserve">This </w:t>
      </w:r>
      <w:r w:rsidR="00CF443B">
        <w:rPr>
          <w:rFonts w:hAnsi="Times New Roman" w:cs="Times New Roman"/>
          <w:bCs/>
        </w:rPr>
        <w:t xml:space="preserve">submission </w:t>
      </w:r>
      <w:r w:rsidR="00F64BC4">
        <w:rPr>
          <w:rFonts w:hAnsi="Times New Roman" w:cs="Times New Roman"/>
          <w:bCs/>
        </w:rPr>
        <w:t>is to meet with the word limit requirements for ngo submissions</w:t>
      </w:r>
    </w:p>
    <w:p w:rsidR="001B7FF7" w:rsidRDefault="00F64BC4" w:rsidP="005B79A8">
      <w:pPr>
        <w:pStyle w:val="BodyA"/>
        <w:jc w:val="both"/>
        <w:rPr>
          <w:rFonts w:hAnsi="Times New Roman" w:cs="Times New Roman"/>
          <w:bCs/>
        </w:rPr>
      </w:pPr>
      <w:r>
        <w:rPr>
          <w:rFonts w:hAnsi="Times New Roman" w:cs="Times New Roman"/>
          <w:bCs/>
        </w:rPr>
        <w:t xml:space="preserve"> </w:t>
      </w:r>
    </w:p>
    <w:p w:rsidR="001B7FF7" w:rsidRPr="001B7FF7" w:rsidRDefault="001B7FF7" w:rsidP="009331C4">
      <w:pPr>
        <w:pStyle w:val="BodyA"/>
        <w:jc w:val="both"/>
        <w:rPr>
          <w:rFonts w:hAnsi="Times New Roman" w:cs="Times New Roman"/>
          <w:bCs/>
        </w:rPr>
      </w:pPr>
      <w:r w:rsidRPr="001B7FF7">
        <w:rPr>
          <w:rFonts w:hAnsi="Times New Roman" w:cs="Times New Roman"/>
          <w:bCs/>
        </w:rPr>
        <w:t>Th</w:t>
      </w:r>
      <w:r w:rsidR="00191D6C">
        <w:rPr>
          <w:rFonts w:hAnsi="Times New Roman" w:cs="Times New Roman"/>
          <w:bCs/>
        </w:rPr>
        <w:t xml:space="preserve">is document </w:t>
      </w:r>
      <w:r w:rsidRPr="001B7FF7">
        <w:rPr>
          <w:rFonts w:hAnsi="Times New Roman" w:cs="Times New Roman"/>
          <w:bCs/>
        </w:rPr>
        <w:t xml:space="preserve"> is a para wise response to</w:t>
      </w:r>
      <w:r w:rsidR="009331C4">
        <w:rPr>
          <w:rFonts w:hAnsi="Times New Roman" w:cs="Times New Roman"/>
          <w:bCs/>
        </w:rPr>
        <w:t xml:space="preserve"> some issues in</w:t>
      </w:r>
      <w:r w:rsidRPr="001B7FF7">
        <w:rPr>
          <w:rFonts w:hAnsi="Times New Roman" w:cs="Times New Roman"/>
          <w:bCs/>
        </w:rPr>
        <w:t xml:space="preserve"> CCPR/C/IND/4 dated 31 May 2022  which is the Fourth periodic report submitted by India under article 40 of the</w:t>
      </w:r>
      <w:r w:rsidR="009331C4">
        <w:rPr>
          <w:rFonts w:hAnsi="Times New Roman" w:cs="Times New Roman"/>
          <w:bCs/>
        </w:rPr>
        <w:t xml:space="preserve"> covenant.</w:t>
      </w:r>
      <w:r w:rsidR="00191D6C">
        <w:rPr>
          <w:rFonts w:hAnsi="Times New Roman" w:cs="Times New Roman"/>
          <w:bCs/>
        </w:rPr>
        <w:t xml:space="preserve"> It </w:t>
      </w:r>
    </w:p>
    <w:p w:rsidR="00191D6C" w:rsidRDefault="005B79A8" w:rsidP="009331C4">
      <w:pPr>
        <w:pStyle w:val="BodyA"/>
        <w:jc w:val="both"/>
        <w:rPr>
          <w:rFonts w:hAnsi="Times New Roman" w:cs="Times New Roman"/>
          <w:bCs/>
        </w:rPr>
      </w:pPr>
      <w:r>
        <w:rPr>
          <w:rFonts w:hAnsi="Times New Roman" w:cs="Times New Roman"/>
          <w:bCs/>
        </w:rPr>
        <w:t xml:space="preserve"> a</w:t>
      </w:r>
      <w:r w:rsidR="00191D6C">
        <w:rPr>
          <w:rFonts w:hAnsi="Times New Roman" w:cs="Times New Roman"/>
          <w:bCs/>
        </w:rPr>
        <w:t xml:space="preserve">lso </w:t>
      </w:r>
      <w:r w:rsidR="004C4883">
        <w:rPr>
          <w:rFonts w:hAnsi="Times New Roman" w:cs="Times New Roman"/>
          <w:bCs/>
        </w:rPr>
        <w:t xml:space="preserve">has </w:t>
      </w:r>
      <w:r w:rsidR="004C4883" w:rsidRPr="001B7FF7">
        <w:rPr>
          <w:rFonts w:hAnsi="Times New Roman" w:cs="Times New Roman"/>
          <w:bCs/>
        </w:rPr>
        <w:t>comments</w:t>
      </w:r>
      <w:r w:rsidR="001B7FF7" w:rsidRPr="001B7FF7">
        <w:rPr>
          <w:rFonts w:hAnsi="Times New Roman" w:cs="Times New Roman"/>
          <w:bCs/>
        </w:rPr>
        <w:t xml:space="preserve"> on </w:t>
      </w:r>
      <w:r>
        <w:rPr>
          <w:rFonts w:hAnsi="Times New Roman" w:cs="Times New Roman"/>
          <w:bCs/>
        </w:rPr>
        <w:t>the List of issues,</w:t>
      </w:r>
    </w:p>
    <w:p w:rsidR="009331C4" w:rsidRDefault="009331C4">
      <w:pPr>
        <w:rPr>
          <w:rFonts w:ascii="Times New Roman" w:hAnsi="Times New Roman" w:cs="Times New Roman"/>
          <w:sz w:val="28"/>
          <w:szCs w:val="28"/>
        </w:rPr>
      </w:pPr>
    </w:p>
    <w:p w:rsidR="00B30852" w:rsidRPr="008B4CCD" w:rsidRDefault="00890906">
      <w:pPr>
        <w:rPr>
          <w:rFonts w:ascii="Times New Roman" w:hAnsi="Times New Roman" w:cs="Times New Roman"/>
          <w:b/>
          <w:sz w:val="24"/>
          <w:szCs w:val="24"/>
        </w:rPr>
      </w:pPr>
      <w:r w:rsidRPr="008B4CCD">
        <w:rPr>
          <w:rFonts w:ascii="Times New Roman" w:hAnsi="Times New Roman" w:cs="Times New Roman"/>
          <w:b/>
          <w:sz w:val="24"/>
          <w:szCs w:val="24"/>
        </w:rPr>
        <w:t xml:space="preserve">SAHRDC </w:t>
      </w:r>
      <w:r w:rsidR="00313904" w:rsidRPr="008B4CCD">
        <w:rPr>
          <w:rFonts w:ascii="Times New Roman" w:hAnsi="Times New Roman" w:cs="Times New Roman"/>
          <w:b/>
          <w:sz w:val="24"/>
          <w:szCs w:val="24"/>
        </w:rPr>
        <w:t>responses</w:t>
      </w:r>
      <w:r w:rsidR="00600388" w:rsidRPr="008B4CCD">
        <w:rPr>
          <w:rFonts w:ascii="Times New Roman" w:hAnsi="Times New Roman" w:cs="Times New Roman"/>
          <w:b/>
          <w:sz w:val="24"/>
          <w:szCs w:val="24"/>
        </w:rPr>
        <w:t xml:space="preserve"> to GOI </w:t>
      </w:r>
      <w:r w:rsidR="00313904" w:rsidRPr="008B4CCD">
        <w:rPr>
          <w:rFonts w:ascii="Times New Roman" w:hAnsi="Times New Roman" w:cs="Times New Roman"/>
          <w:b/>
          <w:sz w:val="24"/>
          <w:szCs w:val="24"/>
        </w:rPr>
        <w:t>Report</w:t>
      </w:r>
      <w:r w:rsidR="00600388" w:rsidRPr="008B4CCD">
        <w:rPr>
          <w:rFonts w:ascii="Times New Roman" w:hAnsi="Times New Roman" w:cs="Times New Roman"/>
          <w:b/>
          <w:sz w:val="24"/>
          <w:szCs w:val="24"/>
        </w:rPr>
        <w:t xml:space="preserve"> </w:t>
      </w:r>
    </w:p>
    <w:p w:rsidR="006F6C51" w:rsidRPr="008B4CCD" w:rsidRDefault="006F6C51" w:rsidP="00755E86">
      <w:pPr>
        <w:jc w:val="both"/>
        <w:rPr>
          <w:rFonts w:ascii="Times New Roman" w:hAnsi="Times New Roman" w:cs="Times New Roman"/>
          <w:b/>
          <w:sz w:val="24"/>
          <w:szCs w:val="24"/>
        </w:rPr>
      </w:pPr>
      <w:r w:rsidRPr="008B4CCD">
        <w:rPr>
          <w:rFonts w:ascii="Times New Roman" w:hAnsi="Times New Roman" w:cs="Times New Roman"/>
          <w:b/>
          <w:sz w:val="24"/>
          <w:szCs w:val="24"/>
        </w:rPr>
        <w:t>Para</w:t>
      </w:r>
      <w:r w:rsidR="004C4883" w:rsidRPr="008B4CCD">
        <w:rPr>
          <w:rFonts w:ascii="Times New Roman" w:hAnsi="Times New Roman" w:cs="Times New Roman"/>
          <w:b/>
          <w:sz w:val="24"/>
          <w:szCs w:val="24"/>
        </w:rPr>
        <w:t xml:space="preserve"> 105 </w:t>
      </w:r>
      <w:r w:rsidRPr="008B4CCD">
        <w:rPr>
          <w:rFonts w:ascii="Times New Roman" w:hAnsi="Times New Roman" w:cs="Times New Roman"/>
          <w:b/>
          <w:sz w:val="24"/>
          <w:szCs w:val="24"/>
        </w:rPr>
        <w:t>GOI report</w:t>
      </w:r>
    </w:p>
    <w:p w:rsidR="004C4883" w:rsidRPr="008B4CCD" w:rsidRDefault="004C4883" w:rsidP="00755E86">
      <w:pPr>
        <w:jc w:val="both"/>
        <w:rPr>
          <w:rFonts w:ascii="Times New Roman" w:hAnsi="Times New Roman" w:cs="Times New Roman"/>
          <w:b/>
          <w:sz w:val="24"/>
          <w:szCs w:val="24"/>
        </w:rPr>
      </w:pPr>
      <w:r w:rsidRPr="008B4CCD">
        <w:rPr>
          <w:rFonts w:ascii="Times New Roman" w:hAnsi="Times New Roman" w:cs="Times New Roman"/>
          <w:b/>
          <w:sz w:val="24"/>
          <w:szCs w:val="24"/>
        </w:rPr>
        <w:t>Issue 20 in the list of issues</w:t>
      </w:r>
    </w:p>
    <w:p w:rsidR="006F6C51" w:rsidRPr="008B4CCD" w:rsidRDefault="006F6C51" w:rsidP="006F6C51">
      <w:pPr>
        <w:jc w:val="both"/>
        <w:rPr>
          <w:rFonts w:ascii="Times New Roman" w:hAnsi="Times New Roman" w:cs="Times New Roman"/>
          <w:b/>
          <w:sz w:val="24"/>
          <w:szCs w:val="24"/>
        </w:rPr>
      </w:pPr>
      <w:r w:rsidRPr="008B4CCD">
        <w:rPr>
          <w:rFonts w:ascii="Times New Roman" w:hAnsi="Times New Roman" w:cs="Times New Roman"/>
          <w:b/>
          <w:sz w:val="24"/>
          <w:szCs w:val="24"/>
        </w:rPr>
        <w:lastRenderedPageBreak/>
        <w:t xml:space="preserve">Questions of prolonged </w:t>
      </w:r>
      <w:r w:rsidR="008E3C15" w:rsidRPr="008B4CCD">
        <w:rPr>
          <w:rFonts w:ascii="Times New Roman" w:hAnsi="Times New Roman" w:cs="Times New Roman"/>
          <w:b/>
          <w:sz w:val="24"/>
          <w:szCs w:val="24"/>
        </w:rPr>
        <w:t>pretrial detention</w:t>
      </w:r>
    </w:p>
    <w:p w:rsidR="006F6C51" w:rsidRPr="009E160E" w:rsidRDefault="006F6C51" w:rsidP="006F6C51">
      <w:pPr>
        <w:jc w:val="both"/>
        <w:rPr>
          <w:rFonts w:ascii="Times New Roman" w:hAnsi="Times New Roman" w:cs="Times New Roman"/>
          <w:b/>
          <w:sz w:val="24"/>
          <w:szCs w:val="24"/>
        </w:rPr>
      </w:pPr>
      <w:r w:rsidRPr="009E160E">
        <w:rPr>
          <w:rFonts w:ascii="Times New Roman" w:hAnsi="Times New Roman" w:cs="Times New Roman"/>
          <w:b/>
          <w:sz w:val="24"/>
          <w:szCs w:val="24"/>
        </w:rPr>
        <w:t xml:space="preserve">Increase in Undertrial Population </w:t>
      </w:r>
    </w:p>
    <w:p w:rsidR="006F6C51" w:rsidRPr="004C4883" w:rsidRDefault="006F6C51" w:rsidP="006F6C51">
      <w:pPr>
        <w:jc w:val="both"/>
        <w:rPr>
          <w:rFonts w:ascii="Times New Roman" w:hAnsi="Times New Roman" w:cs="Times New Roman"/>
          <w:sz w:val="24"/>
          <w:szCs w:val="24"/>
        </w:rPr>
      </w:pPr>
      <w:r w:rsidRPr="004C4883">
        <w:rPr>
          <w:rFonts w:ascii="Times New Roman" w:hAnsi="Times New Roman" w:cs="Times New Roman"/>
          <w:sz w:val="24"/>
          <w:szCs w:val="24"/>
        </w:rPr>
        <w:t>Comparing statistics on prison population provided by the Prison Statistics India</w:t>
      </w:r>
      <w:r w:rsidR="009E160E">
        <w:rPr>
          <w:rFonts w:ascii="Times New Roman" w:hAnsi="Times New Roman" w:cs="Times New Roman"/>
          <w:sz w:val="24"/>
          <w:szCs w:val="24"/>
        </w:rPr>
        <w:t xml:space="preserve"> (PSI) </w:t>
      </w:r>
      <w:r w:rsidRPr="004C4883">
        <w:rPr>
          <w:rFonts w:ascii="Times New Roman" w:hAnsi="Times New Roman" w:cs="Times New Roman"/>
          <w:sz w:val="24"/>
          <w:szCs w:val="24"/>
        </w:rPr>
        <w:t xml:space="preserve"> Reports ,there has been an overall increase of 37% in the prison population from 2014 to 2022 (from 4,18,536 prisoners in 2014 to 5,73,220 prisoners in 2022). However, this corresponds to a disproportionate growth </w:t>
      </w:r>
      <w:r w:rsidR="008B4CCD" w:rsidRPr="004C4883">
        <w:rPr>
          <w:rFonts w:ascii="Times New Roman" w:hAnsi="Times New Roman" w:cs="Times New Roman"/>
          <w:sz w:val="24"/>
          <w:szCs w:val="24"/>
        </w:rPr>
        <w:t>of 53.53</w:t>
      </w:r>
      <w:r w:rsidRPr="004C4883">
        <w:rPr>
          <w:rFonts w:ascii="Times New Roman" w:hAnsi="Times New Roman" w:cs="Times New Roman"/>
          <w:sz w:val="24"/>
          <w:szCs w:val="24"/>
        </w:rPr>
        <w:t>% in the population of undertrial prisoners (from 2</w:t>
      </w:r>
      <w:r w:rsidR="008B4CCD" w:rsidRPr="004C4883">
        <w:rPr>
          <w:rFonts w:ascii="Times New Roman" w:hAnsi="Times New Roman" w:cs="Times New Roman"/>
          <w:sz w:val="24"/>
          <w:szCs w:val="24"/>
        </w:rPr>
        <w:t>, 82,879</w:t>
      </w:r>
      <w:r w:rsidRPr="004C4883">
        <w:rPr>
          <w:rFonts w:ascii="Times New Roman" w:hAnsi="Times New Roman" w:cs="Times New Roman"/>
          <w:sz w:val="24"/>
          <w:szCs w:val="24"/>
        </w:rPr>
        <w:t xml:space="preserve"> undertrial prisoners in 2014 to 4</w:t>
      </w:r>
      <w:r w:rsidR="008B4CCD" w:rsidRPr="004C4883">
        <w:rPr>
          <w:rFonts w:ascii="Times New Roman" w:hAnsi="Times New Roman" w:cs="Times New Roman"/>
          <w:sz w:val="24"/>
          <w:szCs w:val="24"/>
        </w:rPr>
        <w:t>, 34,302</w:t>
      </w:r>
      <w:r w:rsidR="008B4CCD">
        <w:rPr>
          <w:rFonts w:ascii="Times New Roman" w:hAnsi="Times New Roman" w:cs="Times New Roman"/>
          <w:sz w:val="24"/>
          <w:szCs w:val="24"/>
        </w:rPr>
        <w:t xml:space="preserve"> undertrial prisoners in 2022).</w:t>
      </w:r>
    </w:p>
    <w:p w:rsidR="006F6C51" w:rsidRPr="004C4883" w:rsidRDefault="006F6C51" w:rsidP="006F6C51">
      <w:pPr>
        <w:jc w:val="both"/>
        <w:rPr>
          <w:rFonts w:ascii="Times New Roman" w:hAnsi="Times New Roman" w:cs="Times New Roman"/>
          <w:sz w:val="24"/>
          <w:szCs w:val="24"/>
        </w:rPr>
      </w:pPr>
      <w:r w:rsidRPr="004C4883">
        <w:rPr>
          <w:rFonts w:ascii="Times New Roman" w:hAnsi="Times New Roman" w:cs="Times New Roman"/>
          <w:sz w:val="24"/>
          <w:szCs w:val="24"/>
        </w:rPr>
        <w:t xml:space="preserve">The reasons for the consistently high proportion of undertrials in India links to the lack of quality legal aid services for undertrials, the financial system of bail, and the long time taken to complete the trial process.  This delay in the trial process is further exacerbated due to limited functioning of trial courts during the period of the pandemic and reflects in the overall increase in the undertrial population despite mechanisms like release through recommendations of the High Powered </w:t>
      </w:r>
      <w:r w:rsidR="009E160E" w:rsidRPr="004C4883">
        <w:rPr>
          <w:rFonts w:ascii="Times New Roman" w:hAnsi="Times New Roman" w:cs="Times New Roman"/>
          <w:sz w:val="24"/>
          <w:szCs w:val="24"/>
        </w:rPr>
        <w:t>Committee and</w:t>
      </w:r>
      <w:r w:rsidRPr="004C4883">
        <w:rPr>
          <w:rFonts w:ascii="Times New Roman" w:hAnsi="Times New Roman" w:cs="Times New Roman"/>
          <w:sz w:val="24"/>
          <w:szCs w:val="24"/>
        </w:rPr>
        <w:t xml:space="preserve"> the National Legal Services </w:t>
      </w:r>
      <w:r w:rsidR="009E160E" w:rsidRPr="004C4883">
        <w:rPr>
          <w:rFonts w:ascii="Times New Roman" w:hAnsi="Times New Roman" w:cs="Times New Roman"/>
          <w:sz w:val="24"/>
          <w:szCs w:val="24"/>
        </w:rPr>
        <w:t>Authorities campaigns</w:t>
      </w:r>
      <w:r w:rsidRPr="004C4883">
        <w:rPr>
          <w:rFonts w:ascii="Times New Roman" w:hAnsi="Times New Roman" w:cs="Times New Roman"/>
          <w:sz w:val="24"/>
          <w:szCs w:val="24"/>
        </w:rPr>
        <w:t xml:space="preserve"> for release under the Undertrial Revie</w:t>
      </w:r>
      <w:r w:rsidR="008B4CCD">
        <w:rPr>
          <w:rFonts w:ascii="Times New Roman" w:hAnsi="Times New Roman" w:cs="Times New Roman"/>
          <w:sz w:val="24"/>
          <w:szCs w:val="24"/>
        </w:rPr>
        <w:t xml:space="preserve">w Committee (UTRC) Guidelines. </w:t>
      </w:r>
    </w:p>
    <w:p w:rsidR="006F6C51" w:rsidRPr="004C4883" w:rsidRDefault="006F6C51" w:rsidP="006F6C51">
      <w:pPr>
        <w:jc w:val="both"/>
        <w:rPr>
          <w:rFonts w:ascii="Times New Roman" w:hAnsi="Times New Roman" w:cs="Times New Roman"/>
          <w:sz w:val="24"/>
          <w:szCs w:val="24"/>
        </w:rPr>
      </w:pPr>
      <w:r w:rsidRPr="004C4883">
        <w:rPr>
          <w:rFonts w:ascii="Times New Roman" w:hAnsi="Times New Roman" w:cs="Times New Roman"/>
          <w:sz w:val="24"/>
          <w:szCs w:val="24"/>
        </w:rPr>
        <w:t xml:space="preserve">Reflecting on the demographics of the prison population in the last 25 years, at least 66% of the prison population has consisted of </w:t>
      </w:r>
      <w:r w:rsidR="008B4CCD" w:rsidRPr="004C4883">
        <w:rPr>
          <w:rFonts w:ascii="Times New Roman" w:hAnsi="Times New Roman" w:cs="Times New Roman"/>
          <w:sz w:val="24"/>
          <w:szCs w:val="24"/>
        </w:rPr>
        <w:t>marginalized</w:t>
      </w:r>
      <w:r w:rsidRPr="004C4883">
        <w:rPr>
          <w:rFonts w:ascii="Times New Roman" w:hAnsi="Times New Roman" w:cs="Times New Roman"/>
          <w:sz w:val="24"/>
          <w:szCs w:val="24"/>
        </w:rPr>
        <w:t xml:space="preserve"> groups.  Specific studies have pointed to disproportionate representation of </w:t>
      </w:r>
      <w:r w:rsidR="008B4CCD" w:rsidRPr="004C4883">
        <w:rPr>
          <w:rFonts w:ascii="Times New Roman" w:hAnsi="Times New Roman" w:cs="Times New Roman"/>
          <w:sz w:val="24"/>
          <w:szCs w:val="24"/>
        </w:rPr>
        <w:t>Muslims,</w:t>
      </w:r>
      <w:r w:rsidRPr="004C4883">
        <w:rPr>
          <w:rFonts w:ascii="Times New Roman" w:hAnsi="Times New Roman" w:cs="Times New Roman"/>
          <w:sz w:val="24"/>
          <w:szCs w:val="24"/>
        </w:rPr>
        <w:t xml:space="preserve"> Dalits and </w:t>
      </w:r>
      <w:r w:rsidR="008B4CCD" w:rsidRPr="004C4883">
        <w:rPr>
          <w:rFonts w:ascii="Times New Roman" w:hAnsi="Times New Roman" w:cs="Times New Roman"/>
          <w:sz w:val="24"/>
          <w:szCs w:val="24"/>
        </w:rPr>
        <w:t>Adivasis</w:t>
      </w:r>
      <w:r w:rsidR="008B4CCD">
        <w:rPr>
          <w:rStyle w:val="FootnoteReference"/>
          <w:rFonts w:ascii="Times New Roman" w:hAnsi="Times New Roman" w:cs="Times New Roman"/>
          <w:sz w:val="24"/>
          <w:szCs w:val="24"/>
        </w:rPr>
        <w:footnoteReference w:id="1"/>
      </w:r>
      <w:r w:rsidR="008B4CCD" w:rsidRPr="004C4883">
        <w:rPr>
          <w:rFonts w:ascii="Times New Roman" w:hAnsi="Times New Roman" w:cs="Times New Roman"/>
          <w:sz w:val="24"/>
          <w:szCs w:val="24"/>
        </w:rPr>
        <w:t xml:space="preserve"> in</w:t>
      </w:r>
      <w:r w:rsidRPr="004C4883">
        <w:rPr>
          <w:rFonts w:ascii="Times New Roman" w:hAnsi="Times New Roman" w:cs="Times New Roman"/>
          <w:sz w:val="24"/>
          <w:szCs w:val="24"/>
        </w:rPr>
        <w:t xml:space="preserve"> the prison population. Arguably, persons with poor socio-economic indicators end up spending more time in prison than they should as the existing bail system presumes fear of forfeiting property as the only guarantee for securing an individual’s availability in court. As a result, people who do not possess even minimal property become unequal before the law.  </w:t>
      </w:r>
    </w:p>
    <w:p w:rsidR="006F6C51" w:rsidRPr="004C4883" w:rsidRDefault="006F6C51" w:rsidP="006F6C51">
      <w:pPr>
        <w:jc w:val="both"/>
        <w:rPr>
          <w:rFonts w:ascii="Times New Roman" w:hAnsi="Times New Roman" w:cs="Times New Roman"/>
          <w:sz w:val="24"/>
          <w:szCs w:val="24"/>
        </w:rPr>
      </w:pPr>
      <w:r w:rsidRPr="004C4883">
        <w:rPr>
          <w:rFonts w:ascii="Times New Roman" w:hAnsi="Times New Roman" w:cs="Times New Roman"/>
          <w:sz w:val="24"/>
          <w:szCs w:val="24"/>
        </w:rPr>
        <w:t xml:space="preserve">The current framework of criminal procedure almost entirely ignores the connection between socio-economic demographics and the risks of prolonged incarceration. As mentioned above, the new laws also fail to address this apparent connection between social indicators and risks of </w:t>
      </w:r>
      <w:r w:rsidR="007176C7" w:rsidRPr="004C4883">
        <w:rPr>
          <w:rFonts w:ascii="Times New Roman" w:hAnsi="Times New Roman" w:cs="Times New Roman"/>
          <w:sz w:val="24"/>
          <w:szCs w:val="24"/>
        </w:rPr>
        <w:t>criminalization</w:t>
      </w:r>
      <w:r w:rsidRPr="004C4883">
        <w:rPr>
          <w:rFonts w:ascii="Times New Roman" w:hAnsi="Times New Roman" w:cs="Times New Roman"/>
          <w:sz w:val="24"/>
          <w:szCs w:val="24"/>
        </w:rPr>
        <w:t xml:space="preserve"> and incarceration. </w:t>
      </w:r>
    </w:p>
    <w:p w:rsidR="006F6C51" w:rsidRPr="007176C7" w:rsidRDefault="006F6C51" w:rsidP="006F6C51">
      <w:pPr>
        <w:jc w:val="both"/>
        <w:rPr>
          <w:rFonts w:ascii="Times New Roman" w:hAnsi="Times New Roman" w:cs="Times New Roman"/>
          <w:b/>
          <w:sz w:val="24"/>
          <w:szCs w:val="24"/>
        </w:rPr>
      </w:pPr>
      <w:r w:rsidRPr="007176C7">
        <w:rPr>
          <w:rFonts w:ascii="Times New Roman" w:hAnsi="Times New Roman" w:cs="Times New Roman"/>
          <w:b/>
          <w:sz w:val="24"/>
          <w:szCs w:val="24"/>
        </w:rPr>
        <w:t xml:space="preserve">Amendments to Bail Law </w:t>
      </w:r>
    </w:p>
    <w:p w:rsidR="006F6C51" w:rsidRPr="004C4883" w:rsidRDefault="006F6C51" w:rsidP="006F6C51">
      <w:pPr>
        <w:jc w:val="both"/>
        <w:rPr>
          <w:rFonts w:ascii="Times New Roman" w:hAnsi="Times New Roman" w:cs="Times New Roman"/>
          <w:sz w:val="24"/>
          <w:szCs w:val="24"/>
        </w:rPr>
      </w:pPr>
      <w:r w:rsidRPr="004C4883">
        <w:rPr>
          <w:rFonts w:ascii="Times New Roman" w:hAnsi="Times New Roman" w:cs="Times New Roman"/>
          <w:sz w:val="24"/>
          <w:szCs w:val="24"/>
        </w:rPr>
        <w:t>Arbitrary arrests and illegal detention are leading causes for the rising prison population.  At the end of 2022, a total of 5</w:t>
      </w:r>
      <w:r w:rsidR="009E160E" w:rsidRPr="004C4883">
        <w:rPr>
          <w:rFonts w:ascii="Times New Roman" w:hAnsi="Times New Roman" w:cs="Times New Roman"/>
          <w:sz w:val="24"/>
          <w:szCs w:val="24"/>
        </w:rPr>
        <w:t>, 73,220</w:t>
      </w:r>
      <w:r w:rsidRPr="004C4883">
        <w:rPr>
          <w:rFonts w:ascii="Times New Roman" w:hAnsi="Times New Roman" w:cs="Times New Roman"/>
          <w:sz w:val="24"/>
          <w:szCs w:val="24"/>
        </w:rPr>
        <w:t xml:space="preserve"> prisoners were incarcerated in Indian prisons, 75.5% of whom were undertrial prisoners.  15</w:t>
      </w:r>
      <w:r w:rsidR="00A7648A" w:rsidRPr="004C4883">
        <w:rPr>
          <w:rFonts w:ascii="Times New Roman" w:hAnsi="Times New Roman" w:cs="Times New Roman"/>
          <w:sz w:val="24"/>
          <w:szCs w:val="24"/>
        </w:rPr>
        <w:t>, 48,143</w:t>
      </w:r>
      <w:r w:rsidRPr="004C4883">
        <w:rPr>
          <w:rFonts w:ascii="Times New Roman" w:hAnsi="Times New Roman" w:cs="Times New Roman"/>
          <w:sz w:val="24"/>
          <w:szCs w:val="24"/>
        </w:rPr>
        <w:t xml:space="preserve"> undertrial prisoners were released out of which 95% were released on bail</w:t>
      </w:r>
      <w:r w:rsidR="00A7648A" w:rsidRPr="004C4883">
        <w:rPr>
          <w:rFonts w:ascii="Times New Roman" w:hAnsi="Times New Roman" w:cs="Times New Roman"/>
          <w:sz w:val="24"/>
          <w:szCs w:val="24"/>
        </w:rPr>
        <w:t>, therefore</w:t>
      </w:r>
      <w:r w:rsidRPr="004C4883">
        <w:rPr>
          <w:rFonts w:ascii="Times New Roman" w:hAnsi="Times New Roman" w:cs="Times New Roman"/>
          <w:sz w:val="24"/>
          <w:szCs w:val="24"/>
        </w:rPr>
        <w:t xml:space="preserve"> making bail a crucial too</w:t>
      </w:r>
      <w:r w:rsidR="00A7648A">
        <w:rPr>
          <w:rFonts w:ascii="Times New Roman" w:hAnsi="Times New Roman" w:cs="Times New Roman"/>
          <w:sz w:val="24"/>
          <w:szCs w:val="24"/>
        </w:rPr>
        <w:t xml:space="preserve">l against prolonged detention. </w:t>
      </w:r>
    </w:p>
    <w:p w:rsidR="006F6C51" w:rsidRPr="004C4883" w:rsidRDefault="006F6C51" w:rsidP="006F6C51">
      <w:pPr>
        <w:jc w:val="both"/>
        <w:rPr>
          <w:rFonts w:ascii="Times New Roman" w:hAnsi="Times New Roman" w:cs="Times New Roman"/>
          <w:sz w:val="24"/>
          <w:szCs w:val="24"/>
        </w:rPr>
      </w:pPr>
      <w:r w:rsidRPr="004C4883">
        <w:rPr>
          <w:rFonts w:ascii="Times New Roman" w:hAnsi="Times New Roman" w:cs="Times New Roman"/>
          <w:sz w:val="24"/>
          <w:szCs w:val="24"/>
        </w:rPr>
        <w:t xml:space="preserve">The Law Commission of India in its 268th </w:t>
      </w:r>
      <w:r w:rsidR="00A7648A" w:rsidRPr="004C4883">
        <w:rPr>
          <w:rFonts w:ascii="Times New Roman" w:hAnsi="Times New Roman" w:cs="Times New Roman"/>
          <w:sz w:val="24"/>
          <w:szCs w:val="24"/>
        </w:rPr>
        <w:t>Report pointed</w:t>
      </w:r>
      <w:r w:rsidRPr="004C4883">
        <w:rPr>
          <w:rFonts w:ascii="Times New Roman" w:hAnsi="Times New Roman" w:cs="Times New Roman"/>
          <w:sz w:val="24"/>
          <w:szCs w:val="24"/>
        </w:rPr>
        <w:t xml:space="preserve"> to inconsistency in the bail system as one of the reasons for the overcrowding of prisons across the country. It further acknowledged the fact that due to excessive reliance on monetary bail provisions, the powerful, rich and influential obtain bail promptly whereas the poor languish in jails. Th</w:t>
      </w:r>
      <w:bookmarkStart w:id="0" w:name="_GoBack"/>
      <w:bookmarkEnd w:id="0"/>
      <w:r w:rsidRPr="004C4883">
        <w:rPr>
          <w:rFonts w:ascii="Times New Roman" w:hAnsi="Times New Roman" w:cs="Times New Roman"/>
          <w:sz w:val="24"/>
          <w:szCs w:val="24"/>
        </w:rPr>
        <w:t>e Commission in making its recommendations highlighted the underlying principle that “Any bail practice that results in the incarceration of the accused person without meaningful consideration to ability to pay, alternative methods of ensuring appearance at a trial and the nature of the crime is violative of the rights of the accused. ” The Report also recommended amendments to ensure safeguards against arbitrary arre</w:t>
      </w:r>
      <w:r w:rsidR="00A7648A">
        <w:rPr>
          <w:rFonts w:ascii="Times New Roman" w:hAnsi="Times New Roman" w:cs="Times New Roman"/>
          <w:sz w:val="24"/>
          <w:szCs w:val="24"/>
        </w:rPr>
        <w:t xml:space="preserve">sts under Section 41A of Cr.PC </w:t>
      </w:r>
    </w:p>
    <w:p w:rsidR="006F6C51" w:rsidRPr="004C4883" w:rsidRDefault="00347E29" w:rsidP="006F6C51">
      <w:pPr>
        <w:jc w:val="both"/>
        <w:rPr>
          <w:rFonts w:ascii="Times New Roman" w:hAnsi="Times New Roman" w:cs="Times New Roman"/>
          <w:sz w:val="24"/>
          <w:szCs w:val="24"/>
        </w:rPr>
      </w:pPr>
      <w:r>
        <w:rPr>
          <w:rFonts w:ascii="Times New Roman" w:hAnsi="Times New Roman" w:cs="Times New Roman"/>
          <w:sz w:val="24"/>
          <w:szCs w:val="24"/>
        </w:rPr>
        <w:t>More recently, the</w:t>
      </w:r>
      <w:r w:rsidR="006F6C51" w:rsidRPr="004C4883">
        <w:rPr>
          <w:rFonts w:ascii="Times New Roman" w:hAnsi="Times New Roman" w:cs="Times New Roman"/>
          <w:sz w:val="24"/>
          <w:szCs w:val="24"/>
        </w:rPr>
        <w:t xml:space="preserve"> Supreme Court of India in S.K. Antil vs. Central Bureau of Investigation</w:t>
      </w:r>
      <w:r w:rsidR="00F66E4D" w:rsidRPr="004C4883">
        <w:rPr>
          <w:rFonts w:ascii="Times New Roman" w:hAnsi="Times New Roman" w:cs="Times New Roman"/>
          <w:sz w:val="24"/>
          <w:szCs w:val="24"/>
        </w:rPr>
        <w:t>, issued</w:t>
      </w:r>
      <w:r w:rsidR="006F6C51" w:rsidRPr="004C4883">
        <w:rPr>
          <w:rFonts w:ascii="Times New Roman" w:hAnsi="Times New Roman" w:cs="Times New Roman"/>
          <w:sz w:val="24"/>
          <w:szCs w:val="24"/>
        </w:rPr>
        <w:t xml:space="preserve"> directions stating that the Government of India may consider introduction of a separate enactment in the nature of a Bail Act so as to</w:t>
      </w:r>
      <w:r w:rsidR="00F66E4D">
        <w:rPr>
          <w:rFonts w:ascii="Times New Roman" w:hAnsi="Times New Roman" w:cs="Times New Roman"/>
          <w:sz w:val="24"/>
          <w:szCs w:val="24"/>
        </w:rPr>
        <w:t xml:space="preserve"> streamline the grant of bails.</w:t>
      </w:r>
    </w:p>
    <w:p w:rsidR="006F6C51" w:rsidRPr="004C4883" w:rsidRDefault="006F6C51" w:rsidP="006F6C51">
      <w:pPr>
        <w:jc w:val="both"/>
        <w:rPr>
          <w:rFonts w:ascii="Times New Roman" w:hAnsi="Times New Roman" w:cs="Times New Roman"/>
          <w:sz w:val="24"/>
          <w:szCs w:val="24"/>
        </w:rPr>
      </w:pPr>
      <w:r w:rsidRPr="004C4883">
        <w:rPr>
          <w:rFonts w:ascii="Times New Roman" w:hAnsi="Times New Roman" w:cs="Times New Roman"/>
          <w:sz w:val="24"/>
          <w:szCs w:val="24"/>
        </w:rPr>
        <w:t xml:space="preserve">Despite court orders from the higher courts directing asking subordinate courts for swift </w:t>
      </w:r>
      <w:r w:rsidR="00F66E4D">
        <w:rPr>
          <w:rFonts w:ascii="Times New Roman" w:hAnsi="Times New Roman" w:cs="Times New Roman"/>
          <w:sz w:val="24"/>
          <w:szCs w:val="24"/>
        </w:rPr>
        <w:t xml:space="preserve">disposal of bail applications, </w:t>
      </w:r>
      <w:r w:rsidRPr="004C4883">
        <w:rPr>
          <w:rFonts w:ascii="Times New Roman" w:hAnsi="Times New Roman" w:cs="Times New Roman"/>
          <w:sz w:val="24"/>
          <w:szCs w:val="24"/>
        </w:rPr>
        <w:t xml:space="preserve">continuous </w:t>
      </w:r>
      <w:r w:rsidR="00F66E4D" w:rsidRPr="004C4883">
        <w:rPr>
          <w:rFonts w:ascii="Times New Roman" w:hAnsi="Times New Roman" w:cs="Times New Roman"/>
          <w:sz w:val="24"/>
          <w:szCs w:val="24"/>
        </w:rPr>
        <w:t>regression in</w:t>
      </w:r>
      <w:r w:rsidRPr="004C4883">
        <w:rPr>
          <w:rFonts w:ascii="Times New Roman" w:hAnsi="Times New Roman" w:cs="Times New Roman"/>
          <w:sz w:val="24"/>
          <w:szCs w:val="24"/>
        </w:rPr>
        <w:t xml:space="preserve"> the state of undertrials indicates poor compliance and delays in the disposal of bail.</w:t>
      </w:r>
      <w:r w:rsidR="00F66E4D">
        <w:rPr>
          <w:rFonts w:ascii="Times New Roman" w:hAnsi="Times New Roman" w:cs="Times New Roman"/>
          <w:sz w:val="24"/>
          <w:szCs w:val="24"/>
        </w:rPr>
        <w:t xml:space="preserve">   </w:t>
      </w:r>
    </w:p>
    <w:p w:rsidR="006F6C51" w:rsidRPr="004C4883" w:rsidRDefault="006F6C51" w:rsidP="006F6C51">
      <w:pPr>
        <w:jc w:val="both"/>
        <w:rPr>
          <w:rFonts w:ascii="Times New Roman" w:hAnsi="Times New Roman" w:cs="Times New Roman"/>
          <w:sz w:val="24"/>
          <w:szCs w:val="24"/>
        </w:rPr>
      </w:pPr>
      <w:r w:rsidRPr="004C4883">
        <w:rPr>
          <w:rFonts w:ascii="Times New Roman" w:hAnsi="Times New Roman" w:cs="Times New Roman"/>
          <w:sz w:val="24"/>
          <w:szCs w:val="24"/>
        </w:rPr>
        <w:t xml:space="preserve"> It may be noted that the provision under Section 436A of the CrPC which allows for the release of an undertrial who has undergone half of the maximum prescribed sentence for offences they are charged with is subject to judicial discretion and not a right available to the </w:t>
      </w:r>
      <w:r w:rsidR="005346B3" w:rsidRPr="004C4883">
        <w:rPr>
          <w:rFonts w:ascii="Times New Roman" w:hAnsi="Times New Roman" w:cs="Times New Roman"/>
          <w:sz w:val="24"/>
          <w:szCs w:val="24"/>
        </w:rPr>
        <w:t xml:space="preserve">accused. </w:t>
      </w:r>
      <w:r w:rsidRPr="004C4883">
        <w:rPr>
          <w:rFonts w:ascii="Times New Roman" w:hAnsi="Times New Roman" w:cs="Times New Roman"/>
          <w:sz w:val="24"/>
          <w:szCs w:val="24"/>
        </w:rPr>
        <w:t>Figures from the PSI 2022 also point to the low rate of releases under Section 436A.</w:t>
      </w:r>
      <w:r w:rsidR="00347E29">
        <w:rPr>
          <w:rFonts w:ascii="Times New Roman" w:hAnsi="Times New Roman" w:cs="Times New Roman"/>
          <w:sz w:val="24"/>
          <w:szCs w:val="24"/>
        </w:rPr>
        <w:t xml:space="preserve">  </w:t>
      </w:r>
    </w:p>
    <w:p w:rsidR="006F6C51" w:rsidRPr="004C4883" w:rsidRDefault="006F6C51" w:rsidP="006F6C51">
      <w:pPr>
        <w:jc w:val="both"/>
        <w:rPr>
          <w:rFonts w:ascii="Times New Roman" w:hAnsi="Times New Roman" w:cs="Times New Roman"/>
          <w:sz w:val="24"/>
          <w:szCs w:val="24"/>
        </w:rPr>
      </w:pPr>
      <w:r w:rsidRPr="004C4883">
        <w:rPr>
          <w:rFonts w:ascii="Times New Roman" w:hAnsi="Times New Roman" w:cs="Times New Roman"/>
          <w:sz w:val="24"/>
          <w:szCs w:val="24"/>
        </w:rPr>
        <w:t xml:space="preserve">The new criminal laws </w:t>
      </w:r>
      <w:r w:rsidR="00347E29">
        <w:rPr>
          <w:rFonts w:ascii="Times New Roman" w:hAnsi="Times New Roman" w:cs="Times New Roman"/>
          <w:sz w:val="24"/>
          <w:szCs w:val="24"/>
        </w:rPr>
        <w:t xml:space="preserve">applicable </w:t>
      </w:r>
      <w:r w:rsidR="005346B3">
        <w:rPr>
          <w:rFonts w:ascii="Times New Roman" w:hAnsi="Times New Roman" w:cs="Times New Roman"/>
          <w:sz w:val="24"/>
          <w:szCs w:val="24"/>
        </w:rPr>
        <w:t>from</w:t>
      </w:r>
      <w:r w:rsidR="00347E29">
        <w:rPr>
          <w:rFonts w:ascii="Times New Roman" w:hAnsi="Times New Roman" w:cs="Times New Roman"/>
          <w:sz w:val="24"/>
          <w:szCs w:val="24"/>
        </w:rPr>
        <w:t xml:space="preserve"> July 2024 </w:t>
      </w:r>
      <w:r w:rsidRPr="004C4883">
        <w:rPr>
          <w:rFonts w:ascii="Times New Roman" w:hAnsi="Times New Roman" w:cs="Times New Roman"/>
          <w:sz w:val="24"/>
          <w:szCs w:val="24"/>
        </w:rPr>
        <w:t>have failed to take into account the above and in fact quite contrary to the said recommendations, introduce enhanced durations of police custody, wider powers of arrest and detention,  and restrict the scope of bail provisions.  Detention in police custody has been authorised beyond the fifteen-day period provided under the CrPC</w:t>
      </w:r>
      <w:r w:rsidR="005346B3">
        <w:rPr>
          <w:rStyle w:val="FootnoteReference"/>
          <w:rFonts w:ascii="Times New Roman" w:hAnsi="Times New Roman" w:cs="Times New Roman"/>
          <w:sz w:val="24"/>
          <w:szCs w:val="24"/>
        </w:rPr>
        <w:footnoteReference w:id="2"/>
      </w:r>
      <w:r w:rsidRPr="004C4883">
        <w:rPr>
          <w:rFonts w:ascii="Times New Roman" w:hAnsi="Times New Roman" w:cs="Times New Roman"/>
          <w:sz w:val="24"/>
          <w:szCs w:val="24"/>
        </w:rPr>
        <w:t>, and for the entire detention period of sixty or ninety days.</w:t>
      </w:r>
      <w:r w:rsidR="00347E29">
        <w:rPr>
          <w:rFonts w:ascii="Times New Roman" w:hAnsi="Times New Roman" w:cs="Times New Roman"/>
          <w:sz w:val="24"/>
          <w:szCs w:val="24"/>
        </w:rPr>
        <w:t xml:space="preserve">  </w:t>
      </w:r>
    </w:p>
    <w:p w:rsidR="006F6C51" w:rsidRPr="00347E29" w:rsidRDefault="006F6C51" w:rsidP="006F6C51">
      <w:pPr>
        <w:jc w:val="both"/>
        <w:rPr>
          <w:rFonts w:ascii="Times New Roman" w:hAnsi="Times New Roman" w:cs="Times New Roman"/>
          <w:b/>
          <w:sz w:val="24"/>
          <w:szCs w:val="24"/>
        </w:rPr>
      </w:pPr>
      <w:r w:rsidRPr="00347E29">
        <w:rPr>
          <w:rFonts w:ascii="Times New Roman" w:hAnsi="Times New Roman" w:cs="Times New Roman"/>
          <w:b/>
          <w:sz w:val="24"/>
          <w:szCs w:val="24"/>
        </w:rPr>
        <w:t>Alternatives to detention an</w:t>
      </w:r>
      <w:r w:rsidR="00347E29" w:rsidRPr="00347E29">
        <w:rPr>
          <w:rFonts w:ascii="Times New Roman" w:hAnsi="Times New Roman" w:cs="Times New Roman"/>
          <w:b/>
          <w:sz w:val="24"/>
          <w:szCs w:val="24"/>
        </w:rPr>
        <w:t>d their practice</w:t>
      </w:r>
    </w:p>
    <w:p w:rsidR="006F6C51" w:rsidRPr="00347E29" w:rsidRDefault="006F6C51" w:rsidP="006F6C51">
      <w:pPr>
        <w:jc w:val="both"/>
        <w:rPr>
          <w:rFonts w:ascii="Times New Roman" w:hAnsi="Times New Roman" w:cs="Times New Roman"/>
          <w:b/>
          <w:sz w:val="24"/>
          <w:szCs w:val="24"/>
        </w:rPr>
      </w:pPr>
      <w:r w:rsidRPr="00347E29">
        <w:rPr>
          <w:rFonts w:ascii="Times New Roman" w:hAnsi="Times New Roman" w:cs="Times New Roman"/>
          <w:b/>
          <w:sz w:val="24"/>
          <w:szCs w:val="24"/>
        </w:rPr>
        <w:t>GPS tagging</w:t>
      </w:r>
    </w:p>
    <w:p w:rsidR="006F6C51" w:rsidRPr="004C4883" w:rsidRDefault="006F6C51" w:rsidP="006F6C51">
      <w:pPr>
        <w:jc w:val="both"/>
        <w:rPr>
          <w:rFonts w:ascii="Times New Roman" w:hAnsi="Times New Roman" w:cs="Times New Roman"/>
          <w:sz w:val="24"/>
          <w:szCs w:val="24"/>
        </w:rPr>
      </w:pPr>
      <w:r w:rsidRPr="004C4883">
        <w:rPr>
          <w:rFonts w:ascii="Times New Roman" w:hAnsi="Times New Roman" w:cs="Times New Roman"/>
          <w:sz w:val="24"/>
          <w:szCs w:val="24"/>
        </w:rPr>
        <w:t>In November 2023</w:t>
      </w:r>
      <w:r w:rsidR="00347E29" w:rsidRPr="004C4883">
        <w:rPr>
          <w:rFonts w:ascii="Times New Roman" w:hAnsi="Times New Roman" w:cs="Times New Roman"/>
          <w:sz w:val="24"/>
          <w:szCs w:val="24"/>
        </w:rPr>
        <w:t>, an</w:t>
      </w:r>
      <w:r w:rsidRPr="004C4883">
        <w:rPr>
          <w:rFonts w:ascii="Times New Roman" w:hAnsi="Times New Roman" w:cs="Times New Roman"/>
          <w:sz w:val="24"/>
          <w:szCs w:val="24"/>
        </w:rPr>
        <w:t xml:space="preserve"> undertrial pri</w:t>
      </w:r>
      <w:r w:rsidR="00347E29">
        <w:rPr>
          <w:rFonts w:ascii="Times New Roman" w:hAnsi="Times New Roman" w:cs="Times New Roman"/>
          <w:sz w:val="24"/>
          <w:szCs w:val="24"/>
        </w:rPr>
        <w:t xml:space="preserve">soner in the now union territory of </w:t>
      </w:r>
      <w:r w:rsidRPr="004C4883">
        <w:rPr>
          <w:rFonts w:ascii="Times New Roman" w:hAnsi="Times New Roman" w:cs="Times New Roman"/>
          <w:sz w:val="24"/>
          <w:szCs w:val="24"/>
        </w:rPr>
        <w:t>Kashmir was released on bail after being tagged with a Global Positioning System (“GPS”) tracking anklet for monitoring his movements.  This was the first instance of use of GPS monitoring in India for an accused released on bail. An earlier decision by the Delhi High Court, had also stressed on the need to introduce GPS like technology for monitoring movements of undertrials on bail. The Court had observed that use of such technology will allow the authorities to gather information on the undertrial prisoner while permitting such undertrials to continue with ordinary activities of their normal life. However, it needs to be understood that the implementation of the GPS tracking system surveils all movements of the accused, creates an unnecessary record of their everyday movements</w:t>
      </w:r>
      <w:r w:rsidR="00347E29" w:rsidRPr="004C4883">
        <w:rPr>
          <w:rFonts w:ascii="Times New Roman" w:hAnsi="Times New Roman" w:cs="Times New Roman"/>
          <w:sz w:val="24"/>
          <w:szCs w:val="24"/>
        </w:rPr>
        <w:t>, and</w:t>
      </w:r>
      <w:r w:rsidRPr="004C4883">
        <w:rPr>
          <w:rFonts w:ascii="Times New Roman" w:hAnsi="Times New Roman" w:cs="Times New Roman"/>
          <w:sz w:val="24"/>
          <w:szCs w:val="24"/>
        </w:rPr>
        <w:t xml:space="preserve"> imposes an additional psychological burden of constant surveillance.  Such mechanisms, although introduced as alternatives to imprisonment, violate the accused person’s privacy under Articles 20(3) and 21 of the Indian Constitution.</w:t>
      </w:r>
      <w:r w:rsidR="00347E29">
        <w:rPr>
          <w:rFonts w:ascii="Times New Roman" w:hAnsi="Times New Roman" w:cs="Times New Roman"/>
          <w:sz w:val="24"/>
          <w:szCs w:val="24"/>
        </w:rPr>
        <w:t xml:space="preserve">  </w:t>
      </w:r>
    </w:p>
    <w:p w:rsidR="006F6C51" w:rsidRPr="004C4883" w:rsidRDefault="00585568" w:rsidP="006F6C51">
      <w:pPr>
        <w:jc w:val="both"/>
        <w:rPr>
          <w:rFonts w:ascii="Times New Roman" w:hAnsi="Times New Roman" w:cs="Times New Roman"/>
          <w:sz w:val="24"/>
          <w:szCs w:val="24"/>
        </w:rPr>
      </w:pPr>
      <w:r w:rsidRPr="004C4883">
        <w:rPr>
          <w:rFonts w:ascii="Times New Roman" w:hAnsi="Times New Roman" w:cs="Times New Roman"/>
          <w:sz w:val="24"/>
          <w:szCs w:val="24"/>
        </w:rPr>
        <w:t>Use of GPS trackers violates</w:t>
      </w:r>
      <w:r w:rsidR="006F6C51" w:rsidRPr="004C4883">
        <w:rPr>
          <w:rFonts w:ascii="Times New Roman" w:hAnsi="Times New Roman" w:cs="Times New Roman"/>
          <w:sz w:val="24"/>
          <w:szCs w:val="24"/>
        </w:rPr>
        <w:t xml:space="preserve"> the cardinal principle of presumption of innocence by curtailing an accused person’s liberty and subjecting them to prison-like restrictions.</w:t>
      </w:r>
      <w:r w:rsidR="00347E29">
        <w:rPr>
          <w:rFonts w:ascii="Times New Roman" w:hAnsi="Times New Roman" w:cs="Times New Roman"/>
          <w:sz w:val="24"/>
          <w:szCs w:val="24"/>
        </w:rPr>
        <w:t xml:space="preserve">  </w:t>
      </w:r>
    </w:p>
    <w:p w:rsidR="006F6C51" w:rsidRPr="00347E29" w:rsidRDefault="006F6C51" w:rsidP="006F6C51">
      <w:pPr>
        <w:jc w:val="both"/>
        <w:rPr>
          <w:rFonts w:ascii="Times New Roman" w:hAnsi="Times New Roman" w:cs="Times New Roman"/>
          <w:b/>
          <w:sz w:val="24"/>
          <w:szCs w:val="24"/>
        </w:rPr>
      </w:pPr>
      <w:r w:rsidRPr="00347E29">
        <w:rPr>
          <w:rFonts w:ascii="Times New Roman" w:hAnsi="Times New Roman" w:cs="Times New Roman"/>
          <w:b/>
          <w:sz w:val="24"/>
          <w:szCs w:val="24"/>
        </w:rPr>
        <w:t>Anticipatory Bail</w:t>
      </w:r>
    </w:p>
    <w:p w:rsidR="006F6C51" w:rsidRPr="004C4883" w:rsidRDefault="006F6C51" w:rsidP="006F6C51">
      <w:pPr>
        <w:jc w:val="both"/>
        <w:rPr>
          <w:rFonts w:ascii="Times New Roman" w:hAnsi="Times New Roman" w:cs="Times New Roman"/>
          <w:sz w:val="24"/>
          <w:szCs w:val="24"/>
        </w:rPr>
      </w:pPr>
      <w:r w:rsidRPr="004C4883">
        <w:rPr>
          <w:rFonts w:ascii="Times New Roman" w:hAnsi="Times New Roman" w:cs="Times New Roman"/>
          <w:sz w:val="24"/>
          <w:szCs w:val="24"/>
        </w:rPr>
        <w:t xml:space="preserve">While the law provides </w:t>
      </w:r>
      <w:r w:rsidR="00585568" w:rsidRPr="004C4883">
        <w:rPr>
          <w:rFonts w:ascii="Times New Roman" w:hAnsi="Times New Roman" w:cs="Times New Roman"/>
          <w:sz w:val="24"/>
          <w:szCs w:val="24"/>
        </w:rPr>
        <w:t>for anticipatory</w:t>
      </w:r>
      <w:r w:rsidRPr="004C4883">
        <w:rPr>
          <w:rFonts w:ascii="Times New Roman" w:hAnsi="Times New Roman" w:cs="Times New Roman"/>
          <w:sz w:val="24"/>
          <w:szCs w:val="24"/>
        </w:rPr>
        <w:t xml:space="preserve"> bails as a precautionary safeguard against arbitrary arrest, the procedure for deciding anticipatory bail applications also suffer from delay in disposal. It was recently observed that an anticipatory bail application had been pending for more than two years in Bihar, the state with the largest prison population in India.  Additionally, offences under special laws are excluded from the ambit of consideration for anticipatory bail.  Substantial changes have been made to the provision of anticipatory bai</w:t>
      </w:r>
      <w:r w:rsidR="00347E29">
        <w:rPr>
          <w:rFonts w:ascii="Times New Roman" w:hAnsi="Times New Roman" w:cs="Times New Roman"/>
          <w:sz w:val="24"/>
          <w:szCs w:val="24"/>
        </w:rPr>
        <w:t xml:space="preserve">l under the new criminal laws. </w:t>
      </w:r>
    </w:p>
    <w:p w:rsidR="006F6C51" w:rsidRPr="00347E29" w:rsidRDefault="00347E29" w:rsidP="006F6C51">
      <w:pPr>
        <w:jc w:val="both"/>
        <w:rPr>
          <w:rFonts w:ascii="Times New Roman" w:hAnsi="Times New Roman" w:cs="Times New Roman"/>
          <w:b/>
          <w:sz w:val="24"/>
          <w:szCs w:val="24"/>
        </w:rPr>
      </w:pPr>
      <w:r>
        <w:rPr>
          <w:rFonts w:ascii="Times New Roman" w:hAnsi="Times New Roman" w:cs="Times New Roman"/>
          <w:b/>
          <w:sz w:val="24"/>
          <w:szCs w:val="24"/>
        </w:rPr>
        <w:t>Monitoring Mechanisms</w:t>
      </w:r>
    </w:p>
    <w:p w:rsidR="006F6C51" w:rsidRPr="00347E29" w:rsidRDefault="00585568" w:rsidP="006F6C51">
      <w:pPr>
        <w:jc w:val="both"/>
        <w:rPr>
          <w:rFonts w:ascii="Times New Roman" w:hAnsi="Times New Roman" w:cs="Times New Roman"/>
          <w:b/>
          <w:sz w:val="24"/>
          <w:szCs w:val="24"/>
        </w:rPr>
      </w:pPr>
      <w:r w:rsidRPr="00585568">
        <w:rPr>
          <w:rFonts w:ascii="Times New Roman" w:hAnsi="Times New Roman" w:cs="Times New Roman"/>
          <w:b/>
          <w:sz w:val="24"/>
          <w:szCs w:val="24"/>
        </w:rPr>
        <w:t>Undertrial Review Committees</w:t>
      </w:r>
      <w:r>
        <w:rPr>
          <w:rFonts w:ascii="Times New Roman" w:hAnsi="Times New Roman" w:cs="Times New Roman"/>
          <w:sz w:val="24"/>
          <w:szCs w:val="24"/>
        </w:rPr>
        <w:t xml:space="preserve"> (</w:t>
      </w:r>
      <w:r w:rsidR="00347E29">
        <w:rPr>
          <w:rFonts w:ascii="Times New Roman" w:hAnsi="Times New Roman" w:cs="Times New Roman"/>
          <w:b/>
          <w:sz w:val="24"/>
          <w:szCs w:val="24"/>
        </w:rPr>
        <w:t>UTRCs</w:t>
      </w:r>
      <w:r>
        <w:rPr>
          <w:rFonts w:ascii="Times New Roman" w:hAnsi="Times New Roman" w:cs="Times New Roman"/>
          <w:b/>
          <w:sz w:val="24"/>
          <w:szCs w:val="24"/>
        </w:rPr>
        <w:t>)</w:t>
      </w:r>
    </w:p>
    <w:p w:rsidR="006F6C51" w:rsidRPr="004C4883" w:rsidRDefault="006F6C51" w:rsidP="006F6C51">
      <w:pPr>
        <w:jc w:val="both"/>
        <w:rPr>
          <w:rFonts w:ascii="Times New Roman" w:hAnsi="Times New Roman" w:cs="Times New Roman"/>
          <w:sz w:val="24"/>
          <w:szCs w:val="24"/>
        </w:rPr>
      </w:pPr>
      <w:r w:rsidRPr="004C4883">
        <w:rPr>
          <w:rFonts w:ascii="Times New Roman" w:hAnsi="Times New Roman" w:cs="Times New Roman"/>
          <w:sz w:val="24"/>
          <w:szCs w:val="24"/>
        </w:rPr>
        <w:t>While most districts have functioning UTRCs</w:t>
      </w:r>
      <w:r w:rsidR="00347E29" w:rsidRPr="004C4883">
        <w:rPr>
          <w:rFonts w:ascii="Times New Roman" w:hAnsi="Times New Roman" w:cs="Times New Roman"/>
          <w:sz w:val="24"/>
          <w:szCs w:val="24"/>
        </w:rPr>
        <w:t>, their</w:t>
      </w:r>
      <w:r w:rsidRPr="004C4883">
        <w:rPr>
          <w:rFonts w:ascii="Times New Roman" w:hAnsi="Times New Roman" w:cs="Times New Roman"/>
          <w:sz w:val="24"/>
          <w:szCs w:val="24"/>
        </w:rPr>
        <w:t xml:space="preserve"> consideration is limited to only a few categories out of their vast mandate.  Major challenges to the effectiveness of UTRCs include lack of infrastructure to identify eligible undertrial prisoners, challenges in releasing persons charged with multiple offences, poor access to legal aid, and </w:t>
      </w:r>
      <w:r w:rsidR="00347E29" w:rsidRPr="004C4883">
        <w:rPr>
          <w:rFonts w:ascii="Times New Roman" w:hAnsi="Times New Roman" w:cs="Times New Roman"/>
          <w:sz w:val="24"/>
          <w:szCs w:val="24"/>
        </w:rPr>
        <w:t>undertrial’s inability</w:t>
      </w:r>
      <w:r w:rsidRPr="004C4883">
        <w:rPr>
          <w:rFonts w:ascii="Times New Roman" w:hAnsi="Times New Roman" w:cs="Times New Roman"/>
          <w:sz w:val="24"/>
          <w:szCs w:val="24"/>
        </w:rPr>
        <w:t xml:space="preserve"> to provide sureties despite being eligible for release.</w:t>
      </w:r>
      <w:r w:rsidR="00347E29">
        <w:rPr>
          <w:rFonts w:ascii="Times New Roman" w:hAnsi="Times New Roman" w:cs="Times New Roman"/>
          <w:sz w:val="24"/>
          <w:szCs w:val="24"/>
        </w:rPr>
        <w:t xml:space="preserve">   </w:t>
      </w:r>
    </w:p>
    <w:p w:rsidR="006F6C51" w:rsidRPr="004C4883" w:rsidRDefault="006F6C51" w:rsidP="006F6C51">
      <w:pPr>
        <w:jc w:val="both"/>
        <w:rPr>
          <w:rFonts w:ascii="Times New Roman" w:hAnsi="Times New Roman" w:cs="Times New Roman"/>
          <w:sz w:val="24"/>
          <w:szCs w:val="24"/>
        </w:rPr>
      </w:pPr>
      <w:r w:rsidRPr="004C4883">
        <w:rPr>
          <w:rFonts w:ascii="Times New Roman" w:hAnsi="Times New Roman" w:cs="Times New Roman"/>
          <w:sz w:val="24"/>
          <w:szCs w:val="24"/>
        </w:rPr>
        <w:t xml:space="preserve">A rather low proportion of release of undertrials in a recently implemented special UTRC </w:t>
      </w:r>
      <w:r w:rsidR="00347E29" w:rsidRPr="004C4883">
        <w:rPr>
          <w:rFonts w:ascii="Times New Roman" w:hAnsi="Times New Roman" w:cs="Times New Roman"/>
          <w:sz w:val="24"/>
          <w:szCs w:val="24"/>
        </w:rPr>
        <w:t>campaign also</w:t>
      </w:r>
      <w:r w:rsidRPr="004C4883">
        <w:rPr>
          <w:rFonts w:ascii="Times New Roman" w:hAnsi="Times New Roman" w:cs="Times New Roman"/>
          <w:sz w:val="24"/>
          <w:szCs w:val="24"/>
        </w:rPr>
        <w:t xml:space="preserve"> points to the limitations of the UTRC mechanism in addressing issues of overcrowding of prisons.  The total number of undertrials released under the special campaign - 24,789 constituted only 52% of the total number of prisoners who were recommended for release.  While it is more than what the functioning of the UTRC has yielded in the last three years</w:t>
      </w:r>
      <w:r w:rsidR="00347E29" w:rsidRPr="004C4883">
        <w:rPr>
          <w:rFonts w:ascii="Times New Roman" w:hAnsi="Times New Roman" w:cs="Times New Roman"/>
          <w:sz w:val="24"/>
          <w:szCs w:val="24"/>
        </w:rPr>
        <w:t>, only</w:t>
      </w:r>
      <w:r w:rsidRPr="004C4883">
        <w:rPr>
          <w:rFonts w:ascii="Times New Roman" w:hAnsi="Times New Roman" w:cs="Times New Roman"/>
          <w:sz w:val="24"/>
          <w:szCs w:val="24"/>
        </w:rPr>
        <w:t xml:space="preserve"> 4.47% of the total undertrial </w:t>
      </w:r>
      <w:r w:rsidR="00585568" w:rsidRPr="004C4883">
        <w:rPr>
          <w:rFonts w:ascii="Times New Roman" w:hAnsi="Times New Roman" w:cs="Times New Roman"/>
          <w:sz w:val="24"/>
          <w:szCs w:val="24"/>
        </w:rPr>
        <w:t>population in</w:t>
      </w:r>
      <w:r w:rsidRPr="004C4883">
        <w:rPr>
          <w:rFonts w:ascii="Times New Roman" w:hAnsi="Times New Roman" w:cs="Times New Roman"/>
          <w:sz w:val="24"/>
          <w:szCs w:val="24"/>
        </w:rPr>
        <w:t xml:space="preserve"> the country was actually released. It must be noted that the reported figure for undertrial population in the PSI is based on stock data as on December 31,2022.The actual number of undertrials </w:t>
      </w:r>
      <w:r w:rsidR="00347E29" w:rsidRPr="004C4883">
        <w:rPr>
          <w:rFonts w:ascii="Times New Roman" w:hAnsi="Times New Roman" w:cs="Times New Roman"/>
          <w:sz w:val="24"/>
          <w:szCs w:val="24"/>
        </w:rPr>
        <w:t>i.e. The</w:t>
      </w:r>
      <w:r w:rsidRPr="004C4883">
        <w:rPr>
          <w:rFonts w:ascii="Times New Roman" w:hAnsi="Times New Roman" w:cs="Times New Roman"/>
          <w:sz w:val="24"/>
          <w:szCs w:val="24"/>
        </w:rPr>
        <w:t xml:space="preserve"> flow population inside prisons in the year 2022 is likely to be much higher and accordingly the actual proportion of undertrials released would be even lesser .</w:t>
      </w:r>
    </w:p>
    <w:p w:rsidR="006F6C51" w:rsidRPr="004C4883" w:rsidRDefault="006F6C51" w:rsidP="006F6C51">
      <w:pPr>
        <w:jc w:val="both"/>
        <w:rPr>
          <w:rFonts w:ascii="Times New Roman" w:hAnsi="Times New Roman" w:cs="Times New Roman"/>
          <w:sz w:val="24"/>
          <w:szCs w:val="24"/>
        </w:rPr>
      </w:pPr>
      <w:r w:rsidRPr="004C4883">
        <w:rPr>
          <w:rFonts w:ascii="Times New Roman" w:hAnsi="Times New Roman" w:cs="Times New Roman"/>
          <w:sz w:val="24"/>
          <w:szCs w:val="24"/>
        </w:rPr>
        <w:t>It is pertinent to point out here that the process of identifying undertrials eligible under the UTRC guidelines is dependent on availability of accurate data on the e-prisons module. However, the current status of data collation and updation on e-prisons is far from accurate. Impediments in the on - ground implementation of the e-prison module hav</w:t>
      </w:r>
      <w:r w:rsidR="00BF79D7">
        <w:rPr>
          <w:rFonts w:ascii="Times New Roman" w:hAnsi="Times New Roman" w:cs="Times New Roman"/>
          <w:sz w:val="24"/>
          <w:szCs w:val="24"/>
        </w:rPr>
        <w:t xml:space="preserve">e been discussed by the </w:t>
      </w:r>
      <w:r w:rsidRPr="004C4883">
        <w:rPr>
          <w:rFonts w:ascii="Times New Roman" w:hAnsi="Times New Roman" w:cs="Times New Roman"/>
          <w:sz w:val="24"/>
          <w:szCs w:val="24"/>
        </w:rPr>
        <w:t xml:space="preserve">Supreme </w:t>
      </w:r>
      <w:r w:rsidR="00BF79D7" w:rsidRPr="004C4883">
        <w:rPr>
          <w:rFonts w:ascii="Times New Roman" w:hAnsi="Times New Roman" w:cs="Times New Roman"/>
          <w:sz w:val="24"/>
          <w:szCs w:val="24"/>
        </w:rPr>
        <w:t>Court along</w:t>
      </w:r>
      <w:r w:rsidRPr="004C4883">
        <w:rPr>
          <w:rFonts w:ascii="Times New Roman" w:hAnsi="Times New Roman" w:cs="Times New Roman"/>
          <w:sz w:val="24"/>
          <w:szCs w:val="24"/>
        </w:rPr>
        <w:t xml:space="preserve"> with necessary directions for streamlining the implementation. The order notes lack of mechanisms for communicating bail orders from courts to prisons and challenges with manpower and capacity for data entry in the e-prison module. The status of compliance of the said directio</w:t>
      </w:r>
      <w:r w:rsidR="00BF79D7">
        <w:rPr>
          <w:rFonts w:ascii="Times New Roman" w:hAnsi="Times New Roman" w:cs="Times New Roman"/>
          <w:sz w:val="24"/>
          <w:szCs w:val="24"/>
        </w:rPr>
        <w:t xml:space="preserve">ns remains unclear as on date. </w:t>
      </w:r>
    </w:p>
    <w:p w:rsidR="006F6C51" w:rsidRPr="00BF79D7" w:rsidRDefault="006F6C51" w:rsidP="006F6C51">
      <w:pPr>
        <w:jc w:val="both"/>
        <w:rPr>
          <w:rFonts w:ascii="Times New Roman" w:hAnsi="Times New Roman" w:cs="Times New Roman"/>
          <w:b/>
          <w:sz w:val="24"/>
          <w:szCs w:val="24"/>
        </w:rPr>
      </w:pPr>
      <w:r w:rsidRPr="00BF79D7">
        <w:rPr>
          <w:rFonts w:ascii="Times New Roman" w:hAnsi="Times New Roman" w:cs="Times New Roman"/>
          <w:b/>
          <w:sz w:val="24"/>
          <w:szCs w:val="24"/>
        </w:rPr>
        <w:t>Reforms to judicial system for spe</w:t>
      </w:r>
      <w:r w:rsidR="00BF79D7">
        <w:rPr>
          <w:rFonts w:ascii="Times New Roman" w:hAnsi="Times New Roman" w:cs="Times New Roman"/>
          <w:b/>
          <w:sz w:val="24"/>
          <w:szCs w:val="24"/>
        </w:rPr>
        <w:t xml:space="preserve">edy trial and reducing backlog </w:t>
      </w:r>
    </w:p>
    <w:p w:rsidR="006F6C51" w:rsidRPr="004C4883" w:rsidRDefault="006F6C51" w:rsidP="006F6C51">
      <w:pPr>
        <w:jc w:val="both"/>
        <w:rPr>
          <w:rFonts w:ascii="Times New Roman" w:hAnsi="Times New Roman" w:cs="Times New Roman"/>
          <w:sz w:val="24"/>
          <w:szCs w:val="24"/>
        </w:rPr>
      </w:pPr>
      <w:r w:rsidRPr="004C4883">
        <w:rPr>
          <w:rFonts w:ascii="Times New Roman" w:hAnsi="Times New Roman" w:cs="Times New Roman"/>
          <w:sz w:val="24"/>
          <w:szCs w:val="24"/>
        </w:rPr>
        <w:t>Implementation of case flow management has not been done across states.  Uttar Pradesh</w:t>
      </w:r>
      <w:r w:rsidR="00BF79D7" w:rsidRPr="004C4883">
        <w:rPr>
          <w:rFonts w:ascii="Times New Roman" w:hAnsi="Times New Roman" w:cs="Times New Roman"/>
          <w:sz w:val="24"/>
          <w:szCs w:val="24"/>
        </w:rPr>
        <w:t>, which</w:t>
      </w:r>
      <w:r w:rsidRPr="004C4883">
        <w:rPr>
          <w:rFonts w:ascii="Times New Roman" w:hAnsi="Times New Roman" w:cs="Times New Roman"/>
          <w:sz w:val="24"/>
          <w:szCs w:val="24"/>
        </w:rPr>
        <w:t xml:space="preserve"> has the highest pendency of criminal cases has still not implemented case flow management rules. Some states have only implemented these rules for civil cases.  Alternative mechanisms like Fast-track Courts and Jail Adalats</w:t>
      </w:r>
      <w:r w:rsidR="00BF79D7">
        <w:rPr>
          <w:rStyle w:val="FootnoteReference"/>
          <w:rFonts w:ascii="Times New Roman" w:hAnsi="Times New Roman" w:cs="Times New Roman"/>
          <w:sz w:val="24"/>
          <w:szCs w:val="24"/>
        </w:rPr>
        <w:footnoteReference w:id="3"/>
      </w:r>
      <w:r w:rsidRPr="004C4883">
        <w:rPr>
          <w:rFonts w:ascii="Times New Roman" w:hAnsi="Times New Roman" w:cs="Times New Roman"/>
          <w:sz w:val="24"/>
          <w:szCs w:val="24"/>
        </w:rPr>
        <w:t xml:space="preserve"> which have been put in place to speed up procedure have been exhibited a tendency to compromise on procedural rights of the accused in the haste to deliver speedy justice procedures</w:t>
      </w:r>
      <w:r w:rsidR="00BF79D7" w:rsidRPr="004C4883">
        <w:rPr>
          <w:rFonts w:ascii="Times New Roman" w:hAnsi="Times New Roman" w:cs="Times New Roman"/>
          <w:sz w:val="24"/>
          <w:szCs w:val="24"/>
        </w:rPr>
        <w:t>, and</w:t>
      </w:r>
      <w:r w:rsidRPr="004C4883">
        <w:rPr>
          <w:rFonts w:ascii="Times New Roman" w:hAnsi="Times New Roman" w:cs="Times New Roman"/>
          <w:sz w:val="24"/>
          <w:szCs w:val="24"/>
        </w:rPr>
        <w:t xml:space="preserve"> also fa</w:t>
      </w:r>
      <w:r w:rsidR="00BF79D7">
        <w:rPr>
          <w:rFonts w:ascii="Times New Roman" w:hAnsi="Times New Roman" w:cs="Times New Roman"/>
          <w:sz w:val="24"/>
          <w:szCs w:val="24"/>
        </w:rPr>
        <w:t xml:space="preserve">ce infrastructural challenges. </w:t>
      </w:r>
    </w:p>
    <w:p w:rsidR="00094F54" w:rsidRPr="004C4883" w:rsidRDefault="006F6C51" w:rsidP="0080194D">
      <w:pPr>
        <w:jc w:val="both"/>
        <w:rPr>
          <w:rFonts w:ascii="Times New Roman" w:hAnsi="Times New Roman" w:cs="Times New Roman"/>
          <w:sz w:val="24"/>
          <w:szCs w:val="24"/>
        </w:rPr>
      </w:pPr>
      <w:r w:rsidRPr="004C4883">
        <w:rPr>
          <w:rFonts w:ascii="Times New Roman" w:hAnsi="Times New Roman" w:cs="Times New Roman"/>
          <w:sz w:val="24"/>
          <w:szCs w:val="24"/>
        </w:rPr>
        <w:t xml:space="preserve">Similar to case floor management, changes in line with the Interoperable Criminal Justice System (ICJS) within prisons across India are still underway. While some changes under Phase-I have been implemented, Phase-II is still </w:t>
      </w:r>
      <w:r w:rsidR="00CA7F91">
        <w:rPr>
          <w:rFonts w:ascii="Times New Roman" w:hAnsi="Times New Roman" w:cs="Times New Roman"/>
          <w:sz w:val="24"/>
          <w:szCs w:val="24"/>
        </w:rPr>
        <w:t>ongoing.  It is focusing on</w:t>
      </w:r>
      <w:r w:rsidRPr="004C4883">
        <w:rPr>
          <w:rFonts w:ascii="Times New Roman" w:hAnsi="Times New Roman" w:cs="Times New Roman"/>
          <w:sz w:val="24"/>
          <w:szCs w:val="24"/>
        </w:rPr>
        <w:t xml:space="preserve"> the integration of Police, Prisons, Forensics, Prosecution and Courts, and enabling these wings of the criminal justice system to actually use these new tools.</w:t>
      </w:r>
      <w:r w:rsidR="00BF79D7">
        <w:rPr>
          <w:rFonts w:ascii="Times New Roman" w:hAnsi="Times New Roman" w:cs="Times New Roman"/>
          <w:sz w:val="24"/>
          <w:szCs w:val="24"/>
        </w:rPr>
        <w:t xml:space="preserve"> </w:t>
      </w:r>
    </w:p>
    <w:p w:rsidR="000904B3" w:rsidRDefault="00094F54" w:rsidP="00755E86">
      <w:pPr>
        <w:rPr>
          <w:rFonts w:ascii="Times New Roman" w:hAnsi="Times New Roman" w:cs="Times New Roman"/>
          <w:b/>
          <w:sz w:val="28"/>
          <w:szCs w:val="28"/>
        </w:rPr>
      </w:pPr>
      <w:r w:rsidRPr="00094F54">
        <w:rPr>
          <w:rFonts w:ascii="Times New Roman" w:hAnsi="Times New Roman" w:cs="Times New Roman"/>
          <w:b/>
          <w:sz w:val="28"/>
          <w:szCs w:val="28"/>
        </w:rPr>
        <w:t>Para 90 of GOI report</w:t>
      </w:r>
      <w:r w:rsidR="00001363" w:rsidRPr="00094F54">
        <w:rPr>
          <w:rFonts w:ascii="Times New Roman" w:hAnsi="Times New Roman" w:cs="Times New Roman"/>
          <w:b/>
          <w:sz w:val="28"/>
          <w:szCs w:val="28"/>
        </w:rPr>
        <w:tab/>
      </w:r>
    </w:p>
    <w:p w:rsidR="00094F54" w:rsidRDefault="00094F54" w:rsidP="004C4883">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Issue No. 18</w:t>
      </w:r>
      <w:r w:rsidR="004C4883">
        <w:rPr>
          <w:rFonts w:ascii="Times New Roman" w:eastAsia="Times New Roman" w:hAnsi="Times New Roman" w:cs="Times New Roman"/>
          <w:b/>
          <w:sz w:val="24"/>
          <w:szCs w:val="24"/>
          <w:u w:val="single"/>
        </w:rPr>
        <w:t xml:space="preserve"> from list of issues</w:t>
      </w:r>
    </w:p>
    <w:p w:rsidR="00094F54" w:rsidRPr="004C4883" w:rsidRDefault="00094F54" w:rsidP="004C4883">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Questions of custodial deaths and torture</w:t>
      </w:r>
    </w:p>
    <w:p w:rsidR="00094F54" w:rsidRPr="0080194D" w:rsidRDefault="00094F54" w:rsidP="0080194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Account</w:t>
      </w:r>
      <w:r w:rsidR="0080194D">
        <w:rPr>
          <w:rFonts w:ascii="Times New Roman" w:eastAsia="Times New Roman" w:hAnsi="Times New Roman" w:cs="Times New Roman"/>
          <w:b/>
          <w:sz w:val="24"/>
          <w:szCs w:val="24"/>
        </w:rPr>
        <w:t xml:space="preserve">ability for custodial violence </w:t>
      </w:r>
    </w:p>
    <w:p w:rsidR="00094F54" w:rsidRDefault="00094F54" w:rsidP="00094F5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a legal framework in place for action against cases of custodial violence, prosecution and the rate of conviction in cases of custodial death continue to be extremely low. According to official data – released annually by the National Crime Records Bureau (NCRB) – while there were 324 deaths in custody between 2019-2022, there were 0 convictions against police personnel for human rights violations in the same duration.</w:t>
      </w:r>
      <w:r>
        <w:rPr>
          <w:rFonts w:ascii="Times New Roman" w:eastAsia="Times New Roman" w:hAnsi="Times New Roman" w:cs="Times New Roman"/>
          <w:sz w:val="24"/>
          <w:szCs w:val="24"/>
          <w:vertAlign w:val="superscript"/>
        </w:rPr>
        <w:footnoteReference w:id="4"/>
      </w:r>
      <w:r w:rsidR="0080194D">
        <w:rPr>
          <w:rFonts w:ascii="Times New Roman" w:eastAsia="Times New Roman" w:hAnsi="Times New Roman" w:cs="Times New Roman"/>
          <w:sz w:val="24"/>
          <w:szCs w:val="24"/>
        </w:rPr>
        <w:t xml:space="preserve"> </w:t>
      </w:r>
    </w:p>
    <w:p w:rsidR="00094F54" w:rsidRPr="007176C7" w:rsidRDefault="00094F54" w:rsidP="00094F54">
      <w:pPr>
        <w:jc w:val="both"/>
        <w:rPr>
          <w:rFonts w:ascii="Times New Roman" w:eastAsia="Times New Roman" w:hAnsi="Times New Roman" w:cs="Times New Roman"/>
          <w:b/>
          <w:i/>
          <w:sz w:val="24"/>
          <w:szCs w:val="24"/>
        </w:rPr>
      </w:pPr>
      <w:r w:rsidRPr="0080194D">
        <w:rPr>
          <w:rFonts w:ascii="Times New Roman" w:eastAsia="Times New Roman" w:hAnsi="Times New Roman" w:cs="Times New Roman"/>
          <w:b/>
          <w:i/>
          <w:sz w:val="24"/>
          <w:szCs w:val="24"/>
        </w:rPr>
        <w:t>Under-reporting of custodial deaths and torture</w:t>
      </w:r>
    </w:p>
    <w:p w:rsidR="00094F54" w:rsidRDefault="00094F54" w:rsidP="00094F5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significant under-reporting of deaths in custody under the NCRB, as demonstrated by reports by independent organisations</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and also confirmed by National Human Rights Commission (NHRC) data</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While there is no official data on torture (not leading to death), reports suggest that its practice is frequent and systematic, especially during investigations.</w:t>
      </w:r>
      <w:r>
        <w:rPr>
          <w:rFonts w:ascii="Times New Roman" w:eastAsia="Times New Roman" w:hAnsi="Times New Roman" w:cs="Times New Roman"/>
          <w:sz w:val="24"/>
          <w:szCs w:val="24"/>
          <w:vertAlign w:val="superscript"/>
        </w:rPr>
        <w:footnoteReference w:id="7"/>
      </w:r>
    </w:p>
    <w:p w:rsidR="00094F54" w:rsidRPr="0080194D" w:rsidRDefault="00094F54" w:rsidP="00094F54">
      <w:pPr>
        <w:jc w:val="both"/>
        <w:rPr>
          <w:rFonts w:ascii="Times New Roman" w:eastAsia="Times New Roman" w:hAnsi="Times New Roman" w:cs="Times New Roman"/>
          <w:b/>
          <w:i/>
          <w:sz w:val="24"/>
          <w:szCs w:val="24"/>
        </w:rPr>
      </w:pPr>
      <w:r w:rsidRPr="0080194D">
        <w:rPr>
          <w:rFonts w:ascii="Times New Roman" w:eastAsia="Times New Roman" w:hAnsi="Times New Roman" w:cs="Times New Roman"/>
          <w:b/>
          <w:i/>
          <w:sz w:val="24"/>
          <w:szCs w:val="24"/>
        </w:rPr>
        <w:t>Inconsistency in reported causes of death in custody</w:t>
      </w:r>
    </w:p>
    <w:p w:rsidR="00094F54" w:rsidRDefault="00094F54" w:rsidP="00094F54">
      <w:pPr>
        <w:jc w:val="both"/>
        <w:rPr>
          <w:rFonts w:ascii="Times New Roman" w:eastAsia="Times New Roman" w:hAnsi="Times New Roman" w:cs="Times New Roman"/>
          <w:sz w:val="24"/>
          <w:szCs w:val="24"/>
          <w:shd w:val="clear" w:color="auto" w:fill="FFF2CC"/>
        </w:rPr>
      </w:pPr>
      <w:r>
        <w:rPr>
          <w:rFonts w:ascii="Times New Roman" w:eastAsia="Times New Roman" w:hAnsi="Times New Roman" w:cs="Times New Roman"/>
          <w:sz w:val="24"/>
          <w:szCs w:val="24"/>
        </w:rPr>
        <w:t>Under-reporting of deaths in custody is coupled with mis-reporting of the actual cause of death – particularly an under-reporting of torture as the cause of death.</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Official data tends to attribute majority of the deaths in custody to suicides or natural causes (medical illness etc.), with only a small proportion of cases due to police violence.</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This has been consistently contradicted by the documented experiences of families of victims, and organisations working on issues of torture and custodial violence in India.</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Inconsistency in recorded circumstances of death and the tendency to attribute most deaths to suicides or natural </w:t>
      </w:r>
      <w:r w:rsidR="00AC7EBD">
        <w:rPr>
          <w:rFonts w:ascii="Times New Roman" w:eastAsia="Times New Roman" w:hAnsi="Times New Roman" w:cs="Times New Roman"/>
          <w:sz w:val="24"/>
          <w:szCs w:val="24"/>
        </w:rPr>
        <w:t>causes</w:t>
      </w:r>
      <w:r>
        <w:rPr>
          <w:rFonts w:ascii="Times New Roman" w:eastAsia="Times New Roman" w:hAnsi="Times New Roman" w:cs="Times New Roman"/>
          <w:sz w:val="24"/>
          <w:szCs w:val="24"/>
        </w:rPr>
        <w:t xml:space="preserve"> has an impact of absolving officers from liability of prosecution under serious charges.</w:t>
      </w:r>
      <w:r>
        <w:rPr>
          <w:rFonts w:ascii="Times New Roman" w:eastAsia="Times New Roman" w:hAnsi="Times New Roman" w:cs="Times New Roman"/>
          <w:sz w:val="24"/>
          <w:szCs w:val="24"/>
          <w:vertAlign w:val="superscript"/>
        </w:rPr>
        <w:footnoteReference w:id="11"/>
      </w:r>
      <w:r w:rsidR="000B0391">
        <w:rPr>
          <w:rFonts w:ascii="Times New Roman" w:eastAsia="Times New Roman" w:hAnsi="Times New Roman" w:cs="Times New Roman"/>
          <w:sz w:val="24"/>
          <w:szCs w:val="24"/>
          <w:shd w:val="clear" w:color="auto" w:fill="FFF2CC"/>
        </w:rPr>
        <w:t xml:space="preserve"> </w:t>
      </w:r>
    </w:p>
    <w:p w:rsidR="00094F54" w:rsidRPr="000B0391" w:rsidRDefault="000B0391" w:rsidP="00094F54">
      <w:pPr>
        <w:jc w:val="both"/>
        <w:rPr>
          <w:rFonts w:ascii="Times New Roman" w:eastAsia="Times New Roman" w:hAnsi="Times New Roman" w:cs="Times New Roman"/>
          <w:b/>
          <w:i/>
          <w:sz w:val="24"/>
          <w:szCs w:val="24"/>
        </w:rPr>
      </w:pPr>
      <w:r w:rsidRPr="000B0391">
        <w:rPr>
          <w:rFonts w:ascii="Times New Roman" w:eastAsia="Times New Roman" w:hAnsi="Times New Roman" w:cs="Times New Roman"/>
          <w:b/>
          <w:i/>
          <w:sz w:val="24"/>
          <w:szCs w:val="24"/>
        </w:rPr>
        <w:t>Marginalized</w:t>
      </w:r>
      <w:r w:rsidR="00094F54" w:rsidRPr="000B0391">
        <w:rPr>
          <w:rFonts w:ascii="Times New Roman" w:eastAsia="Times New Roman" w:hAnsi="Times New Roman" w:cs="Times New Roman"/>
          <w:b/>
          <w:i/>
          <w:sz w:val="24"/>
          <w:szCs w:val="24"/>
        </w:rPr>
        <w:t xml:space="preserve"> identities of victims of custodial violence </w:t>
      </w:r>
    </w:p>
    <w:p w:rsidR="00094F54" w:rsidRDefault="00094F54" w:rsidP="00094F5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Independent reports also suggest that the majority of the victims of custodial violence belong to poor and </w:t>
      </w:r>
      <w:r w:rsidR="000B0391">
        <w:rPr>
          <w:rFonts w:ascii="Times New Roman" w:eastAsia="Times New Roman" w:hAnsi="Times New Roman" w:cs="Times New Roman"/>
          <w:sz w:val="24"/>
          <w:szCs w:val="24"/>
        </w:rPr>
        <w:t>marginalized</w:t>
      </w:r>
      <w:r>
        <w:rPr>
          <w:rFonts w:ascii="Times New Roman" w:eastAsia="Times New Roman" w:hAnsi="Times New Roman" w:cs="Times New Roman"/>
          <w:sz w:val="24"/>
          <w:szCs w:val="24"/>
        </w:rPr>
        <w:t xml:space="preserve"> communities.</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This further exacerbates the unequal power dynamics in police custody, coupled with the significant hurdles faced by families of the victims to initiate prosecution in cases of custodial violence.</w:t>
      </w:r>
      <w:r>
        <w:rPr>
          <w:rFonts w:ascii="Times New Roman" w:eastAsia="Times New Roman" w:hAnsi="Times New Roman" w:cs="Times New Roman"/>
          <w:sz w:val="24"/>
          <w:szCs w:val="24"/>
          <w:vertAlign w:val="superscript"/>
        </w:rPr>
        <w:footnoteReference w:id="13"/>
      </w:r>
      <w:r w:rsidR="000B0391">
        <w:rPr>
          <w:rFonts w:ascii="Times New Roman" w:eastAsia="Times New Roman" w:hAnsi="Times New Roman" w:cs="Times New Roman"/>
          <w:sz w:val="24"/>
          <w:szCs w:val="24"/>
        </w:rPr>
        <w:t xml:space="preserve"> </w:t>
      </w:r>
    </w:p>
    <w:p w:rsidR="00094F54" w:rsidRPr="000B0391" w:rsidRDefault="00094F54" w:rsidP="00094F54">
      <w:pPr>
        <w:jc w:val="both"/>
        <w:rPr>
          <w:rFonts w:ascii="Times New Roman" w:eastAsia="Times New Roman" w:hAnsi="Times New Roman" w:cs="Times New Roman"/>
          <w:b/>
          <w:i/>
          <w:sz w:val="24"/>
          <w:szCs w:val="24"/>
        </w:rPr>
      </w:pPr>
      <w:r w:rsidRPr="000B0391">
        <w:rPr>
          <w:rFonts w:ascii="Times New Roman" w:eastAsia="Times New Roman" w:hAnsi="Times New Roman" w:cs="Times New Roman"/>
          <w:b/>
          <w:i/>
          <w:sz w:val="24"/>
          <w:szCs w:val="24"/>
        </w:rPr>
        <w:t>Lack of data on progress/outcome of accountability proceedings</w:t>
      </w:r>
    </w:p>
    <w:p w:rsidR="00094F54" w:rsidRDefault="00094F54" w:rsidP="00094F5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a lack of comprehensive information about deaths in custody, along with an absence of data on the progress and the status/outcomes of accountability proceedings in India.</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This is particularly true for information about the status and outcome of magisterial inquiries mandated under Section 176(1A) of the Code of Criminal Procedure for deaths in custody. </w:t>
      </w:r>
    </w:p>
    <w:p w:rsidR="00094F54" w:rsidRDefault="00094F54" w:rsidP="00094F5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there is no comprehensive data to assess compliance with NHRC guidelines on procedures to be followed in cases of custodial violence, reports suggest that these guidelines are frequently violated.</w:t>
      </w:r>
      <w:r>
        <w:rPr>
          <w:rFonts w:ascii="Times New Roman" w:eastAsia="Times New Roman" w:hAnsi="Times New Roman" w:cs="Times New Roman"/>
          <w:sz w:val="24"/>
          <w:szCs w:val="24"/>
          <w:vertAlign w:val="superscript"/>
        </w:rPr>
        <w:footnoteReference w:id="15"/>
      </w:r>
    </w:p>
    <w:p w:rsidR="00094F54" w:rsidRPr="000B0391" w:rsidRDefault="00094F54" w:rsidP="000B0391">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Inadequacy of </w:t>
      </w:r>
      <w:r w:rsidR="000B0391">
        <w:rPr>
          <w:rFonts w:ascii="Times New Roman" w:eastAsia="Times New Roman" w:hAnsi="Times New Roman" w:cs="Times New Roman"/>
          <w:b/>
          <w:sz w:val="24"/>
          <w:szCs w:val="24"/>
        </w:rPr>
        <w:t>human rights training of police</w:t>
      </w:r>
    </w:p>
    <w:p w:rsidR="00094F54" w:rsidRDefault="00094F54" w:rsidP="00094F5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Status of Policing Report (2019) confirms police biases against caste and religious identities, and highlights the inadequacy of human rights training, and caste and gender </w:t>
      </w:r>
      <w:r w:rsidR="005A789C">
        <w:rPr>
          <w:rFonts w:ascii="Times New Roman" w:eastAsia="Times New Roman" w:hAnsi="Times New Roman" w:cs="Times New Roman"/>
          <w:sz w:val="24"/>
          <w:szCs w:val="24"/>
        </w:rPr>
        <w:t>sensitization</w:t>
      </w:r>
      <w:r>
        <w:rPr>
          <w:rFonts w:ascii="Times New Roman" w:eastAsia="Times New Roman" w:hAnsi="Times New Roman" w:cs="Times New Roman"/>
          <w:sz w:val="24"/>
          <w:szCs w:val="24"/>
        </w:rPr>
        <w:t xml:space="preserve"> in tackling prejudice.</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12% police personnel reported to never have received human rights training.</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Even amongst those who received human rights training, 41% said this was only at the time of induction. A significant proportion of police personnel surveyed justified the use of extrajudicial measures against criminals</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and held strong perceptions of Muslims and migrants being “naturally prone” to committing crimes</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w:t>
      </w:r>
    </w:p>
    <w:p w:rsidR="00094F54" w:rsidRPr="007176C7" w:rsidRDefault="00094F54" w:rsidP="00094F5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report also raises structural concerns about the quality and adequacy of police training more broadly, through an analysis of official data between 2012-2016. It highlights the poor level of training imparted to police personnel, as well as inadequate budgetary allocation for police training (1% of total police expenditure).</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w:t>
      </w:r>
    </w:p>
    <w:p w:rsidR="00094F54" w:rsidRDefault="00094F54" w:rsidP="00094F54">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Use of technology for transparency in investigation </w:t>
      </w:r>
    </w:p>
    <w:p w:rsidR="00094F54" w:rsidRDefault="00094F54" w:rsidP="00094F5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new criminal laws (to be introduced in July 2024) have </w:t>
      </w:r>
      <w:r w:rsidR="007176C7">
        <w:rPr>
          <w:rFonts w:ascii="Times New Roman" w:eastAsia="Times New Roman" w:hAnsi="Times New Roman" w:cs="Times New Roman"/>
          <w:sz w:val="24"/>
          <w:szCs w:val="24"/>
        </w:rPr>
        <w:t>emphasized</w:t>
      </w:r>
      <w:r>
        <w:rPr>
          <w:rFonts w:ascii="Times New Roman" w:eastAsia="Times New Roman" w:hAnsi="Times New Roman" w:cs="Times New Roman"/>
          <w:sz w:val="24"/>
          <w:szCs w:val="24"/>
        </w:rPr>
        <w:t xml:space="preserve"> the use of audio-video technology during investigation – most significantly through the inclusion of a new provision mandating the audio-video recording of all search and seizure proceedings.</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While audio-video has the potential to strengthen the quality of evidence and protect against violations, it is also more susceptible to alteration, modification and transposition, through direct intervention or unintended corruption of a digital record.</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At the same time, the reality of poor infrastructure and institutional capacity – including lack of funding; equipment; systems for collection, and secure storage and transfer of electronic record; training; and forensic facilities — have also hindered effective compliance with technology in investigations in police stations across the country.</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xml:space="preserve"> Reports have demonstrated the lack of training and incapacity of police personnel to effectively use new technologies in investigation.</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w:t>
      </w:r>
    </w:p>
    <w:p w:rsidR="00094F54" w:rsidRDefault="00094F54" w:rsidP="00094F54">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Compliance with </w:t>
      </w:r>
      <w:r>
        <w:rPr>
          <w:rFonts w:ascii="Times New Roman" w:eastAsia="Times New Roman" w:hAnsi="Times New Roman" w:cs="Times New Roman"/>
          <w:b/>
          <w:i/>
          <w:sz w:val="24"/>
          <w:szCs w:val="24"/>
        </w:rPr>
        <w:t>Prakash Singh v Union of India</w:t>
      </w:r>
      <w:r>
        <w:rPr>
          <w:rFonts w:ascii="Times New Roman" w:eastAsia="Times New Roman" w:hAnsi="Times New Roman" w:cs="Times New Roman"/>
          <w:b/>
          <w:sz w:val="24"/>
          <w:szCs w:val="24"/>
        </w:rPr>
        <w:t xml:space="preserve"> (2006)</w:t>
      </w:r>
    </w:p>
    <w:p w:rsidR="00094F54" w:rsidRDefault="00094F54" w:rsidP="00094F5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Supreme Court, in September 2006, introduced several directions towards police reforms, however, implementation and compliance with these directives across states has been poor.</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Until 2010, four major states - Maharashtra, Uttar Pradesh, Karnataka and West Bengal were found to have total non-compliance with </w:t>
      </w:r>
      <w:r>
        <w:rPr>
          <w:rFonts w:ascii="Times New Roman" w:eastAsia="Times New Roman" w:hAnsi="Times New Roman" w:cs="Times New Roman"/>
          <w:i/>
          <w:sz w:val="24"/>
          <w:szCs w:val="24"/>
        </w:rPr>
        <w:t xml:space="preserve">Prakash Singh </w:t>
      </w:r>
      <w:r>
        <w:rPr>
          <w:rFonts w:ascii="Times New Roman" w:eastAsia="Times New Roman" w:hAnsi="Times New Roman" w:cs="Times New Roman"/>
          <w:sz w:val="24"/>
          <w:szCs w:val="24"/>
        </w:rPr>
        <w:t>directives.</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xml:space="preserve"> </w:t>
      </w:r>
    </w:p>
    <w:p w:rsidR="00094F54" w:rsidRPr="007176C7" w:rsidRDefault="00094F54" w:rsidP="00094F54">
      <w:pPr>
        <w:jc w:val="both"/>
        <w:rPr>
          <w:rFonts w:ascii="Times New Roman" w:eastAsia="Times New Roman" w:hAnsi="Times New Roman" w:cs="Times New Roman"/>
          <w:color w:val="0000FF"/>
          <w:sz w:val="24"/>
          <w:szCs w:val="24"/>
          <w:vertAlign w:val="superscript"/>
        </w:rPr>
      </w:pPr>
      <w:r>
        <w:rPr>
          <w:rFonts w:ascii="Times New Roman" w:eastAsia="Times New Roman" w:hAnsi="Times New Roman" w:cs="Times New Roman"/>
          <w:sz w:val="24"/>
          <w:szCs w:val="24"/>
        </w:rPr>
        <w:t>The Court's directives included setting up of Police Complaints Authorities (PCAs) at the state and district level, to oversee police functioning and provide a forum for citizens to seek redressal against police violations. However, according to CHRI’s report in October 2023, PCAs are operational in only 11 states/UTs.</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State PCAs work on the basis of a diluted mandate, lack rules on procedure, have a large number of vacancies, and have a low rate of inquiry initiation despite receiving complaints.</w:t>
      </w:r>
      <w:r>
        <w:rPr>
          <w:rFonts w:ascii="Times New Roman" w:eastAsia="Times New Roman" w:hAnsi="Times New Roman" w:cs="Times New Roman"/>
          <w:sz w:val="24"/>
          <w:szCs w:val="24"/>
          <w:vertAlign w:val="superscript"/>
        </w:rPr>
        <w:footnoteReference w:id="28"/>
      </w:r>
    </w:p>
    <w:p w:rsidR="00094F54" w:rsidRPr="007176C7" w:rsidRDefault="00094F54" w:rsidP="00094F54">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Legislative developments related to prevention of torture</w:t>
      </w:r>
    </w:p>
    <w:p w:rsidR="00094F54" w:rsidRDefault="00094F54" w:rsidP="00094F5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its third UPR, India had committed to ratification of the UNCAT. It also committed to examination of existing criminal laws in order to amend them in line with the UNCAT.</w:t>
      </w:r>
      <w:r>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sz w:val="24"/>
          <w:szCs w:val="24"/>
        </w:rPr>
        <w:t xml:space="preserve"> </w:t>
      </w:r>
    </w:p>
    <w:p w:rsidR="00094F54" w:rsidRDefault="00094F54" w:rsidP="00094F5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Indian government is yet to ratify the UNCAT. Despite the recent “overhaul” in the criminal law framework</w:t>
      </w:r>
      <w:r>
        <w:rPr>
          <w:rFonts w:ascii="Times New Roman" w:eastAsia="Times New Roman" w:hAnsi="Times New Roman" w:cs="Times New Roman"/>
          <w:sz w:val="24"/>
          <w:szCs w:val="24"/>
          <w:vertAlign w:val="superscript"/>
        </w:rPr>
        <w:footnoteReference w:id="30"/>
      </w:r>
      <w:r>
        <w:rPr>
          <w:rFonts w:ascii="Times New Roman" w:eastAsia="Times New Roman" w:hAnsi="Times New Roman" w:cs="Times New Roman"/>
          <w:sz w:val="24"/>
          <w:szCs w:val="24"/>
        </w:rPr>
        <w:t>, torture has not been defined or added as a separate offence in the substantive criminal law.</w:t>
      </w:r>
      <w:r>
        <w:rPr>
          <w:rFonts w:ascii="Times New Roman" w:eastAsia="Times New Roman" w:hAnsi="Times New Roman" w:cs="Times New Roman"/>
          <w:sz w:val="24"/>
          <w:szCs w:val="24"/>
          <w:vertAlign w:val="superscript"/>
        </w:rPr>
        <w:footnoteReference w:id="31"/>
      </w:r>
      <w:r>
        <w:rPr>
          <w:rFonts w:ascii="Times New Roman" w:eastAsia="Times New Roman" w:hAnsi="Times New Roman" w:cs="Times New Roman"/>
          <w:sz w:val="24"/>
          <w:szCs w:val="24"/>
        </w:rPr>
        <w:t xml:space="preserve"> </w:t>
      </w:r>
    </w:p>
    <w:p w:rsidR="00094F54" w:rsidRDefault="00094F54" w:rsidP="00094F5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new procedural laws appear to mediate a significant hurdle to prosecution in cases of custodial violence caused due to unending delays in grant of sanction for proceedings against public servants.</w:t>
      </w:r>
      <w:r>
        <w:rPr>
          <w:rFonts w:ascii="Times New Roman" w:eastAsia="Times New Roman" w:hAnsi="Times New Roman" w:cs="Times New Roman"/>
          <w:sz w:val="24"/>
          <w:szCs w:val="24"/>
          <w:vertAlign w:val="superscript"/>
        </w:rPr>
        <w:footnoteReference w:id="32"/>
      </w:r>
      <w:r>
        <w:rPr>
          <w:rFonts w:ascii="Times New Roman" w:eastAsia="Times New Roman" w:hAnsi="Times New Roman" w:cs="Times New Roman"/>
          <w:sz w:val="24"/>
          <w:szCs w:val="24"/>
        </w:rPr>
        <w:t xml:space="preserve"> If the sanctioning authority does not respond within 120 days, sanction would be considered deemed to have been accorded. </w:t>
      </w:r>
    </w:p>
    <w:p w:rsidR="00094F54" w:rsidRDefault="00094F54" w:rsidP="00094F5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the same time, the new laws significantly expand the permissible period in police custody during investigation,</w:t>
      </w:r>
      <w:r>
        <w:rPr>
          <w:rFonts w:ascii="Times New Roman" w:eastAsia="Times New Roman" w:hAnsi="Times New Roman" w:cs="Times New Roman"/>
          <w:sz w:val="24"/>
          <w:szCs w:val="24"/>
          <w:vertAlign w:val="superscript"/>
        </w:rPr>
        <w:footnoteReference w:id="33"/>
      </w:r>
      <w:r>
        <w:rPr>
          <w:rFonts w:ascii="Times New Roman" w:eastAsia="Times New Roman" w:hAnsi="Times New Roman" w:cs="Times New Roman"/>
          <w:sz w:val="24"/>
          <w:szCs w:val="24"/>
        </w:rPr>
        <w:t xml:space="preserve"> despite prolonged detention in police custody heightening the vulnerability of the suspect and threat of police violence.</w:t>
      </w:r>
      <w:r>
        <w:rPr>
          <w:rFonts w:ascii="Times New Roman" w:eastAsia="Times New Roman" w:hAnsi="Times New Roman" w:cs="Times New Roman"/>
          <w:sz w:val="24"/>
          <w:szCs w:val="24"/>
          <w:vertAlign w:val="superscript"/>
        </w:rPr>
        <w:footnoteReference w:id="34"/>
      </w:r>
      <w:r>
        <w:rPr>
          <w:rFonts w:ascii="Times New Roman" w:eastAsia="Times New Roman" w:hAnsi="Times New Roman" w:cs="Times New Roman"/>
          <w:sz w:val="24"/>
          <w:szCs w:val="24"/>
        </w:rPr>
        <w:t xml:space="preserve"> </w:t>
      </w:r>
    </w:p>
    <w:p w:rsidR="00094F54" w:rsidRDefault="00094F54" w:rsidP="00094F54">
      <w:pPr>
        <w:jc w:val="both"/>
        <w:rPr>
          <w:rFonts w:ascii="Times New Roman" w:eastAsia="Times New Roman" w:hAnsi="Times New Roman" w:cs="Times New Roman"/>
          <w:sz w:val="24"/>
          <w:szCs w:val="24"/>
        </w:rPr>
      </w:pPr>
    </w:p>
    <w:p w:rsidR="00094F54" w:rsidRDefault="00094F54" w:rsidP="00094F54">
      <w:pPr>
        <w:jc w:val="both"/>
      </w:pPr>
      <w:r>
        <w:rPr>
          <w:rFonts w:ascii="Times New Roman" w:eastAsia="Times New Roman" w:hAnsi="Times New Roman" w:cs="Times New Roman"/>
          <w:sz w:val="24"/>
          <w:szCs w:val="24"/>
        </w:rPr>
        <w:t>There has also been a failure to add provision on the presumption of injuries sustained in police custody to be caused due to police violence.</w:t>
      </w:r>
      <w:r>
        <w:rPr>
          <w:rFonts w:ascii="Times New Roman" w:eastAsia="Times New Roman" w:hAnsi="Times New Roman" w:cs="Times New Roman"/>
          <w:sz w:val="24"/>
          <w:szCs w:val="24"/>
          <w:vertAlign w:val="superscript"/>
        </w:rPr>
        <w:footnoteReference w:id="35"/>
      </w:r>
      <w:r>
        <w:rPr>
          <w:rFonts w:ascii="Times New Roman" w:eastAsia="Times New Roman" w:hAnsi="Times New Roman" w:cs="Times New Roman"/>
          <w:sz w:val="24"/>
          <w:szCs w:val="24"/>
        </w:rPr>
        <w:t xml:space="preserve"> The new evidence law continues to include the provision for “recovery evidence”, which has been widely criticised for enabling a culture of torture and police violence in the name of investigation.</w:t>
      </w:r>
      <w:r>
        <w:rPr>
          <w:rFonts w:ascii="Times New Roman" w:eastAsia="Times New Roman" w:hAnsi="Times New Roman" w:cs="Times New Roman"/>
          <w:sz w:val="24"/>
          <w:szCs w:val="24"/>
          <w:vertAlign w:val="superscript"/>
        </w:rPr>
        <w:footnoteReference w:id="36"/>
      </w:r>
    </w:p>
    <w:p w:rsidR="00094F54" w:rsidRDefault="00420407" w:rsidP="00094F54">
      <w:pPr>
        <w:rPr>
          <w:rFonts w:ascii="Times New Roman" w:hAnsi="Times New Roman" w:cs="Times New Roman"/>
          <w:b/>
          <w:sz w:val="28"/>
          <w:szCs w:val="28"/>
        </w:rPr>
      </w:pPr>
      <w:r>
        <w:rPr>
          <w:rFonts w:ascii="Times New Roman" w:hAnsi="Times New Roman" w:cs="Times New Roman"/>
          <w:b/>
          <w:sz w:val="28"/>
          <w:szCs w:val="28"/>
        </w:rPr>
        <w:t>Reply to Para 96 of GOI report</w:t>
      </w:r>
    </w:p>
    <w:p w:rsidR="00420407" w:rsidRDefault="00420407" w:rsidP="00A432CF">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Issue No. 19</w:t>
      </w:r>
      <w:r w:rsidR="00A432CF">
        <w:rPr>
          <w:rFonts w:ascii="Times New Roman" w:eastAsia="Times New Roman" w:hAnsi="Times New Roman" w:cs="Times New Roman"/>
          <w:b/>
          <w:sz w:val="24"/>
          <w:szCs w:val="24"/>
          <w:u w:val="single"/>
        </w:rPr>
        <w:t xml:space="preserve"> of list of issues</w:t>
      </w:r>
    </w:p>
    <w:p w:rsidR="00420407" w:rsidRPr="007176C7" w:rsidRDefault="00420407" w:rsidP="00A432CF">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Questions of unlawful arrests and illegal detention</w:t>
      </w:r>
    </w:p>
    <w:p w:rsidR="00420407" w:rsidRPr="007176C7" w:rsidRDefault="00420407" w:rsidP="00420407">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Measures to prevent unlawful arrests and illegal detention</w:t>
      </w:r>
    </w:p>
    <w:p w:rsidR="00420407" w:rsidRDefault="00420407" w:rsidP="0042040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Effective compliance with safeguards on arrest introduced under </w:t>
      </w:r>
      <w:r>
        <w:rPr>
          <w:rFonts w:ascii="Times New Roman" w:eastAsia="Times New Roman" w:hAnsi="Times New Roman" w:cs="Times New Roman"/>
          <w:i/>
          <w:sz w:val="24"/>
          <w:szCs w:val="24"/>
        </w:rPr>
        <w:t>DK Basu v. State of West Bengal</w:t>
      </w:r>
      <w:r>
        <w:rPr>
          <w:rFonts w:ascii="Times New Roman" w:eastAsia="Times New Roman" w:hAnsi="Times New Roman" w:cs="Times New Roman"/>
          <w:sz w:val="24"/>
          <w:szCs w:val="24"/>
        </w:rPr>
        <w:t xml:space="preserve"> (1997), many of which have been subsequently incorporated into statute, has been inconsistent and inadequate.</w:t>
      </w:r>
      <w:r>
        <w:rPr>
          <w:rFonts w:ascii="Times New Roman" w:eastAsia="Times New Roman" w:hAnsi="Times New Roman" w:cs="Times New Roman"/>
          <w:sz w:val="24"/>
          <w:szCs w:val="24"/>
          <w:vertAlign w:val="superscript"/>
        </w:rPr>
        <w:footnoteReference w:id="37"/>
      </w:r>
      <w:r>
        <w:rPr>
          <w:rFonts w:ascii="Times New Roman" w:eastAsia="Times New Roman" w:hAnsi="Times New Roman" w:cs="Times New Roman"/>
          <w:sz w:val="24"/>
          <w:szCs w:val="24"/>
        </w:rPr>
        <w:t xml:space="preserve"> Courts have frequently criticised the police for failure to comply with these safeguards, and highlighted the implication of these violations on an accused’s right to life and liberty, and fair trial rights.</w:t>
      </w:r>
      <w:r>
        <w:rPr>
          <w:rFonts w:ascii="Times New Roman" w:eastAsia="Times New Roman" w:hAnsi="Times New Roman" w:cs="Times New Roman"/>
          <w:sz w:val="24"/>
          <w:szCs w:val="24"/>
          <w:vertAlign w:val="superscript"/>
        </w:rPr>
        <w:footnoteReference w:id="38"/>
      </w:r>
      <w:r>
        <w:rPr>
          <w:rFonts w:ascii="Times New Roman" w:eastAsia="Times New Roman" w:hAnsi="Times New Roman" w:cs="Times New Roman"/>
          <w:sz w:val="24"/>
          <w:szCs w:val="24"/>
        </w:rPr>
        <w:t xml:space="preserve"> </w:t>
      </w:r>
    </w:p>
    <w:p w:rsidR="00420407" w:rsidRDefault="00420407" w:rsidP="0042040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Reports suggest that magistrates/judicial authorities responsible for overseeing police action and ensuring constitutional rights of the accused are unable to ensure adequate protection of their rights at this stage.</w:t>
      </w:r>
      <w:r>
        <w:rPr>
          <w:rFonts w:ascii="Times New Roman" w:eastAsia="Times New Roman" w:hAnsi="Times New Roman" w:cs="Times New Roman"/>
          <w:sz w:val="24"/>
          <w:szCs w:val="24"/>
          <w:vertAlign w:val="superscript"/>
        </w:rPr>
        <w:footnoteReference w:id="39"/>
      </w:r>
      <w:r>
        <w:rPr>
          <w:rFonts w:ascii="Times New Roman" w:eastAsia="Times New Roman" w:hAnsi="Times New Roman" w:cs="Times New Roman"/>
          <w:sz w:val="24"/>
          <w:szCs w:val="24"/>
        </w:rPr>
        <w:t xml:space="preserve"> There have been several reported instances involving the failure of magistrates/judicial authorities to effectively respond to violation in procedures on arrest; secure accused’s right to legal representation; and act as an effective check against custodial violence – especially in instances where production procedures are carried at the residence of the judicial authority beyond court hours.</w:t>
      </w:r>
      <w:r>
        <w:rPr>
          <w:rFonts w:ascii="Times New Roman" w:eastAsia="Times New Roman" w:hAnsi="Times New Roman" w:cs="Times New Roman"/>
          <w:sz w:val="24"/>
          <w:szCs w:val="24"/>
          <w:vertAlign w:val="superscript"/>
        </w:rPr>
        <w:footnoteReference w:id="40"/>
      </w:r>
      <w:r>
        <w:rPr>
          <w:rFonts w:ascii="Times New Roman" w:eastAsia="Times New Roman" w:hAnsi="Times New Roman" w:cs="Times New Roman"/>
          <w:sz w:val="24"/>
          <w:szCs w:val="24"/>
        </w:rPr>
        <w:t xml:space="preserve"> </w:t>
      </w:r>
    </w:p>
    <w:p w:rsidR="00420407" w:rsidRDefault="00420407" w:rsidP="0042040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2014 the Supreme Court introduced guidelines </w:t>
      </w:r>
      <w:r w:rsidR="002547BB">
        <w:rPr>
          <w:rFonts w:ascii="Times New Roman" w:eastAsia="Times New Roman" w:hAnsi="Times New Roman" w:cs="Times New Roman"/>
          <w:sz w:val="24"/>
          <w:szCs w:val="24"/>
        </w:rPr>
        <w:t>emphasizing</w:t>
      </w:r>
      <w:r>
        <w:rPr>
          <w:rFonts w:ascii="Times New Roman" w:eastAsia="Times New Roman" w:hAnsi="Times New Roman" w:cs="Times New Roman"/>
          <w:sz w:val="24"/>
          <w:szCs w:val="24"/>
        </w:rPr>
        <w:t xml:space="preserve"> the role of the police and the responsibility of magistrates to check against unjustified and unnecessary arrests.</w:t>
      </w:r>
      <w:r>
        <w:rPr>
          <w:rFonts w:ascii="Times New Roman" w:eastAsia="Times New Roman" w:hAnsi="Times New Roman" w:cs="Times New Roman"/>
          <w:sz w:val="24"/>
          <w:szCs w:val="24"/>
          <w:vertAlign w:val="superscript"/>
        </w:rPr>
        <w:footnoteReference w:id="41"/>
      </w:r>
      <w:r>
        <w:rPr>
          <w:rFonts w:ascii="Times New Roman" w:eastAsia="Times New Roman" w:hAnsi="Times New Roman" w:cs="Times New Roman"/>
          <w:sz w:val="24"/>
          <w:szCs w:val="24"/>
        </w:rPr>
        <w:t xml:space="preserve"> Higher courts have frequently raised issues with these guidelines not being properly followed – highlighting the high number of unnecessary arrests (contributing to the problem of overcrowding in prisons) and delays in deciding bail pleas – and have directed action against authorities in certain instances.</w:t>
      </w:r>
      <w:r>
        <w:rPr>
          <w:rFonts w:ascii="Times New Roman" w:eastAsia="Times New Roman" w:hAnsi="Times New Roman" w:cs="Times New Roman"/>
          <w:sz w:val="24"/>
          <w:szCs w:val="24"/>
          <w:vertAlign w:val="superscript"/>
        </w:rPr>
        <w:footnoteReference w:id="42"/>
      </w:r>
    </w:p>
    <w:p w:rsidR="00420407" w:rsidRPr="00A432CF" w:rsidRDefault="00420407" w:rsidP="00420407">
      <w:pPr>
        <w:jc w:val="both"/>
        <w:rPr>
          <w:rFonts w:ascii="Times New Roman" w:eastAsia="Times New Roman" w:hAnsi="Times New Roman" w:cs="Times New Roman"/>
          <w:sz w:val="24"/>
          <w:szCs w:val="24"/>
          <w:shd w:val="clear" w:color="auto" w:fill="FFF2CC"/>
        </w:rPr>
      </w:pPr>
      <w:r>
        <w:rPr>
          <w:rFonts w:ascii="Times New Roman" w:eastAsia="Times New Roman" w:hAnsi="Times New Roman" w:cs="Times New Roman"/>
          <w:sz w:val="24"/>
          <w:szCs w:val="24"/>
        </w:rPr>
        <w:t>The new criminal laws were not used as an opportunity to address gaps in the law and strengthen safeguards on arrest</w:t>
      </w:r>
      <w:r>
        <w:rPr>
          <w:rFonts w:ascii="Times New Roman" w:eastAsia="Times New Roman" w:hAnsi="Times New Roman" w:cs="Times New Roman"/>
          <w:sz w:val="24"/>
          <w:szCs w:val="24"/>
          <w:vertAlign w:val="superscript"/>
        </w:rPr>
        <w:footnoteReference w:id="43"/>
      </w:r>
      <w:r>
        <w:rPr>
          <w:rFonts w:ascii="Times New Roman" w:eastAsia="Times New Roman" w:hAnsi="Times New Roman" w:cs="Times New Roman"/>
          <w:sz w:val="24"/>
          <w:szCs w:val="24"/>
        </w:rPr>
        <w:t>, and have in some instances diluted existing safeguards on arrest.</w:t>
      </w:r>
      <w:r>
        <w:rPr>
          <w:rFonts w:ascii="Times New Roman" w:eastAsia="Times New Roman" w:hAnsi="Times New Roman" w:cs="Times New Roman"/>
          <w:sz w:val="24"/>
          <w:szCs w:val="24"/>
          <w:vertAlign w:val="superscript"/>
        </w:rPr>
        <w:footnoteReference w:id="44"/>
      </w:r>
      <w:r>
        <w:rPr>
          <w:rFonts w:ascii="Times New Roman" w:eastAsia="Times New Roman" w:hAnsi="Times New Roman" w:cs="Times New Roman"/>
          <w:sz w:val="24"/>
          <w:szCs w:val="24"/>
        </w:rPr>
        <w:t xml:space="preserve"> The new criminal procedure law has included a new preventive detention provision in general criminal law - wherein the police can detain or ‘remove’ persons in the course of preventing a cognizable offence – leaving substantial scope for abuse.</w:t>
      </w:r>
      <w:r>
        <w:rPr>
          <w:rFonts w:ascii="Times New Roman" w:eastAsia="Times New Roman" w:hAnsi="Times New Roman" w:cs="Times New Roman"/>
          <w:sz w:val="24"/>
          <w:szCs w:val="24"/>
          <w:vertAlign w:val="superscript"/>
        </w:rPr>
        <w:footnoteReference w:id="45"/>
      </w:r>
      <w:r>
        <w:rPr>
          <w:rFonts w:ascii="Times New Roman" w:eastAsia="Times New Roman" w:hAnsi="Times New Roman" w:cs="Times New Roman"/>
          <w:sz w:val="24"/>
          <w:szCs w:val="24"/>
        </w:rPr>
        <w:t xml:space="preserve"> Further, concerns have been raised about the expansion of police powers during investigation; inclusion of broadly worded penal provisions for serious offences, including terrorism; and increased terms of imprisonment and fine amounts across provisions in the new criminal laws.</w:t>
      </w:r>
      <w:r>
        <w:rPr>
          <w:rFonts w:ascii="Times New Roman" w:eastAsia="Times New Roman" w:hAnsi="Times New Roman" w:cs="Times New Roman"/>
          <w:sz w:val="24"/>
          <w:szCs w:val="24"/>
          <w:vertAlign w:val="superscript"/>
        </w:rPr>
        <w:footnoteReference w:id="46"/>
      </w:r>
      <w:r>
        <w:rPr>
          <w:rFonts w:ascii="Times New Roman" w:eastAsia="Times New Roman" w:hAnsi="Times New Roman" w:cs="Times New Roman"/>
          <w:sz w:val="24"/>
          <w:szCs w:val="24"/>
        </w:rPr>
        <w:t xml:space="preserve"> In the absence of a statutory enforceable right to compensation for unlawful arrests and illegal detention has resulted in compensation being granted in an ad hoc manner, often after having to undergo further litigation.</w:t>
      </w:r>
      <w:r>
        <w:rPr>
          <w:rFonts w:ascii="Times New Roman" w:eastAsia="Times New Roman" w:hAnsi="Times New Roman" w:cs="Times New Roman"/>
          <w:sz w:val="24"/>
          <w:szCs w:val="24"/>
          <w:vertAlign w:val="superscript"/>
        </w:rPr>
        <w:footnoteReference w:id="47"/>
      </w:r>
    </w:p>
    <w:p w:rsidR="00420407" w:rsidRPr="007176C7" w:rsidRDefault="00420407" w:rsidP="00420407">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Legal Aid</w:t>
      </w:r>
    </w:p>
    <w:p w:rsidR="00420407" w:rsidRDefault="00420407" w:rsidP="0042040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the extensive legal aid system in India, since 1995, only 15 million people have accessed legal aid out of the 1 billion eligible for the same.</w:t>
      </w:r>
      <w:r>
        <w:rPr>
          <w:rFonts w:ascii="Times New Roman" w:eastAsia="Times New Roman" w:hAnsi="Times New Roman" w:cs="Times New Roman"/>
          <w:sz w:val="24"/>
          <w:szCs w:val="24"/>
          <w:vertAlign w:val="superscript"/>
        </w:rPr>
        <w:footnoteReference w:id="48"/>
      </w:r>
      <w:r>
        <w:rPr>
          <w:rFonts w:ascii="Times New Roman" w:eastAsia="Times New Roman" w:hAnsi="Times New Roman" w:cs="Times New Roman"/>
          <w:sz w:val="24"/>
          <w:szCs w:val="24"/>
        </w:rPr>
        <w:t xml:space="preserve"> The legal aid system is significantly </w:t>
      </w:r>
      <w:r w:rsidR="002547BB">
        <w:rPr>
          <w:rFonts w:ascii="Times New Roman" w:eastAsia="Times New Roman" w:hAnsi="Times New Roman" w:cs="Times New Roman"/>
          <w:sz w:val="24"/>
          <w:szCs w:val="24"/>
        </w:rPr>
        <w:t>underutilized</w:t>
      </w:r>
      <w:r>
        <w:rPr>
          <w:rFonts w:ascii="Times New Roman" w:eastAsia="Times New Roman" w:hAnsi="Times New Roman" w:cs="Times New Roman"/>
          <w:sz w:val="24"/>
          <w:szCs w:val="24"/>
        </w:rPr>
        <w:t xml:space="preserve">, despite disproportionate representation of socio-economically </w:t>
      </w:r>
      <w:r w:rsidR="002547BB">
        <w:rPr>
          <w:rFonts w:ascii="Times New Roman" w:eastAsia="Times New Roman" w:hAnsi="Times New Roman" w:cs="Times New Roman"/>
          <w:sz w:val="24"/>
          <w:szCs w:val="24"/>
        </w:rPr>
        <w:t>marginalized</w:t>
      </w:r>
      <w:r>
        <w:rPr>
          <w:rFonts w:ascii="Times New Roman" w:eastAsia="Times New Roman" w:hAnsi="Times New Roman" w:cs="Times New Roman"/>
          <w:sz w:val="24"/>
          <w:szCs w:val="24"/>
        </w:rPr>
        <w:t xml:space="preserve"> individuals in Indian prisons.</w:t>
      </w:r>
      <w:r>
        <w:rPr>
          <w:rFonts w:ascii="Times New Roman" w:eastAsia="Times New Roman" w:hAnsi="Times New Roman" w:cs="Times New Roman"/>
          <w:sz w:val="24"/>
          <w:szCs w:val="24"/>
          <w:vertAlign w:val="superscript"/>
        </w:rPr>
        <w:footnoteReference w:id="49"/>
      </w:r>
      <w:r>
        <w:rPr>
          <w:rFonts w:ascii="Times New Roman" w:eastAsia="Times New Roman" w:hAnsi="Times New Roman" w:cs="Times New Roman"/>
          <w:sz w:val="24"/>
          <w:szCs w:val="24"/>
        </w:rPr>
        <w:t xml:space="preserve"> Reports have raised concerns about the poor quality of legal aid, particularly highlighting the budgetary constraints and poor conditions of work for counsels.</w:t>
      </w:r>
      <w:r>
        <w:rPr>
          <w:rFonts w:ascii="Times New Roman" w:eastAsia="Times New Roman" w:hAnsi="Times New Roman" w:cs="Times New Roman"/>
          <w:sz w:val="24"/>
          <w:szCs w:val="24"/>
          <w:vertAlign w:val="superscript"/>
        </w:rPr>
        <w:footnoteReference w:id="50"/>
      </w:r>
      <w:r>
        <w:rPr>
          <w:rFonts w:ascii="Times New Roman" w:eastAsia="Times New Roman" w:hAnsi="Times New Roman" w:cs="Times New Roman"/>
          <w:sz w:val="24"/>
          <w:szCs w:val="24"/>
        </w:rPr>
        <w:t xml:space="preserve"> </w:t>
      </w:r>
    </w:p>
    <w:p w:rsidR="00420407" w:rsidRDefault="00420407" w:rsidP="00420407">
      <w:pPr>
        <w:jc w:val="both"/>
        <w:rPr>
          <w:rFonts w:ascii="Times New Roman" w:eastAsia="Times New Roman" w:hAnsi="Times New Roman" w:cs="Times New Roman"/>
          <w:sz w:val="24"/>
          <w:szCs w:val="24"/>
        </w:rPr>
      </w:pPr>
    </w:p>
    <w:p w:rsidR="00420407" w:rsidRPr="007176C7" w:rsidRDefault="00420407" w:rsidP="00420407">
      <w:pPr>
        <w:jc w:val="both"/>
        <w:rPr>
          <w:rFonts w:ascii="Times New Roman" w:eastAsia="Times New Roman" w:hAnsi="Times New Roman" w:cs="Times New Roman"/>
          <w:sz w:val="24"/>
          <w:szCs w:val="24"/>
          <w:shd w:val="clear" w:color="auto" w:fill="FFE599"/>
        </w:rPr>
      </w:pPr>
      <w:r>
        <w:rPr>
          <w:rFonts w:ascii="Times New Roman" w:eastAsia="Times New Roman" w:hAnsi="Times New Roman" w:cs="Times New Roman"/>
          <w:sz w:val="24"/>
          <w:szCs w:val="24"/>
        </w:rPr>
        <w:t xml:space="preserve">While the significance of legal representation from the time of arrest/detention has been </w:t>
      </w:r>
      <w:r w:rsidR="000472B3">
        <w:rPr>
          <w:rFonts w:ascii="Times New Roman" w:eastAsia="Times New Roman" w:hAnsi="Times New Roman" w:cs="Times New Roman"/>
          <w:sz w:val="24"/>
          <w:szCs w:val="24"/>
        </w:rPr>
        <w:t>emphasized</w:t>
      </w:r>
      <w:r>
        <w:rPr>
          <w:rFonts w:ascii="Times New Roman" w:eastAsia="Times New Roman" w:hAnsi="Times New Roman" w:cs="Times New Roman"/>
          <w:sz w:val="24"/>
          <w:szCs w:val="24"/>
          <w:vertAlign w:val="superscript"/>
        </w:rPr>
        <w:footnoteReference w:id="51"/>
      </w:r>
      <w:r>
        <w:rPr>
          <w:rFonts w:ascii="Times New Roman" w:eastAsia="Times New Roman" w:hAnsi="Times New Roman" w:cs="Times New Roman"/>
          <w:sz w:val="24"/>
          <w:szCs w:val="24"/>
        </w:rPr>
        <w:t>, reports have demonstrated poor compliance with this constitutional entitlement in police stations and during judicial proceedings for first production and remand.</w:t>
      </w:r>
      <w:r>
        <w:rPr>
          <w:rFonts w:ascii="Times New Roman" w:eastAsia="Times New Roman" w:hAnsi="Times New Roman" w:cs="Times New Roman"/>
          <w:sz w:val="24"/>
          <w:szCs w:val="24"/>
          <w:vertAlign w:val="superscript"/>
        </w:rPr>
        <w:footnoteReference w:id="52"/>
      </w:r>
      <w:r>
        <w:rPr>
          <w:rFonts w:ascii="Times New Roman" w:eastAsia="Times New Roman" w:hAnsi="Times New Roman" w:cs="Times New Roman"/>
          <w:sz w:val="24"/>
          <w:szCs w:val="24"/>
        </w:rPr>
        <w:t xml:space="preserve"> A study published in 2018 reveals that of the 244 DLSAs studied across the country, only 164 of them assigned lawyers at the remand stage to the accused.</w:t>
      </w:r>
      <w:r>
        <w:rPr>
          <w:rFonts w:ascii="Times New Roman" w:eastAsia="Times New Roman" w:hAnsi="Times New Roman" w:cs="Times New Roman"/>
          <w:sz w:val="24"/>
          <w:szCs w:val="24"/>
          <w:vertAlign w:val="superscript"/>
        </w:rPr>
        <w:footnoteReference w:id="53"/>
      </w:r>
      <w:r>
        <w:rPr>
          <w:rFonts w:ascii="Times New Roman" w:eastAsia="Times New Roman" w:hAnsi="Times New Roman" w:cs="Times New Roman"/>
          <w:sz w:val="24"/>
          <w:szCs w:val="24"/>
        </w:rPr>
        <w:t xml:space="preserve"> Even where lawyers are present in these proceedings, they are often given inadequate time and/or are inadequately prepared, thereby resulting in an ineffective defence.</w:t>
      </w:r>
    </w:p>
    <w:p w:rsidR="00420407" w:rsidRDefault="00420407" w:rsidP="00420407">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Foreign Detainees</w:t>
      </w:r>
    </w:p>
    <w:p w:rsidR="00420407" w:rsidRDefault="00420407" w:rsidP="0042040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Foreigners can be detained in India under two routes- as an undertrial who has been accused of a criminal offence, or under the country’s citizenship and immigration laws.</w:t>
      </w:r>
      <w:r>
        <w:rPr>
          <w:rFonts w:ascii="Times New Roman" w:eastAsia="Times New Roman" w:hAnsi="Times New Roman" w:cs="Times New Roman"/>
          <w:sz w:val="24"/>
          <w:szCs w:val="24"/>
          <w:vertAlign w:val="superscript"/>
        </w:rPr>
        <w:footnoteReference w:id="54"/>
      </w:r>
      <w:r>
        <w:rPr>
          <w:rFonts w:ascii="Times New Roman" w:eastAsia="Times New Roman" w:hAnsi="Times New Roman" w:cs="Times New Roman"/>
          <w:sz w:val="24"/>
          <w:szCs w:val="24"/>
        </w:rPr>
        <w:t xml:space="preserve"> However, structural barriers within the criminal justice system can render a Foreign National Prisoner (FNP) doubly vulnerable while undergoing detention in India.</w:t>
      </w:r>
      <w:r>
        <w:rPr>
          <w:rFonts w:ascii="Times New Roman" w:eastAsia="Times New Roman" w:hAnsi="Times New Roman" w:cs="Times New Roman"/>
          <w:sz w:val="24"/>
          <w:szCs w:val="24"/>
          <w:vertAlign w:val="superscript"/>
        </w:rPr>
        <w:footnoteReference w:id="55"/>
      </w:r>
      <w:r>
        <w:rPr>
          <w:rFonts w:ascii="Times New Roman" w:eastAsia="Times New Roman" w:hAnsi="Times New Roman" w:cs="Times New Roman"/>
          <w:sz w:val="24"/>
          <w:szCs w:val="24"/>
        </w:rPr>
        <w:t xml:space="preserve"> </w:t>
      </w:r>
    </w:p>
    <w:p w:rsidR="00420407" w:rsidRDefault="00420407" w:rsidP="0042040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India is a party to the Vienna Convention on Consular Relations, and is therefore under the obligation to provide consular access to a FNP in prison and to communicate the details of arrest to the consulate.</w:t>
      </w:r>
      <w:r>
        <w:rPr>
          <w:rFonts w:ascii="Times New Roman" w:eastAsia="Times New Roman" w:hAnsi="Times New Roman" w:cs="Times New Roman"/>
          <w:sz w:val="24"/>
          <w:szCs w:val="24"/>
          <w:vertAlign w:val="superscript"/>
        </w:rPr>
        <w:footnoteReference w:id="56"/>
      </w:r>
      <w:r>
        <w:rPr>
          <w:rFonts w:ascii="Times New Roman" w:eastAsia="Times New Roman" w:hAnsi="Times New Roman" w:cs="Times New Roman"/>
          <w:sz w:val="24"/>
          <w:szCs w:val="24"/>
        </w:rPr>
        <w:t>In line with this obligation, the Ministry of Home Affairs released a list of guidelines on consular access for FNPs in 2019. However, the process restricts prison officials from contacting foreign consulates directly, and streamlines all communication between the prisoner and his consulate through the Ministry of External Affairs.</w:t>
      </w:r>
      <w:r>
        <w:rPr>
          <w:rFonts w:ascii="Times New Roman" w:eastAsia="Times New Roman" w:hAnsi="Times New Roman" w:cs="Times New Roman"/>
          <w:sz w:val="24"/>
          <w:szCs w:val="24"/>
          <w:vertAlign w:val="superscript"/>
        </w:rPr>
        <w:footnoteReference w:id="57"/>
      </w:r>
      <w:r>
        <w:rPr>
          <w:rFonts w:ascii="Times New Roman" w:eastAsia="Times New Roman" w:hAnsi="Times New Roman" w:cs="Times New Roman"/>
          <w:sz w:val="24"/>
          <w:szCs w:val="24"/>
        </w:rPr>
        <w:t xml:space="preserve"> Additionally, a prisoner who wishes to communicate with their consulate can do so only through a written request subject to the authorization of the MEA.</w:t>
      </w:r>
      <w:r>
        <w:rPr>
          <w:rFonts w:ascii="Times New Roman" w:eastAsia="Times New Roman" w:hAnsi="Times New Roman" w:cs="Times New Roman"/>
          <w:sz w:val="24"/>
          <w:szCs w:val="24"/>
          <w:vertAlign w:val="superscript"/>
        </w:rPr>
        <w:footnoteReference w:id="58"/>
      </w:r>
      <w:r>
        <w:rPr>
          <w:rFonts w:ascii="Times New Roman" w:eastAsia="Times New Roman" w:hAnsi="Times New Roman" w:cs="Times New Roman"/>
          <w:sz w:val="24"/>
          <w:szCs w:val="24"/>
        </w:rPr>
        <w:t xml:space="preserve"> Asides these guidelines, there exists no legal framework on consular access for FNPs. </w:t>
      </w:r>
    </w:p>
    <w:p w:rsidR="00420407" w:rsidRDefault="00420407" w:rsidP="0042040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absence of a robust legal framework </w:t>
      </w:r>
      <w:r w:rsidR="000472B3">
        <w:rPr>
          <w:rFonts w:ascii="Times New Roman" w:eastAsia="Times New Roman" w:hAnsi="Times New Roman" w:cs="Times New Roman"/>
          <w:sz w:val="24"/>
          <w:szCs w:val="24"/>
        </w:rPr>
        <w:t>recognizing</w:t>
      </w:r>
      <w:r>
        <w:rPr>
          <w:rFonts w:ascii="Times New Roman" w:eastAsia="Times New Roman" w:hAnsi="Times New Roman" w:cs="Times New Roman"/>
          <w:sz w:val="24"/>
          <w:szCs w:val="24"/>
        </w:rPr>
        <w:t xml:space="preserve"> the right to consular access, coupled with structural barriers that an FNP can face in Indian prisons (language and legal barriers, inadequate access to quality legal representation), risk placing foreign detainees for a prolonged period of incarceration without access to lawyers and their families.</w:t>
      </w:r>
      <w:r>
        <w:rPr>
          <w:rFonts w:ascii="Times New Roman" w:eastAsia="Times New Roman" w:hAnsi="Times New Roman" w:cs="Times New Roman"/>
          <w:sz w:val="24"/>
          <w:szCs w:val="24"/>
          <w:vertAlign w:val="superscript"/>
        </w:rPr>
        <w:footnoteReference w:id="59"/>
      </w:r>
      <w:r>
        <w:rPr>
          <w:rFonts w:ascii="Times New Roman" w:eastAsia="Times New Roman" w:hAnsi="Times New Roman" w:cs="Times New Roman"/>
          <w:sz w:val="24"/>
          <w:szCs w:val="24"/>
        </w:rPr>
        <w:t xml:space="preserve"> A study published in 2019 found that only 5.7% of 3908 prisoners had ever received consular access.</w:t>
      </w:r>
      <w:r>
        <w:rPr>
          <w:rFonts w:ascii="Times New Roman" w:eastAsia="Times New Roman" w:hAnsi="Times New Roman" w:cs="Times New Roman"/>
          <w:sz w:val="24"/>
          <w:szCs w:val="24"/>
          <w:vertAlign w:val="superscript"/>
        </w:rPr>
        <w:footnoteReference w:id="60"/>
      </w:r>
      <w:r>
        <w:rPr>
          <w:rFonts w:ascii="Times New Roman" w:eastAsia="Times New Roman" w:hAnsi="Times New Roman" w:cs="Times New Roman"/>
          <w:sz w:val="24"/>
          <w:szCs w:val="24"/>
        </w:rPr>
        <w:t xml:space="preserve"> This is despite orders and decisions from the Indian Supreme Court, directing consular access at regular intervals for foreign detainees on a case specific basis.</w:t>
      </w:r>
      <w:r>
        <w:rPr>
          <w:rFonts w:ascii="Times New Roman" w:eastAsia="Times New Roman" w:hAnsi="Times New Roman" w:cs="Times New Roman"/>
          <w:sz w:val="24"/>
          <w:szCs w:val="24"/>
          <w:vertAlign w:val="superscript"/>
        </w:rPr>
        <w:footnoteReference w:id="61"/>
      </w:r>
      <w:r>
        <w:rPr>
          <w:rFonts w:ascii="Times New Roman" w:eastAsia="Times New Roman" w:hAnsi="Times New Roman" w:cs="Times New Roman"/>
          <w:sz w:val="24"/>
          <w:szCs w:val="24"/>
        </w:rPr>
        <w:t xml:space="preserve"> Consular access is crucial in establishing connections with family, enabling access to lawyers and language interpreters, and can help safeguard a FNP’s rights in prison. The lack of consular access has, however, led to egregious instances such as a loss of contact between the FNP and their family for several years, prolonged delays in repatriation post the completion of their sentences etc. Additionally, FNPs continue to remain at risk of discrimination for their nationality while in prison. As of 2022, India houses 6283 FNPs, of which 4706 are undertrials in a criminal case, 1181 are convicts and 31 have been detained under immigration and citizenship laws.</w:t>
      </w:r>
      <w:r>
        <w:rPr>
          <w:rFonts w:ascii="Times New Roman" w:eastAsia="Times New Roman" w:hAnsi="Times New Roman" w:cs="Times New Roman"/>
          <w:sz w:val="24"/>
          <w:szCs w:val="24"/>
          <w:vertAlign w:val="superscript"/>
        </w:rPr>
        <w:footnoteReference w:id="62"/>
      </w:r>
    </w:p>
    <w:p w:rsidR="00420407" w:rsidRPr="00C94A69" w:rsidRDefault="00420407" w:rsidP="00420407">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Exception to Presumption of Innocence under </w:t>
      </w:r>
      <w:r w:rsidR="000472B3">
        <w:rPr>
          <w:rFonts w:ascii="Times New Roman" w:eastAsia="Times New Roman" w:hAnsi="Times New Roman" w:cs="Times New Roman"/>
          <w:b/>
          <w:sz w:val="24"/>
          <w:szCs w:val="24"/>
        </w:rPr>
        <w:t>Unlawful Activities Prevention Act (</w:t>
      </w:r>
      <w:r>
        <w:rPr>
          <w:rFonts w:ascii="Times New Roman" w:eastAsia="Times New Roman" w:hAnsi="Times New Roman" w:cs="Times New Roman"/>
          <w:b/>
          <w:sz w:val="24"/>
          <w:szCs w:val="24"/>
        </w:rPr>
        <w:t>UAPA</w:t>
      </w:r>
      <w:r w:rsidR="000472B3">
        <w:rPr>
          <w:rFonts w:ascii="Times New Roman" w:eastAsia="Times New Roman" w:hAnsi="Times New Roman" w:cs="Times New Roman"/>
          <w:b/>
          <w:sz w:val="24"/>
          <w:szCs w:val="24"/>
        </w:rPr>
        <w:t>)</w:t>
      </w:r>
    </w:p>
    <w:p w:rsidR="00420407" w:rsidRPr="00C94A69" w:rsidRDefault="00420407" w:rsidP="0042040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Cases under the UAPA – India’s stringent anti-terror legislation – are </w:t>
      </w:r>
      <w:r w:rsidR="000472B3">
        <w:rPr>
          <w:rFonts w:ascii="Times New Roman" w:eastAsia="Times New Roman" w:hAnsi="Times New Roman" w:cs="Times New Roman"/>
          <w:sz w:val="24"/>
          <w:szCs w:val="24"/>
        </w:rPr>
        <w:t>characterized</w:t>
      </w:r>
      <w:r>
        <w:rPr>
          <w:rFonts w:ascii="Times New Roman" w:eastAsia="Times New Roman" w:hAnsi="Times New Roman" w:cs="Times New Roman"/>
          <w:sz w:val="24"/>
          <w:szCs w:val="24"/>
        </w:rPr>
        <w:t xml:space="preserve"> by prolonged pretrial detention without initiation of trials, which ultimately end in acquittals.</w:t>
      </w:r>
      <w:r>
        <w:rPr>
          <w:rFonts w:ascii="Times New Roman" w:eastAsia="Times New Roman" w:hAnsi="Times New Roman" w:cs="Times New Roman"/>
          <w:sz w:val="24"/>
          <w:szCs w:val="24"/>
          <w:vertAlign w:val="superscript"/>
        </w:rPr>
        <w:footnoteReference w:id="63"/>
      </w:r>
      <w:r>
        <w:rPr>
          <w:rFonts w:ascii="Times New Roman" w:eastAsia="Times New Roman" w:hAnsi="Times New Roman" w:cs="Times New Roman"/>
          <w:sz w:val="24"/>
          <w:szCs w:val="24"/>
        </w:rPr>
        <w:t xml:space="preserve"> A study by PUCL calculating the rate of conviction between 2015 - 2020 shows that the conviction rate stands at 27.57 as against the total number of cases that have been tried in court.</w:t>
      </w:r>
      <w:r>
        <w:rPr>
          <w:rFonts w:ascii="Times New Roman" w:eastAsia="Times New Roman" w:hAnsi="Times New Roman" w:cs="Times New Roman"/>
          <w:sz w:val="24"/>
          <w:szCs w:val="24"/>
          <w:vertAlign w:val="superscript"/>
        </w:rPr>
        <w:footnoteReference w:id="64"/>
      </w:r>
      <w:r>
        <w:rPr>
          <w:rFonts w:ascii="Times New Roman" w:eastAsia="Times New Roman" w:hAnsi="Times New Roman" w:cs="Times New Roman"/>
          <w:sz w:val="24"/>
          <w:szCs w:val="24"/>
        </w:rPr>
        <w:t xml:space="preserve"> More alarmingly, the rate of conviction as against the total arrests conducted between the same time period shows that the conviction rate stands at 2.80.</w:t>
      </w:r>
      <w:r>
        <w:rPr>
          <w:rFonts w:ascii="Times New Roman" w:eastAsia="Times New Roman" w:hAnsi="Times New Roman" w:cs="Times New Roman"/>
          <w:sz w:val="24"/>
          <w:szCs w:val="24"/>
          <w:vertAlign w:val="superscript"/>
        </w:rPr>
        <w:footnoteReference w:id="65"/>
      </w:r>
      <w:r>
        <w:rPr>
          <w:rFonts w:ascii="Times New Roman" w:eastAsia="Times New Roman" w:hAnsi="Times New Roman" w:cs="Times New Roman"/>
          <w:sz w:val="24"/>
          <w:szCs w:val="24"/>
        </w:rPr>
        <w:t xml:space="preserve"> </w:t>
      </w:r>
    </w:p>
    <w:p w:rsidR="00420407" w:rsidRDefault="00420407" w:rsidP="0042040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incredibly high threshold for bail under the UAPA results in pretrial deprivation of liberty on serious charges of terrorism, arising out of extremely vaguely worded offences.</w:t>
      </w:r>
      <w:r>
        <w:rPr>
          <w:rFonts w:ascii="Times New Roman" w:eastAsia="Times New Roman" w:hAnsi="Times New Roman" w:cs="Times New Roman"/>
          <w:sz w:val="24"/>
          <w:szCs w:val="24"/>
          <w:vertAlign w:val="superscript"/>
        </w:rPr>
        <w:footnoteReference w:id="66"/>
      </w:r>
      <w:r>
        <w:rPr>
          <w:rFonts w:ascii="Times New Roman" w:eastAsia="Times New Roman" w:hAnsi="Times New Roman" w:cs="Times New Roman"/>
          <w:sz w:val="24"/>
          <w:szCs w:val="24"/>
        </w:rPr>
        <w:t xml:space="preserve"> The UAPA affords wide powers to the state to curtail civil liberties, and has been criticised for </w:t>
      </w:r>
      <w:r w:rsidR="000472B3">
        <w:rPr>
          <w:rFonts w:ascii="Times New Roman" w:eastAsia="Times New Roman" w:hAnsi="Times New Roman" w:cs="Times New Roman"/>
          <w:sz w:val="24"/>
          <w:szCs w:val="24"/>
        </w:rPr>
        <w:t>criminalizing</w:t>
      </w:r>
      <w:r>
        <w:rPr>
          <w:rFonts w:ascii="Times New Roman" w:eastAsia="Times New Roman" w:hAnsi="Times New Roman" w:cs="Times New Roman"/>
          <w:sz w:val="24"/>
          <w:szCs w:val="24"/>
        </w:rPr>
        <w:t xml:space="preserve"> dissent, and targeting journalists and human rights activists through its onerous procedure.</w:t>
      </w:r>
      <w:r>
        <w:rPr>
          <w:rFonts w:ascii="Times New Roman" w:eastAsia="Times New Roman" w:hAnsi="Times New Roman" w:cs="Times New Roman"/>
          <w:sz w:val="24"/>
          <w:szCs w:val="24"/>
          <w:vertAlign w:val="superscript"/>
        </w:rPr>
        <w:footnoteReference w:id="67"/>
      </w:r>
      <w:r>
        <w:rPr>
          <w:rFonts w:ascii="Times New Roman" w:eastAsia="Times New Roman" w:hAnsi="Times New Roman" w:cs="Times New Roman"/>
          <w:sz w:val="24"/>
          <w:szCs w:val="24"/>
        </w:rPr>
        <w:t xml:space="preserve"> Persons have been arrested and detained for lengthy periods of time for acts such as possession of books</w:t>
      </w:r>
      <w:r>
        <w:rPr>
          <w:rFonts w:ascii="Times New Roman" w:eastAsia="Times New Roman" w:hAnsi="Times New Roman" w:cs="Times New Roman"/>
          <w:sz w:val="24"/>
          <w:szCs w:val="24"/>
          <w:vertAlign w:val="superscript"/>
        </w:rPr>
        <w:footnoteReference w:id="68"/>
      </w:r>
      <w:r>
        <w:rPr>
          <w:rFonts w:ascii="Times New Roman" w:eastAsia="Times New Roman" w:hAnsi="Times New Roman" w:cs="Times New Roman"/>
          <w:sz w:val="24"/>
          <w:szCs w:val="24"/>
        </w:rPr>
        <w:t>, social media posts</w:t>
      </w:r>
      <w:r>
        <w:rPr>
          <w:rFonts w:ascii="Times New Roman" w:eastAsia="Times New Roman" w:hAnsi="Times New Roman" w:cs="Times New Roman"/>
          <w:sz w:val="24"/>
          <w:szCs w:val="24"/>
          <w:vertAlign w:val="superscript"/>
        </w:rPr>
        <w:footnoteReference w:id="69"/>
      </w:r>
      <w:r>
        <w:rPr>
          <w:rFonts w:ascii="Times New Roman" w:eastAsia="Times New Roman" w:hAnsi="Times New Roman" w:cs="Times New Roman"/>
          <w:sz w:val="24"/>
          <w:szCs w:val="24"/>
        </w:rPr>
        <w:t xml:space="preserve"> and peaceful protests.</w:t>
      </w:r>
      <w:r>
        <w:rPr>
          <w:rFonts w:ascii="Times New Roman" w:eastAsia="Times New Roman" w:hAnsi="Times New Roman" w:cs="Times New Roman"/>
          <w:sz w:val="24"/>
          <w:szCs w:val="24"/>
          <w:vertAlign w:val="superscript"/>
        </w:rPr>
        <w:footnoteReference w:id="70"/>
      </w:r>
      <w:r>
        <w:rPr>
          <w:rFonts w:ascii="Times New Roman" w:eastAsia="Times New Roman" w:hAnsi="Times New Roman" w:cs="Times New Roman"/>
          <w:sz w:val="24"/>
          <w:szCs w:val="24"/>
        </w:rPr>
        <w:t xml:space="preserve"> The Act has also been used to disproportionately arrest and detain indigenous persons in central India</w:t>
      </w:r>
      <w:r>
        <w:rPr>
          <w:rFonts w:ascii="Times New Roman" w:eastAsia="Times New Roman" w:hAnsi="Times New Roman" w:cs="Times New Roman"/>
          <w:sz w:val="24"/>
          <w:szCs w:val="24"/>
          <w:vertAlign w:val="superscript"/>
        </w:rPr>
        <w:footnoteReference w:id="71"/>
      </w:r>
      <w:r>
        <w:rPr>
          <w:rFonts w:ascii="Times New Roman" w:eastAsia="Times New Roman" w:hAnsi="Times New Roman" w:cs="Times New Roman"/>
          <w:sz w:val="24"/>
          <w:szCs w:val="24"/>
        </w:rPr>
        <w:t>, and deny relief to undertrial prisoners even in the face of ill-health.</w:t>
      </w:r>
      <w:r>
        <w:rPr>
          <w:rFonts w:ascii="Times New Roman" w:eastAsia="Times New Roman" w:hAnsi="Times New Roman" w:cs="Times New Roman"/>
          <w:sz w:val="24"/>
          <w:szCs w:val="24"/>
          <w:vertAlign w:val="superscript"/>
        </w:rPr>
        <w:footnoteReference w:id="72"/>
      </w:r>
    </w:p>
    <w:p w:rsidR="00420407" w:rsidRDefault="00420407" w:rsidP="0042040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standard for bail under the UAPA is high, wherein the accused must prove that the grounds/materials against him are not prima facie true.</w:t>
      </w:r>
      <w:r>
        <w:rPr>
          <w:rFonts w:ascii="Times New Roman" w:eastAsia="Times New Roman" w:hAnsi="Times New Roman" w:cs="Times New Roman"/>
          <w:sz w:val="24"/>
          <w:szCs w:val="24"/>
          <w:vertAlign w:val="superscript"/>
        </w:rPr>
        <w:footnoteReference w:id="73"/>
      </w:r>
      <w:r>
        <w:rPr>
          <w:rFonts w:ascii="Times New Roman" w:eastAsia="Times New Roman" w:hAnsi="Times New Roman" w:cs="Times New Roman"/>
          <w:sz w:val="24"/>
          <w:szCs w:val="24"/>
        </w:rPr>
        <w:t xml:space="preserve"> By requiring the court to make a preliminary assessment on the accused’s guilt while deciding bail, the UAPA dilutes the presumption of innocence and places the accused at a greater disadvantage in securing bail, given that they cannot access investigation materials to challenge them until the trial has formally commenced. This condition enables the UAPA to detain persons arrested for long periods without initiation of a trial</w:t>
      </w:r>
      <w:r>
        <w:rPr>
          <w:rFonts w:ascii="Times New Roman" w:eastAsia="Times New Roman" w:hAnsi="Times New Roman" w:cs="Times New Roman"/>
          <w:sz w:val="24"/>
          <w:szCs w:val="24"/>
          <w:vertAlign w:val="superscript"/>
        </w:rPr>
        <w:footnoteReference w:id="74"/>
      </w:r>
      <w:r>
        <w:rPr>
          <w:rFonts w:ascii="Times New Roman" w:eastAsia="Times New Roman" w:hAnsi="Times New Roman" w:cs="Times New Roman"/>
          <w:sz w:val="24"/>
          <w:szCs w:val="24"/>
        </w:rPr>
        <w:t>, thereby using the process itself as punishment.</w:t>
      </w:r>
      <w:r>
        <w:rPr>
          <w:rFonts w:ascii="Times New Roman" w:eastAsia="Times New Roman" w:hAnsi="Times New Roman" w:cs="Times New Roman"/>
          <w:sz w:val="24"/>
          <w:szCs w:val="24"/>
          <w:vertAlign w:val="superscript"/>
        </w:rPr>
        <w:footnoteReference w:id="75"/>
      </w:r>
      <w:r>
        <w:rPr>
          <w:rFonts w:ascii="Times New Roman" w:eastAsia="Times New Roman" w:hAnsi="Times New Roman" w:cs="Times New Roman"/>
          <w:sz w:val="24"/>
          <w:szCs w:val="24"/>
        </w:rPr>
        <w:t xml:space="preserve"> </w:t>
      </w:r>
    </w:p>
    <w:p w:rsidR="00420407" w:rsidRPr="00C94A69" w:rsidRDefault="00420407" w:rsidP="0042040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Though a significant number of people are arrested every year under the UAPA</w:t>
      </w:r>
      <w:r>
        <w:rPr>
          <w:rFonts w:ascii="Times New Roman" w:eastAsia="Times New Roman" w:hAnsi="Times New Roman" w:cs="Times New Roman"/>
          <w:sz w:val="24"/>
          <w:szCs w:val="24"/>
          <w:vertAlign w:val="superscript"/>
        </w:rPr>
        <w:footnoteReference w:id="76"/>
      </w:r>
      <w:r>
        <w:rPr>
          <w:rFonts w:ascii="Times New Roman" w:eastAsia="Times New Roman" w:hAnsi="Times New Roman" w:cs="Times New Roman"/>
          <w:sz w:val="24"/>
          <w:szCs w:val="24"/>
        </w:rPr>
        <w:t>, the constitutionality of several provisions have been challenged and are pending before the Supreme Court – including for vague definitions of offences, provisions for bail, provision of wide powers to the state to designate terrorist organisations, and for its use in curtailing free speech.</w:t>
      </w:r>
      <w:r>
        <w:rPr>
          <w:rFonts w:ascii="Times New Roman" w:eastAsia="Times New Roman" w:hAnsi="Times New Roman" w:cs="Times New Roman"/>
          <w:sz w:val="24"/>
          <w:szCs w:val="24"/>
          <w:vertAlign w:val="superscript"/>
        </w:rPr>
        <w:footnoteReference w:id="77"/>
      </w:r>
    </w:p>
    <w:p w:rsidR="00420407" w:rsidRPr="00C94A69" w:rsidRDefault="00420407" w:rsidP="00420407">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Coerced confessions and disclosures before the police</w:t>
      </w:r>
    </w:p>
    <w:p w:rsidR="00420407" w:rsidRDefault="00420407" w:rsidP="0042040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Even though confessions before a police officer are not admissible in evidence under general criminal law, provisions like Section 27 of the Indian Evidence Act (which permit recoveries based on disclosure statements before the police), enable police coercion and torture during investigation. Even though concerns with abuse of police power through this provision have been widely raised, the new criminal laws retain this provision unchanged.</w:t>
      </w:r>
      <w:r>
        <w:rPr>
          <w:rFonts w:ascii="Times New Roman" w:eastAsia="Times New Roman" w:hAnsi="Times New Roman" w:cs="Times New Roman"/>
          <w:sz w:val="24"/>
          <w:szCs w:val="24"/>
          <w:vertAlign w:val="superscript"/>
        </w:rPr>
        <w:footnoteReference w:id="78"/>
      </w:r>
      <w:r>
        <w:rPr>
          <w:rFonts w:ascii="Times New Roman" w:eastAsia="Times New Roman" w:hAnsi="Times New Roman" w:cs="Times New Roman"/>
          <w:sz w:val="24"/>
          <w:szCs w:val="24"/>
        </w:rPr>
        <w:t xml:space="preserve"> </w:t>
      </w:r>
    </w:p>
    <w:p w:rsidR="00420407" w:rsidRDefault="00420407" w:rsidP="0042040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prevent and deter torture during investigation, in December 2020 the Supreme Court issued detailed directions for installation of CCTV cameras in police stations and offices of central investigating agencies - including details like the features and the positioning of the cameras; storage, transfer, access and monitoring of the footage; and questions of budgetary and infrastructural realities across state police departments.</w:t>
      </w:r>
      <w:r>
        <w:rPr>
          <w:rFonts w:ascii="Times New Roman" w:eastAsia="Times New Roman" w:hAnsi="Times New Roman" w:cs="Times New Roman"/>
          <w:sz w:val="24"/>
          <w:szCs w:val="24"/>
          <w:vertAlign w:val="superscript"/>
        </w:rPr>
        <w:footnoteReference w:id="79"/>
      </w:r>
      <w:r>
        <w:rPr>
          <w:rFonts w:ascii="Times New Roman" w:eastAsia="Times New Roman" w:hAnsi="Times New Roman" w:cs="Times New Roman"/>
          <w:sz w:val="24"/>
          <w:szCs w:val="24"/>
        </w:rPr>
        <w:t xml:space="preserve"> However, compliance with these directions is poor across states, with 2701 police stations having no cameras at all.</w:t>
      </w:r>
      <w:r>
        <w:rPr>
          <w:rFonts w:ascii="Times New Roman" w:eastAsia="Times New Roman" w:hAnsi="Times New Roman" w:cs="Times New Roman"/>
          <w:sz w:val="24"/>
          <w:szCs w:val="24"/>
          <w:vertAlign w:val="superscript"/>
        </w:rPr>
        <w:footnoteReference w:id="80"/>
      </w:r>
      <w:r>
        <w:rPr>
          <w:rFonts w:ascii="Times New Roman" w:eastAsia="Times New Roman" w:hAnsi="Times New Roman" w:cs="Times New Roman"/>
          <w:sz w:val="24"/>
          <w:szCs w:val="24"/>
        </w:rPr>
        <w:t xml:space="preserve"> When installed, most cameras do not meet all the requirements directed by the court, including the prescribed coverage, features, and storage capacity.</w:t>
      </w:r>
      <w:r>
        <w:rPr>
          <w:rFonts w:ascii="Times New Roman" w:eastAsia="Times New Roman" w:hAnsi="Times New Roman" w:cs="Times New Roman"/>
          <w:sz w:val="24"/>
          <w:szCs w:val="24"/>
          <w:vertAlign w:val="superscript"/>
        </w:rPr>
        <w:footnoteReference w:id="81"/>
      </w:r>
    </w:p>
    <w:p w:rsidR="00420407" w:rsidRPr="00C94A69" w:rsidRDefault="00420407" w:rsidP="00420407">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Preliminary assessment under JJ Act</w:t>
      </w:r>
    </w:p>
    <w:p w:rsidR="00420407" w:rsidRPr="00C94A69" w:rsidRDefault="00420407" w:rsidP="0042040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requirement for preliminary assessments and the trial of specific 16-18 year old juveniles as adults under the Juvenile Justice Act has been criticised, both for undercutting the foundational principles of the legislation (which includes care and protection for children, the best interests principle and the diversion principle) and for lack of legal clarity on the grounds and processes for such assessments.</w:t>
      </w:r>
      <w:r>
        <w:rPr>
          <w:rFonts w:ascii="Times New Roman" w:eastAsia="Times New Roman" w:hAnsi="Times New Roman" w:cs="Times New Roman"/>
          <w:sz w:val="24"/>
          <w:szCs w:val="24"/>
          <w:vertAlign w:val="superscript"/>
        </w:rPr>
        <w:footnoteReference w:id="82"/>
      </w:r>
      <w:r>
        <w:rPr>
          <w:rFonts w:ascii="Times New Roman" w:eastAsia="Times New Roman" w:hAnsi="Times New Roman" w:cs="Times New Roman"/>
          <w:sz w:val="24"/>
          <w:szCs w:val="24"/>
        </w:rPr>
        <w:t xml:space="preserve"> They have also been criticised for conducting a reductive psychological assessment without enquiring into the child’s mental state during the time of offence.</w:t>
      </w:r>
      <w:r>
        <w:rPr>
          <w:rFonts w:ascii="Times New Roman" w:eastAsia="Times New Roman" w:hAnsi="Times New Roman" w:cs="Times New Roman"/>
          <w:sz w:val="24"/>
          <w:szCs w:val="24"/>
          <w:vertAlign w:val="superscript"/>
        </w:rPr>
        <w:footnoteReference w:id="83"/>
      </w:r>
    </w:p>
    <w:p w:rsidR="00420407" w:rsidRPr="00C94A69" w:rsidRDefault="00420407" w:rsidP="0042040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study published in 2019 reveals that a majority of the JJ Board processes and decisions on preliminary assessments are conducted in a perfunctory manner. Where assessments have taken place, they have often been conducted without compliance with prescribed procedures, including obtaining the opinion of experts in child psychology and other social work pertaining to the welfare of children.</w:t>
      </w:r>
      <w:r>
        <w:rPr>
          <w:rFonts w:ascii="Times New Roman" w:eastAsia="Times New Roman" w:hAnsi="Times New Roman" w:cs="Times New Roman"/>
          <w:sz w:val="24"/>
          <w:szCs w:val="24"/>
          <w:vertAlign w:val="superscript"/>
        </w:rPr>
        <w:footnoteReference w:id="84"/>
      </w:r>
      <w:r>
        <w:rPr>
          <w:rFonts w:ascii="Times New Roman" w:eastAsia="Times New Roman" w:hAnsi="Times New Roman" w:cs="Times New Roman"/>
          <w:sz w:val="24"/>
          <w:szCs w:val="24"/>
        </w:rPr>
        <w:t xml:space="preserve"> This has led to an uncritical and unscientific reliance on the opinions of professionals who may not be sufficiently qualified in providing expert opinion on juvenile capacity. Moreover, the assessments also fail to include a review of the juvenile’s psychological state during and around the offence.</w:t>
      </w:r>
      <w:r>
        <w:rPr>
          <w:rFonts w:ascii="Times New Roman" w:eastAsia="Times New Roman" w:hAnsi="Times New Roman" w:cs="Times New Roman"/>
          <w:sz w:val="24"/>
          <w:szCs w:val="24"/>
          <w:vertAlign w:val="superscript"/>
        </w:rPr>
        <w:footnoteReference w:id="85"/>
      </w:r>
    </w:p>
    <w:p w:rsidR="00420407" w:rsidRPr="00C94A69" w:rsidRDefault="00420407" w:rsidP="0042040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Even after the stage of preliminary assessment, the question of whether juveniles must be granted bail by default under the Juvenile Justice Act</w:t>
      </w:r>
      <w:r>
        <w:rPr>
          <w:rFonts w:ascii="Times New Roman" w:eastAsia="Times New Roman" w:hAnsi="Times New Roman" w:cs="Times New Roman"/>
          <w:sz w:val="24"/>
          <w:szCs w:val="24"/>
          <w:vertAlign w:val="superscript"/>
        </w:rPr>
        <w:footnoteReference w:id="86"/>
      </w:r>
      <w:r>
        <w:rPr>
          <w:rFonts w:ascii="Times New Roman" w:eastAsia="Times New Roman" w:hAnsi="Times New Roman" w:cs="Times New Roman"/>
          <w:sz w:val="24"/>
          <w:szCs w:val="24"/>
        </w:rPr>
        <w:t xml:space="preserve"> or be governed by bail provisions for adults under the Criminal Procedure Code 1973 remains uncertain, with conflicting positions being adopted by the High Courts in India.</w:t>
      </w:r>
      <w:r>
        <w:rPr>
          <w:rFonts w:ascii="Times New Roman" w:eastAsia="Times New Roman" w:hAnsi="Times New Roman" w:cs="Times New Roman"/>
          <w:sz w:val="24"/>
          <w:szCs w:val="24"/>
          <w:vertAlign w:val="superscript"/>
        </w:rPr>
        <w:footnoteReference w:id="87"/>
      </w:r>
      <w:r>
        <w:rPr>
          <w:rFonts w:ascii="Times New Roman" w:eastAsia="Times New Roman" w:hAnsi="Times New Roman" w:cs="Times New Roman"/>
          <w:sz w:val="24"/>
          <w:szCs w:val="24"/>
        </w:rPr>
        <w:t xml:space="preserve"> </w:t>
      </w:r>
    </w:p>
    <w:p w:rsidR="0086000A" w:rsidRPr="008B5B27" w:rsidRDefault="00420407" w:rsidP="008B5B27">
      <w:pPr>
        <w:jc w:val="both"/>
        <w:rPr>
          <w:rFonts w:ascii="Times New Roman" w:eastAsia="Times New Roman" w:hAnsi="Times New Roman" w:cs="Times New Roman"/>
          <w:sz w:val="20"/>
          <w:szCs w:val="20"/>
        </w:rPr>
      </w:pPr>
      <w:r>
        <w:rPr>
          <w:rFonts w:ascii="Times New Roman" w:eastAsia="Times New Roman" w:hAnsi="Times New Roman" w:cs="Times New Roman"/>
          <w:sz w:val="24"/>
          <w:szCs w:val="24"/>
        </w:rPr>
        <w:t>Alarmingly, a study based on the findings of multiple right to information petitions has revealed that as many as 9681 juveniles have been lodged in jails meant for adults over a period of 6 years.</w:t>
      </w:r>
      <w:r>
        <w:rPr>
          <w:rFonts w:ascii="Times New Roman" w:eastAsia="Times New Roman" w:hAnsi="Times New Roman" w:cs="Times New Roman"/>
          <w:sz w:val="24"/>
          <w:szCs w:val="24"/>
          <w:vertAlign w:val="superscript"/>
        </w:rPr>
        <w:footnoteReference w:id="88"/>
      </w:r>
      <w:r>
        <w:rPr>
          <w:rFonts w:ascii="Times New Roman" w:eastAsia="Times New Roman" w:hAnsi="Times New Roman" w:cs="Times New Roman"/>
          <w:sz w:val="24"/>
          <w:szCs w:val="24"/>
        </w:rPr>
        <w:t xml:space="preserve"> In practice, procedures under the Juvenile Justice Act are frequently bypassed in their entirety and juveniles are incarcerated in adult jails and tried as adults illegally.</w:t>
      </w:r>
      <w:r>
        <w:rPr>
          <w:rFonts w:ascii="Times New Roman" w:eastAsia="Times New Roman" w:hAnsi="Times New Roman" w:cs="Times New Roman"/>
          <w:sz w:val="24"/>
          <w:szCs w:val="24"/>
          <w:vertAlign w:val="superscript"/>
        </w:rPr>
        <w:footnoteReference w:id="89"/>
      </w:r>
      <w:r>
        <w:rPr>
          <w:rFonts w:ascii="Times New Roman" w:eastAsia="Times New Roman" w:hAnsi="Times New Roman" w:cs="Times New Roman"/>
          <w:sz w:val="24"/>
          <w:szCs w:val="24"/>
        </w:rPr>
        <w:t xml:space="preserve"> </w:t>
      </w:r>
    </w:p>
    <w:p w:rsidR="0086000A" w:rsidRPr="008B5B27" w:rsidRDefault="0086000A" w:rsidP="00C94A69">
      <w:pPr>
        <w:rPr>
          <w:rFonts w:ascii="Times New Roman" w:hAnsi="Times New Roman" w:cs="Times New Roman"/>
          <w:b/>
          <w:sz w:val="24"/>
          <w:szCs w:val="24"/>
        </w:rPr>
      </w:pPr>
      <w:r w:rsidRPr="008B5B27">
        <w:rPr>
          <w:rFonts w:ascii="Times New Roman" w:hAnsi="Times New Roman" w:cs="Times New Roman"/>
          <w:b/>
          <w:sz w:val="24"/>
          <w:szCs w:val="24"/>
        </w:rPr>
        <w:t>Para 111 of GOI report</w:t>
      </w:r>
    </w:p>
    <w:p w:rsidR="00C94A69" w:rsidRPr="008B5B27" w:rsidRDefault="00C94A69" w:rsidP="00C94A69">
      <w:pPr>
        <w:rPr>
          <w:rFonts w:ascii="Times New Roman" w:hAnsi="Times New Roman" w:cs="Times New Roman"/>
          <w:b/>
          <w:sz w:val="24"/>
          <w:szCs w:val="24"/>
        </w:rPr>
      </w:pPr>
      <w:r w:rsidRPr="008B5B27">
        <w:rPr>
          <w:rFonts w:ascii="Times New Roman" w:hAnsi="Times New Roman" w:cs="Times New Roman"/>
          <w:b/>
          <w:sz w:val="24"/>
          <w:szCs w:val="24"/>
        </w:rPr>
        <w:t>Issue No.21</w:t>
      </w:r>
      <w:r w:rsidR="0086000A" w:rsidRPr="008B5B27">
        <w:rPr>
          <w:rFonts w:ascii="Times New Roman" w:hAnsi="Times New Roman" w:cs="Times New Roman"/>
          <w:b/>
          <w:sz w:val="24"/>
          <w:szCs w:val="24"/>
        </w:rPr>
        <w:t xml:space="preserve"> from list of issues</w:t>
      </w:r>
    </w:p>
    <w:p w:rsidR="00C94A69" w:rsidRPr="008B5B27" w:rsidRDefault="00C94A69" w:rsidP="00C94A69">
      <w:pPr>
        <w:rPr>
          <w:rFonts w:ascii="Times New Roman" w:hAnsi="Times New Roman" w:cs="Times New Roman"/>
          <w:b/>
          <w:sz w:val="24"/>
          <w:szCs w:val="24"/>
        </w:rPr>
      </w:pPr>
      <w:r w:rsidRPr="008B5B27">
        <w:rPr>
          <w:rFonts w:ascii="Times New Roman" w:hAnsi="Times New Roman" w:cs="Times New Roman"/>
          <w:b/>
          <w:sz w:val="24"/>
          <w:szCs w:val="24"/>
        </w:rPr>
        <w:t>Questions of ove</w:t>
      </w:r>
      <w:r w:rsidR="008B5B27">
        <w:rPr>
          <w:rFonts w:ascii="Times New Roman" w:hAnsi="Times New Roman" w:cs="Times New Roman"/>
          <w:b/>
          <w:sz w:val="24"/>
          <w:szCs w:val="24"/>
        </w:rPr>
        <w:t>rcrowding and prison conditions</w:t>
      </w:r>
    </w:p>
    <w:p w:rsidR="00C94A69" w:rsidRPr="008B5B27" w:rsidRDefault="0086000A" w:rsidP="00C94A69">
      <w:pPr>
        <w:rPr>
          <w:rFonts w:ascii="Times New Roman" w:hAnsi="Times New Roman" w:cs="Times New Roman"/>
          <w:b/>
          <w:sz w:val="24"/>
          <w:szCs w:val="24"/>
        </w:rPr>
      </w:pPr>
      <w:r w:rsidRPr="008B5B27">
        <w:rPr>
          <w:rFonts w:ascii="Times New Roman" w:hAnsi="Times New Roman" w:cs="Times New Roman"/>
          <w:b/>
          <w:sz w:val="24"/>
          <w:szCs w:val="24"/>
        </w:rPr>
        <w:t xml:space="preserve">Problem of Overcrowding </w:t>
      </w:r>
    </w:p>
    <w:p w:rsidR="00C94A69" w:rsidRPr="008B5B27" w:rsidRDefault="00C94A69" w:rsidP="00C94A69">
      <w:pPr>
        <w:rPr>
          <w:rFonts w:ascii="Times New Roman" w:hAnsi="Times New Roman" w:cs="Times New Roman"/>
          <w:sz w:val="24"/>
          <w:szCs w:val="24"/>
        </w:rPr>
      </w:pPr>
      <w:r w:rsidRPr="008B5B27">
        <w:rPr>
          <w:rFonts w:ascii="Times New Roman" w:hAnsi="Times New Roman" w:cs="Times New Roman"/>
          <w:sz w:val="24"/>
          <w:szCs w:val="24"/>
        </w:rPr>
        <w:t>The Model Prison Manual 2016 was introduced in response to the Supreme Court's directives in In Re: Inhuman Conditions in 1382 Prisons (2017)  and the Nelson Mandela Revised Rules of 2015 to address pressing issues in Indian prisons, especially overcrowding and the corresponding strain on conditions in prisons.   A recent study has highlighted the prevalence of caste based discrimination in prisons, stemming from archaic provisions of prison manuals in various states; particularly caste-based segregation and division of labour on the basis of caste.</w:t>
      </w:r>
      <w:r w:rsidR="008B5B27">
        <w:rPr>
          <w:rFonts w:ascii="Times New Roman" w:hAnsi="Times New Roman" w:cs="Times New Roman"/>
          <w:sz w:val="24"/>
          <w:szCs w:val="24"/>
        </w:rPr>
        <w:t xml:space="preserve">  </w:t>
      </w:r>
    </w:p>
    <w:p w:rsidR="00C94A69" w:rsidRPr="008B5B27" w:rsidRDefault="00C94A69" w:rsidP="00C94A69">
      <w:pPr>
        <w:rPr>
          <w:rFonts w:ascii="Times New Roman" w:hAnsi="Times New Roman" w:cs="Times New Roman"/>
          <w:sz w:val="24"/>
          <w:szCs w:val="24"/>
        </w:rPr>
      </w:pPr>
      <w:r w:rsidRPr="008B5B27">
        <w:rPr>
          <w:rFonts w:ascii="Times New Roman" w:hAnsi="Times New Roman" w:cs="Times New Roman"/>
          <w:sz w:val="24"/>
          <w:szCs w:val="24"/>
        </w:rPr>
        <w:t xml:space="preserve">Overcrowding continues to be a concern, with the average occupancy rate of prisons in India is </w:t>
      </w:r>
      <w:r w:rsidR="008D785E" w:rsidRPr="008B5B27">
        <w:rPr>
          <w:rFonts w:ascii="Times New Roman" w:hAnsi="Times New Roman" w:cs="Times New Roman"/>
          <w:sz w:val="24"/>
          <w:szCs w:val="24"/>
        </w:rPr>
        <w:t>‘critical’ at</w:t>
      </w:r>
      <w:r w:rsidRPr="008B5B27">
        <w:rPr>
          <w:rFonts w:ascii="Times New Roman" w:hAnsi="Times New Roman" w:cs="Times New Roman"/>
          <w:sz w:val="24"/>
          <w:szCs w:val="24"/>
        </w:rPr>
        <w:t xml:space="preserve"> 131%.  11 states have a higher occupancy rate than the national average,  of which 4 out of 28 states alone (Uttar Pradesh, Bihar, Madhya Pradesh, Maharashtra) constitute 50% of the prison population. Between 2019 and 2022, prison population has increased by 19.8%, while the corresponding increase in the capacity of prisons has only been at the rate of </w:t>
      </w:r>
      <w:r w:rsidR="008B5B27">
        <w:rPr>
          <w:rFonts w:ascii="Times New Roman" w:hAnsi="Times New Roman" w:cs="Times New Roman"/>
          <w:sz w:val="24"/>
          <w:szCs w:val="24"/>
        </w:rPr>
        <w:t xml:space="preserve">8%. </w:t>
      </w:r>
    </w:p>
    <w:p w:rsidR="00C94A69" w:rsidRPr="008B5B27" w:rsidRDefault="00C94A69" w:rsidP="00C94A69">
      <w:pPr>
        <w:rPr>
          <w:rFonts w:ascii="Times New Roman" w:hAnsi="Times New Roman" w:cs="Times New Roman"/>
          <w:sz w:val="24"/>
          <w:szCs w:val="24"/>
        </w:rPr>
      </w:pPr>
      <w:r w:rsidRPr="008B5B27">
        <w:rPr>
          <w:rFonts w:ascii="Times New Roman" w:hAnsi="Times New Roman" w:cs="Times New Roman"/>
          <w:sz w:val="24"/>
          <w:szCs w:val="24"/>
        </w:rPr>
        <w:t>As acknowledged by the Indian state, prison overcrowding is directly linked to issues in administration rather than due to rise in crime.  Excessive use of laws that allow pretrial detention</w:t>
      </w:r>
      <w:r w:rsidR="008D785E" w:rsidRPr="008B5B27">
        <w:rPr>
          <w:rFonts w:ascii="Times New Roman" w:hAnsi="Times New Roman" w:cs="Times New Roman"/>
          <w:sz w:val="24"/>
          <w:szCs w:val="24"/>
        </w:rPr>
        <w:t>, such</w:t>
      </w:r>
      <w:r w:rsidRPr="008B5B27">
        <w:rPr>
          <w:rFonts w:ascii="Times New Roman" w:hAnsi="Times New Roman" w:cs="Times New Roman"/>
          <w:sz w:val="24"/>
          <w:szCs w:val="24"/>
        </w:rPr>
        <w:t xml:space="preserve"> as prohibition law having disparate impact on persons belonging to SC/ST groups</w:t>
      </w:r>
      <w:r w:rsidR="008D785E" w:rsidRPr="008B5B27">
        <w:rPr>
          <w:rFonts w:ascii="Times New Roman" w:hAnsi="Times New Roman" w:cs="Times New Roman"/>
          <w:sz w:val="24"/>
          <w:szCs w:val="24"/>
        </w:rPr>
        <w:t>, and</w:t>
      </w:r>
      <w:r w:rsidRPr="008B5B27">
        <w:rPr>
          <w:rFonts w:ascii="Times New Roman" w:hAnsi="Times New Roman" w:cs="Times New Roman"/>
          <w:sz w:val="24"/>
          <w:szCs w:val="24"/>
        </w:rPr>
        <w:t xml:space="preserve"> strict sentencing </w:t>
      </w:r>
      <w:r w:rsidR="008D785E" w:rsidRPr="008B5B27">
        <w:rPr>
          <w:rFonts w:ascii="Times New Roman" w:hAnsi="Times New Roman" w:cs="Times New Roman"/>
          <w:sz w:val="24"/>
          <w:szCs w:val="24"/>
        </w:rPr>
        <w:t>practices are</w:t>
      </w:r>
      <w:r w:rsidRPr="008B5B27">
        <w:rPr>
          <w:rFonts w:ascii="Times New Roman" w:hAnsi="Times New Roman" w:cs="Times New Roman"/>
          <w:sz w:val="24"/>
          <w:szCs w:val="24"/>
        </w:rPr>
        <w:t xml:space="preserve"> a contributing factor. With more than 75% prisoners being undertrials, the persistence of chronic overcrowding has led to an inability to maintain conditions necessary for basic human right</w:t>
      </w:r>
      <w:r w:rsidR="008B5B27">
        <w:rPr>
          <w:rFonts w:ascii="Times New Roman" w:hAnsi="Times New Roman" w:cs="Times New Roman"/>
          <w:sz w:val="24"/>
          <w:szCs w:val="24"/>
        </w:rPr>
        <w:t xml:space="preserve">s, health and sanitation. </w:t>
      </w:r>
    </w:p>
    <w:p w:rsidR="00C94A69" w:rsidRPr="008B5B27" w:rsidRDefault="00C94A69" w:rsidP="00C94A69">
      <w:pPr>
        <w:rPr>
          <w:rFonts w:ascii="Times New Roman" w:hAnsi="Times New Roman" w:cs="Times New Roman"/>
          <w:sz w:val="24"/>
          <w:szCs w:val="24"/>
        </w:rPr>
      </w:pPr>
      <w:r w:rsidRPr="008B5B27">
        <w:rPr>
          <w:rFonts w:ascii="Times New Roman" w:hAnsi="Times New Roman" w:cs="Times New Roman"/>
          <w:sz w:val="24"/>
          <w:szCs w:val="24"/>
        </w:rPr>
        <w:t xml:space="preserve">The National Mission for Justice Delivery and Legal </w:t>
      </w:r>
      <w:r w:rsidR="008D785E" w:rsidRPr="008B5B27">
        <w:rPr>
          <w:rFonts w:ascii="Times New Roman" w:hAnsi="Times New Roman" w:cs="Times New Roman"/>
          <w:sz w:val="24"/>
          <w:szCs w:val="24"/>
        </w:rPr>
        <w:t>Reforms</w:t>
      </w:r>
      <w:r w:rsidRPr="008B5B27">
        <w:rPr>
          <w:rFonts w:ascii="Times New Roman" w:hAnsi="Times New Roman" w:cs="Times New Roman"/>
          <w:sz w:val="24"/>
          <w:szCs w:val="24"/>
        </w:rPr>
        <w:t xml:space="preserve"> was a commitment to increase judicial infrastructure and reduce delays and arrears in administration. Despite efforts to increase the number of courts and introduction of the e-courts system, the working strength of the judiciary is behind the sanctioned strength, approximately at the same rate before the implementation of the National Mission.  Additionally, as prison overcrowding has been linked to the rise in the number of undertrials, failure in prison administration, and the rising use of pretrial detention law, the impact of the reform in judicial administration through the National Mission has been ineffective in countering overcrowding.</w:t>
      </w:r>
      <w:r w:rsidR="008B5B27">
        <w:rPr>
          <w:rFonts w:ascii="Times New Roman" w:hAnsi="Times New Roman" w:cs="Times New Roman"/>
          <w:sz w:val="24"/>
          <w:szCs w:val="24"/>
        </w:rPr>
        <w:t xml:space="preserve"> </w:t>
      </w:r>
    </w:p>
    <w:p w:rsidR="00C94A69" w:rsidRPr="008B5B27" w:rsidRDefault="00C94A69" w:rsidP="00C94A69">
      <w:pPr>
        <w:rPr>
          <w:rFonts w:ascii="Times New Roman" w:hAnsi="Times New Roman" w:cs="Times New Roman"/>
          <w:b/>
          <w:sz w:val="24"/>
          <w:szCs w:val="24"/>
        </w:rPr>
      </w:pPr>
      <w:r w:rsidRPr="008B5B27">
        <w:rPr>
          <w:rFonts w:ascii="Times New Roman" w:hAnsi="Times New Roman" w:cs="Times New Roman"/>
          <w:b/>
          <w:sz w:val="24"/>
          <w:szCs w:val="24"/>
        </w:rPr>
        <w:t xml:space="preserve">Prison Infrastructure </w:t>
      </w:r>
    </w:p>
    <w:p w:rsidR="00C94A69" w:rsidRPr="008B5B27" w:rsidRDefault="00C94A69" w:rsidP="00C94A69">
      <w:pPr>
        <w:rPr>
          <w:rFonts w:ascii="Times New Roman" w:hAnsi="Times New Roman" w:cs="Times New Roman"/>
          <w:sz w:val="24"/>
          <w:szCs w:val="24"/>
        </w:rPr>
      </w:pPr>
      <w:r w:rsidRPr="008B5B27">
        <w:rPr>
          <w:rFonts w:ascii="Times New Roman" w:hAnsi="Times New Roman" w:cs="Times New Roman"/>
          <w:sz w:val="24"/>
          <w:szCs w:val="24"/>
        </w:rPr>
        <w:t>India currently has 1330 jails, housing 5</w:t>
      </w:r>
      <w:r w:rsidR="008D785E" w:rsidRPr="008B5B27">
        <w:rPr>
          <w:rFonts w:ascii="Times New Roman" w:hAnsi="Times New Roman" w:cs="Times New Roman"/>
          <w:sz w:val="24"/>
          <w:szCs w:val="24"/>
        </w:rPr>
        <w:t>, 73,220</w:t>
      </w:r>
      <w:r w:rsidRPr="008B5B27">
        <w:rPr>
          <w:rFonts w:ascii="Times New Roman" w:hAnsi="Times New Roman" w:cs="Times New Roman"/>
          <w:sz w:val="24"/>
          <w:szCs w:val="24"/>
        </w:rPr>
        <w:t xml:space="preserve"> inmates surpassing capacity by 1</w:t>
      </w:r>
      <w:r w:rsidR="008D785E" w:rsidRPr="008B5B27">
        <w:rPr>
          <w:rFonts w:ascii="Times New Roman" w:hAnsi="Times New Roman" w:cs="Times New Roman"/>
          <w:sz w:val="24"/>
          <w:szCs w:val="24"/>
        </w:rPr>
        <w:t>, 36,954</w:t>
      </w:r>
      <w:r w:rsidRPr="008B5B27">
        <w:rPr>
          <w:rFonts w:ascii="Times New Roman" w:hAnsi="Times New Roman" w:cs="Times New Roman"/>
          <w:sz w:val="24"/>
          <w:szCs w:val="24"/>
        </w:rPr>
        <w:t xml:space="preserve"> inmates.  However, </w:t>
      </w:r>
      <w:r w:rsidR="008D785E" w:rsidRPr="008B5B27">
        <w:rPr>
          <w:rFonts w:ascii="Times New Roman" w:hAnsi="Times New Roman" w:cs="Times New Roman"/>
          <w:sz w:val="24"/>
          <w:szCs w:val="24"/>
        </w:rPr>
        <w:t>adequate funds to manage the increasing number of prisoners have</w:t>
      </w:r>
      <w:r w:rsidRPr="008B5B27">
        <w:rPr>
          <w:rFonts w:ascii="Times New Roman" w:hAnsi="Times New Roman" w:cs="Times New Roman"/>
          <w:sz w:val="24"/>
          <w:szCs w:val="24"/>
        </w:rPr>
        <w:t xml:space="preserve"> been irregular. The prison modernization scheme, initiated in 2004, was discontinued in </w:t>
      </w:r>
      <w:r w:rsidR="008D785E" w:rsidRPr="008B5B27">
        <w:rPr>
          <w:rFonts w:ascii="Times New Roman" w:hAnsi="Times New Roman" w:cs="Times New Roman"/>
          <w:sz w:val="24"/>
          <w:szCs w:val="24"/>
        </w:rPr>
        <w:t>2009,</w:t>
      </w:r>
      <w:r w:rsidRPr="008B5B27">
        <w:rPr>
          <w:rFonts w:ascii="Times New Roman" w:hAnsi="Times New Roman" w:cs="Times New Roman"/>
          <w:sz w:val="24"/>
          <w:szCs w:val="24"/>
        </w:rPr>
        <w:t xml:space="preserve"> leaving prisons solely dependent on state funding without central government support, until its reinstatement in the 2021-22 financial year.</w:t>
      </w:r>
      <w:r w:rsidR="008B5B27">
        <w:rPr>
          <w:rFonts w:ascii="Times New Roman" w:hAnsi="Times New Roman" w:cs="Times New Roman"/>
          <w:sz w:val="24"/>
          <w:szCs w:val="24"/>
        </w:rPr>
        <w:t xml:space="preserve">  </w:t>
      </w:r>
    </w:p>
    <w:p w:rsidR="00C94A69" w:rsidRPr="008B5B27" w:rsidRDefault="00C94A69" w:rsidP="00C94A69">
      <w:pPr>
        <w:rPr>
          <w:rFonts w:ascii="Times New Roman" w:hAnsi="Times New Roman" w:cs="Times New Roman"/>
          <w:sz w:val="24"/>
          <w:szCs w:val="24"/>
        </w:rPr>
      </w:pPr>
      <w:r w:rsidRPr="008B5B27">
        <w:rPr>
          <w:rFonts w:ascii="Times New Roman" w:hAnsi="Times New Roman" w:cs="Times New Roman"/>
          <w:sz w:val="24"/>
          <w:szCs w:val="24"/>
        </w:rPr>
        <w:t xml:space="preserve">Funds distribution in states </w:t>
      </w:r>
      <w:r w:rsidR="008D785E" w:rsidRPr="008B5B27">
        <w:rPr>
          <w:rFonts w:ascii="Times New Roman" w:hAnsi="Times New Roman" w:cs="Times New Roman"/>
          <w:sz w:val="24"/>
          <w:szCs w:val="24"/>
        </w:rPr>
        <w:t>prioritizes</w:t>
      </w:r>
      <w:r w:rsidRPr="008B5B27">
        <w:rPr>
          <w:rFonts w:ascii="Times New Roman" w:hAnsi="Times New Roman" w:cs="Times New Roman"/>
          <w:sz w:val="24"/>
          <w:szCs w:val="24"/>
        </w:rPr>
        <w:t xml:space="preserve"> prison administration with only 32.5% </w:t>
      </w:r>
      <w:r w:rsidR="008D785E" w:rsidRPr="008B5B27">
        <w:rPr>
          <w:rFonts w:ascii="Times New Roman" w:hAnsi="Times New Roman" w:cs="Times New Roman"/>
          <w:sz w:val="24"/>
          <w:szCs w:val="24"/>
        </w:rPr>
        <w:t>utilized</w:t>
      </w:r>
      <w:r w:rsidRPr="008B5B27">
        <w:rPr>
          <w:rFonts w:ascii="Times New Roman" w:hAnsi="Times New Roman" w:cs="Times New Roman"/>
          <w:sz w:val="24"/>
          <w:szCs w:val="24"/>
        </w:rPr>
        <w:t xml:space="preserve"> for prisoners welfare.  Of this, a mere 5.3% is spent on food and 1.5% on medical facilities (2022). Additionally, on an average, a vacancy of 20% has been found in jail staff and over 30% in correctional staff.  Non-cooperation of states in periodic review of prison infrastructure in line with In Re Inhuman Conditions in 1382 </w:t>
      </w:r>
      <w:r w:rsidR="008D785E" w:rsidRPr="008B5B27">
        <w:rPr>
          <w:rFonts w:ascii="Times New Roman" w:hAnsi="Times New Roman" w:cs="Times New Roman"/>
          <w:sz w:val="24"/>
          <w:szCs w:val="24"/>
        </w:rPr>
        <w:t>Prisons is</w:t>
      </w:r>
      <w:r w:rsidRPr="008B5B27">
        <w:rPr>
          <w:rFonts w:ascii="Times New Roman" w:hAnsi="Times New Roman" w:cs="Times New Roman"/>
          <w:sz w:val="24"/>
          <w:szCs w:val="24"/>
        </w:rPr>
        <w:t xml:space="preserve"> also a major barrier in assessing compliance.  </w:t>
      </w:r>
    </w:p>
    <w:p w:rsidR="00C94A69" w:rsidRPr="008B5B27" w:rsidRDefault="00C94A69" w:rsidP="00C94A69">
      <w:pPr>
        <w:rPr>
          <w:rFonts w:ascii="Times New Roman" w:hAnsi="Times New Roman" w:cs="Times New Roman"/>
          <w:sz w:val="24"/>
          <w:szCs w:val="24"/>
        </w:rPr>
      </w:pPr>
    </w:p>
    <w:p w:rsidR="00C94A69" w:rsidRPr="008B5B27" w:rsidRDefault="00C94A69" w:rsidP="00C94A69">
      <w:pPr>
        <w:rPr>
          <w:rFonts w:ascii="Times New Roman" w:hAnsi="Times New Roman" w:cs="Times New Roman"/>
          <w:sz w:val="24"/>
          <w:szCs w:val="24"/>
        </w:rPr>
      </w:pPr>
    </w:p>
    <w:p w:rsidR="00C94A69" w:rsidRPr="008B5B27" w:rsidRDefault="00C94A69" w:rsidP="00C94A69">
      <w:pPr>
        <w:rPr>
          <w:rFonts w:ascii="Times New Roman" w:hAnsi="Times New Roman" w:cs="Times New Roman"/>
          <w:sz w:val="24"/>
          <w:szCs w:val="24"/>
        </w:rPr>
      </w:pPr>
    </w:p>
    <w:p w:rsidR="00C94A69" w:rsidRPr="008B5B27" w:rsidRDefault="008B5B27" w:rsidP="00C94A69">
      <w:pPr>
        <w:rPr>
          <w:rFonts w:ascii="Times New Roman" w:hAnsi="Times New Roman" w:cs="Times New Roman"/>
          <w:b/>
          <w:sz w:val="24"/>
          <w:szCs w:val="24"/>
        </w:rPr>
      </w:pPr>
      <w:r>
        <w:rPr>
          <w:rFonts w:ascii="Times New Roman" w:hAnsi="Times New Roman" w:cs="Times New Roman"/>
          <w:b/>
          <w:sz w:val="24"/>
          <w:szCs w:val="24"/>
        </w:rPr>
        <w:t>Unhealthy Prison Conditions</w:t>
      </w:r>
    </w:p>
    <w:p w:rsidR="00C94A69" w:rsidRPr="008B5B27" w:rsidRDefault="00C94A69" w:rsidP="00C94A69">
      <w:pPr>
        <w:rPr>
          <w:rFonts w:ascii="Times New Roman" w:hAnsi="Times New Roman" w:cs="Times New Roman"/>
          <w:b/>
          <w:sz w:val="24"/>
          <w:szCs w:val="24"/>
        </w:rPr>
      </w:pPr>
      <w:r w:rsidRPr="008B5B27">
        <w:rPr>
          <w:rFonts w:ascii="Times New Roman" w:hAnsi="Times New Roman" w:cs="Times New Roman"/>
          <w:b/>
          <w:sz w:val="24"/>
          <w:szCs w:val="24"/>
        </w:rPr>
        <w:t>Custodial deaths and negligence by prisons</w:t>
      </w:r>
    </w:p>
    <w:p w:rsidR="00C94A69" w:rsidRPr="008B5B27" w:rsidRDefault="00C94A69" w:rsidP="00C94A69">
      <w:pPr>
        <w:rPr>
          <w:rFonts w:ascii="Times New Roman" w:hAnsi="Times New Roman" w:cs="Times New Roman"/>
          <w:sz w:val="24"/>
          <w:szCs w:val="24"/>
        </w:rPr>
      </w:pPr>
      <w:r w:rsidRPr="008B5B27">
        <w:rPr>
          <w:rFonts w:ascii="Times New Roman" w:hAnsi="Times New Roman" w:cs="Times New Roman"/>
          <w:sz w:val="24"/>
          <w:szCs w:val="24"/>
        </w:rPr>
        <w:t xml:space="preserve">Inadequacy in medical care facilities and negligence by the prison authorities is one of the causes for unnatural custodial deaths. In In Re: Inhuman Conditions in 1382 Prisons (2017)  the Supreme Court of India noted that the experiences of prisons in Karnataka, West Bengal and Delhi reflect that medical facilities in prisons do not meet minimum standards of care, which is a cause for unnatural deaths in prisons. More recently, the Bombay High Court in Vishnu Sandeepan Kute v. State of Maharashtra (2023) noted the callous and negligent attitude of the jail authorities towards the health of the prisoners, leading to the death of the Pradeep Kute, soon after he had been incarcerated.  </w:t>
      </w:r>
    </w:p>
    <w:p w:rsidR="00C94A69" w:rsidRPr="008B5B27" w:rsidRDefault="00C94A69" w:rsidP="00C94A69">
      <w:pPr>
        <w:rPr>
          <w:rFonts w:ascii="Times New Roman" w:hAnsi="Times New Roman" w:cs="Times New Roman"/>
          <w:sz w:val="24"/>
          <w:szCs w:val="24"/>
        </w:rPr>
      </w:pPr>
      <w:r w:rsidRPr="008B5B27">
        <w:rPr>
          <w:rFonts w:ascii="Times New Roman" w:hAnsi="Times New Roman" w:cs="Times New Roman"/>
          <w:sz w:val="24"/>
          <w:szCs w:val="24"/>
        </w:rPr>
        <w:t xml:space="preserve">A majority of the “natural deaths” in prisons were reported under heart-related ailments (411), lung-related ailments (231), tuberculosis (103), cancer (80), liver-related ailments (72), brain </w:t>
      </w:r>
      <w:r w:rsidR="00D73E81" w:rsidRPr="008B5B27">
        <w:rPr>
          <w:rFonts w:ascii="Times New Roman" w:hAnsi="Times New Roman" w:cs="Times New Roman"/>
          <w:sz w:val="24"/>
          <w:szCs w:val="24"/>
        </w:rPr>
        <w:t>hemorrhage</w:t>
      </w:r>
      <w:r w:rsidRPr="008B5B27">
        <w:rPr>
          <w:rFonts w:ascii="Times New Roman" w:hAnsi="Times New Roman" w:cs="Times New Roman"/>
          <w:sz w:val="24"/>
          <w:szCs w:val="24"/>
        </w:rPr>
        <w:t xml:space="preserve"> (59), kidney-related ailments (58) and HIV (46), among others. These deaths, while </w:t>
      </w:r>
      <w:r w:rsidR="00D73E81" w:rsidRPr="008B5B27">
        <w:rPr>
          <w:rFonts w:ascii="Times New Roman" w:hAnsi="Times New Roman" w:cs="Times New Roman"/>
          <w:sz w:val="24"/>
          <w:szCs w:val="24"/>
        </w:rPr>
        <w:t>categorized</w:t>
      </w:r>
      <w:r w:rsidRPr="008B5B27">
        <w:rPr>
          <w:rFonts w:ascii="Times New Roman" w:hAnsi="Times New Roman" w:cs="Times New Roman"/>
          <w:sz w:val="24"/>
          <w:szCs w:val="24"/>
        </w:rPr>
        <w:t xml:space="preserve"> as natural deaths, could have perhaps been avoided if better healthcare facilities and prompt response to medical emergencies was available to prisoners.  </w:t>
      </w:r>
    </w:p>
    <w:p w:rsidR="00C94A69" w:rsidRPr="008B5B27" w:rsidRDefault="00C94A69" w:rsidP="00C94A69">
      <w:pPr>
        <w:rPr>
          <w:rFonts w:ascii="Times New Roman" w:hAnsi="Times New Roman" w:cs="Times New Roman"/>
          <w:sz w:val="24"/>
          <w:szCs w:val="24"/>
        </w:rPr>
      </w:pPr>
      <w:r w:rsidRPr="008B5B27">
        <w:rPr>
          <w:rFonts w:ascii="Times New Roman" w:hAnsi="Times New Roman" w:cs="Times New Roman"/>
          <w:sz w:val="24"/>
          <w:szCs w:val="24"/>
        </w:rPr>
        <w:t xml:space="preserve">The healthcare facilities and infrastructure in prisons is lacking as there is a scarcity of doctors and medical staff inside prisons. As per a 2018 report, prisons in India are working with half the sanctioned medical staff – this is despite the even sanctioned staff being inadequate due to overcrowding in prisons. Moreover, medical emergencies in prisons are seldom treated as a priority. Prisoners have to wait for a long time before they can be taken to facilities or hospitals outside jail for consultations or treatment due to the unavailability of police escorts, as police escorts are often more caught up with taking undertrials to court.  Access to medical facilities is further compromised due to insufficient prison staff to tend to prisoners’ visits to medical facilities located outside prison. </w:t>
      </w:r>
    </w:p>
    <w:p w:rsidR="00C94A69" w:rsidRPr="008B5B27" w:rsidRDefault="00C94A69" w:rsidP="00C94A69">
      <w:pPr>
        <w:rPr>
          <w:rFonts w:ascii="Times New Roman" w:hAnsi="Times New Roman" w:cs="Times New Roman"/>
          <w:sz w:val="24"/>
          <w:szCs w:val="24"/>
        </w:rPr>
      </w:pPr>
      <w:r w:rsidRPr="008B5B27">
        <w:rPr>
          <w:rFonts w:ascii="Times New Roman" w:hAnsi="Times New Roman" w:cs="Times New Roman"/>
          <w:sz w:val="24"/>
          <w:szCs w:val="24"/>
        </w:rPr>
        <w:t xml:space="preserve">Chronic and continuing health conditions like Asthma, Diabetes, Skin Allergies, Hypertension, Arthritis, ailments resulting from old age etc. are usually ignored and get very limited medical and logistical attention.  For example, in the case of Stan Swamy, the 83-year old prisoner suffering from </w:t>
      </w:r>
      <w:r w:rsidR="00D73E81" w:rsidRPr="008B5B27">
        <w:rPr>
          <w:rFonts w:ascii="Times New Roman" w:hAnsi="Times New Roman" w:cs="Times New Roman"/>
          <w:sz w:val="24"/>
          <w:szCs w:val="24"/>
        </w:rPr>
        <w:t>Parkinson’s disease</w:t>
      </w:r>
      <w:r w:rsidRPr="008B5B27">
        <w:rPr>
          <w:rFonts w:ascii="Times New Roman" w:hAnsi="Times New Roman" w:cs="Times New Roman"/>
          <w:sz w:val="24"/>
          <w:szCs w:val="24"/>
        </w:rPr>
        <w:t xml:space="preserve"> was granted a sipper and a straw to drink water, one month after filing an application asking for the same. </w:t>
      </w:r>
    </w:p>
    <w:p w:rsidR="00C94A69" w:rsidRPr="008B5B27" w:rsidRDefault="00C94A69" w:rsidP="00C94A69">
      <w:pPr>
        <w:rPr>
          <w:rFonts w:ascii="Times New Roman" w:hAnsi="Times New Roman" w:cs="Times New Roman"/>
          <w:sz w:val="24"/>
          <w:szCs w:val="24"/>
        </w:rPr>
      </w:pPr>
      <w:r w:rsidRPr="008B5B27">
        <w:rPr>
          <w:rFonts w:ascii="Times New Roman" w:hAnsi="Times New Roman" w:cs="Times New Roman"/>
          <w:sz w:val="24"/>
          <w:szCs w:val="24"/>
        </w:rPr>
        <w:t xml:space="preserve">Further, there are also alarming reports of medical staff and doctors </w:t>
      </w:r>
      <w:r w:rsidR="00D73E81" w:rsidRPr="008B5B27">
        <w:rPr>
          <w:rFonts w:ascii="Times New Roman" w:hAnsi="Times New Roman" w:cs="Times New Roman"/>
          <w:sz w:val="24"/>
          <w:szCs w:val="24"/>
        </w:rPr>
        <w:t>favoring</w:t>
      </w:r>
      <w:r w:rsidRPr="008B5B27">
        <w:rPr>
          <w:rFonts w:ascii="Times New Roman" w:hAnsi="Times New Roman" w:cs="Times New Roman"/>
          <w:sz w:val="24"/>
          <w:szCs w:val="24"/>
        </w:rPr>
        <w:t xml:space="preserve"> the jail staff in cases of custodial torture, and bribery by inmates who can afford to pay the staff in order to get beneficial treatment or priority in being taken for medical treatment. </w:t>
      </w:r>
    </w:p>
    <w:p w:rsidR="00C94A69" w:rsidRPr="008B5B27" w:rsidRDefault="00C94A69" w:rsidP="00C94A69">
      <w:pPr>
        <w:rPr>
          <w:rFonts w:ascii="Times New Roman" w:hAnsi="Times New Roman" w:cs="Times New Roman"/>
          <w:sz w:val="24"/>
          <w:szCs w:val="24"/>
        </w:rPr>
      </w:pPr>
      <w:r w:rsidRPr="008B5B27">
        <w:rPr>
          <w:rFonts w:ascii="Times New Roman" w:hAnsi="Times New Roman" w:cs="Times New Roman"/>
          <w:sz w:val="24"/>
          <w:szCs w:val="24"/>
        </w:rPr>
        <w:t>Children up to the age of six are allowed to stay with their mothers inside prison. At their current capacity, Indian prisons are incapable of sufficiently providing for pregnant women, lactating mothers, and growing children.  Due to their increased vulnerability, even the special care accorded to these groups ends up being below average.</w:t>
      </w:r>
    </w:p>
    <w:p w:rsidR="00C94A69" w:rsidRPr="008B5B27" w:rsidRDefault="00C94A69" w:rsidP="00C94A69">
      <w:pPr>
        <w:rPr>
          <w:rFonts w:ascii="Times New Roman" w:hAnsi="Times New Roman" w:cs="Times New Roman"/>
          <w:b/>
          <w:sz w:val="24"/>
          <w:szCs w:val="24"/>
        </w:rPr>
      </w:pPr>
      <w:r w:rsidRPr="008B5B27">
        <w:rPr>
          <w:rFonts w:ascii="Times New Roman" w:hAnsi="Times New Roman" w:cs="Times New Roman"/>
          <w:b/>
          <w:sz w:val="24"/>
          <w:szCs w:val="24"/>
        </w:rPr>
        <w:t>Negligence during COVID</w:t>
      </w:r>
    </w:p>
    <w:p w:rsidR="00C94A69" w:rsidRPr="008B5B27" w:rsidRDefault="00C94A69" w:rsidP="00C94A69">
      <w:pPr>
        <w:rPr>
          <w:rFonts w:ascii="Times New Roman" w:hAnsi="Times New Roman" w:cs="Times New Roman"/>
          <w:sz w:val="24"/>
          <w:szCs w:val="24"/>
        </w:rPr>
      </w:pPr>
      <w:r w:rsidRPr="008B5B27">
        <w:rPr>
          <w:rFonts w:ascii="Times New Roman" w:hAnsi="Times New Roman" w:cs="Times New Roman"/>
          <w:sz w:val="24"/>
          <w:szCs w:val="24"/>
        </w:rPr>
        <w:t xml:space="preserve">Despite the Supreme Court taking </w:t>
      </w:r>
      <w:r w:rsidR="00B714F8" w:rsidRPr="008B5B27">
        <w:rPr>
          <w:rFonts w:ascii="Times New Roman" w:hAnsi="Times New Roman" w:cs="Times New Roman"/>
          <w:sz w:val="24"/>
          <w:szCs w:val="24"/>
        </w:rPr>
        <w:t>cognizance</w:t>
      </w:r>
      <w:r w:rsidRPr="008B5B27">
        <w:rPr>
          <w:rFonts w:ascii="Times New Roman" w:hAnsi="Times New Roman" w:cs="Times New Roman"/>
          <w:sz w:val="24"/>
          <w:szCs w:val="24"/>
        </w:rPr>
        <w:t xml:space="preserve"> of the threat posed by the Covid-19 pandemic  prisons were negligent in curbing the contagion within prisons. The Supreme Court appointed High Powered Committee had recommended several measures to ensure a decline in the population of prisons including granting emergency parole and bail to prisoners.  However, there was a 41% decline in the release of convicts, and a 19% decline in the release of undertrials in 2020.  As a result of gross negligence by prison departments, there were over two thousand inmates and over four hundred and twenty prison officials infected with Covid in September, 2020. </w:t>
      </w:r>
    </w:p>
    <w:p w:rsidR="00C94A69" w:rsidRPr="008B5B27" w:rsidRDefault="00C94A69" w:rsidP="00C94A69">
      <w:pPr>
        <w:rPr>
          <w:rFonts w:ascii="Times New Roman" w:hAnsi="Times New Roman" w:cs="Times New Roman"/>
          <w:b/>
          <w:sz w:val="24"/>
          <w:szCs w:val="24"/>
        </w:rPr>
      </w:pPr>
      <w:r w:rsidRPr="008B5B27">
        <w:rPr>
          <w:rFonts w:ascii="Times New Roman" w:hAnsi="Times New Roman" w:cs="Times New Roman"/>
          <w:b/>
          <w:sz w:val="24"/>
          <w:szCs w:val="24"/>
        </w:rPr>
        <w:t>Custodial Rapes and pregnancies in prison</w:t>
      </w:r>
    </w:p>
    <w:p w:rsidR="00C94A69" w:rsidRPr="008B5B27" w:rsidRDefault="00C94A69" w:rsidP="00C94A69">
      <w:pPr>
        <w:rPr>
          <w:rFonts w:ascii="Times New Roman" w:hAnsi="Times New Roman" w:cs="Times New Roman"/>
          <w:sz w:val="24"/>
          <w:szCs w:val="24"/>
        </w:rPr>
      </w:pPr>
      <w:r w:rsidRPr="008B5B27">
        <w:rPr>
          <w:rFonts w:ascii="Times New Roman" w:hAnsi="Times New Roman" w:cs="Times New Roman"/>
          <w:sz w:val="24"/>
          <w:szCs w:val="24"/>
        </w:rPr>
        <w:t xml:space="preserve">As per the NCRB Data, 275 custodial rapes have been reported from 2017 to 2022.  Despite a gradual decrease from 2017 to 2022 each year, the numbers are still alarming, as even a single custodial rape indicates crimes being committed against women by those tasked with their protection. </w:t>
      </w:r>
    </w:p>
    <w:p w:rsidR="00C94A69" w:rsidRPr="008B5B27" w:rsidRDefault="00C94A69" w:rsidP="00C94A69">
      <w:pPr>
        <w:rPr>
          <w:rFonts w:ascii="Times New Roman" w:hAnsi="Times New Roman" w:cs="Times New Roman"/>
          <w:sz w:val="24"/>
          <w:szCs w:val="24"/>
        </w:rPr>
      </w:pPr>
      <w:r w:rsidRPr="008B5B27">
        <w:rPr>
          <w:rFonts w:ascii="Times New Roman" w:hAnsi="Times New Roman" w:cs="Times New Roman"/>
          <w:sz w:val="24"/>
          <w:szCs w:val="24"/>
        </w:rPr>
        <w:t xml:space="preserve">Recently, it was brought to the attention of the Calcutta High Court that 196 children have been born in prisons across West Bengal. In response, the Supreme Court took suo moto </w:t>
      </w:r>
      <w:r w:rsidR="00B714F8" w:rsidRPr="008B5B27">
        <w:rPr>
          <w:rFonts w:ascii="Times New Roman" w:hAnsi="Times New Roman" w:cs="Times New Roman"/>
          <w:sz w:val="24"/>
          <w:szCs w:val="24"/>
        </w:rPr>
        <w:t>cognizance</w:t>
      </w:r>
      <w:r w:rsidRPr="008B5B27">
        <w:rPr>
          <w:rFonts w:ascii="Times New Roman" w:hAnsi="Times New Roman" w:cs="Times New Roman"/>
          <w:sz w:val="24"/>
          <w:szCs w:val="24"/>
        </w:rPr>
        <w:t xml:space="preserve"> of the alarming number of pregnancies occurring among women inmates in prisons across the country.  The Amicus appointed in the case highlighted the need for a thorough audit of the prisons across the country to assess the availability of medical facilities to women in prisons. The alarming number of pregnancies in prison also raises a strong possibility that some of these pregnancies could have been a result of custodial rape. Further, the rate of pregnancies also highlights the need to ensure awareness among the prison population about contraception and family planning; in addition to ensuring access to contraception.</w:t>
      </w:r>
      <w:r w:rsidR="008B5B27">
        <w:rPr>
          <w:rFonts w:ascii="Times New Roman" w:hAnsi="Times New Roman" w:cs="Times New Roman"/>
          <w:sz w:val="24"/>
          <w:szCs w:val="24"/>
        </w:rPr>
        <w:t xml:space="preserve">  </w:t>
      </w:r>
    </w:p>
    <w:p w:rsidR="00C94A69" w:rsidRPr="008B5B27" w:rsidRDefault="00C94A69" w:rsidP="00C94A69">
      <w:pPr>
        <w:rPr>
          <w:rFonts w:ascii="Times New Roman" w:hAnsi="Times New Roman" w:cs="Times New Roman"/>
          <w:b/>
          <w:sz w:val="24"/>
          <w:szCs w:val="24"/>
        </w:rPr>
      </w:pPr>
      <w:r w:rsidRPr="008B5B27">
        <w:rPr>
          <w:rFonts w:ascii="Times New Roman" w:hAnsi="Times New Roman" w:cs="Times New Roman"/>
          <w:b/>
          <w:sz w:val="24"/>
          <w:szCs w:val="24"/>
        </w:rPr>
        <w:t>Inadequate hygiene and sanitation</w:t>
      </w:r>
    </w:p>
    <w:p w:rsidR="00C94A69" w:rsidRPr="008B5B27" w:rsidRDefault="00C94A69" w:rsidP="00C94A69">
      <w:pPr>
        <w:rPr>
          <w:rFonts w:ascii="Times New Roman" w:hAnsi="Times New Roman" w:cs="Times New Roman"/>
          <w:sz w:val="24"/>
          <w:szCs w:val="24"/>
        </w:rPr>
      </w:pPr>
      <w:r w:rsidRPr="008B5B27">
        <w:rPr>
          <w:rFonts w:ascii="Times New Roman" w:hAnsi="Times New Roman" w:cs="Times New Roman"/>
          <w:sz w:val="24"/>
          <w:szCs w:val="24"/>
        </w:rPr>
        <w:t xml:space="preserve">The condition of hygiene and sanitation in Indian prisons is extremely poor.  Prisoners have reported that the drinking water available to them is often contaminated with dirt, while sometimes chlorine may be mixed in it.  1.5 bucket water per person was found to be given in a Navi Mumbai jail, together for the purposes of drinking, washing and bathing.  </w:t>
      </w:r>
    </w:p>
    <w:p w:rsidR="00C94A69" w:rsidRPr="008B5B27" w:rsidRDefault="00C94A69" w:rsidP="00C94A69">
      <w:pPr>
        <w:rPr>
          <w:rFonts w:ascii="Times New Roman" w:hAnsi="Times New Roman" w:cs="Times New Roman"/>
          <w:sz w:val="24"/>
          <w:szCs w:val="24"/>
        </w:rPr>
      </w:pPr>
      <w:r w:rsidRPr="008B5B27">
        <w:rPr>
          <w:rFonts w:ascii="Times New Roman" w:hAnsi="Times New Roman" w:cs="Times New Roman"/>
          <w:sz w:val="24"/>
          <w:szCs w:val="24"/>
        </w:rPr>
        <w:t xml:space="preserve">Studies have highlighted the poor quality of menstrual hygiene management in prisons, and the absence of minimum standards for women detainees in prison.  The report noted the lack of access to sanitary products, clean water, proper waste management or any </w:t>
      </w:r>
      <w:r w:rsidR="00B714F8" w:rsidRPr="008B5B27">
        <w:rPr>
          <w:rFonts w:ascii="Times New Roman" w:hAnsi="Times New Roman" w:cs="Times New Roman"/>
          <w:sz w:val="24"/>
          <w:szCs w:val="24"/>
        </w:rPr>
        <w:t>sensitization</w:t>
      </w:r>
      <w:r w:rsidRPr="008B5B27">
        <w:rPr>
          <w:rFonts w:ascii="Times New Roman" w:hAnsi="Times New Roman" w:cs="Times New Roman"/>
          <w:sz w:val="24"/>
          <w:szCs w:val="24"/>
        </w:rPr>
        <w:t xml:space="preserve"> for prisoners and staff. CHRI surveys in prisons have indicated that even where free sanitary products are accessible to women prisoners, most are not aware of the same and resort to cloth and rags, lea</w:t>
      </w:r>
      <w:r w:rsidR="008B5B27">
        <w:rPr>
          <w:rFonts w:ascii="Times New Roman" w:hAnsi="Times New Roman" w:cs="Times New Roman"/>
          <w:sz w:val="24"/>
          <w:szCs w:val="24"/>
        </w:rPr>
        <w:t xml:space="preserve">ving them prone to infections. </w:t>
      </w:r>
    </w:p>
    <w:p w:rsidR="00C94A69" w:rsidRPr="008B5B27" w:rsidRDefault="008B5B27" w:rsidP="00C94A69">
      <w:pPr>
        <w:rPr>
          <w:rFonts w:ascii="Times New Roman" w:hAnsi="Times New Roman" w:cs="Times New Roman"/>
          <w:b/>
          <w:sz w:val="24"/>
          <w:szCs w:val="24"/>
        </w:rPr>
      </w:pPr>
      <w:r>
        <w:rPr>
          <w:rFonts w:ascii="Times New Roman" w:hAnsi="Times New Roman" w:cs="Times New Roman"/>
          <w:b/>
          <w:sz w:val="24"/>
          <w:szCs w:val="24"/>
        </w:rPr>
        <w:t>Mental Health in Prison</w:t>
      </w:r>
    </w:p>
    <w:p w:rsidR="00C94A69" w:rsidRPr="008B5B27" w:rsidRDefault="00C94A69" w:rsidP="00C94A69">
      <w:pPr>
        <w:rPr>
          <w:rFonts w:ascii="Times New Roman" w:hAnsi="Times New Roman" w:cs="Times New Roman"/>
          <w:sz w:val="24"/>
          <w:szCs w:val="24"/>
        </w:rPr>
      </w:pPr>
      <w:r w:rsidRPr="008B5B27">
        <w:rPr>
          <w:rFonts w:ascii="Times New Roman" w:hAnsi="Times New Roman" w:cs="Times New Roman"/>
          <w:sz w:val="24"/>
          <w:szCs w:val="24"/>
        </w:rPr>
        <w:t>Circumstances like inadequate healthcare facilities, overcrowding, physical and sexual violence increase the possibility of prisoners to mental health issues.  Poor mental health of prisoners is a widespread issue in Indian prisons</w:t>
      </w:r>
      <w:r w:rsidR="00B714F8" w:rsidRPr="008B5B27">
        <w:rPr>
          <w:rFonts w:ascii="Times New Roman" w:hAnsi="Times New Roman" w:cs="Times New Roman"/>
          <w:sz w:val="24"/>
          <w:szCs w:val="24"/>
        </w:rPr>
        <w:t>, exacerbated</w:t>
      </w:r>
      <w:r w:rsidRPr="008B5B27">
        <w:rPr>
          <w:rFonts w:ascii="Times New Roman" w:hAnsi="Times New Roman" w:cs="Times New Roman"/>
          <w:sz w:val="24"/>
          <w:szCs w:val="24"/>
        </w:rPr>
        <w:t xml:space="preserve"> by overcrowding and the overrepresentation of socio-economically </w:t>
      </w:r>
      <w:r w:rsidR="008B5B27" w:rsidRPr="008B5B27">
        <w:rPr>
          <w:rFonts w:ascii="Times New Roman" w:hAnsi="Times New Roman" w:cs="Times New Roman"/>
          <w:sz w:val="24"/>
          <w:szCs w:val="24"/>
        </w:rPr>
        <w:t>marginalized</w:t>
      </w:r>
      <w:r w:rsidRPr="008B5B27">
        <w:rPr>
          <w:rFonts w:ascii="Times New Roman" w:hAnsi="Times New Roman" w:cs="Times New Roman"/>
          <w:sz w:val="24"/>
          <w:szCs w:val="24"/>
        </w:rPr>
        <w:t xml:space="preserve"> persons in the prison population.  </w:t>
      </w:r>
    </w:p>
    <w:p w:rsidR="00C94A69" w:rsidRPr="008B5B27" w:rsidRDefault="00C94A69" w:rsidP="00C94A69">
      <w:pPr>
        <w:rPr>
          <w:rFonts w:ascii="Times New Roman" w:hAnsi="Times New Roman" w:cs="Times New Roman"/>
          <w:sz w:val="24"/>
          <w:szCs w:val="24"/>
        </w:rPr>
      </w:pPr>
      <w:r w:rsidRPr="008B5B27">
        <w:rPr>
          <w:rFonts w:ascii="Times New Roman" w:hAnsi="Times New Roman" w:cs="Times New Roman"/>
          <w:sz w:val="24"/>
          <w:szCs w:val="24"/>
        </w:rPr>
        <w:t>As per official statistics for 2022, 9084 (1.58%) prisoners have mental illness, 63% of whom were undertrials and 35.8% were convicts.  However, the actual prevalence is likely to be a lot higher.  There were 119 deaths by suicide, which constitutes the primary cause (74.8%) of unnatural deaths in prison. The suicide rate in prisons is more than double that in the civilian population.  The incidence of mental illness in prisoners on death row is even higher, at over 60%</w:t>
      </w:r>
      <w:r w:rsidR="00B714F8" w:rsidRPr="008B5B27">
        <w:rPr>
          <w:rFonts w:ascii="Times New Roman" w:hAnsi="Times New Roman" w:cs="Times New Roman"/>
          <w:sz w:val="24"/>
          <w:szCs w:val="24"/>
        </w:rPr>
        <w:t>, with</w:t>
      </w:r>
      <w:r w:rsidRPr="008B5B27">
        <w:rPr>
          <w:rFonts w:ascii="Times New Roman" w:hAnsi="Times New Roman" w:cs="Times New Roman"/>
          <w:sz w:val="24"/>
          <w:szCs w:val="24"/>
        </w:rPr>
        <w:t xml:space="preserve"> over 50% experiencing suicidal ideation. </w:t>
      </w:r>
    </w:p>
    <w:p w:rsidR="00C94A69" w:rsidRPr="008B5B27" w:rsidRDefault="00C94A69" w:rsidP="00C94A69">
      <w:pPr>
        <w:rPr>
          <w:rFonts w:ascii="Times New Roman" w:hAnsi="Times New Roman" w:cs="Times New Roman"/>
          <w:sz w:val="24"/>
          <w:szCs w:val="24"/>
        </w:rPr>
      </w:pPr>
      <w:r w:rsidRPr="008B5B27">
        <w:rPr>
          <w:rFonts w:ascii="Times New Roman" w:hAnsi="Times New Roman" w:cs="Times New Roman"/>
          <w:sz w:val="24"/>
          <w:szCs w:val="24"/>
        </w:rPr>
        <w:t xml:space="preserve">The infrastructure to address the prison mental health crisis is inadequate. Over 30% of all prison staff positions are vacant. Positions for medical staff (3570) constitute less than 4% of the total sanctioned prison staff, of which 40% are vacant.  Positions for correctional staff (1468) are even fewer, constituting less than 2% of the total sanctioned prison staff, of which 44% are vacant.  Correctional staff includes psychologists and mental health professionals, besides probation officers, social workers etc.  While the Model Prison Manual 2016 lays down a benchmark of 1 correctional officer for every 200 prisoners and 1 psychologist/counsellor for every 500, in 2022 there were 699 prisoners per correctional officers across India with only 2 states meeting the 200 benchmark, while specific data is not available for psychologists/counsellors.  21 states do not have any psychiatrists or psychologists in prisons. Nationally, there is only one psychologist/psychiatrist for every 16,503 prisoners. </w:t>
      </w:r>
    </w:p>
    <w:p w:rsidR="00C94A69" w:rsidRPr="008B5B27" w:rsidRDefault="00C94A69" w:rsidP="00C94A69">
      <w:pPr>
        <w:rPr>
          <w:rFonts w:ascii="Times New Roman" w:hAnsi="Times New Roman" w:cs="Times New Roman"/>
          <w:sz w:val="24"/>
          <w:szCs w:val="24"/>
        </w:rPr>
      </w:pPr>
      <w:r w:rsidRPr="008B5B27">
        <w:rPr>
          <w:rFonts w:ascii="Times New Roman" w:hAnsi="Times New Roman" w:cs="Times New Roman"/>
          <w:sz w:val="24"/>
          <w:szCs w:val="24"/>
        </w:rPr>
        <w:t>Under the Mental Healthcare Act (MHCA), 2017, the medical officer of the prison has an obligation to send quarterly reports to Mental Health Review Boards (MHRBs) about the status of prisoners with mental illness. MHRBs have been given the power to visit jails and ensure that prisoners with mental illnesses are transferred to mental health establishments. However, only three states (Tripura, Uttarakhand, and Himachal Pr</w:t>
      </w:r>
      <w:r w:rsidR="008B5B27">
        <w:rPr>
          <w:rFonts w:ascii="Times New Roman" w:hAnsi="Times New Roman" w:cs="Times New Roman"/>
          <w:sz w:val="24"/>
          <w:szCs w:val="24"/>
        </w:rPr>
        <w:t xml:space="preserve">adesh) have constituted MHRBs. </w:t>
      </w:r>
    </w:p>
    <w:p w:rsidR="00C94A69" w:rsidRPr="008B5B27" w:rsidRDefault="00C94A69" w:rsidP="00C94A69">
      <w:pPr>
        <w:rPr>
          <w:rFonts w:ascii="Times New Roman" w:hAnsi="Times New Roman" w:cs="Times New Roman"/>
          <w:b/>
          <w:sz w:val="24"/>
          <w:szCs w:val="24"/>
        </w:rPr>
      </w:pPr>
      <w:r w:rsidRPr="008B5B27">
        <w:rPr>
          <w:rFonts w:ascii="Times New Roman" w:hAnsi="Times New Roman" w:cs="Times New Roman"/>
          <w:b/>
          <w:sz w:val="24"/>
          <w:szCs w:val="24"/>
        </w:rPr>
        <w:t>Independent monitoring of prisons</w:t>
      </w:r>
    </w:p>
    <w:p w:rsidR="00C94A69" w:rsidRPr="008B5B27" w:rsidRDefault="00C94A69" w:rsidP="00C94A69">
      <w:pPr>
        <w:rPr>
          <w:rFonts w:ascii="Times New Roman" w:hAnsi="Times New Roman" w:cs="Times New Roman"/>
          <w:sz w:val="24"/>
          <w:szCs w:val="24"/>
        </w:rPr>
      </w:pPr>
      <w:r w:rsidRPr="008B5B27">
        <w:rPr>
          <w:rFonts w:ascii="Times New Roman" w:hAnsi="Times New Roman" w:cs="Times New Roman"/>
          <w:sz w:val="24"/>
          <w:szCs w:val="24"/>
        </w:rPr>
        <w:t xml:space="preserve">For transparency and accountability in prison functioning, the significance of an independent oversight body – Board of Visitors (BOV) – has been </w:t>
      </w:r>
      <w:r w:rsidR="00B714F8" w:rsidRPr="008B5B27">
        <w:rPr>
          <w:rFonts w:ascii="Times New Roman" w:hAnsi="Times New Roman" w:cs="Times New Roman"/>
          <w:sz w:val="24"/>
          <w:szCs w:val="24"/>
        </w:rPr>
        <w:t>emphasized</w:t>
      </w:r>
      <w:r w:rsidRPr="008B5B27">
        <w:rPr>
          <w:rFonts w:ascii="Times New Roman" w:hAnsi="Times New Roman" w:cs="Times New Roman"/>
          <w:sz w:val="24"/>
          <w:szCs w:val="24"/>
        </w:rPr>
        <w:t xml:space="preserve"> time and again.  The BOVs crucially comprises “non-official visitors” (NOVs); who are independent members of society interested in prison welfare including doctors, psychiatrists, social workers, lawyers etc.  Members of the BOV are empowered to conduct surprise visits to prisons and speak confidentially to prisoners, besides looking into living conditions of the prison.  While the significance of public scrutiny into prisons through the inclusion of NOVs cannot be discounted, it is important to note that BOVs ultimately have limited powers to ensure follow up action for the concerns identified, begging the need for a robust mechanism for reporting and timely response.</w:t>
      </w:r>
      <w:r w:rsidR="008B5B27">
        <w:rPr>
          <w:rFonts w:ascii="Times New Roman" w:hAnsi="Times New Roman" w:cs="Times New Roman"/>
          <w:sz w:val="24"/>
          <w:szCs w:val="24"/>
        </w:rPr>
        <w:t xml:space="preserve">  </w:t>
      </w:r>
    </w:p>
    <w:p w:rsidR="00C94A69" w:rsidRPr="008B5B27" w:rsidRDefault="00C94A69" w:rsidP="00C94A69">
      <w:pPr>
        <w:rPr>
          <w:rFonts w:ascii="Times New Roman" w:hAnsi="Times New Roman" w:cs="Times New Roman"/>
          <w:sz w:val="24"/>
          <w:szCs w:val="24"/>
        </w:rPr>
      </w:pPr>
      <w:r w:rsidRPr="008B5B27">
        <w:rPr>
          <w:rFonts w:ascii="Times New Roman" w:hAnsi="Times New Roman" w:cs="Times New Roman"/>
          <w:sz w:val="24"/>
          <w:szCs w:val="24"/>
        </w:rPr>
        <w:t xml:space="preserve">However, in reality the functioning of BOVs in prisons across the country has been dismal. According to CHRI’s 2016 report, only 5 out of 1382 jails were monitored as per the law and only 4 states had constituted BOVs for all their jails.  Inadequate implementation has continued, as documented in CHRI’s 2019 report, where 11 states (out of 30) did not have BOVs in any of the jails for which information was received.  The report also demonstrates ineffective compliance with appointment of NOVs and infrequent visits by the Board, where constituted.   </w:t>
      </w:r>
    </w:p>
    <w:p w:rsidR="00C94A69" w:rsidRPr="008B5B27" w:rsidRDefault="00C94A69" w:rsidP="00C94A69">
      <w:pPr>
        <w:rPr>
          <w:rFonts w:ascii="Times New Roman" w:hAnsi="Times New Roman" w:cs="Times New Roman"/>
          <w:sz w:val="24"/>
          <w:szCs w:val="24"/>
        </w:rPr>
      </w:pPr>
    </w:p>
    <w:p w:rsidR="00C94A69" w:rsidRPr="008B5B27" w:rsidRDefault="00C94A69" w:rsidP="00C94A69">
      <w:pPr>
        <w:rPr>
          <w:rFonts w:ascii="Times New Roman" w:hAnsi="Times New Roman" w:cs="Times New Roman"/>
          <w:sz w:val="24"/>
          <w:szCs w:val="24"/>
        </w:rPr>
      </w:pPr>
    </w:p>
    <w:p w:rsidR="00C94A69" w:rsidRPr="008B5B27" w:rsidRDefault="00C94A69" w:rsidP="00C94A69">
      <w:pPr>
        <w:rPr>
          <w:rFonts w:ascii="Times New Roman" w:hAnsi="Times New Roman" w:cs="Times New Roman"/>
          <w:sz w:val="24"/>
          <w:szCs w:val="24"/>
        </w:rPr>
      </w:pPr>
      <w:r w:rsidRPr="008B5B27">
        <w:rPr>
          <w:rFonts w:ascii="Times New Roman" w:hAnsi="Times New Roman" w:cs="Times New Roman"/>
          <w:sz w:val="24"/>
          <w:szCs w:val="24"/>
        </w:rPr>
        <w:t xml:space="preserve"> </w:t>
      </w:r>
    </w:p>
    <w:p w:rsidR="00C94A69" w:rsidRPr="008B5B27" w:rsidRDefault="00C94A69" w:rsidP="00C94A69">
      <w:pPr>
        <w:rPr>
          <w:rFonts w:ascii="Times New Roman" w:hAnsi="Times New Roman" w:cs="Times New Roman"/>
          <w:sz w:val="24"/>
          <w:szCs w:val="24"/>
        </w:rPr>
      </w:pPr>
    </w:p>
    <w:p w:rsidR="00983008" w:rsidRPr="008B5B27" w:rsidRDefault="00983008" w:rsidP="00983008">
      <w:pPr>
        <w:rPr>
          <w:rFonts w:ascii="Times New Roman" w:hAnsi="Times New Roman" w:cs="Times New Roman"/>
          <w:sz w:val="24"/>
          <w:szCs w:val="24"/>
        </w:rPr>
      </w:pPr>
    </w:p>
    <w:sectPr w:rsidR="00983008" w:rsidRPr="008B5B27">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0E0F" w:rsidRDefault="005D0E0F" w:rsidP="00557069">
      <w:pPr>
        <w:spacing w:after="0" w:line="240" w:lineRule="auto"/>
      </w:pPr>
      <w:r>
        <w:separator/>
      </w:r>
    </w:p>
  </w:endnote>
  <w:endnote w:type="continuationSeparator" w:id="0">
    <w:p w:rsidR="005D0E0F" w:rsidRDefault="005D0E0F" w:rsidP="005570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 Book">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733431"/>
      <w:docPartObj>
        <w:docPartGallery w:val="Page Numbers (Bottom of Page)"/>
        <w:docPartUnique/>
      </w:docPartObj>
    </w:sdtPr>
    <w:sdtEndPr>
      <w:rPr>
        <w:noProof/>
      </w:rPr>
    </w:sdtEndPr>
    <w:sdtContent>
      <w:p w:rsidR="00420407" w:rsidRDefault="00420407">
        <w:pPr>
          <w:pStyle w:val="Footer"/>
        </w:pPr>
        <w:r>
          <w:fldChar w:fldCharType="begin"/>
        </w:r>
        <w:r>
          <w:instrText xml:space="preserve"> PAGE   \* MERGEFORMAT </w:instrText>
        </w:r>
        <w:r>
          <w:fldChar w:fldCharType="separate"/>
        </w:r>
        <w:r w:rsidR="005D0E0F">
          <w:rPr>
            <w:noProof/>
          </w:rPr>
          <w:t>1</w:t>
        </w:r>
        <w:r>
          <w:rPr>
            <w:noProof/>
          </w:rPr>
          <w:fldChar w:fldCharType="end"/>
        </w:r>
      </w:p>
    </w:sdtContent>
  </w:sdt>
  <w:p w:rsidR="00420407" w:rsidRDefault="004204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0E0F" w:rsidRDefault="005D0E0F" w:rsidP="00557069">
      <w:pPr>
        <w:spacing w:after="0" w:line="240" w:lineRule="auto"/>
      </w:pPr>
      <w:r>
        <w:separator/>
      </w:r>
    </w:p>
  </w:footnote>
  <w:footnote w:type="continuationSeparator" w:id="0">
    <w:p w:rsidR="005D0E0F" w:rsidRDefault="005D0E0F" w:rsidP="00557069">
      <w:pPr>
        <w:spacing w:after="0" w:line="240" w:lineRule="auto"/>
      </w:pPr>
      <w:r>
        <w:continuationSeparator/>
      </w:r>
    </w:p>
  </w:footnote>
  <w:footnote w:id="1">
    <w:p w:rsidR="008B4CCD" w:rsidRPr="008B4CCD" w:rsidRDefault="008B4CCD">
      <w:pPr>
        <w:pStyle w:val="FootnoteText"/>
        <w:rPr>
          <w:lang w:val="en-US"/>
        </w:rPr>
      </w:pPr>
      <w:r>
        <w:rPr>
          <w:rStyle w:val="FootnoteReference"/>
        </w:rPr>
        <w:footnoteRef/>
      </w:r>
      <w:r>
        <w:t xml:space="preserve"> </w:t>
      </w:r>
      <w:r>
        <w:rPr>
          <w:lang w:val="en-US"/>
        </w:rPr>
        <w:t>The Hindustani name for original inhabitants as the tribal population is popularly known. The Hindu fundamentalist group of organisations</w:t>
      </w:r>
      <w:r w:rsidR="00A7648A">
        <w:rPr>
          <w:lang w:val="en-US"/>
        </w:rPr>
        <w:t xml:space="preserve">, of which the present  ruling party is a part of </w:t>
      </w:r>
      <w:r>
        <w:rPr>
          <w:lang w:val="en-US"/>
        </w:rPr>
        <w:t xml:space="preserve"> will like them to known as “Vanwasi” or forest dwellers.</w:t>
      </w:r>
      <w:r w:rsidR="00A7648A">
        <w:rPr>
          <w:lang w:val="en-US"/>
        </w:rPr>
        <w:t xml:space="preserve"> This is to deny them the legal benefits of the term, Indigenous populations, which they are.</w:t>
      </w:r>
    </w:p>
  </w:footnote>
  <w:footnote w:id="2">
    <w:p w:rsidR="005346B3" w:rsidRPr="005346B3" w:rsidRDefault="005346B3">
      <w:pPr>
        <w:pStyle w:val="FootnoteText"/>
        <w:rPr>
          <w:lang w:val="en-US"/>
        </w:rPr>
      </w:pPr>
      <w:r>
        <w:rPr>
          <w:rStyle w:val="FootnoteReference"/>
        </w:rPr>
        <w:footnoteRef/>
      </w:r>
      <w:r>
        <w:t xml:space="preserve"> </w:t>
      </w:r>
      <w:r>
        <w:rPr>
          <w:rStyle w:val="hgkelc"/>
        </w:rPr>
        <w:t xml:space="preserve">The </w:t>
      </w:r>
      <w:r>
        <w:rPr>
          <w:rStyle w:val="hgkelc"/>
          <w:b/>
          <w:bCs/>
        </w:rPr>
        <w:t>Code of Criminal Procedure</w:t>
      </w:r>
      <w:r>
        <w:rPr>
          <w:rStyle w:val="hgkelc"/>
        </w:rPr>
        <w:t xml:space="preserve"> commonly called Criminal Procedure Code (CrPC) was the main legislation on procedure for administration of </w:t>
      </w:r>
      <w:r>
        <w:rPr>
          <w:rStyle w:val="jpfdse"/>
        </w:rPr>
        <w:t>substantive</w:t>
      </w:r>
      <w:r>
        <w:rPr>
          <w:rStyle w:val="hgkelc"/>
        </w:rPr>
        <w:t xml:space="preserve"> criminal law in India.</w:t>
      </w:r>
    </w:p>
  </w:footnote>
  <w:footnote w:id="3">
    <w:p w:rsidR="00BF79D7" w:rsidRPr="00585568" w:rsidRDefault="00BF79D7">
      <w:pPr>
        <w:pStyle w:val="FootnoteText"/>
        <w:rPr>
          <w:lang w:val="en-US"/>
        </w:rPr>
      </w:pPr>
      <w:r>
        <w:rPr>
          <w:rStyle w:val="FootnoteReference"/>
        </w:rPr>
        <w:footnoteRef/>
      </w:r>
      <w:r>
        <w:t xml:space="preserve"> </w:t>
      </w:r>
      <w:r w:rsidR="00585568">
        <w:rPr>
          <w:rStyle w:val="hgkelc"/>
        </w:rPr>
        <w:t xml:space="preserve">Jail adalat is </w:t>
      </w:r>
      <w:r w:rsidR="00585568" w:rsidRPr="00585568">
        <w:rPr>
          <w:rStyle w:val="hgkelc"/>
          <w:bCs/>
        </w:rPr>
        <w:t>a form of summary disposal of cases against prisoners who have committed relatively minor offences and are willing to confess their guilt</w:t>
      </w:r>
      <w:r w:rsidR="00585568" w:rsidRPr="00585568">
        <w:rPr>
          <w:rStyle w:val="hgkelc"/>
        </w:rPr>
        <w:t>.</w:t>
      </w:r>
    </w:p>
  </w:footnote>
  <w:footnote w:id="4">
    <w:p w:rsidR="00420407" w:rsidRDefault="00420407" w:rsidP="00094F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NCRB, Crime in India Report, 2019, available at: </w:t>
      </w:r>
      <w:r>
        <w:rPr>
          <w:rFonts w:ascii="Times New Roman" w:eastAsia="Times New Roman" w:hAnsi="Times New Roman" w:cs="Times New Roman"/>
          <w:color w:val="1155CC"/>
          <w:sz w:val="20"/>
          <w:szCs w:val="20"/>
          <w:u w:val="single"/>
        </w:rPr>
        <w:t>https://ncrb.gov.in/crime-in-india-year-wise.html?year=2019&amp;keyword=</w:t>
      </w:r>
      <w:r>
        <w:rPr>
          <w:rFonts w:ascii="Times New Roman" w:eastAsia="Times New Roman" w:hAnsi="Times New Roman" w:cs="Times New Roman"/>
          <w:sz w:val="20"/>
          <w:szCs w:val="20"/>
        </w:rPr>
        <w:t xml:space="preserve">. NCRB, Crime in India Report, 2020, available at: </w:t>
      </w:r>
      <w:r>
        <w:rPr>
          <w:rFonts w:ascii="Times New Roman" w:eastAsia="Times New Roman" w:hAnsi="Times New Roman" w:cs="Times New Roman"/>
          <w:color w:val="1155CC"/>
          <w:sz w:val="20"/>
          <w:szCs w:val="20"/>
          <w:u w:val="single"/>
        </w:rPr>
        <w:t>https://ncrb.gov.in/crime-in-india-year-wise.html?year=2020&amp;keyword=</w:t>
      </w:r>
      <w:r>
        <w:rPr>
          <w:rFonts w:ascii="Times New Roman" w:eastAsia="Times New Roman" w:hAnsi="Times New Roman" w:cs="Times New Roman"/>
          <w:sz w:val="20"/>
          <w:szCs w:val="20"/>
        </w:rPr>
        <w:t xml:space="preserve">. NCRB, Crime in India Report, 2021, available at: </w:t>
      </w:r>
      <w:r>
        <w:rPr>
          <w:rFonts w:ascii="Times New Roman" w:eastAsia="Times New Roman" w:hAnsi="Times New Roman" w:cs="Times New Roman"/>
          <w:color w:val="1155CC"/>
          <w:sz w:val="20"/>
          <w:szCs w:val="20"/>
          <w:u w:val="single"/>
        </w:rPr>
        <w:t>https://ncrb.gov.in/crime-in-india-year-wise.html?year=2021&amp;keyword=</w:t>
      </w:r>
      <w:r>
        <w:rPr>
          <w:rFonts w:ascii="Times New Roman" w:eastAsia="Times New Roman" w:hAnsi="Times New Roman" w:cs="Times New Roman"/>
          <w:sz w:val="20"/>
          <w:szCs w:val="20"/>
        </w:rPr>
        <w:t xml:space="preserve">.  NCRB, Crime in India Report, 2022, available at: </w:t>
      </w:r>
      <w:r>
        <w:rPr>
          <w:rFonts w:ascii="Times New Roman" w:eastAsia="Times New Roman" w:hAnsi="Times New Roman" w:cs="Times New Roman"/>
          <w:color w:val="1155CC"/>
          <w:sz w:val="20"/>
          <w:szCs w:val="20"/>
          <w:u w:val="single"/>
        </w:rPr>
        <w:t>https://ncrb.gov.in/crime-in-india-year-wise.html?year=2021&amp;keyword=</w:t>
      </w:r>
      <w:r>
        <w:rPr>
          <w:rFonts w:ascii="Times New Roman" w:eastAsia="Times New Roman" w:hAnsi="Times New Roman" w:cs="Times New Roman"/>
          <w:sz w:val="20"/>
          <w:szCs w:val="20"/>
        </w:rPr>
        <w:t xml:space="preserve">. Table 16A.6 in reports for all years provides data on the cases registered against state police personnel for human rights violations, including incident of encounter killing, deaths in custody, illegal detention, torture/ causing hurt/injury, extortion, etc. </w:t>
      </w:r>
    </w:p>
  </w:footnote>
  <w:footnote w:id="5">
    <w:p w:rsidR="00420407" w:rsidRDefault="00420407" w:rsidP="00094F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National Campaign Against Torture (NCAT) (2019) India: Annual Report on Torture, available at: </w:t>
      </w:r>
      <w:r>
        <w:rPr>
          <w:rFonts w:ascii="Times New Roman" w:eastAsia="Times New Roman" w:hAnsi="Times New Roman" w:cs="Times New Roman"/>
          <w:color w:val="1155CC"/>
          <w:sz w:val="20"/>
          <w:szCs w:val="20"/>
          <w:u w:val="single"/>
        </w:rPr>
        <w:t>http://www.uncat.org/wp-content/uploads/2020/06/INDIATORTURE2019.pdf</w:t>
      </w:r>
      <w:r>
        <w:rPr>
          <w:rFonts w:ascii="Times New Roman" w:eastAsia="Times New Roman" w:hAnsi="Times New Roman" w:cs="Times New Roman"/>
          <w:sz w:val="20"/>
          <w:szCs w:val="20"/>
        </w:rPr>
        <w:t xml:space="preserve">. National Campaign Against Torture (NCAT) (2020) India: Annual Report on Torture, available at: </w:t>
      </w:r>
      <w:r>
        <w:rPr>
          <w:rFonts w:ascii="Times New Roman" w:eastAsia="Times New Roman" w:hAnsi="Times New Roman" w:cs="Times New Roman"/>
          <w:color w:val="1155CC"/>
          <w:sz w:val="20"/>
          <w:szCs w:val="20"/>
          <w:u w:val="single"/>
        </w:rPr>
        <w:t>http://www.uncat.org/wp-content/uploads/2021/03/IndiaTortureReport2020.pdf</w:t>
      </w:r>
      <w:r>
        <w:rPr>
          <w:rFonts w:ascii="Times New Roman" w:eastAsia="Times New Roman" w:hAnsi="Times New Roman" w:cs="Times New Roman"/>
          <w:sz w:val="20"/>
          <w:szCs w:val="20"/>
        </w:rPr>
        <w:t>. According to the NCAT 2019 and 2020 Reports, 125 people and 111 people died in custody, respectively. However, NCRB data recorded 85 and 86 deaths in custody in 2019 and 2020, respectively.</w:t>
      </w:r>
    </w:p>
  </w:footnote>
  <w:footnote w:id="6">
    <w:p w:rsidR="00420407" w:rsidRDefault="00420407" w:rsidP="00094F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According to NCRB data, between 2019 and 2022, 324 people have died in police custody, but NHRC data suggests 387 deaths in custody in the same period. </w:t>
      </w:r>
      <w:r>
        <w:rPr>
          <w:rFonts w:ascii="Times New Roman" w:eastAsia="Times New Roman" w:hAnsi="Times New Roman" w:cs="Times New Roman"/>
          <w:i/>
          <w:sz w:val="20"/>
          <w:szCs w:val="20"/>
        </w:rPr>
        <w:t xml:space="preserve">See </w:t>
      </w:r>
      <w:r>
        <w:rPr>
          <w:rFonts w:ascii="Times New Roman" w:eastAsia="Times New Roman" w:hAnsi="Times New Roman" w:cs="Times New Roman"/>
          <w:sz w:val="20"/>
          <w:szCs w:val="20"/>
        </w:rPr>
        <w:t xml:space="preserve">Mukesh Ranjan, 669 custodial deaths in past five years: MHA, The Tribune, 11 February 2023, available at:  </w:t>
      </w:r>
      <w:hyperlink r:id="rId1">
        <w:r>
          <w:rPr>
            <w:rFonts w:ascii="Times New Roman" w:eastAsia="Times New Roman" w:hAnsi="Times New Roman" w:cs="Times New Roman"/>
            <w:color w:val="1155CC"/>
            <w:sz w:val="20"/>
            <w:szCs w:val="20"/>
            <w:u w:val="single"/>
          </w:rPr>
          <w:t>https://www.tribuneindia.com/news/nation/669-custodial-deaths-in-past-five-years-mha-478876</w:t>
        </w:r>
      </w:hyperlink>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See also, </w:t>
      </w:r>
      <w:r>
        <w:rPr>
          <w:rFonts w:ascii="Times New Roman" w:eastAsia="Times New Roman" w:hAnsi="Times New Roman" w:cs="Times New Roman"/>
          <w:sz w:val="20"/>
          <w:szCs w:val="20"/>
        </w:rPr>
        <w:t xml:space="preserve">NCRB, Crime in India Report, 2019, Volume III, available at: </w:t>
      </w:r>
      <w:hyperlink r:id="rId2">
        <w:r>
          <w:rPr>
            <w:rFonts w:ascii="Times New Roman" w:eastAsia="Times New Roman" w:hAnsi="Times New Roman" w:cs="Times New Roman"/>
            <w:color w:val="1155CC"/>
            <w:sz w:val="20"/>
            <w:szCs w:val="20"/>
            <w:u w:val="single"/>
          </w:rPr>
          <w:t>https://ncrb.gov.in/crime-in-india-year-wise.html?year=2019&amp;keyword=</w:t>
        </w:r>
      </w:hyperlink>
      <w:r>
        <w:rPr>
          <w:rFonts w:ascii="Times New Roman" w:eastAsia="Times New Roman" w:hAnsi="Times New Roman" w:cs="Times New Roman"/>
          <w:sz w:val="20"/>
          <w:szCs w:val="20"/>
        </w:rPr>
        <w:t xml:space="preserve">. NCRB, Crime in India Report, 2020, Volume III, available at: </w:t>
      </w:r>
      <w:hyperlink r:id="rId3">
        <w:r>
          <w:rPr>
            <w:rFonts w:ascii="Times New Roman" w:eastAsia="Times New Roman" w:hAnsi="Times New Roman" w:cs="Times New Roman"/>
            <w:color w:val="1155CC"/>
            <w:sz w:val="20"/>
            <w:szCs w:val="20"/>
            <w:u w:val="single"/>
          </w:rPr>
          <w:t>https://ncrb.gov.in/crime-in-india-year-wise.html?year=2020&amp;keyword=</w:t>
        </w:r>
      </w:hyperlink>
      <w:r>
        <w:rPr>
          <w:rFonts w:ascii="Times New Roman" w:eastAsia="Times New Roman" w:hAnsi="Times New Roman" w:cs="Times New Roman"/>
          <w:sz w:val="20"/>
          <w:szCs w:val="20"/>
        </w:rPr>
        <w:t xml:space="preserve">. </w:t>
      </w:r>
    </w:p>
  </w:footnote>
  <w:footnote w:id="7">
    <w:p w:rsidR="00420407" w:rsidRDefault="00420407" w:rsidP="00094F54">
      <w:pPr>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Sofi Ahsan, Labour Rights Activist Shiv Kumar Was Kept In Illegal Confinement, Badly Tortured By Haryana Police: Inquiry Officer To High Court, LiveLaw, 21 December 2022, available at: </w:t>
      </w:r>
      <w:hyperlink r:id="rId4">
        <w:r>
          <w:rPr>
            <w:rFonts w:ascii="Times New Roman" w:eastAsia="Times New Roman" w:hAnsi="Times New Roman" w:cs="Times New Roman"/>
            <w:color w:val="1155CC"/>
            <w:sz w:val="20"/>
            <w:szCs w:val="20"/>
            <w:u w:val="single"/>
          </w:rPr>
          <w:t>https://www.livelaw.in/news-updates/labour-rights-activist-shiv-kumar-illegal-confinement-tortured-haryana-police-inquiry-high-court-217227</w:t>
        </w:r>
      </w:hyperlink>
      <w:r>
        <w:rPr>
          <w:rFonts w:ascii="Times New Roman" w:eastAsia="Times New Roman" w:hAnsi="Times New Roman" w:cs="Times New Roman"/>
          <w:sz w:val="20"/>
          <w:szCs w:val="20"/>
        </w:rPr>
        <w:t xml:space="preserve">; Human Rights Watch (2016) “Bound by Brotherhood” India’s Failure to end Killings in Police Custody, available at: </w:t>
      </w:r>
      <w:hyperlink r:id="rId5">
        <w:r>
          <w:rPr>
            <w:rFonts w:ascii="Times New Roman" w:eastAsia="Times New Roman" w:hAnsi="Times New Roman" w:cs="Times New Roman"/>
            <w:color w:val="1155CC"/>
            <w:sz w:val="20"/>
            <w:szCs w:val="20"/>
            <w:u w:val="single"/>
          </w:rPr>
          <w:t>https://www.hrw.org/report/2016/12/19/bound-brotherhood/indias-failure-end-killings-police-custody</w:t>
        </w:r>
      </w:hyperlink>
      <w:r>
        <w:rPr>
          <w:rFonts w:ascii="Times New Roman" w:eastAsia="Times New Roman" w:hAnsi="Times New Roman" w:cs="Times New Roman"/>
          <w:sz w:val="20"/>
          <w:szCs w:val="20"/>
        </w:rPr>
        <w:t xml:space="preserve">; Polis Project (2023) Watch the State, The “Official” (Police) Version of Events: Excuses, Reasons and Actual Causes of Custodial Death - 2, available at: </w:t>
      </w:r>
      <w:hyperlink r:id="rId6">
        <w:r>
          <w:rPr>
            <w:rFonts w:ascii="Times New Roman" w:eastAsia="Times New Roman" w:hAnsi="Times New Roman" w:cs="Times New Roman"/>
            <w:color w:val="1155CC"/>
            <w:sz w:val="20"/>
            <w:szCs w:val="20"/>
            <w:u w:val="single"/>
          </w:rPr>
          <w:t>https://www.thepolisproject.com/research/the-official-police-version-of-events-excuses-reasons-and-actual-causes-of-custodial-deaths/</w:t>
        </w:r>
      </w:hyperlink>
      <w:r>
        <w:rPr>
          <w:rFonts w:ascii="Times New Roman" w:eastAsia="Times New Roman" w:hAnsi="Times New Roman" w:cs="Times New Roman"/>
          <w:sz w:val="20"/>
          <w:szCs w:val="20"/>
        </w:rPr>
        <w:t xml:space="preserve">. </w:t>
      </w:r>
    </w:p>
  </w:footnote>
  <w:footnote w:id="8">
    <w:p w:rsidR="00420407" w:rsidRDefault="00420407" w:rsidP="00094F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Polis Project (2023) Watch the State, The “Official” (Police) Version of Events: Excuses, Reasons and Actual Causes of Custodial Death - 2, available at: </w:t>
      </w:r>
      <w:hyperlink r:id="rId7">
        <w:r>
          <w:rPr>
            <w:rFonts w:ascii="Times New Roman" w:eastAsia="Times New Roman" w:hAnsi="Times New Roman" w:cs="Times New Roman"/>
            <w:color w:val="1155CC"/>
            <w:sz w:val="20"/>
            <w:szCs w:val="20"/>
            <w:u w:val="single"/>
          </w:rPr>
          <w:t>https://www.thepolisproject.com/research/the-official-police-version-of-events-excuses-reasons-and-actual-causes-of-custodial-deaths/</w:t>
        </w:r>
      </w:hyperlink>
      <w:r>
        <w:rPr>
          <w:rFonts w:ascii="Times New Roman" w:eastAsia="Times New Roman" w:hAnsi="Times New Roman" w:cs="Times New Roman"/>
          <w:sz w:val="20"/>
          <w:szCs w:val="20"/>
        </w:rPr>
        <w:t xml:space="preserve">. </w:t>
      </w:r>
    </w:p>
  </w:footnote>
  <w:footnote w:id="9">
    <w:p w:rsidR="00420407" w:rsidRDefault="00420407" w:rsidP="00094F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Out of the 324 reported deaths in custody, 38.27% deaths are termed suicide and 43.20% deaths are termed deaths due to illness/treatment at hospital. Only 10 out of 324 deaths are reported as death due to physical assault by police. Mukesh Ranjan, 669 custodial deaths in past five years: MHA, The Tribune, 11 February 2023, available at:  </w:t>
      </w:r>
      <w:hyperlink r:id="rId8">
        <w:r>
          <w:rPr>
            <w:rFonts w:ascii="Times New Roman" w:eastAsia="Times New Roman" w:hAnsi="Times New Roman" w:cs="Times New Roman"/>
            <w:color w:val="1155CC"/>
            <w:sz w:val="20"/>
            <w:szCs w:val="20"/>
            <w:u w:val="single"/>
          </w:rPr>
          <w:t>https://www.tribuneindia.com/news/nation/669-custodial-deaths-in-past-five-years-mha-478876</w:t>
        </w:r>
      </w:hyperlink>
      <w:r>
        <w:rPr>
          <w:rFonts w:ascii="Times New Roman" w:eastAsia="Times New Roman" w:hAnsi="Times New Roman" w:cs="Times New Roman"/>
          <w:sz w:val="20"/>
          <w:szCs w:val="20"/>
        </w:rPr>
        <w:t>.</w:t>
      </w:r>
    </w:p>
  </w:footnote>
  <w:footnote w:id="10">
    <w:p w:rsidR="00420407" w:rsidRDefault="00420407" w:rsidP="00094F54">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For instance, the Annual Torture Report demonstrates that in 2019 out of the 125 recorded deaths in police custody, 93 persons (74.4%) allegedly died due to torture or foul play, and 16 due to suicides. For the same year, the NCRB reported 85 cases of police custody deaths, with 33 due to suicide and 2 due to torture. NCAT (2020) India: Annual Report on Torture, available at: </w:t>
      </w:r>
      <w:r>
        <w:rPr>
          <w:rFonts w:ascii="Times New Roman" w:eastAsia="Times New Roman" w:hAnsi="Times New Roman" w:cs="Times New Roman"/>
          <w:color w:val="1155CC"/>
          <w:sz w:val="20"/>
          <w:szCs w:val="20"/>
          <w:u w:val="single"/>
        </w:rPr>
        <w:t>http://www.uncat.org/wp-content/uploads/2021/03/IndiaTortureReport2020.pdf</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See also, </w:t>
      </w:r>
      <w:r>
        <w:rPr>
          <w:rFonts w:ascii="Times New Roman" w:eastAsia="Times New Roman" w:hAnsi="Times New Roman" w:cs="Times New Roman"/>
          <w:sz w:val="20"/>
          <w:szCs w:val="20"/>
        </w:rPr>
        <w:t xml:space="preserve"> Polis Project (2023) Watch the State, The “Official” (Police) Version of Events: Excuses, Reasons and Actual Causes of Custodial Death - 2, available at: </w:t>
      </w:r>
      <w:hyperlink r:id="rId9">
        <w:r>
          <w:rPr>
            <w:rFonts w:ascii="Times New Roman" w:eastAsia="Times New Roman" w:hAnsi="Times New Roman" w:cs="Times New Roman"/>
            <w:color w:val="1155CC"/>
            <w:sz w:val="20"/>
            <w:szCs w:val="20"/>
            <w:u w:val="single"/>
          </w:rPr>
          <w:t>https://www.thepolisproject.com/research/the-official-police-version-of-events-excuses-reasons-and-actual-causes-of-custodial-deaths/</w:t>
        </w:r>
      </w:hyperlink>
      <w:r>
        <w:rPr>
          <w:rFonts w:ascii="Times New Roman" w:eastAsia="Times New Roman" w:hAnsi="Times New Roman" w:cs="Times New Roman"/>
          <w:sz w:val="20"/>
          <w:szCs w:val="20"/>
        </w:rPr>
        <w:t xml:space="preserve">. </w:t>
      </w:r>
    </w:p>
  </w:footnote>
  <w:footnote w:id="11">
    <w:p w:rsidR="00420407" w:rsidRDefault="00420407" w:rsidP="00094F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Polis Project (2023) Watch the State, The “Official” (Police) Version of Events: Excuses, Reasons and Actual Causes of Custodial Death - 2, available at: </w:t>
      </w:r>
      <w:hyperlink r:id="rId10">
        <w:r>
          <w:rPr>
            <w:rFonts w:ascii="Times New Roman" w:eastAsia="Times New Roman" w:hAnsi="Times New Roman" w:cs="Times New Roman"/>
            <w:color w:val="1155CC"/>
            <w:sz w:val="20"/>
            <w:szCs w:val="20"/>
            <w:u w:val="single"/>
          </w:rPr>
          <w:t>https://www.thepolisproject.com/research/the-official-police-version-of-events-excuses-reasons-and-actual-causes-of-custodial-deaths/</w:t>
        </w:r>
      </w:hyperlink>
      <w:r>
        <w:rPr>
          <w:rFonts w:ascii="Times New Roman" w:eastAsia="Times New Roman" w:hAnsi="Times New Roman" w:cs="Times New Roman"/>
          <w:sz w:val="20"/>
          <w:szCs w:val="20"/>
        </w:rPr>
        <w:t xml:space="preserve">. </w:t>
      </w:r>
    </w:p>
  </w:footnote>
  <w:footnote w:id="12">
    <w:p w:rsidR="00420407" w:rsidRDefault="00420407" w:rsidP="00094F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NCAT (2019) India: Annual Report on Torture, p.6, available at: </w:t>
      </w:r>
      <w:hyperlink r:id="rId11">
        <w:r>
          <w:rPr>
            <w:rFonts w:ascii="Times New Roman" w:eastAsia="Times New Roman" w:hAnsi="Times New Roman" w:cs="Times New Roman"/>
            <w:color w:val="1155CC"/>
            <w:sz w:val="20"/>
            <w:szCs w:val="20"/>
            <w:u w:val="single"/>
          </w:rPr>
          <w:t>http://www.uncat.org/wp-content/uploads/2020/06/INDIATORTURE2019.pdf</w:t>
        </w:r>
      </w:hyperlink>
      <w:r>
        <w:rPr>
          <w:rFonts w:ascii="Times New Roman" w:eastAsia="Times New Roman" w:hAnsi="Times New Roman" w:cs="Times New Roman"/>
          <w:sz w:val="20"/>
          <w:szCs w:val="20"/>
        </w:rPr>
        <w:t xml:space="preserve">. 75 out of 125 persons (60%) belonged to poor and marginalised communities, with 13 persons being Dalit and tribal; Criminal Justice &amp; Police Accountability Project (2023) Countermapping Pandemic Policing, available at:  </w:t>
      </w:r>
      <w:hyperlink r:id="rId12">
        <w:r>
          <w:rPr>
            <w:rFonts w:ascii="Times New Roman" w:eastAsia="Times New Roman" w:hAnsi="Times New Roman" w:cs="Times New Roman"/>
            <w:color w:val="1155CC"/>
            <w:sz w:val="20"/>
            <w:szCs w:val="20"/>
            <w:u w:val="single"/>
          </w:rPr>
          <w:t>https://cpaproject.in/wp-content/uploads/2023/08/Countermapping-Pandemic-Policing-CPAProject.pdf</w:t>
        </w:r>
      </w:hyperlink>
      <w:r>
        <w:rPr>
          <w:rFonts w:ascii="Times New Roman" w:eastAsia="Times New Roman" w:hAnsi="Times New Roman" w:cs="Times New Roman"/>
          <w:i/>
          <w:sz w:val="20"/>
          <w:szCs w:val="20"/>
        </w:rPr>
        <w:t xml:space="preserve">; See also, </w:t>
      </w:r>
      <w:r>
        <w:rPr>
          <w:rFonts w:ascii="Times New Roman" w:eastAsia="Times New Roman" w:hAnsi="Times New Roman" w:cs="Times New Roman"/>
          <w:sz w:val="20"/>
          <w:szCs w:val="20"/>
        </w:rPr>
        <w:t xml:space="preserve">Vijdan Mohammad Kawoosa, Police not trained enough in human rights, reveal surveys, Hindustan Times, 30 June 2020, available at: </w:t>
      </w:r>
      <w:hyperlink r:id="rId13">
        <w:r>
          <w:rPr>
            <w:rFonts w:ascii="Times New Roman" w:eastAsia="Times New Roman" w:hAnsi="Times New Roman" w:cs="Times New Roman"/>
            <w:color w:val="0B57D0"/>
            <w:sz w:val="20"/>
            <w:szCs w:val="20"/>
            <w:u w:val="single"/>
          </w:rPr>
          <w:t>https://www.hindustantimes.com/india-news/police-not-trained-enough-in-human-rights-reveal-surveys/story-Cbr9cc4oOYlCZGR48aaQWO.html</w:t>
        </w:r>
      </w:hyperlink>
      <w:r>
        <w:rPr>
          <w:rFonts w:ascii="Times New Roman" w:eastAsia="Times New Roman" w:hAnsi="Times New Roman" w:cs="Times New Roman"/>
          <w:sz w:val="20"/>
          <w:szCs w:val="20"/>
        </w:rPr>
        <w:t>.</w:t>
      </w:r>
    </w:p>
  </w:footnote>
  <w:footnote w:id="13">
    <w:p w:rsidR="00420407" w:rsidRDefault="00420407" w:rsidP="00094F54">
      <w:pPr>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See for instance</w:t>
      </w:r>
      <w:r>
        <w:rPr>
          <w:rFonts w:ascii="Times New Roman" w:eastAsia="Times New Roman" w:hAnsi="Times New Roman" w:cs="Times New Roman"/>
          <w:sz w:val="20"/>
          <w:szCs w:val="20"/>
        </w:rPr>
        <w:t xml:space="preserve">, Sadaf Modak, Agnelo Valdaris death: For father, TN custody deaths rekindle trauma, The Indian Express, 2 July 2020, available at: </w:t>
      </w:r>
      <w:hyperlink r:id="rId14">
        <w:r>
          <w:rPr>
            <w:rFonts w:ascii="Times New Roman" w:eastAsia="Times New Roman" w:hAnsi="Times New Roman" w:cs="Times New Roman"/>
            <w:color w:val="1155CC"/>
            <w:sz w:val="20"/>
            <w:szCs w:val="20"/>
            <w:u w:val="single"/>
          </w:rPr>
          <w:t>https://indianexpress.com/article/cities/bangalore/imd-la-nina-to-emerge-by-july-more-rainfall-during-august-september-9358015/</w:t>
        </w:r>
      </w:hyperlink>
      <w:r>
        <w:rPr>
          <w:rFonts w:ascii="Times New Roman" w:eastAsia="Times New Roman" w:hAnsi="Times New Roman" w:cs="Times New Roman"/>
          <w:sz w:val="20"/>
          <w:szCs w:val="20"/>
        </w:rPr>
        <w:t xml:space="preserve">; Wilson Thomas, Parents of Coimbatore youth who was subjected to custodial torture move court seeking preservation of CCTV visuals, The Hindu, 27 September 2013, available at: </w:t>
      </w:r>
      <w:hyperlink r:id="rId15">
        <w:r>
          <w:rPr>
            <w:rFonts w:ascii="Times New Roman" w:eastAsia="Times New Roman" w:hAnsi="Times New Roman" w:cs="Times New Roman"/>
            <w:color w:val="1155CC"/>
            <w:sz w:val="20"/>
            <w:szCs w:val="20"/>
            <w:u w:val="single"/>
          </w:rPr>
          <w:t>https://www.thehindu.com/news/cities/Coimbatore/youth-subjected-to-custodial-torture-parents-seek-preservation-of-cctv-visuals/article67349057.ece</w:t>
        </w:r>
      </w:hyperlink>
      <w:r>
        <w:rPr>
          <w:rFonts w:ascii="Times New Roman" w:eastAsia="Times New Roman" w:hAnsi="Times New Roman" w:cs="Times New Roman"/>
          <w:sz w:val="20"/>
          <w:szCs w:val="20"/>
        </w:rPr>
        <w:t xml:space="preserve">. </w:t>
      </w:r>
    </w:p>
  </w:footnote>
  <w:footnote w:id="14">
    <w:p w:rsidR="00420407" w:rsidRDefault="00420407" w:rsidP="00094F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Raja Bagga, How Better Data Could Help Prevent Custodial Death, IndiaSpend, 19 November 2020, available at: </w:t>
      </w:r>
      <w:hyperlink r:id="rId16">
        <w:r>
          <w:rPr>
            <w:rFonts w:ascii="Times New Roman" w:eastAsia="Times New Roman" w:hAnsi="Times New Roman" w:cs="Times New Roman"/>
            <w:color w:val="0000FF"/>
            <w:sz w:val="20"/>
            <w:szCs w:val="20"/>
            <w:u w:val="single"/>
          </w:rPr>
          <w:t>https://www.indiaspend.com/how-better-data-could-help-prevent-custodial-deaths/</w:t>
        </w:r>
      </w:hyperlink>
      <w:r>
        <w:rPr>
          <w:rFonts w:ascii="Times New Roman" w:eastAsia="Times New Roman" w:hAnsi="Times New Roman" w:cs="Times New Roman"/>
          <w:sz w:val="20"/>
          <w:szCs w:val="20"/>
        </w:rPr>
        <w:t>.</w:t>
      </w:r>
    </w:p>
  </w:footnote>
  <w:footnote w:id="15">
    <w:p w:rsidR="00420407" w:rsidRDefault="00420407" w:rsidP="00094F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Enough data to show compliance with Government of India advisory implementing NHRC guidelines on procedure to be followed in cases of custodial violence is unavailable. However, instances have been reported where irregular procedure is followed during post-mortem, including autopsy being conducted in the absence of experts, delays, omission of external injuries. </w:t>
      </w:r>
      <w:r>
        <w:rPr>
          <w:rFonts w:ascii="Times New Roman" w:eastAsia="Times New Roman" w:hAnsi="Times New Roman" w:cs="Times New Roman"/>
          <w:i/>
          <w:sz w:val="20"/>
          <w:szCs w:val="20"/>
        </w:rPr>
        <w:t>See,</w:t>
      </w:r>
      <w:r>
        <w:rPr>
          <w:rFonts w:ascii="Times New Roman" w:eastAsia="Times New Roman" w:hAnsi="Times New Roman" w:cs="Times New Roman"/>
          <w:sz w:val="20"/>
          <w:szCs w:val="20"/>
        </w:rPr>
        <w:t xml:space="preserve"> Polis Project (2023) Watch the State, The “Official” (Police) Version of Events: Excuses, Reasons and Actual Causes of Custodial Death - 2, available at: </w:t>
      </w:r>
      <w:r>
        <w:rPr>
          <w:rFonts w:ascii="Times New Roman" w:eastAsia="Times New Roman" w:hAnsi="Times New Roman" w:cs="Times New Roman"/>
          <w:color w:val="1155CC"/>
          <w:sz w:val="20"/>
          <w:szCs w:val="20"/>
          <w:u w:val="single"/>
        </w:rPr>
        <w:t>https://www.thepolisproject.com/research/the-official-police-version-of-events-excuses-reasons-and-actual-causes-of-custodial-deaths/</w:t>
      </w:r>
      <w:r>
        <w:rPr>
          <w:rFonts w:ascii="Times New Roman" w:eastAsia="Times New Roman" w:hAnsi="Times New Roman" w:cs="Times New Roman"/>
          <w:i/>
          <w:sz w:val="20"/>
          <w:szCs w:val="20"/>
        </w:rPr>
        <w:t>; See also,</w:t>
      </w:r>
      <w:r>
        <w:rPr>
          <w:rFonts w:ascii="Times New Roman" w:eastAsia="Times New Roman" w:hAnsi="Times New Roman" w:cs="Times New Roman"/>
          <w:sz w:val="20"/>
          <w:szCs w:val="20"/>
        </w:rPr>
        <w:t xml:space="preserve"> Human Rights Watch (2016) “Bound by Brotherhood” India’s Failure to end Killings in Police Custody, available at: </w:t>
      </w:r>
      <w:hyperlink r:id="rId17">
        <w:r>
          <w:rPr>
            <w:rFonts w:ascii="Times New Roman" w:eastAsia="Times New Roman" w:hAnsi="Times New Roman" w:cs="Times New Roman"/>
            <w:color w:val="1155CC"/>
            <w:sz w:val="20"/>
            <w:szCs w:val="20"/>
            <w:u w:val="single"/>
          </w:rPr>
          <w:t>https://www.hrw.org/report/2016/12/19/bound-brotherhood/indias-failure-end-killings-police-custody</w:t>
        </w:r>
      </w:hyperlink>
      <w:r>
        <w:rPr>
          <w:rFonts w:ascii="Times New Roman" w:eastAsia="Times New Roman" w:hAnsi="Times New Roman" w:cs="Times New Roman"/>
          <w:sz w:val="20"/>
          <w:szCs w:val="20"/>
        </w:rPr>
        <w:t xml:space="preserve">. The report highlights bypassing and non-compliance with executive and judicial guidelines with respect to reporting of cases, procedure at investigation, post-mortems and compensations. </w:t>
      </w:r>
    </w:p>
  </w:footnote>
  <w:footnote w:id="16">
    <w:p w:rsidR="00420407" w:rsidRDefault="00420407" w:rsidP="00094F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Report is based on surveys conducted with 11800 police personnel across 21 states. Common Cause &amp; Lokniti (2019) Status of Policing in India Report: Police Adequacy and Working Conditions, Chapters 5 &amp; 6, available at: </w:t>
      </w:r>
      <w:hyperlink r:id="rId18">
        <w:r>
          <w:rPr>
            <w:rFonts w:ascii="Times New Roman" w:eastAsia="Times New Roman" w:hAnsi="Times New Roman" w:cs="Times New Roman"/>
            <w:color w:val="0000FF"/>
            <w:sz w:val="20"/>
            <w:szCs w:val="20"/>
            <w:u w:val="single"/>
          </w:rPr>
          <w:t>https://www.commoncause.in/uploadimage/page/Status_of_Policing_in_India_Report_2019_by_Common_Cause_and_CSDS.pdf</w:t>
        </w:r>
      </w:hyperlink>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See also</w:t>
      </w:r>
      <w:r>
        <w:rPr>
          <w:rFonts w:ascii="Times New Roman" w:eastAsia="Times New Roman" w:hAnsi="Times New Roman" w:cs="Times New Roman"/>
          <w:sz w:val="20"/>
          <w:szCs w:val="20"/>
        </w:rPr>
        <w:t xml:space="preserve">, Vijdan Mohammad Kawoosa, Police not trained enough in human rights, reveal surveys, Hindustan Times, 30 June 2020, available at: </w:t>
      </w:r>
      <w:hyperlink r:id="rId19">
        <w:r>
          <w:rPr>
            <w:rFonts w:ascii="Times New Roman" w:eastAsia="Times New Roman" w:hAnsi="Times New Roman" w:cs="Times New Roman"/>
            <w:color w:val="0B57D0"/>
            <w:sz w:val="20"/>
            <w:szCs w:val="20"/>
            <w:u w:val="single"/>
          </w:rPr>
          <w:t>https://www.hindustantimes.com/india-news/police-not-trained-enough-in-human-rights-reveal-surveys/story-Cbr9cc4oOYlCZGR48aaQWO.html</w:t>
        </w:r>
      </w:hyperlink>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See further,</w:t>
      </w:r>
      <w:r>
        <w:rPr>
          <w:rFonts w:ascii="Times New Roman" w:eastAsia="Times New Roman" w:hAnsi="Times New Roman" w:cs="Times New Roman"/>
          <w:sz w:val="20"/>
          <w:szCs w:val="20"/>
        </w:rPr>
        <w:t xml:space="preserve"> Rachel Wahl, Just Violence: Torture and Custody in the Eyes of the Police (2017, Stanford University Press) available at: </w:t>
      </w:r>
      <w:hyperlink r:id="rId20">
        <w:r>
          <w:rPr>
            <w:rFonts w:ascii="Times New Roman" w:eastAsia="Times New Roman" w:hAnsi="Times New Roman" w:cs="Times New Roman"/>
            <w:color w:val="1155CC"/>
            <w:sz w:val="20"/>
            <w:szCs w:val="20"/>
            <w:u w:val="single"/>
          </w:rPr>
          <w:t>https://www.sup.org/books/title/?id=25811</w:t>
        </w:r>
      </w:hyperlink>
      <w:r>
        <w:rPr>
          <w:rFonts w:ascii="Times New Roman" w:eastAsia="Times New Roman" w:hAnsi="Times New Roman" w:cs="Times New Roman"/>
          <w:sz w:val="20"/>
          <w:szCs w:val="20"/>
        </w:rPr>
        <w:t xml:space="preserve">. </w:t>
      </w:r>
    </w:p>
  </w:footnote>
  <w:footnote w:id="17">
    <w:p w:rsidR="00420407" w:rsidRDefault="00420407" w:rsidP="00094F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Further,  9% of police personnel never received any gender sensitisation training and 11% respondents did not receive any training on caste sensitisation. Common Cause &amp; Lokniti (2019) Status of Policing in India Report: Police Adequacy and Working Conditions, Chapters 5 &amp; 6, available at: </w:t>
      </w:r>
      <w:hyperlink r:id="rId21">
        <w:r>
          <w:rPr>
            <w:rFonts w:ascii="Times New Roman" w:eastAsia="Times New Roman" w:hAnsi="Times New Roman" w:cs="Times New Roman"/>
            <w:color w:val="0000FF"/>
            <w:sz w:val="20"/>
            <w:szCs w:val="20"/>
            <w:u w:val="single"/>
          </w:rPr>
          <w:t>https://www.commoncause.in/uploadimage/page/Status_of_Policing_in_India_Report_2019_by_Common_Cause_and_CSDS.pdf</w:t>
        </w:r>
      </w:hyperlink>
      <w:r>
        <w:rPr>
          <w:rFonts w:ascii="Times New Roman" w:eastAsia="Times New Roman" w:hAnsi="Times New Roman" w:cs="Times New Roman"/>
          <w:sz w:val="20"/>
          <w:szCs w:val="20"/>
        </w:rPr>
        <w:t>.</w:t>
      </w:r>
    </w:p>
  </w:footnote>
  <w:footnote w:id="18">
    <w:p w:rsidR="00420407" w:rsidRDefault="00420407" w:rsidP="00094F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highlight w:val="white"/>
        </w:rPr>
        <w:t xml:space="preserve">Three in every four police personnel surveyed felt it was justified for the police to be violent towards criminals, while one in five felt that killing dangerous criminals was better than a legal trial. </w:t>
      </w:r>
      <w:r>
        <w:rPr>
          <w:rFonts w:ascii="Times New Roman" w:eastAsia="Times New Roman" w:hAnsi="Times New Roman" w:cs="Times New Roman"/>
          <w:sz w:val="20"/>
          <w:szCs w:val="20"/>
        </w:rPr>
        <w:t xml:space="preserve">Common Cause &amp; Lokniti (2019) Status of Policing in India Report: Police Adequacy and Working Conditions, Chapter 7, available at: </w:t>
      </w:r>
      <w:hyperlink r:id="rId22">
        <w:r>
          <w:rPr>
            <w:rFonts w:ascii="Times New Roman" w:eastAsia="Times New Roman" w:hAnsi="Times New Roman" w:cs="Times New Roman"/>
            <w:color w:val="0000FF"/>
            <w:sz w:val="20"/>
            <w:szCs w:val="20"/>
            <w:u w:val="single"/>
          </w:rPr>
          <w:t>https://www.commoncause.in/uploadimage/page/Status_of_Policing_in_India_Report_2019_by_Common_Cause_and_CSDS.pdf</w:t>
        </w:r>
      </w:hyperlink>
      <w:r>
        <w:rPr>
          <w:rFonts w:ascii="Times New Roman" w:eastAsia="Times New Roman" w:hAnsi="Times New Roman" w:cs="Times New Roman"/>
          <w:sz w:val="20"/>
          <w:szCs w:val="20"/>
        </w:rPr>
        <w:t>.</w:t>
      </w:r>
    </w:p>
  </w:footnote>
  <w:footnote w:id="19">
    <w:p w:rsidR="00420407" w:rsidRDefault="00420407" w:rsidP="00094F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14 % personnel feel that Muslims are ‘very much’ naturally prone to committing crimes, while 36 percent feel that Muslims are ‘somewhat’ naturally prone to committing crimes. 24% percent personnel believe that migrants are very much naturally prone to committing crimes, 36% personnel feel that they are ‘somewhat’ naturally prone to committing crimes.Common Cause &amp; Lokniti (2019) Status of Policing in India Report: Police Adequacy and Working Conditions, Chapters 6, available at: </w:t>
      </w:r>
      <w:hyperlink r:id="rId23">
        <w:r>
          <w:rPr>
            <w:rFonts w:ascii="Times New Roman" w:eastAsia="Times New Roman" w:hAnsi="Times New Roman" w:cs="Times New Roman"/>
            <w:color w:val="0000FF"/>
            <w:sz w:val="20"/>
            <w:szCs w:val="20"/>
            <w:u w:val="single"/>
          </w:rPr>
          <w:t>https://www.commoncause.in/uploadimage/page/Status_of_Policing_in_India_Report_2019_by_Common_Cause_and_CSDS.pdf</w:t>
        </w:r>
      </w:hyperlink>
      <w:r>
        <w:rPr>
          <w:rFonts w:ascii="Times New Roman" w:eastAsia="Times New Roman" w:hAnsi="Times New Roman" w:cs="Times New Roman"/>
          <w:sz w:val="20"/>
          <w:szCs w:val="20"/>
        </w:rPr>
        <w:t>.</w:t>
      </w:r>
    </w:p>
  </w:footnote>
  <w:footnote w:id="20">
    <w:p w:rsidR="00420407" w:rsidRDefault="00420407" w:rsidP="00094F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An average of only 6.4% police personnel of the total police strength were given in-service training between 2012-2016.  A higher proportion of senior police officers received in-service training, than the percentage of constables, who constitute the majority of the police force. Common Cause &amp; Lokniti (2019) Status of Policing in India Report: Police Adequacy and Working Conditions, Chapters 1, available at: </w:t>
      </w:r>
      <w:hyperlink r:id="rId24">
        <w:r>
          <w:rPr>
            <w:rFonts w:ascii="Times New Roman" w:eastAsia="Times New Roman" w:hAnsi="Times New Roman" w:cs="Times New Roman"/>
            <w:color w:val="0000FF"/>
            <w:sz w:val="20"/>
            <w:szCs w:val="20"/>
            <w:u w:val="single"/>
          </w:rPr>
          <w:t>https://www.commoncause.in/uploadimage/page/Status_of_Policing_in_India_Report_2019_by_Common_Cause_and_CSDS.pdf</w:t>
        </w:r>
      </w:hyperlink>
      <w:r>
        <w:rPr>
          <w:rFonts w:ascii="Times New Roman" w:eastAsia="Times New Roman" w:hAnsi="Times New Roman" w:cs="Times New Roman"/>
          <w:sz w:val="20"/>
          <w:szCs w:val="20"/>
        </w:rPr>
        <w:t>.</w:t>
      </w:r>
    </w:p>
  </w:footnote>
  <w:footnote w:id="21">
    <w:p w:rsidR="00420407" w:rsidRDefault="00420407" w:rsidP="00094F54">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It is, however, unclear whether this mandatory requirement extends to include audio-video recording of the subsequent process of recovery evidence, which is most susceptible to coercion and fabrication. Video-recording of statements before the police continues to be an optional requirement. This could be an important safeguard against torture and coercion during investigation, and the decision to not make this mandatory is a missed opportunity in the new laws. </w:t>
      </w:r>
      <w:r>
        <w:rPr>
          <w:rFonts w:ascii="Times New Roman" w:eastAsia="Times New Roman" w:hAnsi="Times New Roman" w:cs="Times New Roman"/>
          <w:i/>
          <w:sz w:val="20"/>
          <w:szCs w:val="20"/>
        </w:rPr>
        <w:t>For more analysis see,</w:t>
      </w:r>
      <w:r>
        <w:rPr>
          <w:rFonts w:ascii="Times New Roman" w:eastAsia="Times New Roman" w:hAnsi="Times New Roman" w:cs="Times New Roman"/>
          <w:sz w:val="20"/>
          <w:szCs w:val="20"/>
        </w:rPr>
        <w:t xml:space="preserve">  Bharatiya Nagarik Suraksha Sanhita Bill, 2023 and Bharatiya Sakshya Bill, 2023: A Substantive Analysis (2023, Project 39A, National Law University, Delhi) available at: </w:t>
      </w:r>
      <w:hyperlink r:id="rId25">
        <w:r>
          <w:rPr>
            <w:rFonts w:ascii="Times New Roman" w:eastAsia="Times New Roman" w:hAnsi="Times New Roman" w:cs="Times New Roman"/>
            <w:color w:val="0000FF"/>
            <w:sz w:val="20"/>
            <w:szCs w:val="20"/>
            <w:u w:val="single"/>
          </w:rPr>
          <w:t>https://p39ablog.com/wp-content/uploads/2023/10/P39A-Blog_-BNSS_BSB_Research-Brief.pdf</w:t>
        </w:r>
      </w:hyperlink>
      <w:r>
        <w:rPr>
          <w:sz w:val="20"/>
          <w:szCs w:val="20"/>
        </w:rPr>
        <w:t>.</w:t>
      </w:r>
    </w:p>
  </w:footnote>
  <w:footnote w:id="22">
    <w:p w:rsidR="00420407" w:rsidRDefault="00420407" w:rsidP="00094F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Bharatiya Nagarik Suraksha Sanhita Bill, 2023 and Bharatiya Sakshya Bill, 2023: A Substantive Analysis (2023, Project 39A, National Law University, Delhi) p.24, available at: </w:t>
      </w:r>
      <w:hyperlink r:id="rId26">
        <w:r>
          <w:rPr>
            <w:rFonts w:ascii="Times New Roman" w:eastAsia="Times New Roman" w:hAnsi="Times New Roman" w:cs="Times New Roman"/>
            <w:color w:val="0000FF"/>
            <w:sz w:val="20"/>
            <w:szCs w:val="20"/>
            <w:u w:val="single"/>
          </w:rPr>
          <w:t>https://p39ablog.com/wp-content/uploads/2023/10/P39A-Blog_-BNSS_BSB_Research-Brief.pdf</w:t>
        </w:r>
      </w:hyperlink>
      <w:r>
        <w:rPr>
          <w:sz w:val="20"/>
          <w:szCs w:val="20"/>
        </w:rPr>
        <w:t>.</w:t>
      </w:r>
    </w:p>
  </w:footnote>
  <w:footnote w:id="23">
    <w:p w:rsidR="00420407" w:rsidRDefault="00420407" w:rsidP="00094F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 xml:space="preserve">This has been noted by the Supreme Court in </w:t>
      </w:r>
      <w:r>
        <w:rPr>
          <w:rFonts w:ascii="Times New Roman" w:eastAsia="Times New Roman" w:hAnsi="Times New Roman" w:cs="Times New Roman"/>
          <w:i/>
          <w:sz w:val="20"/>
          <w:szCs w:val="20"/>
        </w:rPr>
        <w:t>Shafhi Mohammad v. State of Himachal Pradesh</w:t>
      </w:r>
      <w:r>
        <w:rPr>
          <w:rFonts w:ascii="Times New Roman" w:eastAsia="Times New Roman" w:hAnsi="Times New Roman" w:cs="Times New Roman"/>
          <w:sz w:val="20"/>
          <w:szCs w:val="20"/>
        </w:rPr>
        <w:t xml:space="preserve"> SLP (Crl.) Nos. 2302 of 2017, 9431/2011 and 9631-9634/2012, Supreme Court Order dated 30.02.2018, available at: </w:t>
      </w:r>
      <w:hyperlink r:id="rId27">
        <w:r>
          <w:rPr>
            <w:rFonts w:ascii="Times New Roman" w:eastAsia="Times New Roman" w:hAnsi="Times New Roman" w:cs="Times New Roman"/>
            <w:color w:val="1155CC"/>
            <w:sz w:val="20"/>
            <w:szCs w:val="20"/>
            <w:u w:val="single"/>
          </w:rPr>
          <w:t>https://indiankanoon.org/doc/71699420/</w:t>
        </w:r>
      </w:hyperlink>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Shafhi Mohammad v. State of Himachal Pradesh </w:t>
      </w:r>
      <w:r>
        <w:rPr>
          <w:rFonts w:ascii="Times New Roman" w:eastAsia="Times New Roman" w:hAnsi="Times New Roman" w:cs="Times New Roman"/>
          <w:sz w:val="20"/>
          <w:szCs w:val="20"/>
        </w:rPr>
        <w:t xml:space="preserve">Petition(s) for Special Leave to Appeal (Crl.) No(s).2302/2017, Supreme Court Order dated 18.11.2021, available at: </w:t>
      </w:r>
      <w:hyperlink r:id="rId28">
        <w:r>
          <w:rPr>
            <w:rFonts w:ascii="Times New Roman" w:eastAsia="Times New Roman" w:hAnsi="Times New Roman" w:cs="Times New Roman"/>
            <w:color w:val="1155CC"/>
            <w:sz w:val="20"/>
            <w:szCs w:val="20"/>
            <w:u w:val="single"/>
          </w:rPr>
          <w:t>https://indiankanoon.org/doc/94269545/</w:t>
        </w:r>
      </w:hyperlink>
      <w:r>
        <w:rPr>
          <w:rFonts w:ascii="Times New Roman" w:eastAsia="Times New Roman" w:hAnsi="Times New Roman" w:cs="Times New Roman"/>
          <w:sz w:val="20"/>
          <w:szCs w:val="20"/>
        </w:rPr>
        <w:t xml:space="preserve">; Further, research on conditions of policing in 2019 suggests that almost one in three civil police personnel never received training on forensic technology (Chapter 3). Only two thirds of the police reported having access to fully functional computers (Chapter 1). A study from 2023 on capacity of police to use surveillance technology for controlling crime, suggests that police do not have requisite training or capacity to continuously monitor or properly use the surveillance technologies, including the use of CCTVs (Chapter 3, Section 3.2.6). Common Cause &amp; Lokniti (2019) Status of Policing in India Report: Police Adequacy and Working Conditions, available at: </w:t>
      </w:r>
      <w:hyperlink r:id="rId29">
        <w:r>
          <w:rPr>
            <w:rFonts w:ascii="Times New Roman" w:eastAsia="Times New Roman" w:hAnsi="Times New Roman" w:cs="Times New Roman"/>
            <w:color w:val="0000FF"/>
            <w:sz w:val="20"/>
            <w:szCs w:val="20"/>
            <w:u w:val="single"/>
          </w:rPr>
          <w:t>https://www.commoncause.in/uploadimage/page/Status_of_Policing_in_India_Report_2019_by_Common_Cause_and_CSDS.pdf</w:t>
        </w:r>
      </w:hyperlink>
      <w:r>
        <w:rPr>
          <w:rFonts w:ascii="Times New Roman" w:eastAsia="Times New Roman" w:hAnsi="Times New Roman" w:cs="Times New Roman"/>
          <w:sz w:val="20"/>
          <w:szCs w:val="20"/>
        </w:rPr>
        <w:t xml:space="preserve">.  Common Cause &amp; Lokniti (2023) Status of Policing in India Report: Surveillance and the Question of Privacy, available at: </w:t>
      </w:r>
      <w:hyperlink r:id="rId30">
        <w:r>
          <w:rPr>
            <w:rFonts w:ascii="Times New Roman" w:eastAsia="Times New Roman" w:hAnsi="Times New Roman" w:cs="Times New Roman"/>
            <w:color w:val="1155CC"/>
            <w:sz w:val="20"/>
            <w:szCs w:val="20"/>
            <w:u w:val="single"/>
          </w:rPr>
          <w:t>https://www.commoncause.in/wotadmin/upload/REPORT_2023.pdf</w:t>
        </w:r>
      </w:hyperlink>
      <w:r>
        <w:rPr>
          <w:rFonts w:ascii="Times New Roman" w:eastAsia="Times New Roman" w:hAnsi="Times New Roman" w:cs="Times New Roman"/>
          <w:sz w:val="20"/>
          <w:szCs w:val="20"/>
        </w:rPr>
        <w:t xml:space="preserve">. </w:t>
      </w:r>
    </w:p>
  </w:footnote>
  <w:footnote w:id="24">
    <w:p w:rsidR="00420407" w:rsidRDefault="00420407" w:rsidP="00094F54">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Common Cause &amp; Lokniti (2019) Status of Policing in India Report: Police Adequacy and Working Conditions, Chapter 3, available at: </w:t>
      </w:r>
      <w:hyperlink r:id="rId31">
        <w:r>
          <w:rPr>
            <w:rFonts w:ascii="Times New Roman" w:eastAsia="Times New Roman" w:hAnsi="Times New Roman" w:cs="Times New Roman"/>
            <w:color w:val="0000FF"/>
            <w:sz w:val="20"/>
            <w:szCs w:val="20"/>
            <w:u w:val="single"/>
          </w:rPr>
          <w:t>https://www.commoncause.in/uploadimage/page/Status_of_Policing_in_India_Report_2019_by_Common_Cause_and_CSDS.pdf</w:t>
        </w:r>
      </w:hyperlink>
      <w:r>
        <w:rPr>
          <w:rFonts w:ascii="Times New Roman" w:eastAsia="Times New Roman" w:hAnsi="Times New Roman" w:cs="Times New Roman"/>
          <w:sz w:val="20"/>
          <w:szCs w:val="20"/>
        </w:rPr>
        <w:t>.</w:t>
      </w:r>
    </w:p>
  </w:footnote>
  <w:footnote w:id="25">
    <w:p w:rsidR="00420407" w:rsidRDefault="00420407" w:rsidP="00094F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 its September 2006 order in </w:t>
      </w:r>
      <w:r>
        <w:rPr>
          <w:rFonts w:ascii="Times New Roman" w:eastAsia="Times New Roman" w:hAnsi="Times New Roman" w:cs="Times New Roman"/>
          <w:i/>
          <w:sz w:val="20"/>
          <w:szCs w:val="20"/>
        </w:rPr>
        <w:t xml:space="preserve">Prakash Singh v. Union of India </w:t>
      </w:r>
      <w:r>
        <w:rPr>
          <w:rFonts w:ascii="Times New Roman" w:eastAsia="Times New Roman" w:hAnsi="Times New Roman" w:cs="Times New Roman"/>
          <w:sz w:val="20"/>
          <w:szCs w:val="20"/>
        </w:rPr>
        <w:t xml:space="preserve">(2006) 8 SCC 1, the Supreme Court gave seven binding directives for police reform to be complied with until January 2007. Initially, the Court was checking compliance with the directives itself, to which States and UTs sought several extensions and repeatedly highlighted difficulty in implementing them. In 2008, a Monitoring Committee with a two-year mandate to oversee compliance was set up. Reference Note on Police Reforms, No. 7/RN/Ref./February/2016, available at: </w:t>
      </w:r>
      <w:hyperlink r:id="rId32">
        <w:r>
          <w:rPr>
            <w:rFonts w:ascii="Times New Roman" w:eastAsia="Times New Roman" w:hAnsi="Times New Roman" w:cs="Times New Roman"/>
            <w:color w:val="0000FF"/>
            <w:sz w:val="20"/>
            <w:szCs w:val="20"/>
            <w:u w:val="single"/>
          </w:rPr>
          <w:t>https://loksabhadocs.nic.in/Refinput/New_Reference_Notes/English/Police_Reforms.pdf</w:t>
        </w:r>
      </w:hyperlink>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See also</w:t>
      </w:r>
      <w:r>
        <w:rPr>
          <w:rFonts w:ascii="Times New Roman" w:eastAsia="Times New Roman" w:hAnsi="Times New Roman" w:cs="Times New Roman"/>
          <w:sz w:val="20"/>
          <w:szCs w:val="20"/>
        </w:rPr>
        <w:t xml:space="preserve">, Supreme Court creates a Monitoring Committee in </w:t>
      </w:r>
      <w:r>
        <w:rPr>
          <w:rFonts w:ascii="Times New Roman" w:eastAsia="Times New Roman" w:hAnsi="Times New Roman" w:cs="Times New Roman"/>
          <w:i/>
          <w:sz w:val="20"/>
          <w:szCs w:val="20"/>
        </w:rPr>
        <w:t>Prakash Singh</w:t>
      </w:r>
      <w:r>
        <w:rPr>
          <w:rFonts w:ascii="Times New Roman" w:eastAsia="Times New Roman" w:hAnsi="Times New Roman" w:cs="Times New Roman"/>
          <w:sz w:val="20"/>
          <w:szCs w:val="20"/>
        </w:rPr>
        <w:t xml:space="preserve"> Police Reforms Case: Press Release, Commonwealth Human Rights Initiative (CHRI), 16 July 2008, available at: </w:t>
      </w:r>
      <w:hyperlink r:id="rId33">
        <w:r>
          <w:rPr>
            <w:rFonts w:ascii="Times New Roman" w:eastAsia="Times New Roman" w:hAnsi="Times New Roman" w:cs="Times New Roman"/>
            <w:color w:val="0000FF"/>
            <w:sz w:val="20"/>
            <w:szCs w:val="20"/>
            <w:u w:val="single"/>
          </w:rPr>
          <w:t>https://www.humanrightsinitiative.org/programs/aj/police/india/initiatives/chri_press_release_on_prakash_singh_16july08.pdf</w:t>
        </w:r>
      </w:hyperlink>
      <w:r>
        <w:rPr>
          <w:rFonts w:ascii="Times New Roman" w:eastAsia="Times New Roman" w:hAnsi="Times New Roman" w:cs="Times New Roman"/>
          <w:sz w:val="20"/>
          <w:szCs w:val="20"/>
        </w:rPr>
        <w:t xml:space="preserve">, CHRI (2012) Police Complaints Authority in India: A Rapid Study, available at: </w:t>
      </w:r>
      <w:hyperlink r:id="rId34">
        <w:r>
          <w:rPr>
            <w:rFonts w:ascii="Times New Roman" w:eastAsia="Times New Roman" w:hAnsi="Times New Roman" w:cs="Times New Roman"/>
            <w:color w:val="1155CC"/>
            <w:sz w:val="20"/>
            <w:szCs w:val="20"/>
            <w:u w:val="single"/>
          </w:rPr>
          <w:t>https://humanrightsinitiative.org/publications/police/PCA_Rapid_Study_December_2012_FINAL.pdf</w:t>
        </w:r>
      </w:hyperlink>
      <w:r>
        <w:rPr>
          <w:rFonts w:ascii="Times New Roman" w:eastAsia="Times New Roman" w:hAnsi="Times New Roman" w:cs="Times New Roman"/>
          <w:sz w:val="20"/>
          <w:szCs w:val="20"/>
        </w:rPr>
        <w:t xml:space="preserve">, CHRI (2009) Complaints Authority: Police Accountability in Action, available at: </w:t>
      </w:r>
      <w:hyperlink r:id="rId35">
        <w:r>
          <w:rPr>
            <w:rFonts w:ascii="Times New Roman" w:eastAsia="Times New Roman" w:hAnsi="Times New Roman" w:cs="Times New Roman"/>
            <w:color w:val="1155CC"/>
            <w:sz w:val="20"/>
            <w:szCs w:val="20"/>
            <w:u w:val="single"/>
          </w:rPr>
          <w:t>https://humanrightsinitiative.org/publications/police/complaints_authorities_police_accountability_in_action.pdf</w:t>
        </w:r>
      </w:hyperlink>
      <w:r>
        <w:rPr>
          <w:rFonts w:ascii="Times New Roman" w:eastAsia="Times New Roman" w:hAnsi="Times New Roman" w:cs="Times New Roman"/>
          <w:sz w:val="20"/>
          <w:szCs w:val="20"/>
        </w:rPr>
        <w:t xml:space="preserve">; Maja Daruwala, Ten Years and Waiting, The Indian Express, 22 September 2016, available at: </w:t>
      </w:r>
      <w:hyperlink r:id="rId36">
        <w:r>
          <w:rPr>
            <w:rFonts w:ascii="Times New Roman" w:eastAsia="Times New Roman" w:hAnsi="Times New Roman" w:cs="Times New Roman"/>
            <w:color w:val="0000FF"/>
            <w:sz w:val="20"/>
            <w:szCs w:val="20"/>
            <w:u w:val="single"/>
          </w:rPr>
          <w:t>https://indianexpress.com/article/opinion/columns/model-police-law-supreme-court-prakash-singh-case-india-police-3043093/</w:t>
        </w:r>
      </w:hyperlink>
      <w:r>
        <w:rPr>
          <w:rFonts w:ascii="Times New Roman" w:eastAsia="Times New Roman" w:hAnsi="Times New Roman" w:cs="Times New Roman"/>
          <w:sz w:val="20"/>
          <w:szCs w:val="20"/>
        </w:rPr>
        <w:t>.</w:t>
      </w:r>
    </w:p>
  </w:footnote>
  <w:footnote w:id="26">
    <w:p w:rsidR="00420407" w:rsidRDefault="00420407" w:rsidP="00094F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CHRI (2010) Seven Steps to Police Reform, page 2, available at: </w:t>
      </w:r>
      <w:hyperlink r:id="rId37">
        <w:r>
          <w:rPr>
            <w:rFonts w:ascii="Times New Roman" w:eastAsia="Times New Roman" w:hAnsi="Times New Roman" w:cs="Times New Roman"/>
            <w:color w:val="1155CC"/>
            <w:sz w:val="20"/>
            <w:szCs w:val="20"/>
            <w:u w:val="single"/>
          </w:rPr>
          <w:t>https://www.humanrightsinitiative.org/programs/aj/police/india/initiatives/seven_steps_to_police_reform.pdf</w:t>
        </w:r>
      </w:hyperlink>
      <w:r>
        <w:rPr>
          <w:rFonts w:ascii="Times New Roman" w:eastAsia="Times New Roman" w:hAnsi="Times New Roman" w:cs="Times New Roman"/>
          <w:sz w:val="20"/>
          <w:szCs w:val="20"/>
        </w:rPr>
        <w:t xml:space="preserve">. </w:t>
      </w:r>
    </w:p>
  </w:footnote>
  <w:footnote w:id="27">
    <w:p w:rsidR="00420407" w:rsidRDefault="00420407" w:rsidP="00094F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 the remaining states, legal/policy framework has been put up but PCAs are non-functional due to non-appointment of members. In 9 out of 11 states/UTs, the appointment of members flouts Supreme Court’s directive on PCA being independent since serving government or police officials have been appointed as members.  Only 2 states have civil society representatives. </w:t>
      </w:r>
      <w:r>
        <w:rPr>
          <w:rFonts w:ascii="Times New Roman" w:eastAsia="Times New Roman" w:hAnsi="Times New Roman" w:cs="Times New Roman"/>
          <w:i/>
          <w:sz w:val="20"/>
          <w:szCs w:val="20"/>
        </w:rPr>
        <w:t>See,</w:t>
      </w:r>
      <w:r>
        <w:rPr>
          <w:rFonts w:ascii="Times New Roman" w:eastAsia="Times New Roman" w:hAnsi="Times New Roman" w:cs="Times New Roman"/>
          <w:sz w:val="20"/>
          <w:szCs w:val="20"/>
        </w:rPr>
        <w:t xml:space="preserve"> CHRI (2023) Police Complaints Authorities in India: Status, Gaps, Challenges, available at: </w:t>
      </w:r>
      <w:hyperlink r:id="rId38">
        <w:r>
          <w:rPr>
            <w:rFonts w:ascii="Times New Roman" w:eastAsia="Times New Roman" w:hAnsi="Times New Roman" w:cs="Times New Roman"/>
            <w:color w:val="0000FF"/>
            <w:sz w:val="20"/>
            <w:szCs w:val="20"/>
            <w:u w:val="single"/>
          </w:rPr>
          <w:t>https://www.humanrightsinitiative.org/publication/police-complaints-authorities-in-india</w:t>
        </w:r>
      </w:hyperlink>
      <w:r>
        <w:rPr>
          <w:rFonts w:ascii="Times New Roman" w:eastAsia="Times New Roman" w:hAnsi="Times New Roman" w:cs="Times New Roman"/>
          <w:sz w:val="20"/>
          <w:szCs w:val="20"/>
        </w:rPr>
        <w:t>.</w:t>
      </w:r>
    </w:p>
  </w:footnote>
  <w:footnote w:id="28">
    <w:p w:rsidR="00420407" w:rsidRDefault="00420407" w:rsidP="00094F54">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sidRPr="002547BB">
        <w:rPr>
          <w:rFonts w:ascii="Times New Roman" w:eastAsia="Times New Roman" w:hAnsi="Times New Roman" w:cs="Times New Roman"/>
          <w:sz w:val="20"/>
          <w:szCs w:val="20"/>
        </w:rPr>
        <w:t>CHRI</w:t>
      </w:r>
      <w:r>
        <w:rPr>
          <w:rFonts w:ascii="Times New Roman" w:eastAsia="Times New Roman" w:hAnsi="Times New Roman" w:cs="Times New Roman"/>
          <w:sz w:val="20"/>
          <w:szCs w:val="20"/>
        </w:rPr>
        <w:t xml:space="preserve"> (2023) Police Complaints Authorities in India: Status, Gaps, Challenges, available at: </w:t>
      </w:r>
      <w:hyperlink r:id="rId39">
        <w:r>
          <w:rPr>
            <w:rFonts w:ascii="Times New Roman" w:eastAsia="Times New Roman" w:hAnsi="Times New Roman" w:cs="Times New Roman"/>
            <w:color w:val="0000FF"/>
            <w:sz w:val="20"/>
            <w:szCs w:val="20"/>
            <w:u w:val="single"/>
          </w:rPr>
          <w:t>https://www.humanrightsinitiative.org/publication/police-complaints-authorities-in-india</w:t>
        </w:r>
      </w:hyperlink>
      <w:r>
        <w:rPr>
          <w:rFonts w:ascii="Times New Roman" w:eastAsia="Times New Roman" w:hAnsi="Times New Roman" w:cs="Times New Roman"/>
          <w:sz w:val="20"/>
          <w:szCs w:val="20"/>
        </w:rPr>
        <w:t>.</w:t>
      </w:r>
    </w:p>
  </w:footnote>
  <w:footnote w:id="29">
    <w:p w:rsidR="00420407" w:rsidRDefault="00420407" w:rsidP="00094F54">
      <w:pPr>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3rd Universal Periodic Review of India, 18 January 2017, Section II, available at: </w:t>
      </w:r>
      <w:hyperlink r:id="rId40">
        <w:r>
          <w:rPr>
            <w:rFonts w:ascii="Times New Roman" w:eastAsia="Times New Roman" w:hAnsi="Times New Roman" w:cs="Times New Roman"/>
            <w:color w:val="1155CC"/>
            <w:sz w:val="20"/>
            <w:szCs w:val="20"/>
            <w:u w:val="single"/>
          </w:rPr>
          <w:t>https://www.mea.gov.in/Uploads/PublicationDocs/27953_27953_UPR_-III_for_MEA_website_.pdf</w:t>
        </w:r>
      </w:hyperlink>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See also,</w:t>
      </w:r>
      <w:r>
        <w:rPr>
          <w:rFonts w:ascii="Times New Roman" w:eastAsia="Times New Roman" w:hAnsi="Times New Roman" w:cs="Times New Roman"/>
          <w:sz w:val="20"/>
          <w:szCs w:val="20"/>
        </w:rPr>
        <w:t xml:space="preserve"> Statement by India at the Third Universal Periodic Review of India, delivered by the Leader of the Indian Delegation H.E. Mr. Mukul Rohatgi, Attorney General of India, available here: </w:t>
      </w:r>
      <w:hyperlink r:id="rId41">
        <w:r>
          <w:rPr>
            <w:rFonts w:ascii="Times New Roman" w:eastAsia="Times New Roman" w:hAnsi="Times New Roman" w:cs="Times New Roman"/>
            <w:color w:val="1155CC"/>
            <w:sz w:val="20"/>
            <w:szCs w:val="20"/>
            <w:u w:val="single"/>
          </w:rPr>
          <w:t>https://pmindiaun.gov.in/pageinfo/MTQ2Mw</w:t>
        </w:r>
      </w:hyperlink>
      <w:r>
        <w:rPr>
          <w:rFonts w:ascii="Times New Roman" w:eastAsia="Times New Roman" w:hAnsi="Times New Roman" w:cs="Times New Roman"/>
          <w:sz w:val="20"/>
          <w:szCs w:val="20"/>
        </w:rPr>
        <w:t>.</w:t>
      </w:r>
    </w:p>
  </w:footnote>
  <w:footnote w:id="30">
    <w:p w:rsidR="00420407" w:rsidRDefault="00420407" w:rsidP="00094F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Indian government passed three new criminal laws to replace the existing penal and procedural laws in December 2023. Bharatiya Nyaya Sanhita, 2023 (BNS), the Bharatiya Nagarik Suraksha Sanhita, 2023 (BNSS) and the Bharatiya Sakshya Act, 2023 (BSA) will replace the Indian Penal Code (1860), Code of Criminal Procedure (1973), and Indian Evidence Act (1872). The new criminal laws will come into force in July 2024. </w:t>
      </w:r>
    </w:p>
  </w:footnote>
  <w:footnote w:id="31">
    <w:p w:rsidR="00420407" w:rsidRDefault="00420407" w:rsidP="00094F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There was also a specific recommendation to this effect made in the 273rd Law Commission of India Report on Implementation of United Nations Convention against Torture (2017) available at: </w:t>
      </w:r>
      <w:hyperlink r:id="rId42">
        <w:r>
          <w:rPr>
            <w:rFonts w:ascii="Times New Roman" w:eastAsia="Times New Roman" w:hAnsi="Times New Roman" w:cs="Times New Roman"/>
            <w:color w:val="1155CC"/>
            <w:sz w:val="20"/>
            <w:szCs w:val="20"/>
            <w:u w:val="single"/>
          </w:rPr>
          <w:t>https://cdnbbsr.s3waas.gov.in/s3ca0daec69b5adc880fb464895726dbdf/uploads/2022/08/2022081620.pdf</w:t>
        </w:r>
      </w:hyperlink>
      <w:r>
        <w:rPr>
          <w:rFonts w:ascii="Times New Roman" w:eastAsia="Times New Roman" w:hAnsi="Times New Roman" w:cs="Times New Roman"/>
          <w:sz w:val="20"/>
          <w:szCs w:val="20"/>
        </w:rPr>
        <w:t xml:space="preserve">. </w:t>
      </w:r>
    </w:p>
  </w:footnote>
  <w:footnote w:id="32">
    <w:p w:rsidR="00420407" w:rsidRDefault="00420407" w:rsidP="00094F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Clause 218 Bharatiya Nagarik Suraksha Sanhita. </w:t>
      </w:r>
      <w:r>
        <w:rPr>
          <w:rFonts w:ascii="Times New Roman" w:eastAsia="Times New Roman" w:hAnsi="Times New Roman" w:cs="Times New Roman"/>
          <w:i/>
          <w:sz w:val="20"/>
          <w:szCs w:val="20"/>
        </w:rPr>
        <w:t>See,</w:t>
      </w:r>
      <w:r>
        <w:rPr>
          <w:rFonts w:ascii="Times New Roman" w:eastAsia="Times New Roman" w:hAnsi="Times New Roman" w:cs="Times New Roman"/>
          <w:sz w:val="20"/>
          <w:szCs w:val="20"/>
        </w:rPr>
        <w:t xml:space="preserve"> Bharatiya Nagarik Suraksha Sanhita Bill, 2023 and Bharatiya Sakshya Bill, 2023: A Substantive Analysis (2023, Project 39A, National Law University, Delhi) pages 37-38, available at: </w:t>
      </w:r>
      <w:hyperlink r:id="rId43">
        <w:r>
          <w:rPr>
            <w:rFonts w:ascii="Times New Roman" w:eastAsia="Times New Roman" w:hAnsi="Times New Roman" w:cs="Times New Roman"/>
            <w:color w:val="0000FF"/>
            <w:sz w:val="20"/>
            <w:szCs w:val="20"/>
            <w:u w:val="single"/>
          </w:rPr>
          <w:t>https://p39ablog.com/wp-content/uploads/2023/10/P39A-Blog_-BNSS_BSB_Research-Brief.pdf</w:t>
        </w:r>
      </w:hyperlink>
      <w:r>
        <w:rPr>
          <w:sz w:val="20"/>
          <w:szCs w:val="20"/>
        </w:rPr>
        <w:t>.</w:t>
      </w:r>
      <w:r>
        <w:rPr>
          <w:rFonts w:ascii="Times New Roman" w:eastAsia="Times New Roman" w:hAnsi="Times New Roman" w:cs="Times New Roman"/>
          <w:sz w:val="20"/>
          <w:szCs w:val="20"/>
        </w:rPr>
        <w:t xml:space="preserve"> </w:t>
      </w:r>
    </w:p>
  </w:footnote>
  <w:footnote w:id="33">
    <w:p w:rsidR="00420407" w:rsidRDefault="00420407" w:rsidP="00094F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language of Clause 187 Bharatiya Nagarik Suraksha Sanhita permits the possibility of detention in police custody beyond the 15 day period presently permitted under the CrPC, to the entire detention period of 60 or 90 days. </w:t>
      </w:r>
      <w:r>
        <w:rPr>
          <w:rFonts w:ascii="Times New Roman" w:eastAsia="Times New Roman" w:hAnsi="Times New Roman" w:cs="Times New Roman"/>
          <w:i/>
          <w:sz w:val="20"/>
          <w:szCs w:val="20"/>
        </w:rPr>
        <w:t>See,</w:t>
      </w:r>
      <w:r>
        <w:rPr>
          <w:rFonts w:ascii="Times New Roman" w:eastAsia="Times New Roman" w:hAnsi="Times New Roman" w:cs="Times New Roman"/>
          <w:sz w:val="20"/>
          <w:szCs w:val="20"/>
        </w:rPr>
        <w:t xml:space="preserve"> Bharatiya Nagarik Suraksha Sanhita Bill, 2023 and Bharatiya Sakshya Bill, 2023: A Substantive Analysis (2023, Project 39A, National Law University, Delhi) available at: </w:t>
      </w:r>
      <w:hyperlink r:id="rId44">
        <w:r>
          <w:rPr>
            <w:rFonts w:ascii="Times New Roman" w:eastAsia="Times New Roman" w:hAnsi="Times New Roman" w:cs="Times New Roman"/>
            <w:color w:val="0000FF"/>
            <w:sz w:val="20"/>
            <w:szCs w:val="20"/>
            <w:u w:val="single"/>
          </w:rPr>
          <w:t>https://p39ablog.com/wp-content/uploads/2023/10/P39A-Blog_-BNSS_BSB_Research-Brief.pdf</w:t>
        </w:r>
      </w:hyperlink>
      <w:r>
        <w:rPr>
          <w:sz w:val="20"/>
          <w:szCs w:val="20"/>
        </w:rPr>
        <w:t>.</w:t>
      </w:r>
      <w:r>
        <w:rPr>
          <w:rFonts w:ascii="Times New Roman" w:eastAsia="Times New Roman" w:hAnsi="Times New Roman" w:cs="Times New Roman"/>
          <w:sz w:val="20"/>
          <w:szCs w:val="20"/>
        </w:rPr>
        <w:t xml:space="preserve"> </w:t>
      </w:r>
    </w:p>
  </w:footnote>
  <w:footnote w:id="34">
    <w:p w:rsidR="00420407" w:rsidRDefault="00420407" w:rsidP="00094F54">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Bharatiya Nagarik Suraksha Sanhita Bill, 2023 and Bharatiya Sakshya Bill, 2023: A Substantive Analysis (2023, Project 39A, National Law University, Delhi) available at: </w:t>
      </w:r>
      <w:hyperlink r:id="rId45">
        <w:r>
          <w:rPr>
            <w:rFonts w:ascii="Times New Roman" w:eastAsia="Times New Roman" w:hAnsi="Times New Roman" w:cs="Times New Roman"/>
            <w:color w:val="0000FF"/>
            <w:sz w:val="20"/>
            <w:szCs w:val="20"/>
            <w:u w:val="single"/>
          </w:rPr>
          <w:t>https://p39ablog.com/wp-content/uploads/2023/10/P39A-Blog_-BNSS_BSB_Research-Brief.pdf</w:t>
        </w:r>
      </w:hyperlink>
      <w:r>
        <w:rPr>
          <w:sz w:val="20"/>
          <w:szCs w:val="20"/>
        </w:rPr>
        <w:t>.</w:t>
      </w:r>
      <w:r>
        <w:rPr>
          <w:rFonts w:ascii="Times New Roman" w:eastAsia="Times New Roman" w:hAnsi="Times New Roman" w:cs="Times New Roman"/>
          <w:sz w:val="20"/>
          <w:szCs w:val="20"/>
        </w:rPr>
        <w:t xml:space="preserve"> </w:t>
      </w:r>
    </w:p>
  </w:footnote>
  <w:footnote w:id="35">
    <w:p w:rsidR="00420407" w:rsidRDefault="00420407" w:rsidP="00094F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 specific recommendation to this effect was made in 113th Law Commission on Injuries in Police Custody (1985), available at: </w:t>
      </w:r>
      <w:hyperlink r:id="rId46">
        <w:r>
          <w:rPr>
            <w:rFonts w:ascii="Times New Roman" w:eastAsia="Times New Roman" w:hAnsi="Times New Roman" w:cs="Times New Roman"/>
            <w:color w:val="1155CC"/>
            <w:sz w:val="20"/>
            <w:szCs w:val="20"/>
            <w:u w:val="single"/>
          </w:rPr>
          <w:t>https://cdnbbsr.s3waas.gov.in/s3ca0daec69b5adc880fb464895726dbdf/uploads/2022/08/2022080849.pdf</w:t>
        </w:r>
      </w:hyperlink>
      <w:r>
        <w:rPr>
          <w:rFonts w:ascii="Times New Roman" w:eastAsia="Times New Roman" w:hAnsi="Times New Roman" w:cs="Times New Roman"/>
          <w:sz w:val="20"/>
          <w:szCs w:val="20"/>
        </w:rPr>
        <w:t xml:space="preserve">. </w:t>
      </w:r>
    </w:p>
  </w:footnote>
  <w:footnote w:id="36">
    <w:p w:rsidR="00420407" w:rsidRDefault="00420407" w:rsidP="00094F54">
      <w:pPr>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Shivani Misra, Statements under Section 27, Indian Evidence Act: admissibility and ambiguities, P39A Criminal Law Blog, 9 December 2020, available at: </w:t>
      </w:r>
      <w:hyperlink r:id="rId47">
        <w:r>
          <w:rPr>
            <w:rFonts w:ascii="Times New Roman" w:eastAsia="Times New Roman" w:hAnsi="Times New Roman" w:cs="Times New Roman"/>
            <w:color w:val="1155CC"/>
            <w:sz w:val="20"/>
            <w:szCs w:val="20"/>
            <w:u w:val="single"/>
          </w:rPr>
          <w:t>https://p39ablog.com/2020/12/statements-under-section-27-indian-evidence-act-admissibility-and-ambiguities/</w:t>
        </w:r>
      </w:hyperlink>
      <w:r>
        <w:rPr>
          <w:rFonts w:ascii="Times New Roman" w:eastAsia="Times New Roman" w:hAnsi="Times New Roman" w:cs="Times New Roman"/>
          <w:sz w:val="20"/>
          <w:szCs w:val="20"/>
        </w:rPr>
        <w:t xml:space="preserve">; Expansion of Section 27 will lead to usage of coerced confessions with impunity; Bhavesh Seth, Standalone mental facts and disclosures under Section 27 of the Evidence Act, 1872, P39A Criminal Law Blog, 23 September 2022, available at: </w:t>
      </w:r>
      <w:hyperlink r:id="rId48">
        <w:r>
          <w:rPr>
            <w:rFonts w:ascii="Times New Roman" w:eastAsia="Times New Roman" w:hAnsi="Times New Roman" w:cs="Times New Roman"/>
            <w:color w:val="1155CC"/>
            <w:sz w:val="20"/>
            <w:szCs w:val="20"/>
            <w:u w:val="single"/>
          </w:rPr>
          <w:t>https://p39ablog.com/2022/09/standalone-mental-facts-and-disclosures-under-section-27-of-the-evidence-act/</w:t>
        </w:r>
      </w:hyperlink>
      <w:r>
        <w:rPr>
          <w:rFonts w:ascii="Times New Roman" w:eastAsia="Times New Roman" w:hAnsi="Times New Roman" w:cs="Times New Roman"/>
          <w:sz w:val="20"/>
          <w:szCs w:val="20"/>
        </w:rPr>
        <w:t xml:space="preserve">; The Supreme Court noted the frequent use of Section 27 by the police, along with the possibility for abuse, and stressed on the necessity of courts to be vigilant about its application.  </w:t>
      </w:r>
      <w:r>
        <w:rPr>
          <w:rFonts w:ascii="Times New Roman" w:eastAsia="Times New Roman" w:hAnsi="Times New Roman" w:cs="Times New Roman"/>
          <w:i/>
          <w:sz w:val="20"/>
          <w:szCs w:val="20"/>
        </w:rPr>
        <w:t>Perumal Raja @ Permal v. State, Rep. by Inspector of Police</w:t>
      </w:r>
      <w:r>
        <w:rPr>
          <w:rFonts w:ascii="Times New Roman" w:eastAsia="Times New Roman" w:hAnsi="Times New Roman" w:cs="Times New Roman"/>
          <w:sz w:val="20"/>
          <w:szCs w:val="20"/>
        </w:rPr>
        <w:t xml:space="preserve">, 2023 LiveLaw (SC) 8, order dated 03.01.2024, paragraph 24. </w:t>
      </w:r>
    </w:p>
  </w:footnote>
  <w:footnote w:id="37">
    <w:p w:rsidR="00420407" w:rsidRDefault="00420407" w:rsidP="0042040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See for instance : CHRI, ‘Arrest Memos: A Study on Requirements and Compliance in Rajasthan and West Bengal’ (2016) &lt;</w:t>
      </w:r>
      <w:hyperlink r:id="rId49" w:history="1">
        <w:r>
          <w:rPr>
            <w:rStyle w:val="Hyperlink"/>
            <w:color w:val="1155CC"/>
            <w:sz w:val="20"/>
            <w:szCs w:val="20"/>
          </w:rPr>
          <w:t>https://www.humanrightsinitiative.org/download/1469440602Arrest%20Memo%20study.pdf</w:t>
        </w:r>
      </w:hyperlink>
      <w:r>
        <w:rPr>
          <w:rFonts w:ascii="Times New Roman" w:eastAsia="Times New Roman" w:hAnsi="Times New Roman" w:cs="Times New Roman"/>
          <w:sz w:val="20"/>
          <w:szCs w:val="20"/>
        </w:rPr>
        <w:t>&gt;</w:t>
      </w:r>
    </w:p>
  </w:footnote>
  <w:footnote w:id="38">
    <w:p w:rsidR="00420407" w:rsidRDefault="00420407" w:rsidP="0042040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Yash Mittal, ‘Even Today Court Is Forced Restate DK Basu Principles,’ Supreme Court Directs Police &amp; Probe Agencies To Strictly Follow Norms On Arrest (</w:t>
      </w:r>
      <w:r>
        <w:rPr>
          <w:rFonts w:ascii="Times New Roman" w:eastAsia="Times New Roman" w:hAnsi="Times New Roman" w:cs="Times New Roman"/>
          <w:i/>
          <w:sz w:val="20"/>
          <w:szCs w:val="20"/>
        </w:rPr>
        <w:t>Livelaw</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2024</w:t>
      </w:r>
      <w:r>
        <w:rPr>
          <w:rFonts w:ascii="Times New Roman" w:eastAsia="Times New Roman" w:hAnsi="Times New Roman" w:cs="Times New Roman"/>
          <w:sz w:val="20"/>
          <w:szCs w:val="20"/>
        </w:rPr>
        <w:t>) &lt;</w:t>
      </w:r>
      <w:hyperlink r:id="rId50" w:history="1">
        <w:r>
          <w:rPr>
            <w:rStyle w:val="Hyperlink"/>
            <w:color w:val="0000FF"/>
            <w:sz w:val="20"/>
            <w:szCs w:val="20"/>
          </w:rPr>
          <w:t>https://www.livelaw.in/supreme-court/even-today-court-is-forced-restate-dk-basu-principles-supreme-court-directs-police-probe-agencies-to-strictly-follow-norms-on-arrest-253077</w:t>
        </w:r>
      </w:hyperlink>
      <w:r>
        <w:rPr>
          <w:rFonts w:ascii="Times New Roman" w:eastAsia="Times New Roman" w:hAnsi="Times New Roman" w:cs="Times New Roman"/>
          <w:sz w:val="20"/>
          <w:szCs w:val="20"/>
        </w:rPr>
        <w:t xml:space="preserve">&gt;. </w:t>
      </w:r>
    </w:p>
  </w:footnote>
  <w:footnote w:id="39">
    <w:p w:rsidR="00420407" w:rsidRDefault="00420407" w:rsidP="00420407">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Karan Tripathi, Criminal ‘Injustice’: How Courts Use ‘Remand’ to Penalise the Poor (</w:t>
      </w:r>
      <w:r>
        <w:rPr>
          <w:rFonts w:ascii="Times New Roman" w:eastAsia="Times New Roman" w:hAnsi="Times New Roman" w:cs="Times New Roman"/>
          <w:i/>
          <w:sz w:val="20"/>
          <w:szCs w:val="20"/>
        </w:rPr>
        <w:t>The Quint</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2024</w:t>
      </w:r>
      <w:r>
        <w:rPr>
          <w:rFonts w:ascii="Times New Roman" w:eastAsia="Times New Roman" w:hAnsi="Times New Roman" w:cs="Times New Roman"/>
          <w:sz w:val="20"/>
          <w:szCs w:val="20"/>
        </w:rPr>
        <w:t>) &lt;https://www.thequint.com/news/law/how-delhi-courts-penalise-the-poor-through-mechanical-remand&gt;; Jinee Lokaneeta &amp; Zeba Sikora, Magistrates &amp; Constitutional Projections (</w:t>
      </w:r>
      <w:r>
        <w:rPr>
          <w:rFonts w:ascii="Times New Roman" w:eastAsia="Times New Roman" w:hAnsi="Times New Roman" w:cs="Times New Roman"/>
          <w:i/>
          <w:sz w:val="20"/>
          <w:szCs w:val="20"/>
        </w:rPr>
        <w:t>Project 39A, 2024</w:t>
      </w:r>
      <w:r>
        <w:rPr>
          <w:rFonts w:ascii="Times New Roman" w:eastAsia="Times New Roman" w:hAnsi="Times New Roman" w:cs="Times New Roman"/>
          <w:sz w:val="20"/>
          <w:szCs w:val="20"/>
        </w:rPr>
        <w:t xml:space="preserve">)&lt; </w:t>
      </w:r>
      <w:hyperlink r:id="rId51" w:history="1">
        <w:r>
          <w:rPr>
            <w:rStyle w:val="Hyperlink"/>
            <w:color w:val="0000FF"/>
            <w:sz w:val="20"/>
            <w:szCs w:val="20"/>
          </w:rPr>
          <w:t>https://drive.google.com/file/d/1Ake8mbmo4vOMJPccUiuS5vsM1hCRfx3F/view</w:t>
        </w:r>
      </w:hyperlink>
      <w:r>
        <w:rPr>
          <w:rFonts w:ascii="Times New Roman" w:eastAsia="Times New Roman" w:hAnsi="Times New Roman" w:cs="Times New Roman"/>
          <w:sz w:val="20"/>
          <w:szCs w:val="20"/>
        </w:rPr>
        <w:t xml:space="preserve">&gt;. </w:t>
      </w:r>
    </w:p>
  </w:footnote>
  <w:footnote w:id="40">
    <w:p w:rsidR="00420407" w:rsidRDefault="00420407" w:rsidP="0042040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Jinee Lokaneeta &amp; Zeba Sikora, Magistrates &amp; Constitutional Projections (</w:t>
      </w:r>
      <w:r>
        <w:rPr>
          <w:rFonts w:ascii="Times New Roman" w:eastAsia="Times New Roman" w:hAnsi="Times New Roman" w:cs="Times New Roman"/>
          <w:i/>
          <w:sz w:val="20"/>
          <w:szCs w:val="20"/>
        </w:rPr>
        <w:t>Project 39A, 2024</w:t>
      </w:r>
      <w:r>
        <w:rPr>
          <w:rFonts w:ascii="Times New Roman" w:eastAsia="Times New Roman" w:hAnsi="Times New Roman" w:cs="Times New Roman"/>
          <w:sz w:val="20"/>
          <w:szCs w:val="20"/>
        </w:rPr>
        <w:t>) &lt;</w:t>
      </w:r>
      <w:hyperlink r:id="rId52" w:history="1">
        <w:r>
          <w:rPr>
            <w:rStyle w:val="Hyperlink"/>
            <w:color w:val="0000FF"/>
            <w:sz w:val="20"/>
            <w:szCs w:val="20"/>
          </w:rPr>
          <w:t>https://drive.google.com/file/d/1Ake8mbmo4vOMJPccUiuS5vsM1hCRfx3F/view</w:t>
        </w:r>
      </w:hyperlink>
      <w:r>
        <w:rPr>
          <w:rFonts w:ascii="Times New Roman" w:eastAsia="Times New Roman" w:hAnsi="Times New Roman" w:cs="Times New Roman"/>
          <w:sz w:val="20"/>
          <w:szCs w:val="20"/>
        </w:rPr>
        <w:t>&gt;; Pawanjot Kaur, Labour Rights Activist  Shiv Kumar was Illegally Detained and Torturted in Custody:  HC Monitored Inquiry (</w:t>
      </w:r>
      <w:r>
        <w:rPr>
          <w:rFonts w:ascii="Times New Roman" w:eastAsia="Times New Roman" w:hAnsi="Times New Roman" w:cs="Times New Roman"/>
          <w:i/>
          <w:sz w:val="20"/>
          <w:szCs w:val="20"/>
        </w:rPr>
        <w:t>The Wire</w:t>
      </w:r>
      <w:r>
        <w:rPr>
          <w:rFonts w:ascii="Times New Roman" w:eastAsia="Times New Roman" w:hAnsi="Times New Roman" w:cs="Times New Roman"/>
          <w:sz w:val="20"/>
          <w:szCs w:val="20"/>
        </w:rPr>
        <w:t>, 2022)     &lt;</w:t>
      </w:r>
      <w:hyperlink r:id="rId53" w:history="1">
        <w:r>
          <w:rPr>
            <w:rStyle w:val="Hyperlink"/>
            <w:color w:val="1155CC"/>
            <w:sz w:val="20"/>
            <w:szCs w:val="20"/>
          </w:rPr>
          <w:t>https://thewire.in/rights/labour-rights-activist-shiv-kumar-was-illegally-detained-tortured-in-custody-hc-monitored-inquiry</w:t>
        </w:r>
      </w:hyperlink>
      <w:r>
        <w:rPr>
          <w:rFonts w:ascii="Times New Roman" w:eastAsia="Times New Roman" w:hAnsi="Times New Roman" w:cs="Times New Roman"/>
          <w:sz w:val="20"/>
          <w:szCs w:val="20"/>
        </w:rPr>
        <w:t xml:space="preserve">&gt;. </w:t>
      </w:r>
    </w:p>
  </w:footnote>
  <w:footnote w:id="41">
    <w:p w:rsidR="00420407" w:rsidRDefault="00420407" w:rsidP="00420407">
      <w:pPr>
        <w:spacing w:line="240" w:lineRule="auto"/>
        <w:jc w:val="both"/>
        <w:rPr>
          <w:rFonts w:ascii="Arial" w:eastAsia="Arial" w:hAnsi="Arial" w:cs="Arial"/>
          <w:sz w:val="20"/>
          <w:szCs w:val="20"/>
        </w:rPr>
      </w:pPr>
      <w:r>
        <w:rPr>
          <w:vertAlign w:val="superscript"/>
        </w:rPr>
        <w:footnoteRef/>
      </w:r>
      <w:r>
        <w:rPr>
          <w:rFonts w:ascii="Times New Roman" w:eastAsia="Times New Roman" w:hAnsi="Times New Roman" w:cs="Times New Roman"/>
          <w:sz w:val="20"/>
          <w:szCs w:val="20"/>
        </w:rPr>
        <w:t xml:space="preserve"> Arnesh Kumar v. State of Bihar &amp; Anr, 2014 (3) SCC(CRI) 449. </w:t>
      </w:r>
    </w:p>
  </w:footnote>
  <w:footnote w:id="42">
    <w:p w:rsidR="00420407" w:rsidRDefault="00420407" w:rsidP="0042040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M.A. Khaliq v. Ashok Kumar and Anr, 2021 SCCOnline SC 3107 relying on Arnesh Kumar v. State of Bihar &amp; Anr, 2014 (3) SCC(CRI) 449; Satender Kumar Antil v. CBI, (2022) 10 SCC 51; Hannah M. Varghese, Arrest In Breach of “Arnesh Kumar” Guidelines: Kerala High Court Seeks Explanation From Judicial Magistrate For Remanding Accused (</w:t>
      </w:r>
      <w:r>
        <w:rPr>
          <w:rFonts w:ascii="Times New Roman" w:eastAsia="Times New Roman" w:hAnsi="Times New Roman" w:cs="Times New Roman"/>
          <w:i/>
          <w:sz w:val="20"/>
          <w:szCs w:val="20"/>
        </w:rPr>
        <w:t>LiveLaw</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2022</w:t>
      </w:r>
      <w:r>
        <w:rPr>
          <w:rFonts w:ascii="Times New Roman" w:eastAsia="Times New Roman" w:hAnsi="Times New Roman" w:cs="Times New Roman"/>
          <w:sz w:val="20"/>
          <w:szCs w:val="20"/>
        </w:rPr>
        <w:t>) &lt;</w:t>
      </w:r>
      <w:hyperlink r:id="rId54" w:history="1">
        <w:r>
          <w:rPr>
            <w:rStyle w:val="Hyperlink"/>
            <w:color w:val="1155CC"/>
            <w:sz w:val="20"/>
            <w:szCs w:val="20"/>
          </w:rPr>
          <w:t>https://www.livelaw.in/top-stories/arrest-in-breach-of-arnesh-kumar-guidelines-kerala-high-court-seeks-explanation-from-judicial-magistrate-for-remanding-accused-202529</w:t>
        </w:r>
      </w:hyperlink>
      <w:r>
        <w:rPr>
          <w:rFonts w:ascii="Times New Roman" w:eastAsia="Times New Roman" w:hAnsi="Times New Roman" w:cs="Times New Roman"/>
          <w:sz w:val="20"/>
          <w:szCs w:val="20"/>
        </w:rPr>
        <w:t>&gt;; Nupur Thapliyal, Arrest In Breach Of ‘Arnesh Kumar’ Guidelines: Delhi High Court Sentences Police Officer To One Day Imprisonment (</w:t>
      </w:r>
      <w:r>
        <w:rPr>
          <w:rFonts w:ascii="Times New Roman" w:eastAsia="Times New Roman" w:hAnsi="Times New Roman" w:cs="Times New Roman"/>
          <w:i/>
          <w:sz w:val="20"/>
          <w:szCs w:val="20"/>
        </w:rPr>
        <w:t>LiveLaw</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2022</w:t>
      </w:r>
      <w:r>
        <w:rPr>
          <w:rFonts w:ascii="Times New Roman" w:eastAsia="Times New Roman" w:hAnsi="Times New Roman" w:cs="Times New Roman"/>
          <w:sz w:val="20"/>
          <w:szCs w:val="20"/>
        </w:rPr>
        <w:t>) &lt;</w:t>
      </w:r>
      <w:hyperlink r:id="rId55" w:history="1">
        <w:r>
          <w:rPr>
            <w:rStyle w:val="Hyperlink"/>
            <w:color w:val="1155CC"/>
            <w:sz w:val="20"/>
            <w:szCs w:val="20"/>
          </w:rPr>
          <w:t>https://www.livelaw.in/news-updates/arrest-in-breach-of-arnesh-kumar-guidelines-delhi-high-court-sentences-police-officer-to-one-day-imprisonment-188694</w:t>
        </w:r>
      </w:hyperlink>
      <w:r>
        <w:rPr>
          <w:rFonts w:ascii="Times New Roman" w:eastAsia="Times New Roman" w:hAnsi="Times New Roman" w:cs="Times New Roman"/>
          <w:sz w:val="20"/>
          <w:szCs w:val="20"/>
        </w:rPr>
        <w:t>&gt;; Sebin James, Police Officials To Face Action If Arrest Procedure Under Sec 41A CrPC &amp; ‘Arnesh Kumar’ Guidelines Are Violated: Telangana High Court (</w:t>
      </w:r>
      <w:r>
        <w:rPr>
          <w:rFonts w:ascii="Times New Roman" w:eastAsia="Times New Roman" w:hAnsi="Times New Roman" w:cs="Times New Roman"/>
          <w:i/>
          <w:sz w:val="20"/>
          <w:szCs w:val="20"/>
        </w:rPr>
        <w:t>LiveLaw</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2021</w:t>
      </w:r>
      <w:r>
        <w:rPr>
          <w:rFonts w:ascii="Times New Roman" w:eastAsia="Times New Roman" w:hAnsi="Times New Roman" w:cs="Times New Roman"/>
          <w:sz w:val="20"/>
          <w:szCs w:val="20"/>
        </w:rPr>
        <w:t>) &lt;</w:t>
      </w:r>
      <w:hyperlink r:id="rId56" w:history="1">
        <w:r>
          <w:rPr>
            <w:rStyle w:val="Hyperlink"/>
            <w:color w:val="1155CC"/>
            <w:sz w:val="20"/>
            <w:szCs w:val="20"/>
          </w:rPr>
          <w:t>https://www.livelaw.in/news-updates/telangana-high-court-arnesh-kumar-guidelines-proceedings-against-erring-police-officials-41a-crpc-185990</w:t>
        </w:r>
      </w:hyperlink>
      <w:r>
        <w:rPr>
          <w:rFonts w:ascii="Times New Roman" w:eastAsia="Times New Roman" w:hAnsi="Times New Roman" w:cs="Times New Roman"/>
          <w:sz w:val="20"/>
          <w:szCs w:val="20"/>
        </w:rPr>
        <w:t>&gt;; Allahabad HC Sends Cop to 14 Days in Jail for Deliberate Violation of ‘Arnesh Kumar’ Guidelines (</w:t>
      </w:r>
      <w:r>
        <w:rPr>
          <w:rFonts w:ascii="Times New Roman" w:eastAsia="Times New Roman" w:hAnsi="Times New Roman" w:cs="Times New Roman"/>
          <w:i/>
          <w:sz w:val="20"/>
          <w:szCs w:val="20"/>
        </w:rPr>
        <w:t>The Wire</w:t>
      </w:r>
      <w:r>
        <w:rPr>
          <w:rFonts w:ascii="Times New Roman" w:eastAsia="Times New Roman" w:hAnsi="Times New Roman" w:cs="Times New Roman"/>
          <w:sz w:val="20"/>
          <w:szCs w:val="20"/>
        </w:rPr>
        <w:t>, 2022) &lt;</w:t>
      </w:r>
      <w:hyperlink r:id="rId57" w:history="1">
        <w:r>
          <w:rPr>
            <w:rStyle w:val="Hyperlink"/>
            <w:color w:val="1155CC"/>
            <w:sz w:val="20"/>
            <w:szCs w:val="20"/>
          </w:rPr>
          <w:t>https://thewire.in/law/allahabad-high-court-arnesh-kumar-police-jail-contempt</w:t>
        </w:r>
      </w:hyperlink>
      <w:r>
        <w:rPr>
          <w:rFonts w:ascii="Times New Roman" w:eastAsia="Times New Roman" w:hAnsi="Times New Roman" w:cs="Times New Roman"/>
          <w:sz w:val="20"/>
          <w:szCs w:val="20"/>
        </w:rPr>
        <w:t xml:space="preserve">&gt; </w:t>
      </w:r>
    </w:p>
  </w:footnote>
  <w:footnote w:id="43">
    <w:p w:rsidR="00420407" w:rsidRDefault="00420407" w:rsidP="00420407">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Jinee Lokaneeta &amp; Zeba Sikora, Magistrates &amp; Constitutional Projections (Project 39A, 2024) &lt;</w:t>
      </w:r>
      <w:hyperlink r:id="rId58" w:history="1">
        <w:r>
          <w:rPr>
            <w:rStyle w:val="Hyperlink"/>
            <w:color w:val="0000FF"/>
            <w:sz w:val="20"/>
            <w:szCs w:val="20"/>
          </w:rPr>
          <w:t>https://drive.google.com/file/d/1Ake8mbmo4vOMJPccUiuS5vsM1hCRfx3F/view</w:t>
        </w:r>
      </w:hyperlink>
      <w:r>
        <w:rPr>
          <w:rFonts w:ascii="Times New Roman" w:eastAsia="Times New Roman" w:hAnsi="Times New Roman" w:cs="Times New Roman"/>
          <w:sz w:val="20"/>
          <w:szCs w:val="20"/>
        </w:rPr>
        <w:t>&gt;;  CHRI, ‘Arrest Memos: A Study on Requirements and Compliance in Rajasthan and West Bengal’ (2016) &lt;</w:t>
      </w:r>
      <w:hyperlink r:id="rId59" w:history="1">
        <w:r>
          <w:rPr>
            <w:rStyle w:val="Hyperlink"/>
            <w:color w:val="1155CC"/>
            <w:sz w:val="20"/>
            <w:szCs w:val="20"/>
          </w:rPr>
          <w:t>https://www.humanrightsinitiative.org/download/1469440602Arrest%20Memo%20study.pdf</w:t>
        </w:r>
      </w:hyperlink>
      <w:r>
        <w:rPr>
          <w:rFonts w:ascii="Times New Roman" w:eastAsia="Times New Roman" w:hAnsi="Times New Roman" w:cs="Times New Roman"/>
          <w:sz w:val="20"/>
          <w:szCs w:val="20"/>
        </w:rPr>
        <w:t xml:space="preserve">&gt;. </w:t>
      </w:r>
    </w:p>
  </w:footnote>
  <w:footnote w:id="44">
    <w:p w:rsidR="00420407" w:rsidRDefault="00420407" w:rsidP="00420407">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obligation of the police to inform about the arrest to a friend or a relative has been watered down under the BNSS. Replacement of the phrase ‘nominated by the arrested person’ with ‘mentioned by the arrested person’.See  Bharatiya Nagarik Suraksha Sanhita Bill, 2023 and Bharatiya Sakshya Bill, 2023 A Substantive Analysis &lt;</w:t>
      </w:r>
      <w:hyperlink r:id="rId60" w:history="1">
        <w:r>
          <w:rPr>
            <w:rStyle w:val="Hyperlink"/>
            <w:color w:val="0000FF"/>
            <w:sz w:val="20"/>
            <w:szCs w:val="20"/>
          </w:rPr>
          <w:t>https://p39ablog.com/wp-content/uploads/2023/10/P39A-Blog_-BNSS_BSB_Research-Brief.pdf</w:t>
        </w:r>
      </w:hyperlink>
      <w:r>
        <w:rPr>
          <w:rFonts w:ascii="Times New Roman" w:eastAsia="Times New Roman" w:hAnsi="Times New Roman" w:cs="Times New Roman"/>
          <w:sz w:val="20"/>
          <w:szCs w:val="20"/>
        </w:rPr>
        <w:t>&gt;</w:t>
      </w:r>
    </w:p>
  </w:footnote>
  <w:footnote w:id="45">
    <w:p w:rsidR="00420407" w:rsidRDefault="00420407" w:rsidP="00420407">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Bharatiya Nyaya Sanhita Bill, 2023: A Substantive Analysis &lt;</w:t>
      </w:r>
      <w:hyperlink r:id="rId61" w:history="1">
        <w:r>
          <w:rPr>
            <w:rStyle w:val="Hyperlink"/>
            <w:color w:val="1155CC"/>
            <w:sz w:val="20"/>
            <w:szCs w:val="20"/>
          </w:rPr>
          <w:t>https://p39ablog.com/wp-content/uploads/2023/08/Bharatiya-Nyaya-Sanhita-Bill-2023-Research-Brief.pdf</w:t>
        </w:r>
      </w:hyperlink>
      <w:r>
        <w:rPr>
          <w:rFonts w:ascii="Times New Roman" w:eastAsia="Times New Roman" w:hAnsi="Times New Roman" w:cs="Times New Roman"/>
          <w:sz w:val="20"/>
          <w:szCs w:val="20"/>
        </w:rPr>
        <w:t>&gt;, p. 35.</w:t>
      </w:r>
    </w:p>
  </w:footnote>
  <w:footnote w:id="46">
    <w:p w:rsidR="00420407" w:rsidRDefault="00420407" w:rsidP="00420407">
      <w:pPr>
        <w:spacing w:line="240" w:lineRule="auto"/>
        <w:rPr>
          <w:rFonts w:ascii="Arial" w:eastAsia="Arial" w:hAnsi="Arial" w:cs="Arial"/>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Bharatiya Nagarik Suraksha Sanhita Bill, 2023 and Bharatiya Sakshya Bill, 2023 A Substantive Analysis &lt;</w:t>
      </w:r>
      <w:hyperlink r:id="rId62" w:history="1">
        <w:r>
          <w:rPr>
            <w:rStyle w:val="Hyperlink"/>
            <w:color w:val="0000FF"/>
            <w:sz w:val="20"/>
            <w:szCs w:val="20"/>
          </w:rPr>
          <w:t>https://p39ablog.com/wp-content/uploads/2023/10/P39A-Blog_-BNSS_BSB_Research-Brief.pdf</w:t>
        </w:r>
      </w:hyperlink>
      <w:r>
        <w:rPr>
          <w:rFonts w:ascii="Times New Roman" w:eastAsia="Times New Roman" w:hAnsi="Times New Roman" w:cs="Times New Roman"/>
          <w:sz w:val="20"/>
          <w:szCs w:val="20"/>
        </w:rPr>
        <w:t xml:space="preserve">&gt;. </w:t>
      </w:r>
    </w:p>
  </w:footnote>
  <w:footnote w:id="47">
    <w:p w:rsidR="00420407" w:rsidRDefault="00420407" w:rsidP="00420407">
      <w:pPr>
        <w:spacing w:line="240" w:lineRule="auto"/>
        <w:rPr>
          <w:rFonts w:ascii="Times New Roman" w:eastAsia="Times New Roman" w:hAnsi="Times New Roman" w:cs="Times New Roman"/>
          <w:sz w:val="20"/>
          <w:szCs w:val="20"/>
          <w:shd w:val="clear" w:color="auto" w:fill="FFF2CC"/>
        </w:rPr>
      </w:pPr>
      <w:r>
        <w:rPr>
          <w:vertAlign w:val="superscript"/>
        </w:rPr>
        <w:footnoteRef/>
      </w:r>
      <w:r>
        <w:rPr>
          <w:rFonts w:ascii="Times New Roman" w:eastAsia="Times New Roman" w:hAnsi="Times New Roman" w:cs="Times New Roman"/>
          <w:sz w:val="20"/>
          <w:szCs w:val="20"/>
        </w:rPr>
        <w:t xml:space="preserve"> Roach, Kent, Wrongful Convictions, Wrongful Prosecutions and Wrongful Detention in India (February 16, 2024). National Law School of India Law Review; </w:t>
      </w:r>
      <w:r>
        <w:rPr>
          <w:rFonts w:ascii="Times New Roman" w:eastAsia="Times New Roman" w:hAnsi="Times New Roman" w:cs="Times New Roman"/>
          <w:sz w:val="20"/>
          <w:szCs w:val="20"/>
          <w:highlight w:val="white"/>
        </w:rPr>
        <w:t xml:space="preserve">Shailesh Madiyal &amp;Neha Jain. Wrongful Prosecution, Incarceration, Conviction-The Requirement for Statutory Framework to Compensate. </w:t>
      </w:r>
      <w:r>
        <w:rPr>
          <w:rFonts w:ascii="Times New Roman" w:eastAsia="Times New Roman" w:hAnsi="Times New Roman" w:cs="Times New Roman"/>
          <w:i/>
          <w:sz w:val="20"/>
          <w:szCs w:val="20"/>
          <w:highlight w:val="white"/>
        </w:rPr>
        <w:t>Issue 6 Int'l JL Mgmt. &amp; Human.</w:t>
      </w:r>
      <w:r>
        <w:rPr>
          <w:rFonts w:ascii="Times New Roman" w:eastAsia="Times New Roman" w:hAnsi="Times New Roman" w:cs="Times New Roman"/>
          <w:sz w:val="20"/>
          <w:szCs w:val="20"/>
          <w:highlight w:val="white"/>
        </w:rPr>
        <w:t xml:space="preserve"> 4 (2021): 1536.</w:t>
      </w:r>
    </w:p>
  </w:footnote>
  <w:footnote w:id="48">
    <w:p w:rsidR="00420407" w:rsidRDefault="00420407" w:rsidP="00420407">
      <w:pPr>
        <w:spacing w:line="240" w:lineRule="auto"/>
        <w:rPr>
          <w:rFonts w:ascii="Arial" w:eastAsia="Arial" w:hAnsi="Arial" w:cs="Arial"/>
          <w:sz w:val="20"/>
          <w:szCs w:val="20"/>
        </w:rPr>
      </w:pPr>
      <w:r>
        <w:rPr>
          <w:vertAlign w:val="superscript"/>
        </w:rPr>
        <w:footnoteRef/>
      </w:r>
      <w:r>
        <w:rPr>
          <w:rFonts w:ascii="Times New Roman" w:eastAsia="Times New Roman" w:hAnsi="Times New Roman" w:cs="Times New Roman"/>
          <w:sz w:val="20"/>
          <w:szCs w:val="20"/>
        </w:rPr>
        <w:t xml:space="preserve"> ‘India Justice Report: Ranking States on Police, Judiciary, Prisons and Legal Aid,’ Tata Trusts, New Delhi, India (2019); Rintu Mariam Biju, India Justice Report 2019: Only 15 million out of 1 billion eligible Indians provided legal aids services in last 14 years &lt;</w:t>
      </w:r>
      <w:hyperlink r:id="rId63" w:history="1">
        <w:r>
          <w:rPr>
            <w:rStyle w:val="Hyperlink"/>
            <w:color w:val="0000FF"/>
            <w:sz w:val="20"/>
            <w:szCs w:val="20"/>
          </w:rPr>
          <w:t>https://www.barandbench.com/columns/india-justice-report-2019-15-million-out-of-1-billion-eligible-indians-provided-legal-aid-services</w:t>
        </w:r>
      </w:hyperlink>
      <w:r>
        <w:rPr>
          <w:rFonts w:ascii="Times New Roman" w:eastAsia="Times New Roman" w:hAnsi="Times New Roman" w:cs="Times New Roman"/>
          <w:sz w:val="20"/>
          <w:szCs w:val="20"/>
        </w:rPr>
        <w:t xml:space="preserve">&gt;. </w:t>
      </w:r>
    </w:p>
  </w:footnote>
  <w:footnote w:id="49">
    <w:p w:rsidR="00420407" w:rsidRDefault="00420407" w:rsidP="00420407">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Anup Surendranath &amp; Gale Andrew, State Legal Aid and Undertrials: Are There no Takers? (2022) Indian Law Review &lt;</w:t>
      </w:r>
      <w:hyperlink r:id="rId64" w:history="1">
        <w:r>
          <w:rPr>
            <w:rStyle w:val="Hyperlink"/>
            <w:color w:val="0000FF"/>
            <w:sz w:val="20"/>
            <w:szCs w:val="20"/>
          </w:rPr>
          <w:t>https://papers.ssrn.com/sol3/papers.cfm?abstract_id=4037883</w:t>
        </w:r>
      </w:hyperlink>
      <w:r>
        <w:rPr>
          <w:rFonts w:ascii="Times New Roman" w:eastAsia="Times New Roman" w:hAnsi="Times New Roman" w:cs="Times New Roman"/>
          <w:sz w:val="20"/>
          <w:szCs w:val="20"/>
        </w:rPr>
        <w:t>&gt;; Jeet Singh Mann, Plight of Legal Aid Counsels at the District Courts of India (2020) &lt;</w:t>
      </w:r>
      <w:hyperlink r:id="rId65" w:history="1">
        <w:r>
          <w:rPr>
            <w:rStyle w:val="Hyperlink"/>
            <w:color w:val="0000FF"/>
            <w:sz w:val="20"/>
            <w:szCs w:val="20"/>
          </w:rPr>
          <w:t>https://www.epw.in/engage/article/plight-legal-aid-counsels-district-courts-india</w:t>
        </w:r>
      </w:hyperlink>
      <w:r>
        <w:rPr>
          <w:rFonts w:ascii="Times New Roman" w:eastAsia="Times New Roman" w:hAnsi="Times New Roman" w:cs="Times New Roman"/>
          <w:sz w:val="20"/>
          <w:szCs w:val="20"/>
        </w:rPr>
        <w:t>&gt;.</w:t>
      </w:r>
    </w:p>
  </w:footnote>
  <w:footnote w:id="50">
    <w:p w:rsidR="00420407" w:rsidRDefault="00420407" w:rsidP="00420407">
      <w:pPr>
        <w:spacing w:line="240" w:lineRule="auto"/>
        <w:jc w:val="both"/>
        <w:rPr>
          <w:sz w:val="20"/>
          <w:szCs w:val="20"/>
        </w:rPr>
      </w:pPr>
      <w:r>
        <w:rPr>
          <w:vertAlign w:val="superscript"/>
        </w:rPr>
        <w:footnoteRef/>
      </w:r>
      <w:r>
        <w:rPr>
          <w:rFonts w:ascii="Times New Roman" w:eastAsia="Times New Roman" w:hAnsi="Times New Roman" w:cs="Times New Roman"/>
          <w:sz w:val="20"/>
          <w:szCs w:val="20"/>
        </w:rPr>
        <w:t xml:space="preserve"> Suryanshi Pandey, Low Payments, Lack Of Respect: Why Quality Of Free Legal Aid In India's Districts Is Poor (2022) &lt;</w:t>
      </w:r>
      <w:hyperlink r:id="rId66" w:history="1">
        <w:r>
          <w:rPr>
            <w:rStyle w:val="Hyperlink"/>
            <w:color w:val="0000FF"/>
            <w:sz w:val="20"/>
            <w:szCs w:val="20"/>
          </w:rPr>
          <w:t>https://www.indiaspend.com/special-reports/low-payments-lack-of-respect-why-quality-of-free-legal-aid-in-indias-districts-is-poor-846503</w:t>
        </w:r>
      </w:hyperlink>
      <w:r>
        <w:rPr>
          <w:rFonts w:ascii="Times New Roman" w:eastAsia="Times New Roman" w:hAnsi="Times New Roman" w:cs="Times New Roman"/>
          <w:sz w:val="20"/>
          <w:szCs w:val="20"/>
        </w:rPr>
        <w:t>&gt;; ‘India Justice Report: Ranking States on Police, Judiciary, Prisons and Legal Aid,’ Tata Trusts, New Delhi, India (2019); Commonwealth Human Rights Initiative, ‘Hope Behind Bars? Status Report for Legal Aid for Persons in Custody (2018) &lt;</w:t>
      </w:r>
      <w:hyperlink r:id="rId67" w:history="1">
        <w:r>
          <w:rPr>
            <w:rStyle w:val="Hyperlink"/>
            <w:color w:val="1155CC"/>
            <w:sz w:val="20"/>
            <w:szCs w:val="20"/>
          </w:rPr>
          <w:t>https://www.humanrightsinitiative.org/download/CHRI%20Legal%20Aid%20Report%20Hope%20Behind%20Bars%20Volume%201.pdf</w:t>
        </w:r>
      </w:hyperlink>
      <w:r>
        <w:rPr>
          <w:rFonts w:ascii="Times New Roman" w:eastAsia="Times New Roman" w:hAnsi="Times New Roman" w:cs="Times New Roman"/>
          <w:sz w:val="20"/>
          <w:szCs w:val="20"/>
        </w:rPr>
        <w:t>&gt;.</w:t>
      </w:r>
    </w:p>
  </w:footnote>
  <w:footnote w:id="51">
    <w:p w:rsidR="00420407" w:rsidRDefault="00420407" w:rsidP="00420407">
      <w:pPr>
        <w:spacing w:line="240" w:lineRule="auto"/>
        <w:jc w:val="both"/>
        <w:rPr>
          <w:sz w:val="20"/>
          <w:szCs w:val="20"/>
        </w:rPr>
      </w:pPr>
      <w:r>
        <w:rPr>
          <w:vertAlign w:val="superscript"/>
        </w:rPr>
        <w:footnoteRef/>
      </w:r>
      <w:r>
        <w:rPr>
          <w:rFonts w:ascii="Times New Roman" w:eastAsia="Times New Roman" w:hAnsi="Times New Roman" w:cs="Times New Roman"/>
          <w:sz w:val="20"/>
          <w:szCs w:val="20"/>
        </w:rPr>
        <w:t xml:space="preserve"> National Legal Services Authority, Early Access to Justice at Pre-Arrest, Arrest and Remand Stage &lt;</w:t>
      </w:r>
      <w:hyperlink r:id="rId68" w:history="1">
        <w:r>
          <w:rPr>
            <w:rStyle w:val="Hyperlink"/>
            <w:color w:val="0000FF"/>
            <w:sz w:val="20"/>
            <w:szCs w:val="20"/>
          </w:rPr>
          <w:t>https://nalsa.gov.in/uploads//pdf/2019/09/03/03_09_2019_707066637.pdf</w:t>
        </w:r>
      </w:hyperlink>
      <w:r>
        <w:rPr>
          <w:rFonts w:ascii="Times New Roman" w:eastAsia="Times New Roman" w:hAnsi="Times New Roman" w:cs="Times New Roman"/>
          <w:sz w:val="20"/>
          <w:szCs w:val="20"/>
        </w:rPr>
        <w:t>&gt;; All Police Stations Must Have Display Boards Informing About Right To Legal Aid &amp; Availability of Free Legal Aid Services : Justice Lalit &lt;</w:t>
      </w:r>
      <w:hyperlink r:id="rId69" w:history="1">
        <w:r>
          <w:rPr>
            <w:rStyle w:val="Hyperlink"/>
            <w:color w:val="0000FF"/>
            <w:sz w:val="20"/>
            <w:szCs w:val="20"/>
          </w:rPr>
          <w:t>https://www.livelaw.in/top-stories/justice-uu-lalit-free-legal-aid-right-to-legal-aid-nalsa-178601</w:t>
        </w:r>
      </w:hyperlink>
      <w:r>
        <w:rPr>
          <w:rFonts w:ascii="Times New Roman" w:eastAsia="Times New Roman" w:hAnsi="Times New Roman" w:cs="Times New Roman"/>
          <w:sz w:val="20"/>
          <w:szCs w:val="20"/>
        </w:rPr>
        <w:t xml:space="preserve">&gt;.  </w:t>
      </w:r>
    </w:p>
  </w:footnote>
  <w:footnote w:id="52">
    <w:p w:rsidR="00420407" w:rsidRDefault="00420407" w:rsidP="00420407">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Commonwealth Human Rights Initiative, ‘Hope Behind Bars? Status Report for Legal Aid for Persons in Custody (2018)&lt;</w:t>
      </w:r>
      <w:hyperlink r:id="rId70" w:history="1">
        <w:r>
          <w:rPr>
            <w:rStyle w:val="Hyperlink"/>
            <w:color w:val="1155CC"/>
            <w:sz w:val="20"/>
            <w:szCs w:val="20"/>
          </w:rPr>
          <w:t>https://www.humanrightsinitiative.org/download/CHRI%20Legal%20Aid%20Report%20Hope%20Behind%20Bars%20Volume%201.pdf</w:t>
        </w:r>
      </w:hyperlink>
      <w:r>
        <w:rPr>
          <w:rFonts w:ascii="Times New Roman" w:eastAsia="Times New Roman" w:hAnsi="Times New Roman" w:cs="Times New Roman"/>
          <w:sz w:val="20"/>
          <w:szCs w:val="20"/>
        </w:rPr>
        <w:t>&gt;; Jinee Lokaneeta &amp; Zeba Sikora, Magistrates &amp; Constitutional Projections (</w:t>
      </w:r>
      <w:r>
        <w:rPr>
          <w:rFonts w:ascii="Times New Roman" w:eastAsia="Times New Roman" w:hAnsi="Times New Roman" w:cs="Times New Roman"/>
          <w:i/>
          <w:sz w:val="20"/>
          <w:szCs w:val="20"/>
        </w:rPr>
        <w:t>Project 39A, 2024</w:t>
      </w:r>
      <w:r>
        <w:rPr>
          <w:rFonts w:ascii="Times New Roman" w:eastAsia="Times New Roman" w:hAnsi="Times New Roman" w:cs="Times New Roman"/>
          <w:sz w:val="20"/>
          <w:szCs w:val="20"/>
        </w:rPr>
        <w:t>) &lt;</w:t>
      </w:r>
      <w:hyperlink r:id="rId71" w:history="1">
        <w:r>
          <w:rPr>
            <w:rStyle w:val="Hyperlink"/>
            <w:color w:val="0000FF"/>
            <w:sz w:val="20"/>
            <w:szCs w:val="20"/>
          </w:rPr>
          <w:t>https://drive.google.com/file/d/1Ake8mbmo4vOMJPccUiuS5vsM1hCRfx3F/view</w:t>
        </w:r>
      </w:hyperlink>
      <w:r>
        <w:rPr>
          <w:rFonts w:ascii="Times New Roman" w:eastAsia="Times New Roman" w:hAnsi="Times New Roman" w:cs="Times New Roman"/>
          <w:sz w:val="20"/>
          <w:szCs w:val="20"/>
        </w:rPr>
        <w:t>&gt;; Karan Tripathi, Criminal ‘Injustice’: How Courts Use ‘Remand’ to Penalise the Poor (</w:t>
      </w:r>
      <w:r>
        <w:rPr>
          <w:rFonts w:ascii="Times New Roman" w:eastAsia="Times New Roman" w:hAnsi="Times New Roman" w:cs="Times New Roman"/>
          <w:i/>
          <w:sz w:val="20"/>
          <w:szCs w:val="20"/>
        </w:rPr>
        <w:t>The Quint</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2024</w:t>
      </w:r>
      <w:r>
        <w:rPr>
          <w:rFonts w:ascii="Times New Roman" w:eastAsia="Times New Roman" w:hAnsi="Times New Roman" w:cs="Times New Roman"/>
          <w:sz w:val="20"/>
          <w:szCs w:val="20"/>
        </w:rPr>
        <w:t xml:space="preserve">) &lt;https://www.thequint.com/news/law/how-delhi-courts-penalise-the-poor-through-mechanical-remand&gt; </w:t>
      </w:r>
    </w:p>
  </w:footnote>
  <w:footnote w:id="53">
    <w:p w:rsidR="00420407" w:rsidRDefault="00420407" w:rsidP="00420407">
      <w:pPr>
        <w:spacing w:line="240" w:lineRule="auto"/>
        <w:rPr>
          <w:sz w:val="20"/>
          <w:szCs w:val="20"/>
        </w:rPr>
      </w:pPr>
      <w:r>
        <w:rPr>
          <w:vertAlign w:val="superscript"/>
        </w:rPr>
        <w:footnoteRef/>
      </w:r>
      <w:r>
        <w:rPr>
          <w:rFonts w:ascii="Times New Roman" w:eastAsia="Times New Roman" w:hAnsi="Times New Roman" w:cs="Times New Roman"/>
          <w:sz w:val="20"/>
          <w:szCs w:val="20"/>
        </w:rPr>
        <w:t>Commonwealth Human Rights Initiative, ‘Hope Behind Bars? Status Report for Legal Aid for Persons in Custody (2018) &lt;</w:t>
      </w:r>
      <w:hyperlink r:id="rId72" w:history="1">
        <w:r>
          <w:rPr>
            <w:rStyle w:val="Hyperlink"/>
            <w:color w:val="1155CC"/>
            <w:sz w:val="20"/>
            <w:szCs w:val="20"/>
          </w:rPr>
          <w:t>https://www.humanrightsinitiative.org/download/CHRI%20Legal%20Aid%20Report%20Hope%20Behind%20Bars%20Volume%201.pdf</w:t>
        </w:r>
      </w:hyperlink>
      <w:r>
        <w:rPr>
          <w:rFonts w:ascii="Times New Roman" w:eastAsia="Times New Roman" w:hAnsi="Times New Roman" w:cs="Times New Roman"/>
          <w:sz w:val="20"/>
          <w:szCs w:val="20"/>
        </w:rPr>
        <w:t xml:space="preserve">&gt; </w:t>
      </w:r>
    </w:p>
  </w:footnote>
  <w:footnote w:id="54">
    <w:p w:rsidR="00420407" w:rsidRDefault="00420407" w:rsidP="0042040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See Madhurima Dhanuka and Palak Chaudhari, ‘Broken Path to Freedom: Deciphering Lives of Foreign Nationals In Indian Prisons’ National Law School of India Review (2019) 31(2), 195.</w:t>
      </w:r>
    </w:p>
  </w:footnote>
  <w:footnote w:id="55">
    <w:p w:rsidR="00420407" w:rsidRDefault="00420407" w:rsidP="0042040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CHRI, Strangers to Justice: A Report on Foreigners in Indian Prisons (2019) &lt;</w:t>
      </w:r>
      <w:hyperlink r:id="rId73" w:history="1">
        <w:r>
          <w:rPr>
            <w:rStyle w:val="Hyperlink"/>
            <w:color w:val="1155CC"/>
            <w:sz w:val="20"/>
            <w:szCs w:val="20"/>
          </w:rPr>
          <w:t>https://www.humanrightsinitiative.org/publication/strangers-to-justice-a-report-on-foreigners-in-indian-prisons</w:t>
        </w:r>
      </w:hyperlink>
      <w:r>
        <w:rPr>
          <w:rFonts w:ascii="Times New Roman" w:eastAsia="Times New Roman" w:hAnsi="Times New Roman" w:cs="Times New Roman"/>
          <w:sz w:val="20"/>
          <w:szCs w:val="20"/>
        </w:rPr>
        <w:t xml:space="preserve">&gt;. </w:t>
      </w:r>
    </w:p>
  </w:footnote>
  <w:footnote w:id="56">
    <w:p w:rsidR="00420407" w:rsidRDefault="00420407" w:rsidP="00420407">
      <w:pPr>
        <w:spacing w:line="240" w:lineRule="auto"/>
        <w:jc w:val="both"/>
        <w:rPr>
          <w:rFonts w:ascii="Arial" w:eastAsia="Arial" w:hAnsi="Arial" w:cs="Arial"/>
          <w:sz w:val="20"/>
          <w:szCs w:val="20"/>
        </w:rPr>
      </w:pPr>
      <w:r>
        <w:rPr>
          <w:vertAlign w:val="superscript"/>
        </w:rPr>
        <w:footnoteRef/>
      </w:r>
      <w:r>
        <w:rPr>
          <w:rFonts w:ascii="Times New Roman" w:eastAsia="Times New Roman" w:hAnsi="Times New Roman" w:cs="Times New Roman"/>
          <w:sz w:val="20"/>
          <w:szCs w:val="20"/>
        </w:rPr>
        <w:t xml:space="preserve"> United Nations. “Vienna Convention on the Law of Treaties.” Treaty Series, vol. 1155, May 1969, Article 36. </w:t>
      </w:r>
    </w:p>
  </w:footnote>
  <w:footnote w:id="57">
    <w:p w:rsidR="00420407" w:rsidRDefault="00420407" w:rsidP="00420407">
      <w:pPr>
        <w:spacing w:line="240" w:lineRule="auto"/>
        <w:jc w:val="both"/>
        <w:rPr>
          <w:sz w:val="20"/>
          <w:szCs w:val="20"/>
        </w:rPr>
      </w:pPr>
      <w:r>
        <w:rPr>
          <w:vertAlign w:val="superscript"/>
        </w:rPr>
        <w:footnoteRef/>
      </w:r>
      <w:r>
        <w:rPr>
          <w:rFonts w:ascii="Times New Roman" w:eastAsia="Times New Roman" w:hAnsi="Times New Roman" w:cs="Times New Roman"/>
          <w:sz w:val="20"/>
          <w:szCs w:val="20"/>
        </w:rPr>
        <w:t xml:space="preserve"> Ministry of Home Affairs, Government of India, Consular access to foreign nationals in prisons, custody or detention (2019)&lt;</w:t>
      </w:r>
      <w:hyperlink r:id="rId74" w:history="1">
        <w:r>
          <w:rPr>
            <w:rStyle w:val="Hyperlink"/>
            <w:color w:val="0000FF"/>
            <w:sz w:val="20"/>
            <w:szCs w:val="20"/>
          </w:rPr>
          <w:t>https://www.mha.gov.in/sites/default/files/WS_ConsularAccessadvisory_02122019.pdf</w:t>
        </w:r>
      </w:hyperlink>
      <w:r>
        <w:rPr>
          <w:rFonts w:ascii="Times New Roman" w:eastAsia="Times New Roman" w:hAnsi="Times New Roman" w:cs="Times New Roman"/>
          <w:sz w:val="20"/>
          <w:szCs w:val="20"/>
        </w:rPr>
        <w:t xml:space="preserve">.&gt; </w:t>
      </w:r>
    </w:p>
  </w:footnote>
  <w:footnote w:id="58">
    <w:p w:rsidR="00420407" w:rsidRDefault="00420407" w:rsidP="00420407">
      <w:pPr>
        <w:spacing w:line="240" w:lineRule="auto"/>
        <w:jc w:val="both"/>
        <w:rPr>
          <w:sz w:val="20"/>
          <w:szCs w:val="20"/>
        </w:rPr>
      </w:pPr>
      <w:r>
        <w:rPr>
          <w:vertAlign w:val="superscript"/>
        </w:rPr>
        <w:footnoteRef/>
      </w:r>
      <w:r>
        <w:rPr>
          <w:rFonts w:ascii="Times New Roman" w:eastAsia="Times New Roman" w:hAnsi="Times New Roman" w:cs="Times New Roman"/>
          <w:sz w:val="20"/>
          <w:szCs w:val="20"/>
        </w:rPr>
        <w:t xml:space="preserve"> Ministry of Home Affairs, Government of India, Consular access to foreign nationals in prisons, custody or detention (2019) &lt;</w:t>
      </w:r>
      <w:hyperlink r:id="rId75" w:history="1">
        <w:r>
          <w:rPr>
            <w:rStyle w:val="Hyperlink"/>
            <w:color w:val="0000FF"/>
            <w:sz w:val="20"/>
            <w:szCs w:val="20"/>
          </w:rPr>
          <w:t>https://www.mha.gov.in/sites/default/files/WS_ConsularAccessadvisory_02122019.pdf</w:t>
        </w:r>
      </w:hyperlink>
      <w:r>
        <w:rPr>
          <w:rFonts w:ascii="Times New Roman" w:eastAsia="Times New Roman" w:hAnsi="Times New Roman" w:cs="Times New Roman"/>
          <w:sz w:val="20"/>
          <w:szCs w:val="20"/>
        </w:rPr>
        <w:t>.&gt;</w:t>
      </w:r>
    </w:p>
  </w:footnote>
  <w:footnote w:id="59">
    <w:p w:rsidR="00420407" w:rsidRDefault="00420407" w:rsidP="00420407">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See Madhurima Dhanuka and Palak Chaudhari, ‘Broken Path to Freedom: Deciphering Lives of Foreign Nationals In Indian Prisons’ National Law School of India Review (2019) 31(2), 191. </w:t>
      </w:r>
    </w:p>
  </w:footnote>
  <w:footnote w:id="60">
    <w:p w:rsidR="00420407" w:rsidRDefault="00420407" w:rsidP="00420407">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 CHRI, Strangers to Justice: A Report on Foreigners in Indian Prisons (2019) &lt;</w:t>
      </w:r>
      <w:hyperlink r:id="rId76" w:history="1">
        <w:r>
          <w:rPr>
            <w:rStyle w:val="Hyperlink"/>
            <w:color w:val="1155CC"/>
            <w:sz w:val="20"/>
            <w:szCs w:val="20"/>
          </w:rPr>
          <w:t>https://www.humanrightsinitiative.org/publication/strangers-to-justice-a-report-on-foreigners-in-indian-prisons</w:t>
        </w:r>
      </w:hyperlink>
      <w:r>
        <w:rPr>
          <w:rFonts w:ascii="Times New Roman" w:eastAsia="Times New Roman" w:hAnsi="Times New Roman" w:cs="Times New Roman"/>
          <w:sz w:val="20"/>
          <w:szCs w:val="20"/>
        </w:rPr>
        <w:t xml:space="preserve">&gt;. </w:t>
      </w:r>
    </w:p>
  </w:footnote>
  <w:footnote w:id="61">
    <w:p w:rsidR="00420407" w:rsidRDefault="00420407" w:rsidP="0042040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Bhim Singh v. Union of India, (2012) 13 SC 471. </w:t>
      </w:r>
    </w:p>
  </w:footnote>
  <w:footnote w:id="62">
    <w:p w:rsidR="00420407" w:rsidRDefault="00420407" w:rsidP="00420407">
      <w:pPr>
        <w:spacing w:line="240" w:lineRule="auto"/>
        <w:rPr>
          <w:rFonts w:ascii="Times New Roman" w:eastAsia="Times New Roman" w:hAnsi="Times New Roman" w:cs="Times New Roman"/>
          <w:sz w:val="20"/>
          <w:szCs w:val="20"/>
          <w:vertAlign w:val="subscript"/>
        </w:rPr>
      </w:pPr>
      <w:r>
        <w:rPr>
          <w:vertAlign w:val="superscript"/>
        </w:rPr>
        <w:footnoteRef/>
      </w:r>
      <w:r>
        <w:rPr>
          <w:rFonts w:ascii="Times New Roman" w:eastAsia="Times New Roman" w:hAnsi="Times New Roman" w:cs="Times New Roman"/>
          <w:sz w:val="20"/>
          <w:szCs w:val="20"/>
        </w:rPr>
        <w:t xml:space="preserve"> NCRB, Prison Statistics 2022 &lt;</w:t>
      </w:r>
      <w:hyperlink r:id="rId77" w:history="1">
        <w:r>
          <w:rPr>
            <w:rStyle w:val="Hyperlink"/>
            <w:color w:val="1155CC"/>
            <w:sz w:val="20"/>
            <w:szCs w:val="20"/>
          </w:rPr>
          <w:t>https://ncrb.gov.in/uploads/nationalcrimerecordsbureau/custom/psiyearwise2022/1701613297PSI2022ason01122023.pdf</w:t>
        </w:r>
      </w:hyperlink>
      <w:r>
        <w:rPr>
          <w:rFonts w:ascii="Times New Roman" w:eastAsia="Times New Roman" w:hAnsi="Times New Roman" w:cs="Times New Roman"/>
          <w:sz w:val="20"/>
          <w:szCs w:val="20"/>
        </w:rPr>
        <w:t xml:space="preserve"> &gt;</w:t>
      </w:r>
    </w:p>
  </w:footnote>
  <w:footnote w:id="63">
    <w:p w:rsidR="00420407" w:rsidRDefault="00420407" w:rsidP="0042040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 review of convictions and acquittal rates as per the NCRB’s Crime in India Statistics between 2017-2022 reveal that on average, 64.04% cases result in acquittals. See also PUCL, ‘UAPA: Criminalising Dissent and State Terror’ (2022), pp.25-26&lt;</w:t>
      </w:r>
      <w:hyperlink r:id="rId78" w:history="1">
        <w:r>
          <w:rPr>
            <w:rStyle w:val="Hyperlink"/>
            <w:color w:val="1155CC"/>
            <w:sz w:val="20"/>
            <w:szCs w:val="20"/>
          </w:rPr>
          <w:t>https://pucl.org/wp-content/uploads/2023/05/PUCL-28.09.2022.pdf</w:t>
        </w:r>
      </w:hyperlink>
      <w:r>
        <w:rPr>
          <w:rFonts w:ascii="Times New Roman" w:eastAsia="Times New Roman" w:hAnsi="Times New Roman" w:cs="Times New Roman"/>
          <w:sz w:val="20"/>
          <w:szCs w:val="20"/>
        </w:rPr>
        <w:t>&gt; on low conviction rate in UAPA cases as against the total number of arrests and total number of cases at trial. As many as 3998 cases were pending investigation under the UAPA as per the MHA’s statement to the Indian Parliament. See also 3,998 UAPA Cases Pending Investigation by End of 2021: MHA (2022) &lt;</w:t>
      </w:r>
      <w:hyperlink r:id="rId79" w:history="1">
        <w:r>
          <w:rPr>
            <w:rStyle w:val="Hyperlink"/>
            <w:color w:val="1155CC"/>
            <w:sz w:val="20"/>
            <w:szCs w:val="20"/>
          </w:rPr>
          <w:t>https://thewire.in/government/uapa-cases-pending-trial-investigation-lok-sabha-home-ministry</w:t>
        </w:r>
      </w:hyperlink>
      <w:r>
        <w:rPr>
          <w:rFonts w:ascii="Times New Roman" w:eastAsia="Times New Roman" w:hAnsi="Times New Roman" w:cs="Times New Roman"/>
          <w:sz w:val="20"/>
          <w:szCs w:val="20"/>
        </w:rPr>
        <w:t>&gt;; Gautam Doshi, In seven years, 10,552 Indians have been arrested under UAPA – but only 253 convicted (2021)&lt;</w:t>
      </w:r>
      <w:hyperlink r:id="rId80" w:history="1">
        <w:r>
          <w:rPr>
            <w:rStyle w:val="Hyperlink"/>
            <w:color w:val="0000FF"/>
            <w:sz w:val="20"/>
            <w:szCs w:val="20"/>
          </w:rPr>
          <w:t>https://scroll.in/article/1010530/in-seven-years-10552-indians-have-been-arrested-under-uapa-and-253-convicted</w:t>
        </w:r>
      </w:hyperlink>
      <w:r>
        <w:rPr>
          <w:rFonts w:ascii="Times New Roman" w:eastAsia="Times New Roman" w:hAnsi="Times New Roman" w:cs="Times New Roman"/>
          <w:sz w:val="20"/>
          <w:szCs w:val="20"/>
        </w:rPr>
        <w:t>&gt;, Ishita Misra, Court pulls up police for ‘slow’ investigation in UAPA case against NewsClick (2024) &lt;</w:t>
      </w:r>
      <w:hyperlink r:id="rId81" w:history="1">
        <w:r>
          <w:rPr>
            <w:rStyle w:val="Hyperlink"/>
            <w:color w:val="0000FF"/>
            <w:sz w:val="20"/>
            <w:szCs w:val="20"/>
          </w:rPr>
          <w:t>https://www.thehindu.com/news/national/court-pulls-up-police-for-slow-investigation-in-uapa-case-against-newsclick/article67878730.ece</w:t>
        </w:r>
      </w:hyperlink>
      <w:r>
        <w:rPr>
          <w:rFonts w:ascii="Times New Roman" w:eastAsia="Times New Roman" w:hAnsi="Times New Roman" w:cs="Times New Roman"/>
          <w:sz w:val="20"/>
          <w:szCs w:val="20"/>
        </w:rPr>
        <w:t>&gt;;  97.2% of UAPA accused jailed for long periods and eventually acquitted, study finds (2022) &lt;</w:t>
      </w:r>
      <w:hyperlink r:id="rId82" w:history="1">
        <w:r>
          <w:rPr>
            <w:rStyle w:val="Hyperlink"/>
            <w:color w:val="0000FF"/>
            <w:sz w:val="20"/>
            <w:szCs w:val="20"/>
          </w:rPr>
          <w:t>https://www.thenewsminute.com/news/972-uapa-accused-jailed-long-periods-and-eventually-acquitted-study-finds-168494</w:t>
        </w:r>
      </w:hyperlink>
      <w:r>
        <w:rPr>
          <w:rFonts w:ascii="Times New Roman" w:eastAsia="Times New Roman" w:hAnsi="Times New Roman" w:cs="Times New Roman"/>
          <w:sz w:val="20"/>
          <w:szCs w:val="20"/>
        </w:rPr>
        <w:t xml:space="preserve">&gt;. </w:t>
      </w:r>
    </w:p>
  </w:footnote>
  <w:footnote w:id="64">
    <w:p w:rsidR="00420407" w:rsidRDefault="00420407" w:rsidP="00420407">
      <w:pPr>
        <w:spacing w:line="240" w:lineRule="auto"/>
        <w:rPr>
          <w:rFonts w:ascii="Arial" w:eastAsia="Arial" w:hAnsi="Arial" w:cs="Arial"/>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PUCL, ‘UAPA: Criminalising Dissent and State Terror’ (2022) &lt;</w:t>
      </w:r>
      <w:hyperlink r:id="rId83" w:history="1">
        <w:r>
          <w:rPr>
            <w:rStyle w:val="Hyperlink"/>
            <w:color w:val="1155CC"/>
            <w:sz w:val="20"/>
            <w:szCs w:val="20"/>
          </w:rPr>
          <w:t>https://pucl.org/wp-content/uploads/2023/05/PUCL-28.09.2022.pdf</w:t>
        </w:r>
      </w:hyperlink>
      <w:r>
        <w:rPr>
          <w:rFonts w:ascii="Times New Roman" w:eastAsia="Times New Roman" w:hAnsi="Times New Roman" w:cs="Times New Roman"/>
          <w:sz w:val="20"/>
          <w:szCs w:val="20"/>
        </w:rPr>
        <w:t>&gt;, 25-26.</w:t>
      </w:r>
    </w:p>
  </w:footnote>
  <w:footnote w:id="65">
    <w:p w:rsidR="00420407" w:rsidRDefault="00420407" w:rsidP="00420407">
      <w:pPr>
        <w:spacing w:line="240" w:lineRule="auto"/>
        <w:rPr>
          <w:sz w:val="20"/>
          <w:szCs w:val="20"/>
        </w:rPr>
      </w:pPr>
      <w:r>
        <w:rPr>
          <w:vertAlign w:val="superscript"/>
        </w:rPr>
        <w:footnoteRef/>
      </w:r>
      <w:r>
        <w:rPr>
          <w:rFonts w:ascii="Times New Roman" w:eastAsia="Times New Roman" w:hAnsi="Times New Roman" w:cs="Times New Roman"/>
          <w:sz w:val="20"/>
          <w:szCs w:val="20"/>
        </w:rPr>
        <w:t>PUCL, ‘UAPA: Criminalising Dissent and State Terror’ (2022) &lt;</w:t>
      </w:r>
      <w:hyperlink r:id="rId84" w:history="1">
        <w:r>
          <w:rPr>
            <w:rStyle w:val="Hyperlink"/>
            <w:color w:val="1155CC"/>
            <w:sz w:val="20"/>
            <w:szCs w:val="20"/>
          </w:rPr>
          <w:t>https://pucl.org/wp-content/uploads/2023/05/PUCL-28.09.2022.pdf</w:t>
        </w:r>
      </w:hyperlink>
      <w:r>
        <w:rPr>
          <w:rFonts w:ascii="Times New Roman" w:eastAsia="Times New Roman" w:hAnsi="Times New Roman" w:cs="Times New Roman"/>
          <w:sz w:val="20"/>
          <w:szCs w:val="20"/>
        </w:rPr>
        <w:t>&gt;, 25-26.</w:t>
      </w:r>
    </w:p>
  </w:footnote>
  <w:footnote w:id="66">
    <w:p w:rsidR="00420407" w:rsidRDefault="00420407" w:rsidP="0042040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See sections 10, 15, 20, Unlawful Activities (Prevention) Act, 1967 which criminalise offences based on membership to organisations and provide vague definitions for the offence of a ‘terrorist act’. See section 18,  Unlawful Activities (Prevention) Act, 1967 penalising conspiracy to commit terrorist acts. Most persons are charged for conspiracy where there is no requirement for the police to show involvement in the actual infliction of violence, or for being members which puts innocents at risk of being arrested. See here  97.2% of UAPA accused jailed for long periods and eventually acquitted, study finds (2022) &lt;</w:t>
      </w:r>
      <w:hyperlink r:id="rId85" w:history="1">
        <w:r>
          <w:rPr>
            <w:rStyle w:val="Hyperlink"/>
            <w:color w:val="0000FF"/>
            <w:sz w:val="20"/>
            <w:szCs w:val="20"/>
          </w:rPr>
          <w:t>https://www.thenewsminute.com/news/972-uapa-accused-jailed-long-periods-and-eventually-acquitted-study-finds-168494</w:t>
        </w:r>
      </w:hyperlink>
      <w:r>
        <w:rPr>
          <w:rFonts w:ascii="Times New Roman" w:eastAsia="Times New Roman" w:hAnsi="Times New Roman" w:cs="Times New Roman"/>
          <w:sz w:val="20"/>
          <w:szCs w:val="20"/>
        </w:rPr>
        <w:t>&gt;; How the UAPA Repackages Ideas As Crimes (2020) &lt;</w:t>
      </w:r>
      <w:hyperlink r:id="rId86" w:history="1">
        <w:r>
          <w:rPr>
            <w:rStyle w:val="Hyperlink"/>
            <w:color w:val="0000FF"/>
            <w:sz w:val="20"/>
            <w:szCs w:val="20"/>
          </w:rPr>
          <w:t>https://www.article-14.com/post/how-the-uapa-repackages-ideas-as-crimes</w:t>
        </w:r>
      </w:hyperlink>
      <w:r>
        <w:rPr>
          <w:rFonts w:ascii="Times New Roman" w:eastAsia="Times New Roman" w:hAnsi="Times New Roman" w:cs="Times New Roman"/>
          <w:sz w:val="20"/>
          <w:szCs w:val="20"/>
        </w:rPr>
        <w:t>&gt;: 3,998 UAPA Cases Pending Investigation by End of 2021: MHA (2022) &lt;</w:t>
      </w:r>
      <w:hyperlink r:id="rId87" w:history="1">
        <w:r>
          <w:rPr>
            <w:rStyle w:val="Hyperlink"/>
            <w:color w:val="1155CC"/>
            <w:sz w:val="20"/>
            <w:szCs w:val="20"/>
          </w:rPr>
          <w:t>https://thewire.in/government/uapa-cases-pending-trial-investigation-lok-sabha-home-ministry</w:t>
        </w:r>
      </w:hyperlink>
      <w:r>
        <w:rPr>
          <w:rFonts w:ascii="Times New Roman" w:eastAsia="Times New Roman" w:hAnsi="Times New Roman" w:cs="Times New Roman"/>
          <w:sz w:val="20"/>
          <w:szCs w:val="20"/>
        </w:rPr>
        <w:t>&gt;; Mustafa Shaikh, Two men, cleared of UAPA charges, regret the 9 years they lost in jail (2021) &lt;</w:t>
      </w:r>
      <w:hyperlink r:id="rId88" w:history="1">
        <w:r>
          <w:rPr>
            <w:rStyle w:val="Hyperlink"/>
            <w:color w:val="0000FF"/>
            <w:sz w:val="20"/>
            <w:szCs w:val="20"/>
          </w:rPr>
          <w:t>https://www.google.com/url?q=https://www.indiatoday.in/cities/mumbai/story/two-men-acquitted-uapa-charges-tajola-jail-navi-mumbai-1816255-2021-06-17&amp;sa=D&amp;source=editors&amp;ust=1716994948579812&amp;usg=AOvVaw1llQ5js6BKrBCuKRzii2E2</w:t>
        </w:r>
      </w:hyperlink>
      <w:r>
        <w:rPr>
          <w:rFonts w:ascii="Times New Roman" w:eastAsia="Times New Roman" w:hAnsi="Times New Roman" w:cs="Times New Roman"/>
          <w:sz w:val="20"/>
          <w:szCs w:val="20"/>
        </w:rPr>
        <w:t xml:space="preserve">&gt;. </w:t>
      </w:r>
    </w:p>
    <w:p w:rsidR="00420407" w:rsidRDefault="00420407" w:rsidP="00420407">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UAPA provides the State with wide powers of arrest, and prohibits bail for the accused unless the accused can prove that the grounds/materials against him are not prima facie true. By requiring the court to make a preliminary assessment on the accused’s guilt while deciding bail, the UAPA dilutes the presumption of innocence and places the accused at a greater disadvantage in securing bail, given that they cannot access investigation materials to challenge them until the trial has formally commenced. This condition enables the UAPA to detain persons arrested for long periods of  incarceration without the initiation of a trial for years. </w:t>
      </w:r>
    </w:p>
  </w:footnote>
  <w:footnote w:id="67">
    <w:p w:rsidR="00420407" w:rsidRDefault="00420407" w:rsidP="00420407">
      <w:pPr>
        <w:spacing w:line="240" w:lineRule="auto"/>
        <w:rPr>
          <w:rFonts w:ascii="Arial" w:eastAsia="Arial" w:hAnsi="Arial" w:cs="Arial"/>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 How the UAPA Repackages Ideas As Crimes (2020) &lt;</w:t>
      </w:r>
      <w:hyperlink r:id="rId89" w:history="1">
        <w:r>
          <w:rPr>
            <w:rStyle w:val="Hyperlink"/>
            <w:color w:val="0000FF"/>
            <w:sz w:val="20"/>
            <w:szCs w:val="20"/>
          </w:rPr>
          <w:t>https://www.article-14.com/post/how-the-uapa-repackages-ideas-as-crimes</w:t>
        </w:r>
      </w:hyperlink>
      <w:r>
        <w:rPr>
          <w:rFonts w:ascii="Times New Roman" w:eastAsia="Times New Roman" w:hAnsi="Times New Roman" w:cs="Times New Roman"/>
          <w:sz w:val="20"/>
          <w:szCs w:val="20"/>
        </w:rPr>
        <w:t>&gt;; Sharanya Shivaraman, Guest Post: The UAPA – some interpretive issues (2018)  &lt;</w:t>
      </w:r>
      <w:hyperlink r:id="rId90" w:history="1">
        <w:r>
          <w:rPr>
            <w:rStyle w:val="Hyperlink"/>
            <w:color w:val="1155CC"/>
            <w:sz w:val="20"/>
            <w:szCs w:val="20"/>
          </w:rPr>
          <w:t>https://indconlawphil.wordpress.com/2018/09/24/guest-post-the-uapa-some-interpretive-issues/</w:t>
        </w:r>
      </w:hyperlink>
      <w:r>
        <w:rPr>
          <w:rFonts w:ascii="Times New Roman" w:eastAsia="Times New Roman" w:hAnsi="Times New Roman" w:cs="Times New Roman"/>
          <w:sz w:val="20"/>
          <w:szCs w:val="20"/>
        </w:rPr>
        <w:t>&gt;; UAPA: Criminalising Dissent and State Terror – Study of Abuse in India, 2009-2022, (2022) &lt;</w:t>
      </w:r>
      <w:hyperlink r:id="rId91" w:history="1">
        <w:r>
          <w:rPr>
            <w:rStyle w:val="Hyperlink"/>
            <w:color w:val="0000FF"/>
            <w:sz w:val="20"/>
            <w:szCs w:val="20"/>
          </w:rPr>
          <w:t>https://pucl.org/wp-content/uploads/2023/05/PUCL-28.09.2022.pdf</w:t>
        </w:r>
      </w:hyperlink>
      <w:r>
        <w:rPr>
          <w:rFonts w:ascii="Times New Roman" w:eastAsia="Times New Roman" w:hAnsi="Times New Roman" w:cs="Times New Roman"/>
          <w:sz w:val="20"/>
          <w:szCs w:val="20"/>
        </w:rPr>
        <w:t xml:space="preserve">&gt;. </w:t>
      </w:r>
    </w:p>
  </w:footnote>
  <w:footnote w:id="68">
    <w:p w:rsidR="00420407" w:rsidRDefault="00420407" w:rsidP="00420407">
      <w:pPr>
        <w:spacing w:line="240" w:lineRule="auto"/>
        <w:jc w:val="both"/>
        <w:rPr>
          <w:sz w:val="20"/>
          <w:szCs w:val="20"/>
        </w:rPr>
      </w:pPr>
      <w:r>
        <w:rPr>
          <w:vertAlign w:val="superscript"/>
        </w:rPr>
        <w:footnoteRef/>
      </w:r>
      <w:r>
        <w:rPr>
          <w:rFonts w:ascii="Times New Roman" w:eastAsia="Times New Roman" w:hAnsi="Times New Roman" w:cs="Times New Roman"/>
          <w:sz w:val="20"/>
          <w:szCs w:val="20"/>
        </w:rPr>
        <w:t xml:space="preserve"> Prajwal Bhat, When reading books is criminalised: Examining UAPA, sedition cases in India (2023) &lt;</w:t>
      </w:r>
      <w:hyperlink r:id="rId92" w:history="1">
        <w:r>
          <w:rPr>
            <w:rStyle w:val="Hyperlink"/>
            <w:color w:val="0000FF"/>
            <w:sz w:val="20"/>
            <w:szCs w:val="20"/>
          </w:rPr>
          <w:t>https://www.thenewsminute.com/news/when-reading-books-criminalised-examining-uapa-sedition-cases-india-180169</w:t>
        </w:r>
      </w:hyperlink>
      <w:r>
        <w:rPr>
          <w:rFonts w:ascii="Times New Roman" w:eastAsia="Times New Roman" w:hAnsi="Times New Roman" w:cs="Times New Roman"/>
          <w:sz w:val="20"/>
          <w:szCs w:val="20"/>
        </w:rPr>
        <w:t>&gt;.</w:t>
      </w:r>
    </w:p>
  </w:footnote>
  <w:footnote w:id="69">
    <w:p w:rsidR="00420407" w:rsidRDefault="00420407" w:rsidP="00420407">
      <w:pPr>
        <w:spacing w:line="240" w:lineRule="auto"/>
        <w:jc w:val="both"/>
        <w:rPr>
          <w:sz w:val="20"/>
          <w:szCs w:val="20"/>
        </w:rPr>
      </w:pPr>
      <w:r>
        <w:rPr>
          <w:vertAlign w:val="superscript"/>
        </w:rPr>
        <w:footnoteRef/>
      </w:r>
      <w:r>
        <w:rPr>
          <w:rFonts w:ascii="Times New Roman" w:eastAsia="Times New Roman" w:hAnsi="Times New Roman" w:cs="Times New Roman"/>
          <w:sz w:val="20"/>
          <w:szCs w:val="20"/>
        </w:rPr>
        <w:t xml:space="preserve"> Ajoy Ashirwad Mahaprashasta, Tripura Police Books 102 People Under UAPA for Social Media Posts Against Communal Violence (2021) &lt;</w:t>
      </w:r>
      <w:hyperlink r:id="rId93" w:history="1">
        <w:r>
          <w:rPr>
            <w:rStyle w:val="Hyperlink"/>
            <w:color w:val="0000FF"/>
            <w:sz w:val="20"/>
            <w:szCs w:val="20"/>
          </w:rPr>
          <w:t>https://thewire.in/communalism/tripura-police-uapa-social-media-posts</w:t>
        </w:r>
      </w:hyperlink>
      <w:r>
        <w:rPr>
          <w:rFonts w:ascii="Times New Roman" w:eastAsia="Times New Roman" w:hAnsi="Times New Roman" w:cs="Times New Roman"/>
          <w:sz w:val="20"/>
          <w:szCs w:val="20"/>
        </w:rPr>
        <w:t xml:space="preserve">&gt;. </w:t>
      </w:r>
    </w:p>
  </w:footnote>
  <w:footnote w:id="70">
    <w:p w:rsidR="00420407" w:rsidRDefault="00420407" w:rsidP="00420407">
      <w:pPr>
        <w:spacing w:line="240" w:lineRule="auto"/>
        <w:jc w:val="both"/>
        <w:rPr>
          <w:sz w:val="20"/>
          <w:szCs w:val="20"/>
        </w:rPr>
      </w:pPr>
      <w:r>
        <w:rPr>
          <w:vertAlign w:val="superscript"/>
        </w:rPr>
        <w:footnoteRef/>
      </w:r>
      <w:r>
        <w:rPr>
          <w:rFonts w:ascii="Times New Roman" w:eastAsia="Times New Roman" w:hAnsi="Times New Roman" w:cs="Times New Roman"/>
          <w:sz w:val="20"/>
          <w:szCs w:val="20"/>
        </w:rPr>
        <w:t xml:space="preserve"> India: Arrests, Raids Target Critics of Government Counterterrorism Law Misused to Harass Journalists, Activists (2023) &lt;</w:t>
      </w:r>
      <w:hyperlink r:id="rId94" w:history="1">
        <w:r>
          <w:rPr>
            <w:rStyle w:val="Hyperlink"/>
            <w:color w:val="0000FF"/>
            <w:sz w:val="20"/>
            <w:szCs w:val="20"/>
          </w:rPr>
          <w:t>https://www.hrw.org/news/2023/10/13/india-arrests-raids-target-critics-government</w:t>
        </w:r>
      </w:hyperlink>
      <w:r>
        <w:rPr>
          <w:rFonts w:ascii="Times New Roman" w:eastAsia="Times New Roman" w:hAnsi="Times New Roman" w:cs="Times New Roman"/>
          <w:sz w:val="20"/>
          <w:szCs w:val="20"/>
        </w:rPr>
        <w:t>&gt;</w:t>
      </w:r>
    </w:p>
  </w:footnote>
  <w:footnote w:id="71">
    <w:p w:rsidR="00420407" w:rsidRDefault="00420407" w:rsidP="00420407">
      <w:pPr>
        <w:spacing w:line="240" w:lineRule="auto"/>
        <w:jc w:val="both"/>
        <w:rPr>
          <w:sz w:val="20"/>
          <w:szCs w:val="20"/>
        </w:rPr>
      </w:pPr>
      <w:r>
        <w:rPr>
          <w:vertAlign w:val="superscript"/>
        </w:rPr>
        <w:footnoteRef/>
      </w:r>
      <w:r>
        <w:rPr>
          <w:rFonts w:ascii="Times New Roman" w:eastAsia="Times New Roman" w:hAnsi="Times New Roman" w:cs="Times New Roman"/>
          <w:sz w:val="20"/>
          <w:szCs w:val="20"/>
        </w:rPr>
        <w:t xml:space="preserve"> Ritesh Mishra, Chhattisgarh court acquits 121 tribals in UAPA case after 5 years in jail (2022) &lt;</w:t>
      </w:r>
      <w:hyperlink r:id="rId95" w:history="1">
        <w:r>
          <w:rPr>
            <w:rStyle w:val="Hyperlink"/>
            <w:color w:val="0000FF"/>
            <w:sz w:val="20"/>
            <w:szCs w:val="20"/>
          </w:rPr>
          <w:t>https://www.hindustantimes.com/india-news/121-tribals-relased-from-jail-after-chhattisgarh-court-acquits-them-in-uapa-case-101657982831665.html</w:t>
        </w:r>
      </w:hyperlink>
      <w:r>
        <w:rPr>
          <w:rFonts w:ascii="Times New Roman" w:eastAsia="Times New Roman" w:hAnsi="Times New Roman" w:cs="Times New Roman"/>
          <w:sz w:val="20"/>
          <w:szCs w:val="20"/>
        </w:rPr>
        <w:t>&gt;</w:t>
      </w:r>
    </w:p>
  </w:footnote>
  <w:footnote w:id="72">
    <w:p w:rsidR="00420407" w:rsidRDefault="00420407" w:rsidP="00420407">
      <w:pPr>
        <w:spacing w:line="240" w:lineRule="auto"/>
        <w:jc w:val="both"/>
        <w:rPr>
          <w:sz w:val="20"/>
          <w:szCs w:val="20"/>
        </w:rPr>
      </w:pPr>
      <w:r>
        <w:rPr>
          <w:vertAlign w:val="superscript"/>
        </w:rPr>
        <w:footnoteRef/>
      </w:r>
      <w:r>
        <w:rPr>
          <w:rFonts w:ascii="Times New Roman" w:eastAsia="Times New Roman" w:hAnsi="Times New Roman" w:cs="Times New Roman"/>
          <w:sz w:val="20"/>
          <w:szCs w:val="20"/>
        </w:rPr>
        <w:t xml:space="preserve"> Stan Swamy’s health, age in court — time and again (2021) &lt;</w:t>
      </w:r>
      <w:hyperlink r:id="rId96" w:history="1">
        <w:r>
          <w:rPr>
            <w:rStyle w:val="Hyperlink"/>
            <w:color w:val="0000FF"/>
            <w:sz w:val="20"/>
            <w:szCs w:val="20"/>
          </w:rPr>
          <w:t>https://indianexpress.com/article/cities/mumbai/stan-swamys-health-age-in-court-time-and-again-7390819/</w:t>
        </w:r>
      </w:hyperlink>
      <w:r>
        <w:rPr>
          <w:rFonts w:ascii="Times New Roman" w:eastAsia="Times New Roman" w:hAnsi="Times New Roman" w:cs="Times New Roman"/>
          <w:sz w:val="20"/>
          <w:szCs w:val="20"/>
        </w:rPr>
        <w:t xml:space="preserve">&gt; </w:t>
      </w:r>
    </w:p>
  </w:footnote>
  <w:footnote w:id="73">
    <w:p w:rsidR="00420407" w:rsidRDefault="00420407" w:rsidP="0042040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There has been some variation in the approach of various courts on the standard of bail and the burden on the investigating agencies at this stage:  NIA v. Zahoor Ahmad Shah Watali, (2019) 5 SCC 1; Vernon v. State of Maharashtra, 2023 SCC OnLine SC 885; Peerzada Shah Fahad v. Union Territory of Jammu and Kashmir &amp; Anr, CrlA(D) No. 42 of 2022 c/w CRM (M) No. 472 of 20; Gurwinder Singh v. State of Punjab &amp; Another, CRIMINAL APPEAL NO.704 of 2024; Bombay High Court asks probe agency NIA for 'correct facts' in Elgar Parishad case (2023) &lt;</w:t>
      </w:r>
      <w:hyperlink r:id="rId97" w:history="1">
        <w:r>
          <w:rPr>
            <w:rStyle w:val="Hyperlink"/>
            <w:color w:val="1155CC"/>
            <w:sz w:val="20"/>
            <w:szCs w:val="20"/>
          </w:rPr>
          <w:t>https://www.indiatoday.in/law/story/elgar-parishad-case-pune-nia-bombay-high-court-uapa-bail-hearing-2477624-2023-12-19</w:t>
        </w:r>
      </w:hyperlink>
      <w:r>
        <w:rPr>
          <w:rFonts w:ascii="Times New Roman" w:eastAsia="Times New Roman" w:hAnsi="Times New Roman" w:cs="Times New Roman"/>
          <w:sz w:val="20"/>
          <w:szCs w:val="20"/>
        </w:rPr>
        <w:t>&gt;; Krishnadas Rajagopal, Probe agencies must give written grounds of arrest in UAPA cases, Supreme Court declares in NewsClick judgment (2024) &lt;</w:t>
      </w:r>
      <w:hyperlink r:id="rId98" w:history="1">
        <w:r>
          <w:rPr>
            <w:rStyle w:val="Hyperlink"/>
            <w:color w:val="1155CC"/>
            <w:sz w:val="20"/>
            <w:szCs w:val="20"/>
          </w:rPr>
          <w:t>https://www.thehindu.com/news/national/probe-agencies-must-give-written-grounds-of-arrest-in-uapa-cases-sc-declares-in-newsclick-judgment/article68178684.ece</w:t>
        </w:r>
      </w:hyperlink>
      <w:r>
        <w:rPr>
          <w:rFonts w:ascii="Times New Roman" w:eastAsia="Times New Roman" w:hAnsi="Times New Roman" w:cs="Times New Roman"/>
          <w:sz w:val="20"/>
          <w:szCs w:val="20"/>
        </w:rPr>
        <w:t xml:space="preserve">&gt;  </w:t>
      </w:r>
    </w:p>
  </w:footnote>
  <w:footnote w:id="74">
    <w:p w:rsidR="00420407" w:rsidRDefault="00420407" w:rsidP="0042040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3,998 UAPA Cases Pending Investigation by End of 2021: MHA (2022) &lt;</w:t>
      </w:r>
      <w:hyperlink r:id="rId99" w:history="1">
        <w:r>
          <w:rPr>
            <w:rStyle w:val="Hyperlink"/>
            <w:color w:val="1155CC"/>
            <w:sz w:val="20"/>
            <w:szCs w:val="20"/>
          </w:rPr>
          <w:t>https://thewire.in/government/uapa-cases-pending-trial-investigation-lok-sabha-home-ministry</w:t>
        </w:r>
      </w:hyperlink>
      <w:r>
        <w:rPr>
          <w:rFonts w:ascii="Times New Roman" w:eastAsia="Times New Roman" w:hAnsi="Times New Roman" w:cs="Times New Roman"/>
          <w:sz w:val="20"/>
          <w:szCs w:val="20"/>
        </w:rPr>
        <w:t>&gt;; Mustafa Shaikh, Two men, cleared of UAPA charges, regret the 9 years they lost in jail (2021) &lt;</w:t>
      </w:r>
      <w:hyperlink r:id="rId100" w:history="1">
        <w:r>
          <w:rPr>
            <w:rStyle w:val="Hyperlink"/>
            <w:color w:val="0000FF"/>
            <w:sz w:val="20"/>
            <w:szCs w:val="20"/>
          </w:rPr>
          <w:t>https://www.google.com/url?q=https://www.indiatoday.in/cities/mumbai/story/two-men-acquitted-uapa-charges-tajola-jail-navi-mumbai-1816255-2021-06-17&amp;sa=D&amp;source=editors&amp;ust=1716994948579812&amp;usg=AOvVaw1llQ5js6BKrBCuKRzii2E2</w:t>
        </w:r>
      </w:hyperlink>
      <w:r>
        <w:rPr>
          <w:rFonts w:ascii="Times New Roman" w:eastAsia="Times New Roman" w:hAnsi="Times New Roman" w:cs="Times New Roman"/>
          <w:sz w:val="20"/>
          <w:szCs w:val="20"/>
        </w:rPr>
        <w:t xml:space="preserve">&gt;.  </w:t>
      </w:r>
    </w:p>
  </w:footnote>
  <w:footnote w:id="75">
    <w:p w:rsidR="00420407" w:rsidRDefault="00420407" w:rsidP="00420407">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V. Venkatesan, Increasing Tendency to Use UAPA as Chosen Legal Weapon: PUCL Study (2022) &lt;</w:t>
      </w:r>
      <w:hyperlink r:id="rId101" w:history="1">
        <w:r>
          <w:rPr>
            <w:rStyle w:val="Hyperlink"/>
            <w:color w:val="0000FF"/>
            <w:sz w:val="20"/>
            <w:szCs w:val="20"/>
          </w:rPr>
          <w:t>https://www.newsclick.in/Increasing-Tendency-Use-UAPA-Chosen-Legal-Weapon-PUCL-Study</w:t>
        </w:r>
      </w:hyperlink>
      <w:r>
        <w:rPr>
          <w:rFonts w:ascii="Times New Roman" w:eastAsia="Times New Roman" w:hAnsi="Times New Roman" w:cs="Times New Roman"/>
          <w:sz w:val="20"/>
          <w:szCs w:val="20"/>
        </w:rPr>
        <w:t xml:space="preserve">&gt;. </w:t>
      </w:r>
    </w:p>
  </w:footnote>
  <w:footnote w:id="76">
    <w:p w:rsidR="00420407" w:rsidRDefault="00420407" w:rsidP="00420407">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Rajulapudi Srinivas, UAPA should be scrapped as 97 percent accused are aquitted, says Prof. Haragopal (2024) &lt;</w:t>
      </w:r>
      <w:hyperlink r:id="rId102" w:history="1">
        <w:r>
          <w:rPr>
            <w:rStyle w:val="Hyperlink"/>
            <w:color w:val="1155CC"/>
            <w:sz w:val="20"/>
            <w:szCs w:val="20"/>
          </w:rPr>
          <w:t>https://www.thehindu.com/news/national/andhra-pradesh/uapa-should-be-scrapped-as-97-percent-accused-are-proven-innocent-says-prof-haragopal/article67786071.ece</w:t>
        </w:r>
      </w:hyperlink>
      <w:r>
        <w:rPr>
          <w:rFonts w:ascii="Times New Roman" w:eastAsia="Times New Roman" w:hAnsi="Times New Roman" w:cs="Times New Roman"/>
          <w:sz w:val="20"/>
          <w:szCs w:val="20"/>
        </w:rPr>
        <w:t>&gt;; 701 sedition, 5023 UAPA cases registered in 2018-22: Govt (2024) &lt;</w:t>
      </w:r>
      <w:hyperlink r:id="rId103" w:history="1">
        <w:r>
          <w:rPr>
            <w:rStyle w:val="Hyperlink"/>
            <w:color w:val="0000FF"/>
            <w:sz w:val="20"/>
            <w:szCs w:val="20"/>
          </w:rPr>
          <w:t>https://www.thehindu.com/news/national/701-sedition-5023-uapa-cases-registered-in-2018-22-govt/article67817517.ece</w:t>
        </w:r>
      </w:hyperlink>
      <w:r>
        <w:rPr>
          <w:rFonts w:ascii="Times New Roman" w:eastAsia="Times New Roman" w:hAnsi="Times New Roman" w:cs="Times New Roman"/>
          <w:sz w:val="20"/>
          <w:szCs w:val="20"/>
        </w:rPr>
        <w:t xml:space="preserve">&gt;. </w:t>
      </w:r>
    </w:p>
  </w:footnote>
  <w:footnote w:id="77">
    <w:p w:rsidR="00420407" w:rsidRDefault="00420407" w:rsidP="00420407">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Sajal Awasthi v. Union of India, WP (C) 1076/2019.</w:t>
      </w:r>
    </w:p>
  </w:footnote>
  <w:footnote w:id="78">
    <w:p w:rsidR="00420407" w:rsidRDefault="00420407" w:rsidP="00420407">
      <w:pPr>
        <w:spacing w:line="240" w:lineRule="auto"/>
        <w:rPr>
          <w:rFonts w:ascii="Times New Roman" w:eastAsia="Times New Roman" w:hAnsi="Times New Roman" w:cs="Times New Roman"/>
          <w:sz w:val="20"/>
          <w:szCs w:val="20"/>
          <w:shd w:val="clear" w:color="auto" w:fill="FFF2CC"/>
        </w:rPr>
      </w:pPr>
      <w:r>
        <w:rPr>
          <w:vertAlign w:val="superscript"/>
        </w:rPr>
        <w:footnoteRef/>
      </w:r>
      <w:r>
        <w:rPr>
          <w:rFonts w:ascii="Times New Roman" w:eastAsia="Times New Roman" w:hAnsi="Times New Roman" w:cs="Times New Roman"/>
          <w:sz w:val="20"/>
          <w:szCs w:val="20"/>
        </w:rPr>
        <w:t xml:space="preserve">  The Supreme Court noted the frequent use of Section 27 by the police, along with the possibility for abuse, and stressed on the necessity of courts to be vigilant about its application.  </w:t>
      </w:r>
      <w:r>
        <w:rPr>
          <w:rFonts w:ascii="Times New Roman" w:eastAsia="Times New Roman" w:hAnsi="Times New Roman" w:cs="Times New Roman"/>
          <w:i/>
          <w:sz w:val="20"/>
          <w:szCs w:val="20"/>
        </w:rPr>
        <w:t>Perumal Raja @ Permal v. State, Rep. by Inspector of Police</w:t>
      </w:r>
      <w:r>
        <w:rPr>
          <w:rFonts w:ascii="Times New Roman" w:eastAsia="Times New Roman" w:hAnsi="Times New Roman" w:cs="Times New Roman"/>
          <w:sz w:val="20"/>
          <w:szCs w:val="20"/>
        </w:rPr>
        <w:t>, 2023 LiveLaw (SC) 8, order dated 03.01.2024, paragraph 24 &lt;</w:t>
      </w:r>
      <w:hyperlink r:id="rId104" w:history="1">
        <w:r>
          <w:rPr>
            <w:rStyle w:val="Hyperlink"/>
            <w:color w:val="0000FF"/>
            <w:sz w:val="20"/>
            <w:szCs w:val="20"/>
          </w:rPr>
          <w:t>https://main.sci.gov.in/supremecourt/2018/4802/4802_2018_2_1501_49136_Judgement_03-Jan-2024.pdf</w:t>
        </w:r>
      </w:hyperlink>
      <w:r>
        <w:rPr>
          <w:rFonts w:ascii="Times New Roman" w:eastAsia="Times New Roman" w:hAnsi="Times New Roman" w:cs="Times New Roman"/>
          <w:sz w:val="20"/>
          <w:szCs w:val="20"/>
        </w:rPr>
        <w:t>&gt; .  See also Shivani Misra, Statements under Section 27, Indian Evidence Act: admissibility and ambiguities, P39A Criminal Law Blog, 9 December 2020 &lt;</w:t>
      </w:r>
      <w:hyperlink r:id="rId105" w:history="1">
        <w:r>
          <w:rPr>
            <w:rStyle w:val="Hyperlink"/>
            <w:color w:val="1155CC"/>
            <w:sz w:val="20"/>
            <w:szCs w:val="20"/>
          </w:rPr>
          <w:t>https://p39ablog.com/2020/12/statements-under-section-27-indian-evidence-act-admissibility-and-ambiguities/</w:t>
        </w:r>
      </w:hyperlink>
      <w:r>
        <w:rPr>
          <w:rFonts w:ascii="Times New Roman" w:eastAsia="Times New Roman" w:hAnsi="Times New Roman" w:cs="Times New Roman"/>
          <w:sz w:val="20"/>
          <w:szCs w:val="20"/>
        </w:rPr>
        <w:t>&gt;; Bhavesh Seth, Standalone mental facts and disclosures under Section 27 of the Evidence Act, 1872, P39A Criminal Law Blog, 23 September 2022 &lt;</w:t>
      </w:r>
      <w:hyperlink r:id="rId106" w:history="1">
        <w:r>
          <w:rPr>
            <w:rStyle w:val="Hyperlink"/>
            <w:color w:val="1155CC"/>
            <w:sz w:val="20"/>
            <w:szCs w:val="20"/>
          </w:rPr>
          <w:t>https://p39ablog.com/2022/09/standalone-mental-facts-and-disclosures-under-section-27-of-the-evidence-act/</w:t>
        </w:r>
      </w:hyperlink>
      <w:r>
        <w:rPr>
          <w:rFonts w:ascii="Times New Roman" w:eastAsia="Times New Roman" w:hAnsi="Times New Roman" w:cs="Times New Roman"/>
          <w:sz w:val="20"/>
          <w:szCs w:val="20"/>
        </w:rPr>
        <w:t>&gt;.</w:t>
      </w:r>
      <w:r>
        <w:rPr>
          <w:rFonts w:ascii="Times New Roman" w:eastAsia="Times New Roman" w:hAnsi="Times New Roman" w:cs="Times New Roman"/>
          <w:sz w:val="20"/>
          <w:szCs w:val="20"/>
          <w:shd w:val="clear" w:color="auto" w:fill="FFF2CC"/>
        </w:rPr>
        <w:t xml:space="preserve"> </w:t>
      </w:r>
    </w:p>
  </w:footnote>
  <w:footnote w:id="79">
    <w:p w:rsidR="00420407" w:rsidRDefault="00420407" w:rsidP="00420407">
      <w:pPr>
        <w:spacing w:line="240" w:lineRule="auto"/>
        <w:jc w:val="both"/>
        <w:rPr>
          <w:rFonts w:ascii="Arial" w:eastAsia="Arial" w:hAnsi="Arial" w:cs="Arial"/>
          <w:sz w:val="20"/>
          <w:szCs w:val="20"/>
        </w:rPr>
      </w:pPr>
      <w:r>
        <w:rPr>
          <w:vertAlign w:val="superscript"/>
        </w:rPr>
        <w:footnoteRef/>
      </w:r>
      <w:r>
        <w:rPr>
          <w:rFonts w:ascii="Times New Roman" w:eastAsia="Times New Roman" w:hAnsi="Times New Roman" w:cs="Times New Roman"/>
          <w:sz w:val="20"/>
          <w:szCs w:val="20"/>
        </w:rPr>
        <w:t xml:space="preserve"> For instance, The Court required audio-visual and night-vision cameras with 12 to 18 months’ storage capacity to be installed in fourteen places, including entry points, lockups, corridors, inside inspector and sub-inspector rooms, and the backs of all police stations. </w:t>
      </w:r>
    </w:p>
  </w:footnote>
  <w:footnote w:id="80">
    <w:p w:rsidR="00420407" w:rsidRDefault="00420407" w:rsidP="00420407">
      <w:pPr>
        <w:spacing w:line="240" w:lineRule="auto"/>
        <w:jc w:val="both"/>
        <w:rPr>
          <w:sz w:val="20"/>
          <w:szCs w:val="20"/>
        </w:rPr>
      </w:pPr>
      <w:r>
        <w:rPr>
          <w:vertAlign w:val="superscript"/>
        </w:rPr>
        <w:footnoteRef/>
      </w:r>
      <w:r>
        <w:rPr>
          <w:rFonts w:ascii="Times New Roman" w:eastAsia="Times New Roman" w:hAnsi="Times New Roman" w:cs="Times New Roman"/>
          <w:sz w:val="20"/>
          <w:szCs w:val="20"/>
        </w:rPr>
        <w:t xml:space="preserve"> India Justice Report: Ranking States on Police, Judiciary, Prisons and Legal Aid, Tata Trusts, New Delhi, India (2019); Paramvir Singh Saini v. Baljit Singh, (2020) 7 SCC 397. </w:t>
      </w:r>
    </w:p>
  </w:footnote>
  <w:footnote w:id="81">
    <w:p w:rsidR="00420407" w:rsidRDefault="00420407" w:rsidP="00420407">
      <w:pPr>
        <w:spacing w:line="240" w:lineRule="auto"/>
        <w:jc w:val="both"/>
        <w:rPr>
          <w:sz w:val="20"/>
          <w:szCs w:val="20"/>
        </w:rPr>
      </w:pPr>
      <w:r>
        <w:rPr>
          <w:vertAlign w:val="superscript"/>
        </w:rPr>
        <w:footnoteRef/>
      </w:r>
      <w:r>
        <w:rPr>
          <w:rFonts w:ascii="Times New Roman" w:eastAsia="Times New Roman" w:hAnsi="Times New Roman" w:cs="Times New Roman"/>
          <w:sz w:val="20"/>
          <w:szCs w:val="20"/>
        </w:rPr>
        <w:t xml:space="preserve"> India Justice Report: Ranking States on Police, Judiciary, Prisons and Legal Aid, Tata Trusts, New Delhi, India (2019)</w:t>
      </w:r>
    </w:p>
  </w:footnote>
  <w:footnote w:id="82">
    <w:p w:rsidR="00420407" w:rsidRDefault="00420407" w:rsidP="00420407">
      <w:pPr>
        <w:spacing w:line="240" w:lineRule="auto"/>
        <w:rPr>
          <w:sz w:val="20"/>
          <w:szCs w:val="20"/>
        </w:rPr>
      </w:pPr>
      <w:r>
        <w:rPr>
          <w:vertAlign w:val="superscript"/>
        </w:rPr>
        <w:footnoteRef/>
      </w:r>
      <w:r>
        <w:rPr>
          <w:rFonts w:ascii="Times New Roman" w:eastAsia="Times New Roman" w:hAnsi="Times New Roman" w:cs="Times New Roman"/>
          <w:sz w:val="20"/>
          <w:szCs w:val="20"/>
        </w:rPr>
        <w:t>Bharti Ali &amp; Enakshi Ganguly, Article on Preliminary Assessment &lt;</w:t>
      </w:r>
      <w:hyperlink r:id="rId107" w:history="1">
        <w:r>
          <w:rPr>
            <w:rStyle w:val="Hyperlink"/>
            <w:color w:val="0000FF"/>
            <w:sz w:val="20"/>
            <w:szCs w:val="20"/>
          </w:rPr>
          <w:t>https://www.haqcrc.org/new-at-haq/article-on-preliminary-assessment/</w:t>
        </w:r>
      </w:hyperlink>
      <w:r>
        <w:rPr>
          <w:rFonts w:ascii="Times New Roman" w:eastAsia="Times New Roman" w:hAnsi="Times New Roman" w:cs="Times New Roman"/>
          <w:sz w:val="20"/>
          <w:szCs w:val="20"/>
        </w:rPr>
        <w:t xml:space="preserve"> &gt;.</w:t>
      </w:r>
    </w:p>
  </w:footnote>
  <w:footnote w:id="83">
    <w:p w:rsidR="00420407" w:rsidRDefault="00420407" w:rsidP="00420407">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Bharti Ali &amp; Enakshi Ganguly, Article on Preliminary Assessment &lt;</w:t>
      </w:r>
      <w:hyperlink r:id="rId108" w:history="1">
        <w:r>
          <w:rPr>
            <w:rStyle w:val="Hyperlink"/>
            <w:color w:val="0000FF"/>
            <w:sz w:val="20"/>
            <w:szCs w:val="20"/>
          </w:rPr>
          <w:t>https://www.haqcrc.org/new-at-haq/article-on-preliminary-assessment/</w:t>
        </w:r>
      </w:hyperlink>
      <w:r>
        <w:rPr>
          <w:rFonts w:ascii="Times New Roman" w:eastAsia="Times New Roman" w:hAnsi="Times New Roman" w:cs="Times New Roman"/>
          <w:sz w:val="20"/>
          <w:szCs w:val="20"/>
        </w:rPr>
        <w:t xml:space="preserve"> &gt;.</w:t>
      </w:r>
    </w:p>
  </w:footnote>
  <w:footnote w:id="84">
    <w:p w:rsidR="00420407" w:rsidRDefault="00420407" w:rsidP="00420407">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Centre for Child Rights National Law University Odisha, Practice of Preliminary Assessment  Under Juvenile Justice (Care and Protection of Children Act) 2015 (2019) &lt;</w:t>
      </w:r>
      <w:hyperlink r:id="rId109" w:history="1">
        <w:r>
          <w:rPr>
            <w:rStyle w:val="Hyperlink"/>
            <w:color w:val="1155CC"/>
            <w:sz w:val="20"/>
            <w:szCs w:val="20"/>
          </w:rPr>
          <w:t>https://nluo.ac.in/wp-content/uploads/2019/05/3.Practice-of-Prelimnary-Assesment.pdf</w:t>
        </w:r>
      </w:hyperlink>
      <w:r>
        <w:rPr>
          <w:rFonts w:ascii="Times New Roman" w:eastAsia="Times New Roman" w:hAnsi="Times New Roman" w:cs="Times New Roman"/>
          <w:sz w:val="20"/>
          <w:szCs w:val="20"/>
        </w:rPr>
        <w:t xml:space="preserve">&gt;. </w:t>
      </w:r>
    </w:p>
  </w:footnote>
  <w:footnote w:id="85">
    <w:p w:rsidR="00420407" w:rsidRDefault="00420407" w:rsidP="00420407">
      <w:pPr>
        <w:spacing w:line="240" w:lineRule="auto"/>
        <w:rPr>
          <w:rFonts w:ascii="Arial" w:eastAsia="Arial" w:hAnsi="Arial" w:cs="Arial"/>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 Aneesha Mathur, Why Supreme Court called for guidelines to put juveniles under trial as adults (2022) &lt;</w:t>
      </w:r>
      <w:hyperlink r:id="rId110" w:history="1">
        <w:r>
          <w:rPr>
            <w:rStyle w:val="Hyperlink"/>
            <w:color w:val="0000FF"/>
            <w:sz w:val="20"/>
            <w:szCs w:val="20"/>
          </w:rPr>
          <w:t>https://www.indiatoday.in/law/story/why-supreme-court-called-for-guidelines-to-put-juveniles-under-trial-as-adults-1976670-2022-07-17</w:t>
        </w:r>
      </w:hyperlink>
      <w:r>
        <w:rPr>
          <w:rFonts w:ascii="Times New Roman" w:eastAsia="Times New Roman" w:hAnsi="Times New Roman" w:cs="Times New Roman"/>
          <w:sz w:val="20"/>
          <w:szCs w:val="20"/>
        </w:rPr>
        <w:t>&gt;.</w:t>
      </w:r>
    </w:p>
  </w:footnote>
  <w:footnote w:id="86">
    <w:p w:rsidR="00420407" w:rsidRDefault="00420407" w:rsidP="00420407">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Juvenile Justice Act, 2015, Section 12. </w:t>
      </w:r>
    </w:p>
  </w:footnote>
  <w:footnote w:id="87">
    <w:p w:rsidR="00420407" w:rsidRDefault="00420407" w:rsidP="0042040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See Lalu Kumar v. State of Bihar, 2019 SCC OnLine Pat 1697 where Patna HC held that since the JJ Act, 2015 is a</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 xml:space="preserve">special Act, which contains provision for bail, the same shall prevail over those of the CrPC; contrasted with the Delhi HC in Sumit Kumar v. State (NCT of Delhi), 2022 SCC OnLine Del 4981 which stated that the position in </w:t>
      </w:r>
      <w:r>
        <w:rPr>
          <w:rFonts w:ascii="Times New Roman" w:eastAsia="Times New Roman" w:hAnsi="Times New Roman" w:cs="Times New Roman"/>
          <w:i/>
          <w:sz w:val="20"/>
          <w:szCs w:val="20"/>
        </w:rPr>
        <w:t>Lalu Kumar</w:t>
      </w:r>
      <w:r>
        <w:rPr>
          <w:rFonts w:ascii="Times New Roman" w:eastAsia="Times New Roman" w:hAnsi="Times New Roman" w:cs="Times New Roman"/>
          <w:sz w:val="20"/>
          <w:szCs w:val="20"/>
        </w:rPr>
        <w:t xml:space="preserve"> does not deal with a situation where a CCL has been ordered to be tried as an adult and given the serious nature of the offence and possibility of commission of further offences if released on bail, the CCL was denied bail as per S. 12 JJ Act; contrasted with Sandeep Ayodhya Prasad Rajak v. State of Maharashtra 2022 SCC OnlineBom 1825 where where the juvenile accused under the POCSO Act was ordered to be tried as an adult, the High Court stated that the benefit of S. 12, JJ Act cannot be denied to the child.</w:t>
      </w:r>
    </w:p>
  </w:footnote>
  <w:footnote w:id="88">
    <w:p w:rsidR="00420407" w:rsidRDefault="00420407" w:rsidP="00420407">
      <w:pPr>
        <w:spacing w:line="240" w:lineRule="auto"/>
        <w:jc w:val="both"/>
        <w:rPr>
          <w:rFonts w:ascii="Arial" w:eastAsia="Arial" w:hAnsi="Arial" w:cs="Arial"/>
          <w:sz w:val="20"/>
          <w:szCs w:val="20"/>
        </w:rPr>
      </w:pPr>
      <w:r>
        <w:rPr>
          <w:vertAlign w:val="superscript"/>
        </w:rPr>
        <w:footnoteRef/>
      </w:r>
      <w:r>
        <w:rPr>
          <w:rFonts w:ascii="Times New Roman" w:eastAsia="Times New Roman" w:hAnsi="Times New Roman" w:cs="Times New Roman"/>
          <w:sz w:val="20"/>
          <w:szCs w:val="20"/>
        </w:rPr>
        <w:t xml:space="preserve"> Gulam Jeelani, Over 9,600 children ‘wrongly’ locked up in adult jails in India in 6 years: RTI study (2024) &lt;</w:t>
      </w:r>
      <w:hyperlink r:id="rId111" w:history="1">
        <w:r>
          <w:rPr>
            <w:rStyle w:val="Hyperlink"/>
            <w:color w:val="0000FF"/>
            <w:sz w:val="20"/>
            <w:szCs w:val="20"/>
          </w:rPr>
          <w:t>https://www.livemint.com/news/over-9-600-children-wrongly-locked-up-in-adult-jails-in-india-in-6-years-says-a-report-11715410295500.html</w:t>
        </w:r>
      </w:hyperlink>
      <w:r>
        <w:rPr>
          <w:rFonts w:ascii="Times New Roman" w:eastAsia="Times New Roman" w:hAnsi="Times New Roman" w:cs="Times New Roman"/>
          <w:sz w:val="20"/>
          <w:szCs w:val="20"/>
        </w:rPr>
        <w:t xml:space="preserve">&gt;. </w:t>
      </w:r>
    </w:p>
  </w:footnote>
  <w:footnote w:id="89">
    <w:p w:rsidR="00420407" w:rsidRDefault="00420407" w:rsidP="0042040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For instance, Katherine Deborah Joy, Free at last: The story of a child who spent 25 years on death row &amp; emerged as a free man, </w:t>
      </w:r>
      <w:r>
        <w:rPr>
          <w:rFonts w:ascii="Times New Roman" w:eastAsia="Times New Roman" w:hAnsi="Times New Roman" w:cs="Times New Roman"/>
          <w:i/>
          <w:sz w:val="20"/>
          <w:szCs w:val="20"/>
        </w:rPr>
        <w:t xml:space="preserve">Article 14 </w:t>
      </w:r>
      <w:r>
        <w:rPr>
          <w:rFonts w:ascii="Times New Roman" w:eastAsia="Times New Roman" w:hAnsi="Times New Roman" w:cs="Times New Roman"/>
          <w:sz w:val="20"/>
          <w:szCs w:val="20"/>
        </w:rPr>
        <w:t>(17 April 2023) &lt;</w:t>
      </w:r>
      <w:hyperlink r:id="rId112" w:history="1">
        <w:r>
          <w:rPr>
            <w:rStyle w:val="Hyperlink"/>
            <w:color w:val="1155CC"/>
            <w:sz w:val="20"/>
            <w:szCs w:val="20"/>
          </w:rPr>
          <w:t>https://article-14.com/post/free-at-last-the-story-of-a-child-who-spent-25-years-on-death-row-emerged-a-free-man--643c9fb92953e</w:t>
        </w:r>
      </w:hyperlink>
      <w:r>
        <w:rPr>
          <w:rFonts w:ascii="Times New Roman" w:eastAsia="Times New Roman" w:hAnsi="Times New Roman" w:cs="Times New Roman"/>
          <w:sz w:val="20"/>
          <w:szCs w:val="20"/>
        </w:rPr>
        <w:t>&gt;. A recent study based on functioning of magistrate courts in Delhi suggests improper scrutiny into the age of the accused during remand proceedings, including instances where individuals were sent to adult jails pending age verification by the police, in complete violation of the Juvenile Justice Act. Jinee Lokaneeta &amp; Zeba Sikora, Magistrates &amp; Constitutional Projections (Project 39A, 2024) &lt;</w:t>
      </w:r>
      <w:hyperlink r:id="rId113" w:history="1">
        <w:r>
          <w:rPr>
            <w:rStyle w:val="Hyperlink"/>
            <w:color w:val="0000FF"/>
            <w:sz w:val="20"/>
            <w:szCs w:val="20"/>
          </w:rPr>
          <w:t>https://drive.google.com/file/d/1Ake8mbmo4vOMJPccUiuS5vsM1hCRfx3F/view</w:t>
        </w:r>
      </w:hyperlink>
      <w:r>
        <w:rPr>
          <w:rFonts w:ascii="Times New Roman" w:eastAsia="Times New Roman" w:hAnsi="Times New Roman" w:cs="Times New Roman"/>
          <w:sz w:val="20"/>
          <w:szCs w:val="20"/>
        </w:rPr>
        <w:t xml:space="preserve">&gt;.  </w:t>
      </w:r>
    </w:p>
    <w:p w:rsidR="00420407" w:rsidRDefault="00420407" w:rsidP="00420407">
      <w:pPr>
        <w:spacing w:line="240" w:lineRule="auto"/>
        <w:rPr>
          <w:rFonts w:ascii="Arial" w:eastAsia="Arial" w:hAnsi="Arial" w:cs="Arial"/>
          <w:sz w:val="20"/>
          <w:szCs w:val="20"/>
          <w:highlight w:val="yellow"/>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952A0E"/>
    <w:multiLevelType w:val="multilevel"/>
    <w:tmpl w:val="1E8E9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F30F08"/>
    <w:multiLevelType w:val="hybridMultilevel"/>
    <w:tmpl w:val="11D8C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DBA2EAC"/>
    <w:multiLevelType w:val="multilevel"/>
    <w:tmpl w:val="860024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31F41B20"/>
    <w:multiLevelType w:val="hybridMultilevel"/>
    <w:tmpl w:val="A8DC7890"/>
    <w:lvl w:ilvl="0" w:tplc="6BA2C824">
      <w:start w:val="3"/>
      <w:numFmt w:val="bullet"/>
      <w:lvlText w:val=""/>
      <w:lvlJc w:val="left"/>
      <w:pPr>
        <w:ind w:left="720" w:hanging="360"/>
      </w:pPr>
      <w:rPr>
        <w:rFonts w:ascii="Symbol" w:eastAsiaTheme="minorHAnsi" w:hAnsi="Symbol" w:cs="Courier"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45E2549"/>
    <w:multiLevelType w:val="multilevel"/>
    <w:tmpl w:val="56A2F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49625D6"/>
    <w:multiLevelType w:val="multilevel"/>
    <w:tmpl w:val="9C108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D7D2038"/>
    <w:multiLevelType w:val="multilevel"/>
    <w:tmpl w:val="769CE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0373567"/>
    <w:multiLevelType w:val="multilevel"/>
    <w:tmpl w:val="D9FE7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E85541D"/>
    <w:multiLevelType w:val="multilevel"/>
    <w:tmpl w:val="5526F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2FA3CD9"/>
    <w:multiLevelType w:val="multilevel"/>
    <w:tmpl w:val="3B3CC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F721C16"/>
    <w:multiLevelType w:val="multilevel"/>
    <w:tmpl w:val="67F6B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8"/>
  </w:num>
  <w:num w:numId="3">
    <w:abstractNumId w:val="7"/>
  </w:num>
  <w:num w:numId="4">
    <w:abstractNumId w:val="4"/>
  </w:num>
  <w:num w:numId="5">
    <w:abstractNumId w:val="6"/>
  </w:num>
  <w:num w:numId="6">
    <w:abstractNumId w:val="10"/>
  </w:num>
  <w:num w:numId="7">
    <w:abstractNumId w:val="9"/>
  </w:num>
  <w:num w:numId="8">
    <w:abstractNumId w:val="0"/>
  </w:num>
  <w:num w:numId="9">
    <w:abstractNumId w:val="5"/>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747"/>
    <w:rsid w:val="00001363"/>
    <w:rsid w:val="00006426"/>
    <w:rsid w:val="0001024D"/>
    <w:rsid w:val="000249F9"/>
    <w:rsid w:val="00037A17"/>
    <w:rsid w:val="00043E8A"/>
    <w:rsid w:val="000472B3"/>
    <w:rsid w:val="00047593"/>
    <w:rsid w:val="000904B3"/>
    <w:rsid w:val="000914CC"/>
    <w:rsid w:val="00093328"/>
    <w:rsid w:val="00094F54"/>
    <w:rsid w:val="000B0391"/>
    <w:rsid w:val="000B18DE"/>
    <w:rsid w:val="000B2840"/>
    <w:rsid w:val="000B7B91"/>
    <w:rsid w:val="000C6828"/>
    <w:rsid w:val="000D392C"/>
    <w:rsid w:val="0010247A"/>
    <w:rsid w:val="001144C3"/>
    <w:rsid w:val="001206A9"/>
    <w:rsid w:val="00122622"/>
    <w:rsid w:val="001233DB"/>
    <w:rsid w:val="00130012"/>
    <w:rsid w:val="00136712"/>
    <w:rsid w:val="00143358"/>
    <w:rsid w:val="001560F8"/>
    <w:rsid w:val="00160B51"/>
    <w:rsid w:val="00165E1E"/>
    <w:rsid w:val="00166FB6"/>
    <w:rsid w:val="00191D6C"/>
    <w:rsid w:val="001B077C"/>
    <w:rsid w:val="001B7FF7"/>
    <w:rsid w:val="001D6CA6"/>
    <w:rsid w:val="001E24FC"/>
    <w:rsid w:val="001E6FE7"/>
    <w:rsid w:val="001F31DD"/>
    <w:rsid w:val="00200A42"/>
    <w:rsid w:val="00207CE0"/>
    <w:rsid w:val="002127F9"/>
    <w:rsid w:val="00217BD8"/>
    <w:rsid w:val="002200E3"/>
    <w:rsid w:val="002547BB"/>
    <w:rsid w:val="00257459"/>
    <w:rsid w:val="00267D3E"/>
    <w:rsid w:val="00275FEE"/>
    <w:rsid w:val="002765DA"/>
    <w:rsid w:val="00291C48"/>
    <w:rsid w:val="002A21D7"/>
    <w:rsid w:val="002C4786"/>
    <w:rsid w:val="00310F77"/>
    <w:rsid w:val="00313904"/>
    <w:rsid w:val="00317635"/>
    <w:rsid w:val="0034270C"/>
    <w:rsid w:val="00343AF1"/>
    <w:rsid w:val="0034767B"/>
    <w:rsid w:val="00347E29"/>
    <w:rsid w:val="00386EE4"/>
    <w:rsid w:val="003965E5"/>
    <w:rsid w:val="003B054E"/>
    <w:rsid w:val="003C3AFD"/>
    <w:rsid w:val="003D0062"/>
    <w:rsid w:val="003D71FC"/>
    <w:rsid w:val="00400663"/>
    <w:rsid w:val="004009ED"/>
    <w:rsid w:val="00400B9E"/>
    <w:rsid w:val="0040474E"/>
    <w:rsid w:val="004144A0"/>
    <w:rsid w:val="00420407"/>
    <w:rsid w:val="004271F9"/>
    <w:rsid w:val="00454B7E"/>
    <w:rsid w:val="00494228"/>
    <w:rsid w:val="004A2078"/>
    <w:rsid w:val="004C4883"/>
    <w:rsid w:val="004D01ED"/>
    <w:rsid w:val="004D0A09"/>
    <w:rsid w:val="004E13EA"/>
    <w:rsid w:val="004E2312"/>
    <w:rsid w:val="00503EB1"/>
    <w:rsid w:val="0050773B"/>
    <w:rsid w:val="00515CDC"/>
    <w:rsid w:val="00524951"/>
    <w:rsid w:val="005346B3"/>
    <w:rsid w:val="00550204"/>
    <w:rsid w:val="005502D0"/>
    <w:rsid w:val="00557069"/>
    <w:rsid w:val="00564DF2"/>
    <w:rsid w:val="00565F89"/>
    <w:rsid w:val="00573198"/>
    <w:rsid w:val="00585568"/>
    <w:rsid w:val="005A3947"/>
    <w:rsid w:val="005A789C"/>
    <w:rsid w:val="005B79A8"/>
    <w:rsid w:val="005C0A2F"/>
    <w:rsid w:val="005C0BE9"/>
    <w:rsid w:val="005C7BDD"/>
    <w:rsid w:val="005D0E0F"/>
    <w:rsid w:val="005D5F5D"/>
    <w:rsid w:val="005E1B5C"/>
    <w:rsid w:val="00600388"/>
    <w:rsid w:val="00624F98"/>
    <w:rsid w:val="00634F48"/>
    <w:rsid w:val="00652EDF"/>
    <w:rsid w:val="0065492B"/>
    <w:rsid w:val="00666532"/>
    <w:rsid w:val="006715D6"/>
    <w:rsid w:val="00676332"/>
    <w:rsid w:val="0069468E"/>
    <w:rsid w:val="006A553C"/>
    <w:rsid w:val="006D0C19"/>
    <w:rsid w:val="006D2FD2"/>
    <w:rsid w:val="006E2B3B"/>
    <w:rsid w:val="006F197D"/>
    <w:rsid w:val="006F3CFC"/>
    <w:rsid w:val="006F6C51"/>
    <w:rsid w:val="007176C7"/>
    <w:rsid w:val="0073089D"/>
    <w:rsid w:val="007353FA"/>
    <w:rsid w:val="00755B6A"/>
    <w:rsid w:val="00755E86"/>
    <w:rsid w:val="00761EF6"/>
    <w:rsid w:val="00773965"/>
    <w:rsid w:val="0078410F"/>
    <w:rsid w:val="0078699A"/>
    <w:rsid w:val="00790F6A"/>
    <w:rsid w:val="007C61C6"/>
    <w:rsid w:val="007F45F9"/>
    <w:rsid w:val="0080194D"/>
    <w:rsid w:val="0080416F"/>
    <w:rsid w:val="00822DCC"/>
    <w:rsid w:val="00824BE3"/>
    <w:rsid w:val="008307A7"/>
    <w:rsid w:val="0086000A"/>
    <w:rsid w:val="00863C48"/>
    <w:rsid w:val="00890906"/>
    <w:rsid w:val="008A5EC3"/>
    <w:rsid w:val="008B4CCD"/>
    <w:rsid w:val="008B5B27"/>
    <w:rsid w:val="008D785E"/>
    <w:rsid w:val="008E170C"/>
    <w:rsid w:val="008E1AAD"/>
    <w:rsid w:val="008E3C15"/>
    <w:rsid w:val="008E7766"/>
    <w:rsid w:val="009331C4"/>
    <w:rsid w:val="00957038"/>
    <w:rsid w:val="00967CE4"/>
    <w:rsid w:val="00983008"/>
    <w:rsid w:val="00994F48"/>
    <w:rsid w:val="009C042D"/>
    <w:rsid w:val="009C7C61"/>
    <w:rsid w:val="009E160E"/>
    <w:rsid w:val="009E5716"/>
    <w:rsid w:val="009E5732"/>
    <w:rsid w:val="009E74AF"/>
    <w:rsid w:val="009F13DA"/>
    <w:rsid w:val="009F23B5"/>
    <w:rsid w:val="009F5B0D"/>
    <w:rsid w:val="009F7794"/>
    <w:rsid w:val="00A11AED"/>
    <w:rsid w:val="00A16760"/>
    <w:rsid w:val="00A218C0"/>
    <w:rsid w:val="00A432CF"/>
    <w:rsid w:val="00A5281E"/>
    <w:rsid w:val="00A57B41"/>
    <w:rsid w:val="00A67EB6"/>
    <w:rsid w:val="00A7648A"/>
    <w:rsid w:val="00A800E4"/>
    <w:rsid w:val="00AA3DC8"/>
    <w:rsid w:val="00AB1708"/>
    <w:rsid w:val="00AC7EBD"/>
    <w:rsid w:val="00AD2A24"/>
    <w:rsid w:val="00AE528F"/>
    <w:rsid w:val="00B204B6"/>
    <w:rsid w:val="00B30852"/>
    <w:rsid w:val="00B3154F"/>
    <w:rsid w:val="00B66D46"/>
    <w:rsid w:val="00B714F8"/>
    <w:rsid w:val="00B854E9"/>
    <w:rsid w:val="00B879D4"/>
    <w:rsid w:val="00B92972"/>
    <w:rsid w:val="00B978A2"/>
    <w:rsid w:val="00BB76EB"/>
    <w:rsid w:val="00BD29FA"/>
    <w:rsid w:val="00BF79D7"/>
    <w:rsid w:val="00C15B93"/>
    <w:rsid w:val="00C227E5"/>
    <w:rsid w:val="00C466D4"/>
    <w:rsid w:val="00C67457"/>
    <w:rsid w:val="00C74747"/>
    <w:rsid w:val="00C86EE4"/>
    <w:rsid w:val="00C87086"/>
    <w:rsid w:val="00C94A69"/>
    <w:rsid w:val="00CA3828"/>
    <w:rsid w:val="00CA7F91"/>
    <w:rsid w:val="00CE5792"/>
    <w:rsid w:val="00CF443B"/>
    <w:rsid w:val="00D0167A"/>
    <w:rsid w:val="00D13B8F"/>
    <w:rsid w:val="00D50018"/>
    <w:rsid w:val="00D50DAC"/>
    <w:rsid w:val="00D630C3"/>
    <w:rsid w:val="00D73E81"/>
    <w:rsid w:val="00D93C23"/>
    <w:rsid w:val="00DA45C8"/>
    <w:rsid w:val="00DB7AD3"/>
    <w:rsid w:val="00DE1458"/>
    <w:rsid w:val="00DF08AE"/>
    <w:rsid w:val="00E03C4C"/>
    <w:rsid w:val="00E07992"/>
    <w:rsid w:val="00E07B32"/>
    <w:rsid w:val="00E1672B"/>
    <w:rsid w:val="00E524A9"/>
    <w:rsid w:val="00E56FCF"/>
    <w:rsid w:val="00E57CBB"/>
    <w:rsid w:val="00E8741A"/>
    <w:rsid w:val="00E944B3"/>
    <w:rsid w:val="00EA1B13"/>
    <w:rsid w:val="00EA67FB"/>
    <w:rsid w:val="00EB56A2"/>
    <w:rsid w:val="00EE6C2B"/>
    <w:rsid w:val="00EF21C0"/>
    <w:rsid w:val="00EF359E"/>
    <w:rsid w:val="00F012BB"/>
    <w:rsid w:val="00F0407C"/>
    <w:rsid w:val="00F1198F"/>
    <w:rsid w:val="00F13CDA"/>
    <w:rsid w:val="00F53C3D"/>
    <w:rsid w:val="00F55CEE"/>
    <w:rsid w:val="00F62AB5"/>
    <w:rsid w:val="00F64BC4"/>
    <w:rsid w:val="00F66E4D"/>
    <w:rsid w:val="00F73226"/>
    <w:rsid w:val="00FA7E0F"/>
    <w:rsid w:val="00FF5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1"/>
    <w:qFormat/>
    <w:rsid w:val="00E07B32"/>
    <w:pPr>
      <w:widowControl w:val="0"/>
      <w:autoSpaceDE w:val="0"/>
      <w:autoSpaceDN w:val="0"/>
      <w:spacing w:after="0" w:line="240" w:lineRule="auto"/>
      <w:ind w:left="140"/>
      <w:outlineLvl w:val="0"/>
    </w:pPr>
    <w:rPr>
      <w:rFonts w:ascii="Times New Roman" w:eastAsia="Times New Roman" w:hAnsi="Times New Roman" w:cs="Times New Roman"/>
      <w:b/>
      <w:bCs/>
      <w:sz w:val="24"/>
      <w:szCs w:val="24"/>
      <w:lang w:bidi="en-US"/>
    </w:rPr>
  </w:style>
  <w:style w:type="paragraph" w:styleId="Heading3">
    <w:name w:val="heading 3"/>
    <w:basedOn w:val="Normal"/>
    <w:next w:val="Normal"/>
    <w:link w:val="Heading3Char"/>
    <w:uiPriority w:val="9"/>
    <w:semiHidden/>
    <w:unhideWhenUsed/>
    <w:qFormat/>
    <w:rsid w:val="000B7B9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0B7B9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E07B32"/>
    <w:rPr>
      <w:rFonts w:ascii="Times New Roman" w:eastAsia="Times New Roman" w:hAnsi="Times New Roman" w:cs="Times New Roman"/>
      <w:b/>
      <w:bCs/>
      <w:sz w:val="24"/>
      <w:szCs w:val="24"/>
      <w:lang w:bidi="en-US"/>
    </w:rPr>
  </w:style>
  <w:style w:type="paragraph" w:styleId="BodyText">
    <w:name w:val="Body Text"/>
    <w:basedOn w:val="Normal"/>
    <w:link w:val="BodyTextChar"/>
    <w:uiPriority w:val="1"/>
    <w:semiHidden/>
    <w:unhideWhenUsed/>
    <w:qFormat/>
    <w:rsid w:val="00E07B32"/>
    <w:pPr>
      <w:widowControl w:val="0"/>
      <w:autoSpaceDE w:val="0"/>
      <w:autoSpaceDN w:val="0"/>
      <w:spacing w:after="0" w:line="240" w:lineRule="auto"/>
      <w:ind w:left="140"/>
    </w:pPr>
    <w:rPr>
      <w:rFonts w:ascii="Times New Roman" w:eastAsia="Times New Roman" w:hAnsi="Times New Roman" w:cs="Times New Roman"/>
      <w:sz w:val="24"/>
      <w:szCs w:val="24"/>
      <w:lang w:bidi="en-US"/>
    </w:rPr>
  </w:style>
  <w:style w:type="character" w:customStyle="1" w:styleId="BodyTextChar">
    <w:name w:val="Body Text Char"/>
    <w:basedOn w:val="DefaultParagraphFont"/>
    <w:link w:val="BodyText"/>
    <w:uiPriority w:val="1"/>
    <w:semiHidden/>
    <w:rsid w:val="00E07B32"/>
    <w:rPr>
      <w:rFonts w:ascii="Times New Roman" w:eastAsia="Times New Roman" w:hAnsi="Times New Roman" w:cs="Times New Roman"/>
      <w:sz w:val="24"/>
      <w:szCs w:val="24"/>
      <w:lang w:bidi="en-US"/>
    </w:rPr>
  </w:style>
  <w:style w:type="paragraph" w:styleId="FootnoteText">
    <w:name w:val="footnote text"/>
    <w:basedOn w:val="Normal"/>
    <w:link w:val="FootnoteTextChar"/>
    <w:uiPriority w:val="99"/>
    <w:unhideWhenUsed/>
    <w:rsid w:val="00557069"/>
    <w:pPr>
      <w:spacing w:after="0" w:line="240" w:lineRule="auto"/>
    </w:pPr>
    <w:rPr>
      <w:sz w:val="20"/>
      <w:szCs w:val="20"/>
      <w:lang w:val="en-IN"/>
    </w:rPr>
  </w:style>
  <w:style w:type="character" w:customStyle="1" w:styleId="FootnoteTextChar">
    <w:name w:val="Footnote Text Char"/>
    <w:basedOn w:val="DefaultParagraphFont"/>
    <w:link w:val="FootnoteText"/>
    <w:uiPriority w:val="99"/>
    <w:rsid w:val="00557069"/>
    <w:rPr>
      <w:sz w:val="20"/>
      <w:szCs w:val="20"/>
      <w:lang w:val="en-IN"/>
    </w:rPr>
  </w:style>
  <w:style w:type="character" w:styleId="FootnoteReference">
    <w:name w:val="footnote reference"/>
    <w:basedOn w:val="DefaultParagraphFont"/>
    <w:uiPriority w:val="99"/>
    <w:semiHidden/>
    <w:unhideWhenUsed/>
    <w:rsid w:val="00557069"/>
    <w:rPr>
      <w:vertAlign w:val="superscript"/>
    </w:rPr>
  </w:style>
  <w:style w:type="character" w:styleId="Hyperlink">
    <w:name w:val="Hyperlink"/>
    <w:basedOn w:val="DefaultParagraphFont"/>
    <w:uiPriority w:val="99"/>
    <w:unhideWhenUsed/>
    <w:rsid w:val="00557069"/>
    <w:rPr>
      <w:color w:val="0000FF" w:themeColor="hyperlink"/>
      <w:u w:val="single"/>
    </w:rPr>
  </w:style>
  <w:style w:type="paragraph" w:styleId="ListParagraph">
    <w:name w:val="List Paragraph"/>
    <w:basedOn w:val="Normal"/>
    <w:uiPriority w:val="34"/>
    <w:qFormat/>
    <w:rsid w:val="00557069"/>
    <w:pPr>
      <w:spacing w:after="160" w:line="259" w:lineRule="auto"/>
      <w:ind w:left="720"/>
      <w:contextualSpacing/>
    </w:pPr>
    <w:rPr>
      <w:lang w:val="en-IN"/>
    </w:rPr>
  </w:style>
  <w:style w:type="paragraph" w:styleId="NormalWeb">
    <w:name w:val="Normal (Web)"/>
    <w:basedOn w:val="Normal"/>
    <w:uiPriority w:val="99"/>
    <w:unhideWhenUsed/>
    <w:qFormat/>
    <w:rsid w:val="0055706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9E74AF"/>
    <w:pPr>
      <w:autoSpaceDE w:val="0"/>
      <w:autoSpaceDN w:val="0"/>
      <w:adjustRightInd w:val="0"/>
      <w:spacing w:after="0" w:line="240" w:lineRule="auto"/>
    </w:pPr>
    <w:rPr>
      <w:rFonts w:ascii="Times New Roman" w:hAnsi="Times New Roman" w:cs="Times New Roman"/>
      <w:color w:val="000000"/>
      <w:sz w:val="24"/>
      <w:szCs w:val="24"/>
    </w:rPr>
  </w:style>
  <w:style w:type="character" w:styleId="Strong">
    <w:name w:val="Strong"/>
    <w:basedOn w:val="DefaultParagraphFont"/>
    <w:uiPriority w:val="22"/>
    <w:qFormat/>
    <w:rsid w:val="00043E8A"/>
    <w:rPr>
      <w:b/>
      <w:bCs/>
    </w:rPr>
  </w:style>
  <w:style w:type="paragraph" w:styleId="EndnoteText">
    <w:name w:val="endnote text"/>
    <w:basedOn w:val="Normal"/>
    <w:link w:val="EndnoteTextChar"/>
    <w:uiPriority w:val="99"/>
    <w:semiHidden/>
    <w:unhideWhenUsed/>
    <w:rsid w:val="003C3AF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C3AFD"/>
    <w:rPr>
      <w:sz w:val="20"/>
      <w:szCs w:val="20"/>
    </w:rPr>
  </w:style>
  <w:style w:type="character" w:styleId="EndnoteReference">
    <w:name w:val="endnote reference"/>
    <w:basedOn w:val="DefaultParagraphFont"/>
    <w:uiPriority w:val="99"/>
    <w:semiHidden/>
    <w:unhideWhenUsed/>
    <w:rsid w:val="003C3AFD"/>
    <w:rPr>
      <w:vertAlign w:val="superscript"/>
    </w:rPr>
  </w:style>
  <w:style w:type="paragraph" w:customStyle="1" w:styleId="BodyA">
    <w:name w:val="Body A"/>
    <w:rsid w:val="00AB1708"/>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bidi="hi-IN"/>
    </w:rPr>
  </w:style>
  <w:style w:type="paragraph" w:customStyle="1" w:styleId="BodyB">
    <w:name w:val="Body B"/>
    <w:rsid w:val="00AB1708"/>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bidi="hi-IN"/>
    </w:rPr>
  </w:style>
  <w:style w:type="paragraph" w:customStyle="1" w:styleId="hybridpara">
    <w:name w:val="hybrid para"/>
    <w:basedOn w:val="Normal"/>
    <w:next w:val="Normal"/>
    <w:rsid w:val="00D50018"/>
    <w:pPr>
      <w:autoSpaceDE w:val="0"/>
      <w:autoSpaceDN w:val="0"/>
      <w:spacing w:after="0" w:line="240" w:lineRule="auto"/>
    </w:pPr>
    <w:rPr>
      <w:rFonts w:ascii="Garamond Book" w:eastAsia="Times New Roman" w:hAnsi="Garamond Book" w:cs="Times New Roman"/>
      <w:lang w:val="en-GB"/>
    </w:rPr>
  </w:style>
  <w:style w:type="paragraph" w:customStyle="1" w:styleId="lo">
    <w:name w:val="lo"/>
    <w:aliases w:val="ordered list,ordered list Char"/>
    <w:basedOn w:val="Normal"/>
    <w:rsid w:val="00D50018"/>
    <w:pPr>
      <w:tabs>
        <w:tab w:val="decimal" w:pos="547"/>
      </w:tabs>
      <w:autoSpaceDE w:val="0"/>
      <w:autoSpaceDN w:val="0"/>
      <w:spacing w:after="0" w:line="240" w:lineRule="auto"/>
      <w:ind w:left="720" w:hanging="562"/>
    </w:pPr>
    <w:rPr>
      <w:rFonts w:ascii="Garamond Book" w:eastAsia="Times New Roman" w:hAnsi="Garamond Book" w:cs="Times New Roman"/>
      <w:lang w:val="en-GB"/>
    </w:rPr>
  </w:style>
  <w:style w:type="character" w:customStyle="1" w:styleId="Heading3Char">
    <w:name w:val="Heading 3 Char"/>
    <w:basedOn w:val="DefaultParagraphFont"/>
    <w:link w:val="Heading3"/>
    <w:uiPriority w:val="9"/>
    <w:semiHidden/>
    <w:rsid w:val="000B7B9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0B7B91"/>
    <w:rPr>
      <w:rFonts w:asciiTheme="majorHAnsi" w:eastAsiaTheme="majorEastAsia" w:hAnsiTheme="majorHAnsi" w:cstheme="majorBidi"/>
      <w:b/>
      <w:bCs/>
      <w:i/>
      <w:iCs/>
      <w:color w:val="4F81BD" w:themeColor="accent1"/>
    </w:rPr>
  </w:style>
  <w:style w:type="character" w:styleId="Emphasis">
    <w:name w:val="Emphasis"/>
    <w:basedOn w:val="DefaultParagraphFont"/>
    <w:uiPriority w:val="20"/>
    <w:qFormat/>
    <w:rsid w:val="000B7B91"/>
    <w:rPr>
      <w:i/>
      <w:iCs/>
    </w:rPr>
  </w:style>
  <w:style w:type="paragraph" w:styleId="BalloonText">
    <w:name w:val="Balloon Text"/>
    <w:basedOn w:val="Normal"/>
    <w:link w:val="BalloonTextChar"/>
    <w:uiPriority w:val="99"/>
    <w:semiHidden/>
    <w:unhideWhenUsed/>
    <w:rsid w:val="000B7B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7B91"/>
    <w:rPr>
      <w:rFonts w:ascii="Tahoma" w:hAnsi="Tahoma" w:cs="Tahoma"/>
      <w:sz w:val="16"/>
      <w:szCs w:val="16"/>
    </w:rPr>
  </w:style>
  <w:style w:type="paragraph" w:styleId="Header">
    <w:name w:val="header"/>
    <w:basedOn w:val="Normal"/>
    <w:link w:val="HeaderChar"/>
    <w:uiPriority w:val="99"/>
    <w:unhideWhenUsed/>
    <w:rsid w:val="000B7B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7B91"/>
  </w:style>
  <w:style w:type="paragraph" w:styleId="Footer">
    <w:name w:val="footer"/>
    <w:basedOn w:val="Normal"/>
    <w:link w:val="FooterChar"/>
    <w:uiPriority w:val="99"/>
    <w:unhideWhenUsed/>
    <w:rsid w:val="000B7B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7B91"/>
  </w:style>
  <w:style w:type="paragraph" w:customStyle="1" w:styleId="Normal1">
    <w:name w:val="Normal1"/>
    <w:rsid w:val="00983008"/>
    <w:pPr>
      <w:spacing w:after="0"/>
    </w:pPr>
    <w:rPr>
      <w:rFonts w:ascii="Arial" w:eastAsia="Arial" w:hAnsi="Arial" w:cs="Arial"/>
    </w:rPr>
  </w:style>
  <w:style w:type="character" w:customStyle="1" w:styleId="hgkelc">
    <w:name w:val="hgkelc"/>
    <w:basedOn w:val="DefaultParagraphFont"/>
    <w:rsid w:val="005346B3"/>
  </w:style>
  <w:style w:type="character" w:customStyle="1" w:styleId="jpfdse">
    <w:name w:val="jpfdse"/>
    <w:basedOn w:val="DefaultParagraphFont"/>
    <w:rsid w:val="005346B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1"/>
    <w:qFormat/>
    <w:rsid w:val="00E07B32"/>
    <w:pPr>
      <w:widowControl w:val="0"/>
      <w:autoSpaceDE w:val="0"/>
      <w:autoSpaceDN w:val="0"/>
      <w:spacing w:after="0" w:line="240" w:lineRule="auto"/>
      <w:ind w:left="140"/>
      <w:outlineLvl w:val="0"/>
    </w:pPr>
    <w:rPr>
      <w:rFonts w:ascii="Times New Roman" w:eastAsia="Times New Roman" w:hAnsi="Times New Roman" w:cs="Times New Roman"/>
      <w:b/>
      <w:bCs/>
      <w:sz w:val="24"/>
      <w:szCs w:val="24"/>
      <w:lang w:bidi="en-US"/>
    </w:rPr>
  </w:style>
  <w:style w:type="paragraph" w:styleId="Heading3">
    <w:name w:val="heading 3"/>
    <w:basedOn w:val="Normal"/>
    <w:next w:val="Normal"/>
    <w:link w:val="Heading3Char"/>
    <w:uiPriority w:val="9"/>
    <w:semiHidden/>
    <w:unhideWhenUsed/>
    <w:qFormat/>
    <w:rsid w:val="000B7B9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0B7B9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E07B32"/>
    <w:rPr>
      <w:rFonts w:ascii="Times New Roman" w:eastAsia="Times New Roman" w:hAnsi="Times New Roman" w:cs="Times New Roman"/>
      <w:b/>
      <w:bCs/>
      <w:sz w:val="24"/>
      <w:szCs w:val="24"/>
      <w:lang w:bidi="en-US"/>
    </w:rPr>
  </w:style>
  <w:style w:type="paragraph" w:styleId="BodyText">
    <w:name w:val="Body Text"/>
    <w:basedOn w:val="Normal"/>
    <w:link w:val="BodyTextChar"/>
    <w:uiPriority w:val="1"/>
    <w:semiHidden/>
    <w:unhideWhenUsed/>
    <w:qFormat/>
    <w:rsid w:val="00E07B32"/>
    <w:pPr>
      <w:widowControl w:val="0"/>
      <w:autoSpaceDE w:val="0"/>
      <w:autoSpaceDN w:val="0"/>
      <w:spacing w:after="0" w:line="240" w:lineRule="auto"/>
      <w:ind w:left="140"/>
    </w:pPr>
    <w:rPr>
      <w:rFonts w:ascii="Times New Roman" w:eastAsia="Times New Roman" w:hAnsi="Times New Roman" w:cs="Times New Roman"/>
      <w:sz w:val="24"/>
      <w:szCs w:val="24"/>
      <w:lang w:bidi="en-US"/>
    </w:rPr>
  </w:style>
  <w:style w:type="character" w:customStyle="1" w:styleId="BodyTextChar">
    <w:name w:val="Body Text Char"/>
    <w:basedOn w:val="DefaultParagraphFont"/>
    <w:link w:val="BodyText"/>
    <w:uiPriority w:val="1"/>
    <w:semiHidden/>
    <w:rsid w:val="00E07B32"/>
    <w:rPr>
      <w:rFonts w:ascii="Times New Roman" w:eastAsia="Times New Roman" w:hAnsi="Times New Roman" w:cs="Times New Roman"/>
      <w:sz w:val="24"/>
      <w:szCs w:val="24"/>
      <w:lang w:bidi="en-US"/>
    </w:rPr>
  </w:style>
  <w:style w:type="paragraph" w:styleId="FootnoteText">
    <w:name w:val="footnote text"/>
    <w:basedOn w:val="Normal"/>
    <w:link w:val="FootnoteTextChar"/>
    <w:uiPriority w:val="99"/>
    <w:unhideWhenUsed/>
    <w:rsid w:val="00557069"/>
    <w:pPr>
      <w:spacing w:after="0" w:line="240" w:lineRule="auto"/>
    </w:pPr>
    <w:rPr>
      <w:sz w:val="20"/>
      <w:szCs w:val="20"/>
      <w:lang w:val="en-IN"/>
    </w:rPr>
  </w:style>
  <w:style w:type="character" w:customStyle="1" w:styleId="FootnoteTextChar">
    <w:name w:val="Footnote Text Char"/>
    <w:basedOn w:val="DefaultParagraphFont"/>
    <w:link w:val="FootnoteText"/>
    <w:uiPriority w:val="99"/>
    <w:rsid w:val="00557069"/>
    <w:rPr>
      <w:sz w:val="20"/>
      <w:szCs w:val="20"/>
      <w:lang w:val="en-IN"/>
    </w:rPr>
  </w:style>
  <w:style w:type="character" w:styleId="FootnoteReference">
    <w:name w:val="footnote reference"/>
    <w:basedOn w:val="DefaultParagraphFont"/>
    <w:uiPriority w:val="99"/>
    <w:semiHidden/>
    <w:unhideWhenUsed/>
    <w:rsid w:val="00557069"/>
    <w:rPr>
      <w:vertAlign w:val="superscript"/>
    </w:rPr>
  </w:style>
  <w:style w:type="character" w:styleId="Hyperlink">
    <w:name w:val="Hyperlink"/>
    <w:basedOn w:val="DefaultParagraphFont"/>
    <w:uiPriority w:val="99"/>
    <w:unhideWhenUsed/>
    <w:rsid w:val="00557069"/>
    <w:rPr>
      <w:color w:val="0000FF" w:themeColor="hyperlink"/>
      <w:u w:val="single"/>
    </w:rPr>
  </w:style>
  <w:style w:type="paragraph" w:styleId="ListParagraph">
    <w:name w:val="List Paragraph"/>
    <w:basedOn w:val="Normal"/>
    <w:uiPriority w:val="34"/>
    <w:qFormat/>
    <w:rsid w:val="00557069"/>
    <w:pPr>
      <w:spacing w:after="160" w:line="259" w:lineRule="auto"/>
      <w:ind w:left="720"/>
      <w:contextualSpacing/>
    </w:pPr>
    <w:rPr>
      <w:lang w:val="en-IN"/>
    </w:rPr>
  </w:style>
  <w:style w:type="paragraph" w:styleId="NormalWeb">
    <w:name w:val="Normal (Web)"/>
    <w:basedOn w:val="Normal"/>
    <w:uiPriority w:val="99"/>
    <w:unhideWhenUsed/>
    <w:qFormat/>
    <w:rsid w:val="0055706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9E74AF"/>
    <w:pPr>
      <w:autoSpaceDE w:val="0"/>
      <w:autoSpaceDN w:val="0"/>
      <w:adjustRightInd w:val="0"/>
      <w:spacing w:after="0" w:line="240" w:lineRule="auto"/>
    </w:pPr>
    <w:rPr>
      <w:rFonts w:ascii="Times New Roman" w:hAnsi="Times New Roman" w:cs="Times New Roman"/>
      <w:color w:val="000000"/>
      <w:sz w:val="24"/>
      <w:szCs w:val="24"/>
    </w:rPr>
  </w:style>
  <w:style w:type="character" w:styleId="Strong">
    <w:name w:val="Strong"/>
    <w:basedOn w:val="DefaultParagraphFont"/>
    <w:uiPriority w:val="22"/>
    <w:qFormat/>
    <w:rsid w:val="00043E8A"/>
    <w:rPr>
      <w:b/>
      <w:bCs/>
    </w:rPr>
  </w:style>
  <w:style w:type="paragraph" w:styleId="EndnoteText">
    <w:name w:val="endnote text"/>
    <w:basedOn w:val="Normal"/>
    <w:link w:val="EndnoteTextChar"/>
    <w:uiPriority w:val="99"/>
    <w:semiHidden/>
    <w:unhideWhenUsed/>
    <w:rsid w:val="003C3AF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C3AFD"/>
    <w:rPr>
      <w:sz w:val="20"/>
      <w:szCs w:val="20"/>
    </w:rPr>
  </w:style>
  <w:style w:type="character" w:styleId="EndnoteReference">
    <w:name w:val="endnote reference"/>
    <w:basedOn w:val="DefaultParagraphFont"/>
    <w:uiPriority w:val="99"/>
    <w:semiHidden/>
    <w:unhideWhenUsed/>
    <w:rsid w:val="003C3AFD"/>
    <w:rPr>
      <w:vertAlign w:val="superscript"/>
    </w:rPr>
  </w:style>
  <w:style w:type="paragraph" w:customStyle="1" w:styleId="BodyA">
    <w:name w:val="Body A"/>
    <w:rsid w:val="00AB1708"/>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bidi="hi-IN"/>
    </w:rPr>
  </w:style>
  <w:style w:type="paragraph" w:customStyle="1" w:styleId="BodyB">
    <w:name w:val="Body B"/>
    <w:rsid w:val="00AB1708"/>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bidi="hi-IN"/>
    </w:rPr>
  </w:style>
  <w:style w:type="paragraph" w:customStyle="1" w:styleId="hybridpara">
    <w:name w:val="hybrid para"/>
    <w:basedOn w:val="Normal"/>
    <w:next w:val="Normal"/>
    <w:rsid w:val="00D50018"/>
    <w:pPr>
      <w:autoSpaceDE w:val="0"/>
      <w:autoSpaceDN w:val="0"/>
      <w:spacing w:after="0" w:line="240" w:lineRule="auto"/>
    </w:pPr>
    <w:rPr>
      <w:rFonts w:ascii="Garamond Book" w:eastAsia="Times New Roman" w:hAnsi="Garamond Book" w:cs="Times New Roman"/>
      <w:lang w:val="en-GB"/>
    </w:rPr>
  </w:style>
  <w:style w:type="paragraph" w:customStyle="1" w:styleId="lo">
    <w:name w:val="lo"/>
    <w:aliases w:val="ordered list,ordered list Char"/>
    <w:basedOn w:val="Normal"/>
    <w:rsid w:val="00D50018"/>
    <w:pPr>
      <w:tabs>
        <w:tab w:val="decimal" w:pos="547"/>
      </w:tabs>
      <w:autoSpaceDE w:val="0"/>
      <w:autoSpaceDN w:val="0"/>
      <w:spacing w:after="0" w:line="240" w:lineRule="auto"/>
      <w:ind w:left="720" w:hanging="562"/>
    </w:pPr>
    <w:rPr>
      <w:rFonts w:ascii="Garamond Book" w:eastAsia="Times New Roman" w:hAnsi="Garamond Book" w:cs="Times New Roman"/>
      <w:lang w:val="en-GB"/>
    </w:rPr>
  </w:style>
  <w:style w:type="character" w:customStyle="1" w:styleId="Heading3Char">
    <w:name w:val="Heading 3 Char"/>
    <w:basedOn w:val="DefaultParagraphFont"/>
    <w:link w:val="Heading3"/>
    <w:uiPriority w:val="9"/>
    <w:semiHidden/>
    <w:rsid w:val="000B7B9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0B7B91"/>
    <w:rPr>
      <w:rFonts w:asciiTheme="majorHAnsi" w:eastAsiaTheme="majorEastAsia" w:hAnsiTheme="majorHAnsi" w:cstheme="majorBidi"/>
      <w:b/>
      <w:bCs/>
      <w:i/>
      <w:iCs/>
      <w:color w:val="4F81BD" w:themeColor="accent1"/>
    </w:rPr>
  </w:style>
  <w:style w:type="character" w:styleId="Emphasis">
    <w:name w:val="Emphasis"/>
    <w:basedOn w:val="DefaultParagraphFont"/>
    <w:uiPriority w:val="20"/>
    <w:qFormat/>
    <w:rsid w:val="000B7B91"/>
    <w:rPr>
      <w:i/>
      <w:iCs/>
    </w:rPr>
  </w:style>
  <w:style w:type="paragraph" w:styleId="BalloonText">
    <w:name w:val="Balloon Text"/>
    <w:basedOn w:val="Normal"/>
    <w:link w:val="BalloonTextChar"/>
    <w:uiPriority w:val="99"/>
    <w:semiHidden/>
    <w:unhideWhenUsed/>
    <w:rsid w:val="000B7B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7B91"/>
    <w:rPr>
      <w:rFonts w:ascii="Tahoma" w:hAnsi="Tahoma" w:cs="Tahoma"/>
      <w:sz w:val="16"/>
      <w:szCs w:val="16"/>
    </w:rPr>
  </w:style>
  <w:style w:type="paragraph" w:styleId="Header">
    <w:name w:val="header"/>
    <w:basedOn w:val="Normal"/>
    <w:link w:val="HeaderChar"/>
    <w:uiPriority w:val="99"/>
    <w:unhideWhenUsed/>
    <w:rsid w:val="000B7B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7B91"/>
  </w:style>
  <w:style w:type="paragraph" w:styleId="Footer">
    <w:name w:val="footer"/>
    <w:basedOn w:val="Normal"/>
    <w:link w:val="FooterChar"/>
    <w:uiPriority w:val="99"/>
    <w:unhideWhenUsed/>
    <w:rsid w:val="000B7B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7B91"/>
  </w:style>
  <w:style w:type="paragraph" w:customStyle="1" w:styleId="Normal1">
    <w:name w:val="Normal1"/>
    <w:rsid w:val="00983008"/>
    <w:pPr>
      <w:spacing w:after="0"/>
    </w:pPr>
    <w:rPr>
      <w:rFonts w:ascii="Arial" w:eastAsia="Arial" w:hAnsi="Arial" w:cs="Arial"/>
    </w:rPr>
  </w:style>
  <w:style w:type="character" w:customStyle="1" w:styleId="hgkelc">
    <w:name w:val="hgkelc"/>
    <w:basedOn w:val="DefaultParagraphFont"/>
    <w:rsid w:val="005346B3"/>
  </w:style>
  <w:style w:type="character" w:customStyle="1" w:styleId="jpfdse">
    <w:name w:val="jpfdse"/>
    <w:basedOn w:val="DefaultParagraphFont"/>
    <w:rsid w:val="005346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19173">
      <w:bodyDiv w:val="1"/>
      <w:marLeft w:val="0"/>
      <w:marRight w:val="0"/>
      <w:marTop w:val="0"/>
      <w:marBottom w:val="0"/>
      <w:divBdr>
        <w:top w:val="none" w:sz="0" w:space="0" w:color="auto"/>
        <w:left w:val="none" w:sz="0" w:space="0" w:color="auto"/>
        <w:bottom w:val="none" w:sz="0" w:space="0" w:color="auto"/>
        <w:right w:val="none" w:sz="0" w:space="0" w:color="auto"/>
      </w:divBdr>
    </w:div>
    <w:div w:id="42019881">
      <w:bodyDiv w:val="1"/>
      <w:marLeft w:val="0"/>
      <w:marRight w:val="0"/>
      <w:marTop w:val="0"/>
      <w:marBottom w:val="0"/>
      <w:divBdr>
        <w:top w:val="none" w:sz="0" w:space="0" w:color="auto"/>
        <w:left w:val="none" w:sz="0" w:space="0" w:color="auto"/>
        <w:bottom w:val="none" w:sz="0" w:space="0" w:color="auto"/>
        <w:right w:val="none" w:sz="0" w:space="0" w:color="auto"/>
      </w:divBdr>
    </w:div>
    <w:div w:id="185605239">
      <w:bodyDiv w:val="1"/>
      <w:marLeft w:val="0"/>
      <w:marRight w:val="0"/>
      <w:marTop w:val="0"/>
      <w:marBottom w:val="0"/>
      <w:divBdr>
        <w:top w:val="none" w:sz="0" w:space="0" w:color="auto"/>
        <w:left w:val="none" w:sz="0" w:space="0" w:color="auto"/>
        <w:bottom w:val="none" w:sz="0" w:space="0" w:color="auto"/>
        <w:right w:val="none" w:sz="0" w:space="0" w:color="auto"/>
      </w:divBdr>
    </w:div>
    <w:div w:id="233469004">
      <w:bodyDiv w:val="1"/>
      <w:marLeft w:val="0"/>
      <w:marRight w:val="0"/>
      <w:marTop w:val="0"/>
      <w:marBottom w:val="0"/>
      <w:divBdr>
        <w:top w:val="none" w:sz="0" w:space="0" w:color="auto"/>
        <w:left w:val="none" w:sz="0" w:space="0" w:color="auto"/>
        <w:bottom w:val="none" w:sz="0" w:space="0" w:color="auto"/>
        <w:right w:val="none" w:sz="0" w:space="0" w:color="auto"/>
      </w:divBdr>
    </w:div>
    <w:div w:id="244388857">
      <w:bodyDiv w:val="1"/>
      <w:marLeft w:val="0"/>
      <w:marRight w:val="0"/>
      <w:marTop w:val="0"/>
      <w:marBottom w:val="0"/>
      <w:divBdr>
        <w:top w:val="none" w:sz="0" w:space="0" w:color="auto"/>
        <w:left w:val="none" w:sz="0" w:space="0" w:color="auto"/>
        <w:bottom w:val="none" w:sz="0" w:space="0" w:color="auto"/>
        <w:right w:val="none" w:sz="0" w:space="0" w:color="auto"/>
      </w:divBdr>
    </w:div>
    <w:div w:id="508522474">
      <w:bodyDiv w:val="1"/>
      <w:marLeft w:val="0"/>
      <w:marRight w:val="0"/>
      <w:marTop w:val="0"/>
      <w:marBottom w:val="0"/>
      <w:divBdr>
        <w:top w:val="none" w:sz="0" w:space="0" w:color="auto"/>
        <w:left w:val="none" w:sz="0" w:space="0" w:color="auto"/>
        <w:bottom w:val="none" w:sz="0" w:space="0" w:color="auto"/>
        <w:right w:val="none" w:sz="0" w:space="0" w:color="auto"/>
      </w:divBdr>
    </w:div>
    <w:div w:id="845751772">
      <w:bodyDiv w:val="1"/>
      <w:marLeft w:val="0"/>
      <w:marRight w:val="0"/>
      <w:marTop w:val="0"/>
      <w:marBottom w:val="0"/>
      <w:divBdr>
        <w:top w:val="none" w:sz="0" w:space="0" w:color="auto"/>
        <w:left w:val="none" w:sz="0" w:space="0" w:color="auto"/>
        <w:bottom w:val="none" w:sz="0" w:space="0" w:color="auto"/>
        <w:right w:val="none" w:sz="0" w:space="0" w:color="auto"/>
      </w:divBdr>
    </w:div>
    <w:div w:id="943423388">
      <w:bodyDiv w:val="1"/>
      <w:marLeft w:val="0"/>
      <w:marRight w:val="0"/>
      <w:marTop w:val="0"/>
      <w:marBottom w:val="0"/>
      <w:divBdr>
        <w:top w:val="none" w:sz="0" w:space="0" w:color="auto"/>
        <w:left w:val="none" w:sz="0" w:space="0" w:color="auto"/>
        <w:bottom w:val="none" w:sz="0" w:space="0" w:color="auto"/>
        <w:right w:val="none" w:sz="0" w:space="0" w:color="auto"/>
      </w:divBdr>
    </w:div>
    <w:div w:id="982540829">
      <w:bodyDiv w:val="1"/>
      <w:marLeft w:val="0"/>
      <w:marRight w:val="0"/>
      <w:marTop w:val="0"/>
      <w:marBottom w:val="0"/>
      <w:divBdr>
        <w:top w:val="none" w:sz="0" w:space="0" w:color="auto"/>
        <w:left w:val="none" w:sz="0" w:space="0" w:color="auto"/>
        <w:bottom w:val="none" w:sz="0" w:space="0" w:color="auto"/>
        <w:right w:val="none" w:sz="0" w:space="0" w:color="auto"/>
      </w:divBdr>
    </w:div>
    <w:div w:id="996808383">
      <w:bodyDiv w:val="1"/>
      <w:marLeft w:val="0"/>
      <w:marRight w:val="0"/>
      <w:marTop w:val="0"/>
      <w:marBottom w:val="0"/>
      <w:divBdr>
        <w:top w:val="none" w:sz="0" w:space="0" w:color="auto"/>
        <w:left w:val="none" w:sz="0" w:space="0" w:color="auto"/>
        <w:bottom w:val="none" w:sz="0" w:space="0" w:color="auto"/>
        <w:right w:val="none" w:sz="0" w:space="0" w:color="auto"/>
      </w:divBdr>
    </w:div>
    <w:div w:id="1080560445">
      <w:bodyDiv w:val="1"/>
      <w:marLeft w:val="0"/>
      <w:marRight w:val="0"/>
      <w:marTop w:val="0"/>
      <w:marBottom w:val="0"/>
      <w:divBdr>
        <w:top w:val="none" w:sz="0" w:space="0" w:color="auto"/>
        <w:left w:val="none" w:sz="0" w:space="0" w:color="auto"/>
        <w:bottom w:val="none" w:sz="0" w:space="0" w:color="auto"/>
        <w:right w:val="none" w:sz="0" w:space="0" w:color="auto"/>
      </w:divBdr>
      <w:divsChild>
        <w:div w:id="576745885">
          <w:blockQuote w:val="1"/>
          <w:marLeft w:val="0"/>
          <w:marRight w:val="150"/>
          <w:marTop w:val="360"/>
          <w:marBottom w:val="360"/>
          <w:divBdr>
            <w:top w:val="none" w:sz="0" w:space="0" w:color="auto"/>
            <w:left w:val="none" w:sz="0" w:space="0" w:color="auto"/>
            <w:bottom w:val="none" w:sz="0" w:space="0" w:color="auto"/>
            <w:right w:val="none" w:sz="0" w:space="0" w:color="auto"/>
          </w:divBdr>
        </w:div>
      </w:divsChild>
    </w:div>
    <w:div w:id="1146437926">
      <w:bodyDiv w:val="1"/>
      <w:marLeft w:val="0"/>
      <w:marRight w:val="0"/>
      <w:marTop w:val="0"/>
      <w:marBottom w:val="0"/>
      <w:divBdr>
        <w:top w:val="none" w:sz="0" w:space="0" w:color="auto"/>
        <w:left w:val="none" w:sz="0" w:space="0" w:color="auto"/>
        <w:bottom w:val="none" w:sz="0" w:space="0" w:color="auto"/>
        <w:right w:val="none" w:sz="0" w:space="0" w:color="auto"/>
      </w:divBdr>
    </w:div>
    <w:div w:id="1183326872">
      <w:bodyDiv w:val="1"/>
      <w:marLeft w:val="0"/>
      <w:marRight w:val="0"/>
      <w:marTop w:val="0"/>
      <w:marBottom w:val="0"/>
      <w:divBdr>
        <w:top w:val="none" w:sz="0" w:space="0" w:color="auto"/>
        <w:left w:val="none" w:sz="0" w:space="0" w:color="auto"/>
        <w:bottom w:val="none" w:sz="0" w:space="0" w:color="auto"/>
        <w:right w:val="none" w:sz="0" w:space="0" w:color="auto"/>
      </w:divBdr>
    </w:div>
    <w:div w:id="1353874923">
      <w:bodyDiv w:val="1"/>
      <w:marLeft w:val="0"/>
      <w:marRight w:val="0"/>
      <w:marTop w:val="0"/>
      <w:marBottom w:val="0"/>
      <w:divBdr>
        <w:top w:val="none" w:sz="0" w:space="0" w:color="auto"/>
        <w:left w:val="none" w:sz="0" w:space="0" w:color="auto"/>
        <w:bottom w:val="none" w:sz="0" w:space="0" w:color="auto"/>
        <w:right w:val="none" w:sz="0" w:space="0" w:color="auto"/>
      </w:divBdr>
    </w:div>
    <w:div w:id="1354957505">
      <w:bodyDiv w:val="1"/>
      <w:marLeft w:val="0"/>
      <w:marRight w:val="0"/>
      <w:marTop w:val="0"/>
      <w:marBottom w:val="0"/>
      <w:divBdr>
        <w:top w:val="none" w:sz="0" w:space="0" w:color="auto"/>
        <w:left w:val="none" w:sz="0" w:space="0" w:color="auto"/>
        <w:bottom w:val="none" w:sz="0" w:space="0" w:color="auto"/>
        <w:right w:val="none" w:sz="0" w:space="0" w:color="auto"/>
      </w:divBdr>
    </w:div>
    <w:div w:id="1504279006">
      <w:bodyDiv w:val="1"/>
      <w:marLeft w:val="0"/>
      <w:marRight w:val="0"/>
      <w:marTop w:val="0"/>
      <w:marBottom w:val="0"/>
      <w:divBdr>
        <w:top w:val="none" w:sz="0" w:space="0" w:color="auto"/>
        <w:left w:val="none" w:sz="0" w:space="0" w:color="auto"/>
        <w:bottom w:val="none" w:sz="0" w:space="0" w:color="auto"/>
        <w:right w:val="none" w:sz="0" w:space="0" w:color="auto"/>
      </w:divBdr>
    </w:div>
    <w:div w:id="1582373339">
      <w:bodyDiv w:val="1"/>
      <w:marLeft w:val="0"/>
      <w:marRight w:val="0"/>
      <w:marTop w:val="0"/>
      <w:marBottom w:val="0"/>
      <w:divBdr>
        <w:top w:val="none" w:sz="0" w:space="0" w:color="auto"/>
        <w:left w:val="none" w:sz="0" w:space="0" w:color="auto"/>
        <w:bottom w:val="none" w:sz="0" w:space="0" w:color="auto"/>
        <w:right w:val="none" w:sz="0" w:space="0" w:color="auto"/>
      </w:divBdr>
    </w:div>
    <w:div w:id="1589002099">
      <w:bodyDiv w:val="1"/>
      <w:marLeft w:val="0"/>
      <w:marRight w:val="0"/>
      <w:marTop w:val="0"/>
      <w:marBottom w:val="0"/>
      <w:divBdr>
        <w:top w:val="none" w:sz="0" w:space="0" w:color="auto"/>
        <w:left w:val="none" w:sz="0" w:space="0" w:color="auto"/>
        <w:bottom w:val="none" w:sz="0" w:space="0" w:color="auto"/>
        <w:right w:val="none" w:sz="0" w:space="0" w:color="auto"/>
      </w:divBdr>
    </w:div>
    <w:div w:id="1975021193">
      <w:bodyDiv w:val="1"/>
      <w:marLeft w:val="0"/>
      <w:marRight w:val="0"/>
      <w:marTop w:val="0"/>
      <w:marBottom w:val="0"/>
      <w:divBdr>
        <w:top w:val="none" w:sz="0" w:space="0" w:color="auto"/>
        <w:left w:val="none" w:sz="0" w:space="0" w:color="auto"/>
        <w:bottom w:val="none" w:sz="0" w:space="0" w:color="auto"/>
        <w:right w:val="none" w:sz="0" w:space="0" w:color="auto"/>
      </w:divBdr>
      <w:divsChild>
        <w:div w:id="460077095">
          <w:marLeft w:val="0"/>
          <w:marRight w:val="0"/>
          <w:marTop w:val="0"/>
          <w:marBottom w:val="0"/>
          <w:divBdr>
            <w:top w:val="none" w:sz="0" w:space="0" w:color="auto"/>
            <w:left w:val="none" w:sz="0" w:space="0" w:color="auto"/>
            <w:bottom w:val="none" w:sz="0" w:space="0" w:color="auto"/>
            <w:right w:val="none" w:sz="0" w:space="0" w:color="auto"/>
          </w:divBdr>
        </w:div>
        <w:div w:id="1509368855">
          <w:marLeft w:val="0"/>
          <w:marRight w:val="0"/>
          <w:marTop w:val="0"/>
          <w:marBottom w:val="0"/>
          <w:divBdr>
            <w:top w:val="none" w:sz="0" w:space="0" w:color="auto"/>
            <w:left w:val="none" w:sz="0" w:space="0" w:color="auto"/>
            <w:bottom w:val="none" w:sz="0" w:space="0" w:color="auto"/>
            <w:right w:val="none" w:sz="0" w:space="0" w:color="auto"/>
          </w:divBdr>
        </w:div>
        <w:div w:id="597180373">
          <w:marLeft w:val="0"/>
          <w:marRight w:val="0"/>
          <w:marTop w:val="0"/>
          <w:marBottom w:val="0"/>
          <w:divBdr>
            <w:top w:val="none" w:sz="0" w:space="0" w:color="auto"/>
            <w:left w:val="none" w:sz="0" w:space="0" w:color="auto"/>
            <w:bottom w:val="none" w:sz="0" w:space="0" w:color="auto"/>
            <w:right w:val="none" w:sz="0" w:space="0" w:color="auto"/>
          </w:divBdr>
        </w:div>
      </w:divsChild>
    </w:div>
    <w:div w:id="2092046240">
      <w:bodyDiv w:val="1"/>
      <w:marLeft w:val="0"/>
      <w:marRight w:val="0"/>
      <w:marTop w:val="0"/>
      <w:marBottom w:val="0"/>
      <w:divBdr>
        <w:top w:val="none" w:sz="0" w:space="0" w:color="auto"/>
        <w:left w:val="none" w:sz="0" w:space="0" w:color="auto"/>
        <w:bottom w:val="none" w:sz="0" w:space="0" w:color="auto"/>
        <w:right w:val="none" w:sz="0" w:space="0" w:color="auto"/>
      </w:divBdr>
      <w:divsChild>
        <w:div w:id="1208450926">
          <w:marLeft w:val="0"/>
          <w:marRight w:val="0"/>
          <w:marTop w:val="0"/>
          <w:marBottom w:val="0"/>
          <w:divBdr>
            <w:top w:val="none" w:sz="0" w:space="0" w:color="auto"/>
            <w:left w:val="none" w:sz="0" w:space="0" w:color="auto"/>
            <w:bottom w:val="none" w:sz="0" w:space="0" w:color="auto"/>
            <w:right w:val="none" w:sz="0" w:space="0" w:color="auto"/>
          </w:divBdr>
        </w:div>
        <w:div w:id="174615767">
          <w:marLeft w:val="0"/>
          <w:marRight w:val="0"/>
          <w:marTop w:val="0"/>
          <w:marBottom w:val="675"/>
          <w:divBdr>
            <w:top w:val="none" w:sz="0" w:space="0" w:color="auto"/>
            <w:left w:val="none" w:sz="0" w:space="0" w:color="auto"/>
            <w:bottom w:val="none" w:sz="0" w:space="0" w:color="auto"/>
            <w:right w:val="none" w:sz="0" w:space="0" w:color="auto"/>
          </w:divBdr>
          <w:divsChild>
            <w:div w:id="1211654971">
              <w:marLeft w:val="0"/>
              <w:marRight w:val="900"/>
              <w:marTop w:val="0"/>
              <w:marBottom w:val="0"/>
              <w:divBdr>
                <w:top w:val="none" w:sz="0" w:space="0" w:color="auto"/>
                <w:left w:val="none" w:sz="0" w:space="0" w:color="auto"/>
                <w:bottom w:val="none" w:sz="0" w:space="0" w:color="auto"/>
                <w:right w:val="none" w:sz="0" w:space="0" w:color="auto"/>
              </w:divBdr>
            </w:div>
            <w:div w:id="1511796579">
              <w:marLeft w:val="0"/>
              <w:marRight w:val="0"/>
              <w:marTop w:val="0"/>
              <w:marBottom w:val="0"/>
              <w:divBdr>
                <w:top w:val="none" w:sz="0" w:space="0" w:color="auto"/>
                <w:left w:val="none" w:sz="0" w:space="0" w:color="auto"/>
                <w:bottom w:val="none" w:sz="0" w:space="0" w:color="auto"/>
                <w:right w:val="none" w:sz="0" w:space="0" w:color="auto"/>
              </w:divBdr>
              <w:divsChild>
                <w:div w:id="2007826509">
                  <w:marLeft w:val="0"/>
                  <w:marRight w:val="0"/>
                  <w:marTop w:val="0"/>
                  <w:marBottom w:val="0"/>
                  <w:divBdr>
                    <w:top w:val="none" w:sz="0" w:space="0" w:color="auto"/>
                    <w:left w:val="none" w:sz="0" w:space="0" w:color="auto"/>
                    <w:bottom w:val="none" w:sz="0" w:space="0" w:color="auto"/>
                    <w:right w:val="none" w:sz="0" w:space="0" w:color="auto"/>
                  </w:divBdr>
                  <w:divsChild>
                    <w:div w:id="89545554">
                      <w:marLeft w:val="0"/>
                      <w:marRight w:val="0"/>
                      <w:marTop w:val="0"/>
                      <w:marBottom w:val="0"/>
                      <w:divBdr>
                        <w:top w:val="none" w:sz="0" w:space="0" w:color="auto"/>
                        <w:left w:val="none" w:sz="0" w:space="0" w:color="auto"/>
                        <w:bottom w:val="none" w:sz="0" w:space="0" w:color="auto"/>
                        <w:right w:val="none" w:sz="0" w:space="0" w:color="auto"/>
                      </w:divBdr>
                    </w:div>
                  </w:divsChild>
                </w:div>
                <w:div w:id="315693851">
                  <w:marLeft w:val="0"/>
                  <w:marRight w:val="0"/>
                  <w:marTop w:val="0"/>
                  <w:marBottom w:val="0"/>
                  <w:divBdr>
                    <w:top w:val="none" w:sz="0" w:space="0" w:color="auto"/>
                    <w:left w:val="none" w:sz="0" w:space="0" w:color="auto"/>
                    <w:bottom w:val="none" w:sz="0" w:space="0" w:color="auto"/>
                    <w:right w:val="none" w:sz="0" w:space="0" w:color="auto"/>
                  </w:divBdr>
                  <w:divsChild>
                    <w:div w:id="845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931325">
          <w:marLeft w:val="0"/>
          <w:marRight w:val="0"/>
          <w:marTop w:val="0"/>
          <w:marBottom w:val="0"/>
          <w:divBdr>
            <w:top w:val="none" w:sz="0" w:space="0" w:color="auto"/>
            <w:left w:val="none" w:sz="0" w:space="0" w:color="auto"/>
            <w:bottom w:val="none" w:sz="0" w:space="0" w:color="auto"/>
            <w:right w:val="none" w:sz="0" w:space="0" w:color="auto"/>
          </w:divBdr>
          <w:divsChild>
            <w:div w:id="1544513828">
              <w:marLeft w:val="0"/>
              <w:marRight w:val="0"/>
              <w:marTop w:val="0"/>
              <w:marBottom w:val="0"/>
              <w:divBdr>
                <w:top w:val="none" w:sz="0" w:space="0" w:color="auto"/>
                <w:left w:val="none" w:sz="0" w:space="0" w:color="auto"/>
                <w:bottom w:val="none" w:sz="0" w:space="0" w:color="auto"/>
                <w:right w:val="none" w:sz="0" w:space="0" w:color="auto"/>
              </w:divBdr>
              <w:divsChild>
                <w:div w:id="273097803">
                  <w:marLeft w:val="0"/>
                  <w:marRight w:val="0"/>
                  <w:marTop w:val="0"/>
                  <w:marBottom w:val="0"/>
                  <w:divBdr>
                    <w:top w:val="none" w:sz="0" w:space="0" w:color="auto"/>
                    <w:left w:val="none" w:sz="0" w:space="0" w:color="auto"/>
                    <w:bottom w:val="none" w:sz="0" w:space="0" w:color="auto"/>
                    <w:right w:val="none" w:sz="0" w:space="0" w:color="auto"/>
                  </w:divBdr>
                  <w:divsChild>
                    <w:div w:id="726606440">
                      <w:marLeft w:val="0"/>
                      <w:marRight w:val="0"/>
                      <w:marTop w:val="0"/>
                      <w:marBottom w:val="450"/>
                      <w:divBdr>
                        <w:top w:val="none" w:sz="0" w:space="0" w:color="auto"/>
                        <w:left w:val="none" w:sz="0" w:space="0" w:color="auto"/>
                        <w:bottom w:val="none" w:sz="0" w:space="0" w:color="auto"/>
                        <w:right w:val="none" w:sz="0" w:space="0" w:color="auto"/>
                      </w:divBdr>
                      <w:divsChild>
                        <w:div w:id="1419133731">
                          <w:marLeft w:val="0"/>
                          <w:marRight w:val="0"/>
                          <w:marTop w:val="0"/>
                          <w:marBottom w:val="0"/>
                          <w:divBdr>
                            <w:top w:val="none" w:sz="0" w:space="0" w:color="auto"/>
                            <w:left w:val="none" w:sz="0" w:space="0" w:color="auto"/>
                            <w:bottom w:val="none" w:sz="0" w:space="0" w:color="auto"/>
                            <w:right w:val="none" w:sz="0" w:space="0" w:color="auto"/>
                          </w:divBdr>
                          <w:divsChild>
                            <w:div w:id="71397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836494">
                      <w:marLeft w:val="0"/>
                      <w:marRight w:val="0"/>
                      <w:marTop w:val="0"/>
                      <w:marBottom w:val="0"/>
                      <w:divBdr>
                        <w:top w:val="none" w:sz="0" w:space="0" w:color="auto"/>
                        <w:left w:val="none" w:sz="0" w:space="0" w:color="auto"/>
                        <w:bottom w:val="none" w:sz="0" w:space="0" w:color="auto"/>
                        <w:right w:val="none" w:sz="0" w:space="0" w:color="auto"/>
                      </w:divBdr>
                      <w:divsChild>
                        <w:div w:id="571702261">
                          <w:marLeft w:val="0"/>
                          <w:marRight w:val="0"/>
                          <w:marTop w:val="0"/>
                          <w:marBottom w:val="0"/>
                          <w:divBdr>
                            <w:top w:val="none" w:sz="0" w:space="0" w:color="auto"/>
                            <w:left w:val="none" w:sz="0" w:space="0" w:color="auto"/>
                            <w:bottom w:val="none" w:sz="0" w:space="0" w:color="auto"/>
                            <w:right w:val="none" w:sz="0" w:space="0" w:color="auto"/>
                          </w:divBdr>
                          <w:divsChild>
                            <w:div w:id="2109692713">
                              <w:marLeft w:val="0"/>
                              <w:marRight w:val="0"/>
                              <w:marTop w:val="0"/>
                              <w:marBottom w:val="0"/>
                              <w:divBdr>
                                <w:top w:val="none" w:sz="0" w:space="0" w:color="auto"/>
                                <w:left w:val="none" w:sz="0" w:space="0" w:color="auto"/>
                                <w:bottom w:val="none" w:sz="0" w:space="0" w:color="auto"/>
                                <w:right w:val="none" w:sz="0" w:space="0" w:color="auto"/>
                              </w:divBdr>
                            </w:div>
                            <w:div w:id="874660626">
                              <w:marLeft w:val="0"/>
                              <w:marRight w:val="0"/>
                              <w:marTop w:val="0"/>
                              <w:marBottom w:val="0"/>
                              <w:divBdr>
                                <w:top w:val="none" w:sz="0" w:space="0" w:color="auto"/>
                                <w:left w:val="none" w:sz="0" w:space="0" w:color="auto"/>
                                <w:bottom w:val="none" w:sz="0" w:space="0" w:color="auto"/>
                                <w:right w:val="none" w:sz="0" w:space="0" w:color="auto"/>
                              </w:divBdr>
                              <w:divsChild>
                                <w:div w:id="168816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8513">
                          <w:marLeft w:val="0"/>
                          <w:marRight w:val="0"/>
                          <w:marTop w:val="0"/>
                          <w:marBottom w:val="0"/>
                          <w:divBdr>
                            <w:top w:val="none" w:sz="0" w:space="0" w:color="auto"/>
                            <w:left w:val="none" w:sz="0" w:space="0" w:color="auto"/>
                            <w:bottom w:val="none" w:sz="0" w:space="0" w:color="auto"/>
                            <w:right w:val="none" w:sz="0" w:space="0" w:color="auto"/>
                          </w:divBdr>
                          <w:divsChild>
                            <w:div w:id="393550018">
                              <w:marLeft w:val="0"/>
                              <w:marRight w:val="0"/>
                              <w:marTop w:val="0"/>
                              <w:marBottom w:val="0"/>
                              <w:divBdr>
                                <w:top w:val="none" w:sz="0" w:space="0" w:color="auto"/>
                                <w:left w:val="none" w:sz="0" w:space="0" w:color="auto"/>
                                <w:bottom w:val="none" w:sz="0" w:space="0" w:color="auto"/>
                                <w:right w:val="none" w:sz="0" w:space="0" w:color="auto"/>
                              </w:divBdr>
                            </w:div>
                            <w:div w:id="266620360">
                              <w:marLeft w:val="0"/>
                              <w:marRight w:val="0"/>
                              <w:marTop w:val="0"/>
                              <w:marBottom w:val="0"/>
                              <w:divBdr>
                                <w:top w:val="none" w:sz="0" w:space="0" w:color="auto"/>
                                <w:left w:val="none" w:sz="0" w:space="0" w:color="auto"/>
                                <w:bottom w:val="none" w:sz="0" w:space="0" w:color="auto"/>
                                <w:right w:val="none" w:sz="0" w:space="0" w:color="auto"/>
                              </w:divBdr>
                              <w:divsChild>
                                <w:div w:id="176838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365040">
                          <w:marLeft w:val="0"/>
                          <w:marRight w:val="0"/>
                          <w:marTop w:val="0"/>
                          <w:marBottom w:val="0"/>
                          <w:divBdr>
                            <w:top w:val="none" w:sz="0" w:space="0" w:color="auto"/>
                            <w:left w:val="none" w:sz="0" w:space="0" w:color="auto"/>
                            <w:bottom w:val="none" w:sz="0" w:space="0" w:color="auto"/>
                            <w:right w:val="none" w:sz="0" w:space="0" w:color="auto"/>
                          </w:divBdr>
                          <w:divsChild>
                            <w:div w:id="1401949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yperlink" Target="http://www.hrdc.net" TargetMode="External"/><Relationship Id="rId4" Type="http://schemas.microsoft.com/office/2007/relationships/stylesWithEffects" Target="stylesWithEffects.xml"/><Relationship Id="rId9" Type="http://schemas.openxmlformats.org/officeDocument/2006/relationships/hyperlink" Target="mailto:ravinairsahrdc@gmail.com"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26" Type="http://schemas.openxmlformats.org/officeDocument/2006/relationships/hyperlink" Target="https://p39ablog.com/wp-content/uploads/2023/10/P39A-Blog_-BNSS_BSB_Research-Brief.pdf" TargetMode="External"/><Relationship Id="rId21" Type="http://schemas.openxmlformats.org/officeDocument/2006/relationships/hyperlink" Target="https://www.commoncause.in/uploadimage/page/Status_of_Policing_in_India_Report_2019_by_Common_Cause_and_CSDS.pdf" TargetMode="External"/><Relationship Id="rId42" Type="http://schemas.openxmlformats.org/officeDocument/2006/relationships/hyperlink" Target="https://cdnbbsr.s3waas.gov.in/s3ca0daec69b5adc880fb464895726dbdf/uploads/2022/08/2022081620.pdf" TargetMode="External"/><Relationship Id="rId47" Type="http://schemas.openxmlformats.org/officeDocument/2006/relationships/hyperlink" Target="https://p39ablog.com/2020/12/statements-under-section-27-indian-evidence-act-admissibility-and-ambiguities/" TargetMode="External"/><Relationship Id="rId63" Type="http://schemas.openxmlformats.org/officeDocument/2006/relationships/hyperlink" Target="https://www.barandbench.com/columns/india-justice-report-2019-15-million-out-of-1-billion-eligible-indians-provided-legal-aid-services" TargetMode="External"/><Relationship Id="rId68" Type="http://schemas.openxmlformats.org/officeDocument/2006/relationships/hyperlink" Target="https://nalsa.gov.in/uploads/pdf/2019/09/03/03_09_2019_707066637.pdf" TargetMode="External"/><Relationship Id="rId84" Type="http://schemas.openxmlformats.org/officeDocument/2006/relationships/hyperlink" Target="https://pucl.org/wp-content/uploads/2023/05/PUCL-28.09.2022.pdf" TargetMode="External"/><Relationship Id="rId89" Type="http://schemas.openxmlformats.org/officeDocument/2006/relationships/hyperlink" Target="https://www.article-14.com/post/how-the-uapa-repackages-ideas-as-crimes" TargetMode="External"/><Relationship Id="rId112" Type="http://schemas.openxmlformats.org/officeDocument/2006/relationships/hyperlink" Target="https://article-14.com/post/free-at-last-the-story-of-a-child-who-spent-25-years-on-death-row-emerged-a-free-man--643c9fb92953e" TargetMode="External"/><Relationship Id="rId2" Type="http://schemas.openxmlformats.org/officeDocument/2006/relationships/hyperlink" Target="https://ncrb.gov.in/crime-in-india-year-wise.html?year=2019&amp;keyword=" TargetMode="External"/><Relationship Id="rId16" Type="http://schemas.openxmlformats.org/officeDocument/2006/relationships/hyperlink" Target="https://www.indiaspend.com/how-better-data-could-help-prevent-custodial-deaths/" TargetMode="External"/><Relationship Id="rId29" Type="http://schemas.openxmlformats.org/officeDocument/2006/relationships/hyperlink" Target="https://www.commoncause.in/uploadimage/page/Status_of_Policing_in_India_Report_2019_by_Common_Cause_and_CSDS.pdf" TargetMode="External"/><Relationship Id="rId107" Type="http://schemas.openxmlformats.org/officeDocument/2006/relationships/hyperlink" Target="https://www.haqcrc.org/new-at-haq/article-on-preliminary-assessment/" TargetMode="External"/><Relationship Id="rId11" Type="http://schemas.openxmlformats.org/officeDocument/2006/relationships/hyperlink" Target="http://www.uncat.org/wp-content/uploads/2020/06/INDIATORTURE2019.pdf" TargetMode="External"/><Relationship Id="rId24" Type="http://schemas.openxmlformats.org/officeDocument/2006/relationships/hyperlink" Target="https://www.commoncause.in/uploadimage/page/Status_of_Policing_in_India_Report_2019_by_Common_Cause_and_CSDS.pdf" TargetMode="External"/><Relationship Id="rId32" Type="http://schemas.openxmlformats.org/officeDocument/2006/relationships/hyperlink" Target="https://loksabhadocs.nic.in/Refinput/New_Reference_Notes/English/Police_Reforms.pdf" TargetMode="External"/><Relationship Id="rId37" Type="http://schemas.openxmlformats.org/officeDocument/2006/relationships/hyperlink" Target="https://www.humanrightsinitiative.org/programs/aj/police/india/initiatives/seven_steps_to_police_reform.pdf" TargetMode="External"/><Relationship Id="rId40" Type="http://schemas.openxmlformats.org/officeDocument/2006/relationships/hyperlink" Target="https://www.mea.gov.in/Uploads/PublicationDocs/27953_27953_UPR_-III_for_MEA_website_.pdf" TargetMode="External"/><Relationship Id="rId45" Type="http://schemas.openxmlformats.org/officeDocument/2006/relationships/hyperlink" Target="https://p39ablog.com/wp-content/uploads/2023/10/P39A-Blog_-BNSS_BSB_Research-Brief.pdf" TargetMode="External"/><Relationship Id="rId53" Type="http://schemas.openxmlformats.org/officeDocument/2006/relationships/hyperlink" Target="https://thewire.in/rights/labour-rights-activist-shiv-kumar-was-illegally-detained-tortured-in-custody-hc-monitored-inquiry" TargetMode="External"/><Relationship Id="rId58" Type="http://schemas.openxmlformats.org/officeDocument/2006/relationships/hyperlink" Target="https://drive.google.com/file/d/1Ake8mbmo4vOMJPccUiuS5vsM1hCRfx3F/view" TargetMode="External"/><Relationship Id="rId66" Type="http://schemas.openxmlformats.org/officeDocument/2006/relationships/hyperlink" Target="https://www.indiaspend.com/special-reports/low-payments-lack-of-respect-why-quality-of-free-legal-aid-in-indias-districts-is-poor-846503" TargetMode="External"/><Relationship Id="rId74" Type="http://schemas.openxmlformats.org/officeDocument/2006/relationships/hyperlink" Target="https://www.mha.gov.in/sites/default/files/WS_ConsularAccessadvisory_02122019.pdf" TargetMode="External"/><Relationship Id="rId79" Type="http://schemas.openxmlformats.org/officeDocument/2006/relationships/hyperlink" Target="https://thewire.in/government/uapa-cases-pending-trial-investigation-lok-sabha-home-ministry" TargetMode="External"/><Relationship Id="rId87" Type="http://schemas.openxmlformats.org/officeDocument/2006/relationships/hyperlink" Target="https://thewire.in/government/uapa-cases-pending-trial-investigation-lok-sabha-home-ministry" TargetMode="External"/><Relationship Id="rId102" Type="http://schemas.openxmlformats.org/officeDocument/2006/relationships/hyperlink" Target="https://www.thehindu.com/news/national/andhra-pradesh/uapa-should-be-scrapped-as-97-percent-accused-are-proven-innocent-says-prof-haragopal/article67786071.ece" TargetMode="External"/><Relationship Id="rId110" Type="http://schemas.openxmlformats.org/officeDocument/2006/relationships/hyperlink" Target="https://www.indiatoday.in/law/story/why-supreme-court-called-for-guidelines-to-put-juveniles-under-trial-as-adults-1976670-2022-07-17" TargetMode="External"/><Relationship Id="rId5" Type="http://schemas.openxmlformats.org/officeDocument/2006/relationships/hyperlink" Target="https://www.hrw.org/report/2016/12/19/bound-brotherhood/indias-failure-end-killings-police-custody" TargetMode="External"/><Relationship Id="rId61" Type="http://schemas.openxmlformats.org/officeDocument/2006/relationships/hyperlink" Target="https://p39ablog.com/wp-content/uploads/2023/08/Bharatiya-Nyaya-Sanhita-Bill-2023-Research-Brief.pdf" TargetMode="External"/><Relationship Id="rId82" Type="http://schemas.openxmlformats.org/officeDocument/2006/relationships/hyperlink" Target="https://www.thenewsminute.com/news/972-uapa-accused-jailed-long-periods-and-eventually-acquitted-study-finds-168494" TargetMode="External"/><Relationship Id="rId90" Type="http://schemas.openxmlformats.org/officeDocument/2006/relationships/hyperlink" Target="https://indconlawphil.wordpress.com/2018/09/24/guest-post-the-uapa-some-interpretive-issues/" TargetMode="External"/><Relationship Id="rId95" Type="http://schemas.openxmlformats.org/officeDocument/2006/relationships/hyperlink" Target="https://www.hindustantimes.com/india-news/121-tribals-relased-from-jail-after-chhattisgarh-court-acquits-them-in-uapa-case-101657982831665.html" TargetMode="External"/><Relationship Id="rId19" Type="http://schemas.openxmlformats.org/officeDocument/2006/relationships/hyperlink" Target="https://www.hindustantimes.com/india-news/police-not-trained-enough-in-human-rights-reveal-surveys/story-Cbr9cc4oOYlCZGR48aaQWO.html" TargetMode="External"/><Relationship Id="rId14" Type="http://schemas.openxmlformats.org/officeDocument/2006/relationships/hyperlink" Target="https://indianexpress.com/article/cities/bangalore/imd-la-nina-to-emerge-by-july-more-rainfall-during-august-september-9358015/" TargetMode="External"/><Relationship Id="rId22" Type="http://schemas.openxmlformats.org/officeDocument/2006/relationships/hyperlink" Target="https://www.commoncause.in/uploadimage/page/Status_of_Policing_in_India_Report_2019_by_Common_Cause_and_CSDS.pdf" TargetMode="External"/><Relationship Id="rId27" Type="http://schemas.openxmlformats.org/officeDocument/2006/relationships/hyperlink" Target="https://indiankanoon.org/doc/71699420/" TargetMode="External"/><Relationship Id="rId30" Type="http://schemas.openxmlformats.org/officeDocument/2006/relationships/hyperlink" Target="https://www.commoncause.in/wotadmin/upload/REPORT_2023.pdf" TargetMode="External"/><Relationship Id="rId35" Type="http://schemas.openxmlformats.org/officeDocument/2006/relationships/hyperlink" Target="https://humanrightsinitiative.org/publications/police/complaints_authorities_police_accountability_in_action.pdf" TargetMode="External"/><Relationship Id="rId43" Type="http://schemas.openxmlformats.org/officeDocument/2006/relationships/hyperlink" Target="https://p39ablog.com/wp-content/uploads/2023/10/P39A-Blog_-BNSS_BSB_Research-Brief.pdf" TargetMode="External"/><Relationship Id="rId48" Type="http://schemas.openxmlformats.org/officeDocument/2006/relationships/hyperlink" Target="https://p39ablog.com/2022/09/standalone-mental-facts-and-disclosures-under-section-27-of-the-evidence-act/" TargetMode="External"/><Relationship Id="rId56" Type="http://schemas.openxmlformats.org/officeDocument/2006/relationships/hyperlink" Target="https://www.livelaw.in/news-updates/telangana-high-court-arnesh-kumar-guidelines-proceedings-against-erring-police-officials-41a-crpc-185990" TargetMode="External"/><Relationship Id="rId64" Type="http://schemas.openxmlformats.org/officeDocument/2006/relationships/hyperlink" Target="https://papers.ssrn.com/sol3/papers.cfm?abstract_id=4037883" TargetMode="External"/><Relationship Id="rId69" Type="http://schemas.openxmlformats.org/officeDocument/2006/relationships/hyperlink" Target="https://www.livelaw.in/top-stories/justice-uu-lalit-free-legal-aid-right-to-legal-aid-nalsa-178601" TargetMode="External"/><Relationship Id="rId77" Type="http://schemas.openxmlformats.org/officeDocument/2006/relationships/hyperlink" Target="https://ncrb.gov.in/uploads/nationalcrimerecordsbureau/custom/psiyearwise2022/1701613297PSI2022ason01122023.pdf" TargetMode="External"/><Relationship Id="rId100" Type="http://schemas.openxmlformats.org/officeDocument/2006/relationships/hyperlink" Target="https://www.indiatoday.in/cities/mumbai/story/two-men-acquitted-uapa-charges-tajola-jail-navi-mumbai-1816255-2021-06-17" TargetMode="External"/><Relationship Id="rId105" Type="http://schemas.openxmlformats.org/officeDocument/2006/relationships/hyperlink" Target="https://p39ablog.com/2020/12/statements-under-section-27-indian-evidence-act-admissibility-and-ambiguities/" TargetMode="External"/><Relationship Id="rId113" Type="http://schemas.openxmlformats.org/officeDocument/2006/relationships/hyperlink" Target="https://drive.google.com/file/d/1Ake8mbmo4vOMJPccUiuS5vsM1hCRfx3F/view" TargetMode="External"/><Relationship Id="rId8" Type="http://schemas.openxmlformats.org/officeDocument/2006/relationships/hyperlink" Target="https://www.tribuneindia.com/news/nation/669-custodial-deaths-in-past-five-years-mha-478876" TargetMode="External"/><Relationship Id="rId51" Type="http://schemas.openxmlformats.org/officeDocument/2006/relationships/hyperlink" Target="https://drive.google.com/file/d/1Ake8mbmo4vOMJPccUiuS5vsM1hCRfx3F/view" TargetMode="External"/><Relationship Id="rId72" Type="http://schemas.openxmlformats.org/officeDocument/2006/relationships/hyperlink" Target="https://www.humanrightsinitiative.org/download/CHRI%20Legal%20Aid%20Report%20Hope%20Behind%20Bars%20Volume%201.pdf" TargetMode="External"/><Relationship Id="rId80" Type="http://schemas.openxmlformats.org/officeDocument/2006/relationships/hyperlink" Target="https://scroll.in/article/1010530/in-seven-years-10552-indians-have-been-arrested-under-uapa-and-253-convicted" TargetMode="External"/><Relationship Id="rId85" Type="http://schemas.openxmlformats.org/officeDocument/2006/relationships/hyperlink" Target="https://www.thenewsminute.com/news/972-uapa-accused-jailed-long-periods-and-eventually-acquitted-study-finds-168494" TargetMode="External"/><Relationship Id="rId93" Type="http://schemas.openxmlformats.org/officeDocument/2006/relationships/hyperlink" Target="https://thewire.in/communalism/tripura-police-uapa-social-media-posts" TargetMode="External"/><Relationship Id="rId98" Type="http://schemas.openxmlformats.org/officeDocument/2006/relationships/hyperlink" Target="https://www.thehindu.com/news/national/probe-agencies-must-give-written-grounds-of-arrest-in-uapa-cases-sc-declares-in-newsclick-judgment/article68178684.ece" TargetMode="External"/><Relationship Id="rId3" Type="http://schemas.openxmlformats.org/officeDocument/2006/relationships/hyperlink" Target="https://ncrb.gov.in/crime-in-india-year-wise.html?year=2020&amp;keyword=" TargetMode="External"/><Relationship Id="rId12" Type="http://schemas.openxmlformats.org/officeDocument/2006/relationships/hyperlink" Target="https://cpaproject.in/wp-content/uploads/2023/08/Countermapping-Pandemic-Policing-CPAProject.pdf" TargetMode="External"/><Relationship Id="rId17" Type="http://schemas.openxmlformats.org/officeDocument/2006/relationships/hyperlink" Target="https://www.hrw.org/report/2016/12/19/bound-brotherhood/indias-failure-end-killings-police-custody" TargetMode="External"/><Relationship Id="rId25" Type="http://schemas.openxmlformats.org/officeDocument/2006/relationships/hyperlink" Target="https://p39ablog.com/wp-content/uploads/2023/10/P39A-Blog_-BNSS_BSB_Research-Brief.pdf" TargetMode="External"/><Relationship Id="rId33" Type="http://schemas.openxmlformats.org/officeDocument/2006/relationships/hyperlink" Target="https://www.humanrightsinitiative.org/programs/aj/police/india/initiatives/chri_press_release_on_prakash_singh_16july08.pdf" TargetMode="External"/><Relationship Id="rId38" Type="http://schemas.openxmlformats.org/officeDocument/2006/relationships/hyperlink" Target="https://www.humanrightsinitiative.org/publication/police-complaints-authorities-in-india" TargetMode="External"/><Relationship Id="rId46" Type="http://schemas.openxmlformats.org/officeDocument/2006/relationships/hyperlink" Target="https://cdnbbsr.s3waas.gov.in/s3ca0daec69b5adc880fb464895726dbdf/uploads/2022/08/2022080849.pdf" TargetMode="External"/><Relationship Id="rId59" Type="http://schemas.openxmlformats.org/officeDocument/2006/relationships/hyperlink" Target="https://www.humanrightsinitiative.org/download/1469440602Arrest%20Memo%20study.pdf" TargetMode="External"/><Relationship Id="rId67" Type="http://schemas.openxmlformats.org/officeDocument/2006/relationships/hyperlink" Target="https://www.humanrightsinitiative.org/download/CHRI%20Legal%20Aid%20Report%20Hope%20Behind%20Bars%20Volume%201.pdf" TargetMode="External"/><Relationship Id="rId103" Type="http://schemas.openxmlformats.org/officeDocument/2006/relationships/hyperlink" Target="https://www.thehindu.com/news/national/701-sedition-5023-uapa-cases-registered-in-2018-22-govt/article67817517.ece" TargetMode="External"/><Relationship Id="rId108" Type="http://schemas.openxmlformats.org/officeDocument/2006/relationships/hyperlink" Target="https://www.haqcrc.org/new-at-haq/article-on-preliminary-assessment/" TargetMode="External"/><Relationship Id="rId20" Type="http://schemas.openxmlformats.org/officeDocument/2006/relationships/hyperlink" Target="https://www.sup.org/books/title/?id=25811" TargetMode="External"/><Relationship Id="rId41" Type="http://schemas.openxmlformats.org/officeDocument/2006/relationships/hyperlink" Target="https://pmindiaun.gov.in/pageinfo/MTQ2Mw" TargetMode="External"/><Relationship Id="rId54" Type="http://schemas.openxmlformats.org/officeDocument/2006/relationships/hyperlink" Target="https://www.livelaw.in/top-stories/arrest-in-breach-of-arnesh-kumar-guidelines-kerala-high-court-seeks-explanation-from-judicial-magistrate-for-remanding-accused-202529" TargetMode="External"/><Relationship Id="rId62" Type="http://schemas.openxmlformats.org/officeDocument/2006/relationships/hyperlink" Target="https://p39ablog.com/wp-content/uploads/2023/10/P39A-Blog_-BNSS_BSB_Research-Brief.pdf" TargetMode="External"/><Relationship Id="rId70" Type="http://schemas.openxmlformats.org/officeDocument/2006/relationships/hyperlink" Target="https://www.humanrightsinitiative.org/download/CHRI%20Legal%20Aid%20Report%20Hope%20Behind%20Bars%20Volume%201.pdf" TargetMode="External"/><Relationship Id="rId75" Type="http://schemas.openxmlformats.org/officeDocument/2006/relationships/hyperlink" Target="https://www.mha.gov.in/sites/default/files/WS_ConsularAccessadvisory_02122019.pdf" TargetMode="External"/><Relationship Id="rId83" Type="http://schemas.openxmlformats.org/officeDocument/2006/relationships/hyperlink" Target="https://pucl.org/wp-content/uploads/2023/05/PUCL-28.09.2022.pdf" TargetMode="External"/><Relationship Id="rId88" Type="http://schemas.openxmlformats.org/officeDocument/2006/relationships/hyperlink" Target="https://www.indiatoday.in/cities/mumbai/story/two-men-acquitted-uapa-charges-tajola-jail-navi-mumbai-1816255-2021-06-17" TargetMode="External"/><Relationship Id="rId91" Type="http://schemas.openxmlformats.org/officeDocument/2006/relationships/hyperlink" Target="https://pucl.org/wp-content/uploads/2023/05/PUCL-28.09.2022.pdf" TargetMode="External"/><Relationship Id="rId96" Type="http://schemas.openxmlformats.org/officeDocument/2006/relationships/hyperlink" Target="https://indianexpress.com/article/cities/mumbai/stan-swamys-health-age-in-court-time-and-again-7390819/" TargetMode="External"/><Relationship Id="rId111" Type="http://schemas.openxmlformats.org/officeDocument/2006/relationships/hyperlink" Target="https://www.livemint.com/news/over-9-600-children-wrongly-locked-up-in-adult-jails-in-india-in-6-years-says-a-report-11715410295500.html" TargetMode="External"/><Relationship Id="rId1" Type="http://schemas.openxmlformats.org/officeDocument/2006/relationships/hyperlink" Target="https://www.tribuneindia.com/news/nation/669-custodial-deaths-in-past-five-years-mha-478876" TargetMode="External"/><Relationship Id="rId6" Type="http://schemas.openxmlformats.org/officeDocument/2006/relationships/hyperlink" Target="https://www.thepolisproject.com/research/the-official-police-version-of-events-excuses-reasons-and-actual-causes-of-custodial-deaths/" TargetMode="External"/><Relationship Id="rId15" Type="http://schemas.openxmlformats.org/officeDocument/2006/relationships/hyperlink" Target="https://www.thehindu.com/news/cities/Coimbatore/youth-subjected-to-custodial-torture-parents-seek-preservation-of-cctv-visuals/article67349057.ece" TargetMode="External"/><Relationship Id="rId23" Type="http://schemas.openxmlformats.org/officeDocument/2006/relationships/hyperlink" Target="https://www.commoncause.in/uploadimage/page/Status_of_Policing_in_India_Report_2019_by_Common_Cause_and_CSDS.pdf" TargetMode="External"/><Relationship Id="rId28" Type="http://schemas.openxmlformats.org/officeDocument/2006/relationships/hyperlink" Target="https://indiankanoon.org/doc/94269545/" TargetMode="External"/><Relationship Id="rId36" Type="http://schemas.openxmlformats.org/officeDocument/2006/relationships/hyperlink" Target="https://indianexpress.com/article/opinion/columns/model-police-law-supreme-court-prakash-singh-case-india-police-3043093/" TargetMode="External"/><Relationship Id="rId49" Type="http://schemas.openxmlformats.org/officeDocument/2006/relationships/hyperlink" Target="https://www.humanrightsinitiative.org/download/1469440602Arrest%20Memo%20study.pdf" TargetMode="External"/><Relationship Id="rId57" Type="http://schemas.openxmlformats.org/officeDocument/2006/relationships/hyperlink" Target="https://thewire.in/law/allahabad-high-court-arnesh-kumar-police-jail-contempt" TargetMode="External"/><Relationship Id="rId106" Type="http://schemas.openxmlformats.org/officeDocument/2006/relationships/hyperlink" Target="https://p39ablog.com/2022/09/standalone-mental-facts-and-disclosures-under-section-27-of-the-evidence-act/" TargetMode="External"/><Relationship Id="rId10" Type="http://schemas.openxmlformats.org/officeDocument/2006/relationships/hyperlink" Target="https://www.thepolisproject.com/research/the-official-police-version-of-events-excuses-reasons-and-actual-causes-of-custodial-deaths/" TargetMode="External"/><Relationship Id="rId31" Type="http://schemas.openxmlformats.org/officeDocument/2006/relationships/hyperlink" Target="https://www.commoncause.in/uploadimage/page/Status_of_Policing_in_India_Report_2019_by_Common_Cause_and_CSDS.pdf" TargetMode="External"/><Relationship Id="rId44" Type="http://schemas.openxmlformats.org/officeDocument/2006/relationships/hyperlink" Target="https://p39ablog.com/wp-content/uploads/2023/10/P39A-Blog_-BNSS_BSB_Research-Brief.pdf" TargetMode="External"/><Relationship Id="rId52" Type="http://schemas.openxmlformats.org/officeDocument/2006/relationships/hyperlink" Target="https://drive.google.com/file/d/1Ake8mbmo4vOMJPccUiuS5vsM1hCRfx3F/view" TargetMode="External"/><Relationship Id="rId60" Type="http://schemas.openxmlformats.org/officeDocument/2006/relationships/hyperlink" Target="https://p39ablog.com/wp-content/uploads/2023/10/P39A-Blog_-BNSS_BSB_Research-Brief.pdf" TargetMode="External"/><Relationship Id="rId65" Type="http://schemas.openxmlformats.org/officeDocument/2006/relationships/hyperlink" Target="https://www.epw.in/engage/article/plight-legal-aid-counsels-district-courts-india" TargetMode="External"/><Relationship Id="rId73" Type="http://schemas.openxmlformats.org/officeDocument/2006/relationships/hyperlink" Target="https://www.humanrightsinitiative.org/publication/strangers-to-justice-a-report-on-foreigners-in-indian-prisons" TargetMode="External"/><Relationship Id="rId78" Type="http://schemas.openxmlformats.org/officeDocument/2006/relationships/hyperlink" Target="https://pucl.org/wp-content/uploads/2023/05/PUCL-28.09.2022.pdf" TargetMode="External"/><Relationship Id="rId81" Type="http://schemas.openxmlformats.org/officeDocument/2006/relationships/hyperlink" Target="https://www.thehindu.com/news/national/court-pulls-up-police-for-slow-investigation-in-uapa-case-against-newsclick/article67878730.ece" TargetMode="External"/><Relationship Id="rId86" Type="http://schemas.openxmlformats.org/officeDocument/2006/relationships/hyperlink" Target="https://www.article-14.com/post/how-the-uapa-repackages-ideas-as-crimes" TargetMode="External"/><Relationship Id="rId94" Type="http://schemas.openxmlformats.org/officeDocument/2006/relationships/hyperlink" Target="https://www.hrw.org/news/2023/10/13/india-arrests-raids-target-critics-government" TargetMode="External"/><Relationship Id="rId99" Type="http://schemas.openxmlformats.org/officeDocument/2006/relationships/hyperlink" Target="https://thewire.in/government/uapa-cases-pending-trial-investigation-lok-sabha-home-ministry" TargetMode="External"/><Relationship Id="rId101" Type="http://schemas.openxmlformats.org/officeDocument/2006/relationships/hyperlink" Target="https://www.newsclick.in/Increasing-Tendency-Use-UAPA-Chosen-Legal-Weapon-PUCL-Study" TargetMode="External"/><Relationship Id="rId4" Type="http://schemas.openxmlformats.org/officeDocument/2006/relationships/hyperlink" Target="https://www.livelaw.in/news-updates/labour-rights-activist-shiv-kumar-illegal-confinement-tortured-haryana-police-inquiry-high-court-217227" TargetMode="External"/><Relationship Id="rId9" Type="http://schemas.openxmlformats.org/officeDocument/2006/relationships/hyperlink" Target="https://www.thepolisproject.com/research/the-official-police-version-of-events-excuses-reasons-and-actual-causes-of-custodial-deaths/" TargetMode="External"/><Relationship Id="rId13" Type="http://schemas.openxmlformats.org/officeDocument/2006/relationships/hyperlink" Target="https://www.hindustantimes.com/india-news/police-not-trained-enough-in-human-rights-reveal-surveys/story-Cbr9cc4oOYlCZGR48aaQWO.html" TargetMode="External"/><Relationship Id="rId18" Type="http://schemas.openxmlformats.org/officeDocument/2006/relationships/hyperlink" Target="https://www.commoncause.in/uploadimage/page/Status_of_Policing_in_India_Report_2019_by_Common_Cause_and_CSDS.pdf" TargetMode="External"/><Relationship Id="rId39" Type="http://schemas.openxmlformats.org/officeDocument/2006/relationships/hyperlink" Target="https://www.humanrightsinitiative.org/publication/police-complaints-authorities-in-india" TargetMode="External"/><Relationship Id="rId109" Type="http://schemas.openxmlformats.org/officeDocument/2006/relationships/hyperlink" Target="https://nluo.ac.in/wp-content/uploads/2019/05/3.Practice-of-Prelimnary-Assesment.pdf" TargetMode="External"/><Relationship Id="rId34" Type="http://schemas.openxmlformats.org/officeDocument/2006/relationships/hyperlink" Target="https://humanrightsinitiative.org/publications/police/PCA_Rapid_Study_December_2012_FINAL.pdf" TargetMode="External"/><Relationship Id="rId50" Type="http://schemas.openxmlformats.org/officeDocument/2006/relationships/hyperlink" Target="https://www.livelaw.in/supreme-court/even-today-court-is-forced-restate-dk-basu-principles-supreme-court-directs-police-probe-agencies-to-strictly-follow-norms-on-arrest-253077" TargetMode="External"/><Relationship Id="rId55" Type="http://schemas.openxmlformats.org/officeDocument/2006/relationships/hyperlink" Target="https://www.livelaw.in/news-updates/arrest-in-breach-of-arnesh-kumar-guidelines-delhi-high-court-sentences-police-officer-to-one-day-imprisonment-188694" TargetMode="External"/><Relationship Id="rId76" Type="http://schemas.openxmlformats.org/officeDocument/2006/relationships/hyperlink" Target="https://www.humanrightsinitiative.org/publication/strangers-to-justice-a-report-on-foreigners-in-indian-prisons" TargetMode="External"/><Relationship Id="rId97" Type="http://schemas.openxmlformats.org/officeDocument/2006/relationships/hyperlink" Target="https://www.indiatoday.in/law/story/elgar-parishad-case-pune-nia-bombay-high-court-uapa-bail-hearing-2477624-2023-12-19" TargetMode="External"/><Relationship Id="rId104" Type="http://schemas.openxmlformats.org/officeDocument/2006/relationships/hyperlink" Target="https://main.sci.gov.in/supremecourt/2018/4802/4802_2018_2_1501_49136_Judgement_03-Jan-2024.pdf" TargetMode="External"/><Relationship Id="rId7" Type="http://schemas.openxmlformats.org/officeDocument/2006/relationships/hyperlink" Target="https://www.thepolisproject.com/research/the-official-police-version-of-events-excuses-reasons-and-actual-causes-of-custodial-deaths/" TargetMode="External"/><Relationship Id="rId71" Type="http://schemas.openxmlformats.org/officeDocument/2006/relationships/hyperlink" Target="https://drive.google.com/file/d/1Ake8mbmo4vOMJPccUiuS5vsM1hCRfx3F/view" TargetMode="External"/><Relationship Id="rId92" Type="http://schemas.openxmlformats.org/officeDocument/2006/relationships/hyperlink" Target="https://www.thenewsminute.com/news/when-reading-books-criminalised-examining-uapa-sedition-cases-india-1801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f021828d0d52de11bee13c162099c435">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94456f96f9b913f000871160840a921e"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0BE2F3-5DA7-4381-9DEC-09F02A51DA6C}">
  <ds:schemaRefs>
    <ds:schemaRef ds:uri="http://schemas.openxmlformats.org/officeDocument/2006/bibliography"/>
  </ds:schemaRefs>
</ds:datastoreItem>
</file>

<file path=customXml/itemProps2.xml><?xml version="1.0" encoding="utf-8"?>
<ds:datastoreItem xmlns:ds="http://schemas.openxmlformats.org/officeDocument/2006/customXml" ds:itemID="{5FD19AEC-E250-4606-B376-B0827DB193E0}"/>
</file>

<file path=customXml/itemProps3.xml><?xml version="1.0" encoding="utf-8"?>
<ds:datastoreItem xmlns:ds="http://schemas.openxmlformats.org/officeDocument/2006/customXml" ds:itemID="{FC2F7877-1F01-4A0C-BABF-932E7BBE2A68}"/>
</file>

<file path=docProps/app.xml><?xml version="1.0" encoding="utf-8"?>
<Properties xmlns="http://schemas.openxmlformats.org/officeDocument/2006/extended-properties" xmlns:vt="http://schemas.openxmlformats.org/officeDocument/2006/docPropsVTypes">
  <Template>Normal</Template>
  <TotalTime>1</TotalTime>
  <Pages>26</Pages>
  <Words>6363</Words>
  <Characters>36273</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2024-06-02T06:32:00Z</dcterms:created>
  <dcterms:modified xsi:type="dcterms:W3CDTF">2024-06-02T06:32:00Z</dcterms:modified>
</cp:coreProperties>
</file>