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F1B" w:rsidRPr="00F611C2" w:rsidRDefault="0039740F" w:rsidP="00F611C2">
      <w:pPr>
        <w:spacing w:after="200"/>
        <w:jc w:val="center"/>
        <w:rPr>
          <w:b/>
          <w:sz w:val="23"/>
          <w:szCs w:val="23"/>
          <w:u w:val="single"/>
        </w:rPr>
      </w:pPr>
      <w:bookmarkStart w:id="0" w:name="_GoBack"/>
      <w:bookmarkEnd w:id="0"/>
      <w:r w:rsidRPr="00F611C2">
        <w:rPr>
          <w:b/>
          <w:sz w:val="23"/>
          <w:szCs w:val="23"/>
          <w:u w:val="single"/>
        </w:rPr>
        <w:t>FREEDOM OF EXPRESSION</w:t>
      </w:r>
      <w:r w:rsidRPr="00F611C2">
        <w:rPr>
          <w:u w:val="single"/>
        </w:rPr>
        <w:t xml:space="preserve"> (</w:t>
      </w:r>
      <w:r w:rsidRPr="00F611C2">
        <w:rPr>
          <w:b/>
          <w:sz w:val="23"/>
          <w:szCs w:val="23"/>
          <w:u w:val="single"/>
        </w:rPr>
        <w:t>CCPR/C/KAZ/CO/1 RECOMMENDATION § 25)</w:t>
      </w:r>
    </w:p>
    <w:p w:rsidR="002D1830" w:rsidRPr="008D29D2" w:rsidRDefault="008D29D2" w:rsidP="00F611C2">
      <w:pPr>
        <w:spacing w:after="200"/>
        <w:ind w:left="709" w:right="700"/>
        <w:jc w:val="both"/>
        <w:rPr>
          <w:bCs/>
          <w:sz w:val="22"/>
          <w:szCs w:val="22"/>
        </w:rPr>
      </w:pPr>
      <w:r w:rsidRPr="008D29D2">
        <w:rPr>
          <w:sz w:val="22"/>
          <w:szCs w:val="22"/>
        </w:rPr>
        <w:t>“</w:t>
      </w:r>
      <w:r w:rsidR="002D1830" w:rsidRPr="007B63B5">
        <w:rPr>
          <w:i/>
          <w:sz w:val="22"/>
          <w:szCs w:val="22"/>
        </w:rPr>
        <w:t xml:space="preserve">The State party should ensure that journalists, human rights defenders and individuals are able to freely exercise the right to freedom of expression in accordance with the Covenant. </w:t>
      </w:r>
      <w:r w:rsidR="000A0C2B">
        <w:rPr>
          <w:i/>
          <w:sz w:val="22"/>
          <w:szCs w:val="22"/>
        </w:rPr>
        <w:t>(…)</w:t>
      </w:r>
      <w:r w:rsidR="002D1830" w:rsidRPr="007B63B5">
        <w:rPr>
          <w:i/>
          <w:sz w:val="22"/>
          <w:szCs w:val="22"/>
        </w:rPr>
        <w:t xml:space="preserve"> Furthermore, the State party should desist from using its law on defamation solely for purposes of harassing or intimidating individuals,</w:t>
      </w:r>
      <w:r w:rsidR="002D1830" w:rsidRPr="007B63B5">
        <w:rPr>
          <w:bCs/>
          <w:i/>
          <w:sz w:val="22"/>
          <w:szCs w:val="22"/>
        </w:rPr>
        <w:t xml:space="preserve"> journalists and human rights defenders. In this regard, any restrictions on the exercise of freedom of expression should comply with the strict requirements of article 19, paragraph 3, of the Covenant</w:t>
      </w:r>
      <w:r w:rsidR="00F611C2">
        <w:rPr>
          <w:bCs/>
          <w:i/>
          <w:sz w:val="22"/>
          <w:szCs w:val="22"/>
        </w:rPr>
        <w:t>.</w:t>
      </w:r>
      <w:r w:rsidRPr="008D29D2">
        <w:rPr>
          <w:bCs/>
          <w:sz w:val="22"/>
          <w:szCs w:val="22"/>
        </w:rPr>
        <w:t>”</w:t>
      </w:r>
      <w:r w:rsidR="001447C5">
        <w:rPr>
          <w:bCs/>
          <w:sz w:val="22"/>
          <w:szCs w:val="22"/>
        </w:rPr>
        <w:t xml:space="preserve"> </w:t>
      </w:r>
    </w:p>
    <w:p w:rsidR="0039740F" w:rsidRPr="0039740F" w:rsidRDefault="0039740F" w:rsidP="0039740F">
      <w:pPr>
        <w:spacing w:after="200"/>
        <w:jc w:val="both"/>
        <w:rPr>
          <w:b/>
          <w:sz w:val="23"/>
          <w:szCs w:val="23"/>
        </w:rPr>
      </w:pPr>
      <w:r w:rsidRPr="0039740F">
        <w:rPr>
          <w:b/>
          <w:sz w:val="23"/>
          <w:szCs w:val="23"/>
        </w:rPr>
        <w:t>I. Arrests and Convictions for So-Called “Illegal Missionary Activity”</w:t>
      </w:r>
    </w:p>
    <w:p w:rsidR="0039740F" w:rsidRPr="00717ED9" w:rsidRDefault="0039740F" w:rsidP="0039740F">
      <w:pPr>
        <w:spacing w:after="200"/>
        <w:ind w:firstLine="720"/>
        <w:jc w:val="both"/>
        <w:rPr>
          <w:sz w:val="23"/>
          <w:szCs w:val="23"/>
        </w:rPr>
      </w:pPr>
      <w:r w:rsidRPr="00717ED9">
        <w:rPr>
          <w:sz w:val="23"/>
          <w:szCs w:val="23"/>
        </w:rPr>
        <w:t xml:space="preserve">Jehovah’s Witnesses have been active in Kazakhstan since at least the early 1940s. They obtained registration in Kazakhstan in 1991 and were re-registered in October 2012 under Kazakhstan’s new law on religion. </w:t>
      </w:r>
    </w:p>
    <w:p w:rsidR="0039740F" w:rsidRDefault="0039740F" w:rsidP="0039740F">
      <w:pPr>
        <w:spacing w:after="200"/>
        <w:ind w:firstLine="720"/>
        <w:jc w:val="both"/>
        <w:rPr>
          <w:sz w:val="23"/>
          <w:szCs w:val="23"/>
        </w:rPr>
      </w:pPr>
      <w:r w:rsidRPr="00717ED9">
        <w:rPr>
          <w:sz w:val="23"/>
          <w:szCs w:val="23"/>
        </w:rPr>
        <w:t>As repeatedly emphasized by the international community, the manifestation of the right to freedom of religion cannot be made subject to “acts of State approval or administration registration.”</w:t>
      </w:r>
      <w:r>
        <w:rPr>
          <w:rStyle w:val="FootnoteReference"/>
          <w:sz w:val="23"/>
          <w:szCs w:val="23"/>
        </w:rPr>
        <w:footnoteReference w:id="1"/>
      </w:r>
    </w:p>
    <w:p w:rsidR="007D10F7" w:rsidRDefault="007D10F7" w:rsidP="001447C5">
      <w:pPr>
        <w:spacing w:after="200"/>
        <w:ind w:firstLine="720"/>
        <w:jc w:val="both"/>
        <w:rPr>
          <w:sz w:val="23"/>
          <w:szCs w:val="23"/>
        </w:rPr>
      </w:pPr>
      <w:r w:rsidRPr="007D10F7">
        <w:rPr>
          <w:sz w:val="23"/>
          <w:szCs w:val="23"/>
        </w:rPr>
        <w:t xml:space="preserve">On 11 October 2011 Kazakhstan adopted the repressive Law “On Religious Activity and Religious Associations” (hereinafter “2011 Religion Law”), in total disregard of Articles 18, 19, 21, and 22 of the </w:t>
      </w:r>
      <w:r w:rsidR="000203DD">
        <w:rPr>
          <w:sz w:val="23"/>
          <w:szCs w:val="23"/>
        </w:rPr>
        <w:t>Covenant</w:t>
      </w:r>
      <w:r w:rsidRPr="007D10F7">
        <w:rPr>
          <w:sz w:val="23"/>
          <w:szCs w:val="23"/>
        </w:rPr>
        <w:t xml:space="preserve">, and the recommendations of the </w:t>
      </w:r>
      <w:r w:rsidR="000203DD">
        <w:rPr>
          <w:sz w:val="23"/>
          <w:szCs w:val="23"/>
        </w:rPr>
        <w:t>Human Rights Committee</w:t>
      </w:r>
      <w:r w:rsidRPr="007D10F7">
        <w:rPr>
          <w:sz w:val="23"/>
          <w:szCs w:val="23"/>
        </w:rPr>
        <w:t>, the UPR Working Group, and the OSCE/OD</w:t>
      </w:r>
      <w:r w:rsidR="00E25B95">
        <w:rPr>
          <w:sz w:val="23"/>
          <w:szCs w:val="23"/>
        </w:rPr>
        <w:t>I</w:t>
      </w:r>
      <w:r w:rsidRPr="007D10F7">
        <w:rPr>
          <w:sz w:val="23"/>
          <w:szCs w:val="23"/>
        </w:rPr>
        <w:t>HR Advisory Committee on Freedom of Religion or Belief.</w:t>
      </w:r>
      <w:r w:rsidR="00717ED9">
        <w:rPr>
          <w:rStyle w:val="FootnoteReference"/>
          <w:sz w:val="23"/>
          <w:szCs w:val="23"/>
        </w:rPr>
        <w:footnoteReference w:id="2"/>
      </w:r>
    </w:p>
    <w:p w:rsidR="0039740F" w:rsidRPr="0039740F" w:rsidRDefault="0039740F" w:rsidP="0039740F">
      <w:pPr>
        <w:spacing w:after="200"/>
        <w:ind w:firstLine="720"/>
        <w:jc w:val="both"/>
        <w:rPr>
          <w:sz w:val="23"/>
          <w:szCs w:val="23"/>
        </w:rPr>
      </w:pPr>
      <w:r w:rsidRPr="0039740F">
        <w:rPr>
          <w:sz w:val="23"/>
          <w:szCs w:val="23"/>
        </w:rPr>
        <w:t xml:space="preserve">Among the draconian restrictions in the 2011 Religion Law are the prohibitions in Articles 1(5) and 8(7) which make it an offence for anyone, including a citizen of Kazakhstan, </w:t>
      </w:r>
      <w:r w:rsidR="001B611C">
        <w:rPr>
          <w:sz w:val="23"/>
          <w:szCs w:val="23"/>
        </w:rPr>
        <w:t>to hold a peaceful religious meeting or to share his beliefs out of a registered address</w:t>
      </w:r>
      <w:r w:rsidRPr="0039740F">
        <w:rPr>
          <w:sz w:val="23"/>
          <w:szCs w:val="23"/>
        </w:rPr>
        <w:t xml:space="preserve"> without first obtaining permission (registration) from </w:t>
      </w:r>
      <w:r w:rsidR="00001F11">
        <w:rPr>
          <w:sz w:val="23"/>
          <w:szCs w:val="23"/>
        </w:rPr>
        <w:t>the Agency of Religious Affairs (</w:t>
      </w:r>
      <w:r w:rsidRPr="0039740F">
        <w:rPr>
          <w:sz w:val="23"/>
          <w:szCs w:val="23"/>
        </w:rPr>
        <w:t>ARA</w:t>
      </w:r>
      <w:r w:rsidR="00001F11">
        <w:rPr>
          <w:sz w:val="23"/>
          <w:szCs w:val="23"/>
        </w:rPr>
        <w:t>)</w:t>
      </w:r>
      <w:r w:rsidRPr="0039740F">
        <w:rPr>
          <w:sz w:val="23"/>
          <w:szCs w:val="23"/>
        </w:rPr>
        <w:t xml:space="preserve"> as a “missionary.” The registration process takes months and includes a subjective state-sponsored “religious expert study” on the religious literature the individual intends to use. Even if registration as a “missionary” is finally granted, it is valid only for a maximum of one year and only for the one particular region specified by the local department of religious affairs. </w:t>
      </w:r>
    </w:p>
    <w:p w:rsidR="0039740F" w:rsidRPr="0039740F" w:rsidRDefault="0039740F" w:rsidP="0039740F">
      <w:pPr>
        <w:spacing w:after="200"/>
        <w:ind w:firstLine="720"/>
        <w:jc w:val="both"/>
        <w:rPr>
          <w:sz w:val="23"/>
          <w:szCs w:val="23"/>
        </w:rPr>
      </w:pPr>
      <w:r w:rsidRPr="0039740F">
        <w:rPr>
          <w:sz w:val="23"/>
          <w:szCs w:val="23"/>
        </w:rPr>
        <w:t>These onerous bureaucratic procedures, and the stiff administrative fines imposed for non-compliance, effectively silence religious expression</w:t>
      </w:r>
      <w:r w:rsidR="001B611C">
        <w:rPr>
          <w:sz w:val="23"/>
          <w:szCs w:val="23"/>
        </w:rPr>
        <w:t xml:space="preserve"> for individuals and for groups</w:t>
      </w:r>
      <w:r w:rsidRPr="0039740F">
        <w:rPr>
          <w:sz w:val="23"/>
          <w:szCs w:val="23"/>
        </w:rPr>
        <w:t>.</w:t>
      </w:r>
    </w:p>
    <w:p w:rsidR="0039740F" w:rsidRPr="0039740F" w:rsidRDefault="0039740F" w:rsidP="0039740F">
      <w:pPr>
        <w:spacing w:after="200"/>
        <w:ind w:firstLine="720"/>
        <w:jc w:val="both"/>
        <w:rPr>
          <w:sz w:val="23"/>
          <w:szCs w:val="23"/>
        </w:rPr>
      </w:pPr>
      <w:r w:rsidRPr="0039740F">
        <w:rPr>
          <w:sz w:val="23"/>
          <w:szCs w:val="23"/>
        </w:rPr>
        <w:t>Beginning in December 2012, Kazakhstan officials commenced a series of arrests and prosecutions of Jehovah’s Witnesses for so-called illegal “missionary activity” under Article 375(3) of Kazakhstan’s Code of Administrative Violations. The individuals arrested were either participating in the peaceful religious meetings of Jehovah’s Witnesses or were peacefully discussing their religious beliefs with a neighb</w:t>
      </w:r>
      <w:r>
        <w:rPr>
          <w:sz w:val="23"/>
          <w:szCs w:val="23"/>
        </w:rPr>
        <w:t xml:space="preserve">or or other interested person. </w:t>
      </w:r>
    </w:p>
    <w:p w:rsidR="0039740F" w:rsidRPr="0039740F" w:rsidRDefault="0039740F" w:rsidP="0039740F">
      <w:pPr>
        <w:spacing w:after="200"/>
        <w:ind w:firstLine="720"/>
        <w:jc w:val="both"/>
        <w:rPr>
          <w:sz w:val="23"/>
          <w:szCs w:val="23"/>
        </w:rPr>
      </w:pPr>
      <w:r w:rsidRPr="0039740F">
        <w:rPr>
          <w:sz w:val="23"/>
          <w:szCs w:val="23"/>
        </w:rPr>
        <w:t xml:space="preserve">For example, Mr. </w:t>
      </w:r>
      <w:proofErr w:type="spellStart"/>
      <w:r w:rsidRPr="0039740F">
        <w:rPr>
          <w:sz w:val="23"/>
          <w:szCs w:val="23"/>
        </w:rPr>
        <w:t>Dmitriy</w:t>
      </w:r>
      <w:proofErr w:type="spellEnd"/>
      <w:r w:rsidRPr="0039740F">
        <w:rPr>
          <w:sz w:val="23"/>
          <w:szCs w:val="23"/>
        </w:rPr>
        <w:t xml:space="preserve"> </w:t>
      </w:r>
      <w:proofErr w:type="spellStart"/>
      <w:r w:rsidRPr="0039740F">
        <w:rPr>
          <w:sz w:val="23"/>
          <w:szCs w:val="23"/>
        </w:rPr>
        <w:t>Bukin</w:t>
      </w:r>
      <w:proofErr w:type="spellEnd"/>
      <w:r w:rsidRPr="0039740F">
        <w:rPr>
          <w:sz w:val="23"/>
          <w:szCs w:val="23"/>
        </w:rPr>
        <w:t xml:space="preserve"> was arrested and convicted for “missionary activity” for organizing and participating in a special two-day religious assembly of Jehovah’s Witnesses in Astana, Kazakhstan. </w:t>
      </w:r>
      <w:r w:rsidR="001B611C">
        <w:rPr>
          <w:sz w:val="23"/>
          <w:szCs w:val="23"/>
        </w:rPr>
        <w:t xml:space="preserve">Since there are no registered facilities able to welcome such assemblies, Mr. </w:t>
      </w:r>
      <w:proofErr w:type="spellStart"/>
      <w:r w:rsidR="001B611C">
        <w:rPr>
          <w:sz w:val="23"/>
          <w:szCs w:val="23"/>
        </w:rPr>
        <w:t>Bukin</w:t>
      </w:r>
      <w:proofErr w:type="spellEnd"/>
      <w:r w:rsidR="001B611C">
        <w:rPr>
          <w:sz w:val="23"/>
          <w:szCs w:val="23"/>
        </w:rPr>
        <w:t xml:space="preserve"> rented an “unregistered” place. </w:t>
      </w:r>
      <w:r w:rsidRPr="0039740F">
        <w:rPr>
          <w:sz w:val="23"/>
          <w:szCs w:val="23"/>
        </w:rPr>
        <w:t xml:space="preserve">Mr. </w:t>
      </w:r>
      <w:proofErr w:type="spellStart"/>
      <w:r w:rsidRPr="0039740F">
        <w:rPr>
          <w:sz w:val="23"/>
          <w:szCs w:val="23"/>
        </w:rPr>
        <w:t>Nurzhan</w:t>
      </w:r>
      <w:proofErr w:type="spellEnd"/>
      <w:r w:rsidRPr="0039740F">
        <w:rPr>
          <w:sz w:val="23"/>
          <w:szCs w:val="23"/>
        </w:rPr>
        <w:t xml:space="preserve"> </w:t>
      </w:r>
      <w:proofErr w:type="spellStart"/>
      <w:r w:rsidRPr="0039740F">
        <w:rPr>
          <w:sz w:val="23"/>
          <w:szCs w:val="23"/>
        </w:rPr>
        <w:t>Agalkov</w:t>
      </w:r>
      <w:proofErr w:type="spellEnd"/>
      <w:r w:rsidRPr="0039740F">
        <w:rPr>
          <w:sz w:val="23"/>
          <w:szCs w:val="23"/>
        </w:rPr>
        <w:t xml:space="preserve"> was arrested and convicted for “missionary activity” for answering questions about his religious beliefs asked by his roommate in their private apartment in Pavlodar.</w:t>
      </w:r>
      <w:r w:rsidR="007070B2">
        <w:rPr>
          <w:sz w:val="23"/>
          <w:szCs w:val="23"/>
        </w:rPr>
        <w:t xml:space="preserve"> The owner of the building had called the police after overhearing their private discussion. </w:t>
      </w:r>
      <w:r w:rsidRPr="0039740F">
        <w:rPr>
          <w:sz w:val="23"/>
          <w:szCs w:val="23"/>
        </w:rPr>
        <w:t xml:space="preserve">Ms. </w:t>
      </w:r>
      <w:proofErr w:type="spellStart"/>
      <w:r w:rsidRPr="0039740F">
        <w:rPr>
          <w:sz w:val="23"/>
          <w:szCs w:val="23"/>
        </w:rPr>
        <w:lastRenderedPageBreak/>
        <w:t>Nadezhda</w:t>
      </w:r>
      <w:proofErr w:type="spellEnd"/>
      <w:r w:rsidRPr="0039740F">
        <w:rPr>
          <w:sz w:val="23"/>
          <w:szCs w:val="23"/>
        </w:rPr>
        <w:t xml:space="preserve"> </w:t>
      </w:r>
      <w:proofErr w:type="spellStart"/>
      <w:r w:rsidRPr="0039740F">
        <w:rPr>
          <w:sz w:val="23"/>
          <w:szCs w:val="23"/>
        </w:rPr>
        <w:t>Shefer</w:t>
      </w:r>
      <w:proofErr w:type="spellEnd"/>
      <w:r w:rsidRPr="0039740F">
        <w:rPr>
          <w:sz w:val="23"/>
          <w:szCs w:val="23"/>
        </w:rPr>
        <w:t xml:space="preserve"> was arrested and convicted for “missionary activity” for peacefully discussing her religious beliefs with intereste</w:t>
      </w:r>
      <w:r>
        <w:rPr>
          <w:sz w:val="23"/>
          <w:szCs w:val="23"/>
        </w:rPr>
        <w:t xml:space="preserve">d persons in her neighborhood. </w:t>
      </w:r>
      <w:r w:rsidRPr="0039740F">
        <w:rPr>
          <w:sz w:val="23"/>
          <w:szCs w:val="23"/>
        </w:rPr>
        <w:t xml:space="preserve"> </w:t>
      </w:r>
    </w:p>
    <w:p w:rsidR="0039740F" w:rsidRPr="0039740F" w:rsidRDefault="0039740F" w:rsidP="0039740F">
      <w:pPr>
        <w:spacing w:after="200"/>
        <w:ind w:firstLine="720"/>
        <w:jc w:val="both"/>
        <w:rPr>
          <w:sz w:val="23"/>
          <w:szCs w:val="23"/>
        </w:rPr>
      </w:pPr>
      <w:r w:rsidRPr="0039740F">
        <w:rPr>
          <w:sz w:val="23"/>
          <w:szCs w:val="23"/>
        </w:rPr>
        <w:t xml:space="preserve">Having exhausted all domestic remedies, </w:t>
      </w:r>
      <w:r w:rsidR="000D2E51">
        <w:rPr>
          <w:sz w:val="23"/>
          <w:szCs w:val="23"/>
        </w:rPr>
        <w:t xml:space="preserve">by </w:t>
      </w:r>
      <w:r w:rsidRPr="0039740F">
        <w:rPr>
          <w:sz w:val="23"/>
          <w:szCs w:val="23"/>
        </w:rPr>
        <w:t>29 A</w:t>
      </w:r>
      <w:r w:rsidR="000D2E51">
        <w:rPr>
          <w:sz w:val="23"/>
          <w:szCs w:val="23"/>
        </w:rPr>
        <w:t>ugust</w:t>
      </w:r>
      <w:r w:rsidRPr="0039740F">
        <w:rPr>
          <w:sz w:val="23"/>
          <w:szCs w:val="23"/>
        </w:rPr>
        <w:t xml:space="preserve"> 2013 complaints were filed with the Human Rights Committee on behalf of the </w:t>
      </w:r>
      <w:r w:rsidR="000D2E51">
        <w:rPr>
          <w:sz w:val="23"/>
          <w:szCs w:val="23"/>
        </w:rPr>
        <w:t xml:space="preserve">first </w:t>
      </w:r>
      <w:r>
        <w:rPr>
          <w:sz w:val="23"/>
          <w:szCs w:val="23"/>
        </w:rPr>
        <w:t>21</w:t>
      </w:r>
      <w:r w:rsidRPr="0039740F">
        <w:rPr>
          <w:sz w:val="23"/>
          <w:szCs w:val="23"/>
        </w:rPr>
        <w:t xml:space="preserve"> Jehovah’s Witnesses convicted for</w:t>
      </w:r>
      <w:r w:rsidR="000D2E51">
        <w:rPr>
          <w:sz w:val="23"/>
          <w:szCs w:val="23"/>
        </w:rPr>
        <w:t xml:space="preserve"> so-called</w:t>
      </w:r>
      <w:r w:rsidRPr="0039740F">
        <w:rPr>
          <w:sz w:val="23"/>
          <w:szCs w:val="23"/>
        </w:rPr>
        <w:t xml:space="preserve"> “missionary activity.” Additi</w:t>
      </w:r>
      <w:r w:rsidR="000D2E51">
        <w:rPr>
          <w:sz w:val="23"/>
          <w:szCs w:val="23"/>
        </w:rPr>
        <w:t>onal complaints will be filed as those decisions enter into legal force</w:t>
      </w:r>
      <w:r w:rsidRPr="0039740F">
        <w:rPr>
          <w:sz w:val="23"/>
          <w:szCs w:val="23"/>
        </w:rPr>
        <w:t xml:space="preserve">. </w:t>
      </w:r>
    </w:p>
    <w:p w:rsidR="0039740F" w:rsidRPr="0039740F" w:rsidRDefault="0039740F" w:rsidP="0039740F">
      <w:pPr>
        <w:spacing w:after="200"/>
        <w:ind w:firstLine="720"/>
        <w:jc w:val="both"/>
        <w:rPr>
          <w:sz w:val="23"/>
          <w:szCs w:val="23"/>
        </w:rPr>
      </w:pPr>
      <w:r w:rsidRPr="0039740F">
        <w:rPr>
          <w:sz w:val="23"/>
          <w:szCs w:val="23"/>
        </w:rPr>
        <w:t xml:space="preserve">State authorities are now taking action to enforce the exorbitant fines imposed on Jehovah’s Witnesses and threatening that if the fines are not immediately paid then criminal proceedings will be initiated. </w:t>
      </w:r>
    </w:p>
    <w:p w:rsidR="0039740F" w:rsidRDefault="0039740F" w:rsidP="0039740F">
      <w:pPr>
        <w:spacing w:after="200"/>
        <w:ind w:firstLine="720"/>
        <w:jc w:val="both"/>
        <w:rPr>
          <w:sz w:val="23"/>
          <w:szCs w:val="23"/>
        </w:rPr>
      </w:pPr>
      <w:r w:rsidRPr="0039740F">
        <w:rPr>
          <w:sz w:val="23"/>
          <w:szCs w:val="23"/>
        </w:rPr>
        <w:t xml:space="preserve">In letters dated 28 March 2013 and 16 May 2013, ARA has directed the Regional Religious Center of Jehovah’s Witnesses to instruct the more than 17,000 Jehovah’s Witnesses in Kazakhstan </w:t>
      </w:r>
      <w:r w:rsidR="007070B2">
        <w:rPr>
          <w:sz w:val="23"/>
          <w:szCs w:val="23"/>
        </w:rPr>
        <w:t xml:space="preserve">that it is illegal for them to share their beliefs </w:t>
      </w:r>
      <w:r w:rsidRPr="0039740F">
        <w:rPr>
          <w:sz w:val="23"/>
          <w:szCs w:val="23"/>
        </w:rPr>
        <w:t>outside their registered places of worship and that they must “comply” with the total ban on unregistered “missionary activity.”</w:t>
      </w:r>
    </w:p>
    <w:p w:rsidR="0039740F" w:rsidRPr="0039740F" w:rsidRDefault="0039740F" w:rsidP="0039740F">
      <w:pPr>
        <w:spacing w:after="200"/>
        <w:jc w:val="both"/>
        <w:rPr>
          <w:b/>
          <w:sz w:val="23"/>
          <w:szCs w:val="23"/>
        </w:rPr>
      </w:pPr>
      <w:r w:rsidRPr="0039740F">
        <w:rPr>
          <w:b/>
          <w:sz w:val="23"/>
          <w:szCs w:val="23"/>
        </w:rPr>
        <w:t>II. Banning of religious literature</w:t>
      </w:r>
    </w:p>
    <w:p w:rsidR="001447C5" w:rsidRPr="00851C9A" w:rsidRDefault="001447C5" w:rsidP="001447C5">
      <w:pPr>
        <w:spacing w:after="200"/>
        <w:ind w:firstLine="720"/>
        <w:jc w:val="both"/>
        <w:rPr>
          <w:sz w:val="23"/>
          <w:szCs w:val="23"/>
        </w:rPr>
      </w:pPr>
      <w:r w:rsidRPr="00851C9A">
        <w:rPr>
          <w:sz w:val="23"/>
          <w:szCs w:val="23"/>
        </w:rPr>
        <w:t xml:space="preserve">Articles 6(1) and 9(3) of the 2011 Religion Law </w:t>
      </w:r>
      <w:r w:rsidR="0039740F">
        <w:rPr>
          <w:sz w:val="23"/>
          <w:szCs w:val="23"/>
        </w:rPr>
        <w:t xml:space="preserve">also </w:t>
      </w:r>
      <w:r w:rsidRPr="00851C9A">
        <w:rPr>
          <w:sz w:val="23"/>
          <w:szCs w:val="23"/>
        </w:rPr>
        <w:t xml:space="preserve">prohibit the import of any religious literature, without first obtaining prior “approval” from ARA. The religious organization must submit to ARA the literature it would like to import, which is then subjected to a “religious expert study” by an employee of ARA. Once that “expert study” is complete, ARA decides whether permission will be given to import the religious literature. </w:t>
      </w:r>
    </w:p>
    <w:p w:rsidR="001447C5" w:rsidRPr="00851C9A" w:rsidRDefault="001447C5" w:rsidP="001447C5">
      <w:pPr>
        <w:spacing w:after="200"/>
        <w:ind w:firstLine="720"/>
        <w:jc w:val="both"/>
        <w:rPr>
          <w:sz w:val="23"/>
          <w:szCs w:val="23"/>
        </w:rPr>
      </w:pPr>
      <w:r w:rsidRPr="00851C9A">
        <w:rPr>
          <w:sz w:val="23"/>
          <w:szCs w:val="23"/>
        </w:rPr>
        <w:t xml:space="preserve">In September, October, and December 2012, Jehovah’s Witnesses applied to ARA for approval to import </w:t>
      </w:r>
      <w:r>
        <w:rPr>
          <w:sz w:val="23"/>
          <w:szCs w:val="23"/>
        </w:rPr>
        <w:t>11</w:t>
      </w:r>
      <w:r w:rsidRPr="00851C9A">
        <w:rPr>
          <w:sz w:val="23"/>
          <w:szCs w:val="23"/>
        </w:rPr>
        <w:t xml:space="preserve"> religious publications</w:t>
      </w:r>
      <w:r>
        <w:rPr>
          <w:sz w:val="23"/>
          <w:szCs w:val="23"/>
        </w:rPr>
        <w:t xml:space="preserve">, nine of which were monthly issues of the </w:t>
      </w:r>
      <w:proofErr w:type="spellStart"/>
      <w:r w:rsidRPr="00851C9A">
        <w:rPr>
          <w:i/>
          <w:sz w:val="23"/>
          <w:szCs w:val="23"/>
        </w:rPr>
        <w:t>The</w:t>
      </w:r>
      <w:proofErr w:type="spellEnd"/>
      <w:r w:rsidRPr="00851C9A">
        <w:rPr>
          <w:i/>
          <w:sz w:val="23"/>
          <w:szCs w:val="23"/>
        </w:rPr>
        <w:t xml:space="preserve"> Watchtower</w:t>
      </w:r>
      <w:r w:rsidRPr="00851C9A">
        <w:rPr>
          <w:sz w:val="23"/>
          <w:szCs w:val="23"/>
        </w:rPr>
        <w:t xml:space="preserve"> and </w:t>
      </w:r>
      <w:r w:rsidRPr="00851C9A">
        <w:rPr>
          <w:i/>
          <w:sz w:val="23"/>
          <w:szCs w:val="23"/>
        </w:rPr>
        <w:t>Awake!</w:t>
      </w:r>
      <w:r w:rsidRPr="00851C9A">
        <w:rPr>
          <w:sz w:val="23"/>
          <w:szCs w:val="23"/>
        </w:rPr>
        <w:t xml:space="preserve"> </w:t>
      </w:r>
      <w:proofErr w:type="gramStart"/>
      <w:r w:rsidRPr="00851C9A">
        <w:rPr>
          <w:sz w:val="23"/>
          <w:szCs w:val="23"/>
        </w:rPr>
        <w:t>magazines</w:t>
      </w:r>
      <w:proofErr w:type="gramEnd"/>
      <w:r>
        <w:rPr>
          <w:sz w:val="23"/>
          <w:szCs w:val="23"/>
        </w:rPr>
        <w:t xml:space="preserve">. </w:t>
      </w:r>
      <w:r w:rsidRPr="00851C9A">
        <w:rPr>
          <w:sz w:val="23"/>
          <w:szCs w:val="23"/>
        </w:rPr>
        <w:t xml:space="preserve">Jehovah’s Witnesses use these publications in their regular weekly religious meetings and at home for personal and family worship. </w:t>
      </w:r>
    </w:p>
    <w:p w:rsidR="001447C5" w:rsidRPr="00851C9A" w:rsidRDefault="001447C5" w:rsidP="001447C5">
      <w:pPr>
        <w:spacing w:after="200"/>
        <w:ind w:firstLine="720"/>
        <w:jc w:val="both"/>
        <w:rPr>
          <w:sz w:val="23"/>
          <w:szCs w:val="23"/>
        </w:rPr>
      </w:pPr>
      <w:r w:rsidRPr="000D2E51">
        <w:rPr>
          <w:i/>
          <w:sz w:val="23"/>
          <w:szCs w:val="23"/>
        </w:rPr>
        <w:t>The Watchtower</w:t>
      </w:r>
      <w:r w:rsidRPr="00851C9A">
        <w:rPr>
          <w:sz w:val="23"/>
          <w:szCs w:val="23"/>
        </w:rPr>
        <w:t xml:space="preserve"> and </w:t>
      </w:r>
      <w:r w:rsidRPr="000D2E51">
        <w:rPr>
          <w:i/>
          <w:sz w:val="23"/>
          <w:szCs w:val="23"/>
        </w:rPr>
        <w:t>Awake!</w:t>
      </w:r>
      <w:r w:rsidRPr="00851C9A">
        <w:rPr>
          <w:sz w:val="23"/>
          <w:szCs w:val="23"/>
        </w:rPr>
        <w:t xml:space="preserve"> </w:t>
      </w:r>
      <w:proofErr w:type="gramStart"/>
      <w:r w:rsidRPr="00851C9A">
        <w:rPr>
          <w:sz w:val="23"/>
          <w:szCs w:val="23"/>
        </w:rPr>
        <w:t>magazines</w:t>
      </w:r>
      <w:proofErr w:type="gramEnd"/>
      <w:r w:rsidRPr="00851C9A">
        <w:rPr>
          <w:sz w:val="23"/>
          <w:szCs w:val="23"/>
        </w:rPr>
        <w:t xml:space="preserve"> are the most widely read and circulated magazines in the world. The Watchtower has a monthly circulation of more than 44,000,000 copies in more than 190 languages and Awake! </w:t>
      </w:r>
      <w:proofErr w:type="gramStart"/>
      <w:r w:rsidRPr="00851C9A">
        <w:rPr>
          <w:sz w:val="23"/>
          <w:szCs w:val="23"/>
        </w:rPr>
        <w:t>has</w:t>
      </w:r>
      <w:proofErr w:type="gramEnd"/>
      <w:r w:rsidRPr="00851C9A">
        <w:rPr>
          <w:sz w:val="23"/>
          <w:szCs w:val="23"/>
        </w:rPr>
        <w:t xml:space="preserve"> a circulation of more than 43,000,000 copies in more than 80 languages. Both magazines are distributed in more than 239 countries and territories. This fact alone confirms there is nothing “illegal” in either magazine.</w:t>
      </w:r>
    </w:p>
    <w:p w:rsidR="001447C5" w:rsidRPr="00851C9A" w:rsidRDefault="001447C5" w:rsidP="001447C5">
      <w:pPr>
        <w:spacing w:after="200"/>
        <w:ind w:firstLine="720"/>
        <w:jc w:val="both"/>
        <w:rPr>
          <w:sz w:val="23"/>
          <w:szCs w:val="23"/>
        </w:rPr>
      </w:pPr>
      <w:r w:rsidRPr="00851C9A">
        <w:rPr>
          <w:sz w:val="23"/>
          <w:szCs w:val="23"/>
        </w:rPr>
        <w:t xml:space="preserve">In decisions dated 31 January 2013 ARA refused permission, claiming </w:t>
      </w:r>
      <w:r w:rsidRPr="000203DD">
        <w:rPr>
          <w:i/>
          <w:sz w:val="23"/>
          <w:szCs w:val="23"/>
        </w:rPr>
        <w:t>inter alia</w:t>
      </w:r>
      <w:r w:rsidRPr="00851C9A">
        <w:rPr>
          <w:sz w:val="23"/>
          <w:szCs w:val="23"/>
        </w:rPr>
        <w:t xml:space="preserve"> that these publications “discouraged” secular education and work, encouraged family breakup, and contained the religious belief of Jehovah’s Witnesses that the Trinity is not taught in the Bible which could “offend” members of “traditional” Christian religions.</w:t>
      </w:r>
      <w:r w:rsidR="00F611C2">
        <w:rPr>
          <w:rStyle w:val="FootnoteReference"/>
          <w:sz w:val="23"/>
          <w:szCs w:val="23"/>
        </w:rPr>
        <w:footnoteReference w:id="3"/>
      </w:r>
      <w:r w:rsidRPr="00851C9A">
        <w:rPr>
          <w:sz w:val="23"/>
          <w:szCs w:val="23"/>
        </w:rPr>
        <w:t xml:space="preserve">  </w:t>
      </w:r>
    </w:p>
    <w:p w:rsidR="001447C5" w:rsidRPr="00851C9A" w:rsidRDefault="001447C5" w:rsidP="001447C5">
      <w:pPr>
        <w:spacing w:after="200"/>
        <w:ind w:firstLine="720"/>
        <w:jc w:val="both"/>
        <w:rPr>
          <w:sz w:val="23"/>
          <w:szCs w:val="23"/>
        </w:rPr>
      </w:pPr>
      <w:r w:rsidRPr="00851C9A">
        <w:rPr>
          <w:sz w:val="23"/>
          <w:szCs w:val="23"/>
        </w:rPr>
        <w:t xml:space="preserve">ARA directed Jehovah’s Witnesses to “modify” the “content” of the publications and resubmit the “modified editions” to ARA for approval. This is a definitive act of censorship and is just as repugnant in a democratic society as insisting that a newspaper editor must submit an advance copy of his newspaper to a state agency for review before it can be published. </w:t>
      </w:r>
    </w:p>
    <w:p w:rsidR="00F611C2" w:rsidRDefault="001447C5" w:rsidP="00717ED9">
      <w:pPr>
        <w:spacing w:after="200"/>
        <w:ind w:firstLine="720"/>
        <w:jc w:val="both"/>
        <w:rPr>
          <w:b/>
          <w:sz w:val="23"/>
          <w:szCs w:val="23"/>
        </w:rPr>
      </w:pPr>
      <w:r w:rsidRPr="00851C9A">
        <w:rPr>
          <w:sz w:val="23"/>
          <w:szCs w:val="23"/>
        </w:rPr>
        <w:t xml:space="preserve">Jehovah’s Witnesses appealed to court. On 3 July 2013 the Astana Economic Court rejected the appeal and upheld ARA’s ban on the publications. </w:t>
      </w:r>
      <w:r w:rsidR="00F611C2">
        <w:rPr>
          <w:sz w:val="23"/>
          <w:szCs w:val="23"/>
        </w:rPr>
        <w:t>T</w:t>
      </w:r>
      <w:r w:rsidRPr="00851C9A">
        <w:rPr>
          <w:sz w:val="23"/>
          <w:szCs w:val="23"/>
        </w:rPr>
        <w:t>he Astana City Court</w:t>
      </w:r>
      <w:r w:rsidR="00F611C2">
        <w:rPr>
          <w:sz w:val="23"/>
          <w:szCs w:val="23"/>
        </w:rPr>
        <w:t xml:space="preserve"> rejected a</w:t>
      </w:r>
      <w:r w:rsidR="00F611C2" w:rsidRPr="00851C9A">
        <w:rPr>
          <w:sz w:val="23"/>
          <w:szCs w:val="23"/>
        </w:rPr>
        <w:t xml:space="preserve"> further appeal</w:t>
      </w:r>
      <w:r w:rsidR="00F611C2">
        <w:rPr>
          <w:sz w:val="23"/>
          <w:szCs w:val="23"/>
        </w:rPr>
        <w:t xml:space="preserve"> on 27 August 2013. The banning </w:t>
      </w:r>
      <w:r w:rsidRPr="00851C9A">
        <w:rPr>
          <w:sz w:val="23"/>
          <w:szCs w:val="23"/>
        </w:rPr>
        <w:t xml:space="preserve">decision </w:t>
      </w:r>
      <w:r w:rsidR="00F611C2">
        <w:rPr>
          <w:sz w:val="23"/>
          <w:szCs w:val="23"/>
        </w:rPr>
        <w:t xml:space="preserve">is now final and </w:t>
      </w:r>
      <w:r w:rsidRPr="00851C9A">
        <w:rPr>
          <w:sz w:val="23"/>
          <w:szCs w:val="23"/>
        </w:rPr>
        <w:t xml:space="preserve">enforceable. </w:t>
      </w:r>
      <w:r w:rsidR="00F611C2">
        <w:rPr>
          <w:b/>
          <w:sz w:val="23"/>
          <w:szCs w:val="23"/>
        </w:rPr>
        <w:br w:type="page"/>
      </w:r>
    </w:p>
    <w:p w:rsidR="007B63B5" w:rsidRPr="00F611C2" w:rsidRDefault="0039740F" w:rsidP="00F611C2">
      <w:pPr>
        <w:spacing w:after="200"/>
        <w:jc w:val="center"/>
        <w:rPr>
          <w:b/>
          <w:sz w:val="23"/>
          <w:szCs w:val="23"/>
          <w:u w:val="single"/>
        </w:rPr>
      </w:pPr>
      <w:r w:rsidRPr="00F611C2">
        <w:rPr>
          <w:b/>
          <w:sz w:val="23"/>
          <w:szCs w:val="23"/>
          <w:u w:val="single"/>
        </w:rPr>
        <w:lastRenderedPageBreak/>
        <w:t>FREEDOM OF ASSEMBLY (CCPR/C/KAZ/CO/1 RECOMMENDATION § 26)</w:t>
      </w:r>
    </w:p>
    <w:p w:rsidR="00605F1B" w:rsidRPr="007B63B5" w:rsidRDefault="007B63B5" w:rsidP="00F611C2">
      <w:pPr>
        <w:spacing w:after="200"/>
        <w:ind w:left="709" w:right="700"/>
        <w:jc w:val="both"/>
        <w:rPr>
          <w:sz w:val="22"/>
          <w:szCs w:val="22"/>
        </w:rPr>
      </w:pPr>
      <w:r>
        <w:rPr>
          <w:sz w:val="22"/>
          <w:szCs w:val="22"/>
        </w:rPr>
        <w:t>“</w:t>
      </w:r>
      <w:r w:rsidR="002D1830" w:rsidRPr="00F611C2">
        <w:rPr>
          <w:i/>
          <w:sz w:val="22"/>
          <w:szCs w:val="22"/>
        </w:rPr>
        <w:t>The State party should re-examine its regulations, policy and practice, and ensure that all individuals under its jurisdiction fully enjoy their rights under article 21 of the Covenant. It should ensure that the exercise of this right is subjected to restrictions which comply with the strict requirements of article 21 of the Covenant.</w:t>
      </w:r>
      <w:r>
        <w:rPr>
          <w:sz w:val="22"/>
          <w:szCs w:val="22"/>
        </w:rPr>
        <w:t>”</w:t>
      </w:r>
    </w:p>
    <w:p w:rsidR="00717ED9" w:rsidRPr="00717ED9" w:rsidRDefault="00717ED9" w:rsidP="00717ED9">
      <w:pPr>
        <w:spacing w:after="200"/>
        <w:ind w:firstLine="720"/>
        <w:jc w:val="both"/>
        <w:rPr>
          <w:sz w:val="23"/>
          <w:szCs w:val="23"/>
        </w:rPr>
      </w:pPr>
      <w:r w:rsidRPr="00717ED9">
        <w:rPr>
          <w:sz w:val="23"/>
          <w:szCs w:val="23"/>
        </w:rPr>
        <w:t xml:space="preserve">Police have raided at least </w:t>
      </w:r>
      <w:r w:rsidR="0039740F">
        <w:rPr>
          <w:sz w:val="23"/>
          <w:szCs w:val="23"/>
        </w:rPr>
        <w:t>six</w:t>
      </w:r>
      <w:r w:rsidRPr="00717ED9">
        <w:rPr>
          <w:sz w:val="23"/>
          <w:szCs w:val="23"/>
        </w:rPr>
        <w:t xml:space="preserve"> religious meetings of Jehovah’s Witnesses since 1 January 2013, notwithstanding the fact that Jehovah’s Witnesses have legal registration in all regions of Kazakhstan.</w:t>
      </w:r>
      <w:r w:rsidR="00E25B95">
        <w:rPr>
          <w:sz w:val="23"/>
          <w:szCs w:val="23"/>
        </w:rPr>
        <w:t xml:space="preserve"> On each occasion, law enforcement officials consider that, according to the 2011 Religion Law, the registration of the community was not sufficient. The meeting should also be organized at a registered address. This requirement is not possible for local Witnesses in all parts of Kazakhstan. In order to prevent any new meetings, law enforcement officials take advantage of the raids to punish the concerned believers as much as possible. </w:t>
      </w:r>
      <w:r w:rsidRPr="00717ED9">
        <w:rPr>
          <w:sz w:val="23"/>
          <w:szCs w:val="23"/>
        </w:rPr>
        <w:t>The following is just one example.</w:t>
      </w:r>
    </w:p>
    <w:p w:rsidR="00717ED9" w:rsidRPr="00717ED9" w:rsidRDefault="00717ED9" w:rsidP="00717ED9">
      <w:pPr>
        <w:spacing w:after="200"/>
        <w:ind w:firstLine="720"/>
        <w:jc w:val="both"/>
        <w:rPr>
          <w:sz w:val="23"/>
          <w:szCs w:val="23"/>
        </w:rPr>
      </w:pPr>
      <w:r w:rsidRPr="00717ED9">
        <w:rPr>
          <w:sz w:val="23"/>
          <w:szCs w:val="23"/>
        </w:rPr>
        <w:t xml:space="preserve">On Saturday afternoon 6 April 2013 more than 30 Jehovah’s Witnesses in the town of </w:t>
      </w:r>
      <w:proofErr w:type="spellStart"/>
      <w:r w:rsidRPr="00717ED9">
        <w:rPr>
          <w:sz w:val="23"/>
          <w:szCs w:val="23"/>
        </w:rPr>
        <w:t>Karabalyk</w:t>
      </w:r>
      <w:proofErr w:type="spellEnd"/>
      <w:r w:rsidRPr="00717ED9">
        <w:rPr>
          <w:sz w:val="23"/>
          <w:szCs w:val="23"/>
        </w:rPr>
        <w:t xml:space="preserve">, located in eastern Kazakhstan, were peacefully gathered together for religious worship in the home of their co-believers Eduard and Irina </w:t>
      </w:r>
      <w:proofErr w:type="spellStart"/>
      <w:r w:rsidRPr="00717ED9">
        <w:rPr>
          <w:sz w:val="23"/>
          <w:szCs w:val="23"/>
        </w:rPr>
        <w:t>Malykhin</w:t>
      </w:r>
      <w:proofErr w:type="spellEnd"/>
      <w:r w:rsidRPr="00717ED9">
        <w:rPr>
          <w:sz w:val="23"/>
          <w:szCs w:val="23"/>
        </w:rPr>
        <w:t xml:space="preserve">. </w:t>
      </w:r>
    </w:p>
    <w:p w:rsidR="00717ED9" w:rsidRPr="00717ED9" w:rsidRDefault="00717ED9" w:rsidP="00717ED9">
      <w:pPr>
        <w:spacing w:after="200"/>
        <w:ind w:firstLine="720"/>
        <w:jc w:val="both"/>
        <w:rPr>
          <w:sz w:val="23"/>
          <w:szCs w:val="23"/>
        </w:rPr>
      </w:pPr>
      <w:r w:rsidRPr="00717ED9">
        <w:rPr>
          <w:sz w:val="23"/>
          <w:szCs w:val="23"/>
        </w:rPr>
        <w:t xml:space="preserve">The religious meeting began at 3:00 p.m. and was scheduled to conclude shortly before 5:00 p.m.  However, at 4:00 p.m., more than twenty law enforcement officials, entered the home without permission and interrupted the religious meetings. The officials included representatives of the National Security Committee, the Regional Department on Fighting </w:t>
      </w:r>
      <w:proofErr w:type="gramStart"/>
      <w:r w:rsidRPr="00717ED9">
        <w:rPr>
          <w:sz w:val="23"/>
          <w:szCs w:val="23"/>
        </w:rPr>
        <w:t>Against</w:t>
      </w:r>
      <w:proofErr w:type="gramEnd"/>
      <w:r w:rsidRPr="00717ED9">
        <w:rPr>
          <w:sz w:val="23"/>
          <w:szCs w:val="23"/>
        </w:rPr>
        <w:t xml:space="preserve"> Extremism, Separatism, and Terrorism, and the Regional Department of Religious Affairs, along with the regional and city police and the criminal investigator. </w:t>
      </w:r>
    </w:p>
    <w:p w:rsidR="00717ED9" w:rsidRPr="00717ED9" w:rsidRDefault="00717ED9" w:rsidP="00717ED9">
      <w:pPr>
        <w:spacing w:after="200"/>
        <w:ind w:firstLine="720"/>
        <w:jc w:val="both"/>
        <w:rPr>
          <w:sz w:val="23"/>
          <w:szCs w:val="23"/>
        </w:rPr>
      </w:pPr>
      <w:r w:rsidRPr="00717ED9">
        <w:rPr>
          <w:sz w:val="23"/>
          <w:szCs w:val="23"/>
        </w:rPr>
        <w:t xml:space="preserve">The officials justified their actions by claiming they were acting on an “anonymous” tip that a </w:t>
      </w:r>
      <w:r w:rsidR="00E25B95">
        <w:rPr>
          <w:sz w:val="23"/>
          <w:szCs w:val="23"/>
        </w:rPr>
        <w:t>group</w:t>
      </w:r>
      <w:r w:rsidRPr="00717ED9">
        <w:rPr>
          <w:sz w:val="23"/>
          <w:szCs w:val="23"/>
        </w:rPr>
        <w:t xml:space="preserve"> was gathered for illegal worship. However, it is well known in </w:t>
      </w:r>
      <w:proofErr w:type="spellStart"/>
      <w:r w:rsidRPr="00717ED9">
        <w:rPr>
          <w:sz w:val="23"/>
          <w:szCs w:val="23"/>
        </w:rPr>
        <w:t>Karabalyk</w:t>
      </w:r>
      <w:proofErr w:type="spellEnd"/>
      <w:r w:rsidRPr="00717ED9">
        <w:rPr>
          <w:sz w:val="23"/>
          <w:szCs w:val="23"/>
        </w:rPr>
        <w:t xml:space="preserve">, including by the police, that Jehovah’s Witnesses have been holding regular weekly religious meetings in the </w:t>
      </w:r>
      <w:proofErr w:type="spellStart"/>
      <w:r w:rsidRPr="00717ED9">
        <w:rPr>
          <w:sz w:val="23"/>
          <w:szCs w:val="23"/>
        </w:rPr>
        <w:t>Malykhin</w:t>
      </w:r>
      <w:proofErr w:type="spellEnd"/>
      <w:r w:rsidRPr="00717ED9">
        <w:rPr>
          <w:sz w:val="23"/>
          <w:szCs w:val="23"/>
        </w:rPr>
        <w:t xml:space="preserve"> family home for more than two years. </w:t>
      </w:r>
    </w:p>
    <w:p w:rsidR="00717ED9" w:rsidRPr="00717ED9" w:rsidRDefault="00717ED9" w:rsidP="00717ED9">
      <w:pPr>
        <w:spacing w:after="200"/>
        <w:ind w:firstLine="720"/>
        <w:jc w:val="both"/>
        <w:rPr>
          <w:sz w:val="23"/>
          <w:szCs w:val="23"/>
        </w:rPr>
      </w:pPr>
      <w:r w:rsidRPr="00717ED9">
        <w:rPr>
          <w:sz w:val="23"/>
          <w:szCs w:val="23"/>
        </w:rPr>
        <w:t xml:space="preserve">The police questioned and filmed everyone in attendance at the religious meeting. They then searched the home and seized the Bibles and religious literature of some of the persons in attendance as well as the </w:t>
      </w:r>
      <w:proofErr w:type="spellStart"/>
      <w:r w:rsidRPr="00717ED9">
        <w:rPr>
          <w:sz w:val="23"/>
          <w:szCs w:val="23"/>
        </w:rPr>
        <w:t>Malykhins</w:t>
      </w:r>
      <w:proofErr w:type="spellEnd"/>
      <w:r w:rsidRPr="00717ED9">
        <w:rPr>
          <w:sz w:val="23"/>
          <w:szCs w:val="23"/>
        </w:rPr>
        <w:t xml:space="preserve">’ personal religious library. In total, the police seized </w:t>
      </w:r>
      <w:r w:rsidR="00630C10">
        <w:rPr>
          <w:sz w:val="23"/>
          <w:szCs w:val="23"/>
        </w:rPr>
        <w:t>904 books, magazines, brochures, and DVDs published by Jehovah’s Witnesses</w:t>
      </w:r>
      <w:r w:rsidRPr="00717ED9">
        <w:rPr>
          <w:sz w:val="23"/>
          <w:szCs w:val="23"/>
        </w:rPr>
        <w:t xml:space="preserve">. The police raid lasted for three hours and ended at 7:00 p.m. </w:t>
      </w:r>
    </w:p>
    <w:p w:rsidR="00717ED9" w:rsidRPr="00717ED9" w:rsidRDefault="00717ED9" w:rsidP="00717ED9">
      <w:pPr>
        <w:spacing w:after="200"/>
        <w:ind w:firstLine="720"/>
        <w:jc w:val="both"/>
        <w:rPr>
          <w:sz w:val="23"/>
          <w:szCs w:val="23"/>
        </w:rPr>
      </w:pPr>
      <w:r w:rsidRPr="00717ED9">
        <w:rPr>
          <w:sz w:val="23"/>
          <w:szCs w:val="23"/>
        </w:rPr>
        <w:t>Several days after the raid, Jehovah’s Witnesses filed a written complaint with the prosecutor’s office, protesting the disruption of their religious meeting and the illegal search and seizure of their religious publications. The prosecutor ignored the complaint.</w:t>
      </w:r>
    </w:p>
    <w:p w:rsidR="0039740F" w:rsidRDefault="00717ED9" w:rsidP="00717ED9">
      <w:pPr>
        <w:spacing w:after="200"/>
        <w:ind w:firstLine="720"/>
        <w:jc w:val="both"/>
        <w:rPr>
          <w:sz w:val="23"/>
          <w:szCs w:val="23"/>
        </w:rPr>
      </w:pPr>
      <w:r w:rsidRPr="00717ED9">
        <w:rPr>
          <w:sz w:val="23"/>
          <w:szCs w:val="23"/>
        </w:rPr>
        <w:t xml:space="preserve">Instead, the prosecutor charged Mr. and Mrs. </w:t>
      </w:r>
      <w:proofErr w:type="spellStart"/>
      <w:r w:rsidRPr="00717ED9">
        <w:rPr>
          <w:sz w:val="23"/>
          <w:szCs w:val="23"/>
        </w:rPr>
        <w:t>Malykhin</w:t>
      </w:r>
      <w:proofErr w:type="spellEnd"/>
      <w:r w:rsidRPr="00717ED9">
        <w:rPr>
          <w:sz w:val="23"/>
          <w:szCs w:val="23"/>
        </w:rPr>
        <w:t xml:space="preserve"> and their guests </w:t>
      </w:r>
      <w:proofErr w:type="spellStart"/>
      <w:r w:rsidRPr="00717ED9">
        <w:rPr>
          <w:sz w:val="23"/>
          <w:szCs w:val="23"/>
        </w:rPr>
        <w:t>Andrey</w:t>
      </w:r>
      <w:proofErr w:type="spellEnd"/>
      <w:r w:rsidRPr="00717ED9">
        <w:rPr>
          <w:sz w:val="23"/>
          <w:szCs w:val="23"/>
        </w:rPr>
        <w:t xml:space="preserve"> </w:t>
      </w:r>
      <w:proofErr w:type="spellStart"/>
      <w:r w:rsidRPr="00717ED9">
        <w:rPr>
          <w:sz w:val="23"/>
          <w:szCs w:val="23"/>
        </w:rPr>
        <w:t>Moiseyenko</w:t>
      </w:r>
      <w:proofErr w:type="spellEnd"/>
      <w:r w:rsidRPr="00717ED9">
        <w:rPr>
          <w:sz w:val="23"/>
          <w:szCs w:val="23"/>
        </w:rPr>
        <w:t xml:space="preserve"> and Konstantin </w:t>
      </w:r>
      <w:proofErr w:type="spellStart"/>
      <w:r w:rsidRPr="00717ED9">
        <w:rPr>
          <w:sz w:val="23"/>
          <w:szCs w:val="23"/>
        </w:rPr>
        <w:t>Vengelevskiy</w:t>
      </w:r>
      <w:proofErr w:type="spellEnd"/>
      <w:r w:rsidRPr="00717ED9">
        <w:rPr>
          <w:sz w:val="23"/>
          <w:szCs w:val="23"/>
        </w:rPr>
        <w:t xml:space="preserve"> for “illegal missionary activity” simply for hosting and participating in the religious meeting. In court hearings held in </w:t>
      </w:r>
      <w:proofErr w:type="spellStart"/>
      <w:r w:rsidRPr="00717ED9">
        <w:rPr>
          <w:sz w:val="23"/>
          <w:szCs w:val="23"/>
        </w:rPr>
        <w:t>Karabalyk</w:t>
      </w:r>
      <w:proofErr w:type="spellEnd"/>
      <w:r w:rsidRPr="00717ED9">
        <w:rPr>
          <w:sz w:val="23"/>
          <w:szCs w:val="23"/>
        </w:rPr>
        <w:t xml:space="preserve"> on July 2-5, 2013, the four Witnesses were each convicted and ordered to pay fines of </w:t>
      </w:r>
      <w:r w:rsidR="0039740F">
        <w:rPr>
          <w:sz w:val="23"/>
          <w:szCs w:val="23"/>
        </w:rPr>
        <w:t xml:space="preserve">more than EUR 850 (USD 1,100). </w:t>
      </w:r>
    </w:p>
    <w:p w:rsidR="00536CC8" w:rsidRDefault="00536CC8" w:rsidP="00630C10">
      <w:pPr>
        <w:spacing w:after="200"/>
        <w:ind w:firstLine="720"/>
        <w:jc w:val="both"/>
      </w:pPr>
      <w:r>
        <w:rPr>
          <w:sz w:val="23"/>
          <w:szCs w:val="23"/>
        </w:rPr>
        <w:t xml:space="preserve">On 24 September 2013, Jehovah’s Witnesses </w:t>
      </w:r>
      <w:r w:rsidR="00630C10">
        <w:rPr>
          <w:sz w:val="23"/>
          <w:szCs w:val="23"/>
        </w:rPr>
        <w:t xml:space="preserve">received official notification that the Department for Religious Affairs of the </w:t>
      </w:r>
      <w:proofErr w:type="spellStart"/>
      <w:r w:rsidR="00630C10">
        <w:rPr>
          <w:sz w:val="23"/>
          <w:szCs w:val="23"/>
        </w:rPr>
        <w:t>Kostanay</w:t>
      </w:r>
      <w:proofErr w:type="spellEnd"/>
      <w:r w:rsidR="00630C10">
        <w:rPr>
          <w:sz w:val="23"/>
          <w:szCs w:val="23"/>
        </w:rPr>
        <w:t xml:space="preserve"> Region had conducted a “religious expert study” on the 904 religious publications seized during the 6 April 20</w:t>
      </w:r>
      <w:r w:rsidR="00ED262C">
        <w:rPr>
          <w:sz w:val="23"/>
          <w:szCs w:val="23"/>
        </w:rPr>
        <w:t>13</w:t>
      </w:r>
      <w:r w:rsidR="00630C10">
        <w:rPr>
          <w:sz w:val="23"/>
          <w:szCs w:val="23"/>
        </w:rPr>
        <w:t xml:space="preserve"> police raid and </w:t>
      </w:r>
      <w:r w:rsidR="00323B63">
        <w:rPr>
          <w:sz w:val="23"/>
          <w:szCs w:val="23"/>
        </w:rPr>
        <w:t>declared that 388 of those publications should be banned from “</w:t>
      </w:r>
      <w:r w:rsidR="00630C10">
        <w:rPr>
          <w:sz w:val="23"/>
          <w:szCs w:val="23"/>
        </w:rPr>
        <w:t>use and distribution on the territory of Kazakhstan</w:t>
      </w:r>
      <w:r w:rsidR="00323B63">
        <w:rPr>
          <w:sz w:val="23"/>
          <w:szCs w:val="23"/>
        </w:rPr>
        <w:t>.</w:t>
      </w:r>
      <w:r w:rsidR="00630C10">
        <w:rPr>
          <w:sz w:val="23"/>
          <w:szCs w:val="23"/>
        </w:rPr>
        <w:t xml:space="preserve">” </w:t>
      </w:r>
    </w:p>
    <w:p w:rsidR="000A0C2B" w:rsidRDefault="00717ED9" w:rsidP="00F57DAE">
      <w:pPr>
        <w:spacing w:after="200"/>
        <w:ind w:firstLine="720"/>
        <w:jc w:val="both"/>
        <w:rPr>
          <w:sz w:val="23"/>
          <w:szCs w:val="23"/>
        </w:rPr>
      </w:pPr>
      <w:r w:rsidRPr="00717ED9">
        <w:rPr>
          <w:sz w:val="23"/>
          <w:szCs w:val="23"/>
        </w:rPr>
        <w:t>Jehovah’s Witnesses have been informed by the police that the case has now been referred to the Regional Prosecutor’s office to determine whether court proceedings will be started to declare the publications seized during the raid as “extremist,” which could have profound negative consequences throughout Kazakhstan including the banning and criminal prosecution of Jehovah’s Witnesses</w:t>
      </w:r>
      <w:r w:rsidR="00140497">
        <w:rPr>
          <w:sz w:val="23"/>
          <w:szCs w:val="23"/>
        </w:rPr>
        <w:t>.</w:t>
      </w:r>
    </w:p>
    <w:sectPr w:rsidR="000A0C2B" w:rsidSect="00611F6E">
      <w:headerReference w:type="default" r:id="rId9"/>
      <w:footerReference w:type="default" r:id="rId10"/>
      <w:pgSz w:w="11899" w:h="16838" w:code="9"/>
      <w:pgMar w:top="1418" w:right="1134" w:bottom="851" w:left="1134" w:header="0" w:footer="0" w:gutter="0"/>
      <w:paperSrc w:first="1" w:other="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ED9" w:rsidRDefault="00C14ED9">
      <w:r>
        <w:separator/>
      </w:r>
    </w:p>
  </w:endnote>
  <w:endnote w:type="continuationSeparator" w:id="0">
    <w:p w:rsidR="00C14ED9" w:rsidRDefault="00C14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9B8" w:rsidRDefault="000749B8" w:rsidP="002947F1">
    <w:pPr>
      <w:pStyle w:val="Footer"/>
      <w:ind w:left="-113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ED9" w:rsidRDefault="00C14ED9">
      <w:r>
        <w:separator/>
      </w:r>
    </w:p>
  </w:footnote>
  <w:footnote w:type="continuationSeparator" w:id="0">
    <w:p w:rsidR="00C14ED9" w:rsidRDefault="00C14ED9">
      <w:r>
        <w:continuationSeparator/>
      </w:r>
    </w:p>
  </w:footnote>
  <w:footnote w:id="1">
    <w:p w:rsidR="0039740F" w:rsidRPr="000D2E51" w:rsidRDefault="0039740F" w:rsidP="00E25B95">
      <w:pPr>
        <w:pStyle w:val="FootnoteText"/>
        <w:tabs>
          <w:tab w:val="left" w:pos="181"/>
        </w:tabs>
        <w:spacing w:after="60"/>
        <w:ind w:left="187" w:hanging="187"/>
        <w:jc w:val="both"/>
        <w:rPr>
          <w:sz w:val="18"/>
          <w:szCs w:val="18"/>
        </w:rPr>
      </w:pPr>
      <w:r w:rsidRPr="000D2E51">
        <w:rPr>
          <w:rStyle w:val="FootnoteReference"/>
          <w:sz w:val="18"/>
          <w:szCs w:val="18"/>
        </w:rPr>
        <w:footnoteRef/>
      </w:r>
      <w:r w:rsidRPr="000D2E51">
        <w:rPr>
          <w:sz w:val="18"/>
          <w:szCs w:val="18"/>
        </w:rPr>
        <w:t xml:space="preserve"> </w:t>
      </w:r>
      <w:r w:rsidR="00E25B95">
        <w:rPr>
          <w:sz w:val="18"/>
          <w:szCs w:val="18"/>
        </w:rPr>
        <w:tab/>
      </w:r>
      <w:r w:rsidRPr="000D2E51">
        <w:rPr>
          <w:sz w:val="18"/>
          <w:szCs w:val="18"/>
        </w:rPr>
        <w:t>Human Rights Committee, General Comment No. 22, at §§ 3-5; Reports of the Special Rapporteur on freedom of religion and belief A/67/303, 13 August 2012, at § 46; A/65/207, 29 July 2010, at § 22; and A/HRC/19/60, 22 December 2011 at § 58; and European Union Guidelines on the Promotion and Protection of Freedom of Religion or Belief, 24 June 2013, at §§ 13, 31, 40-41</w:t>
      </w:r>
      <w:r w:rsidR="001B611C">
        <w:rPr>
          <w:sz w:val="18"/>
          <w:szCs w:val="18"/>
        </w:rPr>
        <w:t>.</w:t>
      </w:r>
    </w:p>
  </w:footnote>
  <w:footnote w:id="2">
    <w:p w:rsidR="00717ED9" w:rsidRPr="000D2E51" w:rsidRDefault="00717ED9" w:rsidP="00E25B95">
      <w:pPr>
        <w:pStyle w:val="FootnoteText"/>
        <w:tabs>
          <w:tab w:val="left" w:pos="181"/>
        </w:tabs>
        <w:spacing w:after="60"/>
        <w:ind w:left="187" w:hanging="187"/>
        <w:jc w:val="both"/>
        <w:rPr>
          <w:sz w:val="18"/>
          <w:szCs w:val="18"/>
        </w:rPr>
      </w:pPr>
      <w:r w:rsidRPr="000D2E51">
        <w:rPr>
          <w:rStyle w:val="FootnoteReference"/>
          <w:sz w:val="18"/>
          <w:szCs w:val="18"/>
        </w:rPr>
        <w:footnoteRef/>
      </w:r>
      <w:r w:rsidRPr="000D2E51">
        <w:rPr>
          <w:sz w:val="18"/>
          <w:szCs w:val="18"/>
        </w:rPr>
        <w:t xml:space="preserve"> </w:t>
      </w:r>
      <w:r w:rsidR="00E25B95">
        <w:rPr>
          <w:sz w:val="18"/>
          <w:szCs w:val="18"/>
        </w:rPr>
        <w:tab/>
      </w:r>
      <w:r w:rsidRPr="000D2E51">
        <w:rPr>
          <w:sz w:val="18"/>
          <w:szCs w:val="18"/>
        </w:rPr>
        <w:t xml:space="preserve">Concluding observations of the </w:t>
      </w:r>
      <w:r w:rsidR="00E25B95">
        <w:rPr>
          <w:sz w:val="18"/>
          <w:szCs w:val="18"/>
        </w:rPr>
        <w:t>Human Rights Committee</w:t>
      </w:r>
      <w:r w:rsidRPr="000D2E51">
        <w:rPr>
          <w:sz w:val="18"/>
          <w:szCs w:val="18"/>
        </w:rPr>
        <w:t xml:space="preserve">, CCPR/C/KAZ/CO/1, 19 August 2011, at § 24. </w:t>
      </w:r>
      <w:proofErr w:type="gramStart"/>
      <w:r w:rsidRPr="000D2E51">
        <w:rPr>
          <w:sz w:val="18"/>
          <w:szCs w:val="18"/>
        </w:rPr>
        <w:t>Group on the Universal Periodic Review, Kazakhstan, A/HRC/14/10, 23 March 2010, at § 95(73).</w:t>
      </w:r>
      <w:proofErr w:type="gramEnd"/>
      <w:r w:rsidRPr="000D2E51">
        <w:rPr>
          <w:sz w:val="18"/>
          <w:szCs w:val="18"/>
        </w:rPr>
        <w:t xml:space="preserve"> Opinion of the OSCE/OD</w:t>
      </w:r>
      <w:r w:rsidR="00E25B95">
        <w:rPr>
          <w:sz w:val="18"/>
          <w:szCs w:val="18"/>
        </w:rPr>
        <w:t>I</w:t>
      </w:r>
      <w:r w:rsidRPr="000D2E51">
        <w:rPr>
          <w:sz w:val="18"/>
          <w:szCs w:val="18"/>
        </w:rPr>
        <w:t>HR Advisory Council on Freedom of Religion or Belief on the Republic of Kazakhstan’s draft law on religion, KAZ/125/2009.</w:t>
      </w:r>
    </w:p>
  </w:footnote>
  <w:footnote w:id="3">
    <w:p w:rsidR="00F611C2" w:rsidRPr="000D2E51" w:rsidRDefault="00F611C2" w:rsidP="00717ED9">
      <w:pPr>
        <w:pStyle w:val="FootnoteText"/>
        <w:tabs>
          <w:tab w:val="left" w:pos="181"/>
        </w:tabs>
        <w:ind w:left="187" w:hanging="187"/>
        <w:jc w:val="both"/>
        <w:rPr>
          <w:sz w:val="18"/>
          <w:szCs w:val="18"/>
        </w:rPr>
      </w:pPr>
      <w:r w:rsidRPr="000D2E51">
        <w:rPr>
          <w:rStyle w:val="FootnoteReference"/>
          <w:sz w:val="18"/>
          <w:szCs w:val="18"/>
        </w:rPr>
        <w:footnoteRef/>
      </w:r>
      <w:r w:rsidRPr="000D2E51">
        <w:rPr>
          <w:sz w:val="18"/>
          <w:szCs w:val="18"/>
        </w:rPr>
        <w:t xml:space="preserve"> </w:t>
      </w:r>
      <w:r w:rsidR="00E25B95">
        <w:rPr>
          <w:sz w:val="18"/>
          <w:szCs w:val="18"/>
        </w:rPr>
        <w:tab/>
      </w:r>
      <w:r w:rsidRPr="000D2E51">
        <w:rPr>
          <w:sz w:val="18"/>
          <w:szCs w:val="18"/>
        </w:rPr>
        <w:t xml:space="preserve">The identical allegations were raised by the Russian authorities in an effort to justify a ban on the religious organization of Jehovah’s Witnesses in Moscow, Russia. In a unanimous judgment, the European Court of Human Rights concluded that the allegations of the Russian authorities were totally without merit and had violated the Witnesses’ right to freedom of religion and freedom of association. Russia was ordered to re-register the religious organization of Jehovah’s Witnesses in Moscow and to pay them </w:t>
      </w:r>
      <w:r w:rsidR="007070B2">
        <w:rPr>
          <w:sz w:val="18"/>
          <w:szCs w:val="18"/>
        </w:rPr>
        <w:t>the</w:t>
      </w:r>
      <w:r w:rsidRPr="000D2E51">
        <w:rPr>
          <w:sz w:val="18"/>
          <w:szCs w:val="18"/>
        </w:rPr>
        <w:t xml:space="preserve"> costs and damages.—</w:t>
      </w:r>
      <w:r w:rsidRPr="000D2E51">
        <w:rPr>
          <w:i/>
          <w:sz w:val="18"/>
          <w:szCs w:val="18"/>
        </w:rPr>
        <w:t>Jehovah’s Witnesses of Moscow v. Russia</w:t>
      </w:r>
      <w:r w:rsidRPr="000D2E51">
        <w:rPr>
          <w:sz w:val="18"/>
          <w:szCs w:val="18"/>
        </w:rPr>
        <w:t xml:space="preserve"> (no. 302/02, 10 June 2010), at paragraphs 104-160, 180, 206, 212.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9B8" w:rsidRDefault="000749B8" w:rsidP="000749B8">
    <w:pPr>
      <w:pStyle w:val="Header"/>
      <w:tabs>
        <w:tab w:val="clear" w:pos="4320"/>
        <w:tab w:val="clear" w:pos="8640"/>
      </w:tabs>
      <w:rPr>
        <w:lang w:val="fr-BE"/>
      </w:rPr>
    </w:pPr>
  </w:p>
  <w:p w:rsidR="000749B8" w:rsidRDefault="000749B8" w:rsidP="000749B8">
    <w:pPr>
      <w:pStyle w:val="Header"/>
      <w:tabs>
        <w:tab w:val="clear" w:pos="4320"/>
        <w:tab w:val="clear" w:pos="8640"/>
      </w:tabs>
    </w:pPr>
  </w:p>
  <w:p w:rsidR="000749B8" w:rsidRDefault="000749B8" w:rsidP="000749B8">
    <w:pPr>
      <w:pStyle w:val="Header"/>
      <w:tabs>
        <w:tab w:val="clear" w:pos="4320"/>
        <w:tab w:val="clear" w:pos="8640"/>
      </w:tabs>
    </w:pPr>
  </w:p>
  <w:p w:rsidR="000749B8" w:rsidRPr="000749B8" w:rsidRDefault="000749B8" w:rsidP="000749B8">
    <w:pPr>
      <w:pStyle w:val="Header"/>
      <w:tabs>
        <w:tab w:val="clear" w:pos="4320"/>
        <w:tab w:val="clear" w:pos="8640"/>
      </w:tabs>
      <w:rPr>
        <w:sz w:val="22"/>
        <w:szCs w:val="22"/>
      </w:rPr>
    </w:pPr>
    <w:r w:rsidRPr="000749B8">
      <w:rPr>
        <w:sz w:val="22"/>
        <w:szCs w:val="22"/>
      </w:rPr>
      <w:t>KAZAKHSTAN – Recent Information for the Human Rights Committee</w:t>
    </w:r>
  </w:p>
  <w:p w:rsidR="000749B8" w:rsidRPr="000749B8" w:rsidRDefault="000749B8" w:rsidP="000749B8">
    <w:pPr>
      <w:pStyle w:val="Header"/>
      <w:tabs>
        <w:tab w:val="clear" w:pos="4320"/>
        <w:tab w:val="clear" w:pos="8640"/>
      </w:tabs>
      <w:rPr>
        <w:sz w:val="22"/>
        <w:szCs w:val="22"/>
      </w:rPr>
    </w:pPr>
    <w:r w:rsidRPr="000749B8">
      <w:rPr>
        <w:sz w:val="22"/>
        <w:szCs w:val="22"/>
      </w:rPr>
      <w:t>European Association of Jehovah’s Christian Witnesses</w:t>
    </w:r>
  </w:p>
  <w:p w:rsidR="000749B8" w:rsidRPr="000749B8" w:rsidRDefault="00ED262C" w:rsidP="000749B8">
    <w:pPr>
      <w:pStyle w:val="Header"/>
      <w:tabs>
        <w:tab w:val="clear" w:pos="4320"/>
        <w:tab w:val="clear" w:pos="8640"/>
      </w:tabs>
      <w:rPr>
        <w:sz w:val="22"/>
        <w:szCs w:val="22"/>
      </w:rPr>
    </w:pPr>
    <w:r>
      <w:rPr>
        <w:sz w:val="22"/>
        <w:szCs w:val="22"/>
      </w:rPr>
      <w:t>8</w:t>
    </w:r>
    <w:r w:rsidR="000749B8" w:rsidRPr="000749B8">
      <w:rPr>
        <w:sz w:val="22"/>
        <w:szCs w:val="22"/>
      </w:rPr>
      <w:t xml:space="preserve"> October 2013</w:t>
    </w:r>
  </w:p>
  <w:p w:rsidR="000749B8" w:rsidRPr="000749B8" w:rsidRDefault="000749B8" w:rsidP="000749B8">
    <w:pPr>
      <w:pStyle w:val="Header"/>
      <w:tabs>
        <w:tab w:val="clear" w:pos="4320"/>
        <w:tab w:val="clear" w:pos="8640"/>
      </w:tabs>
      <w:rPr>
        <w:sz w:val="22"/>
        <w:szCs w:val="22"/>
      </w:rPr>
    </w:pPr>
    <w:r w:rsidRPr="000749B8">
      <w:rPr>
        <w:sz w:val="22"/>
        <w:szCs w:val="22"/>
      </w:rPr>
      <w:t xml:space="preserve">Page </w:t>
    </w:r>
    <w:r w:rsidRPr="000749B8">
      <w:rPr>
        <w:sz w:val="22"/>
        <w:szCs w:val="22"/>
      </w:rPr>
      <w:fldChar w:fldCharType="begin"/>
    </w:r>
    <w:r w:rsidRPr="000749B8">
      <w:rPr>
        <w:sz w:val="22"/>
        <w:szCs w:val="22"/>
      </w:rPr>
      <w:instrText xml:space="preserve"> PAGE   \* MERGEFORMAT </w:instrText>
    </w:r>
    <w:r w:rsidRPr="000749B8">
      <w:rPr>
        <w:sz w:val="22"/>
        <w:szCs w:val="22"/>
      </w:rPr>
      <w:fldChar w:fldCharType="separate"/>
    </w:r>
    <w:r w:rsidR="00121E4C">
      <w:rPr>
        <w:noProof/>
        <w:sz w:val="22"/>
        <w:szCs w:val="22"/>
      </w:rPr>
      <w:t>1</w:t>
    </w:r>
    <w:r w:rsidRPr="000749B8">
      <w:rPr>
        <w:noProof/>
        <w:sz w:val="22"/>
        <w:szCs w:val="22"/>
      </w:rPr>
      <w:fldChar w:fldCharType="end"/>
    </w:r>
  </w:p>
  <w:p w:rsidR="000749B8" w:rsidRPr="000749B8" w:rsidRDefault="000749B8" w:rsidP="000749B8">
    <w:pPr>
      <w:pStyle w:val="Header"/>
      <w:tabs>
        <w:tab w:val="clear" w:pos="4320"/>
        <w:tab w:val="clear"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D6F4F"/>
    <w:multiLevelType w:val="hybridMultilevel"/>
    <w:tmpl w:val="000C229E"/>
    <w:lvl w:ilvl="0" w:tplc="080C0001">
      <w:start w:val="1"/>
      <w:numFmt w:val="bullet"/>
      <w:lvlText w:val=""/>
      <w:lvlJc w:val="left"/>
      <w:pPr>
        <w:ind w:left="1440" w:hanging="360"/>
      </w:pPr>
      <w:rPr>
        <w:rFonts w:ascii="Symbol" w:hAnsi="Symbol"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1">
    <w:nsid w:val="372072FF"/>
    <w:multiLevelType w:val="hybridMultilevel"/>
    <w:tmpl w:val="65A49E78"/>
    <w:lvl w:ilvl="0" w:tplc="FE188B24">
      <w:numFmt w:val="bullet"/>
      <w:lvlText w:val="•"/>
      <w:lvlJc w:val="left"/>
      <w:pPr>
        <w:ind w:left="2160" w:hanging="1440"/>
      </w:pPr>
      <w:rPr>
        <w:rFonts w:ascii="Times New Roman" w:eastAsia="Times New Roman" w:hAnsi="Times New Roman" w:cs="Times New Roman"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2">
    <w:nsid w:val="52C34053"/>
    <w:multiLevelType w:val="hybridMultilevel"/>
    <w:tmpl w:val="C40469CE"/>
    <w:lvl w:ilvl="0" w:tplc="9FFCF484">
      <w:start w:val="1"/>
      <w:numFmt w:val="decimal"/>
      <w:lvlText w:val="%1)"/>
      <w:lvlJc w:val="left"/>
      <w:pPr>
        <w:tabs>
          <w:tab w:val="num" w:pos="927"/>
        </w:tabs>
        <w:ind w:left="927" w:hanging="360"/>
      </w:pPr>
      <w:rPr>
        <w:rFonts w:hint="default"/>
      </w:rPr>
    </w:lvl>
    <w:lvl w:ilvl="1" w:tplc="2E700A20" w:tentative="1">
      <w:start w:val="1"/>
      <w:numFmt w:val="lowerLetter"/>
      <w:lvlText w:val="%2."/>
      <w:lvlJc w:val="left"/>
      <w:pPr>
        <w:tabs>
          <w:tab w:val="num" w:pos="1647"/>
        </w:tabs>
        <w:ind w:left="1647" w:hanging="360"/>
      </w:pPr>
    </w:lvl>
    <w:lvl w:ilvl="2" w:tplc="AFDE70EE" w:tentative="1">
      <w:start w:val="1"/>
      <w:numFmt w:val="lowerRoman"/>
      <w:lvlText w:val="%3."/>
      <w:lvlJc w:val="right"/>
      <w:pPr>
        <w:tabs>
          <w:tab w:val="num" w:pos="2367"/>
        </w:tabs>
        <w:ind w:left="2367" w:hanging="180"/>
      </w:pPr>
    </w:lvl>
    <w:lvl w:ilvl="3" w:tplc="CEB2285A" w:tentative="1">
      <w:start w:val="1"/>
      <w:numFmt w:val="decimal"/>
      <w:lvlText w:val="%4."/>
      <w:lvlJc w:val="left"/>
      <w:pPr>
        <w:tabs>
          <w:tab w:val="num" w:pos="3087"/>
        </w:tabs>
        <w:ind w:left="3087" w:hanging="360"/>
      </w:pPr>
    </w:lvl>
    <w:lvl w:ilvl="4" w:tplc="6BA871E4" w:tentative="1">
      <w:start w:val="1"/>
      <w:numFmt w:val="lowerLetter"/>
      <w:lvlText w:val="%5."/>
      <w:lvlJc w:val="left"/>
      <w:pPr>
        <w:tabs>
          <w:tab w:val="num" w:pos="3807"/>
        </w:tabs>
        <w:ind w:left="3807" w:hanging="360"/>
      </w:pPr>
    </w:lvl>
    <w:lvl w:ilvl="5" w:tplc="D0CA887E" w:tentative="1">
      <w:start w:val="1"/>
      <w:numFmt w:val="lowerRoman"/>
      <w:lvlText w:val="%6."/>
      <w:lvlJc w:val="right"/>
      <w:pPr>
        <w:tabs>
          <w:tab w:val="num" w:pos="4527"/>
        </w:tabs>
        <w:ind w:left="4527" w:hanging="180"/>
      </w:pPr>
    </w:lvl>
    <w:lvl w:ilvl="6" w:tplc="C74AFFF2" w:tentative="1">
      <w:start w:val="1"/>
      <w:numFmt w:val="decimal"/>
      <w:lvlText w:val="%7."/>
      <w:lvlJc w:val="left"/>
      <w:pPr>
        <w:tabs>
          <w:tab w:val="num" w:pos="5247"/>
        </w:tabs>
        <w:ind w:left="5247" w:hanging="360"/>
      </w:pPr>
    </w:lvl>
    <w:lvl w:ilvl="7" w:tplc="95EAA748" w:tentative="1">
      <w:start w:val="1"/>
      <w:numFmt w:val="lowerLetter"/>
      <w:lvlText w:val="%8."/>
      <w:lvlJc w:val="left"/>
      <w:pPr>
        <w:tabs>
          <w:tab w:val="num" w:pos="5967"/>
        </w:tabs>
        <w:ind w:left="5967" w:hanging="360"/>
      </w:pPr>
    </w:lvl>
    <w:lvl w:ilvl="8" w:tplc="E7CC1AFE" w:tentative="1">
      <w:start w:val="1"/>
      <w:numFmt w:val="lowerRoman"/>
      <w:lvlText w:val="%9."/>
      <w:lvlJc w:val="right"/>
      <w:pPr>
        <w:tabs>
          <w:tab w:val="num" w:pos="6687"/>
        </w:tabs>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972"/>
    <w:rsid w:val="00001F11"/>
    <w:rsid w:val="000203DD"/>
    <w:rsid w:val="00070D5A"/>
    <w:rsid w:val="000749B8"/>
    <w:rsid w:val="000874E1"/>
    <w:rsid w:val="000A0C2B"/>
    <w:rsid w:val="000D2E51"/>
    <w:rsid w:val="00121E4C"/>
    <w:rsid w:val="0013630D"/>
    <w:rsid w:val="00140497"/>
    <w:rsid w:val="001447C5"/>
    <w:rsid w:val="001B611C"/>
    <w:rsid w:val="00214137"/>
    <w:rsid w:val="002947F1"/>
    <w:rsid w:val="002D1830"/>
    <w:rsid w:val="00311502"/>
    <w:rsid w:val="00323B63"/>
    <w:rsid w:val="0039740F"/>
    <w:rsid w:val="00473972"/>
    <w:rsid w:val="004A60F9"/>
    <w:rsid w:val="004B38E6"/>
    <w:rsid w:val="00536CC8"/>
    <w:rsid w:val="00605F1B"/>
    <w:rsid w:val="00611F6E"/>
    <w:rsid w:val="00630C10"/>
    <w:rsid w:val="0069112C"/>
    <w:rsid w:val="007070B2"/>
    <w:rsid w:val="00717ED9"/>
    <w:rsid w:val="007B63B5"/>
    <w:rsid w:val="007D10F7"/>
    <w:rsid w:val="007E7690"/>
    <w:rsid w:val="00851C9A"/>
    <w:rsid w:val="00886715"/>
    <w:rsid w:val="008D29D2"/>
    <w:rsid w:val="008F1F88"/>
    <w:rsid w:val="009139C1"/>
    <w:rsid w:val="00992CB7"/>
    <w:rsid w:val="00A57C50"/>
    <w:rsid w:val="00AC03AA"/>
    <w:rsid w:val="00B312BA"/>
    <w:rsid w:val="00B35D8C"/>
    <w:rsid w:val="00B668F8"/>
    <w:rsid w:val="00B77107"/>
    <w:rsid w:val="00BD42C8"/>
    <w:rsid w:val="00C14ED9"/>
    <w:rsid w:val="00C57707"/>
    <w:rsid w:val="00C77617"/>
    <w:rsid w:val="00CF38AB"/>
    <w:rsid w:val="00D346C9"/>
    <w:rsid w:val="00D4767E"/>
    <w:rsid w:val="00E25B95"/>
    <w:rsid w:val="00E95AF3"/>
    <w:rsid w:val="00ED262C"/>
    <w:rsid w:val="00F57DAE"/>
    <w:rsid w:val="00F611C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DE1"/>
    <w:rPr>
      <w:rFonts w:ascii="Times New Roman" w:eastAsia="Times New Roman" w:hAnsi="Times New Roman"/>
      <w:sz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DE1"/>
    <w:pPr>
      <w:tabs>
        <w:tab w:val="center" w:pos="4320"/>
        <w:tab w:val="right" w:pos="8640"/>
      </w:tabs>
    </w:pPr>
  </w:style>
  <w:style w:type="character" w:customStyle="1" w:styleId="HeaderChar">
    <w:name w:val="Header Char"/>
    <w:basedOn w:val="DefaultParagraphFont"/>
    <w:link w:val="Header"/>
    <w:uiPriority w:val="99"/>
    <w:rsid w:val="00110DE1"/>
  </w:style>
  <w:style w:type="paragraph" w:styleId="Footer">
    <w:name w:val="footer"/>
    <w:basedOn w:val="Normal"/>
    <w:link w:val="FooterChar"/>
    <w:uiPriority w:val="99"/>
    <w:unhideWhenUsed/>
    <w:rsid w:val="00110DE1"/>
    <w:pPr>
      <w:tabs>
        <w:tab w:val="center" w:pos="4320"/>
        <w:tab w:val="right" w:pos="8640"/>
      </w:tabs>
    </w:pPr>
  </w:style>
  <w:style w:type="character" w:customStyle="1" w:styleId="FooterChar">
    <w:name w:val="Footer Char"/>
    <w:basedOn w:val="DefaultParagraphFont"/>
    <w:link w:val="Footer"/>
    <w:uiPriority w:val="99"/>
    <w:rsid w:val="00110DE1"/>
  </w:style>
  <w:style w:type="paragraph" w:styleId="BodyText">
    <w:name w:val="Body Text"/>
    <w:basedOn w:val="Normal"/>
    <w:link w:val="BodyTextChar"/>
    <w:rsid w:val="00110DE1"/>
    <w:pPr>
      <w:spacing w:before="120" w:after="120"/>
      <w:ind w:firstLine="720"/>
      <w:jc w:val="both"/>
    </w:pPr>
    <w:rPr>
      <w:lang w:eastAsia="en-US"/>
    </w:rPr>
  </w:style>
  <w:style w:type="character" w:customStyle="1" w:styleId="BodyTextChar">
    <w:name w:val="Body Text Char"/>
    <w:link w:val="BodyText"/>
    <w:rsid w:val="00110DE1"/>
    <w:rPr>
      <w:rFonts w:ascii="Times New Roman" w:eastAsia="Times New Roman" w:hAnsi="Times New Roman" w:cs="Times New Roman"/>
      <w:szCs w:val="20"/>
    </w:rPr>
  </w:style>
  <w:style w:type="paragraph" w:customStyle="1" w:styleId="Default">
    <w:name w:val="Default"/>
    <w:rsid w:val="00674588"/>
    <w:pPr>
      <w:autoSpaceDE w:val="0"/>
      <w:autoSpaceDN w:val="0"/>
      <w:adjustRightInd w:val="0"/>
    </w:pPr>
    <w:rPr>
      <w:rFonts w:ascii="Times New Roman" w:eastAsia="Calibri" w:hAnsi="Times New Roman"/>
      <w:color w:val="000000"/>
      <w:sz w:val="24"/>
      <w:szCs w:val="24"/>
      <w:lang w:val="en-US" w:eastAsia="en-US"/>
    </w:rPr>
  </w:style>
  <w:style w:type="character" w:styleId="Emphasis">
    <w:name w:val="Emphasis"/>
    <w:uiPriority w:val="20"/>
    <w:qFormat/>
    <w:rsid w:val="00674588"/>
    <w:rPr>
      <w:i/>
      <w:iCs/>
    </w:rPr>
  </w:style>
  <w:style w:type="table" w:styleId="TableGrid">
    <w:name w:val="Table Grid"/>
    <w:basedOn w:val="TableNormal"/>
    <w:uiPriority w:val="59"/>
    <w:rsid w:val="0067458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21FFA"/>
    <w:rPr>
      <w:rFonts w:ascii="Tahoma" w:hAnsi="Tahoma" w:cs="Tahoma"/>
      <w:sz w:val="16"/>
      <w:szCs w:val="16"/>
    </w:rPr>
  </w:style>
  <w:style w:type="character" w:customStyle="1" w:styleId="BalloonTextChar">
    <w:name w:val="Balloon Text Char"/>
    <w:link w:val="BalloonText"/>
    <w:uiPriority w:val="99"/>
    <w:semiHidden/>
    <w:rsid w:val="00221FFA"/>
    <w:rPr>
      <w:rFonts w:ascii="Tahoma" w:eastAsia="Times New Roman" w:hAnsi="Tahoma" w:cs="Tahoma"/>
      <w:sz w:val="16"/>
      <w:szCs w:val="16"/>
      <w:lang w:val="en-US" w:eastAsia="ko-KR"/>
    </w:rPr>
  </w:style>
  <w:style w:type="character" w:styleId="Hyperlink">
    <w:name w:val="Hyperlink"/>
    <w:uiPriority w:val="99"/>
    <w:unhideWhenUsed/>
    <w:rsid w:val="00135456"/>
    <w:rPr>
      <w:color w:val="0000FF"/>
      <w:u w:val="single"/>
    </w:rPr>
  </w:style>
  <w:style w:type="character" w:styleId="CommentReference">
    <w:name w:val="annotation reference"/>
    <w:basedOn w:val="DefaultParagraphFont"/>
    <w:uiPriority w:val="99"/>
    <w:semiHidden/>
    <w:unhideWhenUsed/>
    <w:rsid w:val="00C14D68"/>
    <w:rPr>
      <w:sz w:val="16"/>
      <w:szCs w:val="16"/>
    </w:rPr>
  </w:style>
  <w:style w:type="paragraph" w:styleId="CommentText">
    <w:name w:val="annotation text"/>
    <w:basedOn w:val="Normal"/>
    <w:link w:val="CommentTextChar"/>
    <w:uiPriority w:val="99"/>
    <w:semiHidden/>
    <w:unhideWhenUsed/>
    <w:rsid w:val="00C14D68"/>
    <w:rPr>
      <w:sz w:val="20"/>
    </w:rPr>
  </w:style>
  <w:style w:type="character" w:customStyle="1" w:styleId="CommentTextChar">
    <w:name w:val="Comment Text Char"/>
    <w:basedOn w:val="DefaultParagraphFont"/>
    <w:link w:val="CommentText"/>
    <w:uiPriority w:val="99"/>
    <w:semiHidden/>
    <w:rsid w:val="00C14D68"/>
    <w:rPr>
      <w:rFonts w:ascii="Times New Roman" w:eastAsia="Times New Roman" w:hAnsi="Times New Roman"/>
      <w:lang w:val="en-US" w:eastAsia="ko-KR"/>
    </w:rPr>
  </w:style>
  <w:style w:type="paragraph" w:styleId="CommentSubject">
    <w:name w:val="annotation subject"/>
    <w:basedOn w:val="CommentText"/>
    <w:next w:val="CommentText"/>
    <w:link w:val="CommentSubjectChar"/>
    <w:uiPriority w:val="99"/>
    <w:semiHidden/>
    <w:unhideWhenUsed/>
    <w:rsid w:val="00C14D68"/>
    <w:rPr>
      <w:b/>
      <w:bCs/>
    </w:rPr>
  </w:style>
  <w:style w:type="character" w:customStyle="1" w:styleId="CommentSubjectChar">
    <w:name w:val="Comment Subject Char"/>
    <w:basedOn w:val="CommentTextChar"/>
    <w:link w:val="CommentSubject"/>
    <w:uiPriority w:val="99"/>
    <w:semiHidden/>
    <w:rsid w:val="00C14D68"/>
    <w:rPr>
      <w:rFonts w:ascii="Times New Roman" w:eastAsia="Times New Roman" w:hAnsi="Times New Roman"/>
      <w:b/>
      <w:bCs/>
      <w:lang w:val="en-US" w:eastAsia="ko-KR"/>
    </w:rPr>
  </w:style>
  <w:style w:type="paragraph" w:styleId="ListParagraph">
    <w:name w:val="List Paragraph"/>
    <w:basedOn w:val="Normal"/>
    <w:uiPriority w:val="34"/>
    <w:qFormat/>
    <w:rsid w:val="002D1830"/>
    <w:pPr>
      <w:ind w:left="720"/>
      <w:contextualSpacing/>
    </w:pPr>
  </w:style>
  <w:style w:type="paragraph" w:styleId="FootnoteText">
    <w:name w:val="footnote text"/>
    <w:basedOn w:val="Normal"/>
    <w:link w:val="FootnoteTextChar"/>
    <w:uiPriority w:val="99"/>
    <w:semiHidden/>
    <w:unhideWhenUsed/>
    <w:rsid w:val="001447C5"/>
    <w:rPr>
      <w:sz w:val="20"/>
    </w:rPr>
  </w:style>
  <w:style w:type="character" w:customStyle="1" w:styleId="FootnoteTextChar">
    <w:name w:val="Footnote Text Char"/>
    <w:basedOn w:val="DefaultParagraphFont"/>
    <w:link w:val="FootnoteText"/>
    <w:uiPriority w:val="99"/>
    <w:semiHidden/>
    <w:rsid w:val="001447C5"/>
    <w:rPr>
      <w:rFonts w:ascii="Times New Roman" w:eastAsia="Times New Roman" w:hAnsi="Times New Roman"/>
      <w:lang w:val="en-US" w:eastAsia="ko-KR"/>
    </w:rPr>
  </w:style>
  <w:style w:type="character" w:styleId="FootnoteReference">
    <w:name w:val="footnote reference"/>
    <w:basedOn w:val="DefaultParagraphFont"/>
    <w:unhideWhenUsed/>
    <w:rsid w:val="001447C5"/>
    <w:rPr>
      <w:vertAlign w:val="superscript"/>
    </w:rPr>
  </w:style>
  <w:style w:type="paragraph" w:customStyle="1" w:styleId="Legal-MainText">
    <w:name w:val="Legal-Main Text"/>
    <w:basedOn w:val="Normal"/>
    <w:link w:val="Legal-MainTextChar"/>
    <w:qFormat/>
    <w:rsid w:val="00536CC8"/>
    <w:pPr>
      <w:tabs>
        <w:tab w:val="center" w:pos="5184"/>
        <w:tab w:val="right" w:pos="10368"/>
      </w:tabs>
      <w:spacing w:before="120" w:after="120"/>
      <w:jc w:val="both"/>
    </w:pPr>
    <w:rPr>
      <w:szCs w:val="24"/>
      <w:lang w:eastAsia="en-US"/>
    </w:rPr>
  </w:style>
  <w:style w:type="character" w:customStyle="1" w:styleId="Legal-MainTextChar">
    <w:name w:val="Legal-Main Text Char"/>
    <w:basedOn w:val="DefaultParagraphFont"/>
    <w:link w:val="Legal-MainText"/>
    <w:rsid w:val="00536CC8"/>
    <w:rPr>
      <w:rFonts w:ascii="Times New Roman" w:eastAsia="Times New Roman" w:hAnsi="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DE1"/>
    <w:rPr>
      <w:rFonts w:ascii="Times New Roman" w:eastAsia="Times New Roman" w:hAnsi="Times New Roman"/>
      <w:sz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DE1"/>
    <w:pPr>
      <w:tabs>
        <w:tab w:val="center" w:pos="4320"/>
        <w:tab w:val="right" w:pos="8640"/>
      </w:tabs>
    </w:pPr>
  </w:style>
  <w:style w:type="character" w:customStyle="1" w:styleId="HeaderChar">
    <w:name w:val="Header Char"/>
    <w:basedOn w:val="DefaultParagraphFont"/>
    <w:link w:val="Header"/>
    <w:uiPriority w:val="99"/>
    <w:rsid w:val="00110DE1"/>
  </w:style>
  <w:style w:type="paragraph" w:styleId="Footer">
    <w:name w:val="footer"/>
    <w:basedOn w:val="Normal"/>
    <w:link w:val="FooterChar"/>
    <w:uiPriority w:val="99"/>
    <w:unhideWhenUsed/>
    <w:rsid w:val="00110DE1"/>
    <w:pPr>
      <w:tabs>
        <w:tab w:val="center" w:pos="4320"/>
        <w:tab w:val="right" w:pos="8640"/>
      </w:tabs>
    </w:pPr>
  </w:style>
  <w:style w:type="character" w:customStyle="1" w:styleId="FooterChar">
    <w:name w:val="Footer Char"/>
    <w:basedOn w:val="DefaultParagraphFont"/>
    <w:link w:val="Footer"/>
    <w:uiPriority w:val="99"/>
    <w:rsid w:val="00110DE1"/>
  </w:style>
  <w:style w:type="paragraph" w:styleId="BodyText">
    <w:name w:val="Body Text"/>
    <w:basedOn w:val="Normal"/>
    <w:link w:val="BodyTextChar"/>
    <w:rsid w:val="00110DE1"/>
    <w:pPr>
      <w:spacing w:before="120" w:after="120"/>
      <w:ind w:firstLine="720"/>
      <w:jc w:val="both"/>
    </w:pPr>
    <w:rPr>
      <w:lang w:eastAsia="en-US"/>
    </w:rPr>
  </w:style>
  <w:style w:type="character" w:customStyle="1" w:styleId="BodyTextChar">
    <w:name w:val="Body Text Char"/>
    <w:link w:val="BodyText"/>
    <w:rsid w:val="00110DE1"/>
    <w:rPr>
      <w:rFonts w:ascii="Times New Roman" w:eastAsia="Times New Roman" w:hAnsi="Times New Roman" w:cs="Times New Roman"/>
      <w:szCs w:val="20"/>
    </w:rPr>
  </w:style>
  <w:style w:type="paragraph" w:customStyle="1" w:styleId="Default">
    <w:name w:val="Default"/>
    <w:rsid w:val="00674588"/>
    <w:pPr>
      <w:autoSpaceDE w:val="0"/>
      <w:autoSpaceDN w:val="0"/>
      <w:adjustRightInd w:val="0"/>
    </w:pPr>
    <w:rPr>
      <w:rFonts w:ascii="Times New Roman" w:eastAsia="Calibri" w:hAnsi="Times New Roman"/>
      <w:color w:val="000000"/>
      <w:sz w:val="24"/>
      <w:szCs w:val="24"/>
      <w:lang w:val="en-US" w:eastAsia="en-US"/>
    </w:rPr>
  </w:style>
  <w:style w:type="character" w:styleId="Emphasis">
    <w:name w:val="Emphasis"/>
    <w:uiPriority w:val="20"/>
    <w:qFormat/>
    <w:rsid w:val="00674588"/>
    <w:rPr>
      <w:i/>
      <w:iCs/>
    </w:rPr>
  </w:style>
  <w:style w:type="table" w:styleId="TableGrid">
    <w:name w:val="Table Grid"/>
    <w:basedOn w:val="TableNormal"/>
    <w:uiPriority w:val="59"/>
    <w:rsid w:val="0067458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21FFA"/>
    <w:rPr>
      <w:rFonts w:ascii="Tahoma" w:hAnsi="Tahoma" w:cs="Tahoma"/>
      <w:sz w:val="16"/>
      <w:szCs w:val="16"/>
    </w:rPr>
  </w:style>
  <w:style w:type="character" w:customStyle="1" w:styleId="BalloonTextChar">
    <w:name w:val="Balloon Text Char"/>
    <w:link w:val="BalloonText"/>
    <w:uiPriority w:val="99"/>
    <w:semiHidden/>
    <w:rsid w:val="00221FFA"/>
    <w:rPr>
      <w:rFonts w:ascii="Tahoma" w:eastAsia="Times New Roman" w:hAnsi="Tahoma" w:cs="Tahoma"/>
      <w:sz w:val="16"/>
      <w:szCs w:val="16"/>
      <w:lang w:val="en-US" w:eastAsia="ko-KR"/>
    </w:rPr>
  </w:style>
  <w:style w:type="character" w:styleId="Hyperlink">
    <w:name w:val="Hyperlink"/>
    <w:uiPriority w:val="99"/>
    <w:unhideWhenUsed/>
    <w:rsid w:val="00135456"/>
    <w:rPr>
      <w:color w:val="0000FF"/>
      <w:u w:val="single"/>
    </w:rPr>
  </w:style>
  <w:style w:type="character" w:styleId="CommentReference">
    <w:name w:val="annotation reference"/>
    <w:basedOn w:val="DefaultParagraphFont"/>
    <w:uiPriority w:val="99"/>
    <w:semiHidden/>
    <w:unhideWhenUsed/>
    <w:rsid w:val="00C14D68"/>
    <w:rPr>
      <w:sz w:val="16"/>
      <w:szCs w:val="16"/>
    </w:rPr>
  </w:style>
  <w:style w:type="paragraph" w:styleId="CommentText">
    <w:name w:val="annotation text"/>
    <w:basedOn w:val="Normal"/>
    <w:link w:val="CommentTextChar"/>
    <w:uiPriority w:val="99"/>
    <w:semiHidden/>
    <w:unhideWhenUsed/>
    <w:rsid w:val="00C14D68"/>
    <w:rPr>
      <w:sz w:val="20"/>
    </w:rPr>
  </w:style>
  <w:style w:type="character" w:customStyle="1" w:styleId="CommentTextChar">
    <w:name w:val="Comment Text Char"/>
    <w:basedOn w:val="DefaultParagraphFont"/>
    <w:link w:val="CommentText"/>
    <w:uiPriority w:val="99"/>
    <w:semiHidden/>
    <w:rsid w:val="00C14D68"/>
    <w:rPr>
      <w:rFonts w:ascii="Times New Roman" w:eastAsia="Times New Roman" w:hAnsi="Times New Roman"/>
      <w:lang w:val="en-US" w:eastAsia="ko-KR"/>
    </w:rPr>
  </w:style>
  <w:style w:type="paragraph" w:styleId="CommentSubject">
    <w:name w:val="annotation subject"/>
    <w:basedOn w:val="CommentText"/>
    <w:next w:val="CommentText"/>
    <w:link w:val="CommentSubjectChar"/>
    <w:uiPriority w:val="99"/>
    <w:semiHidden/>
    <w:unhideWhenUsed/>
    <w:rsid w:val="00C14D68"/>
    <w:rPr>
      <w:b/>
      <w:bCs/>
    </w:rPr>
  </w:style>
  <w:style w:type="character" w:customStyle="1" w:styleId="CommentSubjectChar">
    <w:name w:val="Comment Subject Char"/>
    <w:basedOn w:val="CommentTextChar"/>
    <w:link w:val="CommentSubject"/>
    <w:uiPriority w:val="99"/>
    <w:semiHidden/>
    <w:rsid w:val="00C14D68"/>
    <w:rPr>
      <w:rFonts w:ascii="Times New Roman" w:eastAsia="Times New Roman" w:hAnsi="Times New Roman"/>
      <w:b/>
      <w:bCs/>
      <w:lang w:val="en-US" w:eastAsia="ko-KR"/>
    </w:rPr>
  </w:style>
  <w:style w:type="paragraph" w:styleId="ListParagraph">
    <w:name w:val="List Paragraph"/>
    <w:basedOn w:val="Normal"/>
    <w:uiPriority w:val="34"/>
    <w:qFormat/>
    <w:rsid w:val="002D1830"/>
    <w:pPr>
      <w:ind w:left="720"/>
      <w:contextualSpacing/>
    </w:pPr>
  </w:style>
  <w:style w:type="paragraph" w:styleId="FootnoteText">
    <w:name w:val="footnote text"/>
    <w:basedOn w:val="Normal"/>
    <w:link w:val="FootnoteTextChar"/>
    <w:uiPriority w:val="99"/>
    <w:semiHidden/>
    <w:unhideWhenUsed/>
    <w:rsid w:val="001447C5"/>
    <w:rPr>
      <w:sz w:val="20"/>
    </w:rPr>
  </w:style>
  <w:style w:type="character" w:customStyle="1" w:styleId="FootnoteTextChar">
    <w:name w:val="Footnote Text Char"/>
    <w:basedOn w:val="DefaultParagraphFont"/>
    <w:link w:val="FootnoteText"/>
    <w:uiPriority w:val="99"/>
    <w:semiHidden/>
    <w:rsid w:val="001447C5"/>
    <w:rPr>
      <w:rFonts w:ascii="Times New Roman" w:eastAsia="Times New Roman" w:hAnsi="Times New Roman"/>
      <w:lang w:val="en-US" w:eastAsia="ko-KR"/>
    </w:rPr>
  </w:style>
  <w:style w:type="character" w:styleId="FootnoteReference">
    <w:name w:val="footnote reference"/>
    <w:basedOn w:val="DefaultParagraphFont"/>
    <w:unhideWhenUsed/>
    <w:rsid w:val="001447C5"/>
    <w:rPr>
      <w:vertAlign w:val="superscript"/>
    </w:rPr>
  </w:style>
  <w:style w:type="paragraph" w:customStyle="1" w:styleId="Legal-MainText">
    <w:name w:val="Legal-Main Text"/>
    <w:basedOn w:val="Normal"/>
    <w:link w:val="Legal-MainTextChar"/>
    <w:qFormat/>
    <w:rsid w:val="00536CC8"/>
    <w:pPr>
      <w:tabs>
        <w:tab w:val="center" w:pos="5184"/>
        <w:tab w:val="right" w:pos="10368"/>
      </w:tabs>
      <w:spacing w:before="120" w:after="120"/>
      <w:jc w:val="both"/>
    </w:pPr>
    <w:rPr>
      <w:szCs w:val="24"/>
      <w:lang w:eastAsia="en-US"/>
    </w:rPr>
  </w:style>
  <w:style w:type="character" w:customStyle="1" w:styleId="Legal-MainTextChar">
    <w:name w:val="Legal-Main Text Char"/>
    <w:basedOn w:val="DefaultParagraphFont"/>
    <w:link w:val="Legal-MainText"/>
    <w:rsid w:val="00536CC8"/>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42F3BC-21FA-4848-8A5D-642780EEF575}"/>
</file>

<file path=customXml/itemProps2.xml><?xml version="1.0" encoding="utf-8"?>
<ds:datastoreItem xmlns:ds="http://schemas.openxmlformats.org/officeDocument/2006/customXml" ds:itemID="{916F8958-58D4-4FD4-BEFC-17794B2961DE}"/>
</file>

<file path=customXml/itemProps3.xml><?xml version="1.0" encoding="utf-8"?>
<ds:datastoreItem xmlns:ds="http://schemas.openxmlformats.org/officeDocument/2006/customXml" ds:itemID="{53C94247-0298-4617-AD7F-67AFB843844D}"/>
</file>

<file path=customXml/itemProps4.xml><?xml version="1.0" encoding="utf-8"?>
<ds:datastoreItem xmlns:ds="http://schemas.openxmlformats.org/officeDocument/2006/customXml" ds:itemID="{43BDD4BD-6C15-40E4-A5DE-A70769F09989}"/>
</file>

<file path=docProps/app.xml><?xml version="1.0" encoding="utf-8"?>
<Properties xmlns="http://schemas.openxmlformats.org/officeDocument/2006/extended-properties" xmlns:vt="http://schemas.openxmlformats.org/officeDocument/2006/docPropsVTypes">
  <Template>Normal</Template>
  <TotalTime>0</TotalTime>
  <Pages>3</Pages>
  <Words>1582</Words>
  <Characters>9020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2013-10-09T06:55:00Z</dcterms:created>
  <dcterms:modified xsi:type="dcterms:W3CDTF">2013-10-09T06:55:00Z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